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E453" w14:textId="77777777" w:rsidR="00054695" w:rsidRDefault="00054695" w:rsidP="00054695">
      <w:pPr>
        <w:jc w:val="center"/>
        <w:rPr>
          <w:b/>
          <w:sz w:val="28"/>
          <w:szCs w:val="28"/>
        </w:rPr>
      </w:pPr>
    </w:p>
    <w:p w14:paraId="1EF036CC" w14:textId="77777777" w:rsidR="00054695" w:rsidRDefault="00054695" w:rsidP="00054695">
      <w:pPr>
        <w:jc w:val="center"/>
        <w:rPr>
          <w:b/>
          <w:sz w:val="28"/>
          <w:szCs w:val="28"/>
        </w:rPr>
      </w:pPr>
    </w:p>
    <w:p w14:paraId="0072E04B" w14:textId="77777777" w:rsidR="00054695" w:rsidRDefault="00054695" w:rsidP="00054695">
      <w:pPr>
        <w:jc w:val="center"/>
        <w:rPr>
          <w:b/>
          <w:sz w:val="28"/>
          <w:szCs w:val="28"/>
        </w:rPr>
      </w:pPr>
    </w:p>
    <w:p w14:paraId="521348DB" w14:textId="77777777" w:rsidR="00054695" w:rsidRDefault="00054695" w:rsidP="00054695">
      <w:pPr>
        <w:jc w:val="center"/>
        <w:rPr>
          <w:b/>
          <w:sz w:val="28"/>
          <w:szCs w:val="28"/>
        </w:rPr>
      </w:pPr>
    </w:p>
    <w:p w14:paraId="48DEC876" w14:textId="77777777" w:rsidR="00054695" w:rsidRDefault="00054695" w:rsidP="00054695">
      <w:pPr>
        <w:jc w:val="center"/>
        <w:rPr>
          <w:b/>
          <w:sz w:val="28"/>
          <w:szCs w:val="28"/>
        </w:rPr>
      </w:pPr>
    </w:p>
    <w:p w14:paraId="25BD2013" w14:textId="0624E4D0" w:rsidR="00054695" w:rsidRDefault="00054695" w:rsidP="00054695">
      <w:pPr>
        <w:jc w:val="center"/>
        <w:rPr>
          <w:b/>
          <w:sz w:val="28"/>
          <w:szCs w:val="28"/>
        </w:rPr>
      </w:pPr>
    </w:p>
    <w:p w14:paraId="506ABBBB" w14:textId="29B0C94E" w:rsidR="00222F57" w:rsidRDefault="00222F57" w:rsidP="00054695">
      <w:pPr>
        <w:jc w:val="center"/>
        <w:rPr>
          <w:b/>
          <w:sz w:val="28"/>
          <w:szCs w:val="28"/>
        </w:rPr>
      </w:pPr>
    </w:p>
    <w:p w14:paraId="7E277D0A" w14:textId="4BF4E251" w:rsidR="00222F57" w:rsidRDefault="00222F57" w:rsidP="00054695">
      <w:pPr>
        <w:jc w:val="center"/>
        <w:rPr>
          <w:b/>
          <w:sz w:val="28"/>
          <w:szCs w:val="28"/>
        </w:rPr>
      </w:pPr>
    </w:p>
    <w:p w14:paraId="0C9B16AB" w14:textId="77777777" w:rsidR="00222F57" w:rsidRDefault="00222F57" w:rsidP="00054695">
      <w:pPr>
        <w:jc w:val="center"/>
        <w:rPr>
          <w:b/>
          <w:sz w:val="28"/>
          <w:szCs w:val="28"/>
        </w:rPr>
      </w:pPr>
    </w:p>
    <w:p w14:paraId="63843E22" w14:textId="77777777" w:rsidR="00054695" w:rsidRDefault="00054695" w:rsidP="00054695">
      <w:pPr>
        <w:jc w:val="center"/>
        <w:rPr>
          <w:b/>
          <w:sz w:val="28"/>
          <w:szCs w:val="28"/>
        </w:rPr>
      </w:pPr>
    </w:p>
    <w:p w14:paraId="1D66B58E" w14:textId="77777777" w:rsidR="00265C1B" w:rsidRDefault="00265C1B" w:rsidP="00054695">
      <w:pPr>
        <w:jc w:val="center"/>
        <w:rPr>
          <w:b/>
          <w:sz w:val="28"/>
          <w:szCs w:val="28"/>
        </w:rPr>
      </w:pPr>
    </w:p>
    <w:p w14:paraId="63509842" w14:textId="0B60D8B8" w:rsidR="00054695" w:rsidRPr="004F27CE" w:rsidRDefault="00054695" w:rsidP="00054695">
      <w:pPr>
        <w:jc w:val="center"/>
        <w:rPr>
          <w:b/>
          <w:sz w:val="32"/>
          <w:szCs w:val="32"/>
        </w:rPr>
      </w:pPr>
      <w:r w:rsidRPr="004F27CE">
        <w:rPr>
          <w:b/>
          <w:sz w:val="32"/>
          <w:szCs w:val="32"/>
        </w:rPr>
        <w:t>TERMINAL EVALUATION OF THE GOVERNANCE AND DEMOCRATIC PARTICIPATION PROGRAMME (GDPP)</w:t>
      </w:r>
    </w:p>
    <w:p w14:paraId="25EE0A20" w14:textId="77777777" w:rsidR="00054695" w:rsidRPr="004F27CE" w:rsidRDefault="00054695" w:rsidP="00054695">
      <w:pPr>
        <w:jc w:val="center"/>
        <w:rPr>
          <w:b/>
          <w:sz w:val="32"/>
          <w:szCs w:val="32"/>
        </w:rPr>
      </w:pPr>
    </w:p>
    <w:p w14:paraId="3807218D" w14:textId="54D20EC9" w:rsidR="00054695" w:rsidRPr="004F27CE" w:rsidRDefault="00036E40" w:rsidP="00054695">
      <w:pPr>
        <w:jc w:val="center"/>
        <w:rPr>
          <w:b/>
          <w:sz w:val="32"/>
          <w:szCs w:val="32"/>
        </w:rPr>
      </w:pPr>
      <w:r w:rsidRPr="004F27CE">
        <w:rPr>
          <w:b/>
          <w:sz w:val="32"/>
          <w:szCs w:val="32"/>
        </w:rPr>
        <w:t xml:space="preserve">Final </w:t>
      </w:r>
      <w:r w:rsidR="00054695" w:rsidRPr="004F27CE">
        <w:rPr>
          <w:b/>
          <w:sz w:val="32"/>
          <w:szCs w:val="32"/>
        </w:rPr>
        <w:t>Report</w:t>
      </w:r>
    </w:p>
    <w:p w14:paraId="049EF358" w14:textId="198E1FF2" w:rsidR="00054695" w:rsidRPr="004F27CE" w:rsidRDefault="00054695" w:rsidP="00054695">
      <w:pPr>
        <w:jc w:val="center"/>
        <w:rPr>
          <w:b/>
          <w:sz w:val="32"/>
          <w:szCs w:val="32"/>
        </w:rPr>
      </w:pPr>
      <w:r w:rsidRPr="004F27CE">
        <w:rPr>
          <w:b/>
          <w:sz w:val="32"/>
          <w:szCs w:val="32"/>
        </w:rPr>
        <w:t xml:space="preserve">April </w:t>
      </w:r>
      <w:r w:rsidR="00D079E9" w:rsidRPr="004F27CE">
        <w:rPr>
          <w:b/>
          <w:sz w:val="32"/>
          <w:szCs w:val="32"/>
        </w:rPr>
        <w:t>2</w:t>
      </w:r>
      <w:r w:rsidR="00036E40" w:rsidRPr="004F27CE">
        <w:rPr>
          <w:b/>
          <w:sz w:val="32"/>
          <w:szCs w:val="32"/>
        </w:rPr>
        <w:t>9</w:t>
      </w:r>
      <w:r w:rsidRPr="004F27CE">
        <w:rPr>
          <w:b/>
          <w:sz w:val="32"/>
          <w:szCs w:val="32"/>
        </w:rPr>
        <w:t>, 2022</w:t>
      </w:r>
    </w:p>
    <w:p w14:paraId="60EA37A1" w14:textId="77777777" w:rsidR="00054695" w:rsidRPr="004F27CE" w:rsidRDefault="00054695" w:rsidP="00054695">
      <w:pPr>
        <w:jc w:val="center"/>
        <w:rPr>
          <w:b/>
          <w:sz w:val="32"/>
          <w:szCs w:val="32"/>
        </w:rPr>
      </w:pPr>
    </w:p>
    <w:p w14:paraId="14651254" w14:textId="77777777" w:rsidR="00054695" w:rsidRDefault="00054695" w:rsidP="00054695">
      <w:pPr>
        <w:jc w:val="center"/>
        <w:rPr>
          <w:b/>
          <w:sz w:val="24"/>
          <w:szCs w:val="24"/>
        </w:rPr>
      </w:pPr>
    </w:p>
    <w:p w14:paraId="047CD724" w14:textId="77777777" w:rsidR="00054695" w:rsidRDefault="00054695" w:rsidP="00054695">
      <w:pPr>
        <w:jc w:val="center"/>
        <w:rPr>
          <w:b/>
          <w:sz w:val="24"/>
          <w:szCs w:val="24"/>
        </w:rPr>
      </w:pPr>
    </w:p>
    <w:p w14:paraId="3C68E4B6" w14:textId="77777777" w:rsidR="00054695" w:rsidRDefault="00054695" w:rsidP="00054695">
      <w:pPr>
        <w:jc w:val="center"/>
        <w:rPr>
          <w:b/>
          <w:sz w:val="24"/>
          <w:szCs w:val="24"/>
        </w:rPr>
      </w:pPr>
    </w:p>
    <w:p w14:paraId="1F1AF814" w14:textId="77777777" w:rsidR="00054695" w:rsidRDefault="00054695" w:rsidP="00054695">
      <w:pPr>
        <w:jc w:val="center"/>
        <w:rPr>
          <w:b/>
          <w:sz w:val="24"/>
          <w:szCs w:val="24"/>
        </w:rPr>
      </w:pPr>
    </w:p>
    <w:p w14:paraId="68ABE890" w14:textId="77777777" w:rsidR="00054695" w:rsidRDefault="00054695" w:rsidP="00054695">
      <w:pPr>
        <w:jc w:val="center"/>
        <w:rPr>
          <w:b/>
          <w:sz w:val="24"/>
          <w:szCs w:val="24"/>
        </w:rPr>
      </w:pPr>
    </w:p>
    <w:p w14:paraId="2605B93A" w14:textId="77777777" w:rsidR="00054695" w:rsidRDefault="00054695" w:rsidP="00054695">
      <w:pPr>
        <w:jc w:val="center"/>
        <w:rPr>
          <w:b/>
          <w:sz w:val="24"/>
          <w:szCs w:val="24"/>
        </w:rPr>
      </w:pPr>
    </w:p>
    <w:p w14:paraId="449FA28A" w14:textId="77777777" w:rsidR="00054695" w:rsidRDefault="00054695" w:rsidP="00054695">
      <w:pPr>
        <w:jc w:val="right"/>
        <w:rPr>
          <w:sz w:val="24"/>
          <w:szCs w:val="24"/>
        </w:rPr>
      </w:pPr>
      <w:r>
        <w:rPr>
          <w:sz w:val="24"/>
          <w:szCs w:val="24"/>
        </w:rPr>
        <w:t xml:space="preserve">Evaluation Team: </w:t>
      </w:r>
    </w:p>
    <w:p w14:paraId="3B2B5203" w14:textId="77777777" w:rsidR="00054695" w:rsidRDefault="00054695" w:rsidP="00054695">
      <w:pPr>
        <w:jc w:val="right"/>
        <w:rPr>
          <w:sz w:val="24"/>
          <w:szCs w:val="24"/>
        </w:rPr>
        <w:sectPr w:rsidR="00054695">
          <w:footerReference w:type="default" r:id="rId8"/>
          <w:pgSz w:w="12240" w:h="15840"/>
          <w:pgMar w:top="1440" w:right="1440" w:bottom="1440" w:left="1440" w:header="720" w:footer="720" w:gutter="0"/>
          <w:cols w:space="720"/>
          <w:docGrid w:linePitch="360"/>
        </w:sectPr>
      </w:pPr>
      <w:r>
        <w:rPr>
          <w:sz w:val="24"/>
          <w:szCs w:val="24"/>
        </w:rPr>
        <w:t xml:space="preserve">Paul George; Amha Ermias; Filmon </w:t>
      </w:r>
      <w:proofErr w:type="spellStart"/>
      <w:r>
        <w:rPr>
          <w:sz w:val="24"/>
          <w:szCs w:val="24"/>
        </w:rPr>
        <w:t>Hadaro</w:t>
      </w:r>
      <w:proofErr w:type="spellEnd"/>
      <w:r>
        <w:rPr>
          <w:sz w:val="24"/>
          <w:szCs w:val="24"/>
        </w:rPr>
        <w:t xml:space="preserve"> </w:t>
      </w:r>
    </w:p>
    <w:p w14:paraId="79F56544" w14:textId="77777777" w:rsidR="00D079E9" w:rsidRDefault="00D079E9" w:rsidP="00054695">
      <w:pPr>
        <w:spacing w:line="360" w:lineRule="auto"/>
        <w:jc w:val="both"/>
        <w:rPr>
          <w:b/>
        </w:rPr>
      </w:pPr>
    </w:p>
    <w:p w14:paraId="2C35B03D" w14:textId="77777777" w:rsidR="00D079E9" w:rsidRDefault="00D079E9" w:rsidP="00054695">
      <w:pPr>
        <w:spacing w:line="360" w:lineRule="auto"/>
        <w:jc w:val="both"/>
        <w:rPr>
          <w:b/>
        </w:rPr>
      </w:pPr>
    </w:p>
    <w:p w14:paraId="5D4B7963" w14:textId="77777777" w:rsidR="00D079E9" w:rsidRDefault="00D079E9" w:rsidP="00054695">
      <w:pPr>
        <w:spacing w:line="360" w:lineRule="auto"/>
        <w:jc w:val="both"/>
        <w:rPr>
          <w:b/>
        </w:rPr>
      </w:pPr>
    </w:p>
    <w:p w14:paraId="53D8F5D2" w14:textId="77777777" w:rsidR="00D079E9" w:rsidRDefault="00D079E9" w:rsidP="00054695">
      <w:pPr>
        <w:spacing w:line="360" w:lineRule="auto"/>
        <w:jc w:val="both"/>
        <w:rPr>
          <w:b/>
        </w:rPr>
      </w:pPr>
    </w:p>
    <w:p w14:paraId="5CC47CD2" w14:textId="77777777" w:rsidR="00D079E9" w:rsidRDefault="00D079E9" w:rsidP="00054695">
      <w:pPr>
        <w:spacing w:line="360" w:lineRule="auto"/>
        <w:jc w:val="both"/>
        <w:rPr>
          <w:b/>
        </w:rPr>
      </w:pPr>
    </w:p>
    <w:p w14:paraId="07F61AAE" w14:textId="455B5B25" w:rsidR="00054695" w:rsidRPr="003225C9" w:rsidRDefault="00054695" w:rsidP="00054695">
      <w:pPr>
        <w:spacing w:line="360" w:lineRule="auto"/>
        <w:jc w:val="both"/>
        <w:rPr>
          <w:b/>
        </w:rPr>
      </w:pPr>
      <w:r w:rsidRPr="003225C9">
        <w:rPr>
          <w:b/>
        </w:rPr>
        <w:t>ACKNOWLEDGEMENTS</w:t>
      </w:r>
    </w:p>
    <w:p w14:paraId="076A33AC" w14:textId="7D3659F6" w:rsidR="00054695" w:rsidRDefault="00054695" w:rsidP="00054695">
      <w:pPr>
        <w:spacing w:line="360" w:lineRule="auto"/>
        <w:jc w:val="both"/>
      </w:pPr>
      <w:r>
        <w:t xml:space="preserve">Undertaking this terminal evaluation of the Governance and Democratic Participation Programme (GDPP) would have not been possible without the conscientious involvement of a wide range of stakeholders. </w:t>
      </w:r>
      <w:proofErr w:type="gramStart"/>
      <w:r>
        <w:t>In particular, our</w:t>
      </w:r>
      <w:proofErr w:type="gramEnd"/>
      <w:r>
        <w:t xml:space="preserve"> thanks go to the representatives of the Governance team at the Ethiopia Country Office who provided the important context of the Programme and supported the gathering of data and information necessary to complete the review. Most importantly, the Implementing Partners and Development Partners freely shared their time and knowledge with the evaluation team and their </w:t>
      </w:r>
      <w:r w:rsidR="00FB506C">
        <w:t>contributions</w:t>
      </w:r>
      <w:r>
        <w:t xml:space="preserve"> </w:t>
      </w:r>
      <w:r w:rsidR="001521D7">
        <w:t xml:space="preserve">are central to </w:t>
      </w:r>
      <w:r>
        <w:t>this report.</w:t>
      </w:r>
    </w:p>
    <w:p w14:paraId="104CF247" w14:textId="77777777" w:rsidR="00054695" w:rsidRDefault="00054695">
      <w:r>
        <w:br w:type="page"/>
      </w:r>
    </w:p>
    <w:p w14:paraId="72F74862" w14:textId="77777777" w:rsidR="00054695" w:rsidRPr="00B50E02" w:rsidRDefault="00054695" w:rsidP="00054695">
      <w:pPr>
        <w:tabs>
          <w:tab w:val="left" w:pos="3738"/>
        </w:tabs>
        <w:rPr>
          <w:b/>
          <w:bCs/>
          <w:sz w:val="24"/>
          <w:szCs w:val="24"/>
        </w:rPr>
      </w:pPr>
      <w:r w:rsidRPr="00B50E02">
        <w:rPr>
          <w:b/>
          <w:bCs/>
        </w:rPr>
        <w:lastRenderedPageBreak/>
        <w:t xml:space="preserve">List of </w:t>
      </w:r>
      <w:r>
        <w:rPr>
          <w:b/>
          <w:bCs/>
        </w:rPr>
        <w:t>A</w:t>
      </w:r>
      <w:r w:rsidRPr="00B50E02">
        <w:rPr>
          <w:b/>
          <w:bCs/>
        </w:rPr>
        <w:t xml:space="preserve">cronyms and </w:t>
      </w:r>
      <w:r>
        <w:rPr>
          <w:b/>
          <w:bCs/>
        </w:rPr>
        <w:t>A</w:t>
      </w:r>
      <w:r w:rsidRPr="00B50E02">
        <w:rPr>
          <w:b/>
          <w:bCs/>
        </w:rPr>
        <w:t>bbreviations</w:t>
      </w:r>
      <w:r w:rsidRPr="00B50E02">
        <w:rPr>
          <w:b/>
          <w:bCs/>
          <w:sz w:val="24"/>
          <w:szCs w:val="24"/>
        </w:rPr>
        <w:tab/>
      </w:r>
    </w:p>
    <w:p w14:paraId="13A0D975" w14:textId="77777777" w:rsidR="00054695" w:rsidRDefault="00054695" w:rsidP="00054695">
      <w:pPr>
        <w:spacing w:after="0" w:line="240" w:lineRule="auto"/>
        <w:jc w:val="both"/>
        <w:rPr>
          <w:rFonts w:ascii="Arial" w:hAnsi="Arial" w:cs="Arial"/>
          <w:sz w:val="18"/>
          <w:szCs w:val="18"/>
        </w:rPr>
      </w:pPr>
      <w:r w:rsidRPr="00F45D84">
        <w:rPr>
          <w:rFonts w:ascii="Arial" w:hAnsi="Arial" w:cs="Arial"/>
          <w:sz w:val="18"/>
          <w:szCs w:val="18"/>
        </w:rPr>
        <w:t>ARTS</w:t>
      </w:r>
      <w:r>
        <w:rPr>
          <w:rFonts w:ascii="Arial" w:hAnsi="Arial" w:cs="Arial"/>
          <w:sz w:val="18"/>
          <w:szCs w:val="18"/>
        </w:rPr>
        <w:tab/>
      </w:r>
      <w:r>
        <w:rPr>
          <w:rFonts w:ascii="Arial" w:hAnsi="Arial" w:cs="Arial"/>
          <w:sz w:val="18"/>
          <w:szCs w:val="18"/>
        </w:rPr>
        <w:tab/>
        <w:t>Audit Report Tracking System</w:t>
      </w:r>
    </w:p>
    <w:p w14:paraId="1CC308BD" w14:textId="77777777" w:rsidR="00054695" w:rsidRPr="0097657F" w:rsidRDefault="00054695" w:rsidP="00054695">
      <w:pPr>
        <w:spacing w:after="0" w:line="240" w:lineRule="auto"/>
        <w:jc w:val="both"/>
        <w:rPr>
          <w:rFonts w:ascii="Arial" w:hAnsi="Arial" w:cs="Arial"/>
          <w:sz w:val="18"/>
          <w:szCs w:val="18"/>
        </w:rPr>
      </w:pPr>
      <w:r>
        <w:rPr>
          <w:rFonts w:ascii="Arial" w:hAnsi="Arial" w:cs="Arial"/>
          <w:sz w:val="18"/>
          <w:szCs w:val="18"/>
        </w:rPr>
        <w:t xml:space="preserve">AWPs </w:t>
      </w:r>
      <w:r>
        <w:rPr>
          <w:rFonts w:ascii="Arial" w:hAnsi="Arial" w:cs="Arial"/>
          <w:sz w:val="18"/>
          <w:szCs w:val="18"/>
        </w:rPr>
        <w:tab/>
      </w:r>
      <w:r>
        <w:rPr>
          <w:rFonts w:ascii="Arial" w:hAnsi="Arial" w:cs="Arial"/>
          <w:sz w:val="18"/>
          <w:szCs w:val="18"/>
        </w:rPr>
        <w:tab/>
        <w:t>Annual Work P</w:t>
      </w:r>
      <w:r w:rsidRPr="0097657F">
        <w:rPr>
          <w:rFonts w:ascii="Arial" w:hAnsi="Arial" w:cs="Arial"/>
          <w:sz w:val="18"/>
          <w:szCs w:val="18"/>
        </w:rPr>
        <w:t>lans</w:t>
      </w:r>
    </w:p>
    <w:p w14:paraId="01330D16" w14:textId="77777777" w:rsidR="00054695" w:rsidRDefault="00054695" w:rsidP="00054695">
      <w:pPr>
        <w:spacing w:after="0" w:line="240" w:lineRule="auto"/>
        <w:jc w:val="both"/>
        <w:rPr>
          <w:rFonts w:ascii="Arial" w:hAnsi="Arial" w:cs="Arial"/>
          <w:sz w:val="18"/>
          <w:szCs w:val="18"/>
        </w:rPr>
      </w:pPr>
      <w:r w:rsidRPr="00F45D84">
        <w:rPr>
          <w:rFonts w:ascii="Arial" w:hAnsi="Arial" w:cs="Arial"/>
          <w:sz w:val="18"/>
          <w:szCs w:val="18"/>
        </w:rPr>
        <w:t>CCI</w:t>
      </w:r>
      <w:r>
        <w:rPr>
          <w:rFonts w:ascii="Arial" w:hAnsi="Arial" w:cs="Arial"/>
          <w:sz w:val="18"/>
          <w:szCs w:val="18"/>
        </w:rPr>
        <w:tab/>
      </w:r>
      <w:r>
        <w:rPr>
          <w:rFonts w:ascii="Arial" w:hAnsi="Arial" w:cs="Arial"/>
          <w:sz w:val="18"/>
          <w:szCs w:val="18"/>
        </w:rPr>
        <w:tab/>
        <w:t>Council of Constitutional Inquiry</w:t>
      </w:r>
    </w:p>
    <w:p w14:paraId="1E89B0FA" w14:textId="77777777" w:rsidR="00054695" w:rsidRPr="00FF1EB8" w:rsidRDefault="00054695" w:rsidP="00054695">
      <w:pPr>
        <w:spacing w:after="0" w:line="240" w:lineRule="auto"/>
        <w:jc w:val="both"/>
        <w:rPr>
          <w:rFonts w:ascii="Arial" w:hAnsi="Arial" w:cs="Arial"/>
          <w:sz w:val="18"/>
          <w:szCs w:val="18"/>
        </w:rPr>
      </w:pPr>
      <w:r>
        <w:rPr>
          <w:rFonts w:ascii="Arial" w:hAnsi="Arial" w:cs="Arial"/>
          <w:sz w:val="18"/>
          <w:szCs w:val="18"/>
        </w:rPr>
        <w:t>CO</w:t>
      </w:r>
      <w:r>
        <w:rPr>
          <w:rFonts w:ascii="Arial" w:hAnsi="Arial" w:cs="Arial"/>
          <w:sz w:val="18"/>
          <w:szCs w:val="18"/>
        </w:rPr>
        <w:tab/>
      </w:r>
      <w:r>
        <w:rPr>
          <w:rFonts w:ascii="Arial" w:hAnsi="Arial" w:cs="Arial"/>
          <w:sz w:val="18"/>
          <w:szCs w:val="18"/>
        </w:rPr>
        <w:tab/>
        <w:t>Country Office</w:t>
      </w:r>
    </w:p>
    <w:p w14:paraId="23573234" w14:textId="77777777" w:rsidR="00054695"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COVID </w:t>
      </w:r>
      <w:r w:rsidRPr="0097657F">
        <w:rPr>
          <w:rFonts w:ascii="Arial" w:hAnsi="Arial" w:cs="Arial"/>
          <w:sz w:val="18"/>
          <w:szCs w:val="18"/>
        </w:rPr>
        <w:tab/>
      </w:r>
      <w:r w:rsidRPr="0097657F">
        <w:rPr>
          <w:rFonts w:ascii="Arial" w:hAnsi="Arial" w:cs="Arial"/>
          <w:sz w:val="18"/>
          <w:szCs w:val="18"/>
        </w:rPr>
        <w:tab/>
        <w:t>Corona Virus Disease</w:t>
      </w:r>
    </w:p>
    <w:p w14:paraId="632DA987" w14:textId="77777777" w:rsidR="00054695" w:rsidRPr="0097657F" w:rsidRDefault="00054695" w:rsidP="00054695">
      <w:pPr>
        <w:spacing w:after="0" w:line="240" w:lineRule="auto"/>
        <w:jc w:val="both"/>
        <w:rPr>
          <w:rFonts w:ascii="Arial" w:hAnsi="Arial" w:cs="Arial"/>
          <w:sz w:val="18"/>
          <w:szCs w:val="18"/>
        </w:rPr>
      </w:pPr>
      <w:r>
        <w:rPr>
          <w:rFonts w:ascii="Arial" w:hAnsi="Arial" w:cs="Arial"/>
          <w:sz w:val="18"/>
          <w:szCs w:val="18"/>
        </w:rPr>
        <w:t>CPD</w:t>
      </w:r>
      <w:r>
        <w:rPr>
          <w:rFonts w:ascii="Arial" w:hAnsi="Arial" w:cs="Arial"/>
          <w:sz w:val="18"/>
          <w:szCs w:val="18"/>
        </w:rPr>
        <w:tab/>
      </w:r>
      <w:r>
        <w:rPr>
          <w:rFonts w:ascii="Arial" w:hAnsi="Arial" w:cs="Arial"/>
          <w:sz w:val="18"/>
          <w:szCs w:val="18"/>
        </w:rPr>
        <w:tab/>
        <w:t>Country Programme Document</w:t>
      </w:r>
    </w:p>
    <w:p w14:paraId="69CD7DD0" w14:textId="77777777" w:rsidR="00054695"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CSOs </w:t>
      </w:r>
      <w:r w:rsidRPr="0097657F">
        <w:rPr>
          <w:rFonts w:ascii="Arial" w:hAnsi="Arial" w:cs="Arial"/>
          <w:sz w:val="18"/>
          <w:szCs w:val="18"/>
        </w:rPr>
        <w:tab/>
      </w:r>
      <w:r w:rsidRPr="0097657F">
        <w:rPr>
          <w:rFonts w:ascii="Arial" w:hAnsi="Arial" w:cs="Arial"/>
          <w:sz w:val="18"/>
          <w:szCs w:val="18"/>
        </w:rPr>
        <w:tab/>
        <w:t>Civil Society Organizations</w:t>
      </w:r>
    </w:p>
    <w:p w14:paraId="0B608DF3" w14:textId="77777777" w:rsidR="00054695" w:rsidRPr="0097657F" w:rsidRDefault="00054695" w:rsidP="00054695">
      <w:pPr>
        <w:spacing w:after="0" w:line="240" w:lineRule="auto"/>
        <w:jc w:val="both"/>
        <w:rPr>
          <w:rFonts w:ascii="Arial" w:hAnsi="Arial" w:cs="Arial"/>
          <w:sz w:val="18"/>
          <w:szCs w:val="18"/>
        </w:rPr>
      </w:pPr>
      <w:r>
        <w:rPr>
          <w:rFonts w:ascii="Arial" w:hAnsi="Arial" w:cs="Arial"/>
          <w:sz w:val="18"/>
          <w:szCs w:val="18"/>
        </w:rPr>
        <w:t>CTA</w:t>
      </w:r>
      <w:r>
        <w:rPr>
          <w:rFonts w:ascii="Arial" w:hAnsi="Arial" w:cs="Arial"/>
          <w:sz w:val="18"/>
          <w:szCs w:val="18"/>
        </w:rPr>
        <w:tab/>
      </w:r>
      <w:r>
        <w:rPr>
          <w:rFonts w:ascii="Arial" w:hAnsi="Arial" w:cs="Arial"/>
          <w:sz w:val="18"/>
          <w:szCs w:val="18"/>
        </w:rPr>
        <w:tab/>
        <w:t>Chief Technical Advisor</w:t>
      </w:r>
    </w:p>
    <w:p w14:paraId="123260A6" w14:textId="77777777" w:rsidR="00054695" w:rsidRDefault="00054695" w:rsidP="00054695">
      <w:pPr>
        <w:spacing w:after="0" w:line="240" w:lineRule="auto"/>
        <w:jc w:val="both"/>
        <w:rPr>
          <w:rFonts w:ascii="Arial" w:hAnsi="Arial" w:cs="Arial"/>
          <w:sz w:val="18"/>
          <w:szCs w:val="18"/>
        </w:rPr>
      </w:pPr>
      <w:r w:rsidRPr="00F45D84">
        <w:rPr>
          <w:rFonts w:ascii="Arial" w:hAnsi="Arial" w:cs="Arial"/>
          <w:sz w:val="18"/>
          <w:szCs w:val="18"/>
        </w:rPr>
        <w:t>DARS</w:t>
      </w:r>
      <w:r>
        <w:rPr>
          <w:rFonts w:ascii="Arial" w:hAnsi="Arial" w:cs="Arial"/>
          <w:sz w:val="18"/>
          <w:szCs w:val="18"/>
        </w:rPr>
        <w:tab/>
      </w:r>
      <w:r>
        <w:rPr>
          <w:rFonts w:ascii="Arial" w:hAnsi="Arial" w:cs="Arial"/>
          <w:sz w:val="18"/>
          <w:szCs w:val="18"/>
        </w:rPr>
        <w:tab/>
        <w:t>Digital Asset Registration System</w:t>
      </w:r>
      <w:r>
        <w:rPr>
          <w:rFonts w:ascii="Arial" w:hAnsi="Arial" w:cs="Arial"/>
          <w:sz w:val="18"/>
          <w:szCs w:val="18"/>
        </w:rPr>
        <w:tab/>
      </w:r>
      <w:r>
        <w:rPr>
          <w:rFonts w:ascii="Arial" w:hAnsi="Arial" w:cs="Arial"/>
          <w:sz w:val="18"/>
          <w:szCs w:val="18"/>
        </w:rPr>
        <w:tab/>
      </w:r>
    </w:p>
    <w:p w14:paraId="31B26AB7" w14:textId="77777777" w:rsidR="00054695"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DIs </w:t>
      </w:r>
      <w:r w:rsidRPr="0097657F">
        <w:rPr>
          <w:rFonts w:ascii="Arial" w:hAnsi="Arial" w:cs="Arial"/>
          <w:sz w:val="18"/>
          <w:szCs w:val="18"/>
        </w:rPr>
        <w:tab/>
      </w:r>
      <w:r w:rsidRPr="0097657F">
        <w:rPr>
          <w:rFonts w:ascii="Arial" w:hAnsi="Arial" w:cs="Arial"/>
          <w:sz w:val="18"/>
          <w:szCs w:val="18"/>
        </w:rPr>
        <w:tab/>
        <w:t xml:space="preserve">Democratic Institutions </w:t>
      </w:r>
    </w:p>
    <w:p w14:paraId="24B4C0FA" w14:textId="77777777" w:rsidR="00054695" w:rsidRPr="0097657F" w:rsidRDefault="00054695" w:rsidP="00054695">
      <w:pPr>
        <w:spacing w:after="0" w:line="240" w:lineRule="auto"/>
        <w:jc w:val="both"/>
        <w:rPr>
          <w:rFonts w:ascii="Arial" w:hAnsi="Arial" w:cs="Arial"/>
          <w:sz w:val="18"/>
          <w:szCs w:val="18"/>
        </w:rPr>
      </w:pPr>
      <w:r>
        <w:rPr>
          <w:rFonts w:ascii="Arial" w:hAnsi="Arial" w:cs="Arial"/>
          <w:sz w:val="18"/>
          <w:szCs w:val="18"/>
        </w:rPr>
        <w:t>DIP</w:t>
      </w:r>
      <w:r>
        <w:rPr>
          <w:rFonts w:ascii="Arial" w:hAnsi="Arial" w:cs="Arial"/>
          <w:sz w:val="18"/>
          <w:szCs w:val="18"/>
        </w:rPr>
        <w:tab/>
      </w:r>
      <w:r>
        <w:rPr>
          <w:rFonts w:ascii="Arial" w:hAnsi="Arial" w:cs="Arial"/>
          <w:sz w:val="18"/>
          <w:szCs w:val="18"/>
        </w:rPr>
        <w:tab/>
        <w:t>Democratic Participation Programme</w:t>
      </w:r>
    </w:p>
    <w:p w14:paraId="455C1023" w14:textId="77777777" w:rsidR="00054695"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DPs </w:t>
      </w:r>
      <w:r w:rsidRPr="0097657F">
        <w:rPr>
          <w:rFonts w:ascii="Arial" w:hAnsi="Arial" w:cs="Arial"/>
          <w:sz w:val="18"/>
          <w:szCs w:val="18"/>
        </w:rPr>
        <w:tab/>
      </w:r>
      <w:r w:rsidRPr="0097657F">
        <w:rPr>
          <w:rFonts w:ascii="Arial" w:hAnsi="Arial" w:cs="Arial"/>
          <w:sz w:val="18"/>
          <w:szCs w:val="18"/>
        </w:rPr>
        <w:tab/>
        <w:t>Development Partners</w:t>
      </w:r>
    </w:p>
    <w:p w14:paraId="77E3D5F8" w14:textId="77777777" w:rsidR="00054695" w:rsidRPr="0097657F" w:rsidRDefault="00054695" w:rsidP="00054695">
      <w:pPr>
        <w:spacing w:after="0" w:line="240" w:lineRule="auto"/>
        <w:jc w:val="both"/>
        <w:rPr>
          <w:rFonts w:ascii="Arial" w:hAnsi="Arial" w:cs="Arial"/>
          <w:sz w:val="18"/>
          <w:szCs w:val="18"/>
        </w:rPr>
      </w:pPr>
      <w:r>
        <w:rPr>
          <w:rFonts w:ascii="Arial" w:hAnsi="Arial" w:cs="Arial"/>
          <w:sz w:val="18"/>
          <w:szCs w:val="18"/>
        </w:rPr>
        <w:t>EA</w:t>
      </w:r>
      <w:r>
        <w:rPr>
          <w:rFonts w:ascii="Arial" w:hAnsi="Arial" w:cs="Arial"/>
          <w:sz w:val="18"/>
          <w:szCs w:val="18"/>
        </w:rPr>
        <w:tab/>
      </w:r>
      <w:r>
        <w:rPr>
          <w:rFonts w:ascii="Arial" w:hAnsi="Arial" w:cs="Arial"/>
          <w:sz w:val="18"/>
          <w:szCs w:val="18"/>
        </w:rPr>
        <w:tab/>
        <w:t>Evaluability Assessment</w:t>
      </w:r>
    </w:p>
    <w:p w14:paraId="7A948154" w14:textId="77777777" w:rsidR="00054695" w:rsidRPr="0097657F"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EACC </w:t>
      </w:r>
      <w:r w:rsidRPr="0097657F">
        <w:rPr>
          <w:rFonts w:ascii="Arial" w:hAnsi="Arial" w:cs="Arial"/>
          <w:sz w:val="18"/>
          <w:szCs w:val="18"/>
        </w:rPr>
        <w:tab/>
      </w:r>
      <w:r w:rsidRPr="0097657F">
        <w:rPr>
          <w:rFonts w:ascii="Arial" w:hAnsi="Arial" w:cs="Arial"/>
          <w:sz w:val="18"/>
          <w:szCs w:val="18"/>
        </w:rPr>
        <w:tab/>
        <w:t xml:space="preserve">Ethics and Anti-Corruption Commission </w:t>
      </w:r>
    </w:p>
    <w:p w14:paraId="2E3265A2" w14:textId="77777777" w:rsidR="00054695" w:rsidRDefault="00054695" w:rsidP="00054695">
      <w:pPr>
        <w:spacing w:after="0" w:line="240" w:lineRule="auto"/>
        <w:jc w:val="both"/>
        <w:rPr>
          <w:rFonts w:ascii="Arial" w:hAnsi="Arial" w:cs="Arial"/>
          <w:sz w:val="18"/>
          <w:szCs w:val="18"/>
        </w:rPr>
      </w:pPr>
      <w:r w:rsidRPr="00F45D84">
        <w:rPr>
          <w:rFonts w:ascii="Arial" w:hAnsi="Arial" w:cs="Arial"/>
          <w:sz w:val="18"/>
          <w:szCs w:val="18"/>
        </w:rPr>
        <w:t>EB</w:t>
      </w:r>
      <w:r>
        <w:rPr>
          <w:rFonts w:ascii="Arial" w:hAnsi="Arial" w:cs="Arial"/>
          <w:sz w:val="18"/>
          <w:szCs w:val="18"/>
        </w:rPr>
        <w:t>A</w:t>
      </w:r>
      <w:r>
        <w:rPr>
          <w:rFonts w:ascii="Arial" w:hAnsi="Arial" w:cs="Arial"/>
          <w:sz w:val="18"/>
          <w:szCs w:val="18"/>
        </w:rPr>
        <w:tab/>
      </w:r>
      <w:r>
        <w:rPr>
          <w:rFonts w:ascii="Arial" w:hAnsi="Arial" w:cs="Arial"/>
          <w:sz w:val="18"/>
          <w:szCs w:val="18"/>
        </w:rPr>
        <w:tab/>
        <w:t>Ethiopian Broadcasting Authority</w:t>
      </w:r>
    </w:p>
    <w:p w14:paraId="5E71C3E7" w14:textId="77777777" w:rsidR="00054695" w:rsidRPr="0097657F"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EHRC </w:t>
      </w:r>
      <w:r w:rsidRPr="0097657F">
        <w:rPr>
          <w:rFonts w:ascii="Arial" w:hAnsi="Arial" w:cs="Arial"/>
          <w:sz w:val="18"/>
          <w:szCs w:val="18"/>
        </w:rPr>
        <w:tab/>
      </w:r>
      <w:r w:rsidRPr="0097657F">
        <w:rPr>
          <w:rFonts w:ascii="Arial" w:hAnsi="Arial" w:cs="Arial"/>
          <w:sz w:val="18"/>
          <w:szCs w:val="18"/>
        </w:rPr>
        <w:tab/>
        <w:t xml:space="preserve">Ethiopian Human Rights Commission </w:t>
      </w:r>
    </w:p>
    <w:p w14:paraId="4D755CC5" w14:textId="77777777" w:rsidR="00054695" w:rsidRPr="0097657F"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EIO </w:t>
      </w:r>
      <w:r w:rsidRPr="0097657F">
        <w:rPr>
          <w:rFonts w:ascii="Arial" w:hAnsi="Arial" w:cs="Arial"/>
          <w:sz w:val="18"/>
          <w:szCs w:val="18"/>
        </w:rPr>
        <w:tab/>
      </w:r>
      <w:r w:rsidRPr="0097657F">
        <w:rPr>
          <w:rFonts w:ascii="Arial" w:hAnsi="Arial" w:cs="Arial"/>
          <w:sz w:val="18"/>
          <w:szCs w:val="18"/>
        </w:rPr>
        <w:tab/>
        <w:t xml:space="preserve">Ethiopian Institute of the Ombudsman </w:t>
      </w:r>
    </w:p>
    <w:p w14:paraId="2A74C1F7" w14:textId="77777777" w:rsidR="00054695"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EMA </w:t>
      </w:r>
      <w:r w:rsidRPr="0097657F">
        <w:rPr>
          <w:rFonts w:ascii="Arial" w:hAnsi="Arial" w:cs="Arial"/>
          <w:sz w:val="18"/>
          <w:szCs w:val="18"/>
        </w:rPr>
        <w:tab/>
      </w:r>
      <w:r w:rsidRPr="0097657F">
        <w:rPr>
          <w:rFonts w:ascii="Arial" w:hAnsi="Arial" w:cs="Arial"/>
          <w:sz w:val="18"/>
          <w:szCs w:val="18"/>
        </w:rPr>
        <w:tab/>
        <w:t>Ethiopian Media Authority</w:t>
      </w:r>
    </w:p>
    <w:p w14:paraId="5C41F6BF" w14:textId="77777777" w:rsidR="00054695" w:rsidRDefault="00054695" w:rsidP="00054695">
      <w:pPr>
        <w:spacing w:after="0" w:line="240" w:lineRule="auto"/>
        <w:jc w:val="both"/>
        <w:rPr>
          <w:rFonts w:ascii="Arial" w:hAnsi="Arial" w:cs="Arial"/>
          <w:sz w:val="18"/>
          <w:szCs w:val="18"/>
        </w:rPr>
      </w:pPr>
      <w:r>
        <w:rPr>
          <w:rFonts w:ascii="Arial" w:hAnsi="Arial" w:cs="Arial"/>
          <w:sz w:val="18"/>
          <w:szCs w:val="18"/>
        </w:rPr>
        <w:t>EQ</w:t>
      </w:r>
      <w:r>
        <w:rPr>
          <w:rFonts w:ascii="Arial" w:hAnsi="Arial" w:cs="Arial"/>
          <w:sz w:val="18"/>
          <w:szCs w:val="18"/>
        </w:rPr>
        <w:tab/>
      </w:r>
      <w:r>
        <w:rPr>
          <w:rFonts w:ascii="Arial" w:hAnsi="Arial" w:cs="Arial"/>
          <w:sz w:val="18"/>
          <w:szCs w:val="18"/>
        </w:rPr>
        <w:tab/>
        <w:t>Evaluation Questions</w:t>
      </w:r>
    </w:p>
    <w:p w14:paraId="69A3EB4E" w14:textId="77777777" w:rsidR="00054695" w:rsidRPr="0097657F" w:rsidRDefault="00054695" w:rsidP="00054695">
      <w:pPr>
        <w:spacing w:after="0" w:line="240" w:lineRule="auto"/>
        <w:jc w:val="both"/>
        <w:rPr>
          <w:rFonts w:ascii="Arial" w:hAnsi="Arial" w:cs="Arial"/>
          <w:sz w:val="18"/>
          <w:szCs w:val="18"/>
        </w:rPr>
      </w:pPr>
      <w:r>
        <w:rPr>
          <w:rFonts w:ascii="Arial" w:hAnsi="Arial" w:cs="Arial"/>
          <w:sz w:val="18"/>
          <w:szCs w:val="18"/>
        </w:rPr>
        <w:t>ET</w:t>
      </w:r>
      <w:r>
        <w:rPr>
          <w:rFonts w:ascii="Arial" w:hAnsi="Arial" w:cs="Arial"/>
          <w:sz w:val="18"/>
          <w:szCs w:val="18"/>
        </w:rPr>
        <w:tab/>
      </w:r>
      <w:r>
        <w:rPr>
          <w:rFonts w:ascii="Arial" w:hAnsi="Arial" w:cs="Arial"/>
          <w:sz w:val="18"/>
          <w:szCs w:val="18"/>
        </w:rPr>
        <w:tab/>
        <w:t>Evaluation Team</w:t>
      </w:r>
    </w:p>
    <w:p w14:paraId="5086FB15" w14:textId="77777777" w:rsidR="00054695" w:rsidRDefault="00054695" w:rsidP="00054695">
      <w:pPr>
        <w:spacing w:after="0" w:line="240" w:lineRule="auto"/>
        <w:jc w:val="both"/>
        <w:rPr>
          <w:rFonts w:ascii="Arial" w:hAnsi="Arial" w:cs="Arial"/>
          <w:sz w:val="18"/>
          <w:szCs w:val="18"/>
        </w:rPr>
      </w:pPr>
      <w:r w:rsidRPr="00F45D84">
        <w:rPr>
          <w:rFonts w:ascii="Arial" w:hAnsi="Arial" w:cs="Arial"/>
          <w:sz w:val="18"/>
          <w:szCs w:val="18"/>
        </w:rPr>
        <w:t>FEACC</w:t>
      </w:r>
      <w:r w:rsidRPr="00971BF9">
        <w:rPr>
          <w:rFonts w:ascii="Arial" w:hAnsi="Arial" w:cs="Arial"/>
          <w:sz w:val="18"/>
          <w:szCs w:val="18"/>
        </w:rPr>
        <w:t xml:space="preserve"> </w:t>
      </w:r>
      <w:r>
        <w:rPr>
          <w:rFonts w:ascii="Arial" w:hAnsi="Arial" w:cs="Arial"/>
          <w:sz w:val="18"/>
          <w:szCs w:val="18"/>
        </w:rPr>
        <w:tab/>
      </w:r>
      <w:r>
        <w:rPr>
          <w:rFonts w:ascii="Arial" w:hAnsi="Arial" w:cs="Arial"/>
          <w:sz w:val="18"/>
          <w:szCs w:val="18"/>
        </w:rPr>
        <w:tab/>
        <w:t>Federal Ethics and Anti-Corruption Commission</w:t>
      </w:r>
      <w:r>
        <w:rPr>
          <w:rFonts w:ascii="Arial" w:hAnsi="Arial" w:cs="Arial"/>
          <w:sz w:val="18"/>
          <w:szCs w:val="18"/>
        </w:rPr>
        <w:tab/>
      </w:r>
    </w:p>
    <w:p w14:paraId="655B361C" w14:textId="77777777" w:rsidR="00054695" w:rsidRDefault="00054695" w:rsidP="00054695">
      <w:pPr>
        <w:spacing w:after="0" w:line="240" w:lineRule="auto"/>
        <w:jc w:val="both"/>
        <w:rPr>
          <w:rFonts w:ascii="Arial" w:hAnsi="Arial" w:cs="Arial"/>
          <w:sz w:val="18"/>
          <w:szCs w:val="18"/>
        </w:rPr>
      </w:pPr>
      <w:r w:rsidRPr="00FF1EB8">
        <w:rPr>
          <w:rFonts w:ascii="Arial" w:hAnsi="Arial" w:cs="Arial"/>
          <w:sz w:val="18"/>
          <w:szCs w:val="18"/>
        </w:rPr>
        <w:t>FGDs</w:t>
      </w:r>
      <w:r w:rsidRPr="00971BF9">
        <w:rPr>
          <w:rFonts w:ascii="Arial" w:hAnsi="Arial" w:cs="Arial"/>
          <w:sz w:val="18"/>
          <w:szCs w:val="18"/>
        </w:rPr>
        <w:t xml:space="preserve"> </w:t>
      </w:r>
      <w:r>
        <w:rPr>
          <w:rFonts w:ascii="Arial" w:hAnsi="Arial" w:cs="Arial"/>
          <w:sz w:val="18"/>
          <w:szCs w:val="18"/>
        </w:rPr>
        <w:tab/>
      </w:r>
      <w:r>
        <w:rPr>
          <w:rFonts w:ascii="Arial" w:hAnsi="Arial" w:cs="Arial"/>
          <w:sz w:val="18"/>
          <w:szCs w:val="18"/>
        </w:rPr>
        <w:tab/>
        <w:t>Focus Group Discussion</w:t>
      </w:r>
    </w:p>
    <w:p w14:paraId="7737B612" w14:textId="77777777" w:rsidR="00054695" w:rsidRPr="0097657F"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GDPP </w:t>
      </w:r>
      <w:r w:rsidRPr="0097657F">
        <w:rPr>
          <w:rFonts w:ascii="Arial" w:hAnsi="Arial" w:cs="Arial"/>
          <w:sz w:val="18"/>
          <w:szCs w:val="18"/>
        </w:rPr>
        <w:tab/>
      </w:r>
      <w:r w:rsidRPr="0097657F">
        <w:rPr>
          <w:rFonts w:ascii="Arial" w:hAnsi="Arial" w:cs="Arial"/>
          <w:sz w:val="18"/>
          <w:szCs w:val="18"/>
        </w:rPr>
        <w:tab/>
        <w:t xml:space="preserve">Governance and Democratic Participation Program </w:t>
      </w:r>
    </w:p>
    <w:p w14:paraId="2F50D1F1" w14:textId="77777777" w:rsidR="00054695" w:rsidRDefault="00054695" w:rsidP="00054695">
      <w:pPr>
        <w:spacing w:after="0" w:line="240" w:lineRule="auto"/>
        <w:jc w:val="both"/>
        <w:rPr>
          <w:rFonts w:ascii="Arial" w:hAnsi="Arial" w:cs="Arial"/>
          <w:sz w:val="18"/>
          <w:szCs w:val="18"/>
        </w:rPr>
      </w:pPr>
      <w:r w:rsidRPr="0097657F">
        <w:rPr>
          <w:rFonts w:ascii="Arial" w:hAnsi="Arial" w:cs="Arial"/>
          <w:sz w:val="18"/>
          <w:szCs w:val="18"/>
        </w:rPr>
        <w:t>GESI</w:t>
      </w:r>
      <w:r w:rsidRPr="0097657F">
        <w:rPr>
          <w:rFonts w:ascii="Arial" w:hAnsi="Arial" w:cs="Arial"/>
          <w:sz w:val="18"/>
          <w:szCs w:val="18"/>
        </w:rPr>
        <w:tab/>
      </w:r>
      <w:r w:rsidRPr="0097657F">
        <w:rPr>
          <w:rFonts w:ascii="Arial" w:hAnsi="Arial" w:cs="Arial"/>
          <w:sz w:val="18"/>
          <w:szCs w:val="18"/>
        </w:rPr>
        <w:tab/>
        <w:t xml:space="preserve">Gender and Social Inclusion </w:t>
      </w:r>
    </w:p>
    <w:p w14:paraId="4A92D8B3" w14:textId="77777777" w:rsidR="00054695" w:rsidRPr="0097657F" w:rsidRDefault="00054695" w:rsidP="00054695">
      <w:pPr>
        <w:spacing w:after="0" w:line="240" w:lineRule="auto"/>
        <w:jc w:val="both"/>
        <w:rPr>
          <w:rFonts w:ascii="Arial" w:hAnsi="Arial" w:cs="Arial"/>
          <w:sz w:val="18"/>
          <w:szCs w:val="18"/>
        </w:rPr>
      </w:pPr>
      <w:r>
        <w:rPr>
          <w:rFonts w:ascii="Arial" w:hAnsi="Arial" w:cs="Arial"/>
          <w:sz w:val="18"/>
          <w:szCs w:val="18"/>
        </w:rPr>
        <w:t>GoE</w:t>
      </w:r>
      <w:r>
        <w:rPr>
          <w:rFonts w:ascii="Arial" w:hAnsi="Arial" w:cs="Arial"/>
          <w:sz w:val="18"/>
          <w:szCs w:val="18"/>
        </w:rPr>
        <w:tab/>
      </w:r>
      <w:r>
        <w:rPr>
          <w:rFonts w:ascii="Arial" w:hAnsi="Arial" w:cs="Arial"/>
          <w:sz w:val="18"/>
          <w:szCs w:val="18"/>
        </w:rPr>
        <w:tab/>
        <w:t>Government of Ethiopia</w:t>
      </w:r>
    </w:p>
    <w:p w14:paraId="3B5F138C" w14:textId="091797ED" w:rsidR="00D3554B" w:rsidRDefault="00D3554B" w:rsidP="00054695">
      <w:pPr>
        <w:spacing w:after="0" w:line="240" w:lineRule="auto"/>
        <w:jc w:val="both"/>
        <w:rPr>
          <w:rFonts w:ascii="Arial" w:hAnsi="Arial" w:cs="Arial"/>
          <w:sz w:val="18"/>
          <w:szCs w:val="18"/>
        </w:rPr>
      </w:pPr>
      <w:r w:rsidRPr="00D3554B">
        <w:rPr>
          <w:rFonts w:ascii="Arial" w:hAnsi="Arial" w:cs="Arial"/>
          <w:sz w:val="18"/>
          <w:szCs w:val="18"/>
        </w:rPr>
        <w:t>HCPWs</w:t>
      </w:r>
      <w:r>
        <w:rPr>
          <w:rFonts w:ascii="Arial" w:hAnsi="Arial" w:cs="Arial"/>
          <w:sz w:val="18"/>
          <w:szCs w:val="18"/>
        </w:rPr>
        <w:t xml:space="preserve">                High Conflict Prone Woredas</w:t>
      </w:r>
    </w:p>
    <w:p w14:paraId="7E90362C" w14:textId="3B2CA913" w:rsidR="00054695" w:rsidRPr="00FF1EB8" w:rsidRDefault="00054695" w:rsidP="00054695">
      <w:pPr>
        <w:spacing w:after="0" w:line="240" w:lineRule="auto"/>
        <w:jc w:val="both"/>
        <w:rPr>
          <w:rFonts w:ascii="Arial" w:hAnsi="Arial" w:cs="Arial"/>
          <w:sz w:val="18"/>
          <w:szCs w:val="18"/>
        </w:rPr>
      </w:pPr>
      <w:r w:rsidRPr="00F45D84">
        <w:rPr>
          <w:rFonts w:ascii="Arial" w:hAnsi="Arial" w:cs="Arial"/>
          <w:sz w:val="18"/>
          <w:szCs w:val="18"/>
        </w:rPr>
        <w:t>HoF</w:t>
      </w:r>
      <w:r>
        <w:rPr>
          <w:rFonts w:ascii="Arial" w:hAnsi="Arial" w:cs="Arial"/>
          <w:sz w:val="18"/>
          <w:szCs w:val="18"/>
        </w:rPr>
        <w:tab/>
      </w:r>
      <w:r>
        <w:rPr>
          <w:rFonts w:ascii="Arial" w:hAnsi="Arial" w:cs="Arial"/>
          <w:sz w:val="18"/>
          <w:szCs w:val="18"/>
        </w:rPr>
        <w:tab/>
        <w:t>House of Federation</w:t>
      </w:r>
    </w:p>
    <w:p w14:paraId="7D7B2C71" w14:textId="77777777" w:rsidR="00054695" w:rsidRPr="0097657F"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HoPR </w:t>
      </w:r>
      <w:r w:rsidRPr="0097657F">
        <w:rPr>
          <w:rFonts w:ascii="Arial" w:hAnsi="Arial" w:cs="Arial"/>
          <w:sz w:val="18"/>
          <w:szCs w:val="18"/>
        </w:rPr>
        <w:tab/>
      </w:r>
      <w:r w:rsidRPr="0097657F">
        <w:rPr>
          <w:rFonts w:ascii="Arial" w:hAnsi="Arial" w:cs="Arial"/>
          <w:sz w:val="18"/>
          <w:szCs w:val="18"/>
        </w:rPr>
        <w:tab/>
        <w:t xml:space="preserve">House of Peoples’ Representative </w:t>
      </w:r>
    </w:p>
    <w:p w14:paraId="7964F1FE" w14:textId="77777777" w:rsidR="00054695" w:rsidRPr="0097657F"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IPs </w:t>
      </w:r>
      <w:r w:rsidRPr="0097657F">
        <w:rPr>
          <w:rFonts w:ascii="Arial" w:hAnsi="Arial" w:cs="Arial"/>
          <w:sz w:val="18"/>
          <w:szCs w:val="18"/>
        </w:rPr>
        <w:tab/>
      </w:r>
      <w:r w:rsidRPr="0097657F">
        <w:rPr>
          <w:rFonts w:ascii="Arial" w:hAnsi="Arial" w:cs="Arial"/>
          <w:sz w:val="18"/>
          <w:szCs w:val="18"/>
        </w:rPr>
        <w:tab/>
        <w:t>Implementing Partners</w:t>
      </w:r>
    </w:p>
    <w:p w14:paraId="30A4A2B9" w14:textId="77777777" w:rsidR="00054695" w:rsidRPr="0097657F" w:rsidRDefault="00054695" w:rsidP="00054695">
      <w:pPr>
        <w:spacing w:after="0" w:line="240" w:lineRule="auto"/>
        <w:jc w:val="both"/>
        <w:rPr>
          <w:rFonts w:ascii="Arial" w:hAnsi="Arial" w:cs="Arial"/>
          <w:sz w:val="18"/>
          <w:szCs w:val="18"/>
        </w:rPr>
      </w:pPr>
      <w:r>
        <w:rPr>
          <w:rFonts w:ascii="Arial" w:hAnsi="Arial" w:cs="Arial"/>
          <w:sz w:val="18"/>
          <w:szCs w:val="18"/>
        </w:rPr>
        <w:t>JC</w:t>
      </w:r>
      <w:r>
        <w:rPr>
          <w:rFonts w:ascii="Arial" w:hAnsi="Arial" w:cs="Arial"/>
          <w:sz w:val="18"/>
          <w:szCs w:val="18"/>
        </w:rPr>
        <w:tab/>
      </w:r>
      <w:r>
        <w:rPr>
          <w:rFonts w:ascii="Arial" w:hAnsi="Arial" w:cs="Arial"/>
          <w:sz w:val="18"/>
          <w:szCs w:val="18"/>
        </w:rPr>
        <w:tab/>
        <w:t>Judgement Criteria</w:t>
      </w:r>
    </w:p>
    <w:p w14:paraId="37035A04" w14:textId="77777777" w:rsidR="00054695" w:rsidRPr="00FF1EB8" w:rsidRDefault="00054695" w:rsidP="00054695">
      <w:pPr>
        <w:spacing w:after="0" w:line="240" w:lineRule="auto"/>
        <w:jc w:val="both"/>
        <w:rPr>
          <w:rFonts w:ascii="Arial" w:hAnsi="Arial" w:cs="Arial"/>
          <w:sz w:val="18"/>
          <w:szCs w:val="18"/>
        </w:rPr>
      </w:pPr>
      <w:r w:rsidRPr="00FF1EB8">
        <w:rPr>
          <w:rFonts w:ascii="Arial" w:hAnsi="Arial" w:cs="Arial"/>
          <w:sz w:val="18"/>
          <w:szCs w:val="18"/>
        </w:rPr>
        <w:t xml:space="preserve">KIIs </w:t>
      </w:r>
      <w:r>
        <w:rPr>
          <w:rFonts w:ascii="Arial" w:hAnsi="Arial" w:cs="Arial"/>
          <w:sz w:val="18"/>
          <w:szCs w:val="18"/>
        </w:rPr>
        <w:tab/>
      </w:r>
      <w:r>
        <w:rPr>
          <w:rFonts w:ascii="Arial" w:hAnsi="Arial" w:cs="Arial"/>
          <w:sz w:val="18"/>
          <w:szCs w:val="18"/>
        </w:rPr>
        <w:tab/>
        <w:t>Key Informant Interviews</w:t>
      </w:r>
    </w:p>
    <w:p w14:paraId="16A117E2" w14:textId="77777777" w:rsidR="00054695" w:rsidRPr="0097657F" w:rsidRDefault="00054695" w:rsidP="00054695">
      <w:pPr>
        <w:spacing w:after="0" w:line="240" w:lineRule="auto"/>
        <w:jc w:val="both"/>
        <w:rPr>
          <w:rFonts w:ascii="Arial" w:hAnsi="Arial" w:cs="Arial"/>
          <w:sz w:val="18"/>
          <w:szCs w:val="18"/>
        </w:rPr>
      </w:pPr>
      <w:r w:rsidRPr="0097657F">
        <w:rPr>
          <w:rFonts w:ascii="Arial" w:hAnsi="Arial" w:cs="Arial"/>
          <w:sz w:val="18"/>
          <w:szCs w:val="18"/>
        </w:rPr>
        <w:t>M&amp;E</w:t>
      </w:r>
      <w:r w:rsidRPr="0097657F">
        <w:rPr>
          <w:rFonts w:ascii="Arial" w:hAnsi="Arial" w:cs="Arial"/>
          <w:sz w:val="18"/>
          <w:szCs w:val="18"/>
        </w:rPr>
        <w:tab/>
      </w:r>
      <w:r w:rsidRPr="0097657F">
        <w:rPr>
          <w:rFonts w:ascii="Arial" w:hAnsi="Arial" w:cs="Arial"/>
          <w:sz w:val="18"/>
          <w:szCs w:val="18"/>
        </w:rPr>
        <w:tab/>
        <w:t xml:space="preserve">Monitoring and Evaluation </w:t>
      </w:r>
    </w:p>
    <w:p w14:paraId="3D1DF711" w14:textId="77777777" w:rsidR="00054695" w:rsidRPr="0097657F"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MoF </w:t>
      </w:r>
      <w:r w:rsidRPr="0097657F">
        <w:rPr>
          <w:rFonts w:ascii="Arial" w:hAnsi="Arial" w:cs="Arial"/>
          <w:sz w:val="18"/>
          <w:szCs w:val="18"/>
        </w:rPr>
        <w:tab/>
      </w:r>
      <w:r w:rsidRPr="0097657F">
        <w:rPr>
          <w:rFonts w:ascii="Arial" w:hAnsi="Arial" w:cs="Arial"/>
          <w:sz w:val="18"/>
          <w:szCs w:val="18"/>
        </w:rPr>
        <w:tab/>
        <w:t>Ministry of Finance</w:t>
      </w:r>
    </w:p>
    <w:p w14:paraId="419C2955" w14:textId="77777777" w:rsidR="00054695" w:rsidRPr="0097657F" w:rsidRDefault="00054695" w:rsidP="00054695">
      <w:pPr>
        <w:spacing w:after="0" w:line="240" w:lineRule="auto"/>
        <w:jc w:val="both"/>
        <w:rPr>
          <w:rFonts w:ascii="Arial" w:hAnsi="Arial" w:cs="Arial"/>
          <w:sz w:val="18"/>
          <w:szCs w:val="18"/>
        </w:rPr>
      </w:pPr>
      <w:r>
        <w:rPr>
          <w:rFonts w:ascii="Arial" w:hAnsi="Arial" w:cs="Arial"/>
          <w:sz w:val="18"/>
          <w:szCs w:val="18"/>
        </w:rPr>
        <w:t>Mo</w:t>
      </w:r>
      <w:r w:rsidRPr="0097657F">
        <w:rPr>
          <w:rFonts w:ascii="Arial" w:hAnsi="Arial" w:cs="Arial"/>
          <w:sz w:val="18"/>
          <w:szCs w:val="18"/>
        </w:rPr>
        <w:t>J</w:t>
      </w:r>
      <w:r w:rsidRPr="0097657F">
        <w:rPr>
          <w:rFonts w:ascii="Arial" w:hAnsi="Arial" w:cs="Arial"/>
          <w:sz w:val="18"/>
          <w:szCs w:val="18"/>
        </w:rPr>
        <w:tab/>
      </w:r>
      <w:r w:rsidRPr="0097657F">
        <w:rPr>
          <w:rFonts w:ascii="Arial" w:hAnsi="Arial" w:cs="Arial"/>
          <w:sz w:val="18"/>
          <w:szCs w:val="18"/>
        </w:rPr>
        <w:tab/>
        <w:t xml:space="preserve">Ministry of Justice </w:t>
      </w:r>
    </w:p>
    <w:p w14:paraId="1EEA79C6" w14:textId="77777777" w:rsidR="00054695" w:rsidRDefault="00054695" w:rsidP="00054695">
      <w:pPr>
        <w:spacing w:after="0" w:line="240" w:lineRule="auto"/>
        <w:jc w:val="both"/>
        <w:rPr>
          <w:rFonts w:ascii="Arial" w:hAnsi="Arial" w:cs="Arial"/>
          <w:sz w:val="18"/>
          <w:szCs w:val="18"/>
        </w:rPr>
      </w:pPr>
      <w:r w:rsidRPr="00BF5959">
        <w:rPr>
          <w:rFonts w:ascii="Arial" w:hAnsi="Arial" w:cs="Arial"/>
          <w:sz w:val="18"/>
          <w:szCs w:val="18"/>
        </w:rPr>
        <w:t>MoP</w:t>
      </w:r>
      <w:r>
        <w:rPr>
          <w:rFonts w:ascii="Arial" w:hAnsi="Arial" w:cs="Arial"/>
          <w:sz w:val="18"/>
          <w:szCs w:val="18"/>
        </w:rPr>
        <w:tab/>
      </w:r>
      <w:r>
        <w:rPr>
          <w:rFonts w:ascii="Arial" w:hAnsi="Arial" w:cs="Arial"/>
          <w:sz w:val="18"/>
          <w:szCs w:val="18"/>
        </w:rPr>
        <w:tab/>
        <w:t>Ministry of Peace</w:t>
      </w:r>
    </w:p>
    <w:p w14:paraId="244E56E1" w14:textId="77777777" w:rsidR="00054695" w:rsidRDefault="00054695" w:rsidP="00054695">
      <w:pPr>
        <w:spacing w:after="0" w:line="240" w:lineRule="auto"/>
        <w:jc w:val="both"/>
        <w:rPr>
          <w:rFonts w:ascii="Arial" w:hAnsi="Arial" w:cs="Arial"/>
          <w:sz w:val="18"/>
          <w:szCs w:val="18"/>
        </w:rPr>
      </w:pPr>
      <w:r>
        <w:rPr>
          <w:rFonts w:ascii="Arial" w:hAnsi="Arial" w:cs="Arial"/>
          <w:sz w:val="18"/>
          <w:szCs w:val="18"/>
        </w:rPr>
        <w:t>MTR</w:t>
      </w:r>
      <w:r>
        <w:rPr>
          <w:rFonts w:ascii="Arial" w:hAnsi="Arial" w:cs="Arial"/>
          <w:sz w:val="18"/>
          <w:szCs w:val="18"/>
        </w:rPr>
        <w:tab/>
      </w:r>
      <w:r>
        <w:rPr>
          <w:rFonts w:ascii="Arial" w:hAnsi="Arial" w:cs="Arial"/>
          <w:sz w:val="18"/>
          <w:szCs w:val="18"/>
        </w:rPr>
        <w:tab/>
        <w:t>Mid-Term Review</w:t>
      </w:r>
    </w:p>
    <w:p w14:paraId="6C67C72F" w14:textId="77777777" w:rsidR="00054695" w:rsidRPr="0097657F"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NEBE </w:t>
      </w:r>
      <w:r w:rsidRPr="0097657F">
        <w:rPr>
          <w:rFonts w:ascii="Arial" w:hAnsi="Arial" w:cs="Arial"/>
          <w:sz w:val="18"/>
          <w:szCs w:val="18"/>
        </w:rPr>
        <w:tab/>
      </w:r>
      <w:r w:rsidRPr="0097657F">
        <w:rPr>
          <w:rFonts w:ascii="Arial" w:hAnsi="Arial" w:cs="Arial"/>
          <w:sz w:val="18"/>
          <w:szCs w:val="18"/>
        </w:rPr>
        <w:tab/>
        <w:t xml:space="preserve">National Electoral Board of Ethiopia </w:t>
      </w:r>
    </w:p>
    <w:p w14:paraId="645140EC" w14:textId="77777777" w:rsidR="00054695" w:rsidRPr="0097657F" w:rsidRDefault="00054695" w:rsidP="00054695">
      <w:pPr>
        <w:spacing w:after="0" w:line="240" w:lineRule="auto"/>
        <w:jc w:val="both"/>
        <w:rPr>
          <w:rFonts w:ascii="Arial" w:hAnsi="Arial" w:cs="Arial"/>
          <w:sz w:val="18"/>
          <w:szCs w:val="18"/>
        </w:rPr>
      </w:pPr>
      <w:r>
        <w:rPr>
          <w:rFonts w:ascii="Arial" w:hAnsi="Arial" w:cs="Arial"/>
          <w:sz w:val="18"/>
          <w:szCs w:val="18"/>
        </w:rPr>
        <w:t xml:space="preserve">NIM </w:t>
      </w:r>
      <w:r>
        <w:rPr>
          <w:rFonts w:ascii="Arial" w:hAnsi="Arial" w:cs="Arial"/>
          <w:sz w:val="18"/>
          <w:szCs w:val="18"/>
        </w:rPr>
        <w:tab/>
      </w:r>
      <w:r>
        <w:rPr>
          <w:rFonts w:ascii="Arial" w:hAnsi="Arial" w:cs="Arial"/>
          <w:sz w:val="18"/>
          <w:szCs w:val="18"/>
        </w:rPr>
        <w:tab/>
        <w:t>National Implementation</w:t>
      </w:r>
    </w:p>
    <w:p w14:paraId="1C34787A" w14:textId="77777777" w:rsidR="00054695" w:rsidRPr="0097657F" w:rsidRDefault="00054695" w:rsidP="00054695">
      <w:pPr>
        <w:spacing w:after="0" w:line="240" w:lineRule="auto"/>
        <w:jc w:val="both"/>
        <w:rPr>
          <w:rFonts w:ascii="Arial" w:hAnsi="Arial" w:cs="Arial"/>
          <w:sz w:val="18"/>
          <w:szCs w:val="18"/>
        </w:rPr>
      </w:pPr>
      <w:r w:rsidRPr="0097657F">
        <w:rPr>
          <w:rFonts w:ascii="Arial" w:hAnsi="Arial" w:cs="Arial"/>
          <w:sz w:val="18"/>
          <w:szCs w:val="18"/>
        </w:rPr>
        <w:t xml:space="preserve">OAG </w:t>
      </w:r>
      <w:r w:rsidRPr="0097657F">
        <w:rPr>
          <w:rFonts w:ascii="Arial" w:hAnsi="Arial" w:cs="Arial"/>
          <w:sz w:val="18"/>
          <w:szCs w:val="18"/>
        </w:rPr>
        <w:tab/>
      </w:r>
      <w:r w:rsidRPr="0097657F">
        <w:rPr>
          <w:rFonts w:ascii="Arial" w:hAnsi="Arial" w:cs="Arial"/>
          <w:sz w:val="18"/>
          <w:szCs w:val="18"/>
        </w:rPr>
        <w:tab/>
        <w:t>Office of the Attorney General</w:t>
      </w:r>
    </w:p>
    <w:p w14:paraId="23FE9286" w14:textId="77777777" w:rsidR="00054695" w:rsidRDefault="00054695" w:rsidP="00054695">
      <w:pPr>
        <w:spacing w:after="0" w:line="240" w:lineRule="auto"/>
        <w:jc w:val="both"/>
        <w:rPr>
          <w:rFonts w:ascii="Arial" w:hAnsi="Arial" w:cs="Arial"/>
          <w:sz w:val="18"/>
          <w:szCs w:val="18"/>
        </w:rPr>
      </w:pPr>
      <w:r w:rsidRPr="00F45D84">
        <w:rPr>
          <w:rFonts w:ascii="Arial" w:hAnsi="Arial" w:cs="Arial"/>
          <w:sz w:val="18"/>
          <w:szCs w:val="18"/>
        </w:rPr>
        <w:t>OFAG</w:t>
      </w:r>
      <w:r>
        <w:rPr>
          <w:rFonts w:ascii="Arial" w:hAnsi="Arial" w:cs="Arial"/>
          <w:sz w:val="18"/>
          <w:szCs w:val="18"/>
        </w:rPr>
        <w:tab/>
      </w:r>
      <w:r>
        <w:rPr>
          <w:rFonts w:ascii="Arial" w:hAnsi="Arial" w:cs="Arial"/>
          <w:sz w:val="18"/>
          <w:szCs w:val="18"/>
        </w:rPr>
        <w:tab/>
        <w:t>Office of Federal Auditor General</w:t>
      </w:r>
    </w:p>
    <w:p w14:paraId="7847ECFA" w14:textId="77777777" w:rsidR="00054695" w:rsidRDefault="00054695" w:rsidP="00054695">
      <w:pPr>
        <w:spacing w:after="0" w:line="240" w:lineRule="auto"/>
        <w:jc w:val="both"/>
        <w:rPr>
          <w:rFonts w:ascii="Arial" w:hAnsi="Arial" w:cs="Arial"/>
          <w:sz w:val="18"/>
          <w:szCs w:val="18"/>
        </w:rPr>
      </w:pPr>
      <w:r>
        <w:rPr>
          <w:rFonts w:ascii="Arial" w:hAnsi="Arial" w:cs="Arial"/>
          <w:sz w:val="18"/>
          <w:szCs w:val="18"/>
        </w:rPr>
        <w:t>PMB</w:t>
      </w:r>
      <w:r>
        <w:rPr>
          <w:rFonts w:ascii="Arial" w:hAnsi="Arial" w:cs="Arial"/>
          <w:sz w:val="18"/>
          <w:szCs w:val="18"/>
        </w:rPr>
        <w:tab/>
      </w:r>
      <w:r>
        <w:rPr>
          <w:rFonts w:ascii="Arial" w:hAnsi="Arial" w:cs="Arial"/>
          <w:sz w:val="18"/>
          <w:szCs w:val="18"/>
        </w:rPr>
        <w:tab/>
        <w:t>Programme Management Board</w:t>
      </w:r>
    </w:p>
    <w:p w14:paraId="7A5B2BE7" w14:textId="77777777" w:rsidR="00054695" w:rsidRDefault="00054695" w:rsidP="00054695">
      <w:pPr>
        <w:spacing w:after="0" w:line="240" w:lineRule="auto"/>
        <w:jc w:val="both"/>
        <w:rPr>
          <w:rFonts w:ascii="Arial" w:hAnsi="Arial" w:cs="Arial"/>
          <w:sz w:val="18"/>
          <w:szCs w:val="18"/>
        </w:rPr>
      </w:pPr>
      <w:r>
        <w:rPr>
          <w:rFonts w:ascii="Arial" w:hAnsi="Arial" w:cs="Arial"/>
          <w:sz w:val="18"/>
          <w:szCs w:val="18"/>
        </w:rPr>
        <w:t>ProDoc</w:t>
      </w:r>
      <w:r>
        <w:rPr>
          <w:rFonts w:ascii="Arial" w:hAnsi="Arial" w:cs="Arial"/>
          <w:sz w:val="18"/>
          <w:szCs w:val="18"/>
        </w:rPr>
        <w:tab/>
      </w:r>
      <w:r>
        <w:rPr>
          <w:rFonts w:ascii="Arial" w:hAnsi="Arial" w:cs="Arial"/>
          <w:sz w:val="18"/>
          <w:szCs w:val="18"/>
        </w:rPr>
        <w:tab/>
        <w:t>Programme Document</w:t>
      </w:r>
    </w:p>
    <w:p w14:paraId="16B02B24" w14:textId="77777777" w:rsidR="00054695" w:rsidRDefault="00054695" w:rsidP="00054695">
      <w:pPr>
        <w:spacing w:after="0" w:line="240" w:lineRule="auto"/>
        <w:jc w:val="both"/>
        <w:rPr>
          <w:rFonts w:ascii="Arial" w:hAnsi="Arial" w:cs="Arial"/>
          <w:sz w:val="18"/>
          <w:szCs w:val="18"/>
        </w:rPr>
      </w:pPr>
      <w:r>
        <w:rPr>
          <w:rFonts w:ascii="Arial" w:hAnsi="Arial" w:cs="Arial"/>
          <w:sz w:val="18"/>
          <w:szCs w:val="18"/>
        </w:rPr>
        <w:t>PTC</w:t>
      </w:r>
      <w:r>
        <w:rPr>
          <w:rFonts w:ascii="Arial" w:hAnsi="Arial" w:cs="Arial"/>
          <w:sz w:val="18"/>
          <w:szCs w:val="18"/>
        </w:rPr>
        <w:tab/>
      </w:r>
      <w:r>
        <w:rPr>
          <w:rFonts w:ascii="Arial" w:hAnsi="Arial" w:cs="Arial"/>
          <w:sz w:val="18"/>
          <w:szCs w:val="18"/>
        </w:rPr>
        <w:tab/>
        <w:t>Programme Technical Committee</w:t>
      </w:r>
    </w:p>
    <w:p w14:paraId="1F08ADD8" w14:textId="363CAAB6" w:rsidR="00D3554B" w:rsidRDefault="00D3554B" w:rsidP="00054695">
      <w:pPr>
        <w:spacing w:after="0" w:line="240" w:lineRule="auto"/>
        <w:jc w:val="both"/>
        <w:rPr>
          <w:rFonts w:ascii="Arial" w:hAnsi="Arial" w:cs="Arial"/>
          <w:sz w:val="18"/>
          <w:szCs w:val="18"/>
        </w:rPr>
      </w:pPr>
      <w:r>
        <w:rPr>
          <w:rFonts w:ascii="Arial" w:hAnsi="Arial" w:cs="Arial"/>
          <w:sz w:val="18"/>
          <w:szCs w:val="18"/>
        </w:rPr>
        <w:t>PWB</w:t>
      </w:r>
      <w:r w:rsidR="004A685C">
        <w:rPr>
          <w:rFonts w:ascii="Arial" w:hAnsi="Arial" w:cs="Arial"/>
          <w:sz w:val="18"/>
          <w:szCs w:val="18"/>
        </w:rPr>
        <w:tab/>
      </w:r>
      <w:r w:rsidR="004A685C">
        <w:rPr>
          <w:rFonts w:ascii="Arial" w:hAnsi="Arial" w:cs="Arial"/>
          <w:sz w:val="18"/>
          <w:szCs w:val="18"/>
        </w:rPr>
        <w:tab/>
        <w:t>Programme of Work and Budget</w:t>
      </w:r>
    </w:p>
    <w:p w14:paraId="7F73BF0B" w14:textId="5B1A67B0" w:rsidR="00054695" w:rsidRPr="0097657F" w:rsidRDefault="00054695" w:rsidP="00054695">
      <w:pPr>
        <w:spacing w:after="0" w:line="240" w:lineRule="auto"/>
        <w:jc w:val="both"/>
        <w:rPr>
          <w:rFonts w:ascii="Arial" w:hAnsi="Arial" w:cs="Arial"/>
          <w:sz w:val="18"/>
          <w:szCs w:val="18"/>
        </w:rPr>
      </w:pPr>
      <w:r w:rsidRPr="0097657F">
        <w:rPr>
          <w:rFonts w:ascii="Arial" w:hAnsi="Arial" w:cs="Arial"/>
          <w:sz w:val="18"/>
          <w:szCs w:val="18"/>
        </w:rPr>
        <w:t>RBM</w:t>
      </w:r>
      <w:r w:rsidRPr="0097657F">
        <w:rPr>
          <w:rFonts w:ascii="Arial" w:hAnsi="Arial" w:cs="Arial"/>
          <w:sz w:val="18"/>
          <w:szCs w:val="18"/>
        </w:rPr>
        <w:tab/>
      </w:r>
      <w:r w:rsidRPr="0097657F">
        <w:rPr>
          <w:rFonts w:ascii="Arial" w:hAnsi="Arial" w:cs="Arial"/>
          <w:sz w:val="18"/>
          <w:szCs w:val="18"/>
        </w:rPr>
        <w:tab/>
        <w:t xml:space="preserve">Result Based Management </w:t>
      </w:r>
    </w:p>
    <w:p w14:paraId="1ED48C63" w14:textId="51BB5DFD" w:rsidR="00D3554B" w:rsidRDefault="00D3554B" w:rsidP="00054695">
      <w:pPr>
        <w:spacing w:after="0" w:line="240" w:lineRule="auto"/>
        <w:jc w:val="both"/>
        <w:rPr>
          <w:rFonts w:ascii="Arial" w:hAnsi="Arial" w:cs="Arial"/>
          <w:sz w:val="18"/>
          <w:szCs w:val="18"/>
        </w:rPr>
      </w:pPr>
      <w:r>
        <w:rPr>
          <w:rFonts w:ascii="Arial" w:hAnsi="Arial" w:cs="Arial"/>
          <w:sz w:val="18"/>
          <w:szCs w:val="18"/>
        </w:rPr>
        <w:t xml:space="preserve">RECs </w:t>
      </w:r>
      <w:r w:rsidR="001359E6">
        <w:rPr>
          <w:rFonts w:ascii="Arial" w:hAnsi="Arial" w:cs="Arial"/>
          <w:sz w:val="18"/>
          <w:szCs w:val="18"/>
        </w:rPr>
        <w:tab/>
      </w:r>
      <w:r w:rsidR="001359E6">
        <w:rPr>
          <w:rFonts w:ascii="Arial" w:hAnsi="Arial" w:cs="Arial"/>
          <w:sz w:val="18"/>
          <w:szCs w:val="18"/>
        </w:rPr>
        <w:tab/>
        <w:t>Regional Councils</w:t>
      </w:r>
    </w:p>
    <w:p w14:paraId="16750754" w14:textId="7506BED9" w:rsidR="00054695" w:rsidRPr="00FF1EB8" w:rsidRDefault="00054695" w:rsidP="00054695">
      <w:pPr>
        <w:spacing w:after="0" w:line="240" w:lineRule="auto"/>
        <w:jc w:val="both"/>
        <w:rPr>
          <w:rFonts w:ascii="Arial" w:hAnsi="Arial" w:cs="Arial"/>
          <w:sz w:val="18"/>
          <w:szCs w:val="18"/>
        </w:rPr>
      </w:pPr>
      <w:r w:rsidRPr="00F45D84">
        <w:rPr>
          <w:rFonts w:ascii="Arial" w:hAnsi="Arial" w:cs="Arial"/>
          <w:sz w:val="18"/>
          <w:szCs w:val="18"/>
        </w:rPr>
        <w:t>SDGs</w:t>
      </w:r>
      <w:r>
        <w:rPr>
          <w:rFonts w:ascii="Arial" w:hAnsi="Arial" w:cs="Arial"/>
          <w:sz w:val="18"/>
          <w:szCs w:val="18"/>
        </w:rPr>
        <w:tab/>
      </w:r>
      <w:r>
        <w:rPr>
          <w:rFonts w:ascii="Arial" w:hAnsi="Arial" w:cs="Arial"/>
          <w:sz w:val="18"/>
          <w:szCs w:val="18"/>
        </w:rPr>
        <w:tab/>
        <w:t>Sustainable Development Goals</w:t>
      </w:r>
    </w:p>
    <w:p w14:paraId="22A6DE96" w14:textId="77777777" w:rsidR="00054695" w:rsidRDefault="00054695" w:rsidP="00054695">
      <w:pPr>
        <w:spacing w:after="0" w:line="240" w:lineRule="auto"/>
        <w:jc w:val="both"/>
        <w:rPr>
          <w:rFonts w:ascii="Arial" w:hAnsi="Arial" w:cs="Arial"/>
          <w:sz w:val="18"/>
          <w:szCs w:val="18"/>
        </w:rPr>
      </w:pPr>
      <w:r>
        <w:rPr>
          <w:rFonts w:ascii="Arial" w:hAnsi="Arial" w:cs="Arial"/>
          <w:sz w:val="18"/>
          <w:szCs w:val="18"/>
        </w:rPr>
        <w:t xml:space="preserve">TE </w:t>
      </w:r>
      <w:r>
        <w:rPr>
          <w:rFonts w:ascii="Arial" w:hAnsi="Arial" w:cs="Arial"/>
          <w:sz w:val="18"/>
          <w:szCs w:val="18"/>
        </w:rPr>
        <w:tab/>
      </w:r>
      <w:r>
        <w:rPr>
          <w:rFonts w:ascii="Arial" w:hAnsi="Arial" w:cs="Arial"/>
          <w:sz w:val="18"/>
          <w:szCs w:val="18"/>
        </w:rPr>
        <w:tab/>
        <w:t>Terminal Evaluation</w:t>
      </w:r>
    </w:p>
    <w:p w14:paraId="76B5D563" w14:textId="77777777" w:rsidR="00054695" w:rsidRDefault="00054695" w:rsidP="00054695">
      <w:pPr>
        <w:spacing w:after="0" w:line="240" w:lineRule="auto"/>
        <w:jc w:val="both"/>
        <w:rPr>
          <w:rFonts w:ascii="Arial" w:hAnsi="Arial" w:cs="Arial"/>
          <w:sz w:val="18"/>
          <w:szCs w:val="18"/>
        </w:rPr>
      </w:pPr>
      <w:r>
        <w:rPr>
          <w:rFonts w:ascii="Arial" w:hAnsi="Arial" w:cs="Arial"/>
          <w:sz w:val="18"/>
          <w:szCs w:val="18"/>
        </w:rPr>
        <w:t>ToC</w:t>
      </w:r>
      <w:r>
        <w:rPr>
          <w:rFonts w:ascii="Arial" w:hAnsi="Arial" w:cs="Arial"/>
          <w:sz w:val="18"/>
          <w:szCs w:val="18"/>
        </w:rPr>
        <w:tab/>
      </w:r>
      <w:r>
        <w:rPr>
          <w:rFonts w:ascii="Arial" w:hAnsi="Arial" w:cs="Arial"/>
          <w:sz w:val="18"/>
          <w:szCs w:val="18"/>
        </w:rPr>
        <w:tab/>
        <w:t>Theory of Change</w:t>
      </w:r>
    </w:p>
    <w:p w14:paraId="38C8404F" w14:textId="77777777" w:rsidR="00054695" w:rsidRDefault="00054695" w:rsidP="00054695">
      <w:pPr>
        <w:spacing w:after="0" w:line="240" w:lineRule="auto"/>
        <w:jc w:val="both"/>
        <w:rPr>
          <w:rFonts w:ascii="Arial" w:hAnsi="Arial" w:cs="Arial"/>
          <w:sz w:val="18"/>
          <w:szCs w:val="18"/>
        </w:rPr>
      </w:pPr>
      <w:r>
        <w:rPr>
          <w:rFonts w:ascii="Arial" w:hAnsi="Arial" w:cs="Arial"/>
          <w:sz w:val="18"/>
          <w:szCs w:val="18"/>
        </w:rPr>
        <w:t>ToR</w:t>
      </w:r>
      <w:r>
        <w:rPr>
          <w:rFonts w:ascii="Arial" w:hAnsi="Arial" w:cs="Arial"/>
          <w:sz w:val="18"/>
          <w:szCs w:val="18"/>
        </w:rPr>
        <w:tab/>
      </w:r>
      <w:r>
        <w:rPr>
          <w:rFonts w:ascii="Arial" w:hAnsi="Arial" w:cs="Arial"/>
          <w:sz w:val="18"/>
          <w:szCs w:val="18"/>
        </w:rPr>
        <w:tab/>
        <w:t>Terms of Reference</w:t>
      </w:r>
    </w:p>
    <w:p w14:paraId="7557EE96" w14:textId="77777777" w:rsidR="00054695" w:rsidRPr="0097657F" w:rsidRDefault="00054695" w:rsidP="00054695">
      <w:pPr>
        <w:spacing w:after="0" w:line="240" w:lineRule="auto"/>
        <w:jc w:val="both"/>
        <w:rPr>
          <w:rFonts w:ascii="Arial" w:hAnsi="Arial" w:cs="Arial"/>
          <w:sz w:val="18"/>
          <w:szCs w:val="18"/>
        </w:rPr>
      </w:pPr>
      <w:r w:rsidRPr="0097657F">
        <w:rPr>
          <w:rFonts w:ascii="Arial" w:hAnsi="Arial" w:cs="Arial"/>
          <w:sz w:val="18"/>
          <w:szCs w:val="18"/>
        </w:rPr>
        <w:t>UN</w:t>
      </w:r>
      <w:r w:rsidRPr="0097657F">
        <w:rPr>
          <w:rFonts w:ascii="Arial" w:hAnsi="Arial" w:cs="Arial"/>
          <w:sz w:val="18"/>
          <w:szCs w:val="18"/>
        </w:rPr>
        <w:tab/>
      </w:r>
      <w:r w:rsidRPr="0097657F">
        <w:rPr>
          <w:rFonts w:ascii="Arial" w:hAnsi="Arial" w:cs="Arial"/>
          <w:sz w:val="18"/>
          <w:szCs w:val="18"/>
        </w:rPr>
        <w:tab/>
        <w:t xml:space="preserve">United Nations </w:t>
      </w:r>
    </w:p>
    <w:p w14:paraId="4968F32B" w14:textId="77777777" w:rsidR="00054695" w:rsidRDefault="00054695" w:rsidP="00054695">
      <w:pPr>
        <w:spacing w:after="0" w:line="240" w:lineRule="auto"/>
        <w:jc w:val="both"/>
        <w:rPr>
          <w:rFonts w:ascii="Arial" w:hAnsi="Arial" w:cs="Arial"/>
          <w:sz w:val="18"/>
          <w:szCs w:val="18"/>
        </w:rPr>
      </w:pPr>
      <w:r w:rsidRPr="00F45D84">
        <w:rPr>
          <w:rFonts w:ascii="Arial" w:hAnsi="Arial" w:cs="Arial"/>
          <w:sz w:val="18"/>
          <w:szCs w:val="18"/>
        </w:rPr>
        <w:t>UNDAF</w:t>
      </w:r>
      <w:r>
        <w:rPr>
          <w:rFonts w:ascii="Arial" w:hAnsi="Arial" w:cs="Arial"/>
          <w:sz w:val="18"/>
          <w:szCs w:val="18"/>
        </w:rPr>
        <w:tab/>
      </w:r>
      <w:r>
        <w:rPr>
          <w:rFonts w:ascii="Arial" w:hAnsi="Arial" w:cs="Arial"/>
          <w:sz w:val="18"/>
          <w:szCs w:val="18"/>
        </w:rPr>
        <w:tab/>
        <w:t>United Nations Development Assistance Framework</w:t>
      </w:r>
    </w:p>
    <w:p w14:paraId="5A458A11" w14:textId="77777777" w:rsidR="00054695" w:rsidRDefault="00054695" w:rsidP="00054695">
      <w:pPr>
        <w:spacing w:after="0" w:line="240" w:lineRule="auto"/>
        <w:jc w:val="both"/>
        <w:rPr>
          <w:rFonts w:ascii="Arial" w:hAnsi="Arial" w:cs="Arial"/>
          <w:sz w:val="18"/>
          <w:szCs w:val="18"/>
        </w:rPr>
      </w:pPr>
      <w:r w:rsidRPr="0097657F">
        <w:rPr>
          <w:rFonts w:ascii="Arial" w:hAnsi="Arial" w:cs="Arial"/>
          <w:sz w:val="18"/>
          <w:szCs w:val="18"/>
        </w:rPr>
        <w:t>UNDP</w:t>
      </w:r>
      <w:r w:rsidRPr="0097657F">
        <w:rPr>
          <w:rFonts w:ascii="Arial" w:hAnsi="Arial" w:cs="Arial"/>
          <w:sz w:val="18"/>
          <w:szCs w:val="18"/>
        </w:rPr>
        <w:tab/>
      </w:r>
      <w:r w:rsidRPr="0097657F">
        <w:rPr>
          <w:rFonts w:ascii="Arial" w:hAnsi="Arial" w:cs="Arial"/>
          <w:sz w:val="18"/>
          <w:szCs w:val="18"/>
        </w:rPr>
        <w:tab/>
        <w:t xml:space="preserve">United Nations Development Program </w:t>
      </w:r>
    </w:p>
    <w:p w14:paraId="27A2F2E9" w14:textId="77777777" w:rsidR="00682933" w:rsidRDefault="00054695" w:rsidP="004C1CB8">
      <w:pPr>
        <w:spacing w:after="0" w:line="240" w:lineRule="auto"/>
        <w:rPr>
          <w:rFonts w:ascii="Arial" w:hAnsi="Arial" w:cs="Arial"/>
          <w:sz w:val="18"/>
          <w:szCs w:val="18"/>
        </w:rPr>
      </w:pPr>
      <w:r>
        <w:rPr>
          <w:rFonts w:ascii="Arial" w:hAnsi="Arial" w:cs="Arial"/>
          <w:sz w:val="18"/>
          <w:szCs w:val="18"/>
        </w:rPr>
        <w:t>UNEG</w:t>
      </w:r>
      <w:r>
        <w:rPr>
          <w:rFonts w:ascii="Arial" w:hAnsi="Arial" w:cs="Arial"/>
          <w:sz w:val="18"/>
          <w:szCs w:val="18"/>
        </w:rPr>
        <w:tab/>
      </w:r>
      <w:r>
        <w:rPr>
          <w:rFonts w:ascii="Arial" w:hAnsi="Arial" w:cs="Arial"/>
          <w:sz w:val="18"/>
          <w:szCs w:val="18"/>
        </w:rPr>
        <w:tab/>
        <w:t>United Nations Evaluation Group</w:t>
      </w:r>
    </w:p>
    <w:p w14:paraId="41BB3075" w14:textId="43AC22B0" w:rsidR="00682933" w:rsidRDefault="00682933" w:rsidP="00682933">
      <w:pPr>
        <w:spacing w:after="0" w:line="240" w:lineRule="auto"/>
        <w:rPr>
          <w:rFonts w:eastAsia="Times New Roman" w:cstheme="minorHAnsi"/>
          <w:lang w:val="en-GB"/>
        </w:rPr>
      </w:pPr>
      <w:r>
        <w:rPr>
          <w:rFonts w:eastAsia="Times New Roman" w:cstheme="minorHAnsi"/>
          <w:lang w:val="en-GB"/>
        </w:rPr>
        <w:t>UPR                     Universal Periodic Review</w:t>
      </w:r>
    </w:p>
    <w:p w14:paraId="38CE9906" w14:textId="6EAEC4A7" w:rsidR="00682933" w:rsidRDefault="00682933" w:rsidP="004C1CB8">
      <w:pPr>
        <w:spacing w:after="0" w:line="240" w:lineRule="auto"/>
        <w:rPr>
          <w:rFonts w:ascii="Arial" w:hAnsi="Arial" w:cs="Arial"/>
          <w:sz w:val="18"/>
          <w:szCs w:val="18"/>
        </w:rPr>
        <w:sectPr w:rsidR="00682933">
          <w:pgSz w:w="12240" w:h="15840"/>
          <w:pgMar w:top="1440" w:right="1440" w:bottom="1440" w:left="1440" w:header="720" w:footer="720" w:gutter="0"/>
          <w:cols w:space="720"/>
          <w:docGrid w:linePitch="360"/>
        </w:sectPr>
      </w:pPr>
      <w:r w:rsidRPr="00B73877">
        <w:rPr>
          <w:rFonts w:eastAsia="Times New Roman" w:cstheme="minorHAnsi"/>
          <w:lang w:val="en-GB"/>
        </w:rPr>
        <w:t>VAWCs</w:t>
      </w:r>
      <w:r>
        <w:rPr>
          <w:rFonts w:eastAsia="Times New Roman" w:cstheme="minorHAnsi"/>
          <w:lang w:val="en-GB"/>
        </w:rPr>
        <w:t xml:space="preserve">                Violence Against Women &amp; Children   </w:t>
      </w:r>
    </w:p>
    <w:p w14:paraId="68D155C4" w14:textId="77777777" w:rsidR="00054695" w:rsidRDefault="00054695" w:rsidP="00054695">
      <w:pPr>
        <w:rPr>
          <w:b/>
          <w:sz w:val="28"/>
          <w:szCs w:val="28"/>
        </w:rPr>
      </w:pPr>
      <w:r w:rsidRPr="007A2CB9">
        <w:rPr>
          <w:b/>
          <w:sz w:val="28"/>
          <w:szCs w:val="28"/>
        </w:rPr>
        <w:lastRenderedPageBreak/>
        <w:t>TABLE OF CONTENTS</w:t>
      </w:r>
    </w:p>
    <w:p w14:paraId="41D43132" w14:textId="77777777" w:rsidR="00054695" w:rsidRDefault="00054695" w:rsidP="00054695">
      <w:pPr>
        <w:rPr>
          <w:b/>
          <w:sz w:val="20"/>
          <w:szCs w:val="20"/>
        </w:rPr>
      </w:pPr>
      <w:r>
        <w:rPr>
          <w:b/>
          <w:sz w:val="20"/>
          <w:szCs w:val="20"/>
        </w:rPr>
        <w:t>Acknowledgements</w:t>
      </w:r>
    </w:p>
    <w:p w14:paraId="047021B6" w14:textId="77777777" w:rsidR="00054695" w:rsidRDefault="00054695" w:rsidP="00054695">
      <w:pPr>
        <w:rPr>
          <w:b/>
          <w:sz w:val="20"/>
          <w:szCs w:val="20"/>
        </w:rPr>
      </w:pPr>
      <w:r>
        <w:rPr>
          <w:b/>
          <w:sz w:val="20"/>
          <w:szCs w:val="20"/>
        </w:rPr>
        <w:t>Abbreviations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5CC9EEB9" w14:textId="2FE308C3" w:rsidR="00054695" w:rsidRPr="009849C2" w:rsidRDefault="00233361" w:rsidP="00054695">
      <w:pPr>
        <w:rPr>
          <w:b/>
          <w:sz w:val="20"/>
          <w:szCs w:val="20"/>
        </w:rPr>
      </w:pPr>
      <w:r>
        <w:rPr>
          <w:b/>
          <w:sz w:val="20"/>
          <w:szCs w:val="20"/>
        </w:rPr>
        <w:t>EXECUTIVE SUMMARY</w:t>
      </w:r>
      <w:r w:rsidR="00054695">
        <w:rPr>
          <w:b/>
          <w:sz w:val="20"/>
          <w:szCs w:val="20"/>
        </w:rPr>
        <w:tab/>
      </w:r>
      <w:r w:rsidR="00054695">
        <w:rPr>
          <w:b/>
          <w:sz w:val="20"/>
          <w:szCs w:val="20"/>
        </w:rPr>
        <w:tab/>
      </w:r>
      <w:r w:rsidR="00054695">
        <w:rPr>
          <w:b/>
          <w:sz w:val="20"/>
          <w:szCs w:val="20"/>
        </w:rPr>
        <w:tab/>
      </w:r>
      <w:r w:rsidR="00054695">
        <w:rPr>
          <w:b/>
          <w:sz w:val="20"/>
          <w:szCs w:val="20"/>
        </w:rPr>
        <w:tab/>
      </w:r>
      <w:r w:rsidR="00054695">
        <w:rPr>
          <w:b/>
          <w:sz w:val="20"/>
          <w:szCs w:val="20"/>
        </w:rPr>
        <w:tab/>
      </w:r>
      <w:r w:rsidR="00054695">
        <w:rPr>
          <w:b/>
          <w:sz w:val="20"/>
          <w:szCs w:val="20"/>
        </w:rPr>
        <w:tab/>
      </w:r>
      <w:r w:rsidR="00054695">
        <w:rPr>
          <w:b/>
          <w:sz w:val="20"/>
          <w:szCs w:val="20"/>
        </w:rPr>
        <w:tab/>
      </w:r>
      <w:r w:rsidR="00054695">
        <w:rPr>
          <w:b/>
          <w:sz w:val="20"/>
          <w:szCs w:val="20"/>
        </w:rPr>
        <w:tab/>
      </w:r>
      <w:r w:rsidR="00054695">
        <w:rPr>
          <w:b/>
          <w:sz w:val="20"/>
          <w:szCs w:val="20"/>
        </w:rPr>
        <w:tab/>
      </w:r>
      <w:r w:rsidR="00054695">
        <w:rPr>
          <w:sz w:val="20"/>
          <w:szCs w:val="20"/>
        </w:rPr>
        <w:t>i</w:t>
      </w:r>
    </w:p>
    <w:p w14:paraId="49D82478" w14:textId="77777777" w:rsidR="00054695" w:rsidRPr="00B058B2" w:rsidRDefault="00054695" w:rsidP="00054695">
      <w:pPr>
        <w:rPr>
          <w:sz w:val="20"/>
          <w:szCs w:val="20"/>
        </w:rPr>
      </w:pPr>
      <w:r w:rsidRPr="00B058B2">
        <w:rPr>
          <w:b/>
          <w:sz w:val="20"/>
          <w:szCs w:val="20"/>
        </w:rPr>
        <w:t>SECTION 1: INTRODUCING THE EVALUATION</w:t>
      </w:r>
      <w:r w:rsidRPr="00B058B2">
        <w:rPr>
          <w:b/>
          <w:sz w:val="20"/>
          <w:szCs w:val="20"/>
        </w:rPr>
        <w:tab/>
      </w:r>
      <w:r w:rsidRPr="00B058B2">
        <w:rPr>
          <w:b/>
          <w:sz w:val="20"/>
          <w:szCs w:val="20"/>
        </w:rPr>
        <w:tab/>
      </w:r>
      <w:r w:rsidRPr="00B058B2">
        <w:rPr>
          <w:b/>
          <w:sz w:val="20"/>
          <w:szCs w:val="20"/>
        </w:rPr>
        <w:tab/>
      </w:r>
      <w:r w:rsidRPr="00B058B2">
        <w:rPr>
          <w:b/>
          <w:sz w:val="20"/>
          <w:szCs w:val="20"/>
        </w:rPr>
        <w:tab/>
      </w:r>
      <w:r w:rsidRPr="00B058B2">
        <w:rPr>
          <w:b/>
          <w:sz w:val="20"/>
          <w:szCs w:val="20"/>
        </w:rPr>
        <w:tab/>
      </w:r>
      <w:r w:rsidRPr="00B058B2">
        <w:rPr>
          <w:b/>
          <w:sz w:val="20"/>
          <w:szCs w:val="20"/>
        </w:rPr>
        <w:tab/>
      </w:r>
      <w:r w:rsidRPr="00B058B2">
        <w:rPr>
          <w:sz w:val="20"/>
          <w:szCs w:val="20"/>
        </w:rPr>
        <w:t>1</w:t>
      </w:r>
    </w:p>
    <w:p w14:paraId="03FBF3B4" w14:textId="77777777" w:rsidR="00054695" w:rsidRPr="00B058B2" w:rsidRDefault="00054695" w:rsidP="00054695">
      <w:pPr>
        <w:spacing w:line="240" w:lineRule="auto"/>
        <w:ind w:firstLine="720"/>
        <w:rPr>
          <w:sz w:val="20"/>
          <w:szCs w:val="20"/>
        </w:rPr>
      </w:pPr>
      <w:r w:rsidRPr="005F6ECF">
        <w:rPr>
          <w:b/>
          <w:sz w:val="20"/>
          <w:szCs w:val="20"/>
        </w:rPr>
        <w:t>1.1 Background</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t>1</w:t>
      </w:r>
    </w:p>
    <w:p w14:paraId="73C0E747" w14:textId="77777777" w:rsidR="00054695" w:rsidRPr="00B058B2" w:rsidRDefault="00054695" w:rsidP="00054695">
      <w:pPr>
        <w:spacing w:line="240" w:lineRule="auto"/>
        <w:ind w:firstLine="720"/>
        <w:rPr>
          <w:sz w:val="20"/>
          <w:szCs w:val="20"/>
        </w:rPr>
      </w:pPr>
      <w:r w:rsidRPr="005F6ECF">
        <w:rPr>
          <w:b/>
          <w:sz w:val="20"/>
          <w:szCs w:val="20"/>
        </w:rPr>
        <w:t xml:space="preserve">1.2 Purpose, </w:t>
      </w:r>
      <w:proofErr w:type="gramStart"/>
      <w:r w:rsidRPr="005F6ECF">
        <w:rPr>
          <w:b/>
          <w:sz w:val="20"/>
          <w:szCs w:val="20"/>
        </w:rPr>
        <w:t>scope</w:t>
      </w:r>
      <w:proofErr w:type="gramEnd"/>
      <w:r w:rsidRPr="005F6ECF">
        <w:rPr>
          <w:b/>
          <w:sz w:val="20"/>
          <w:szCs w:val="20"/>
        </w:rPr>
        <w:t xml:space="preserve"> and objectives</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t>1</w:t>
      </w:r>
    </w:p>
    <w:p w14:paraId="4A75730C" w14:textId="77777777" w:rsidR="00054695" w:rsidRPr="00B058B2" w:rsidRDefault="00054695" w:rsidP="00054695">
      <w:pPr>
        <w:spacing w:line="240" w:lineRule="auto"/>
        <w:ind w:firstLine="720"/>
        <w:rPr>
          <w:sz w:val="20"/>
          <w:szCs w:val="20"/>
        </w:rPr>
      </w:pPr>
      <w:r w:rsidRPr="005F6ECF">
        <w:rPr>
          <w:b/>
          <w:sz w:val="20"/>
          <w:szCs w:val="20"/>
        </w:rPr>
        <w:t>1.3 Evaluation framework and methodology</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t>3</w:t>
      </w:r>
    </w:p>
    <w:p w14:paraId="16CB6EB3" w14:textId="77777777" w:rsidR="00054695" w:rsidRPr="00B058B2" w:rsidRDefault="00054695" w:rsidP="00054695">
      <w:pPr>
        <w:spacing w:line="240" w:lineRule="auto"/>
        <w:ind w:firstLine="720"/>
        <w:rPr>
          <w:sz w:val="20"/>
          <w:szCs w:val="20"/>
        </w:rPr>
      </w:pPr>
      <w:r w:rsidRPr="00B058B2">
        <w:rPr>
          <w:sz w:val="20"/>
          <w:szCs w:val="20"/>
        </w:rPr>
        <w:tab/>
        <w:t>Approach and Method</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t>3</w:t>
      </w:r>
    </w:p>
    <w:p w14:paraId="15628C9E" w14:textId="77777777" w:rsidR="00054695" w:rsidRPr="00B058B2" w:rsidRDefault="00054695" w:rsidP="00054695">
      <w:pPr>
        <w:spacing w:line="240" w:lineRule="auto"/>
        <w:ind w:firstLine="720"/>
        <w:rPr>
          <w:sz w:val="20"/>
          <w:szCs w:val="20"/>
        </w:rPr>
      </w:pPr>
      <w:r w:rsidRPr="00B058B2">
        <w:rPr>
          <w:sz w:val="20"/>
          <w:szCs w:val="20"/>
        </w:rPr>
        <w:tab/>
        <w:t xml:space="preserve">Data mapping, </w:t>
      </w:r>
      <w:proofErr w:type="gramStart"/>
      <w:r w:rsidRPr="00B058B2">
        <w:rPr>
          <w:sz w:val="20"/>
          <w:szCs w:val="20"/>
        </w:rPr>
        <w:t>triangulation</w:t>
      </w:r>
      <w:proofErr w:type="gramEnd"/>
      <w:r w:rsidRPr="00B058B2">
        <w:rPr>
          <w:sz w:val="20"/>
          <w:szCs w:val="20"/>
        </w:rPr>
        <w:t xml:space="preserve"> and analysis</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Pr>
          <w:sz w:val="20"/>
          <w:szCs w:val="20"/>
        </w:rPr>
        <w:t>5</w:t>
      </w:r>
    </w:p>
    <w:p w14:paraId="00B936BC" w14:textId="77777777" w:rsidR="00054695" w:rsidRPr="00B058B2" w:rsidRDefault="00054695" w:rsidP="00054695">
      <w:pPr>
        <w:spacing w:line="240" w:lineRule="auto"/>
        <w:ind w:firstLine="720"/>
        <w:rPr>
          <w:sz w:val="20"/>
          <w:szCs w:val="20"/>
        </w:rPr>
      </w:pPr>
      <w:r w:rsidRPr="005F6ECF">
        <w:rPr>
          <w:b/>
          <w:sz w:val="20"/>
          <w:szCs w:val="20"/>
        </w:rPr>
        <w:t>1.4 Evaluation ethics and data protection</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t>5</w:t>
      </w:r>
    </w:p>
    <w:p w14:paraId="5C7579A6" w14:textId="77777777" w:rsidR="00054695" w:rsidRPr="00B058B2" w:rsidRDefault="00054695" w:rsidP="00054695">
      <w:pPr>
        <w:spacing w:line="240" w:lineRule="auto"/>
        <w:ind w:firstLine="720"/>
        <w:rPr>
          <w:sz w:val="20"/>
          <w:szCs w:val="20"/>
        </w:rPr>
      </w:pPr>
      <w:r w:rsidRPr="00A22B65">
        <w:rPr>
          <w:b/>
          <w:sz w:val="20"/>
          <w:szCs w:val="20"/>
        </w:rPr>
        <w:t>1.5 Limitations of the evaluation</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Pr>
          <w:sz w:val="20"/>
          <w:szCs w:val="20"/>
        </w:rPr>
        <w:t>6</w:t>
      </w:r>
    </w:p>
    <w:p w14:paraId="21C8CDB8" w14:textId="77777777" w:rsidR="00054695" w:rsidRPr="00B058B2" w:rsidRDefault="00054695" w:rsidP="00054695">
      <w:pPr>
        <w:rPr>
          <w:sz w:val="20"/>
          <w:szCs w:val="20"/>
        </w:rPr>
      </w:pPr>
      <w:r w:rsidRPr="00B058B2">
        <w:rPr>
          <w:b/>
          <w:sz w:val="20"/>
          <w:szCs w:val="20"/>
        </w:rPr>
        <w:t>SECTION 2: THE COUNTRY CONTEXT</w:t>
      </w:r>
      <w:r w:rsidRPr="00B058B2">
        <w:rPr>
          <w:b/>
          <w:sz w:val="20"/>
          <w:szCs w:val="20"/>
        </w:rPr>
        <w:tab/>
      </w:r>
      <w:r w:rsidRPr="00B058B2">
        <w:rPr>
          <w:b/>
          <w:sz w:val="20"/>
          <w:szCs w:val="20"/>
        </w:rPr>
        <w:tab/>
      </w:r>
      <w:r w:rsidRPr="00B058B2">
        <w:rPr>
          <w:b/>
          <w:sz w:val="20"/>
          <w:szCs w:val="20"/>
        </w:rPr>
        <w:tab/>
      </w:r>
      <w:r w:rsidRPr="00B058B2">
        <w:rPr>
          <w:b/>
          <w:sz w:val="20"/>
          <w:szCs w:val="20"/>
        </w:rPr>
        <w:tab/>
      </w:r>
      <w:r w:rsidRPr="00B058B2">
        <w:rPr>
          <w:b/>
          <w:sz w:val="20"/>
          <w:szCs w:val="20"/>
        </w:rPr>
        <w:tab/>
      </w:r>
      <w:r w:rsidRPr="00B058B2">
        <w:rPr>
          <w:b/>
          <w:sz w:val="20"/>
          <w:szCs w:val="20"/>
        </w:rPr>
        <w:tab/>
      </w:r>
      <w:r w:rsidRPr="00B058B2">
        <w:rPr>
          <w:b/>
          <w:sz w:val="20"/>
          <w:szCs w:val="20"/>
        </w:rPr>
        <w:tab/>
      </w:r>
      <w:r>
        <w:rPr>
          <w:sz w:val="20"/>
          <w:szCs w:val="20"/>
        </w:rPr>
        <w:t>7</w:t>
      </w:r>
    </w:p>
    <w:p w14:paraId="2F88C6D0" w14:textId="77777777" w:rsidR="00054695" w:rsidRPr="00B058B2" w:rsidRDefault="00054695" w:rsidP="00054695">
      <w:pPr>
        <w:spacing w:line="240" w:lineRule="auto"/>
        <w:rPr>
          <w:sz w:val="20"/>
          <w:szCs w:val="20"/>
        </w:rPr>
      </w:pPr>
      <w:r w:rsidRPr="00B058B2">
        <w:rPr>
          <w:sz w:val="20"/>
          <w:szCs w:val="20"/>
        </w:rPr>
        <w:tab/>
      </w:r>
      <w:r w:rsidRPr="005F6ECF">
        <w:rPr>
          <w:b/>
          <w:sz w:val="20"/>
          <w:szCs w:val="20"/>
        </w:rPr>
        <w:t>2.1 Development context</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Pr>
          <w:sz w:val="20"/>
          <w:szCs w:val="20"/>
        </w:rPr>
        <w:t>7</w:t>
      </w:r>
    </w:p>
    <w:p w14:paraId="2D3FF188" w14:textId="74C05D95" w:rsidR="00054695" w:rsidRDefault="00054695" w:rsidP="00054695">
      <w:pPr>
        <w:spacing w:line="240" w:lineRule="auto"/>
        <w:rPr>
          <w:sz w:val="20"/>
          <w:szCs w:val="20"/>
        </w:rPr>
      </w:pPr>
      <w:r w:rsidRPr="00B058B2">
        <w:rPr>
          <w:sz w:val="20"/>
          <w:szCs w:val="20"/>
        </w:rPr>
        <w:tab/>
      </w:r>
      <w:r w:rsidRPr="005F6ECF">
        <w:rPr>
          <w:b/>
          <w:sz w:val="20"/>
          <w:szCs w:val="20"/>
        </w:rPr>
        <w:t>2.2 Key elements of the GDPP</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Pr>
          <w:sz w:val="20"/>
          <w:szCs w:val="20"/>
        </w:rPr>
        <w:t>9</w:t>
      </w:r>
    </w:p>
    <w:p w14:paraId="12D31685" w14:textId="7AC9264B" w:rsidR="00A22B65" w:rsidRDefault="00A22B65" w:rsidP="00A22B65">
      <w:pPr>
        <w:spacing w:line="240" w:lineRule="auto"/>
        <w:ind w:firstLine="720"/>
        <w:rPr>
          <w:sz w:val="20"/>
          <w:szCs w:val="20"/>
        </w:rPr>
      </w:pPr>
      <w:r w:rsidRPr="00A22B65">
        <w:rPr>
          <w:b/>
          <w:sz w:val="20"/>
          <w:szCs w:val="20"/>
        </w:rPr>
        <w:t>2.3 Alignment of GDPP to National Policies and Strategies</w:t>
      </w:r>
      <w:r>
        <w:rPr>
          <w:sz w:val="20"/>
          <w:szCs w:val="20"/>
        </w:rPr>
        <w:tab/>
      </w:r>
      <w:r>
        <w:rPr>
          <w:sz w:val="20"/>
          <w:szCs w:val="20"/>
        </w:rPr>
        <w:tab/>
      </w:r>
      <w:r>
        <w:rPr>
          <w:sz w:val="20"/>
          <w:szCs w:val="20"/>
        </w:rPr>
        <w:tab/>
      </w:r>
      <w:r>
        <w:rPr>
          <w:sz w:val="20"/>
          <w:szCs w:val="20"/>
        </w:rPr>
        <w:tab/>
        <w:t>12</w:t>
      </w:r>
    </w:p>
    <w:p w14:paraId="11CF023C" w14:textId="66EC95C0" w:rsidR="00A22B65" w:rsidRPr="00A22B65" w:rsidRDefault="00A22B65" w:rsidP="00A22B65">
      <w:pPr>
        <w:spacing w:line="240" w:lineRule="auto"/>
        <w:ind w:firstLine="720"/>
        <w:rPr>
          <w:sz w:val="20"/>
          <w:szCs w:val="20"/>
        </w:rPr>
      </w:pPr>
      <w:r w:rsidRPr="00A22B65">
        <w:rPr>
          <w:b/>
          <w:sz w:val="20"/>
          <w:szCs w:val="20"/>
        </w:rPr>
        <w:t>2.4 Validity of Theory of Change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13</w:t>
      </w:r>
    </w:p>
    <w:p w14:paraId="0921AB54" w14:textId="77777777" w:rsidR="00054695" w:rsidRDefault="00054695" w:rsidP="00054695">
      <w:pPr>
        <w:spacing w:after="0" w:line="240" w:lineRule="auto"/>
        <w:rPr>
          <w:b/>
        </w:rPr>
      </w:pPr>
      <w:r w:rsidRPr="00B058B2">
        <w:rPr>
          <w:b/>
          <w:sz w:val="20"/>
          <w:szCs w:val="20"/>
        </w:rPr>
        <w:t>SECTION 3: FINDINGS of the EVALUATION</w:t>
      </w:r>
      <w:r>
        <w:rPr>
          <w:b/>
          <w:sz w:val="20"/>
          <w:szCs w:val="20"/>
        </w:rPr>
        <w:t xml:space="preserve"> </w:t>
      </w:r>
      <w:r>
        <w:rPr>
          <w:b/>
        </w:rPr>
        <w:t xml:space="preserve">and ASSESSMENT AGAINST EVALUATION </w:t>
      </w:r>
    </w:p>
    <w:p w14:paraId="6BB65C7A" w14:textId="5AF032F3" w:rsidR="00054695" w:rsidRDefault="00054695" w:rsidP="00054695">
      <w:pPr>
        <w:spacing w:line="240" w:lineRule="auto"/>
        <w:ind w:firstLine="720"/>
        <w:rPr>
          <w:sz w:val="20"/>
          <w:szCs w:val="20"/>
        </w:rPr>
      </w:pPr>
      <w:r>
        <w:rPr>
          <w:b/>
        </w:rPr>
        <w:t xml:space="preserve">CRITERIA </w:t>
      </w:r>
      <w:r>
        <w:rPr>
          <w:b/>
        </w:rPr>
        <w:tab/>
      </w:r>
      <w:r>
        <w:rPr>
          <w:b/>
        </w:rPr>
        <w:tab/>
      </w:r>
      <w:r>
        <w:rPr>
          <w:b/>
        </w:rPr>
        <w:tab/>
      </w:r>
      <w:r>
        <w:rPr>
          <w:b/>
        </w:rPr>
        <w:tab/>
      </w:r>
      <w:r>
        <w:rPr>
          <w:b/>
        </w:rPr>
        <w:tab/>
      </w:r>
      <w:r>
        <w:rPr>
          <w:b/>
        </w:rPr>
        <w:tab/>
      </w:r>
      <w:r>
        <w:rPr>
          <w:b/>
        </w:rPr>
        <w:tab/>
      </w:r>
      <w:r>
        <w:rPr>
          <w:b/>
        </w:rPr>
        <w:tab/>
      </w:r>
      <w:r>
        <w:rPr>
          <w:b/>
        </w:rPr>
        <w:tab/>
      </w:r>
      <w:r w:rsidRPr="00B058B2">
        <w:rPr>
          <w:sz w:val="20"/>
          <w:szCs w:val="20"/>
        </w:rPr>
        <w:t>1</w:t>
      </w:r>
      <w:r w:rsidR="00A22B65">
        <w:rPr>
          <w:sz w:val="20"/>
          <w:szCs w:val="20"/>
        </w:rPr>
        <w:t>5</w:t>
      </w:r>
    </w:p>
    <w:p w14:paraId="4E069F8B" w14:textId="5FFB0E07" w:rsidR="00054695" w:rsidRDefault="00054695" w:rsidP="00054695">
      <w:pPr>
        <w:spacing w:line="240" w:lineRule="auto"/>
        <w:ind w:firstLine="720"/>
        <w:rPr>
          <w:sz w:val="20"/>
          <w:szCs w:val="20"/>
        </w:rPr>
      </w:pPr>
      <w:r w:rsidRPr="008125C0">
        <w:rPr>
          <w:b/>
          <w:sz w:val="20"/>
          <w:szCs w:val="20"/>
        </w:rPr>
        <w:t>3.1 Overview</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8125C0">
        <w:rPr>
          <w:sz w:val="20"/>
          <w:szCs w:val="20"/>
        </w:rPr>
        <w:t>1</w:t>
      </w:r>
      <w:r w:rsidR="00A22B65">
        <w:rPr>
          <w:sz w:val="20"/>
          <w:szCs w:val="20"/>
        </w:rPr>
        <w:t>5</w:t>
      </w:r>
    </w:p>
    <w:p w14:paraId="6F236EA3" w14:textId="77777777" w:rsidR="00054695" w:rsidRPr="008125C0" w:rsidRDefault="00054695" w:rsidP="00054695">
      <w:pPr>
        <w:rPr>
          <w:b/>
          <w:sz w:val="20"/>
          <w:szCs w:val="20"/>
        </w:rPr>
      </w:pPr>
      <w:r w:rsidRPr="00B058B2">
        <w:rPr>
          <w:sz w:val="20"/>
          <w:szCs w:val="20"/>
        </w:rPr>
        <w:tab/>
      </w:r>
      <w:r w:rsidRPr="008125C0">
        <w:rPr>
          <w:b/>
          <w:sz w:val="20"/>
          <w:szCs w:val="20"/>
        </w:rPr>
        <w:t>Key findings by Evaluation Criteria:</w:t>
      </w:r>
    </w:p>
    <w:p w14:paraId="3D584692" w14:textId="2E035A96" w:rsidR="00054695" w:rsidRDefault="00054695" w:rsidP="00054695">
      <w:pPr>
        <w:ind w:left="720" w:firstLine="720"/>
        <w:rPr>
          <w:sz w:val="20"/>
          <w:szCs w:val="20"/>
        </w:rPr>
      </w:pPr>
      <w:r w:rsidRPr="009A0EFC">
        <w:rPr>
          <w:b/>
          <w:sz w:val="20"/>
          <w:szCs w:val="20"/>
        </w:rPr>
        <w:t>3.1.1 Relevance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w:t>
      </w:r>
      <w:r w:rsidR="00A22B65">
        <w:rPr>
          <w:sz w:val="20"/>
          <w:szCs w:val="20"/>
        </w:rPr>
        <w:t>6</w:t>
      </w:r>
    </w:p>
    <w:p w14:paraId="7E98237B" w14:textId="77777777" w:rsidR="00054695" w:rsidRPr="00B058B2" w:rsidRDefault="00054695" w:rsidP="00054695">
      <w:pPr>
        <w:spacing w:line="240" w:lineRule="auto"/>
        <w:rPr>
          <w:sz w:val="20"/>
          <w:szCs w:val="20"/>
        </w:rPr>
      </w:pPr>
      <w:r w:rsidRPr="00B058B2">
        <w:rPr>
          <w:sz w:val="20"/>
          <w:szCs w:val="20"/>
        </w:rPr>
        <w:tab/>
      </w:r>
      <w:r w:rsidRPr="00B058B2">
        <w:rPr>
          <w:sz w:val="20"/>
          <w:szCs w:val="20"/>
        </w:rPr>
        <w:tab/>
      </w:r>
      <w:r w:rsidRPr="009A0EFC">
        <w:rPr>
          <w:b/>
          <w:sz w:val="20"/>
          <w:szCs w:val="20"/>
        </w:rPr>
        <w:t>3.1.2 Effectiveness</w:t>
      </w:r>
      <w:r w:rsidRPr="00B058B2">
        <w:rPr>
          <w:sz w:val="20"/>
          <w:szCs w:val="20"/>
        </w:rPr>
        <w:tab/>
      </w:r>
      <w:r w:rsidRPr="00B058B2">
        <w:rPr>
          <w:sz w:val="20"/>
          <w:szCs w:val="20"/>
        </w:rPr>
        <w:tab/>
      </w:r>
      <w:r>
        <w:rPr>
          <w:sz w:val="20"/>
          <w:szCs w:val="20"/>
        </w:rPr>
        <w:tab/>
      </w:r>
      <w:r>
        <w:rPr>
          <w:sz w:val="20"/>
          <w:szCs w:val="20"/>
        </w:rPr>
        <w:tab/>
      </w:r>
      <w:r w:rsidRPr="00B058B2">
        <w:rPr>
          <w:sz w:val="20"/>
          <w:szCs w:val="20"/>
        </w:rPr>
        <w:tab/>
      </w:r>
      <w:r w:rsidRPr="00B058B2">
        <w:rPr>
          <w:sz w:val="20"/>
          <w:szCs w:val="20"/>
        </w:rPr>
        <w:tab/>
      </w:r>
      <w:r w:rsidRPr="00B058B2">
        <w:rPr>
          <w:sz w:val="20"/>
          <w:szCs w:val="20"/>
        </w:rPr>
        <w:tab/>
        <w:t>1</w:t>
      </w:r>
      <w:r>
        <w:rPr>
          <w:sz w:val="20"/>
          <w:szCs w:val="20"/>
        </w:rPr>
        <w:t>9</w:t>
      </w:r>
    </w:p>
    <w:p w14:paraId="2D961AB9" w14:textId="77777777" w:rsidR="00054695" w:rsidRPr="00B058B2" w:rsidRDefault="00054695" w:rsidP="00054695">
      <w:pPr>
        <w:spacing w:line="240" w:lineRule="auto"/>
        <w:rPr>
          <w:sz w:val="20"/>
          <w:szCs w:val="20"/>
        </w:rPr>
      </w:pPr>
      <w:r w:rsidRPr="00B058B2">
        <w:rPr>
          <w:sz w:val="20"/>
          <w:szCs w:val="20"/>
        </w:rPr>
        <w:tab/>
      </w:r>
      <w:r w:rsidRPr="00B058B2">
        <w:rPr>
          <w:sz w:val="20"/>
          <w:szCs w:val="20"/>
        </w:rPr>
        <w:tab/>
      </w:r>
      <w:r w:rsidRPr="009A0EFC">
        <w:rPr>
          <w:b/>
          <w:sz w:val="20"/>
          <w:szCs w:val="20"/>
        </w:rPr>
        <w:t>3.1.3 Efficiency</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Pr>
          <w:sz w:val="20"/>
          <w:szCs w:val="20"/>
        </w:rPr>
        <w:tab/>
      </w:r>
      <w:r>
        <w:rPr>
          <w:sz w:val="20"/>
          <w:szCs w:val="20"/>
        </w:rPr>
        <w:tab/>
        <w:t>2</w:t>
      </w:r>
      <w:r w:rsidRPr="00B058B2">
        <w:rPr>
          <w:sz w:val="20"/>
          <w:szCs w:val="20"/>
        </w:rPr>
        <w:t>2</w:t>
      </w:r>
    </w:p>
    <w:p w14:paraId="728BFA8E" w14:textId="38504B29" w:rsidR="00054695" w:rsidRPr="00B058B2" w:rsidRDefault="00054695" w:rsidP="00054695">
      <w:pPr>
        <w:spacing w:line="240" w:lineRule="auto"/>
        <w:rPr>
          <w:sz w:val="20"/>
          <w:szCs w:val="20"/>
        </w:rPr>
      </w:pPr>
      <w:r w:rsidRPr="00B058B2">
        <w:rPr>
          <w:sz w:val="20"/>
          <w:szCs w:val="20"/>
        </w:rPr>
        <w:tab/>
      </w:r>
      <w:r w:rsidRPr="00B058B2">
        <w:rPr>
          <w:sz w:val="20"/>
          <w:szCs w:val="20"/>
        </w:rPr>
        <w:tab/>
      </w:r>
      <w:r w:rsidRPr="009A0EFC">
        <w:rPr>
          <w:b/>
          <w:sz w:val="20"/>
          <w:szCs w:val="20"/>
        </w:rPr>
        <w:t>3.1.4 Impact</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Pr>
          <w:sz w:val="20"/>
          <w:szCs w:val="20"/>
        </w:rPr>
        <w:tab/>
      </w:r>
      <w:r>
        <w:rPr>
          <w:sz w:val="20"/>
          <w:szCs w:val="20"/>
        </w:rPr>
        <w:tab/>
        <w:t>2</w:t>
      </w:r>
      <w:r w:rsidR="00A22B65">
        <w:rPr>
          <w:sz w:val="20"/>
          <w:szCs w:val="20"/>
        </w:rPr>
        <w:t>4</w:t>
      </w:r>
    </w:p>
    <w:p w14:paraId="7F180122" w14:textId="77777777" w:rsidR="00054695" w:rsidRPr="00B058B2" w:rsidRDefault="00054695" w:rsidP="00054695">
      <w:pPr>
        <w:spacing w:line="240" w:lineRule="auto"/>
        <w:rPr>
          <w:sz w:val="20"/>
          <w:szCs w:val="20"/>
        </w:rPr>
      </w:pPr>
      <w:r w:rsidRPr="00B058B2">
        <w:rPr>
          <w:sz w:val="20"/>
          <w:szCs w:val="20"/>
        </w:rPr>
        <w:tab/>
      </w:r>
      <w:r w:rsidRPr="00B058B2">
        <w:rPr>
          <w:sz w:val="20"/>
          <w:szCs w:val="20"/>
        </w:rPr>
        <w:tab/>
      </w:r>
      <w:r w:rsidRPr="009A0EFC">
        <w:rPr>
          <w:b/>
          <w:sz w:val="20"/>
          <w:szCs w:val="20"/>
        </w:rPr>
        <w:t>3.1.5 Sustainability</w:t>
      </w:r>
      <w:r w:rsidRPr="00B058B2">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28</w:t>
      </w:r>
      <w:r>
        <w:rPr>
          <w:sz w:val="20"/>
          <w:szCs w:val="20"/>
        </w:rPr>
        <w:tab/>
      </w:r>
      <w:r>
        <w:rPr>
          <w:sz w:val="20"/>
          <w:szCs w:val="20"/>
        </w:rPr>
        <w:tab/>
      </w:r>
    </w:p>
    <w:p w14:paraId="56F076C0" w14:textId="4C966949" w:rsidR="00054695" w:rsidRDefault="00054695" w:rsidP="00054695">
      <w:pPr>
        <w:spacing w:line="240" w:lineRule="auto"/>
        <w:rPr>
          <w:sz w:val="20"/>
          <w:szCs w:val="20"/>
        </w:rPr>
      </w:pPr>
      <w:r w:rsidRPr="00B058B2">
        <w:rPr>
          <w:sz w:val="20"/>
          <w:szCs w:val="20"/>
        </w:rPr>
        <w:tab/>
      </w:r>
      <w:r w:rsidRPr="00B058B2">
        <w:rPr>
          <w:sz w:val="20"/>
          <w:szCs w:val="20"/>
        </w:rPr>
        <w:tab/>
      </w:r>
      <w:r w:rsidRPr="009A0EFC">
        <w:rPr>
          <w:b/>
          <w:sz w:val="20"/>
          <w:szCs w:val="20"/>
        </w:rPr>
        <w:t>3.1.6 Cross-cutting issues</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Pr>
          <w:sz w:val="20"/>
          <w:szCs w:val="20"/>
        </w:rPr>
        <w:tab/>
      </w:r>
      <w:r>
        <w:rPr>
          <w:sz w:val="20"/>
          <w:szCs w:val="20"/>
        </w:rPr>
        <w:tab/>
        <w:t>29</w:t>
      </w:r>
    </w:p>
    <w:p w14:paraId="4151E864" w14:textId="1C2AC3DA" w:rsidR="00A22B65" w:rsidRDefault="00A22B65" w:rsidP="00054695">
      <w:pPr>
        <w:spacing w:line="240" w:lineRule="auto"/>
        <w:rPr>
          <w:sz w:val="20"/>
          <w:szCs w:val="20"/>
        </w:rPr>
      </w:pPr>
      <w:r>
        <w:rPr>
          <w:sz w:val="20"/>
          <w:szCs w:val="20"/>
        </w:rPr>
        <w:tab/>
      </w:r>
      <w:r>
        <w:rPr>
          <w:sz w:val="20"/>
          <w:szCs w:val="20"/>
        </w:rPr>
        <w:tab/>
      </w:r>
      <w:r>
        <w:rPr>
          <w:sz w:val="20"/>
          <w:szCs w:val="20"/>
        </w:rPr>
        <w:tab/>
      </w:r>
      <w:r w:rsidRPr="00A22B65">
        <w:rPr>
          <w:i/>
          <w:sz w:val="20"/>
          <w:szCs w:val="20"/>
        </w:rPr>
        <w:t>Gender</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29</w:t>
      </w:r>
    </w:p>
    <w:p w14:paraId="2FA840B0" w14:textId="5F2462C5" w:rsidR="00A22B65" w:rsidRPr="00A22B65" w:rsidRDefault="00A22B65" w:rsidP="00054695">
      <w:pPr>
        <w:spacing w:line="240" w:lineRule="auto"/>
        <w:rPr>
          <w:sz w:val="20"/>
          <w:szCs w:val="20"/>
        </w:rPr>
      </w:pPr>
      <w:r>
        <w:rPr>
          <w:sz w:val="20"/>
          <w:szCs w:val="20"/>
        </w:rPr>
        <w:tab/>
      </w:r>
      <w:r>
        <w:rPr>
          <w:sz w:val="20"/>
          <w:szCs w:val="20"/>
        </w:rPr>
        <w:tab/>
      </w:r>
      <w:r>
        <w:rPr>
          <w:sz w:val="20"/>
          <w:szCs w:val="20"/>
        </w:rPr>
        <w:tab/>
      </w:r>
      <w:r w:rsidRPr="00A22B65">
        <w:rPr>
          <w:i/>
          <w:sz w:val="20"/>
          <w:szCs w:val="20"/>
        </w:rPr>
        <w:t>Human Rights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A5B91">
        <w:rPr>
          <w:sz w:val="20"/>
          <w:szCs w:val="20"/>
        </w:rPr>
        <w:t>31</w:t>
      </w:r>
    </w:p>
    <w:p w14:paraId="62089843" w14:textId="653B2D36" w:rsidR="00054695" w:rsidRPr="00B058B2" w:rsidRDefault="00054695" w:rsidP="00054695">
      <w:pPr>
        <w:rPr>
          <w:sz w:val="20"/>
          <w:szCs w:val="20"/>
        </w:rPr>
      </w:pPr>
      <w:r w:rsidRPr="00B058B2">
        <w:rPr>
          <w:b/>
          <w:sz w:val="20"/>
          <w:szCs w:val="20"/>
        </w:rPr>
        <w:t xml:space="preserve">SECTION 4: </w:t>
      </w:r>
      <w:r>
        <w:rPr>
          <w:b/>
          <w:sz w:val="20"/>
          <w:szCs w:val="20"/>
        </w:rPr>
        <w:t>CONCLUSIONS</w:t>
      </w:r>
      <w:r w:rsidRPr="00B058B2">
        <w:rPr>
          <w:b/>
          <w:sz w:val="20"/>
          <w:szCs w:val="20"/>
        </w:rPr>
        <w:tab/>
      </w:r>
      <w:r w:rsidRPr="00B058B2">
        <w:rPr>
          <w:b/>
          <w:sz w:val="20"/>
          <w:szCs w:val="20"/>
        </w:rPr>
        <w:tab/>
      </w:r>
      <w:r w:rsidRPr="00B058B2">
        <w:rPr>
          <w:b/>
          <w:sz w:val="20"/>
          <w:szCs w:val="20"/>
        </w:rPr>
        <w:tab/>
      </w:r>
      <w:r w:rsidRPr="00B058B2">
        <w:rPr>
          <w:b/>
          <w:sz w:val="20"/>
          <w:szCs w:val="20"/>
        </w:rPr>
        <w:tab/>
      </w:r>
      <w:r w:rsidRPr="00B058B2">
        <w:rPr>
          <w:b/>
          <w:sz w:val="20"/>
          <w:szCs w:val="20"/>
        </w:rPr>
        <w:tab/>
      </w:r>
      <w:r>
        <w:rPr>
          <w:b/>
          <w:sz w:val="20"/>
          <w:szCs w:val="20"/>
        </w:rPr>
        <w:tab/>
      </w:r>
      <w:r>
        <w:rPr>
          <w:b/>
          <w:sz w:val="20"/>
          <w:szCs w:val="20"/>
        </w:rPr>
        <w:tab/>
      </w:r>
      <w:r>
        <w:rPr>
          <w:b/>
          <w:sz w:val="20"/>
          <w:szCs w:val="20"/>
        </w:rPr>
        <w:tab/>
      </w:r>
      <w:r>
        <w:rPr>
          <w:sz w:val="20"/>
          <w:szCs w:val="20"/>
        </w:rPr>
        <w:t>3</w:t>
      </w:r>
      <w:r w:rsidR="00425DFB">
        <w:rPr>
          <w:sz w:val="20"/>
          <w:szCs w:val="20"/>
        </w:rPr>
        <w:t>2</w:t>
      </w:r>
    </w:p>
    <w:p w14:paraId="0F9B2472" w14:textId="77777777" w:rsidR="00A22B65" w:rsidRDefault="00A22B65" w:rsidP="00054695">
      <w:pPr>
        <w:rPr>
          <w:b/>
          <w:sz w:val="20"/>
          <w:szCs w:val="20"/>
        </w:rPr>
      </w:pPr>
    </w:p>
    <w:p w14:paraId="754EA7E4" w14:textId="77777777" w:rsidR="00A22B65" w:rsidRDefault="00A22B65" w:rsidP="00054695">
      <w:pPr>
        <w:rPr>
          <w:b/>
          <w:sz w:val="20"/>
          <w:szCs w:val="20"/>
        </w:rPr>
      </w:pPr>
    </w:p>
    <w:p w14:paraId="7EC62D7C" w14:textId="2FEAA482" w:rsidR="00054695" w:rsidRDefault="00054695" w:rsidP="00054695">
      <w:pPr>
        <w:rPr>
          <w:sz w:val="20"/>
          <w:szCs w:val="20"/>
        </w:rPr>
      </w:pPr>
      <w:r w:rsidRPr="00B058B2">
        <w:rPr>
          <w:b/>
          <w:sz w:val="20"/>
          <w:szCs w:val="20"/>
        </w:rPr>
        <w:lastRenderedPageBreak/>
        <w:t>SECTION 5: RECOMMENDATIONS</w:t>
      </w:r>
      <w:r>
        <w:rPr>
          <w:b/>
          <w:sz w:val="20"/>
          <w:szCs w:val="20"/>
        </w:rPr>
        <w:t xml:space="preserve"> for a new Iteration of the GDPP</w:t>
      </w:r>
      <w:r w:rsidRPr="00B058B2">
        <w:rPr>
          <w:b/>
          <w:sz w:val="20"/>
          <w:szCs w:val="20"/>
        </w:rPr>
        <w:tab/>
      </w:r>
      <w:r w:rsidRPr="00B058B2">
        <w:rPr>
          <w:b/>
          <w:sz w:val="20"/>
          <w:szCs w:val="20"/>
        </w:rPr>
        <w:tab/>
      </w:r>
      <w:r w:rsidRPr="00B058B2">
        <w:rPr>
          <w:b/>
          <w:sz w:val="20"/>
          <w:szCs w:val="20"/>
        </w:rPr>
        <w:tab/>
      </w:r>
      <w:r w:rsidRPr="00B058B2">
        <w:rPr>
          <w:b/>
          <w:sz w:val="20"/>
          <w:szCs w:val="20"/>
        </w:rPr>
        <w:tab/>
      </w:r>
      <w:r>
        <w:rPr>
          <w:sz w:val="20"/>
          <w:szCs w:val="20"/>
        </w:rPr>
        <w:t>3</w:t>
      </w:r>
      <w:r w:rsidR="000A5B91">
        <w:rPr>
          <w:sz w:val="20"/>
          <w:szCs w:val="20"/>
        </w:rPr>
        <w:t>5</w:t>
      </w:r>
      <w:r w:rsidRPr="00B058B2">
        <w:rPr>
          <w:sz w:val="20"/>
          <w:szCs w:val="20"/>
        </w:rPr>
        <w:tab/>
      </w:r>
      <w:r w:rsidRPr="00B058B2">
        <w:rPr>
          <w:sz w:val="20"/>
          <w:szCs w:val="20"/>
        </w:rPr>
        <w:tab/>
      </w:r>
    </w:p>
    <w:p w14:paraId="69C39E26" w14:textId="63F926E8" w:rsidR="00A22B65" w:rsidRDefault="00054695" w:rsidP="00A22B65">
      <w:pPr>
        <w:ind w:firstLine="720"/>
        <w:rPr>
          <w:sz w:val="20"/>
          <w:szCs w:val="20"/>
        </w:rPr>
      </w:pPr>
      <w:r w:rsidRPr="00B058B2">
        <w:rPr>
          <w:sz w:val="20"/>
          <w:szCs w:val="20"/>
        </w:rPr>
        <w:t>5.1</w:t>
      </w:r>
      <w:r w:rsidR="00A606FF">
        <w:rPr>
          <w:sz w:val="20"/>
          <w:szCs w:val="20"/>
        </w:rPr>
        <w:t>.1</w:t>
      </w:r>
      <w:r w:rsidRPr="00B058B2">
        <w:rPr>
          <w:sz w:val="20"/>
          <w:szCs w:val="20"/>
        </w:rPr>
        <w:t xml:space="preserve"> </w:t>
      </w:r>
      <w:r w:rsidRPr="00B058B2">
        <w:rPr>
          <w:sz w:val="20"/>
          <w:szCs w:val="20"/>
        </w:rPr>
        <w:tab/>
        <w:t>Broad Programmatic Level Recommendations</w:t>
      </w:r>
      <w:r w:rsidRPr="00B058B2">
        <w:rPr>
          <w:sz w:val="20"/>
          <w:szCs w:val="20"/>
        </w:rPr>
        <w:tab/>
      </w:r>
      <w:r w:rsidRPr="00B058B2">
        <w:rPr>
          <w:sz w:val="20"/>
          <w:szCs w:val="20"/>
        </w:rPr>
        <w:tab/>
      </w:r>
      <w:r w:rsidRPr="00B058B2">
        <w:rPr>
          <w:sz w:val="20"/>
          <w:szCs w:val="20"/>
        </w:rPr>
        <w:tab/>
      </w:r>
      <w:r>
        <w:rPr>
          <w:sz w:val="20"/>
          <w:szCs w:val="20"/>
        </w:rPr>
        <w:tab/>
        <w:t>3</w:t>
      </w:r>
      <w:r w:rsidR="000A5B91">
        <w:rPr>
          <w:sz w:val="20"/>
          <w:szCs w:val="20"/>
        </w:rPr>
        <w:t>5</w:t>
      </w:r>
      <w:r>
        <w:rPr>
          <w:sz w:val="20"/>
          <w:szCs w:val="20"/>
        </w:rPr>
        <w:tab/>
      </w:r>
    </w:p>
    <w:p w14:paraId="100A2FD0" w14:textId="44DCD65B" w:rsidR="00054695" w:rsidRPr="00B058B2" w:rsidRDefault="00054695" w:rsidP="00A22B65">
      <w:pPr>
        <w:ind w:firstLine="720"/>
        <w:rPr>
          <w:sz w:val="20"/>
          <w:szCs w:val="20"/>
        </w:rPr>
      </w:pPr>
      <w:r w:rsidRPr="00B058B2">
        <w:rPr>
          <w:sz w:val="20"/>
          <w:szCs w:val="20"/>
        </w:rPr>
        <w:t>5.</w:t>
      </w:r>
      <w:r w:rsidR="00A606FF">
        <w:rPr>
          <w:sz w:val="20"/>
          <w:szCs w:val="20"/>
        </w:rPr>
        <w:t>1.</w:t>
      </w:r>
      <w:r w:rsidRPr="00B058B2">
        <w:rPr>
          <w:sz w:val="20"/>
          <w:szCs w:val="20"/>
        </w:rPr>
        <w:t>2</w:t>
      </w:r>
      <w:r w:rsidRPr="00B058B2">
        <w:rPr>
          <w:sz w:val="20"/>
          <w:szCs w:val="20"/>
        </w:rPr>
        <w:tab/>
        <w:t>Governance and Capacity Building</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Pr>
          <w:sz w:val="20"/>
          <w:szCs w:val="20"/>
        </w:rPr>
        <w:tab/>
        <w:t>3</w:t>
      </w:r>
      <w:r w:rsidR="000A5B91">
        <w:rPr>
          <w:sz w:val="20"/>
          <w:szCs w:val="20"/>
        </w:rPr>
        <w:t>6</w:t>
      </w:r>
    </w:p>
    <w:p w14:paraId="71D8F735" w14:textId="4B4580CD" w:rsidR="00054695" w:rsidRPr="00B058B2" w:rsidRDefault="00054695" w:rsidP="00054695">
      <w:pPr>
        <w:rPr>
          <w:sz w:val="20"/>
          <w:szCs w:val="20"/>
        </w:rPr>
      </w:pPr>
      <w:r>
        <w:rPr>
          <w:sz w:val="20"/>
          <w:szCs w:val="20"/>
        </w:rPr>
        <w:tab/>
      </w:r>
      <w:r w:rsidRPr="00B058B2">
        <w:rPr>
          <w:sz w:val="20"/>
          <w:szCs w:val="20"/>
        </w:rPr>
        <w:t>5.</w:t>
      </w:r>
      <w:r w:rsidR="00A606FF">
        <w:rPr>
          <w:sz w:val="20"/>
          <w:szCs w:val="20"/>
        </w:rPr>
        <w:t>1.</w:t>
      </w:r>
      <w:r w:rsidRPr="00B058B2">
        <w:rPr>
          <w:sz w:val="20"/>
          <w:szCs w:val="20"/>
        </w:rPr>
        <w:t>3</w:t>
      </w:r>
      <w:r w:rsidRPr="00B058B2">
        <w:rPr>
          <w:sz w:val="20"/>
          <w:szCs w:val="20"/>
        </w:rPr>
        <w:tab/>
        <w:t>Resource Mobilisation, Monitoring and Reporting</w:t>
      </w:r>
      <w:r w:rsidRPr="00B058B2">
        <w:rPr>
          <w:sz w:val="20"/>
          <w:szCs w:val="20"/>
        </w:rPr>
        <w:tab/>
      </w:r>
      <w:r w:rsidRPr="00B058B2">
        <w:rPr>
          <w:sz w:val="20"/>
          <w:szCs w:val="20"/>
        </w:rPr>
        <w:tab/>
      </w:r>
      <w:r w:rsidRPr="00B058B2">
        <w:rPr>
          <w:sz w:val="20"/>
          <w:szCs w:val="20"/>
        </w:rPr>
        <w:tab/>
      </w:r>
      <w:r>
        <w:rPr>
          <w:sz w:val="20"/>
          <w:szCs w:val="20"/>
        </w:rPr>
        <w:tab/>
        <w:t>3</w:t>
      </w:r>
      <w:r w:rsidR="00807E59">
        <w:rPr>
          <w:sz w:val="20"/>
          <w:szCs w:val="20"/>
        </w:rPr>
        <w:t>6</w:t>
      </w:r>
    </w:p>
    <w:p w14:paraId="2B909262" w14:textId="35A6CE56" w:rsidR="00054695" w:rsidRDefault="00054695" w:rsidP="00054695">
      <w:pPr>
        <w:rPr>
          <w:sz w:val="20"/>
          <w:szCs w:val="20"/>
        </w:rPr>
      </w:pPr>
      <w:r>
        <w:rPr>
          <w:sz w:val="20"/>
          <w:szCs w:val="20"/>
        </w:rPr>
        <w:tab/>
      </w:r>
      <w:r w:rsidRPr="00B058B2">
        <w:rPr>
          <w:sz w:val="20"/>
          <w:szCs w:val="20"/>
        </w:rPr>
        <w:t>5.</w:t>
      </w:r>
      <w:r w:rsidR="00A606FF">
        <w:rPr>
          <w:sz w:val="20"/>
          <w:szCs w:val="20"/>
        </w:rPr>
        <w:t>1.</w:t>
      </w:r>
      <w:r w:rsidRPr="00B058B2">
        <w:rPr>
          <w:sz w:val="20"/>
          <w:szCs w:val="20"/>
        </w:rPr>
        <w:t xml:space="preserve">4 </w:t>
      </w:r>
      <w:r w:rsidRPr="00B058B2">
        <w:rPr>
          <w:sz w:val="20"/>
          <w:szCs w:val="20"/>
        </w:rPr>
        <w:tab/>
        <w:t>Cross-Cutting Issues</w:t>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sidRPr="00B058B2">
        <w:rPr>
          <w:sz w:val="20"/>
          <w:szCs w:val="20"/>
        </w:rPr>
        <w:tab/>
      </w:r>
      <w:r>
        <w:rPr>
          <w:sz w:val="20"/>
          <w:szCs w:val="20"/>
        </w:rPr>
        <w:tab/>
        <w:t>3</w:t>
      </w:r>
      <w:r w:rsidR="00D56BF7">
        <w:rPr>
          <w:sz w:val="20"/>
          <w:szCs w:val="20"/>
        </w:rPr>
        <w:t>6</w:t>
      </w:r>
    </w:p>
    <w:p w14:paraId="644C8341" w14:textId="7FB05E28" w:rsidR="00054695" w:rsidRPr="009A0EFC" w:rsidRDefault="00054695" w:rsidP="00054695">
      <w:pPr>
        <w:rPr>
          <w:b/>
          <w:sz w:val="20"/>
          <w:szCs w:val="20"/>
        </w:rPr>
      </w:pPr>
      <w:r w:rsidRPr="009A0EFC">
        <w:rPr>
          <w:b/>
          <w:sz w:val="20"/>
          <w:szCs w:val="20"/>
        </w:rPr>
        <w:t>SECTION 6 LESSSONS LEARNED</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9A0EFC">
        <w:rPr>
          <w:sz w:val="20"/>
          <w:szCs w:val="20"/>
        </w:rPr>
        <w:t>3</w:t>
      </w:r>
      <w:r w:rsidR="000A5B91">
        <w:rPr>
          <w:sz w:val="20"/>
          <w:szCs w:val="20"/>
        </w:rPr>
        <w:t>7</w:t>
      </w:r>
    </w:p>
    <w:p w14:paraId="665443A8" w14:textId="77777777" w:rsidR="00054695" w:rsidRDefault="00054695" w:rsidP="00054695">
      <w:pPr>
        <w:rPr>
          <w:b/>
          <w:sz w:val="20"/>
          <w:szCs w:val="20"/>
        </w:rPr>
      </w:pPr>
    </w:p>
    <w:p w14:paraId="49B46537" w14:textId="77777777" w:rsidR="00054695" w:rsidRPr="008D5847" w:rsidRDefault="00054695" w:rsidP="00054695">
      <w:pPr>
        <w:rPr>
          <w:b/>
          <w:sz w:val="20"/>
          <w:szCs w:val="20"/>
        </w:rPr>
      </w:pPr>
      <w:r w:rsidRPr="008D5847">
        <w:rPr>
          <w:b/>
          <w:sz w:val="20"/>
          <w:szCs w:val="20"/>
        </w:rPr>
        <w:t>ANNEXES</w:t>
      </w:r>
    </w:p>
    <w:p w14:paraId="289BB903" w14:textId="761F5C06" w:rsidR="00054695" w:rsidRPr="008D5847" w:rsidRDefault="00054695" w:rsidP="00054695">
      <w:pPr>
        <w:rPr>
          <w:sz w:val="20"/>
          <w:szCs w:val="20"/>
        </w:rPr>
      </w:pPr>
      <w:r w:rsidRPr="008D5847">
        <w:rPr>
          <w:sz w:val="20"/>
          <w:szCs w:val="20"/>
        </w:rPr>
        <w:t xml:space="preserve">Annex 1 </w:t>
      </w:r>
      <w:r w:rsidR="0094485A" w:rsidRPr="008D5847">
        <w:rPr>
          <w:sz w:val="20"/>
          <w:szCs w:val="20"/>
        </w:rPr>
        <w:t xml:space="preserve">Programme </w:t>
      </w:r>
      <w:r w:rsidR="0094485A" w:rsidRPr="008D5847">
        <w:rPr>
          <w:rFonts w:eastAsia="Times New Roman" w:cstheme="minorHAnsi"/>
          <w:sz w:val="20"/>
          <w:szCs w:val="20"/>
          <w:lang w:eastAsia="en-CA"/>
        </w:rPr>
        <w:t>Achievements against Outputs, Sub-</w:t>
      </w:r>
      <w:proofErr w:type="gramStart"/>
      <w:r w:rsidR="0094485A" w:rsidRPr="008D5847">
        <w:rPr>
          <w:rFonts w:eastAsia="Times New Roman" w:cstheme="minorHAnsi"/>
          <w:sz w:val="20"/>
          <w:szCs w:val="20"/>
          <w:lang w:eastAsia="en-CA"/>
        </w:rPr>
        <w:t>outputs</w:t>
      </w:r>
      <w:proofErr w:type="gramEnd"/>
      <w:r w:rsidR="0094485A" w:rsidRPr="008D5847">
        <w:rPr>
          <w:rFonts w:eastAsia="Times New Roman" w:cstheme="minorHAnsi"/>
          <w:sz w:val="20"/>
          <w:szCs w:val="20"/>
          <w:lang w:eastAsia="en-CA"/>
        </w:rPr>
        <w:t xml:space="preserve"> and Targets by Activity</w:t>
      </w:r>
      <w:r w:rsidRPr="008D5847">
        <w:rPr>
          <w:sz w:val="20"/>
          <w:szCs w:val="20"/>
        </w:rPr>
        <w:tab/>
      </w:r>
    </w:p>
    <w:p w14:paraId="79156D3F" w14:textId="77777777" w:rsidR="00054695" w:rsidRPr="008D5847" w:rsidRDefault="00054695" w:rsidP="00054695">
      <w:pPr>
        <w:rPr>
          <w:sz w:val="20"/>
          <w:szCs w:val="20"/>
        </w:rPr>
      </w:pPr>
      <w:r w:rsidRPr="008D5847">
        <w:rPr>
          <w:sz w:val="20"/>
          <w:szCs w:val="20"/>
        </w:rPr>
        <w:t>Annex 2 List of Interviewees</w:t>
      </w:r>
    </w:p>
    <w:p w14:paraId="460CFCD4" w14:textId="77777777" w:rsidR="00054695" w:rsidRPr="008D5847" w:rsidRDefault="00054695" w:rsidP="00054695">
      <w:pPr>
        <w:rPr>
          <w:sz w:val="20"/>
          <w:szCs w:val="20"/>
        </w:rPr>
      </w:pPr>
      <w:r w:rsidRPr="008D5847">
        <w:rPr>
          <w:sz w:val="20"/>
          <w:szCs w:val="20"/>
        </w:rPr>
        <w:t>Annex 3 Evaluation Matrix</w:t>
      </w:r>
    </w:p>
    <w:p w14:paraId="5D4B7271" w14:textId="2C1A50BC" w:rsidR="003C4A68" w:rsidRPr="008D5847" w:rsidRDefault="00054695" w:rsidP="003C4A68">
      <w:pPr>
        <w:rPr>
          <w:rFonts w:eastAsia="Times New Roman" w:cstheme="minorHAnsi"/>
          <w:sz w:val="20"/>
          <w:szCs w:val="20"/>
          <w:lang w:eastAsia="en-CA"/>
        </w:rPr>
      </w:pPr>
      <w:r w:rsidRPr="008D5847">
        <w:rPr>
          <w:sz w:val="20"/>
          <w:szCs w:val="20"/>
        </w:rPr>
        <w:t xml:space="preserve">Annex 4 </w:t>
      </w:r>
      <w:r w:rsidR="0094485A" w:rsidRPr="008D5847">
        <w:rPr>
          <w:sz w:val="20"/>
          <w:szCs w:val="20"/>
        </w:rPr>
        <w:t>Terms of Reference for the Terminal Evaluation of the GDPP</w:t>
      </w:r>
    </w:p>
    <w:p w14:paraId="663D5CD4" w14:textId="05CCB0E4" w:rsidR="000954D1" w:rsidRDefault="000954D1" w:rsidP="003C4A68">
      <w:pPr>
        <w:rPr>
          <w:rFonts w:eastAsia="Times New Roman" w:cstheme="minorHAnsi"/>
          <w:lang w:eastAsia="en-CA"/>
        </w:rPr>
        <w:sectPr w:rsidR="000954D1">
          <w:pgSz w:w="12240" w:h="15840"/>
          <w:pgMar w:top="1440" w:right="1440" w:bottom="1440" w:left="1440" w:header="720" w:footer="720" w:gutter="0"/>
          <w:cols w:space="720"/>
          <w:docGrid w:linePitch="360"/>
        </w:sectPr>
      </w:pPr>
      <w:r w:rsidRPr="008D5847">
        <w:rPr>
          <w:rFonts w:eastAsia="Times New Roman" w:cstheme="minorHAnsi"/>
          <w:sz w:val="20"/>
          <w:szCs w:val="20"/>
          <w:lang w:eastAsia="en-CA"/>
        </w:rPr>
        <w:t>Annex 5 References</w:t>
      </w:r>
    </w:p>
    <w:p w14:paraId="17ABCAC8" w14:textId="77777777" w:rsidR="00E168AE" w:rsidRDefault="00E168AE" w:rsidP="00E168AE">
      <w:pPr>
        <w:rPr>
          <w:b/>
        </w:rPr>
      </w:pPr>
      <w:r w:rsidRPr="007E778F">
        <w:rPr>
          <w:b/>
        </w:rPr>
        <w:lastRenderedPageBreak/>
        <w:t>EXECUTIVE SUMMARY</w:t>
      </w:r>
    </w:p>
    <w:p w14:paraId="348F0B83" w14:textId="77777777" w:rsidR="00E168AE" w:rsidRPr="00357326" w:rsidRDefault="00E168AE" w:rsidP="00E168AE">
      <w:pPr>
        <w:spacing w:after="0"/>
        <w:rPr>
          <w:b/>
        </w:rPr>
      </w:pPr>
      <w:r w:rsidRPr="00357326">
        <w:rPr>
          <w:b/>
        </w:rPr>
        <w:t>Introduction</w:t>
      </w:r>
    </w:p>
    <w:p w14:paraId="6EB9648C" w14:textId="77777777" w:rsidR="00E168AE" w:rsidRDefault="00E168AE" w:rsidP="00E168AE">
      <w:pPr>
        <w:spacing w:after="0" w:line="240" w:lineRule="auto"/>
        <w:jc w:val="both"/>
      </w:pPr>
    </w:p>
    <w:p w14:paraId="59534565" w14:textId="77777777" w:rsidR="00E168AE" w:rsidRDefault="00E168AE" w:rsidP="00E168AE">
      <w:pPr>
        <w:spacing w:line="240" w:lineRule="auto"/>
        <w:jc w:val="both"/>
      </w:pPr>
      <w:r>
        <w:t>UNDP in close collaboration with Ethiopian government stakeholders</w:t>
      </w:r>
      <w:r w:rsidRPr="00F333AD">
        <w:t xml:space="preserve"> </w:t>
      </w:r>
      <w:r>
        <w:t>established t</w:t>
      </w:r>
      <w:r>
        <w:rPr>
          <w:rFonts w:eastAsia="Times New Roman" w:cstheme="minorHAnsi"/>
          <w:lang w:eastAsia="en-CA"/>
        </w:rPr>
        <w:t xml:space="preserve">he </w:t>
      </w:r>
      <w:r>
        <w:t xml:space="preserve">Governance and Democratic Participation Programme (GDPP) in 2017 </w:t>
      </w:r>
      <w:r w:rsidRPr="0080606E">
        <w:rPr>
          <w:rFonts w:eastAsia="Times New Roman" w:cstheme="minorHAnsi"/>
          <w:lang w:eastAsia="en-CA"/>
        </w:rPr>
        <w:t>to “capitalize on existing momentum and opportunities to further advance good governance and entrench democratic principles at all levels and across the country.”</w:t>
      </w:r>
      <w:r>
        <w:rPr>
          <w:rFonts w:eastAsia="Times New Roman" w:cstheme="minorHAnsi"/>
          <w:lang w:eastAsia="en-CA"/>
        </w:rPr>
        <w:t xml:space="preserve"> </w:t>
      </w:r>
      <w:r>
        <w:t>UNDP</w:t>
      </w:r>
      <w:r w:rsidRPr="00F333AD">
        <w:t xml:space="preserve"> </w:t>
      </w:r>
      <w:r>
        <w:t>Ethiopia</w:t>
      </w:r>
      <w:r w:rsidRPr="00F333AD">
        <w:t xml:space="preserve"> commissioned an independent </w:t>
      </w:r>
      <w:r>
        <w:t>Terminal</w:t>
      </w:r>
      <w:r w:rsidRPr="00F333AD">
        <w:t xml:space="preserve"> Evaluation (TE) of the </w:t>
      </w:r>
      <w:r>
        <w:t>GDPP</w:t>
      </w:r>
      <w:r w:rsidRPr="00F333AD">
        <w:t xml:space="preserve"> for the </w:t>
      </w:r>
      <w:r>
        <w:t>full implementation period of the programme (July 2017-December 2021)</w:t>
      </w:r>
      <w:r w:rsidRPr="00F333AD">
        <w:t>.</w:t>
      </w:r>
      <w:r>
        <w:t xml:space="preserve"> The evaluation was conducted </w:t>
      </w:r>
      <w:r w:rsidRPr="00F333AD">
        <w:t xml:space="preserve">between </w:t>
      </w:r>
      <w:r>
        <w:t xml:space="preserve">January-April </w:t>
      </w:r>
      <w:r w:rsidRPr="00F333AD">
        <w:t>202</w:t>
      </w:r>
      <w:r>
        <w:t>2 by a team of three consultants. T</w:t>
      </w:r>
      <w:r w:rsidRPr="006B26B8">
        <w:rPr>
          <w:rFonts w:eastAsia="Times New Roman" w:cstheme="minorHAnsi"/>
          <w:lang w:eastAsia="en-CA"/>
        </w:rPr>
        <w:t xml:space="preserve">he Terminal Evaluation </w:t>
      </w:r>
      <w:r>
        <w:rPr>
          <w:rFonts w:eastAsia="Times New Roman" w:cstheme="minorHAnsi"/>
          <w:lang w:eastAsia="en-CA"/>
        </w:rPr>
        <w:t xml:space="preserve">included the original x11 Implementing Partners and </w:t>
      </w:r>
      <w:r w:rsidRPr="006B26B8">
        <w:rPr>
          <w:rFonts w:eastAsia="Times New Roman" w:cstheme="minorHAnsi"/>
          <w:lang w:eastAsia="en-CA"/>
        </w:rPr>
        <w:t xml:space="preserve">aims to serve as an important learning and accountability tool, providing UNDP, donors, national </w:t>
      </w:r>
      <w:proofErr w:type="gramStart"/>
      <w:r w:rsidRPr="006B26B8">
        <w:rPr>
          <w:rFonts w:eastAsia="Times New Roman" w:cstheme="minorHAnsi"/>
          <w:lang w:eastAsia="en-CA"/>
        </w:rPr>
        <w:t>stakeholders</w:t>
      </w:r>
      <w:proofErr w:type="gramEnd"/>
      <w:r w:rsidRPr="006B26B8">
        <w:rPr>
          <w:rFonts w:eastAsia="Times New Roman" w:cstheme="minorHAnsi"/>
          <w:lang w:eastAsia="en-CA"/>
        </w:rPr>
        <w:t xml:space="preserve"> and partners with an impartial assessment of the results generated by the GDPP to date. In reviewing progress towards the achievement of the programme’s results and outcomes, the TE sought to identify signs of success and areas for improvement that will guide its future direction; in particular, regarding the potential for a next phase of the programme.</w:t>
      </w:r>
      <w:r>
        <w:rPr>
          <w:rFonts w:eastAsia="Times New Roman" w:cstheme="minorHAnsi"/>
          <w:lang w:eastAsia="en-CA"/>
        </w:rPr>
        <w:t xml:space="preserve"> </w:t>
      </w:r>
      <w:r>
        <w:t xml:space="preserve">This report brings together the findings, </w:t>
      </w:r>
      <w:proofErr w:type="gramStart"/>
      <w:r>
        <w:t>conclusions</w:t>
      </w:r>
      <w:proofErr w:type="gramEnd"/>
      <w:r>
        <w:t xml:space="preserve"> and recommendations from the various processes of the evaluation.</w:t>
      </w:r>
    </w:p>
    <w:p w14:paraId="6A9A1B51" w14:textId="77777777" w:rsidR="00E168AE" w:rsidRPr="00357326" w:rsidRDefault="00E168AE" w:rsidP="00E168AE">
      <w:pPr>
        <w:spacing w:line="240" w:lineRule="auto"/>
        <w:rPr>
          <w:b/>
        </w:rPr>
      </w:pPr>
      <w:r w:rsidRPr="00357326">
        <w:rPr>
          <w:b/>
        </w:rPr>
        <w:t xml:space="preserve">Evaluation objectives, </w:t>
      </w:r>
      <w:proofErr w:type="gramStart"/>
      <w:r w:rsidRPr="00357326">
        <w:rPr>
          <w:b/>
        </w:rPr>
        <w:t>framework</w:t>
      </w:r>
      <w:proofErr w:type="gramEnd"/>
      <w:r w:rsidRPr="00357326">
        <w:rPr>
          <w:b/>
        </w:rPr>
        <w:t xml:space="preserve"> and methodology</w:t>
      </w:r>
    </w:p>
    <w:p w14:paraId="3516D448" w14:textId="09807276" w:rsidR="00E168AE" w:rsidRDefault="00E168AE" w:rsidP="00E168AE">
      <w:pPr>
        <w:spacing w:before="240" w:after="0" w:line="240" w:lineRule="auto"/>
        <w:jc w:val="both"/>
        <w:rPr>
          <w:lang w:eastAsia="en-CA"/>
        </w:rPr>
      </w:pPr>
      <w:r>
        <w:t xml:space="preserve">The evaluation’s key objectives were to examine how, and the extent to which, the GDPP complemented the UNDP country programme’s objectives in addressing national priority needs in terms of governance and democratic development and thereby help maintain UNDP’s position as an effective partner of the Government of Ethiopia. The evaluation sought to address these broad objectives through the lens of five key evaluation criteria, namely: relevance, effectiveness, efficiency, </w:t>
      </w:r>
      <w:proofErr w:type="gramStart"/>
      <w:r>
        <w:t>impact</w:t>
      </w:r>
      <w:proofErr w:type="gramEnd"/>
      <w:r>
        <w:t xml:space="preserve"> and sustainability, and two cross-cutting issues: human rights and gender equality. </w:t>
      </w:r>
      <w:r w:rsidRPr="009A216B">
        <w:rPr>
          <w:lang w:eastAsia="en-CA"/>
        </w:rPr>
        <w:t>A mixed-methods approach combining</w:t>
      </w:r>
      <w:r w:rsidR="00967A62">
        <w:rPr>
          <w:lang w:eastAsia="en-CA"/>
        </w:rPr>
        <w:t xml:space="preserve"> </w:t>
      </w:r>
      <w:r w:rsidRPr="009A216B">
        <w:rPr>
          <w:lang w:eastAsia="en-CA"/>
        </w:rPr>
        <w:t>key informant interviews (KII) and focus group discussions, remote interviews, desk review of relevant documents and field visits to intervention sites was the basis of the evaluation. In total, 8</w:t>
      </w:r>
      <w:r>
        <w:rPr>
          <w:lang w:eastAsia="en-CA"/>
        </w:rPr>
        <w:t>7</w:t>
      </w:r>
      <w:r w:rsidRPr="009A216B">
        <w:rPr>
          <w:lang w:eastAsia="en-CA"/>
        </w:rPr>
        <w:t xml:space="preserve"> </w:t>
      </w:r>
      <w:r w:rsidRPr="009A216B">
        <w:rPr>
          <w:rFonts w:cs="Calibri"/>
          <w:color w:val="000000"/>
        </w:rPr>
        <w:t>(2</w:t>
      </w:r>
      <w:r>
        <w:rPr>
          <w:rFonts w:cs="Calibri"/>
          <w:color w:val="000000"/>
        </w:rPr>
        <w:t>4</w:t>
      </w:r>
      <w:r w:rsidRPr="009A216B">
        <w:rPr>
          <w:rFonts w:cs="Calibri"/>
          <w:color w:val="000000"/>
        </w:rPr>
        <w:t xml:space="preserve"> female) </w:t>
      </w:r>
      <w:r w:rsidRPr="009A216B">
        <w:rPr>
          <w:lang w:eastAsia="en-CA"/>
        </w:rPr>
        <w:t>structured individual int</w:t>
      </w:r>
      <w:r>
        <w:rPr>
          <w:lang w:eastAsia="en-CA"/>
        </w:rPr>
        <w:t>erviews</w:t>
      </w:r>
      <w:r w:rsidR="00D96AAF">
        <w:rPr>
          <w:lang w:eastAsia="en-CA"/>
        </w:rPr>
        <w:t>, and eight Focus Group Discussions (FGD),</w:t>
      </w:r>
      <w:r w:rsidR="00F6294F" w:rsidRPr="00F6294F">
        <w:rPr>
          <w:color w:val="FF0000"/>
          <w:lang w:eastAsia="en-CA"/>
        </w:rPr>
        <w:t xml:space="preserve"> </w:t>
      </w:r>
      <w:r>
        <w:rPr>
          <w:lang w:eastAsia="en-CA"/>
        </w:rPr>
        <w:t>were conducted by the Evaluation Team.</w:t>
      </w:r>
    </w:p>
    <w:p w14:paraId="47DAB089" w14:textId="77777777" w:rsidR="00E168AE" w:rsidRDefault="00E168AE" w:rsidP="00E168AE">
      <w:pPr>
        <w:spacing w:line="240" w:lineRule="auto"/>
        <w:rPr>
          <w:b/>
          <w:lang w:eastAsia="en-CA"/>
        </w:rPr>
      </w:pPr>
    </w:p>
    <w:p w14:paraId="2BB36491" w14:textId="77777777" w:rsidR="00E168AE" w:rsidRDefault="00E168AE" w:rsidP="00E168AE">
      <w:pPr>
        <w:spacing w:line="240" w:lineRule="auto"/>
        <w:rPr>
          <w:rFonts w:eastAsia="Times New Roman" w:cstheme="minorHAnsi"/>
          <w:lang w:eastAsia="en-CA"/>
        </w:rPr>
      </w:pPr>
      <w:r w:rsidRPr="00357326">
        <w:rPr>
          <w:b/>
          <w:lang w:eastAsia="en-CA"/>
        </w:rPr>
        <w:t>Findings of the evaluation</w:t>
      </w:r>
    </w:p>
    <w:p w14:paraId="1C25DEA0" w14:textId="77777777" w:rsidR="00E168AE" w:rsidRDefault="00E168AE" w:rsidP="00E168AE">
      <w:pPr>
        <w:rPr>
          <w:b/>
        </w:rPr>
      </w:pPr>
      <w:r w:rsidRPr="00957E5A">
        <w:rPr>
          <w:b/>
          <w:i/>
        </w:rPr>
        <w:t>Key findings by evaluation criteria</w:t>
      </w:r>
      <w:r w:rsidRPr="00957E5A">
        <w:rPr>
          <w:b/>
        </w:rPr>
        <w:t>:</w:t>
      </w:r>
    </w:p>
    <w:p w14:paraId="73DA72B1" w14:textId="77777777" w:rsidR="00E168AE" w:rsidRDefault="00E168AE" w:rsidP="00E168AE">
      <w:pPr>
        <w:rPr>
          <w:i/>
        </w:rPr>
      </w:pPr>
      <w:r w:rsidRPr="00FF2135">
        <w:rPr>
          <w:i/>
        </w:rPr>
        <w:t>Relevance</w:t>
      </w:r>
    </w:p>
    <w:p w14:paraId="1E6EF6F3" w14:textId="5E5781F0" w:rsidR="00E168AE" w:rsidRDefault="00E168AE" w:rsidP="004F27CE">
      <w:pPr>
        <w:spacing w:line="240" w:lineRule="auto"/>
        <w:jc w:val="both"/>
        <w:rPr>
          <w:rFonts w:cstheme="minorHAnsi"/>
          <w:bCs/>
          <w:iCs/>
          <w:spacing w:val="5"/>
          <w:bdr w:val="none" w:sz="0" w:space="0" w:color="auto" w:frame="1"/>
          <w:shd w:val="clear" w:color="auto" w:fill="FFFFFF"/>
        </w:rPr>
      </w:pPr>
      <w:r>
        <w:t xml:space="preserve">Overall, the ET identified many strengths in the programme design. It targeted strengthening the legal and institutional frameworks critical to the delivery of results. This entailed addressing the gaps in laws and the institutional capacities and synergies. Participatory approaches were adopted in policy formulation and institutional </w:t>
      </w:r>
      <w:r w:rsidRPr="00D94B7A">
        <w:t xml:space="preserve">reforms. </w:t>
      </w:r>
      <w:r>
        <w:t>The evaluation has determined that</w:t>
      </w:r>
      <w:r w:rsidRPr="00D24CAF">
        <w:t xml:space="preserve"> the GDPP is </w:t>
      </w:r>
      <w:r>
        <w:t xml:space="preserve">highly </w:t>
      </w:r>
      <w:r w:rsidRPr="00D24CAF">
        <w:t xml:space="preserve">relevant to the GoE’s governance and democratic participation agenda and to the needs and interests of the various IPs. </w:t>
      </w:r>
      <w:r>
        <w:t xml:space="preserve">However, </w:t>
      </w:r>
      <w:r w:rsidRPr="009A6630">
        <w:rPr>
          <w:rFonts w:cstheme="minorHAnsi"/>
          <w:bCs/>
          <w:iCs/>
          <w:spacing w:val="5"/>
          <w:bdr w:val="none" w:sz="0" w:space="0" w:color="auto" w:frame="1"/>
          <w:shd w:val="clear" w:color="auto" w:fill="FFFFFF"/>
        </w:rPr>
        <w:t>although it</w:t>
      </w:r>
      <w:r w:rsidRPr="009A6630">
        <w:rPr>
          <w:rFonts w:cstheme="minorHAnsi"/>
          <w:b/>
          <w:bCs/>
          <w:iCs/>
          <w:spacing w:val="5"/>
          <w:bdr w:val="none" w:sz="0" w:space="0" w:color="auto" w:frame="1"/>
          <w:shd w:val="clear" w:color="auto" w:fill="FFFFFF"/>
        </w:rPr>
        <w:t xml:space="preserve"> </w:t>
      </w:r>
      <w:r w:rsidRPr="009A6630">
        <w:rPr>
          <w:rFonts w:cstheme="minorHAnsi"/>
          <w:bCs/>
          <w:iCs/>
          <w:spacing w:val="5"/>
          <w:bdr w:val="none" w:sz="0" w:space="0" w:color="auto" w:frame="1"/>
          <w:shd w:val="clear" w:color="auto" w:fill="FFFFFF"/>
        </w:rPr>
        <w:t xml:space="preserve">embodies, under NIM, a process whereby the GoE is in the lead in choosing its direction, in effect </w:t>
      </w:r>
      <w:r>
        <w:rPr>
          <w:rFonts w:cstheme="minorHAnsi"/>
          <w:bCs/>
          <w:iCs/>
          <w:spacing w:val="5"/>
          <w:bdr w:val="none" w:sz="0" w:space="0" w:color="auto" w:frame="1"/>
          <w:shd w:val="clear" w:color="auto" w:fill="FFFFFF"/>
        </w:rPr>
        <w:t>the GDPP</w:t>
      </w:r>
      <w:r w:rsidRPr="009A6630">
        <w:rPr>
          <w:rFonts w:cstheme="minorHAnsi"/>
          <w:bCs/>
          <w:iCs/>
          <w:spacing w:val="5"/>
          <w:bdr w:val="none" w:sz="0" w:space="0" w:color="auto" w:frame="1"/>
          <w:shd w:val="clear" w:color="auto" w:fill="FFFFFF"/>
        </w:rPr>
        <w:t xml:space="preserve"> is highly centralised and does not adequately address people’s </w:t>
      </w:r>
      <w:r w:rsidRPr="009847F3">
        <w:rPr>
          <w:rFonts w:cstheme="minorHAnsi"/>
          <w:bCs/>
          <w:iCs/>
          <w:spacing w:val="5"/>
          <w:bdr w:val="none" w:sz="0" w:space="0" w:color="auto" w:frame="1"/>
          <w:shd w:val="clear" w:color="auto" w:fill="FFFFFF"/>
        </w:rPr>
        <w:t>needs</w:t>
      </w:r>
      <w:r w:rsidR="009847F3" w:rsidRPr="009847F3">
        <w:rPr>
          <w:rFonts w:cstheme="minorHAnsi"/>
          <w:bCs/>
          <w:iCs/>
          <w:spacing w:val="5"/>
          <w:bdr w:val="none" w:sz="0" w:space="0" w:color="auto" w:frame="1"/>
          <w:shd w:val="clear" w:color="auto" w:fill="FFFFFF"/>
        </w:rPr>
        <w:t>.</w:t>
      </w:r>
      <w:r w:rsidRPr="009847F3">
        <w:rPr>
          <w:rFonts w:cstheme="minorHAnsi"/>
          <w:bCs/>
          <w:iCs/>
          <w:spacing w:val="5"/>
          <w:bdr w:val="none" w:sz="0" w:space="0" w:color="auto" w:frame="1"/>
          <w:shd w:val="clear" w:color="auto" w:fill="FFFFFF"/>
        </w:rPr>
        <w:t xml:space="preserve"> It is </w:t>
      </w:r>
      <w:r w:rsidRPr="009A6630">
        <w:rPr>
          <w:rFonts w:cstheme="minorHAnsi"/>
          <w:bCs/>
          <w:iCs/>
          <w:spacing w:val="5"/>
          <w:bdr w:val="none" w:sz="0" w:space="0" w:color="auto" w:frame="1"/>
          <w:shd w:val="clear" w:color="auto" w:fill="FFFFFF"/>
        </w:rPr>
        <w:t xml:space="preserve">also too </w:t>
      </w:r>
      <w:r w:rsidR="00401C32">
        <w:rPr>
          <w:rFonts w:cstheme="minorHAnsi"/>
          <w:bCs/>
          <w:iCs/>
          <w:spacing w:val="5"/>
          <w:bdr w:val="none" w:sz="0" w:space="0" w:color="auto" w:frame="1"/>
          <w:shd w:val="clear" w:color="auto" w:fill="FFFFFF"/>
        </w:rPr>
        <w:t>reliant</w:t>
      </w:r>
      <w:r w:rsidRPr="009A6630">
        <w:rPr>
          <w:rFonts w:cstheme="minorHAnsi"/>
          <w:bCs/>
          <w:iCs/>
          <w:spacing w:val="5"/>
          <w:bdr w:val="none" w:sz="0" w:space="0" w:color="auto" w:frame="1"/>
          <w:shd w:val="clear" w:color="auto" w:fill="FFFFFF"/>
        </w:rPr>
        <w:t xml:space="preserve"> on political stability and falls short in addressing gender equality </w:t>
      </w:r>
      <w:proofErr w:type="gramStart"/>
      <w:r w:rsidRPr="009A6630">
        <w:rPr>
          <w:rFonts w:cstheme="minorHAnsi"/>
          <w:bCs/>
          <w:iCs/>
          <w:spacing w:val="5"/>
          <w:bdr w:val="none" w:sz="0" w:space="0" w:color="auto" w:frame="1"/>
          <w:shd w:val="clear" w:color="auto" w:fill="FFFFFF"/>
        </w:rPr>
        <w:t>in particular</w:t>
      </w:r>
      <w:r w:rsidR="009847F3">
        <w:rPr>
          <w:rFonts w:cstheme="minorHAnsi"/>
          <w:bCs/>
          <w:iCs/>
          <w:spacing w:val="5"/>
          <w:bdr w:val="none" w:sz="0" w:space="0" w:color="auto" w:frame="1"/>
          <w:shd w:val="clear" w:color="auto" w:fill="FFFFFF"/>
        </w:rPr>
        <w:t xml:space="preserve"> </w:t>
      </w:r>
      <w:r w:rsidRPr="009A6630">
        <w:rPr>
          <w:rFonts w:cstheme="minorHAnsi"/>
          <w:bCs/>
          <w:iCs/>
          <w:spacing w:val="5"/>
          <w:bdr w:val="none" w:sz="0" w:space="0" w:color="auto" w:frame="1"/>
          <w:shd w:val="clear" w:color="auto" w:fill="FFFFFF"/>
        </w:rPr>
        <w:t>at</w:t>
      </w:r>
      <w:proofErr w:type="gramEnd"/>
      <w:r w:rsidRPr="009A6630">
        <w:rPr>
          <w:rFonts w:cstheme="minorHAnsi"/>
          <w:bCs/>
          <w:iCs/>
          <w:spacing w:val="5"/>
          <w:bdr w:val="none" w:sz="0" w:space="0" w:color="auto" w:frame="1"/>
          <w:shd w:val="clear" w:color="auto" w:fill="FFFFFF"/>
        </w:rPr>
        <w:t xml:space="preserve"> regional and local levels</w:t>
      </w:r>
      <w:r>
        <w:rPr>
          <w:rFonts w:cstheme="minorHAnsi"/>
          <w:bCs/>
          <w:iCs/>
          <w:spacing w:val="5"/>
          <w:bdr w:val="none" w:sz="0" w:space="0" w:color="auto" w:frame="1"/>
          <w:shd w:val="clear" w:color="auto" w:fill="FFFFFF"/>
        </w:rPr>
        <w:t xml:space="preserve">. </w:t>
      </w:r>
      <w:r w:rsidRPr="009A6630">
        <w:rPr>
          <w:rFonts w:cstheme="minorHAnsi"/>
          <w:bCs/>
          <w:iCs/>
          <w:spacing w:val="5"/>
          <w:bdr w:val="none" w:sz="0" w:space="0" w:color="auto" w:frame="1"/>
          <w:shd w:val="clear" w:color="auto" w:fill="FFFFFF"/>
        </w:rPr>
        <w:t xml:space="preserve">Although it </w:t>
      </w:r>
      <w:r w:rsidRPr="00C739FB">
        <w:t xml:space="preserve">contributes ostensibly to sustainable development goals 5, 10 and 16, it is not evident that these are objectives the </w:t>
      </w:r>
      <w:r>
        <w:t xml:space="preserve">programme </w:t>
      </w:r>
      <w:r w:rsidRPr="00C739FB">
        <w:t>pursues deliberately</w:t>
      </w:r>
    </w:p>
    <w:p w14:paraId="22048B7D" w14:textId="77777777" w:rsidR="00E168AE" w:rsidRDefault="00E168AE" w:rsidP="004F27CE">
      <w:pPr>
        <w:spacing w:line="240" w:lineRule="auto"/>
        <w:rPr>
          <w:i/>
        </w:rPr>
      </w:pPr>
      <w:r>
        <w:rPr>
          <w:i/>
        </w:rPr>
        <w:br w:type="page"/>
      </w:r>
    </w:p>
    <w:p w14:paraId="236811A1" w14:textId="77777777" w:rsidR="00E168AE" w:rsidRDefault="00E168AE" w:rsidP="00E168AE">
      <w:pPr>
        <w:jc w:val="both"/>
        <w:rPr>
          <w:i/>
        </w:rPr>
      </w:pPr>
      <w:r w:rsidRPr="00EB7873">
        <w:rPr>
          <w:i/>
        </w:rPr>
        <w:lastRenderedPageBreak/>
        <w:t>Effectiveness</w:t>
      </w:r>
    </w:p>
    <w:p w14:paraId="6A791172" w14:textId="32A0350A" w:rsidR="00E168AE" w:rsidRDefault="009847F3" w:rsidP="00E168AE">
      <w:pPr>
        <w:spacing w:before="240" w:line="240" w:lineRule="auto"/>
        <w:jc w:val="both"/>
      </w:pPr>
      <w:r w:rsidRPr="008D5847">
        <w:rPr>
          <w:rFonts w:eastAsia="Times New Roman" w:cstheme="minorHAnsi"/>
          <w:bCs/>
          <w:iCs/>
          <w:bdr w:val="none" w:sz="0" w:space="0" w:color="auto" w:frame="1"/>
          <w:lang w:eastAsia="en-CA"/>
        </w:rPr>
        <w:t xml:space="preserve">Based on the analysis of the </w:t>
      </w:r>
      <w:r w:rsidR="00771827" w:rsidRPr="008D5847">
        <w:rPr>
          <w:rFonts w:eastAsia="Times New Roman" w:cstheme="minorHAnsi"/>
          <w:bCs/>
          <w:iCs/>
          <w:bdr w:val="none" w:sz="0" w:space="0" w:color="auto" w:frame="1"/>
          <w:lang w:eastAsia="en-CA"/>
        </w:rPr>
        <w:t>accomplishment of</w:t>
      </w:r>
      <w:r w:rsidRPr="008D5847">
        <w:rPr>
          <w:rFonts w:eastAsia="Times New Roman" w:cstheme="minorHAnsi"/>
          <w:bCs/>
          <w:iCs/>
          <w:bdr w:val="none" w:sz="0" w:space="0" w:color="auto" w:frame="1"/>
          <w:lang w:eastAsia="en-CA"/>
        </w:rPr>
        <w:t xml:space="preserve"> activities, the ET </w:t>
      </w:r>
      <w:r w:rsidR="00771827" w:rsidRPr="008D5847">
        <w:rPr>
          <w:rFonts w:eastAsia="Times New Roman" w:cstheme="minorHAnsi"/>
          <w:bCs/>
          <w:iCs/>
          <w:bdr w:val="none" w:sz="0" w:space="0" w:color="auto" w:frame="1"/>
          <w:lang w:eastAsia="en-CA"/>
        </w:rPr>
        <w:t>has determined that the GDPP has effectively achieved the identified outputs.</w:t>
      </w:r>
      <w:r w:rsidRPr="008D5847">
        <w:rPr>
          <w:rFonts w:eastAsia="Times New Roman" w:cstheme="minorHAnsi"/>
          <w:bCs/>
          <w:iCs/>
          <w:bdr w:val="none" w:sz="0" w:space="0" w:color="auto" w:frame="1"/>
          <w:lang w:eastAsia="en-CA"/>
        </w:rPr>
        <w:t xml:space="preserve"> </w:t>
      </w:r>
      <w:r w:rsidR="00E168AE" w:rsidRPr="009538B2">
        <w:rPr>
          <w:rFonts w:eastAsia="Times New Roman" w:cstheme="minorHAnsi"/>
          <w:bCs/>
          <w:iCs/>
          <w:bdr w:val="none" w:sz="0" w:space="0" w:color="auto" w:frame="1"/>
          <w:lang w:eastAsia="en-CA"/>
        </w:rPr>
        <w:t xml:space="preserve">The overall management structure and operational context of the GDPP is appropriate and regarded by </w:t>
      </w:r>
      <w:r w:rsidR="00F6294F" w:rsidRPr="008D5847">
        <w:rPr>
          <w:rFonts w:eastAsia="Times New Roman" w:cstheme="minorHAnsi"/>
          <w:bCs/>
          <w:iCs/>
          <w:bdr w:val="none" w:sz="0" w:space="0" w:color="auto" w:frame="1"/>
          <w:lang w:eastAsia="en-CA"/>
        </w:rPr>
        <w:t xml:space="preserve">implementing partners (and </w:t>
      </w:r>
      <w:r w:rsidR="00E168AE" w:rsidRPr="008D5847">
        <w:rPr>
          <w:rFonts w:eastAsia="Times New Roman" w:cstheme="minorHAnsi"/>
          <w:bCs/>
          <w:iCs/>
          <w:bdr w:val="none" w:sz="0" w:space="0" w:color="auto" w:frame="1"/>
          <w:lang w:eastAsia="en-CA"/>
        </w:rPr>
        <w:t>stakeholders</w:t>
      </w:r>
      <w:r w:rsidR="00F6294F" w:rsidRPr="008D5847">
        <w:rPr>
          <w:rFonts w:eastAsia="Times New Roman" w:cstheme="minorHAnsi"/>
          <w:bCs/>
          <w:iCs/>
          <w:bdr w:val="none" w:sz="0" w:space="0" w:color="auto" w:frame="1"/>
          <w:lang w:eastAsia="en-CA"/>
        </w:rPr>
        <w:t>)</w:t>
      </w:r>
      <w:r w:rsidR="00E168AE" w:rsidRPr="008D5847">
        <w:rPr>
          <w:rFonts w:eastAsia="Times New Roman" w:cstheme="minorHAnsi"/>
          <w:bCs/>
          <w:iCs/>
          <w:bdr w:val="none" w:sz="0" w:space="0" w:color="auto" w:frame="1"/>
          <w:lang w:eastAsia="en-CA"/>
        </w:rPr>
        <w:t xml:space="preserve"> </w:t>
      </w:r>
      <w:r w:rsidR="00E168AE" w:rsidRPr="009538B2">
        <w:rPr>
          <w:rFonts w:eastAsia="Times New Roman" w:cstheme="minorHAnsi"/>
          <w:bCs/>
          <w:iCs/>
          <w:bdr w:val="none" w:sz="0" w:space="0" w:color="auto" w:frame="1"/>
          <w:lang w:eastAsia="en-CA"/>
        </w:rPr>
        <w:t xml:space="preserve">as being professional, accessible, </w:t>
      </w:r>
      <w:proofErr w:type="gramStart"/>
      <w:r w:rsidR="00E168AE" w:rsidRPr="009538B2">
        <w:rPr>
          <w:rFonts w:eastAsia="Times New Roman" w:cstheme="minorHAnsi"/>
          <w:bCs/>
          <w:iCs/>
          <w:bdr w:val="none" w:sz="0" w:space="0" w:color="auto" w:frame="1"/>
          <w:lang w:eastAsia="en-CA"/>
        </w:rPr>
        <w:t>efficient</w:t>
      </w:r>
      <w:proofErr w:type="gramEnd"/>
      <w:r w:rsidR="00E168AE" w:rsidRPr="009538B2">
        <w:rPr>
          <w:rFonts w:eastAsia="Times New Roman" w:cstheme="minorHAnsi"/>
          <w:bCs/>
          <w:iCs/>
          <w:bdr w:val="none" w:sz="0" w:space="0" w:color="auto" w:frame="1"/>
          <w:lang w:eastAsia="en-CA"/>
        </w:rPr>
        <w:t xml:space="preserve"> and effective. However, several interviewees have flagged their concerns over the centralisation of decision making, the lack of outreach to the regions and the virtual absence of CSOs in project planning and implementation. In fact, there was no regional or local interaction/participation factored into the design of the programme. </w:t>
      </w:r>
      <w:r w:rsidR="00E168AE">
        <w:t xml:space="preserve">Delays in project implementation have been quite common for reasons attributed in part to UNDP’s cumbersome funds disbursement and procurement policies. In addition, movement restrictions surrounding the COVID-19 pandemic have been challenging to the effective and efficient implementation of programme activities and objectives. This has been compounded by the security crisis in the country. This </w:t>
      </w:r>
      <w:r w:rsidR="00E168AE" w:rsidRPr="00F333AD">
        <w:t xml:space="preserve">illustrates the fact that </w:t>
      </w:r>
      <w:r w:rsidR="00E168AE" w:rsidRPr="009916D8">
        <w:t xml:space="preserve">implementation delays are not necessarily the “fault” of </w:t>
      </w:r>
      <w:r w:rsidR="00E168AE">
        <w:t>UNDP or the GDPP</w:t>
      </w:r>
      <w:r w:rsidR="00E168AE" w:rsidRPr="009916D8">
        <w:t>. Rather, they reflect the complex situation on the ground</w:t>
      </w:r>
      <w:r w:rsidR="00E168AE" w:rsidRPr="00F333AD">
        <w:t xml:space="preserve"> and show that “politics” and unforeseen events can often stall much needed progress</w:t>
      </w:r>
      <w:r w:rsidR="00E168AE">
        <w:t>.</w:t>
      </w:r>
    </w:p>
    <w:p w14:paraId="419F38F3" w14:textId="77777777" w:rsidR="00E168AE" w:rsidRDefault="00E168AE" w:rsidP="00E168AE">
      <w:pPr>
        <w:rPr>
          <w:i/>
        </w:rPr>
      </w:pPr>
      <w:r w:rsidRPr="00A5756D">
        <w:rPr>
          <w:i/>
        </w:rPr>
        <w:t>Efficiency</w:t>
      </w:r>
    </w:p>
    <w:p w14:paraId="1458A9C2" w14:textId="6FA8CDDE" w:rsidR="00E168AE" w:rsidRDefault="00E168AE" w:rsidP="00E168AE">
      <w:pPr>
        <w:spacing w:before="240" w:line="240" w:lineRule="auto"/>
        <w:jc w:val="both"/>
      </w:pPr>
      <w:r>
        <w:t>Based on analysis of budget allocations versus expenditures per Output, the ET has determined that the GDPP used its resources efficiently and effectively. The GDPP has also efficiently combined resources from the four main donors to support a single programme, thereby avoiding duplication of effort. Notwithstanding the above, programme efficiency is not just a question of proficiently distributing resources.</w:t>
      </w:r>
      <w:r w:rsidRPr="009538B2">
        <w:t xml:space="preserve"> </w:t>
      </w:r>
      <w:r w:rsidR="00771827">
        <w:t>T</w:t>
      </w:r>
      <w:r w:rsidRPr="00D67CE1">
        <w:t xml:space="preserve">here have been numerous cases of staff turnover </w:t>
      </w:r>
      <w:r>
        <w:t xml:space="preserve">in the IPs </w:t>
      </w:r>
      <w:r w:rsidRPr="00D67CE1">
        <w:t>which have negated institutional</w:t>
      </w:r>
      <w:r>
        <w:t xml:space="preserve"> memory and compromised efficient programme delivery. Moreover, there are clear indications that some IPs are less committed and motivated than others to support the issues promulgated by the GDPP. Accordingly, the ET supports the GDPP’s Option Paper proposal that future funding allocations should be based on performance.</w:t>
      </w:r>
      <w:r w:rsidR="009847F3">
        <w:t xml:space="preserve"> </w:t>
      </w:r>
    </w:p>
    <w:p w14:paraId="28752509" w14:textId="77777777" w:rsidR="00E168AE" w:rsidRDefault="00E168AE" w:rsidP="00E168AE">
      <w:pPr>
        <w:rPr>
          <w:i/>
        </w:rPr>
      </w:pPr>
      <w:r w:rsidRPr="00A5756D">
        <w:rPr>
          <w:i/>
        </w:rPr>
        <w:t>Impact</w:t>
      </w:r>
    </w:p>
    <w:p w14:paraId="311A8E88" w14:textId="3544648D" w:rsidR="00E168AE" w:rsidRDefault="00E168AE" w:rsidP="00E168AE">
      <w:pPr>
        <w:spacing w:line="240" w:lineRule="auto"/>
        <w:jc w:val="both"/>
      </w:pPr>
      <w:r>
        <w:t xml:space="preserve">The impact of the programme is difficult to assess given that it provides “soft support” that is problematic to measure in real terms. Nevertheless, the ET through desk review and stakeholder consultations captured significant immediate results that have the potential of contributing to the realisation of the desired impact level results. An important impact has been that there is now </w:t>
      </w:r>
      <w:r w:rsidRPr="00DB6915">
        <w:t xml:space="preserve">a basis for the public to demand accountability </w:t>
      </w:r>
      <w:r>
        <w:t xml:space="preserve">in </w:t>
      </w:r>
      <w:r w:rsidRPr="00DB6915">
        <w:t xml:space="preserve">the </w:t>
      </w:r>
      <w:r w:rsidRPr="00D56E03">
        <w:t>democratic governance</w:t>
      </w:r>
      <w:r w:rsidRPr="00DB6915">
        <w:t xml:space="preserve"> sector. Although the transformative gains at the citizenry level are still low, this </w:t>
      </w:r>
      <w:r>
        <w:t>approach</w:t>
      </w:r>
      <w:r w:rsidRPr="00DB6915">
        <w:t xml:space="preserve"> has potential </w:t>
      </w:r>
      <w:r>
        <w:t>to</w:t>
      </w:r>
      <w:r w:rsidRPr="00DB6915">
        <w:t xml:space="preserve"> yield greater </w:t>
      </w:r>
      <w:r>
        <w:t xml:space="preserve">benefits </w:t>
      </w:r>
      <w:r w:rsidRPr="00DB6915">
        <w:t>for the general population both in the medium and long term</w:t>
      </w:r>
      <w:r>
        <w:t xml:space="preserve">. Overall, the </w:t>
      </w:r>
      <w:r w:rsidRPr="0010215F">
        <w:t xml:space="preserve">GDPP </w:t>
      </w:r>
      <w:r>
        <w:t>impacted</w:t>
      </w:r>
      <w:r w:rsidRPr="0010215F">
        <w:t xml:space="preserve"> </w:t>
      </w:r>
      <w:r>
        <w:t>the country’s</w:t>
      </w:r>
      <w:r w:rsidRPr="0010215F">
        <w:t xml:space="preserve"> democratic governance landscape </w:t>
      </w:r>
      <w:r w:rsidR="00D96AAF">
        <w:t>by</w:t>
      </w:r>
      <w:r w:rsidRPr="0010215F">
        <w:t xml:space="preserve"> promoting,</w:t>
      </w:r>
      <w:r>
        <w:t xml:space="preserve"> </w:t>
      </w:r>
      <w:r w:rsidRPr="0010215F">
        <w:t>cultivat</w:t>
      </w:r>
      <w:r>
        <w:t>ing, and capacitating national/</w:t>
      </w:r>
      <w:r w:rsidRPr="0010215F">
        <w:t>and regional forums</w:t>
      </w:r>
      <w:r>
        <w:t>, platforms,</w:t>
      </w:r>
      <w:r w:rsidRPr="0010215F">
        <w:t xml:space="preserve"> and coalitions</w:t>
      </w:r>
      <w:r>
        <w:t xml:space="preserve"> thereby</w:t>
      </w:r>
      <w:r w:rsidRPr="0010215F">
        <w:t xml:space="preserve"> </w:t>
      </w:r>
      <w:r>
        <w:t xml:space="preserve">positively impacting improved governance and human rights. </w:t>
      </w:r>
    </w:p>
    <w:p w14:paraId="62DABD16" w14:textId="77777777" w:rsidR="00E168AE" w:rsidRPr="00A5756D" w:rsidRDefault="00E168AE" w:rsidP="00E168AE">
      <w:pPr>
        <w:rPr>
          <w:i/>
        </w:rPr>
      </w:pPr>
      <w:r w:rsidRPr="00A5756D">
        <w:rPr>
          <w:i/>
        </w:rPr>
        <w:t>Sustainability</w:t>
      </w:r>
    </w:p>
    <w:p w14:paraId="7C94F258" w14:textId="43194180" w:rsidR="00E168AE" w:rsidRDefault="00E168AE" w:rsidP="00E168AE">
      <w:pPr>
        <w:jc w:val="both"/>
        <w:rPr>
          <w:i/>
        </w:rPr>
      </w:pPr>
      <w:r w:rsidRPr="00034BE1">
        <w:rPr>
          <w:rFonts w:eastAsia="Times New Roman" w:cstheme="minorHAnsi"/>
          <w:bCs/>
          <w:iCs/>
          <w:bdr w:val="none" w:sz="0" w:space="0" w:color="auto" w:frame="1"/>
          <w:lang w:eastAsia="en-CA"/>
        </w:rPr>
        <w:t xml:space="preserve">There are several areas where the GDPP has created capacity that bodes well for the future sustainability of the kinds of activities developed to date. Policies and guidelines have been developed which, along with the various training exercises, should place the GoE in a stronger position to further develop and expand its programmes and services in the areas of democratisation and governance. Given that the support given to the IPs directly builds capacity to enable government officials and staff to implement and manage </w:t>
      </w:r>
      <w:proofErr w:type="gramStart"/>
      <w:r w:rsidRPr="00034BE1">
        <w:rPr>
          <w:rFonts w:eastAsia="Times New Roman" w:cstheme="minorHAnsi"/>
          <w:bCs/>
          <w:iCs/>
          <w:bdr w:val="none" w:sz="0" w:space="0" w:color="auto" w:frame="1"/>
          <w:lang w:eastAsia="en-CA"/>
        </w:rPr>
        <w:t>projects, and</w:t>
      </w:r>
      <w:proofErr w:type="gramEnd"/>
      <w:r w:rsidRPr="00034BE1">
        <w:rPr>
          <w:rFonts w:eastAsia="Times New Roman" w:cstheme="minorHAnsi"/>
          <w:bCs/>
          <w:iCs/>
          <w:bdr w:val="none" w:sz="0" w:space="0" w:color="auto" w:frame="1"/>
          <w:lang w:eastAsia="en-CA"/>
        </w:rPr>
        <w:t xml:space="preserve"> enhance the accountability and effectiveness of services that address the governance priorities of Ethiopia, they are inherently “sustainable.”</w:t>
      </w:r>
      <w:r>
        <w:rPr>
          <w:rFonts w:eastAsia="Times New Roman" w:cstheme="minorHAnsi"/>
          <w:bCs/>
          <w:iCs/>
          <w:bdr w:val="none" w:sz="0" w:space="0" w:color="auto" w:frame="1"/>
          <w:lang w:eastAsia="en-CA"/>
        </w:rPr>
        <w:t xml:space="preserve"> </w:t>
      </w:r>
      <w:r w:rsidRPr="00034BE1">
        <w:rPr>
          <w:rFonts w:eastAsia="Times New Roman" w:cstheme="minorHAnsi"/>
          <w:bCs/>
          <w:iCs/>
          <w:bdr w:val="none" w:sz="0" w:space="0" w:color="auto" w:frame="1"/>
          <w:lang w:eastAsia="en-CA"/>
        </w:rPr>
        <w:t xml:space="preserve">However, a simple analysis of what </w:t>
      </w:r>
      <w:r>
        <w:rPr>
          <w:rFonts w:eastAsia="Times New Roman" w:cstheme="minorHAnsi"/>
          <w:bCs/>
          <w:iCs/>
          <w:bdr w:val="none" w:sz="0" w:space="0" w:color="auto" w:frame="1"/>
          <w:lang w:eastAsia="en-CA"/>
        </w:rPr>
        <w:lastRenderedPageBreak/>
        <w:t>underpins</w:t>
      </w:r>
      <w:r w:rsidRPr="00034BE1">
        <w:rPr>
          <w:rFonts w:eastAsia="Times New Roman" w:cstheme="minorHAnsi"/>
          <w:bCs/>
          <w:iCs/>
          <w:bdr w:val="none" w:sz="0" w:space="0" w:color="auto" w:frame="1"/>
          <w:lang w:eastAsia="en-CA"/>
        </w:rPr>
        <w:t xml:space="preserve"> sustainability indicate</w:t>
      </w:r>
      <w:r w:rsidR="000A5B91">
        <w:rPr>
          <w:rFonts w:eastAsia="Times New Roman" w:cstheme="minorHAnsi"/>
          <w:bCs/>
          <w:iCs/>
          <w:bdr w:val="none" w:sz="0" w:space="0" w:color="auto" w:frame="1"/>
          <w:lang w:eastAsia="en-CA"/>
        </w:rPr>
        <w:t>s</w:t>
      </w:r>
      <w:r w:rsidRPr="00034BE1">
        <w:rPr>
          <w:rFonts w:eastAsia="Times New Roman" w:cstheme="minorHAnsi"/>
          <w:bCs/>
          <w:iCs/>
          <w:bdr w:val="none" w:sz="0" w:space="0" w:color="auto" w:frame="1"/>
          <w:lang w:eastAsia="en-CA"/>
        </w:rPr>
        <w:t xml:space="preserve"> that the activities delivered would face significant challenges when it comes to their long-term viability without continued financial support, and that is in question.</w:t>
      </w:r>
      <w:r>
        <w:rPr>
          <w:rFonts w:eastAsia="Times New Roman" w:cstheme="minorHAnsi"/>
          <w:bCs/>
          <w:iCs/>
          <w:bdr w:val="none" w:sz="0" w:space="0" w:color="auto" w:frame="1"/>
          <w:lang w:eastAsia="en-CA"/>
        </w:rPr>
        <w:t xml:space="preserve"> </w:t>
      </w:r>
      <w:r>
        <w:t>The</w:t>
      </w:r>
      <w:r w:rsidRPr="00944810">
        <w:t xml:space="preserve"> continued instability </w:t>
      </w:r>
      <w:r>
        <w:t xml:space="preserve">in the north of the country, </w:t>
      </w:r>
      <w:r w:rsidRPr="00944810">
        <w:t xml:space="preserve">and </w:t>
      </w:r>
      <w:r>
        <w:t xml:space="preserve">the </w:t>
      </w:r>
      <w:r w:rsidRPr="00944810">
        <w:t xml:space="preserve">erosion of </w:t>
      </w:r>
      <w:r>
        <w:t xml:space="preserve">human </w:t>
      </w:r>
      <w:proofErr w:type="gramStart"/>
      <w:r>
        <w:t>rights norms in particular</w:t>
      </w:r>
      <w:r w:rsidRPr="00944810">
        <w:t xml:space="preserve">, </w:t>
      </w:r>
      <w:r>
        <w:t>has</w:t>
      </w:r>
      <w:proofErr w:type="gramEnd"/>
      <w:r>
        <w:t xml:space="preserve"> been flagged by donors as a major problem affecting their commitment to continue funding the GDPP.</w:t>
      </w:r>
    </w:p>
    <w:p w14:paraId="792215BF" w14:textId="77777777" w:rsidR="00E168AE" w:rsidRDefault="00E168AE" w:rsidP="00E168AE">
      <w:pPr>
        <w:rPr>
          <w:i/>
        </w:rPr>
      </w:pPr>
      <w:r w:rsidRPr="00A5756D">
        <w:rPr>
          <w:i/>
        </w:rPr>
        <w:t>Cross-cutting issues</w:t>
      </w:r>
    </w:p>
    <w:p w14:paraId="2BA9434A" w14:textId="77777777" w:rsidR="00E168AE" w:rsidRPr="00E018F7" w:rsidRDefault="00E168AE" w:rsidP="00E168AE">
      <w:pPr>
        <w:spacing w:before="240" w:after="0" w:line="240" w:lineRule="auto"/>
        <w:jc w:val="both"/>
        <w:textAlignment w:val="baseline"/>
        <w:rPr>
          <w:rFonts w:eastAsia="Times New Roman" w:cstheme="minorHAnsi"/>
          <w:lang w:eastAsia="en-CA"/>
        </w:rPr>
      </w:pPr>
      <w:r w:rsidRPr="00E018F7">
        <w:rPr>
          <w:rFonts w:cstheme="minorHAnsi"/>
          <w:color w:val="222222"/>
          <w:shd w:val="clear" w:color="auto" w:fill="FFFFFF"/>
        </w:rPr>
        <w:t>It is not evident that cross-cutting issues - gender and human rights - are fully integrated into all programme activities, nor is there a clear understanding of what this would involve.</w:t>
      </w:r>
      <w:r w:rsidRPr="00E018F7">
        <w:rPr>
          <w:rFonts w:eastAsia="Times New Roman" w:cstheme="minorHAnsi"/>
          <w:lang w:eastAsia="en-CA"/>
        </w:rPr>
        <w:t xml:space="preserve"> That said, there has been slow but steady progress on legislative and policy reform on gender-related issues. On human rights, the GDPP, by enhancing people’s access to basic information, e.g., about elections, supports the aim of strengthening good governance and increasing citizens’ engagement in areas that respond to their needs.</w:t>
      </w:r>
    </w:p>
    <w:p w14:paraId="17872DF3" w14:textId="77777777" w:rsidR="00E168AE" w:rsidRDefault="00E168AE" w:rsidP="00E168AE">
      <w:pPr>
        <w:spacing w:after="0" w:line="360" w:lineRule="auto"/>
        <w:jc w:val="both"/>
        <w:rPr>
          <w:b/>
        </w:rPr>
      </w:pPr>
    </w:p>
    <w:p w14:paraId="37FA825E" w14:textId="77777777" w:rsidR="00E168AE" w:rsidRPr="00A5756D" w:rsidRDefault="00E168AE" w:rsidP="00E168AE">
      <w:pPr>
        <w:spacing w:line="360" w:lineRule="auto"/>
        <w:jc w:val="both"/>
        <w:rPr>
          <w:b/>
        </w:rPr>
      </w:pPr>
      <w:r w:rsidRPr="00A5756D">
        <w:rPr>
          <w:b/>
        </w:rPr>
        <w:t>Conclusions</w:t>
      </w:r>
    </w:p>
    <w:p w14:paraId="206827BE" w14:textId="77777777" w:rsidR="00E168AE" w:rsidRDefault="00E168AE" w:rsidP="00E168AE">
      <w:pPr>
        <w:spacing w:line="240" w:lineRule="auto"/>
        <w:jc w:val="both"/>
      </w:pPr>
      <w:r w:rsidRPr="002E76CC">
        <w:t xml:space="preserve">The </w:t>
      </w:r>
      <w:r>
        <w:t xml:space="preserve">ET </w:t>
      </w:r>
      <w:r w:rsidRPr="002E76CC">
        <w:t>conclude</w:t>
      </w:r>
      <w:r>
        <w:t>s</w:t>
      </w:r>
      <w:r w:rsidRPr="002E76CC">
        <w:t xml:space="preserve"> that the strategic priorities and areas of focus identified in the programme document have been a good fit with the national needs and UNDP’s position as a trusted partner of the GoE. </w:t>
      </w:r>
      <w:r w:rsidRPr="00F333AD">
        <w:t xml:space="preserve">The </w:t>
      </w:r>
      <w:r>
        <w:t>N</w:t>
      </w:r>
      <w:r w:rsidRPr="00F333AD">
        <w:t>IM modality ensures strong convergence with the country programme and Strategic Plan of UNDP</w:t>
      </w:r>
      <w:r>
        <w:t xml:space="preserve"> as well as in ensuring national ownership and capacity over time</w:t>
      </w:r>
      <w:r w:rsidRPr="00F333AD">
        <w:t xml:space="preserve">. Moreover, the core objectives of the </w:t>
      </w:r>
      <w:r>
        <w:t>GDPP</w:t>
      </w:r>
      <w:r w:rsidRPr="00F333AD">
        <w:t xml:space="preserve"> provide a good framework for supporting the </w:t>
      </w:r>
      <w:r>
        <w:t xml:space="preserve">governance and democratic development priorities of the government. </w:t>
      </w:r>
      <w:r w:rsidRPr="002E76CC">
        <w:t xml:space="preserve">Performance has been mixed in different output areas, with the capacity building of officials </w:t>
      </w:r>
      <w:r>
        <w:t xml:space="preserve">to strengthen institutions </w:t>
      </w:r>
      <w:r w:rsidRPr="002E76CC">
        <w:t xml:space="preserve">being one of the more successful elements. A major weakness of the programme </w:t>
      </w:r>
      <w:r>
        <w:t xml:space="preserve">design </w:t>
      </w:r>
      <w:r w:rsidRPr="002E76CC">
        <w:t xml:space="preserve">has been the lack of CSO engagement as well as the absence of a concerted effort to reach out to regional, local and community levels. The participation of communities in the design and delivery of activities that address their needs holds the promise of contributing to the success of the GDPP </w:t>
      </w:r>
      <w:r>
        <w:t xml:space="preserve">in a future </w:t>
      </w:r>
      <w:proofErr w:type="gramStart"/>
      <w:r>
        <w:t>iteration</w:t>
      </w:r>
      <w:proofErr w:type="gramEnd"/>
      <w:r>
        <w:t xml:space="preserve"> </w:t>
      </w:r>
      <w:r w:rsidRPr="002E76CC">
        <w:t xml:space="preserve">but this needs to be linked to the broader development effort. </w:t>
      </w:r>
    </w:p>
    <w:p w14:paraId="56C96476" w14:textId="77777777" w:rsidR="00E168AE" w:rsidRDefault="00E168AE" w:rsidP="00E168AE">
      <w:pPr>
        <w:spacing w:line="240" w:lineRule="auto"/>
        <w:jc w:val="both"/>
        <w:rPr>
          <w:rFonts w:cstheme="minorHAnsi"/>
        </w:rPr>
      </w:pPr>
      <w:r w:rsidRPr="00F333AD">
        <w:t xml:space="preserve">There has been no direct support to the SDGs under any of the activities funded by the </w:t>
      </w:r>
      <w:r>
        <w:t>GDPP</w:t>
      </w:r>
      <w:r w:rsidRPr="00F333AD">
        <w:t xml:space="preserve"> and therefore no attempt to use the SDGs as an entry point to solidify the </w:t>
      </w:r>
      <w:r>
        <w:t>programme’s</w:t>
      </w:r>
      <w:r w:rsidRPr="00F333AD">
        <w:t xml:space="preserve"> strategic objectives. Raising awareness of the SDGs through focused campaigns will help the attainment of SDG targets and should be an inclusive and participatory process, </w:t>
      </w:r>
      <w:proofErr w:type="gramStart"/>
      <w:r w:rsidRPr="00F333AD">
        <w:t>e.g.</w:t>
      </w:r>
      <w:proofErr w:type="gramEnd"/>
      <w:r w:rsidRPr="00F333AD">
        <w:t xml:space="preserve"> </w:t>
      </w:r>
      <w:r w:rsidRPr="00922ED0">
        <w:rPr>
          <w:rFonts w:cstheme="minorHAnsi"/>
        </w:rPr>
        <w:t>through initiating dialogue with members of civil society, the private sector, government officials and marginalised groups, especially women, youth and people with special needs.</w:t>
      </w:r>
      <w:r w:rsidRPr="00922ED0">
        <w:rPr>
          <w:rFonts w:eastAsia="Times New Roman" w:cstheme="minorHAnsi"/>
          <w:color w:val="000000" w:themeColor="text1"/>
        </w:rPr>
        <w:t xml:space="preserve"> </w:t>
      </w:r>
      <w:proofErr w:type="gramStart"/>
      <w:r w:rsidRPr="00922ED0">
        <w:rPr>
          <w:rFonts w:cstheme="minorHAnsi"/>
        </w:rPr>
        <w:t>It is clear that until</w:t>
      </w:r>
      <w:proofErr w:type="gramEnd"/>
      <w:r w:rsidRPr="00922ED0">
        <w:rPr>
          <w:rFonts w:cstheme="minorHAnsi"/>
        </w:rPr>
        <w:t xml:space="preserve"> 2030, UNDP Ethiopia needs to seek transformative, integrated and sustainable policy and programming options for SDG implementation that are localised and embedded in institutions. </w:t>
      </w:r>
    </w:p>
    <w:p w14:paraId="071FE4CD" w14:textId="69F866F4" w:rsidR="00E168AE" w:rsidRPr="00922ED0" w:rsidRDefault="00E168AE" w:rsidP="00E168AE">
      <w:pPr>
        <w:spacing w:line="240" w:lineRule="auto"/>
        <w:jc w:val="both"/>
        <w:rPr>
          <w:rFonts w:eastAsia="Times New Roman" w:cstheme="minorHAnsi"/>
          <w:lang w:val="en-US" w:eastAsia="en-CA"/>
        </w:rPr>
      </w:pPr>
      <w:r w:rsidRPr="00922ED0">
        <w:rPr>
          <w:rFonts w:cstheme="minorHAnsi"/>
        </w:rPr>
        <w:t xml:space="preserve">Also, </w:t>
      </w:r>
      <w:proofErr w:type="gramStart"/>
      <w:r w:rsidRPr="00922ED0">
        <w:rPr>
          <w:rFonts w:cstheme="minorHAnsi"/>
        </w:rPr>
        <w:t>in order to</w:t>
      </w:r>
      <w:proofErr w:type="gramEnd"/>
      <w:r w:rsidRPr="00922ED0">
        <w:rPr>
          <w:rFonts w:cstheme="minorHAnsi"/>
        </w:rPr>
        <w:t xml:space="preserve"> ensure </w:t>
      </w:r>
      <w:r w:rsidR="00E306E4" w:rsidRPr="008D5847">
        <w:rPr>
          <w:rFonts w:cstheme="minorHAnsi"/>
        </w:rPr>
        <w:t>services,</w:t>
      </w:r>
      <w:r w:rsidRPr="00922ED0">
        <w:rPr>
          <w:rFonts w:cstheme="minorHAnsi"/>
        </w:rPr>
        <w:t xml:space="preserve"> reach to lower levels, and are accessible to </w:t>
      </w:r>
      <w:r w:rsidR="00E306E4" w:rsidRPr="008D5847">
        <w:rPr>
          <w:rFonts w:cstheme="minorHAnsi"/>
        </w:rPr>
        <w:t>citizens</w:t>
      </w:r>
      <w:r w:rsidRPr="00922ED0">
        <w:rPr>
          <w:rFonts w:cstheme="minorHAnsi"/>
        </w:rPr>
        <w:t xml:space="preserve"> across the country, UNDP needs to mobilise funds to continue established interventions such as the DARS in FEACC, the ARTS in OFAG and interactive citizens’ information and feedback centers at HoF, EIO, CCI, etc. To support individual accessibility and use, this should be prioritised in a new iteration of the GDPP and in any follow-up collaborations with the IPs.</w:t>
      </w:r>
    </w:p>
    <w:p w14:paraId="6D994F75" w14:textId="561F955F" w:rsidR="00E168AE" w:rsidRDefault="00E65BFC" w:rsidP="00E168AE">
      <w:pPr>
        <w:spacing w:line="240" w:lineRule="auto"/>
        <w:jc w:val="both"/>
      </w:pPr>
      <w:r>
        <w:t xml:space="preserve">Contextually </w:t>
      </w:r>
      <w:r w:rsidR="006052B6">
        <w:t xml:space="preserve">it is important to recognize that </w:t>
      </w:r>
      <w:r>
        <w:t>in Ethiopia g</w:t>
      </w:r>
      <w:r w:rsidRPr="00E65BFC">
        <w:t>ender inequality is still prevalent</w:t>
      </w:r>
      <w:r>
        <w:t xml:space="preserve"> in a largely</w:t>
      </w:r>
      <w:r w:rsidRPr="00E65BFC">
        <w:t xml:space="preserve"> in a highly patriarchal society where public discourse about gender equality </w:t>
      </w:r>
      <w:r w:rsidR="009179C8">
        <w:t>remains challenging. In the case of GDPP</w:t>
      </w:r>
      <w:r w:rsidR="0054769A">
        <w:t xml:space="preserve"> e</w:t>
      </w:r>
      <w:r w:rsidR="00E168AE" w:rsidRPr="00F333AD">
        <w:t xml:space="preserve">fforts to enhance women’s socio-economic and political rights have not progressed </w:t>
      </w:r>
      <w:r w:rsidR="00364AC1">
        <w:t xml:space="preserve">exponentially </w:t>
      </w:r>
      <w:r w:rsidR="00E168AE" w:rsidRPr="00F333AD">
        <w:t xml:space="preserve">at the </w:t>
      </w:r>
      <w:r w:rsidR="00E168AE">
        <w:t>programme</w:t>
      </w:r>
      <w:r w:rsidR="00E168AE" w:rsidRPr="00F333AD">
        <w:t xml:space="preserve"> level and gender equality has not been prioritised. In part this stems from the </w:t>
      </w:r>
      <w:r w:rsidR="00E168AE">
        <w:t xml:space="preserve">failure of UNDP </w:t>
      </w:r>
      <w:r w:rsidR="00E168AE" w:rsidRPr="00F333AD">
        <w:t xml:space="preserve">to recruit a gender specialist </w:t>
      </w:r>
      <w:r w:rsidR="00E168AE">
        <w:t>until two years into the programme</w:t>
      </w:r>
      <w:r w:rsidR="000A5B91">
        <w:t xml:space="preserve"> which</w:t>
      </w:r>
      <w:r w:rsidR="00E168AE">
        <w:t xml:space="preserve"> </w:t>
      </w:r>
      <w:r w:rsidR="00E168AE" w:rsidRPr="00F333AD">
        <w:t>prevented any meaningful attempt to develop a gender-inclusive programming strategy</w:t>
      </w:r>
      <w:r w:rsidR="00E168AE">
        <w:t xml:space="preserve"> from the outset</w:t>
      </w:r>
      <w:r w:rsidR="00E168AE" w:rsidRPr="00F333AD">
        <w:t xml:space="preserve">. </w:t>
      </w:r>
      <w:r w:rsidR="00E168AE" w:rsidRPr="00F333AD">
        <w:lastRenderedPageBreak/>
        <w:t xml:space="preserve">Collaboration on gender with </w:t>
      </w:r>
      <w:r w:rsidR="00E168AE">
        <w:t>the IPs</w:t>
      </w:r>
      <w:r w:rsidR="00E168AE" w:rsidRPr="00F333AD">
        <w:t xml:space="preserve"> has been </w:t>
      </w:r>
      <w:r w:rsidR="00E168AE">
        <w:t>wanting</w:t>
      </w:r>
      <w:r w:rsidR="00E168AE" w:rsidRPr="00F333AD">
        <w:t xml:space="preserve"> and the projects which do have something of a gender component </w:t>
      </w:r>
      <w:r w:rsidR="00E168AE">
        <w:t>tend to be</w:t>
      </w:r>
      <w:r w:rsidR="00E168AE" w:rsidRPr="00F333AD">
        <w:t xml:space="preserve"> gender-responsive, rather than gender-transformative. They </w:t>
      </w:r>
      <w:r w:rsidR="00E168AE">
        <w:t xml:space="preserve">have </w:t>
      </w:r>
      <w:r w:rsidR="00E168AE" w:rsidRPr="00F333AD">
        <w:t>contribute</w:t>
      </w:r>
      <w:r w:rsidR="00E168AE">
        <w:t>d</w:t>
      </w:r>
      <w:r w:rsidR="00E168AE" w:rsidRPr="00F333AD">
        <w:t xml:space="preserve"> little to addressing the root causes of gender inequalities. </w:t>
      </w:r>
      <w:r w:rsidR="00E168AE">
        <w:t>Now that a</w:t>
      </w:r>
      <w:r w:rsidR="00E168AE" w:rsidRPr="00F333AD">
        <w:t xml:space="preserve"> gender specialist is appointed</w:t>
      </w:r>
      <w:r w:rsidR="00E168AE">
        <w:t xml:space="preserve"> greater progress should be made in any future programme.</w:t>
      </w:r>
      <w:r w:rsidR="00E168AE" w:rsidRPr="00922ED0">
        <w:rPr>
          <w:rFonts w:cstheme="minorHAnsi"/>
          <w:sz w:val="24"/>
          <w:szCs w:val="24"/>
        </w:rPr>
        <w:t xml:space="preserve"> </w:t>
      </w:r>
    </w:p>
    <w:p w14:paraId="2D8A242E" w14:textId="2135BD9E" w:rsidR="00E168AE" w:rsidRPr="004F27CE" w:rsidRDefault="00E168AE" w:rsidP="00960EBD">
      <w:pPr>
        <w:spacing w:after="0" w:line="240" w:lineRule="auto"/>
        <w:jc w:val="both"/>
        <w:rPr>
          <w:sz w:val="24"/>
          <w:szCs w:val="24"/>
        </w:rPr>
      </w:pPr>
      <w:r w:rsidRPr="004F27CE">
        <w:rPr>
          <w:b/>
          <w:sz w:val="24"/>
          <w:szCs w:val="24"/>
        </w:rPr>
        <w:t>RECOMMENDATIONS FOR A NEW ITERATION OF THE GDPP:</w:t>
      </w:r>
    </w:p>
    <w:p w14:paraId="279AC91C" w14:textId="77777777" w:rsidR="00E168AE" w:rsidRDefault="00E168AE" w:rsidP="00E168AE">
      <w:pPr>
        <w:spacing w:after="0" w:line="240" w:lineRule="auto"/>
        <w:jc w:val="both"/>
        <w:rPr>
          <w:b/>
        </w:rPr>
      </w:pPr>
    </w:p>
    <w:p w14:paraId="78220D30" w14:textId="77777777" w:rsidR="00E168AE" w:rsidRPr="004F4233" w:rsidRDefault="00E168AE" w:rsidP="00E168AE">
      <w:pPr>
        <w:spacing w:line="240" w:lineRule="auto"/>
        <w:jc w:val="both"/>
        <w:rPr>
          <w:b/>
        </w:rPr>
      </w:pPr>
      <w:r w:rsidRPr="004F4233">
        <w:rPr>
          <w:b/>
        </w:rPr>
        <w:t>Broad Programmatic Level Recommendations</w:t>
      </w:r>
      <w:r>
        <w:rPr>
          <w:b/>
        </w:rPr>
        <w:t>:</w:t>
      </w:r>
    </w:p>
    <w:p w14:paraId="73D7E365" w14:textId="77777777" w:rsidR="00960EBD" w:rsidRPr="00A40C97" w:rsidRDefault="00E168AE" w:rsidP="00960EBD">
      <w:pPr>
        <w:pStyle w:val="gmail-msolistparagraph"/>
        <w:spacing w:before="0" w:beforeAutospacing="0" w:after="240" w:afterAutospacing="0"/>
        <w:jc w:val="both"/>
        <w:rPr>
          <w:rFonts w:asciiTheme="minorHAnsi" w:eastAsiaTheme="minorHAnsi" w:hAnsiTheme="minorHAnsi" w:cstheme="minorBidi"/>
          <w:sz w:val="22"/>
          <w:szCs w:val="22"/>
          <w:highlight w:val="yellow"/>
        </w:rPr>
      </w:pPr>
      <w:r w:rsidRPr="00960EBD">
        <w:rPr>
          <w:rFonts w:asciiTheme="minorHAnsi" w:hAnsiTheme="minorHAnsi" w:cstheme="minorHAnsi"/>
          <w:b/>
          <w:sz w:val="22"/>
          <w:szCs w:val="22"/>
        </w:rPr>
        <w:t>R.1</w:t>
      </w:r>
      <w:r>
        <w:rPr>
          <w:b/>
        </w:rPr>
        <w:t xml:space="preserve"> </w:t>
      </w:r>
      <w:r w:rsidR="00960EBD" w:rsidRPr="002B077E">
        <w:rPr>
          <w:rFonts w:asciiTheme="minorHAnsi" w:eastAsiaTheme="minorHAnsi" w:hAnsiTheme="minorHAnsi" w:cstheme="minorBidi"/>
          <w:sz w:val="22"/>
          <w:szCs w:val="22"/>
        </w:rPr>
        <w:t xml:space="preserve">Significant progress has been made under the GDPP in enhancing good governance and democratic development in Ethiopia. In order not to lose the gains made thus far, a follow-on programme (GDPP Phase II) is recommended to build on the achievements and lessons learned. A second phase of the GDPP should give considerable attention to both the national level as well as to the regional level partners and activities. </w:t>
      </w:r>
    </w:p>
    <w:p w14:paraId="52FE2B10" w14:textId="08B391D8" w:rsidR="00960EBD" w:rsidRDefault="00E168AE" w:rsidP="00960EBD">
      <w:r w:rsidRPr="003B3994">
        <w:rPr>
          <w:b/>
        </w:rPr>
        <w:t>R.2</w:t>
      </w:r>
      <w:r>
        <w:t xml:space="preserve"> </w:t>
      </w:r>
      <w:r w:rsidR="00960EBD" w:rsidRPr="002B077E">
        <w:t xml:space="preserve">It </w:t>
      </w:r>
      <w:r w:rsidR="00960EBD">
        <w:t xml:space="preserve">is </w:t>
      </w:r>
      <w:r w:rsidR="00960EBD" w:rsidRPr="002B077E">
        <w:t>important for IPs at national and regional levels, selected CSOs, traditional leaders and other key stakeholders to participate in programme design meetings of GDPP II.</w:t>
      </w:r>
    </w:p>
    <w:p w14:paraId="25EE833D" w14:textId="792BEF48" w:rsidR="00960EBD" w:rsidRPr="002B077E" w:rsidRDefault="00E168AE" w:rsidP="00960EBD">
      <w:pPr>
        <w:jc w:val="both"/>
        <w:rPr>
          <w:highlight w:val="yellow"/>
        </w:rPr>
      </w:pPr>
      <w:r>
        <w:rPr>
          <w:b/>
        </w:rPr>
        <w:t xml:space="preserve">R.3 </w:t>
      </w:r>
      <w:r w:rsidR="00960EBD">
        <w:t xml:space="preserve">Building on its Governance experience, UNDP should develop a comprehensive SDG support strategy to guide </w:t>
      </w:r>
      <w:r w:rsidR="00364AC1">
        <w:t xml:space="preserve">and assist </w:t>
      </w:r>
      <w:r w:rsidR="00960EBD">
        <w:t>Ethiopia’s attainment of the SDGs highlighting those where UNDP has or can mobilise top-class expertise. In conjunction, UNDP should support an awareness raising campaign to help attain the SDG targets.</w:t>
      </w:r>
    </w:p>
    <w:p w14:paraId="7FACCE92" w14:textId="746911C8" w:rsidR="00960EBD" w:rsidRDefault="00E168AE" w:rsidP="00960EBD">
      <w:pPr>
        <w:jc w:val="both"/>
      </w:pPr>
      <w:r>
        <w:rPr>
          <w:b/>
        </w:rPr>
        <w:t xml:space="preserve">R.4 </w:t>
      </w:r>
      <w:r w:rsidR="00960EBD">
        <w:t xml:space="preserve">For a future GDPP </w:t>
      </w:r>
      <w:r w:rsidR="00960EBD" w:rsidRPr="002B077E">
        <w:t>II</w:t>
      </w:r>
      <w:r w:rsidR="00960EBD">
        <w:t xml:space="preserve">, develop a clearly defined results framework, </w:t>
      </w:r>
      <w:r w:rsidR="00960EBD" w:rsidRPr="008C44E8">
        <w:t>including identification of clear and measurable sub-output, output and outcome level indicators, baselines and targets based on quick assessments</w:t>
      </w:r>
      <w:r w:rsidR="00960EBD">
        <w:t xml:space="preserve"> involving relevant IPs, Ministries and regional departments, sectoral bureaus, </w:t>
      </w:r>
      <w:r w:rsidR="00960EBD" w:rsidRPr="00BE6830">
        <w:t xml:space="preserve">research, </w:t>
      </w:r>
      <w:proofErr w:type="gramStart"/>
      <w:r w:rsidR="00960EBD" w:rsidRPr="00BE6830">
        <w:t>training</w:t>
      </w:r>
      <w:proofErr w:type="gramEnd"/>
      <w:r w:rsidR="00960EBD" w:rsidRPr="00BE6830">
        <w:t xml:space="preserve"> and knowledge institutions</w:t>
      </w:r>
      <w:r w:rsidR="00960EBD">
        <w:t xml:space="preserve"> for each key sector. </w:t>
      </w:r>
    </w:p>
    <w:p w14:paraId="7DDC0988" w14:textId="58E099F6" w:rsidR="00485016" w:rsidRDefault="00485016" w:rsidP="00960EBD">
      <w:pPr>
        <w:jc w:val="both"/>
      </w:pPr>
      <w:r w:rsidRPr="00485016">
        <w:rPr>
          <w:b/>
        </w:rPr>
        <w:t>R.5</w:t>
      </w:r>
      <w:r>
        <w:t xml:space="preserve"> </w:t>
      </w:r>
      <w:r w:rsidR="008D02A9">
        <w:t>In designing</w:t>
      </w:r>
      <w:r>
        <w:t xml:space="preserve"> a future programme, establish stronger and more robust risk assessment/management mechanisms, in terms of short/medium/long-term risks;</w:t>
      </w:r>
      <w:r w:rsidR="000A5B91">
        <w:t xml:space="preserve"> </w:t>
      </w:r>
      <w:proofErr w:type="gramStart"/>
      <w:r w:rsidR="000A5B91">
        <w:t>and,</w:t>
      </w:r>
      <w:proofErr w:type="gramEnd"/>
      <w:r w:rsidR="000A5B91">
        <w:t xml:space="preserve"> </w:t>
      </w:r>
      <w:r>
        <w:t xml:space="preserve">include comprehensive mitigation measures in programme planning. </w:t>
      </w:r>
    </w:p>
    <w:p w14:paraId="36D9B08C" w14:textId="165E40D1" w:rsidR="00960EBD" w:rsidRPr="002B077E" w:rsidRDefault="00960EBD" w:rsidP="00960EBD">
      <w:pPr>
        <w:jc w:val="both"/>
        <w:rPr>
          <w:lang w:val="en-US"/>
        </w:rPr>
      </w:pPr>
      <w:r w:rsidRPr="00664FF7">
        <w:rPr>
          <w:b/>
        </w:rPr>
        <w:t>R.</w:t>
      </w:r>
      <w:r w:rsidR="00485016">
        <w:rPr>
          <w:b/>
        </w:rPr>
        <w:t>6</w:t>
      </w:r>
      <w:r w:rsidRPr="00AC4B30">
        <w:t xml:space="preserve"> Monitoring and evaluation functions of a follow-on programme should be well considered through support by qualified and professional team members through secondment and across IPs. A budget line equivalent to at least 5% of the total budget should be accorded to the M&amp;E function to ensure adequate facilitation of its activities.</w:t>
      </w:r>
    </w:p>
    <w:p w14:paraId="057ADD2B" w14:textId="70ACB131" w:rsidR="00960EBD" w:rsidRPr="00A40C97" w:rsidRDefault="00960EBD" w:rsidP="00960EBD">
      <w:pPr>
        <w:jc w:val="both"/>
      </w:pPr>
      <w:r w:rsidRPr="00664FF7">
        <w:rPr>
          <w:b/>
        </w:rPr>
        <w:t>R.</w:t>
      </w:r>
      <w:r w:rsidR="00485016">
        <w:rPr>
          <w:b/>
        </w:rPr>
        <w:t>7</w:t>
      </w:r>
      <w:r>
        <w:t xml:space="preserve"> Ethiopia has 11 regions and two city administrations. A new programme should pilot intervention</w:t>
      </w:r>
      <w:r w:rsidR="000A5B91">
        <w:t>s</w:t>
      </w:r>
      <w:r>
        <w:t xml:space="preserve"> in a few regions by representing both pastoral and </w:t>
      </w:r>
      <w:proofErr w:type="spellStart"/>
      <w:r>
        <w:t>agro</w:t>
      </w:r>
      <w:proofErr w:type="spellEnd"/>
      <w:r>
        <w:t xml:space="preserve">-pastoral communities and clearly demonstrate how the </w:t>
      </w:r>
      <w:r w:rsidRPr="001F2B71">
        <w:t>intervention</w:t>
      </w:r>
      <w:r w:rsidR="000A5B91">
        <w:t>s translate</w:t>
      </w:r>
      <w:r w:rsidRPr="00B03291">
        <w:t xml:space="preserve"> at the regional</w:t>
      </w:r>
      <w:r w:rsidRPr="00C9128A">
        <w:t xml:space="preserve"> level by relating these results back to the federal level.</w:t>
      </w:r>
      <w:r w:rsidRPr="00EB0682">
        <w:t xml:space="preserve"> We propose Oromi</w:t>
      </w:r>
      <w:r w:rsidRPr="001F2B71">
        <w:t>a, Amhara and Afar</w:t>
      </w:r>
      <w:r>
        <w:t>.</w:t>
      </w:r>
      <w:r w:rsidRPr="00B03291">
        <w:t xml:space="preserve"> </w:t>
      </w:r>
      <w:r w:rsidRPr="00A40C97">
        <w:t>Local level democratic institution forum</w:t>
      </w:r>
      <w:r>
        <w:t>s</w:t>
      </w:r>
      <w:r w:rsidRPr="00A40C97">
        <w:t xml:space="preserve"> (at Zonal and Wo</w:t>
      </w:r>
      <w:r w:rsidR="000A5B91">
        <w:t>reda level) and ethics and anti-</w:t>
      </w:r>
      <w:r>
        <w:t>corruption clubs</w:t>
      </w:r>
      <w:r w:rsidRPr="00A40C97">
        <w:t xml:space="preserve"> (at schools) should be included and further strengthen</w:t>
      </w:r>
      <w:r>
        <w:t>ed</w:t>
      </w:r>
      <w:r w:rsidRPr="00A40C97">
        <w:t xml:space="preserve"> </w:t>
      </w:r>
      <w:r>
        <w:t xml:space="preserve">featuring social media as a powerful tool. </w:t>
      </w:r>
    </w:p>
    <w:p w14:paraId="5106B108" w14:textId="77777777" w:rsidR="00E168AE" w:rsidRDefault="00E168AE" w:rsidP="00E168AE">
      <w:pPr>
        <w:spacing w:line="240" w:lineRule="auto"/>
        <w:jc w:val="both"/>
        <w:rPr>
          <w:b/>
        </w:rPr>
      </w:pPr>
      <w:r w:rsidRPr="004F4233">
        <w:rPr>
          <w:b/>
        </w:rPr>
        <w:t>Governance and Capacity Building</w:t>
      </w:r>
    </w:p>
    <w:p w14:paraId="08C24F7C" w14:textId="61998775" w:rsidR="00E168AE" w:rsidRDefault="00960EBD" w:rsidP="00960EBD">
      <w:pPr>
        <w:spacing w:line="240" w:lineRule="auto"/>
        <w:jc w:val="both"/>
      </w:pPr>
      <w:r>
        <w:rPr>
          <w:b/>
        </w:rPr>
        <w:t>R.</w:t>
      </w:r>
      <w:r w:rsidR="00485016">
        <w:rPr>
          <w:b/>
        </w:rPr>
        <w:t>8</w:t>
      </w:r>
      <w:r>
        <w:rPr>
          <w:b/>
        </w:rPr>
        <w:t xml:space="preserve"> </w:t>
      </w:r>
      <w:r w:rsidR="00E168AE">
        <w:t>Through advanced training, coaching and/or secondment from other UNDP offices, as well as where possible fresh recruitment, develop high-level staff skills, especially in the IPs but also in UNDP as necessary, in the following core areas:</w:t>
      </w:r>
    </w:p>
    <w:p w14:paraId="216FF7C7" w14:textId="77777777" w:rsidR="00E168AE" w:rsidRDefault="00E168AE" w:rsidP="00E168AE">
      <w:pPr>
        <w:pStyle w:val="ListParagraph"/>
        <w:numPr>
          <w:ilvl w:val="0"/>
          <w:numId w:val="1"/>
        </w:numPr>
        <w:spacing w:line="240" w:lineRule="auto"/>
        <w:jc w:val="both"/>
      </w:pPr>
      <w:r>
        <w:lastRenderedPageBreak/>
        <w:t>Developing theories of change and enhancing knowledge of their importance in programme design and results management.</w:t>
      </w:r>
    </w:p>
    <w:p w14:paraId="5F815BD1" w14:textId="77777777" w:rsidR="00E168AE" w:rsidRDefault="00E168AE" w:rsidP="00E168AE">
      <w:pPr>
        <w:pStyle w:val="ListParagraph"/>
        <w:numPr>
          <w:ilvl w:val="0"/>
          <w:numId w:val="1"/>
        </w:numPr>
        <w:spacing w:line="240" w:lineRule="auto"/>
        <w:jc w:val="both"/>
      </w:pPr>
      <w:r>
        <w:t xml:space="preserve">Strengthening internal monitoring and data collection systems focusing on </w:t>
      </w:r>
      <w:proofErr w:type="gramStart"/>
      <w:r>
        <w:t>results;</w:t>
      </w:r>
      <w:proofErr w:type="gramEnd"/>
    </w:p>
    <w:p w14:paraId="00AC488E" w14:textId="716C19FC" w:rsidR="00E168AE" w:rsidRDefault="00E168AE" w:rsidP="00E168AE">
      <w:pPr>
        <w:pStyle w:val="ListParagraph"/>
        <w:numPr>
          <w:ilvl w:val="0"/>
          <w:numId w:val="1"/>
        </w:numPr>
        <w:spacing w:line="240" w:lineRule="auto"/>
        <w:jc w:val="both"/>
      </w:pPr>
      <w:r>
        <w:t xml:space="preserve">Strengthening documentation, reporting and dissemination of collaboration interventions along thematic sectors leading to policy briefs, </w:t>
      </w:r>
      <w:proofErr w:type="gramStart"/>
      <w:r>
        <w:t>dialogue</w:t>
      </w:r>
      <w:proofErr w:type="gramEnd"/>
      <w:r>
        <w:t xml:space="preserve"> and position papers, etc.</w:t>
      </w:r>
    </w:p>
    <w:p w14:paraId="241DF83B" w14:textId="21B45429" w:rsidR="00960EBD" w:rsidRDefault="00960EBD" w:rsidP="00960EBD">
      <w:pPr>
        <w:spacing w:line="240" w:lineRule="auto"/>
        <w:jc w:val="both"/>
      </w:pPr>
      <w:r w:rsidRPr="00960EBD">
        <w:rPr>
          <w:b/>
        </w:rPr>
        <w:t>R.</w:t>
      </w:r>
      <w:r w:rsidR="00485016">
        <w:rPr>
          <w:b/>
        </w:rPr>
        <w:t>9</w:t>
      </w:r>
      <w:r w:rsidRPr="00960EBD">
        <w:rPr>
          <w:b/>
        </w:rPr>
        <w:t>.</w:t>
      </w:r>
      <w:r w:rsidRPr="00AC4B30">
        <w:t xml:space="preserve"> GDPP should strengthen the collaboration and management mechanisms of PMB and PTC to promote harmonious and complementary support and ensure IPs’ programme ownership. Because of </w:t>
      </w:r>
      <w:r w:rsidR="00364AC1">
        <w:t xml:space="preserve">the </w:t>
      </w:r>
      <w:r w:rsidRPr="00AC4B30">
        <w:t xml:space="preserve">high turnover in IPs, thorough induction of new staff should be systematic. </w:t>
      </w:r>
    </w:p>
    <w:p w14:paraId="6C682B14" w14:textId="2229B318" w:rsidR="00E168AE" w:rsidRDefault="00E168AE" w:rsidP="00960EBD">
      <w:pPr>
        <w:spacing w:line="240" w:lineRule="auto"/>
        <w:jc w:val="both"/>
      </w:pPr>
      <w:r>
        <w:rPr>
          <w:b/>
        </w:rPr>
        <w:t>R.</w:t>
      </w:r>
      <w:r w:rsidR="00485016">
        <w:rPr>
          <w:b/>
        </w:rPr>
        <w:t xml:space="preserve">10 </w:t>
      </w:r>
      <w:r>
        <w:t>Senior management inputs need to go into exploring synergistic partnerships with other UN agencies which may have technical capacity in specific areas of relevance to the GDPP.</w:t>
      </w:r>
    </w:p>
    <w:p w14:paraId="734980A5" w14:textId="3D301B33" w:rsidR="00E168AE" w:rsidRDefault="00E168AE" w:rsidP="00960EBD">
      <w:pPr>
        <w:spacing w:line="240" w:lineRule="auto"/>
        <w:jc w:val="both"/>
      </w:pPr>
      <w:r>
        <w:rPr>
          <w:b/>
        </w:rPr>
        <w:t>R.</w:t>
      </w:r>
      <w:r w:rsidR="00960EBD">
        <w:rPr>
          <w:b/>
        </w:rPr>
        <w:t>1</w:t>
      </w:r>
      <w:r w:rsidR="00485016">
        <w:rPr>
          <w:b/>
        </w:rPr>
        <w:t>1</w:t>
      </w:r>
      <w:r>
        <w:rPr>
          <w:b/>
        </w:rPr>
        <w:t xml:space="preserve"> </w:t>
      </w:r>
      <w:r>
        <w:t xml:space="preserve">Ensure that when undertaking capacity building interventions, there is a clear baseline of the capacity gaps identified and a defined pathway to change before embarking on the process. </w:t>
      </w:r>
    </w:p>
    <w:p w14:paraId="65D93259" w14:textId="747AA414" w:rsidR="00E168AE" w:rsidRPr="004319EC" w:rsidRDefault="00E168AE" w:rsidP="00E168AE">
      <w:pPr>
        <w:spacing w:before="240" w:line="240" w:lineRule="auto"/>
        <w:jc w:val="both"/>
        <w:rPr>
          <w:b/>
        </w:rPr>
      </w:pPr>
      <w:r w:rsidRPr="004319EC">
        <w:rPr>
          <w:b/>
        </w:rPr>
        <w:t>Resource Mobilisation, Monitoring and Reporting</w:t>
      </w:r>
    </w:p>
    <w:p w14:paraId="586D7CA3" w14:textId="00969E10" w:rsidR="00E168AE" w:rsidRDefault="00E168AE" w:rsidP="00960EBD">
      <w:pPr>
        <w:spacing w:line="240" w:lineRule="auto"/>
        <w:jc w:val="both"/>
      </w:pPr>
      <w:r>
        <w:rPr>
          <w:b/>
        </w:rPr>
        <w:t>R.</w:t>
      </w:r>
      <w:r w:rsidR="00960EBD">
        <w:rPr>
          <w:b/>
        </w:rPr>
        <w:t>1</w:t>
      </w:r>
      <w:r w:rsidR="00485016">
        <w:rPr>
          <w:b/>
        </w:rPr>
        <w:t>2</w:t>
      </w:r>
      <w:r>
        <w:rPr>
          <w:b/>
        </w:rPr>
        <w:t xml:space="preserve"> </w:t>
      </w:r>
      <w:r>
        <w:t xml:space="preserve">Use Service User Feedback Surveys to elicit people’s views on public service delivery, rule of law, </w:t>
      </w:r>
      <w:proofErr w:type="gramStart"/>
      <w:r>
        <w:t>accountability</w:t>
      </w:r>
      <w:proofErr w:type="gramEnd"/>
      <w:r>
        <w:t xml:space="preserve"> and transparency to identify where efforts to improve performance should best be applied. </w:t>
      </w:r>
    </w:p>
    <w:p w14:paraId="7B53602A" w14:textId="7C6C6053" w:rsidR="00E168AE" w:rsidRDefault="00E168AE" w:rsidP="00960EBD">
      <w:pPr>
        <w:spacing w:line="240" w:lineRule="auto"/>
        <w:jc w:val="both"/>
      </w:pPr>
      <w:r>
        <w:rPr>
          <w:b/>
        </w:rPr>
        <w:t>R.</w:t>
      </w:r>
      <w:r w:rsidR="00960EBD">
        <w:rPr>
          <w:b/>
        </w:rPr>
        <w:t>1</w:t>
      </w:r>
      <w:r w:rsidR="00485016">
        <w:rPr>
          <w:b/>
        </w:rPr>
        <w:t>3</w:t>
      </w:r>
      <w:r>
        <w:t xml:space="preserve"> UNDP should work with specialized institutions, including advocacy CSOs and higher research institutions in the country, to publish evidence of trends in policy and strategic information. </w:t>
      </w:r>
    </w:p>
    <w:p w14:paraId="489D1B20" w14:textId="03005EC4" w:rsidR="00E168AE" w:rsidRDefault="00E168AE" w:rsidP="000A5B91">
      <w:pPr>
        <w:jc w:val="both"/>
      </w:pPr>
      <w:r w:rsidRPr="00960EBD">
        <w:rPr>
          <w:b/>
        </w:rPr>
        <w:t>R.1</w:t>
      </w:r>
      <w:r w:rsidR="00485016">
        <w:rPr>
          <w:b/>
        </w:rPr>
        <w:t>4</w:t>
      </w:r>
      <w:r w:rsidRPr="00960EBD">
        <w:rPr>
          <w:b/>
        </w:rPr>
        <w:t xml:space="preserve"> </w:t>
      </w:r>
      <w:r>
        <w:t xml:space="preserve">UNDP needs to develop a robust resource mobilisation strategy to strengthen the GDPP. </w:t>
      </w:r>
      <w:proofErr w:type="gramStart"/>
      <w:r>
        <w:t>In particular, UNDP</w:t>
      </w:r>
      <w:proofErr w:type="gramEnd"/>
      <w:r>
        <w:t xml:space="preserve"> needs to explore funding opportunities with other donors apart from the initial 4 (Austria, Denmark, Norway and Sweden) as well as explore options with the private sector.</w:t>
      </w:r>
    </w:p>
    <w:p w14:paraId="4E267BCE" w14:textId="7C251E99" w:rsidR="00E168AE" w:rsidRDefault="00E168AE" w:rsidP="00960EBD">
      <w:pPr>
        <w:spacing w:line="240" w:lineRule="auto"/>
        <w:jc w:val="both"/>
        <w:rPr>
          <w:b/>
        </w:rPr>
      </w:pPr>
      <w:r>
        <w:rPr>
          <w:b/>
        </w:rPr>
        <w:t>R.1</w:t>
      </w:r>
      <w:r w:rsidR="00485016">
        <w:rPr>
          <w:b/>
        </w:rPr>
        <w:t>5</w:t>
      </w:r>
      <w:r>
        <w:rPr>
          <w:b/>
        </w:rPr>
        <w:t xml:space="preserve"> </w:t>
      </w:r>
      <w:r>
        <w:t xml:space="preserve">UNDP should explore citizen-based funding – as in the experience of Indonesia, for example, where citizens contribute to the anti-corruption commission. In Ethiopia, the context of citizens (dissatisfied by certain government services) is fertile and such funding can be sustainable and independent </w:t>
      </w:r>
      <w:proofErr w:type="gramStart"/>
      <w:r>
        <w:t>in order to</w:t>
      </w:r>
      <w:proofErr w:type="gramEnd"/>
      <w:r>
        <w:t xml:space="preserve"> support areas which the government sees as “thorny” and doesn’t want to touch. This would also increase citizen demands for greater participation in decisions that affect their lives.</w:t>
      </w:r>
      <w:r w:rsidRPr="006F3554">
        <w:rPr>
          <w:b/>
        </w:rPr>
        <w:t xml:space="preserve"> </w:t>
      </w:r>
    </w:p>
    <w:p w14:paraId="269EBBA9" w14:textId="49FB0E19" w:rsidR="00960EBD" w:rsidRPr="001F6ADE" w:rsidRDefault="00960EBD" w:rsidP="00960EBD">
      <w:pPr>
        <w:spacing w:after="0"/>
        <w:jc w:val="both"/>
        <w:rPr>
          <w:bCs/>
        </w:rPr>
      </w:pPr>
      <w:r w:rsidRPr="001F6ADE">
        <w:rPr>
          <w:b/>
          <w:bCs/>
        </w:rPr>
        <w:t>R.1</w:t>
      </w:r>
      <w:r w:rsidR="00485016">
        <w:rPr>
          <w:b/>
          <w:bCs/>
        </w:rPr>
        <w:t>6</w:t>
      </w:r>
      <w:r w:rsidRPr="001F6ADE">
        <w:rPr>
          <w:bCs/>
        </w:rPr>
        <w:t xml:space="preserve"> Given the variation in the capacity and experience of IPs, GDPP should create experience sharing opportunities, for example, during joint monitoring visits, regular meetings or capacity strengthening trainings. </w:t>
      </w:r>
    </w:p>
    <w:p w14:paraId="35687E3B" w14:textId="77777777" w:rsidR="00E168AE" w:rsidRDefault="00E168AE" w:rsidP="00E168AE">
      <w:pPr>
        <w:spacing w:before="240" w:line="240" w:lineRule="auto"/>
        <w:jc w:val="both"/>
        <w:rPr>
          <w:b/>
        </w:rPr>
      </w:pPr>
      <w:r w:rsidRPr="006F3554">
        <w:rPr>
          <w:b/>
        </w:rPr>
        <w:t>Cross-Cutting Issues</w:t>
      </w:r>
    </w:p>
    <w:p w14:paraId="1B236AA3" w14:textId="5CD560C1" w:rsidR="00C2794D" w:rsidRDefault="00E168AE" w:rsidP="00C2794D">
      <w:pPr>
        <w:spacing w:line="240" w:lineRule="auto"/>
        <w:jc w:val="both"/>
      </w:pPr>
      <w:r>
        <w:rPr>
          <w:b/>
        </w:rPr>
        <w:t>R.1</w:t>
      </w:r>
      <w:r w:rsidR="00485016">
        <w:rPr>
          <w:b/>
        </w:rPr>
        <w:t>7</w:t>
      </w:r>
      <w:r>
        <w:rPr>
          <w:b/>
        </w:rPr>
        <w:t xml:space="preserve"> </w:t>
      </w:r>
      <w:r w:rsidR="00C2794D">
        <w:t>UNDP should seek to learn from the experiences of other countries, and strong gender organisations in Ethiopia, in developing gender-specific programming strategies though virtual workshops or other kinds of information exchanges</w:t>
      </w:r>
    </w:p>
    <w:p w14:paraId="3D362DCC" w14:textId="52FE764B" w:rsidR="00E168AE" w:rsidRPr="006F3554" w:rsidRDefault="00E168AE" w:rsidP="00C2794D">
      <w:pPr>
        <w:spacing w:line="240" w:lineRule="auto"/>
        <w:jc w:val="both"/>
        <w:rPr>
          <w:b/>
        </w:rPr>
      </w:pPr>
      <w:r w:rsidRPr="003B3994">
        <w:rPr>
          <w:b/>
        </w:rPr>
        <w:t>R.1</w:t>
      </w:r>
      <w:r w:rsidR="00485016">
        <w:rPr>
          <w:b/>
        </w:rPr>
        <w:t>8</w:t>
      </w:r>
      <w:r>
        <w:rPr>
          <w:b/>
        </w:rPr>
        <w:t xml:space="preserve"> </w:t>
      </w:r>
      <w:r>
        <w:t xml:space="preserve">UNDP needs to cascade the gender tools and frameworks of the UN system to the specific programme and project level </w:t>
      </w:r>
      <w:proofErr w:type="gramStart"/>
      <w:r>
        <w:t>in order to</w:t>
      </w:r>
      <w:proofErr w:type="gramEnd"/>
      <w:r>
        <w:t xml:space="preserve"> better monitor and track results based on gender indicators.</w:t>
      </w:r>
    </w:p>
    <w:p w14:paraId="23565980" w14:textId="33C94F0F" w:rsidR="00C12C91" w:rsidRDefault="00E168AE" w:rsidP="00C2794D">
      <w:pPr>
        <w:spacing w:line="240" w:lineRule="auto"/>
        <w:jc w:val="both"/>
        <w:sectPr w:rsidR="00C12C91" w:rsidSect="00E168AE">
          <w:footerReference w:type="default" r:id="rId9"/>
          <w:pgSz w:w="12240" w:h="15840"/>
          <w:pgMar w:top="1440" w:right="1440" w:bottom="1440" w:left="1440" w:header="720" w:footer="720" w:gutter="0"/>
          <w:pgNumType w:fmt="lowerRoman" w:start="1"/>
          <w:cols w:space="720"/>
          <w:docGrid w:linePitch="360"/>
        </w:sectPr>
      </w:pPr>
      <w:r w:rsidRPr="003B3994">
        <w:rPr>
          <w:b/>
        </w:rPr>
        <w:t>R.1</w:t>
      </w:r>
      <w:r w:rsidR="00485016">
        <w:rPr>
          <w:b/>
        </w:rPr>
        <w:t>9</w:t>
      </w:r>
      <w:r>
        <w:t xml:space="preserve"> At the local level, UNDP should seek opportunities to support social networks and movements aimed at advancing women’s rights, gender inclusivity, marginalized</w:t>
      </w:r>
      <w:r w:rsidRPr="008C2BB0">
        <w:t xml:space="preserve"> </w:t>
      </w:r>
      <w:proofErr w:type="gramStart"/>
      <w:r>
        <w:t>groups</w:t>
      </w:r>
      <w:proofErr w:type="gramEnd"/>
      <w:r>
        <w:t xml:space="preserve"> and persons with disabilities (special needs). (In the context of Ethiopia, this is a meaningful and critical recommendation in the sense that </w:t>
      </w:r>
      <w:r>
        <w:lastRenderedPageBreak/>
        <w:t>minority voices and rights are not heard; and these groups are increasingly marginalized, even currently, in context where more reforms are the “talk” of the day).</w:t>
      </w:r>
    </w:p>
    <w:p w14:paraId="4DD6EDE4" w14:textId="77777777" w:rsidR="00C12C91" w:rsidRPr="00DF5A82" w:rsidRDefault="00C12C91" w:rsidP="00C12C91">
      <w:pPr>
        <w:outlineLvl w:val="0"/>
        <w:rPr>
          <w:b/>
          <w:sz w:val="24"/>
          <w:szCs w:val="24"/>
        </w:rPr>
      </w:pPr>
      <w:r w:rsidRPr="00DF5A82">
        <w:rPr>
          <w:b/>
          <w:sz w:val="24"/>
          <w:szCs w:val="24"/>
        </w:rPr>
        <w:lastRenderedPageBreak/>
        <w:t xml:space="preserve">SECTION 1: </w:t>
      </w:r>
      <w:r>
        <w:rPr>
          <w:b/>
          <w:sz w:val="24"/>
          <w:szCs w:val="24"/>
        </w:rPr>
        <w:t>INTRODUCING THE EVALUATION</w:t>
      </w:r>
    </w:p>
    <w:p w14:paraId="497130A0" w14:textId="77777777" w:rsidR="00C12C91" w:rsidRDefault="00C12C91" w:rsidP="00C12C91">
      <w:pPr>
        <w:pStyle w:val="ListParagraph"/>
        <w:numPr>
          <w:ilvl w:val="1"/>
          <w:numId w:val="2"/>
        </w:numPr>
        <w:outlineLvl w:val="1"/>
        <w:rPr>
          <w:b/>
        </w:rPr>
      </w:pPr>
      <w:bookmarkStart w:id="0" w:name="_Toc98315359"/>
      <w:bookmarkStart w:id="1" w:name="_Toc98315411"/>
      <w:bookmarkStart w:id="2" w:name="_Toc98315453"/>
      <w:r>
        <w:rPr>
          <w:b/>
        </w:rPr>
        <w:t>Background</w:t>
      </w:r>
      <w:bookmarkEnd w:id="0"/>
      <w:bookmarkEnd w:id="1"/>
      <w:bookmarkEnd w:id="2"/>
    </w:p>
    <w:p w14:paraId="16633A14" w14:textId="77777777" w:rsidR="00C12C91" w:rsidRPr="001069AA" w:rsidRDefault="00C12C91" w:rsidP="00C12C91">
      <w:pPr>
        <w:pStyle w:val="ListParagraph"/>
        <w:ind w:left="360"/>
        <w:outlineLvl w:val="1"/>
        <w:rPr>
          <w:b/>
        </w:rPr>
      </w:pPr>
    </w:p>
    <w:p w14:paraId="77B7BD78" w14:textId="580D596B" w:rsidR="00C12C91" w:rsidRDefault="00C12C91" w:rsidP="004F27CE">
      <w:pPr>
        <w:pStyle w:val="ListParagraph"/>
        <w:numPr>
          <w:ilvl w:val="0"/>
          <w:numId w:val="3"/>
        </w:numPr>
        <w:spacing w:before="240" w:line="240" w:lineRule="auto"/>
        <w:jc w:val="both"/>
        <w:rPr>
          <w:rFonts w:eastAsia="Times New Roman" w:cstheme="minorHAnsi"/>
          <w:lang w:eastAsia="en-CA"/>
        </w:rPr>
      </w:pPr>
      <w:r>
        <w:t>UNDP in close collaboration with Ethiopian government stakeholders</w:t>
      </w:r>
      <w:r w:rsidRPr="00F333AD">
        <w:t xml:space="preserve"> </w:t>
      </w:r>
      <w:r>
        <w:t>established t</w:t>
      </w:r>
      <w:r>
        <w:rPr>
          <w:rFonts w:eastAsia="Times New Roman" w:cstheme="minorHAnsi"/>
          <w:lang w:eastAsia="en-CA"/>
        </w:rPr>
        <w:t xml:space="preserve">he </w:t>
      </w:r>
      <w:r>
        <w:t xml:space="preserve">Governance and Democratic Participation Programme (GDPP) in 2017 </w:t>
      </w:r>
      <w:r w:rsidRPr="0080606E">
        <w:rPr>
          <w:rFonts w:eastAsia="Times New Roman" w:cstheme="minorHAnsi"/>
          <w:lang w:eastAsia="en-CA"/>
        </w:rPr>
        <w:t>to “capitalize on existing momentum and opportunities to further advance good governance and entrench democratic principles at all levels and across</w:t>
      </w:r>
      <w:r w:rsidR="000A5B91">
        <w:rPr>
          <w:rFonts w:eastAsia="Times New Roman" w:cstheme="minorHAnsi"/>
          <w:lang w:eastAsia="en-CA"/>
        </w:rPr>
        <w:t xml:space="preserve"> the country.”</w:t>
      </w:r>
      <w:r>
        <w:rPr>
          <w:rStyle w:val="FootnoteReference"/>
          <w:rFonts w:eastAsia="Times New Roman" w:cstheme="minorHAnsi"/>
          <w:lang w:eastAsia="en-CA"/>
        </w:rPr>
        <w:footnoteReference w:id="1"/>
      </w:r>
      <w:r w:rsidRPr="0080606E">
        <w:rPr>
          <w:rFonts w:eastAsia="Times New Roman" w:cstheme="minorHAnsi"/>
          <w:lang w:eastAsia="en-CA"/>
        </w:rPr>
        <w:t xml:space="preserve"> As such, the programme aimed to promote an all-inclusive and sustainable development agenda by strengthening public institutions, mechanisms and processes to facilitate and promote transparency, accountability, rule of law and access to justice, and wider civic participation, dialogue, national cohesion and peace.</w:t>
      </w:r>
      <w:r>
        <w:rPr>
          <w:rStyle w:val="FootnoteReference"/>
          <w:rFonts w:eastAsia="Times New Roman" w:cstheme="minorHAnsi"/>
          <w:lang w:eastAsia="en-CA"/>
        </w:rPr>
        <w:footnoteReference w:id="2"/>
      </w:r>
    </w:p>
    <w:p w14:paraId="5EECAB3D" w14:textId="77777777" w:rsidR="00C12C91" w:rsidRDefault="00C12C91" w:rsidP="004F27CE">
      <w:pPr>
        <w:pStyle w:val="ListParagraph"/>
        <w:spacing w:before="240" w:line="240" w:lineRule="auto"/>
        <w:ind w:left="360"/>
        <w:jc w:val="both"/>
        <w:rPr>
          <w:rFonts w:eastAsia="Times New Roman" w:cstheme="minorHAnsi"/>
          <w:lang w:eastAsia="en-CA"/>
        </w:rPr>
      </w:pPr>
    </w:p>
    <w:p w14:paraId="38722CBC" w14:textId="77777777" w:rsidR="00C12C91" w:rsidRPr="00190DB5" w:rsidRDefault="00C12C91" w:rsidP="004F27CE">
      <w:pPr>
        <w:pStyle w:val="ListParagraph"/>
        <w:numPr>
          <w:ilvl w:val="0"/>
          <w:numId w:val="3"/>
        </w:numPr>
        <w:spacing w:before="240" w:line="240" w:lineRule="auto"/>
        <w:jc w:val="both"/>
        <w:rPr>
          <w:rFonts w:cstheme="minorHAnsi"/>
          <w:color w:val="0A0A0A"/>
          <w:spacing w:val="4"/>
        </w:rPr>
      </w:pPr>
      <w:r>
        <w:t xml:space="preserve">The GDPP was designed based on progress made and lessons learned from the former Democratic Institutions Programme (DIP) and other interventions to support initiatives aimed at addressing governance bottlenecks, and to nurture the development of a more responsive system of governance and peaceful coexistence. The launch of the GDPP in 2017 was at a time when there were significant risks attached to a </w:t>
      </w:r>
      <w:proofErr w:type="gramStart"/>
      <w:r>
        <w:t>fairly restricted</w:t>
      </w:r>
      <w:proofErr w:type="gramEnd"/>
      <w:r>
        <w:t xml:space="preserve"> governance environment. However, changes instituted in 2018 demonstrate that provision of democratic governance support needs to be adaptive to changes in the political landscape </w:t>
      </w:r>
      <w:proofErr w:type="gramStart"/>
      <w:r>
        <w:t>in order to</w:t>
      </w:r>
      <w:proofErr w:type="gramEnd"/>
      <w:r>
        <w:t xml:space="preserve"> capitalize on emerging opportunities. </w:t>
      </w:r>
    </w:p>
    <w:p w14:paraId="0F2AFF84" w14:textId="77777777" w:rsidR="00C12C91" w:rsidRPr="005D1BCB" w:rsidRDefault="00C12C91" w:rsidP="00C12C91">
      <w:pPr>
        <w:spacing w:before="240" w:line="360" w:lineRule="auto"/>
        <w:jc w:val="both"/>
        <w:rPr>
          <w:rFonts w:eastAsia="Times New Roman" w:cstheme="minorHAnsi"/>
          <w:b/>
          <w:lang w:eastAsia="en-CA"/>
        </w:rPr>
      </w:pPr>
      <w:r w:rsidRPr="005D1BCB">
        <w:rPr>
          <w:rFonts w:eastAsia="Times New Roman" w:cstheme="minorHAnsi"/>
          <w:b/>
          <w:lang w:eastAsia="en-CA"/>
        </w:rPr>
        <w:t>1.2 Purpose</w:t>
      </w:r>
      <w:r>
        <w:rPr>
          <w:rFonts w:eastAsia="Times New Roman" w:cstheme="minorHAnsi"/>
          <w:b/>
          <w:lang w:eastAsia="en-CA"/>
        </w:rPr>
        <w:t>,</w:t>
      </w:r>
      <w:r w:rsidRPr="005D1BCB">
        <w:rPr>
          <w:rFonts w:eastAsia="Times New Roman" w:cstheme="minorHAnsi"/>
          <w:b/>
          <w:lang w:eastAsia="en-CA"/>
        </w:rPr>
        <w:t xml:space="preserve"> </w:t>
      </w:r>
      <w:proofErr w:type="gramStart"/>
      <w:r w:rsidRPr="005D1BCB">
        <w:rPr>
          <w:rFonts w:eastAsia="Times New Roman" w:cstheme="minorHAnsi"/>
          <w:b/>
          <w:lang w:eastAsia="en-CA"/>
        </w:rPr>
        <w:t>scope</w:t>
      </w:r>
      <w:proofErr w:type="gramEnd"/>
      <w:r>
        <w:rPr>
          <w:rFonts w:eastAsia="Times New Roman" w:cstheme="minorHAnsi"/>
          <w:b/>
          <w:lang w:eastAsia="en-CA"/>
        </w:rPr>
        <w:t xml:space="preserve"> and objectives</w:t>
      </w:r>
    </w:p>
    <w:p w14:paraId="7F992EE9" w14:textId="16E5718D" w:rsidR="00C12C91" w:rsidRPr="002B00E4" w:rsidRDefault="00C12C91" w:rsidP="004F27CE">
      <w:pPr>
        <w:pStyle w:val="ListParagraph"/>
        <w:numPr>
          <w:ilvl w:val="0"/>
          <w:numId w:val="3"/>
        </w:numPr>
        <w:spacing w:before="240" w:line="240" w:lineRule="auto"/>
        <w:jc w:val="both"/>
        <w:rPr>
          <w:rFonts w:cstheme="minorHAnsi"/>
          <w:color w:val="0A0A0A"/>
          <w:spacing w:val="4"/>
        </w:rPr>
      </w:pPr>
      <w:r>
        <w:t>UNDP</w:t>
      </w:r>
      <w:r w:rsidRPr="00F333AD">
        <w:t xml:space="preserve"> </w:t>
      </w:r>
      <w:r>
        <w:t>Ethiopia</w:t>
      </w:r>
      <w:r w:rsidRPr="00F333AD">
        <w:t xml:space="preserve"> commissioned an independent </w:t>
      </w:r>
      <w:r>
        <w:t>Terminal</w:t>
      </w:r>
      <w:r w:rsidRPr="00F333AD">
        <w:t xml:space="preserve"> Evaluation (TE) of the </w:t>
      </w:r>
      <w:r>
        <w:t>GDPP</w:t>
      </w:r>
      <w:r w:rsidRPr="00F333AD">
        <w:t xml:space="preserve"> for the </w:t>
      </w:r>
      <w:r>
        <w:t>full implementation period of the programme (July 2017-December 2021)</w:t>
      </w:r>
      <w:r w:rsidRPr="00F333AD">
        <w:t>.</w:t>
      </w:r>
      <w:r>
        <w:rPr>
          <w:rStyle w:val="FootnoteReference"/>
        </w:rPr>
        <w:footnoteReference w:id="3"/>
      </w:r>
      <w:r w:rsidRPr="00F333AD">
        <w:t xml:space="preserve"> </w:t>
      </w:r>
      <w:r>
        <w:t xml:space="preserve">The evaluation was conducted </w:t>
      </w:r>
      <w:r w:rsidRPr="00F333AD">
        <w:t xml:space="preserve">between </w:t>
      </w:r>
      <w:r>
        <w:t xml:space="preserve">January-April </w:t>
      </w:r>
      <w:r w:rsidRPr="00F333AD">
        <w:t>202</w:t>
      </w:r>
      <w:r>
        <w:t xml:space="preserve">2 in accordance with the methodology and process as described in the Terms of Reference (see </w:t>
      </w:r>
      <w:r w:rsidRPr="00567A66">
        <w:t xml:space="preserve">Annex </w:t>
      </w:r>
      <w:r w:rsidR="0072463D">
        <w:t>4</w:t>
      </w:r>
      <w:r>
        <w:t xml:space="preserve">). </w:t>
      </w:r>
      <w:r w:rsidRPr="00F333AD">
        <w:t xml:space="preserve">The evaluation </w:t>
      </w:r>
      <w:r>
        <w:t>team comprised an</w:t>
      </w:r>
      <w:r w:rsidRPr="00F333AD">
        <w:t xml:space="preserve"> international Team Leader and </w:t>
      </w:r>
      <w:r>
        <w:t>two</w:t>
      </w:r>
      <w:r w:rsidRPr="00F333AD">
        <w:t xml:space="preserve"> national </w:t>
      </w:r>
      <w:r>
        <w:t>subject matter experts</w:t>
      </w:r>
      <w:r w:rsidRPr="00F333AD">
        <w:t>.</w:t>
      </w:r>
      <w:r>
        <w:t xml:space="preserve"> The evaluation focal point at the UNDP Country Office helped to identify appropriate key informants, facilitated </w:t>
      </w:r>
      <w:proofErr w:type="gramStart"/>
      <w:r>
        <w:t>interviews</w:t>
      </w:r>
      <w:proofErr w:type="gramEnd"/>
      <w:r>
        <w:t xml:space="preserve"> and focus groups and provided field data collection support. Field research was based on the following criteria: a balanced representation of issue areas by outcome, geographical coverage, security issues and inclusion of both successful and challenging interventions. Specifically, the overall purpose of the evaluation was to:</w:t>
      </w:r>
    </w:p>
    <w:p w14:paraId="32A9972F" w14:textId="77777777" w:rsidR="00C12C91" w:rsidRDefault="00C12C91" w:rsidP="004F27CE">
      <w:pPr>
        <w:pStyle w:val="ListParagraph"/>
        <w:spacing w:before="240" w:line="240" w:lineRule="auto"/>
        <w:jc w:val="both"/>
      </w:pPr>
      <w:r>
        <w:sym w:font="Symbol" w:char="F0B7"/>
      </w:r>
      <w:r>
        <w:t xml:space="preserve"> Review validity of programme assumptions and the theory of change of the programme to map the results pathways </w:t>
      </w:r>
      <w:proofErr w:type="gramStart"/>
      <w:r>
        <w:t>and also</w:t>
      </w:r>
      <w:proofErr w:type="gramEnd"/>
      <w:r>
        <w:t xml:space="preserve"> assess cause - effect relationships for highlighting, based on lessons learned, how should the theory of change and results’ pathways of a second programme cycle of GDPP be defined. </w:t>
      </w:r>
    </w:p>
    <w:p w14:paraId="2F19A757" w14:textId="77777777" w:rsidR="00C12C91" w:rsidRDefault="00C12C91" w:rsidP="004F27CE">
      <w:pPr>
        <w:pStyle w:val="ListParagraph"/>
        <w:spacing w:before="240" w:line="240" w:lineRule="auto"/>
        <w:jc w:val="both"/>
      </w:pPr>
      <w:r>
        <w:sym w:font="Symbol" w:char="F0B7"/>
      </w:r>
      <w:r>
        <w:t xml:space="preserve"> Assess the design, relevance, effectiveness, efficiency, impact, and sustainability of the programme interventions. </w:t>
      </w:r>
    </w:p>
    <w:p w14:paraId="0635701A" w14:textId="77777777" w:rsidR="00C12C91" w:rsidRDefault="00C12C91" w:rsidP="00C12C91">
      <w:pPr>
        <w:pStyle w:val="ListParagraph"/>
        <w:spacing w:before="240" w:line="240" w:lineRule="auto"/>
        <w:jc w:val="both"/>
      </w:pPr>
      <w:r>
        <w:sym w:font="Symbol" w:char="F0B7"/>
      </w:r>
      <w:r>
        <w:t xml:space="preserve"> Identify implementation issues and challenges/bottlenecks which constrain programme and financial delivery. </w:t>
      </w:r>
    </w:p>
    <w:p w14:paraId="4B1A5176" w14:textId="77777777" w:rsidR="00C12C91" w:rsidRDefault="00C12C91" w:rsidP="00C12C91">
      <w:pPr>
        <w:pStyle w:val="ListParagraph"/>
        <w:spacing w:before="240" w:line="240" w:lineRule="auto"/>
        <w:jc w:val="both"/>
      </w:pPr>
      <w:r>
        <w:sym w:font="Symbol" w:char="F0B7"/>
      </w:r>
      <w:r>
        <w:t xml:space="preserve"> Provide evidence whether the programme has been able to accomplish the intended results/outputs and identify attributed factors. </w:t>
      </w:r>
    </w:p>
    <w:p w14:paraId="4BB408AA" w14:textId="77777777" w:rsidR="00C12C91" w:rsidRDefault="00C12C91" w:rsidP="00C12C91">
      <w:pPr>
        <w:pStyle w:val="ListParagraph"/>
        <w:spacing w:before="240" w:line="240" w:lineRule="auto"/>
        <w:jc w:val="both"/>
      </w:pPr>
      <w:r>
        <w:sym w:font="Symbol" w:char="F0B7"/>
      </w:r>
      <w:r>
        <w:t xml:space="preserve"> Identify lessons learned, best practices &amp; recommendations, and document knowledge basis from the programme design &amp; implementation, based on evidence and reliable information, </w:t>
      </w:r>
      <w:proofErr w:type="gramStart"/>
      <w:r>
        <w:t xml:space="preserve">so </w:t>
      </w:r>
      <w:r>
        <w:lastRenderedPageBreak/>
        <w:t>as to</w:t>
      </w:r>
      <w:proofErr w:type="gramEnd"/>
      <w:r>
        <w:t xml:space="preserve"> improve a design, scope, and implementation strategies/arrangements of a new iteration of democratic governance support which will be formulated in early 2022. </w:t>
      </w:r>
    </w:p>
    <w:p w14:paraId="54BD31B5" w14:textId="77777777" w:rsidR="00C12C91" w:rsidRDefault="00C12C91" w:rsidP="00C12C91">
      <w:pPr>
        <w:pStyle w:val="ListParagraph"/>
        <w:spacing w:before="240" w:line="240" w:lineRule="auto"/>
        <w:jc w:val="both"/>
      </w:pPr>
      <w:r>
        <w:sym w:font="Symbol" w:char="F0B7"/>
      </w:r>
      <w:r>
        <w:t xml:space="preserve"> Identify strengths and weaknesses of the programme in the application of rights-based approaches, gender mainstreaming and social inclusion plus clearly identify recommendations to be applied in any future iteration of democratic governance support. </w:t>
      </w:r>
    </w:p>
    <w:p w14:paraId="7928BF52" w14:textId="77777777" w:rsidR="00C12C91" w:rsidRPr="002B00E4" w:rsidRDefault="00C12C91" w:rsidP="00C12C91">
      <w:pPr>
        <w:pStyle w:val="ListParagraph"/>
        <w:spacing w:before="240" w:line="240" w:lineRule="auto"/>
        <w:jc w:val="both"/>
        <w:rPr>
          <w:rFonts w:cstheme="minorHAnsi"/>
          <w:color w:val="0A0A0A"/>
          <w:spacing w:val="4"/>
        </w:rPr>
      </w:pPr>
      <w:r>
        <w:sym w:font="Symbol" w:char="F0B7"/>
      </w:r>
      <w:r>
        <w:t xml:space="preserve"> Review risk assessment &amp; mitigation measures taken for ensuring progress on implementing the programme’s interventions. Also comment on their effectiveness and identify lessons learned about the adaptability/flexibility exhibited by the Programme.</w:t>
      </w:r>
      <w:r>
        <w:rPr>
          <w:rStyle w:val="FootnoteReference"/>
        </w:rPr>
        <w:footnoteReference w:id="4"/>
      </w:r>
    </w:p>
    <w:p w14:paraId="2B40B370" w14:textId="77777777" w:rsidR="00C12C91" w:rsidRPr="000D0723" w:rsidRDefault="00C12C91" w:rsidP="00C12C91">
      <w:pPr>
        <w:pStyle w:val="ListParagraph"/>
        <w:spacing w:before="240" w:line="360" w:lineRule="auto"/>
        <w:ind w:left="360"/>
        <w:jc w:val="both"/>
        <w:rPr>
          <w:rFonts w:cstheme="minorHAnsi"/>
          <w:color w:val="0A0A0A"/>
          <w:spacing w:val="4"/>
        </w:rPr>
      </w:pPr>
    </w:p>
    <w:p w14:paraId="6C3092E5" w14:textId="77777777" w:rsidR="00C12C91" w:rsidRPr="00E81188" w:rsidRDefault="00C12C91" w:rsidP="004F27CE">
      <w:pPr>
        <w:pStyle w:val="ListParagraph"/>
        <w:numPr>
          <w:ilvl w:val="0"/>
          <w:numId w:val="3"/>
        </w:numPr>
        <w:spacing w:before="240" w:after="0" w:line="240" w:lineRule="auto"/>
        <w:jc w:val="both"/>
        <w:rPr>
          <w:rFonts w:cstheme="minorHAnsi"/>
          <w:color w:val="0A0A0A"/>
          <w:spacing w:val="4"/>
        </w:rPr>
      </w:pPr>
      <w:r w:rsidRPr="006B26B8">
        <w:rPr>
          <w:rFonts w:eastAsia="Times New Roman" w:cstheme="minorHAnsi"/>
          <w:lang w:eastAsia="en-CA"/>
        </w:rPr>
        <w:t xml:space="preserve">The Terminal Evaluation aims to serve as an important learning and accountability tool, providing UNDP, donors, national </w:t>
      </w:r>
      <w:proofErr w:type="gramStart"/>
      <w:r w:rsidRPr="006B26B8">
        <w:rPr>
          <w:rFonts w:eastAsia="Times New Roman" w:cstheme="minorHAnsi"/>
          <w:lang w:eastAsia="en-CA"/>
        </w:rPr>
        <w:t>stakeholders</w:t>
      </w:r>
      <w:proofErr w:type="gramEnd"/>
      <w:r w:rsidRPr="006B26B8">
        <w:rPr>
          <w:rFonts w:eastAsia="Times New Roman" w:cstheme="minorHAnsi"/>
          <w:lang w:eastAsia="en-CA"/>
        </w:rPr>
        <w:t xml:space="preserve"> and partners with an impartial assessment of the results generated by the GDPP to date. In reviewing progress towards the achievement of the programme’s results and outcomes, the TE sought to identify signs of success and areas for improvement that will guide its future direction; in particular, regarding the potential for a next phase of the programme.</w:t>
      </w:r>
      <w:r w:rsidRPr="000D0723">
        <w:t xml:space="preserve"> </w:t>
      </w:r>
      <w:r>
        <w:t>The primary users of the evaluation are the UNDP country office (CO), Regional Bureau for Africa, the Government of Ethiopia (GoE), implementing partners (IPs) and key donor agencies supporting the GDPP and the wider DP community who have been supporting governance but through CSO support.</w:t>
      </w:r>
      <w:r w:rsidRPr="0080606E">
        <w:t xml:space="preserve"> </w:t>
      </w:r>
      <w:r>
        <w:t xml:space="preserve">This report brings together the findings, </w:t>
      </w:r>
      <w:proofErr w:type="gramStart"/>
      <w:r>
        <w:t>conclusions</w:t>
      </w:r>
      <w:proofErr w:type="gramEnd"/>
      <w:r>
        <w:t xml:space="preserve"> and recommendations from the various processes of the evaluation.</w:t>
      </w:r>
    </w:p>
    <w:p w14:paraId="1E8058C6" w14:textId="77777777" w:rsidR="00C12C91" w:rsidRPr="00E81188" w:rsidRDefault="00C12C91" w:rsidP="004F27CE">
      <w:pPr>
        <w:pStyle w:val="ListParagraph"/>
        <w:spacing w:line="240" w:lineRule="auto"/>
        <w:rPr>
          <w:rFonts w:cstheme="minorHAnsi"/>
          <w:color w:val="0A0A0A"/>
          <w:spacing w:val="4"/>
        </w:rPr>
      </w:pPr>
    </w:p>
    <w:p w14:paraId="3CDA67E4" w14:textId="77777777" w:rsidR="00C12C91" w:rsidRPr="00E81188" w:rsidRDefault="00C12C91" w:rsidP="004F27CE">
      <w:pPr>
        <w:pStyle w:val="ListParagraph"/>
        <w:numPr>
          <w:ilvl w:val="0"/>
          <w:numId w:val="3"/>
        </w:numPr>
        <w:spacing w:before="240" w:after="0" w:line="240" w:lineRule="auto"/>
        <w:jc w:val="both"/>
        <w:rPr>
          <w:rFonts w:cstheme="minorHAnsi"/>
          <w:color w:val="0A0A0A"/>
          <w:spacing w:val="4"/>
        </w:rPr>
      </w:pPr>
      <w:r>
        <w:t xml:space="preserve">The evaluation’s key objectives were to examine how, and the extent to which, the GDPP complemented the UNDP country programme’s objectives in addressing national priority needs in terms of governance and democratic development and thereby help maintain UNDP’s position as an effective partner of the Government of Ethiopia. The evaluation sought to address these broad objectives through the lens of five key evaluation criteria, namely: relevance, effectiveness, efficiency, </w:t>
      </w:r>
      <w:proofErr w:type="gramStart"/>
      <w:r>
        <w:t>impact</w:t>
      </w:r>
      <w:proofErr w:type="gramEnd"/>
      <w:r>
        <w:t xml:space="preserve"> and sustainability, and two cross-cutting issues: human rights and gender equality. </w:t>
      </w:r>
    </w:p>
    <w:p w14:paraId="21D06601" w14:textId="77777777" w:rsidR="00C12C91" w:rsidRPr="00E81188" w:rsidRDefault="00C12C91" w:rsidP="004F27CE">
      <w:pPr>
        <w:pStyle w:val="ListParagraph"/>
        <w:spacing w:line="240" w:lineRule="auto"/>
        <w:rPr>
          <w:rFonts w:cstheme="minorHAnsi"/>
          <w:color w:val="0A0A0A"/>
          <w:spacing w:val="4"/>
        </w:rPr>
      </w:pPr>
    </w:p>
    <w:p w14:paraId="52E5F57A" w14:textId="77777777" w:rsidR="00C12C91" w:rsidRPr="009A216B" w:rsidRDefault="00C12C91" w:rsidP="004F27CE">
      <w:pPr>
        <w:pStyle w:val="ListParagraph"/>
        <w:numPr>
          <w:ilvl w:val="0"/>
          <w:numId w:val="3"/>
        </w:numPr>
        <w:spacing w:before="240" w:after="0" w:line="240" w:lineRule="auto"/>
        <w:jc w:val="both"/>
        <w:rPr>
          <w:rFonts w:cstheme="minorHAnsi"/>
          <w:color w:val="0A0A0A"/>
          <w:spacing w:val="4"/>
        </w:rPr>
      </w:pPr>
      <w:r w:rsidRPr="009A216B">
        <w:rPr>
          <w:rFonts w:eastAsia="Times New Roman" w:cstheme="minorHAnsi"/>
          <w:lang w:eastAsia="en-CA"/>
        </w:rPr>
        <w:t xml:space="preserve">In addition, the TE was charged with assessing the GDPP’s contribution to the attainment of the Sustainable Development Goals (SDGs), especially SDG 16 “Peace, Justice and Strong Institutions.” </w:t>
      </w:r>
      <w:r w:rsidRPr="009A216B">
        <w:rPr>
          <w:rFonts w:cstheme="minorHAnsi"/>
        </w:rPr>
        <w:t xml:space="preserve">SDG 16 puts emphasis on development policies and programmes as the core of efforts to address the underlying causes of fragility, thereby tying SDG 16 to the international agenda to </w:t>
      </w:r>
      <w:r w:rsidRPr="009A216B">
        <w:rPr>
          <w:rFonts w:cstheme="minorHAnsi"/>
          <w:color w:val="333333"/>
          <w:shd w:val="clear" w:color="auto" w:fill="FFFFFF"/>
        </w:rPr>
        <w:t>promote peacebuilding and state building as well as aid effectiveness.</w:t>
      </w:r>
      <w:r w:rsidRPr="009A216B">
        <w:rPr>
          <w:rFonts w:cstheme="minorHAnsi"/>
          <w:color w:val="0A0A0A"/>
          <w:spacing w:val="4"/>
        </w:rPr>
        <w:t xml:space="preserve"> SDG 16 also flags the key role strengthening the rule of law, good governance and promoting human rights plays in promoting peaceful, just, and inclusive societies and as an accelerator for the 2030 Agenda</w:t>
      </w:r>
      <w:r>
        <w:rPr>
          <w:rFonts w:cstheme="minorHAnsi"/>
          <w:color w:val="0A0A0A"/>
          <w:spacing w:val="4"/>
        </w:rPr>
        <w:t xml:space="preserve"> for Sustainable Development</w:t>
      </w:r>
      <w:r w:rsidRPr="009A216B">
        <w:rPr>
          <w:rFonts w:cstheme="minorHAnsi"/>
          <w:color w:val="0A0A0A"/>
          <w:spacing w:val="4"/>
        </w:rPr>
        <w:t>.</w:t>
      </w:r>
      <w:r>
        <w:rPr>
          <w:rStyle w:val="FootnoteReference"/>
          <w:rFonts w:cstheme="minorHAnsi"/>
          <w:color w:val="0A0A0A"/>
          <w:spacing w:val="4"/>
        </w:rPr>
        <w:footnoteReference w:id="5"/>
      </w:r>
      <w:r w:rsidRPr="009A216B">
        <w:rPr>
          <w:rFonts w:cstheme="minorHAnsi"/>
          <w:color w:val="0A0A0A"/>
          <w:spacing w:val="4"/>
        </w:rPr>
        <w:t xml:space="preserve"> The attainment of SDG 16 is therefore highly relevant to the Ethiopian context. </w:t>
      </w:r>
    </w:p>
    <w:p w14:paraId="5B071D3D" w14:textId="77777777" w:rsidR="00C12C91" w:rsidRPr="009A216B" w:rsidRDefault="00C12C91" w:rsidP="00C12C91">
      <w:pPr>
        <w:spacing w:before="240" w:after="0" w:line="360" w:lineRule="auto"/>
        <w:jc w:val="both"/>
        <w:rPr>
          <w:rFonts w:eastAsia="Times New Roman" w:cstheme="minorHAnsi"/>
          <w:b/>
          <w:lang w:eastAsia="en-CA"/>
        </w:rPr>
      </w:pPr>
      <w:r w:rsidRPr="009A216B">
        <w:rPr>
          <w:rFonts w:cstheme="minorHAnsi"/>
          <w:b/>
          <w:color w:val="0A0A0A"/>
          <w:spacing w:val="4"/>
        </w:rPr>
        <w:t>1.3</w:t>
      </w:r>
      <w:r w:rsidRPr="009A216B">
        <w:rPr>
          <w:rFonts w:cstheme="minorHAnsi"/>
          <w:color w:val="0A0A0A"/>
          <w:spacing w:val="4"/>
        </w:rPr>
        <w:t xml:space="preserve"> </w:t>
      </w:r>
      <w:r w:rsidRPr="009A216B">
        <w:rPr>
          <w:rFonts w:eastAsia="Times New Roman" w:cstheme="minorHAnsi"/>
          <w:b/>
          <w:lang w:eastAsia="en-CA"/>
        </w:rPr>
        <w:t>Evaluation framework and methodology</w:t>
      </w:r>
    </w:p>
    <w:p w14:paraId="3AF997C9" w14:textId="77777777" w:rsidR="00C12C91" w:rsidRPr="009A216B" w:rsidRDefault="00C12C91" w:rsidP="00C12C91">
      <w:pPr>
        <w:suppressAutoHyphens/>
        <w:autoSpaceDN w:val="0"/>
        <w:spacing w:before="240" w:line="360" w:lineRule="auto"/>
        <w:jc w:val="both"/>
        <w:textAlignment w:val="baseline"/>
        <w:rPr>
          <w:rFonts w:eastAsia="Times New Roman" w:cstheme="minorHAnsi"/>
          <w:lang w:eastAsia="en-CA"/>
        </w:rPr>
      </w:pPr>
      <w:r w:rsidRPr="009A216B">
        <w:rPr>
          <w:rFonts w:eastAsia="Times New Roman" w:cstheme="minorHAnsi"/>
          <w:i/>
          <w:lang w:eastAsia="en-CA"/>
        </w:rPr>
        <w:t>Approach and metho</w:t>
      </w:r>
      <w:r w:rsidRPr="009A216B">
        <w:rPr>
          <w:rFonts w:eastAsia="Times New Roman" w:cstheme="minorHAnsi"/>
          <w:lang w:eastAsia="en-CA"/>
        </w:rPr>
        <w:t>d</w:t>
      </w:r>
    </w:p>
    <w:p w14:paraId="1440BFB5" w14:textId="7D5D1E9D" w:rsidR="00C12C91" w:rsidRPr="00D922DC" w:rsidRDefault="00C12C91" w:rsidP="004F27CE">
      <w:pPr>
        <w:pStyle w:val="ListParagraph"/>
        <w:numPr>
          <w:ilvl w:val="0"/>
          <w:numId w:val="3"/>
        </w:numPr>
        <w:suppressAutoHyphens/>
        <w:autoSpaceDN w:val="0"/>
        <w:spacing w:before="240" w:line="240" w:lineRule="auto"/>
        <w:jc w:val="both"/>
        <w:textAlignment w:val="baseline"/>
        <w:rPr>
          <w:rFonts w:eastAsia="Times New Roman" w:cstheme="minorHAnsi"/>
          <w:lang w:eastAsia="en-CA"/>
        </w:rPr>
      </w:pPr>
      <w:r w:rsidRPr="009A216B">
        <w:rPr>
          <w:lang w:eastAsia="en-CA"/>
        </w:rPr>
        <w:t>A mixed-methods approach combining key informant interviews (KII) and focus group discussions</w:t>
      </w:r>
      <w:r>
        <w:rPr>
          <w:lang w:eastAsia="en-CA"/>
        </w:rPr>
        <w:t xml:space="preserve"> (FGDs)</w:t>
      </w:r>
      <w:r w:rsidRPr="009A216B">
        <w:rPr>
          <w:lang w:eastAsia="en-CA"/>
        </w:rPr>
        <w:t xml:space="preserve">, remote interviews, desk review of relevant documents and field visits to intervention sites </w:t>
      </w:r>
      <w:r>
        <w:rPr>
          <w:lang w:eastAsia="en-CA"/>
        </w:rPr>
        <w:lastRenderedPageBreak/>
        <w:t xml:space="preserve">were </w:t>
      </w:r>
      <w:r w:rsidRPr="009A216B">
        <w:rPr>
          <w:lang w:eastAsia="en-CA"/>
        </w:rPr>
        <w:t>the bas</w:t>
      </w:r>
      <w:r>
        <w:rPr>
          <w:lang w:eastAsia="en-CA"/>
        </w:rPr>
        <w:t>e</w:t>
      </w:r>
      <w:r w:rsidRPr="009A216B">
        <w:rPr>
          <w:lang w:eastAsia="en-CA"/>
        </w:rPr>
        <w:t xml:space="preserve">s of the evaluation. In total, </w:t>
      </w:r>
      <w:r w:rsidR="0014399F" w:rsidRPr="00EF5620">
        <w:rPr>
          <w:lang w:eastAsia="en-CA"/>
        </w:rPr>
        <w:t>8</w:t>
      </w:r>
      <w:r w:rsidR="0014399F">
        <w:rPr>
          <w:lang w:eastAsia="en-CA"/>
        </w:rPr>
        <w:t>6</w:t>
      </w:r>
      <w:r w:rsidR="0014399F" w:rsidRPr="009A216B">
        <w:rPr>
          <w:lang w:eastAsia="en-CA"/>
        </w:rPr>
        <w:t xml:space="preserve"> </w:t>
      </w:r>
      <w:r w:rsidRPr="009A216B">
        <w:rPr>
          <w:rFonts w:cs="Calibri"/>
          <w:color w:val="000000"/>
        </w:rPr>
        <w:t>(2</w:t>
      </w:r>
      <w:r>
        <w:rPr>
          <w:rFonts w:cs="Calibri"/>
          <w:color w:val="000000"/>
        </w:rPr>
        <w:t>4</w:t>
      </w:r>
      <w:r w:rsidRPr="009A216B">
        <w:rPr>
          <w:rFonts w:cs="Calibri"/>
          <w:color w:val="000000"/>
        </w:rPr>
        <w:t xml:space="preserve"> female)</w:t>
      </w:r>
      <w:r>
        <w:rPr>
          <w:lang w:eastAsia="en-CA"/>
        </w:rPr>
        <w:t xml:space="preserve"> </w:t>
      </w:r>
      <w:r w:rsidRPr="001D2F84">
        <w:rPr>
          <w:lang w:eastAsia="en-CA"/>
        </w:rPr>
        <w:t xml:space="preserve">participants </w:t>
      </w:r>
      <w:r>
        <w:rPr>
          <w:lang w:eastAsia="en-CA"/>
        </w:rPr>
        <w:t xml:space="preserve">were </w:t>
      </w:r>
      <w:r w:rsidRPr="001D2F84">
        <w:rPr>
          <w:lang w:eastAsia="en-CA"/>
        </w:rPr>
        <w:t xml:space="preserve">involved. </w:t>
      </w:r>
      <w:r>
        <w:rPr>
          <w:lang w:eastAsia="en-CA"/>
        </w:rPr>
        <w:t>Eight</w:t>
      </w:r>
      <w:r w:rsidRPr="001D2F84">
        <w:rPr>
          <w:lang w:eastAsia="en-CA"/>
        </w:rPr>
        <w:t xml:space="preserve"> FGDs consisting of 25 males and 10 females were conducted. The </w:t>
      </w:r>
      <w:r>
        <w:rPr>
          <w:lang w:eastAsia="en-CA"/>
        </w:rPr>
        <w:t>remaining</w:t>
      </w:r>
      <w:r w:rsidRPr="001D2F84">
        <w:rPr>
          <w:lang w:eastAsia="en-CA"/>
        </w:rPr>
        <w:t xml:space="preserve"> </w:t>
      </w:r>
      <w:r w:rsidR="0014399F" w:rsidRPr="001D2F84">
        <w:rPr>
          <w:lang w:eastAsia="en-CA"/>
        </w:rPr>
        <w:t>5</w:t>
      </w:r>
      <w:r w:rsidR="0014399F">
        <w:rPr>
          <w:lang w:eastAsia="en-CA"/>
        </w:rPr>
        <w:t>1</w:t>
      </w:r>
      <w:r w:rsidR="0014399F" w:rsidRPr="001D2F84">
        <w:rPr>
          <w:lang w:eastAsia="en-CA"/>
        </w:rPr>
        <w:t xml:space="preserve"> </w:t>
      </w:r>
      <w:r>
        <w:rPr>
          <w:lang w:eastAsia="en-CA"/>
        </w:rPr>
        <w:t xml:space="preserve">individuals </w:t>
      </w:r>
      <w:r w:rsidRPr="001D2F84">
        <w:rPr>
          <w:lang w:eastAsia="en-CA"/>
        </w:rPr>
        <w:t xml:space="preserve">participated in structured individual interviews that </w:t>
      </w:r>
      <w:r w:rsidRPr="009A216B">
        <w:rPr>
          <w:lang w:eastAsia="en-CA"/>
        </w:rPr>
        <w:t xml:space="preserve">were conducted by the ET (see </w:t>
      </w:r>
      <w:r w:rsidRPr="00567A66">
        <w:rPr>
          <w:lang w:eastAsia="en-CA"/>
        </w:rPr>
        <w:t xml:space="preserve">Annex </w:t>
      </w:r>
      <w:r>
        <w:rPr>
          <w:lang w:eastAsia="en-CA"/>
        </w:rPr>
        <w:t>2</w:t>
      </w:r>
      <w:r w:rsidRPr="009A216B">
        <w:rPr>
          <w:lang w:eastAsia="en-CA"/>
        </w:rPr>
        <w:t xml:space="preserve">). </w:t>
      </w:r>
      <w:r w:rsidRPr="009A216B">
        <w:rPr>
          <w:rFonts w:cs="Calibri"/>
          <w:color w:val="000000"/>
        </w:rPr>
        <w:t xml:space="preserve">Of the </w:t>
      </w:r>
      <w:r w:rsidR="0014399F" w:rsidRPr="00185B81">
        <w:rPr>
          <w:rFonts w:cs="Calibri"/>
          <w:color w:val="000000"/>
        </w:rPr>
        <w:t>8</w:t>
      </w:r>
      <w:r w:rsidR="0014399F">
        <w:rPr>
          <w:rFonts w:cs="Calibri"/>
          <w:color w:val="000000"/>
        </w:rPr>
        <w:t>6</w:t>
      </w:r>
      <w:r w:rsidR="0014399F" w:rsidRPr="00185B81">
        <w:rPr>
          <w:rFonts w:cs="Calibri"/>
          <w:color w:val="000000"/>
        </w:rPr>
        <w:t xml:space="preserve"> </w:t>
      </w:r>
      <w:r w:rsidRPr="00185B81">
        <w:rPr>
          <w:rFonts w:cs="Calibri"/>
          <w:color w:val="000000"/>
        </w:rPr>
        <w:t>interviews</w:t>
      </w:r>
      <w:r w:rsidRPr="009A216B">
        <w:rPr>
          <w:rFonts w:cs="Calibri"/>
          <w:color w:val="000000"/>
        </w:rPr>
        <w:t xml:space="preserve">, </w:t>
      </w:r>
      <w:r w:rsidR="0014399F" w:rsidRPr="009A216B">
        <w:rPr>
          <w:rFonts w:cs="Calibri"/>
          <w:color w:val="000000"/>
        </w:rPr>
        <w:t>1</w:t>
      </w:r>
      <w:r w:rsidR="0014399F">
        <w:rPr>
          <w:rFonts w:cs="Calibri"/>
          <w:color w:val="000000"/>
        </w:rPr>
        <w:t>5</w:t>
      </w:r>
      <w:r w:rsidR="0014399F" w:rsidRPr="009A216B">
        <w:rPr>
          <w:rFonts w:cs="Calibri"/>
          <w:color w:val="000000"/>
        </w:rPr>
        <w:t xml:space="preserve"> </w:t>
      </w:r>
      <w:r w:rsidRPr="009A216B">
        <w:rPr>
          <w:rFonts w:cs="Calibri"/>
          <w:color w:val="000000"/>
        </w:rPr>
        <w:t xml:space="preserve">were with UNDP and other UN agencies, 6 </w:t>
      </w:r>
      <w:r>
        <w:rPr>
          <w:rFonts w:cs="Calibri"/>
          <w:color w:val="000000"/>
        </w:rPr>
        <w:t xml:space="preserve">with </w:t>
      </w:r>
      <w:r w:rsidRPr="009A216B">
        <w:rPr>
          <w:rFonts w:cs="Calibri"/>
          <w:color w:val="000000"/>
        </w:rPr>
        <w:t>members of development partners/contributors to the GDPP and 65 with Implementing Partners (IPs) and others.</w:t>
      </w:r>
      <w:r>
        <w:rPr>
          <w:rStyle w:val="FootnoteReference"/>
          <w:rFonts w:cs="Calibri"/>
          <w:color w:val="000000"/>
        </w:rPr>
        <w:footnoteReference w:id="6"/>
      </w:r>
      <w:r w:rsidRPr="009A216B">
        <w:rPr>
          <w:rFonts w:cs="Calibri"/>
          <w:color w:val="000000"/>
        </w:rPr>
        <w:t xml:space="preserve"> </w:t>
      </w:r>
      <w:r w:rsidRPr="009A216B">
        <w:rPr>
          <w:lang w:eastAsia="en-CA"/>
        </w:rPr>
        <w:t xml:space="preserve">This approach enabled the ET to triangulate information and perspectives </w:t>
      </w:r>
      <w:r>
        <w:rPr>
          <w:lang w:eastAsia="en-CA"/>
        </w:rPr>
        <w:t>by comparing</w:t>
      </w:r>
      <w:r w:rsidRPr="009A216B">
        <w:rPr>
          <w:lang w:eastAsia="en-CA"/>
        </w:rPr>
        <w:t xml:space="preserve"> multiple sources </w:t>
      </w:r>
      <w:r>
        <w:rPr>
          <w:lang w:eastAsia="en-CA"/>
        </w:rPr>
        <w:t xml:space="preserve">and methods </w:t>
      </w:r>
      <w:r w:rsidRPr="009A216B">
        <w:rPr>
          <w:lang w:eastAsia="en-CA"/>
        </w:rPr>
        <w:t xml:space="preserve">to arrive at reliable conclusions, identify lessons learned and develop targeted recommendations. A set of </w:t>
      </w:r>
      <w:r>
        <w:rPr>
          <w:lang w:eastAsia="en-CA"/>
        </w:rPr>
        <w:t xml:space="preserve">31 </w:t>
      </w:r>
      <w:r w:rsidRPr="009A216B">
        <w:rPr>
          <w:lang w:eastAsia="en-CA"/>
        </w:rPr>
        <w:t>evaluation questions</w:t>
      </w:r>
      <w:r>
        <w:rPr>
          <w:lang w:eastAsia="en-CA"/>
        </w:rPr>
        <w:t xml:space="preserve"> (EQ)</w:t>
      </w:r>
      <w:r w:rsidRPr="009A216B">
        <w:rPr>
          <w:lang w:eastAsia="en-CA"/>
        </w:rPr>
        <w:t xml:space="preserve"> </w:t>
      </w:r>
      <w:r>
        <w:rPr>
          <w:lang w:eastAsia="en-CA"/>
        </w:rPr>
        <w:t xml:space="preserve">in the ToR </w:t>
      </w:r>
      <w:r w:rsidRPr="009A216B">
        <w:rPr>
          <w:lang w:eastAsia="en-CA"/>
        </w:rPr>
        <w:t xml:space="preserve">(see </w:t>
      </w:r>
      <w:r w:rsidRPr="00106871">
        <w:rPr>
          <w:lang w:eastAsia="en-CA"/>
        </w:rPr>
        <w:t xml:space="preserve">Annex </w:t>
      </w:r>
      <w:r w:rsidR="0072463D">
        <w:rPr>
          <w:lang w:eastAsia="en-CA"/>
        </w:rPr>
        <w:t>4</w:t>
      </w:r>
      <w:r>
        <w:rPr>
          <w:lang w:eastAsia="en-CA"/>
        </w:rPr>
        <w:t xml:space="preserve">) </w:t>
      </w:r>
      <w:r w:rsidRPr="009A216B">
        <w:rPr>
          <w:lang w:eastAsia="en-CA"/>
        </w:rPr>
        <w:t xml:space="preserve">served to build a strong evidence base </w:t>
      </w:r>
      <w:r>
        <w:t xml:space="preserve">and formed the foundation for the ET’s documentary research and Key Informant Interviews. </w:t>
      </w:r>
      <w:r w:rsidRPr="009A216B">
        <w:rPr>
          <w:rFonts w:eastAsia="Arial" w:cstheme="minorHAnsi"/>
          <w:lang w:val="en-GB"/>
        </w:rPr>
        <w:t>Some additional questions, focused on the roles and activities of specific stakeholders, were developed as the interviews progressed. Further, it was noted that since the individual EQs were specific enough, most of these rendered themselves to be broken down into specific judgement criteria</w:t>
      </w:r>
      <w:r>
        <w:rPr>
          <w:rFonts w:eastAsia="Arial" w:cstheme="minorHAnsi"/>
          <w:lang w:val="en-GB"/>
        </w:rPr>
        <w:t xml:space="preserve"> (JC).</w:t>
      </w:r>
      <w:r w:rsidRPr="009A216B">
        <w:rPr>
          <w:rFonts w:eastAsia="Arial" w:cstheme="minorHAnsi"/>
          <w:lang w:val="en-GB"/>
        </w:rPr>
        <w:t xml:space="preserve"> </w:t>
      </w:r>
    </w:p>
    <w:p w14:paraId="13073363" w14:textId="77777777" w:rsidR="00C12C91" w:rsidRPr="00E81188" w:rsidRDefault="00C12C91" w:rsidP="004F27CE">
      <w:pPr>
        <w:pStyle w:val="ListParagraph"/>
        <w:suppressAutoHyphens/>
        <w:autoSpaceDN w:val="0"/>
        <w:spacing w:line="240" w:lineRule="auto"/>
        <w:ind w:left="540"/>
        <w:jc w:val="both"/>
        <w:textAlignment w:val="baseline"/>
        <w:rPr>
          <w:rFonts w:eastAsia="Arial" w:cstheme="minorHAnsi"/>
          <w:lang w:val="en-GB"/>
        </w:rPr>
      </w:pPr>
    </w:p>
    <w:p w14:paraId="164B0C06" w14:textId="77777777" w:rsidR="00C12C91" w:rsidRDefault="00C12C91" w:rsidP="004F27CE">
      <w:pPr>
        <w:pStyle w:val="ListParagraph"/>
        <w:numPr>
          <w:ilvl w:val="0"/>
          <w:numId w:val="3"/>
        </w:numPr>
        <w:spacing w:before="240" w:line="240" w:lineRule="auto"/>
        <w:jc w:val="both"/>
        <w:rPr>
          <w:rFonts w:cstheme="minorHAnsi"/>
          <w:color w:val="0A0A0A"/>
          <w:spacing w:val="4"/>
        </w:rPr>
      </w:pPr>
      <w:r>
        <w:rPr>
          <w:rFonts w:cstheme="minorHAnsi"/>
          <w:color w:val="0A0A0A"/>
          <w:spacing w:val="4"/>
        </w:rPr>
        <w:t xml:space="preserve">Based on the EQs, and criteria provided in the ToR, the ET developed an evaluation matrix (see </w:t>
      </w:r>
      <w:r w:rsidRPr="00567A66">
        <w:rPr>
          <w:rFonts w:cstheme="minorHAnsi"/>
          <w:color w:val="0A0A0A"/>
          <w:spacing w:val="4"/>
        </w:rPr>
        <w:t xml:space="preserve">Annex </w:t>
      </w:r>
      <w:r>
        <w:rPr>
          <w:rFonts w:cstheme="minorHAnsi"/>
          <w:color w:val="0A0A0A"/>
          <w:spacing w:val="4"/>
        </w:rPr>
        <w:t>3) mapping the EQs and JCs, as well as indicative methods and sources to enable a systematic approach to the data gathering exercise. The JCs were based on various UNDP commitments made in the Country Programme Document, UNDP/UNEG evaluation guidelines, as well as an understanding of the context in the country.</w:t>
      </w:r>
    </w:p>
    <w:p w14:paraId="5818F85A" w14:textId="77777777" w:rsidR="00C12C91" w:rsidRPr="00E81188" w:rsidRDefault="00C12C91" w:rsidP="004F27CE">
      <w:pPr>
        <w:pStyle w:val="ListParagraph"/>
        <w:spacing w:line="240" w:lineRule="auto"/>
        <w:rPr>
          <w:rFonts w:cstheme="minorHAnsi"/>
          <w:color w:val="0A0A0A"/>
          <w:spacing w:val="4"/>
        </w:rPr>
      </w:pPr>
    </w:p>
    <w:p w14:paraId="50FC7B0C" w14:textId="77777777" w:rsidR="00C12C91" w:rsidRPr="0034156F" w:rsidRDefault="00C12C91" w:rsidP="004F27CE">
      <w:pPr>
        <w:pStyle w:val="ListParagraph"/>
        <w:numPr>
          <w:ilvl w:val="0"/>
          <w:numId w:val="3"/>
        </w:numPr>
        <w:spacing w:before="240" w:line="240" w:lineRule="auto"/>
        <w:jc w:val="both"/>
        <w:rPr>
          <w:rFonts w:cstheme="minorHAnsi"/>
          <w:color w:val="0A0A0A"/>
          <w:spacing w:val="4"/>
        </w:rPr>
      </w:pPr>
      <w:r w:rsidRPr="0034156F">
        <w:rPr>
          <w:rFonts w:eastAsia="Times New Roman" w:cstheme="minorHAnsi"/>
          <w:lang w:eastAsia="en-CA"/>
        </w:rPr>
        <w:t>At the start of the exercise, it was noted that there were some overlaps between some EQs:</w:t>
      </w:r>
      <w:r w:rsidRPr="0034156F">
        <w:rPr>
          <w:rFonts w:cstheme="minorHAnsi"/>
          <w:color w:val="0A0A0A"/>
          <w:spacing w:val="4"/>
        </w:rPr>
        <w:t xml:space="preserve"> sometimes the same question had been articulated differently with little substantive difference. The evaluation therefore combined answers to overlapping EQs but this did not affect the integrity of the evaluation. </w:t>
      </w:r>
      <w:r w:rsidRPr="0034156F">
        <w:rPr>
          <w:rFonts w:eastAsia="Calibri" w:cstheme="minorHAnsi"/>
          <w:lang w:val="en-US" w:eastAsia="en-GB"/>
        </w:rPr>
        <w:t xml:space="preserve">An </w:t>
      </w:r>
      <w:r w:rsidRPr="0034156F">
        <w:rPr>
          <w:rFonts w:eastAsia="Calibri" w:cstheme="minorHAnsi"/>
          <w:bCs/>
          <w:lang w:val="en-US" w:eastAsia="en-GB"/>
        </w:rPr>
        <w:t>evaluability assessment (EA) based on the evaluation matrix was undertaken at the inception stage in order to understand the feasibility of addressing the EQs and</w:t>
      </w:r>
      <w:r w:rsidRPr="0034156F">
        <w:rPr>
          <w:rFonts w:eastAsia="Calibri" w:cstheme="minorHAnsi"/>
          <w:lang w:val="en-US" w:eastAsia="en-GB"/>
        </w:rPr>
        <w:t xml:space="preserve"> the challenges and shortcomings that might be faced during the evaluation. </w:t>
      </w:r>
    </w:p>
    <w:p w14:paraId="010959D9" w14:textId="77777777" w:rsidR="00C12C91" w:rsidRPr="00F333AD" w:rsidRDefault="00C12C91" w:rsidP="004F27CE">
      <w:pPr>
        <w:suppressAutoHyphens/>
        <w:autoSpaceDN w:val="0"/>
        <w:spacing w:line="240" w:lineRule="auto"/>
        <w:ind w:firstLine="540"/>
        <w:jc w:val="both"/>
        <w:textAlignment w:val="baseline"/>
        <w:rPr>
          <w:rFonts w:eastAsia="Calibri" w:cs="Calibri"/>
          <w:lang w:val="en-US" w:eastAsia="en-GB"/>
        </w:rPr>
      </w:pPr>
      <w:r w:rsidRPr="00F333AD">
        <w:rPr>
          <w:rFonts w:eastAsia="Calibri" w:cstheme="minorHAnsi"/>
          <w:lang w:val="en-US" w:eastAsia="en-GB"/>
        </w:rPr>
        <w:t>The EA involved the following steps</w:t>
      </w:r>
      <w:r w:rsidRPr="00F333AD">
        <w:rPr>
          <w:rFonts w:eastAsia="Calibri" w:cs="Calibri"/>
          <w:lang w:val="en-US" w:eastAsia="en-GB"/>
        </w:rPr>
        <w:t>:</w:t>
      </w:r>
    </w:p>
    <w:p w14:paraId="5EC88F2E" w14:textId="77777777" w:rsidR="00C12C91" w:rsidRPr="0034156F" w:rsidRDefault="00C12C91" w:rsidP="004F27CE">
      <w:pPr>
        <w:pStyle w:val="ListParagraph"/>
        <w:numPr>
          <w:ilvl w:val="0"/>
          <w:numId w:val="5"/>
        </w:numPr>
        <w:spacing w:after="0" w:line="240" w:lineRule="auto"/>
        <w:jc w:val="both"/>
        <w:rPr>
          <w:rFonts w:eastAsia="Calibri" w:cs="Calibri"/>
          <w:lang w:val="en-US" w:eastAsia="en-GB"/>
        </w:rPr>
      </w:pPr>
      <w:r w:rsidRPr="0034156F">
        <w:rPr>
          <w:rFonts w:eastAsia="Calibri" w:cs="Calibri"/>
          <w:lang w:val="en-US" w:eastAsia="en-GB"/>
        </w:rPr>
        <w:t xml:space="preserve">A rapid scan of documents provided by UNDP, as well as those available in the public domain, was undertaken to assess the availability and quality of evaluable data to contribute to addressing the EQs. </w:t>
      </w:r>
    </w:p>
    <w:p w14:paraId="4F29BE23" w14:textId="77777777" w:rsidR="00C12C91" w:rsidRDefault="00C12C91" w:rsidP="004F27CE">
      <w:pPr>
        <w:pStyle w:val="ListParagraph"/>
        <w:numPr>
          <w:ilvl w:val="0"/>
          <w:numId w:val="5"/>
        </w:numPr>
        <w:spacing w:after="0" w:line="240" w:lineRule="auto"/>
        <w:jc w:val="both"/>
        <w:rPr>
          <w:rFonts w:eastAsia="Calibri" w:cs="Calibri"/>
          <w:lang w:val="en-US" w:eastAsia="en-GB"/>
        </w:rPr>
      </w:pPr>
      <w:r w:rsidRPr="0034156F">
        <w:rPr>
          <w:rFonts w:eastAsia="Calibri" w:cs="Calibri"/>
          <w:lang w:val="en-US" w:eastAsia="en-GB"/>
        </w:rPr>
        <w:t>A rapid assessment of each JC for the type of data that will be required and the likely feasibility of the ET being able to gather credible data in the limited time it had.</w:t>
      </w:r>
    </w:p>
    <w:p w14:paraId="0F7035A3" w14:textId="77777777" w:rsidR="00C12C91" w:rsidRPr="0034156F" w:rsidRDefault="00C12C91" w:rsidP="004F27CE">
      <w:pPr>
        <w:pStyle w:val="ListParagraph"/>
        <w:spacing w:after="0" w:line="240" w:lineRule="auto"/>
        <w:jc w:val="both"/>
        <w:rPr>
          <w:rFonts w:eastAsia="Calibri" w:cs="Calibri"/>
          <w:lang w:val="en-US" w:eastAsia="en-GB"/>
        </w:rPr>
      </w:pPr>
    </w:p>
    <w:p w14:paraId="5EC6576D" w14:textId="77777777" w:rsidR="00C12C91" w:rsidRPr="00567A66" w:rsidRDefault="00C12C91" w:rsidP="004F27CE">
      <w:pPr>
        <w:pStyle w:val="ListParagraph"/>
        <w:numPr>
          <w:ilvl w:val="0"/>
          <w:numId w:val="3"/>
        </w:numPr>
        <w:suppressAutoHyphens/>
        <w:autoSpaceDE w:val="0"/>
        <w:autoSpaceDN w:val="0"/>
        <w:adjustRightInd w:val="0"/>
        <w:spacing w:after="180" w:line="240" w:lineRule="auto"/>
        <w:ind w:left="448" w:hanging="357"/>
        <w:jc w:val="both"/>
        <w:textAlignment w:val="baseline"/>
        <w:rPr>
          <w:rFonts w:eastAsia="Arial" w:cs="Calibri"/>
          <w:color w:val="000000" w:themeColor="text1"/>
          <w:lang w:val="en-GB"/>
        </w:rPr>
      </w:pPr>
      <w:r w:rsidRPr="00567A66">
        <w:rPr>
          <w:rFonts w:eastAsia="Arial" w:cstheme="minorHAnsi"/>
          <w:lang w:val="en-GB"/>
        </w:rPr>
        <w:t>At the programming level, the ET examined the Theory of Change (T</w:t>
      </w:r>
      <w:r>
        <w:rPr>
          <w:rFonts w:eastAsia="Arial" w:cstheme="minorHAnsi"/>
          <w:lang w:val="en-GB"/>
        </w:rPr>
        <w:t>o</w:t>
      </w:r>
      <w:r w:rsidRPr="00567A66">
        <w:rPr>
          <w:rFonts w:eastAsia="Arial" w:cstheme="minorHAnsi"/>
          <w:lang w:val="en-GB"/>
        </w:rPr>
        <w:t xml:space="preserve">C) underpinning the Project Document and the underlying assumptions. </w:t>
      </w:r>
      <w:r w:rsidRPr="00567A66">
        <w:rPr>
          <w:rFonts w:eastAsia="Arial" w:cstheme="minorHAnsi"/>
          <w:bCs/>
          <w:lang w:val="en-GB"/>
        </w:rPr>
        <w:t xml:space="preserve">The team </w:t>
      </w:r>
      <w:r w:rsidRPr="00567A66">
        <w:rPr>
          <w:rFonts w:eastAsia="Arial" w:cs="Calibri"/>
          <w:color w:val="000000" w:themeColor="text1"/>
          <w:lang w:val="en-GB"/>
        </w:rPr>
        <w:t xml:space="preserve">reviewed all documents provided by UNDP related to the project, including the Mid-Term Review (MTR), repositioning paper, options paper, audit and progress reports and minutes of Programme Management Board meetings. In addition, the team reviewed the country strategies of the four key donors: Austria, Denmark, </w:t>
      </w:r>
      <w:proofErr w:type="gramStart"/>
      <w:r w:rsidRPr="00567A66">
        <w:rPr>
          <w:rFonts w:eastAsia="Arial" w:cs="Calibri"/>
          <w:color w:val="000000" w:themeColor="text1"/>
          <w:lang w:val="en-GB"/>
        </w:rPr>
        <w:t>Norway</w:t>
      </w:r>
      <w:proofErr w:type="gramEnd"/>
      <w:r w:rsidRPr="00567A66">
        <w:rPr>
          <w:rFonts w:eastAsia="Arial" w:cs="Calibri"/>
          <w:color w:val="000000" w:themeColor="text1"/>
          <w:lang w:val="en-GB"/>
        </w:rPr>
        <w:t xml:space="preserve"> and Sweden. During the analysis, particular attention was paid to understanding Ethiopia’s unique </w:t>
      </w:r>
      <w:r>
        <w:rPr>
          <w:rFonts w:eastAsia="Arial" w:cs="Calibri"/>
          <w:color w:val="000000" w:themeColor="text1"/>
          <w:lang w:val="en-GB"/>
        </w:rPr>
        <w:t xml:space="preserve">and evolving </w:t>
      </w:r>
      <w:r w:rsidRPr="00567A66">
        <w:rPr>
          <w:rFonts w:eastAsia="Arial" w:cs="Calibri"/>
          <w:color w:val="000000" w:themeColor="text1"/>
          <w:lang w:val="en-GB"/>
        </w:rPr>
        <w:t xml:space="preserve">country circumstances </w:t>
      </w:r>
      <w:r>
        <w:rPr>
          <w:rFonts w:eastAsia="Arial" w:cs="Calibri"/>
          <w:color w:val="000000" w:themeColor="text1"/>
          <w:lang w:val="en-GB"/>
        </w:rPr>
        <w:t xml:space="preserve">particularly since April 2018 in terms of the new GoE transformational democratization reform agenda </w:t>
      </w:r>
      <w:r w:rsidRPr="00567A66">
        <w:rPr>
          <w:rFonts w:eastAsia="Arial" w:cs="Calibri"/>
          <w:color w:val="000000" w:themeColor="text1"/>
          <w:lang w:val="en-GB"/>
        </w:rPr>
        <w:t xml:space="preserve">and its possible impact on programme delivery and results. Factors considered included the impact of drought and conflict, demographics and the “youth bulge”, as well as Ethiopia’s regional geopolitical environment. A literature review of </w:t>
      </w:r>
      <w:r w:rsidRPr="00567A66">
        <w:rPr>
          <w:rFonts w:eastAsia="Arial" w:cs="Calibri"/>
          <w:color w:val="000000" w:themeColor="text1"/>
          <w:lang w:val="en-GB"/>
        </w:rPr>
        <w:lastRenderedPageBreak/>
        <w:t xml:space="preserve">background material pertaining to the situation in Ethiopia provided the necessary context. </w:t>
      </w:r>
      <w:r w:rsidRPr="00567A66">
        <w:rPr>
          <w:rFonts w:eastAsia="Arial" w:cs="Calibri"/>
          <w:iCs/>
          <w:color w:val="000000"/>
          <w:lang w:val="en-GB"/>
        </w:rPr>
        <w:t>I</w:t>
      </w:r>
      <w:r w:rsidRPr="00567A66">
        <w:rPr>
          <w:rFonts w:eastAsia="Arial" w:cs="Calibri"/>
          <w:color w:val="000000" w:themeColor="text1"/>
          <w:lang w:val="en-GB"/>
        </w:rPr>
        <w:t>n-depth consultations were held with numerous stakeholders</w:t>
      </w:r>
      <w:r>
        <w:rPr>
          <w:rFonts w:eastAsia="Arial" w:cs="Calibri"/>
          <w:color w:val="000000" w:themeColor="text1"/>
          <w:lang w:val="en-GB"/>
        </w:rPr>
        <w:t xml:space="preserve"> </w:t>
      </w:r>
      <w:r w:rsidRPr="00567A66">
        <w:rPr>
          <w:rFonts w:eastAsia="Arial" w:cs="Calibri"/>
          <w:color w:val="000000" w:themeColor="text1"/>
          <w:lang w:val="en-GB"/>
        </w:rPr>
        <w:t xml:space="preserve">using the evaluation questions as a basis for discussion. As the evaluation progressed, the interviews became increasingly important to further explore specific aspects of the assignment and to follow up on issues that had emerged in previous discussions. </w:t>
      </w:r>
    </w:p>
    <w:p w14:paraId="7A14C6B0" w14:textId="77777777" w:rsidR="00C12C91" w:rsidRPr="00BB54BF" w:rsidRDefault="00C12C91" w:rsidP="004F27CE">
      <w:pPr>
        <w:spacing w:before="240" w:line="240" w:lineRule="auto"/>
        <w:jc w:val="both"/>
        <w:rPr>
          <w:rFonts w:eastAsia="Times New Roman" w:cstheme="minorHAnsi"/>
          <w:i/>
          <w:lang w:eastAsia="en-CA"/>
        </w:rPr>
      </w:pPr>
      <w:r w:rsidRPr="00BB54BF">
        <w:rPr>
          <w:rFonts w:eastAsia="Times New Roman" w:cstheme="minorHAnsi"/>
          <w:i/>
          <w:lang w:eastAsia="en-CA"/>
        </w:rPr>
        <w:t xml:space="preserve">Data mapping, </w:t>
      </w:r>
      <w:proofErr w:type="gramStart"/>
      <w:r w:rsidRPr="00BB54BF">
        <w:rPr>
          <w:rFonts w:eastAsia="Times New Roman" w:cstheme="minorHAnsi"/>
          <w:i/>
          <w:lang w:eastAsia="en-CA"/>
        </w:rPr>
        <w:t>triangulation</w:t>
      </w:r>
      <w:proofErr w:type="gramEnd"/>
      <w:r w:rsidRPr="00BB54BF">
        <w:rPr>
          <w:rFonts w:eastAsia="Times New Roman" w:cstheme="minorHAnsi"/>
          <w:i/>
          <w:lang w:eastAsia="en-CA"/>
        </w:rPr>
        <w:t xml:space="preserve"> and analysis</w:t>
      </w:r>
    </w:p>
    <w:p w14:paraId="0A1742D4" w14:textId="77777777" w:rsidR="00C12C91" w:rsidRPr="00EB0FE6" w:rsidRDefault="00C12C91" w:rsidP="004F27CE">
      <w:pPr>
        <w:pStyle w:val="ListParagraph"/>
        <w:numPr>
          <w:ilvl w:val="0"/>
          <w:numId w:val="3"/>
        </w:numPr>
        <w:spacing w:before="240" w:line="240" w:lineRule="auto"/>
        <w:jc w:val="both"/>
        <w:rPr>
          <w:rFonts w:eastAsia="Times New Roman" w:cstheme="minorHAnsi"/>
          <w:lang w:eastAsia="en-CA"/>
        </w:rPr>
      </w:pPr>
      <w:r w:rsidRPr="002E6AAF">
        <w:rPr>
          <w:rFonts w:eastAsia="Times New Roman" w:cstheme="minorHAnsi"/>
          <w:lang w:eastAsia="en-CA"/>
        </w:rPr>
        <w:t>Throughout the evaluation, data collected from both primary and secondary sources were recorded systematically for evidence assessment based on the judgement criteria developed for each EQ as defined in the evaluation matrix. Data</w:t>
      </w:r>
      <w:r>
        <w:rPr>
          <w:rFonts w:eastAsia="Times New Roman" w:cstheme="minorHAnsi"/>
          <w:lang w:eastAsia="en-CA"/>
        </w:rPr>
        <w:t xml:space="preserve"> and information collected through various means and sources were constantly triangulated to enhance the validity of the findings,</w:t>
      </w:r>
      <w:r w:rsidRPr="002E6AAF">
        <w:rPr>
          <w:rFonts w:eastAsia="Times New Roman" w:cstheme="minorHAnsi"/>
          <w:lang w:eastAsia="en-CA"/>
        </w:rPr>
        <w:t xml:space="preserve"> mainly through comparing </w:t>
      </w:r>
      <w:r>
        <w:rPr>
          <w:rFonts w:eastAsia="Times New Roman" w:cstheme="minorHAnsi"/>
          <w:lang w:eastAsia="en-CA"/>
        </w:rPr>
        <w:t xml:space="preserve">the </w:t>
      </w:r>
      <w:r w:rsidRPr="002E6AAF">
        <w:rPr>
          <w:rFonts w:eastAsia="Times New Roman" w:cstheme="minorHAnsi"/>
          <w:lang w:eastAsia="en-CA"/>
        </w:rPr>
        <w:t xml:space="preserve">information gathered </w:t>
      </w:r>
      <w:r>
        <w:rPr>
          <w:rFonts w:eastAsia="Times New Roman" w:cstheme="minorHAnsi"/>
          <w:lang w:eastAsia="en-CA"/>
        </w:rPr>
        <w:t>in the process</w:t>
      </w:r>
      <w:r w:rsidRPr="002E6AAF">
        <w:rPr>
          <w:rFonts w:eastAsia="Times New Roman" w:cstheme="minorHAnsi"/>
          <w:lang w:eastAsia="en-CA"/>
        </w:rPr>
        <w:t>. Where discrepancies occurred that could not be resolved, the ET did not use such data for drawing findings or conclusions.</w:t>
      </w:r>
      <w:r w:rsidRPr="002E6AAF">
        <w:rPr>
          <w:rFonts w:eastAsia="Times New Roman" w:cstheme="minorHAnsi"/>
          <w:lang w:val="en-GB" w:eastAsia="en-CA"/>
        </w:rPr>
        <w:t xml:space="preserve"> The team </w:t>
      </w:r>
      <w:r w:rsidRPr="002E6AAF">
        <w:rPr>
          <w:rFonts w:cs="Calibri"/>
          <w:color w:val="000000"/>
        </w:rPr>
        <w:t xml:space="preserve">compared notes and checked for consistencies and patterns with other interviews to arrive at reliable conclusions. </w:t>
      </w:r>
    </w:p>
    <w:p w14:paraId="396B8047" w14:textId="77777777" w:rsidR="00C12C91" w:rsidRDefault="00C12C91" w:rsidP="004F27CE">
      <w:pPr>
        <w:pStyle w:val="ListParagraph"/>
        <w:spacing w:before="240" w:line="240" w:lineRule="auto"/>
        <w:ind w:left="360"/>
        <w:jc w:val="both"/>
        <w:rPr>
          <w:rFonts w:eastAsia="Times New Roman" w:cstheme="minorHAnsi"/>
          <w:lang w:eastAsia="en-CA"/>
        </w:rPr>
      </w:pPr>
    </w:p>
    <w:p w14:paraId="6C2505A6" w14:textId="77777777" w:rsidR="00C12C91" w:rsidRDefault="00C12C91" w:rsidP="004F27CE">
      <w:pPr>
        <w:pStyle w:val="ListParagraph"/>
        <w:numPr>
          <w:ilvl w:val="1"/>
          <w:numId w:val="4"/>
        </w:numPr>
        <w:spacing w:before="240" w:line="240" w:lineRule="auto"/>
        <w:jc w:val="both"/>
        <w:rPr>
          <w:rFonts w:eastAsia="Times New Roman" w:cstheme="minorHAnsi"/>
          <w:b/>
          <w:lang w:eastAsia="en-CA"/>
        </w:rPr>
      </w:pPr>
      <w:r w:rsidRPr="00775096">
        <w:rPr>
          <w:rFonts w:eastAsia="Times New Roman" w:cstheme="minorHAnsi"/>
          <w:b/>
          <w:lang w:eastAsia="en-CA"/>
        </w:rPr>
        <w:t>Evaluation ethics and data protection</w:t>
      </w:r>
    </w:p>
    <w:p w14:paraId="635693AF" w14:textId="77777777" w:rsidR="00C12C91" w:rsidRPr="00775096" w:rsidRDefault="00C12C91" w:rsidP="004F27CE">
      <w:pPr>
        <w:pStyle w:val="ListParagraph"/>
        <w:spacing w:before="240" w:line="240" w:lineRule="auto"/>
        <w:ind w:left="360"/>
        <w:jc w:val="both"/>
        <w:rPr>
          <w:rFonts w:eastAsia="Times New Roman" w:cstheme="minorHAnsi"/>
          <w:b/>
          <w:lang w:eastAsia="en-CA"/>
        </w:rPr>
      </w:pPr>
    </w:p>
    <w:p w14:paraId="0B6C8D73" w14:textId="77777777" w:rsidR="00C12C91" w:rsidRDefault="00C12C91" w:rsidP="004F27CE">
      <w:pPr>
        <w:pStyle w:val="ListParagraph"/>
        <w:numPr>
          <w:ilvl w:val="0"/>
          <w:numId w:val="3"/>
        </w:numPr>
        <w:suppressAutoHyphens/>
        <w:autoSpaceDE w:val="0"/>
        <w:autoSpaceDN w:val="0"/>
        <w:adjustRightInd w:val="0"/>
        <w:spacing w:after="180" w:line="240" w:lineRule="auto"/>
        <w:jc w:val="both"/>
        <w:textAlignment w:val="baseline"/>
        <w:rPr>
          <w:rFonts w:eastAsia="Times New Roman" w:cstheme="minorHAnsi"/>
          <w:lang w:eastAsia="en-CA"/>
        </w:rPr>
      </w:pPr>
      <w:r w:rsidRPr="00F333AD">
        <w:t xml:space="preserve">The evaluators followed </w:t>
      </w:r>
      <w:r>
        <w:t xml:space="preserve">the </w:t>
      </w:r>
      <w:r w:rsidRPr="00F333AD">
        <w:t>UN Evaluation Group (UNEG) ethical guidelines throughout the evaluation process.</w:t>
      </w:r>
      <w:r w:rsidRPr="00F333AD">
        <w:rPr>
          <w:vertAlign w:val="superscript"/>
        </w:rPr>
        <w:footnoteReference w:id="7"/>
      </w:r>
      <w:r w:rsidRPr="00F333AD">
        <w:t xml:space="preserve"> </w:t>
      </w:r>
      <w:r w:rsidRPr="00E912C1">
        <w:rPr>
          <w:rFonts w:eastAsia="Times New Roman" w:cstheme="minorHAnsi"/>
          <w:lang w:val="en-GB" w:eastAsia="en-CA"/>
        </w:rPr>
        <w:t xml:space="preserve">Protecting personal data is essential in any evaluation </w:t>
      </w:r>
      <w:proofErr w:type="gramStart"/>
      <w:r w:rsidRPr="00E912C1">
        <w:rPr>
          <w:rFonts w:eastAsia="Times New Roman" w:cstheme="minorHAnsi"/>
          <w:lang w:val="en-GB" w:eastAsia="en-CA"/>
        </w:rPr>
        <w:t>in order to</w:t>
      </w:r>
      <w:proofErr w:type="gramEnd"/>
      <w:r w:rsidRPr="00E912C1">
        <w:rPr>
          <w:rFonts w:eastAsia="Times New Roman" w:cstheme="minorHAnsi"/>
          <w:lang w:val="en-GB" w:eastAsia="en-CA"/>
        </w:rPr>
        <w:t xml:space="preserve"> respect dignity and ensure the security of all stakeholders involved. The ET have ensured full confidentiality of data provided, </w:t>
      </w:r>
      <w:proofErr w:type="gramStart"/>
      <w:r w:rsidRPr="00E912C1">
        <w:rPr>
          <w:rFonts w:eastAsia="Times New Roman" w:cstheme="minorHAnsi"/>
          <w:lang w:val="en-GB" w:eastAsia="en-CA"/>
        </w:rPr>
        <w:t>accessed</w:t>
      </w:r>
      <w:proofErr w:type="gramEnd"/>
      <w:r w:rsidRPr="00E912C1">
        <w:rPr>
          <w:rFonts w:eastAsia="Times New Roman" w:cstheme="minorHAnsi"/>
          <w:lang w:val="en-GB" w:eastAsia="en-CA"/>
        </w:rPr>
        <w:t xml:space="preserve"> and produced during the course of their work, unless information was obtained from sources that are in the public domain. Any personal data collected has been minimal and anonymised in the report. Although the names and titles of individual interviewees were collected and appear in </w:t>
      </w:r>
      <w:r w:rsidRPr="00567A66">
        <w:rPr>
          <w:rFonts w:eastAsia="Times New Roman" w:cstheme="minorHAnsi"/>
          <w:lang w:val="en-GB" w:eastAsia="en-CA"/>
        </w:rPr>
        <w:t xml:space="preserve">Annex </w:t>
      </w:r>
      <w:r>
        <w:rPr>
          <w:rFonts w:eastAsia="Times New Roman" w:cstheme="minorHAnsi"/>
          <w:lang w:val="en-GB" w:eastAsia="en-CA"/>
        </w:rPr>
        <w:t>2</w:t>
      </w:r>
      <w:r w:rsidRPr="00E912C1">
        <w:rPr>
          <w:rFonts w:eastAsia="Times New Roman" w:cstheme="minorHAnsi"/>
          <w:lang w:val="en-GB" w:eastAsia="en-CA"/>
        </w:rPr>
        <w:t xml:space="preserve">, their names or any other details that could be traced back to them are not presented in the report. </w:t>
      </w:r>
      <w:r w:rsidRPr="00E912C1">
        <w:rPr>
          <w:rFonts w:eastAsia="Times New Roman" w:cstheme="minorHAnsi"/>
          <w:lang w:eastAsia="en-CA"/>
        </w:rPr>
        <w:t>The information knowledge and data gathered in the evaluation process will also be solely used for the evaluation and not for other uses without the express authorization of UNDP and partners.</w:t>
      </w:r>
      <w:r w:rsidRPr="00DC7802">
        <w:rPr>
          <w:rFonts w:eastAsia="Times New Roman" w:cstheme="minorHAnsi"/>
          <w:lang w:eastAsia="en-CA"/>
        </w:rPr>
        <w:t xml:space="preserve"> </w:t>
      </w:r>
    </w:p>
    <w:p w14:paraId="5E7B2554" w14:textId="77777777" w:rsidR="00C12C91" w:rsidRDefault="00C12C91" w:rsidP="004F27CE">
      <w:pPr>
        <w:pStyle w:val="ListParagraph"/>
        <w:suppressAutoHyphens/>
        <w:autoSpaceDE w:val="0"/>
        <w:autoSpaceDN w:val="0"/>
        <w:adjustRightInd w:val="0"/>
        <w:spacing w:after="180" w:line="240" w:lineRule="auto"/>
        <w:ind w:left="540"/>
        <w:jc w:val="both"/>
        <w:textAlignment w:val="baseline"/>
        <w:rPr>
          <w:rFonts w:eastAsia="Times New Roman" w:cstheme="minorHAnsi"/>
          <w:lang w:eastAsia="en-CA"/>
        </w:rPr>
      </w:pPr>
    </w:p>
    <w:p w14:paraId="3553FC54" w14:textId="77777777" w:rsidR="00C12C91" w:rsidRDefault="00C12C91" w:rsidP="004F27CE">
      <w:pPr>
        <w:pStyle w:val="ListParagraph"/>
        <w:numPr>
          <w:ilvl w:val="0"/>
          <w:numId w:val="3"/>
        </w:numPr>
        <w:suppressAutoHyphens/>
        <w:autoSpaceDE w:val="0"/>
        <w:autoSpaceDN w:val="0"/>
        <w:adjustRightInd w:val="0"/>
        <w:spacing w:after="180" w:line="240" w:lineRule="auto"/>
        <w:jc w:val="both"/>
        <w:textAlignment w:val="baseline"/>
        <w:rPr>
          <w:rFonts w:eastAsia="Times New Roman" w:cstheme="minorHAnsi"/>
          <w:lang w:eastAsia="en-CA"/>
        </w:rPr>
      </w:pPr>
      <w:r w:rsidRPr="0021234D">
        <w:rPr>
          <w:rFonts w:eastAsia="Times New Roman" w:cstheme="minorHAnsi"/>
          <w:lang w:eastAsia="en-CA"/>
        </w:rPr>
        <w:t xml:space="preserve">The ET members are contractually obliged not to publish or otherwise communicate to third parties, through any medium whatsoever, any information obtained during this evaluation, except those presented in the report. In its communications with stakeholders, the ET explained these commitments and procedures in a transparent way </w:t>
      </w:r>
      <w:proofErr w:type="gramStart"/>
      <w:r w:rsidRPr="0021234D">
        <w:rPr>
          <w:rFonts w:eastAsia="Times New Roman" w:cstheme="minorHAnsi"/>
          <w:lang w:eastAsia="en-CA"/>
        </w:rPr>
        <w:t>in order for</w:t>
      </w:r>
      <w:proofErr w:type="gramEnd"/>
      <w:r w:rsidRPr="0021234D">
        <w:rPr>
          <w:rFonts w:eastAsia="Times New Roman" w:cstheme="minorHAnsi"/>
          <w:lang w:eastAsia="en-CA"/>
        </w:rPr>
        <w:t xml:space="preserve"> participants to understand the data protection protocol.</w:t>
      </w:r>
    </w:p>
    <w:p w14:paraId="7204032C" w14:textId="77777777" w:rsidR="00C12C91" w:rsidRPr="0021234D" w:rsidRDefault="00C12C91" w:rsidP="00C12C91">
      <w:pPr>
        <w:pStyle w:val="ListParagraph"/>
        <w:suppressAutoHyphens/>
        <w:autoSpaceDE w:val="0"/>
        <w:autoSpaceDN w:val="0"/>
        <w:adjustRightInd w:val="0"/>
        <w:spacing w:after="180" w:line="360" w:lineRule="auto"/>
        <w:ind w:left="540"/>
        <w:jc w:val="both"/>
        <w:textAlignment w:val="baseline"/>
        <w:rPr>
          <w:rFonts w:eastAsia="Times New Roman" w:cstheme="minorHAnsi"/>
          <w:lang w:eastAsia="en-CA"/>
        </w:rPr>
      </w:pPr>
    </w:p>
    <w:p w14:paraId="1EFA94F7" w14:textId="77777777" w:rsidR="00C12C91" w:rsidRDefault="00C12C91" w:rsidP="00C12C91">
      <w:pPr>
        <w:pStyle w:val="ListParagraph"/>
        <w:numPr>
          <w:ilvl w:val="1"/>
          <w:numId w:val="4"/>
        </w:numPr>
        <w:spacing w:before="240" w:line="360" w:lineRule="auto"/>
        <w:jc w:val="both"/>
        <w:rPr>
          <w:rFonts w:eastAsia="Times New Roman" w:cstheme="minorHAnsi"/>
          <w:b/>
          <w:lang w:eastAsia="en-CA"/>
        </w:rPr>
      </w:pPr>
      <w:r w:rsidRPr="0021234D">
        <w:rPr>
          <w:rFonts w:eastAsia="Times New Roman" w:cstheme="minorHAnsi"/>
          <w:b/>
          <w:lang w:eastAsia="en-CA"/>
        </w:rPr>
        <w:t>Limitations of the evaluation</w:t>
      </w:r>
    </w:p>
    <w:p w14:paraId="0E318374" w14:textId="77777777" w:rsidR="00C12C91" w:rsidRDefault="00C12C91" w:rsidP="004F27CE">
      <w:pPr>
        <w:pStyle w:val="ListParagraph"/>
        <w:spacing w:before="240" w:line="240" w:lineRule="auto"/>
        <w:ind w:left="360"/>
        <w:jc w:val="both"/>
        <w:rPr>
          <w:rFonts w:eastAsia="Times New Roman" w:cstheme="minorHAnsi"/>
          <w:b/>
          <w:lang w:eastAsia="en-CA"/>
        </w:rPr>
      </w:pPr>
    </w:p>
    <w:p w14:paraId="1C8CA3B4" w14:textId="77777777" w:rsidR="00C12C91" w:rsidRPr="00E912C1" w:rsidRDefault="00C12C91" w:rsidP="004F27CE">
      <w:pPr>
        <w:pStyle w:val="ListParagraph"/>
        <w:numPr>
          <w:ilvl w:val="0"/>
          <w:numId w:val="3"/>
        </w:numPr>
        <w:suppressAutoHyphens/>
        <w:autoSpaceDE w:val="0"/>
        <w:autoSpaceDN w:val="0"/>
        <w:adjustRightInd w:val="0"/>
        <w:spacing w:after="180" w:line="240" w:lineRule="auto"/>
        <w:jc w:val="both"/>
        <w:textAlignment w:val="baseline"/>
        <w:rPr>
          <w:rFonts w:eastAsia="Times New Roman" w:cstheme="minorHAnsi"/>
          <w:lang w:val="en-GB" w:eastAsia="en-CA"/>
        </w:rPr>
      </w:pPr>
      <w:r w:rsidRPr="00E81188">
        <w:rPr>
          <w:rFonts w:eastAsia="Times New Roman" w:cstheme="minorHAnsi"/>
          <w:lang w:val="en-GB" w:eastAsia="en-CA"/>
        </w:rPr>
        <w:t xml:space="preserve">There were </w:t>
      </w:r>
      <w:r>
        <w:rPr>
          <w:rFonts w:eastAsia="Times New Roman" w:cstheme="minorHAnsi"/>
          <w:lang w:val="en-GB" w:eastAsia="en-CA"/>
        </w:rPr>
        <w:t xml:space="preserve">some </w:t>
      </w:r>
      <w:r w:rsidRPr="00E81188">
        <w:rPr>
          <w:rFonts w:eastAsia="Times New Roman" w:cstheme="minorHAnsi"/>
          <w:lang w:val="en-GB" w:eastAsia="en-CA"/>
        </w:rPr>
        <w:t>limitations to data gathering by the ET</w:t>
      </w:r>
      <w:r>
        <w:rPr>
          <w:rFonts w:eastAsia="Times New Roman" w:cstheme="minorHAnsi"/>
          <w:lang w:val="en-GB" w:eastAsia="en-CA"/>
        </w:rPr>
        <w:t>. For example, as noted in the MTR, programme monitoring has been weak.</w:t>
      </w:r>
      <w:r>
        <w:rPr>
          <w:rStyle w:val="FootnoteReference"/>
          <w:rFonts w:eastAsia="Times New Roman" w:cstheme="minorHAnsi"/>
          <w:lang w:val="en-GB" w:eastAsia="en-CA"/>
        </w:rPr>
        <w:footnoteReference w:id="8"/>
      </w:r>
      <w:r>
        <w:rPr>
          <w:rFonts w:eastAsia="Times New Roman" w:cstheme="minorHAnsi"/>
          <w:lang w:val="en-GB" w:eastAsia="en-CA"/>
        </w:rPr>
        <w:t xml:space="preserve"> Based on a sample review of monitoring reports conducted by the governance team </w:t>
      </w:r>
      <w:proofErr w:type="gramStart"/>
      <w:r>
        <w:rPr>
          <w:rFonts w:eastAsia="Times New Roman" w:cstheme="minorHAnsi"/>
          <w:lang w:val="en-GB" w:eastAsia="en-CA"/>
        </w:rPr>
        <w:t>a number of</w:t>
      </w:r>
      <w:proofErr w:type="gramEnd"/>
      <w:r>
        <w:rPr>
          <w:rFonts w:eastAsia="Times New Roman" w:cstheme="minorHAnsi"/>
          <w:lang w:val="en-GB" w:eastAsia="en-CA"/>
        </w:rPr>
        <w:t xml:space="preserve"> challenges affecting the utility of the exercise are apparent.</w:t>
      </w:r>
      <w:r>
        <w:rPr>
          <w:rStyle w:val="FootnoteReference"/>
          <w:rFonts w:eastAsia="Times New Roman" w:cstheme="minorHAnsi"/>
          <w:lang w:val="en-GB" w:eastAsia="en-CA"/>
        </w:rPr>
        <w:footnoteReference w:id="9"/>
      </w:r>
      <w:r>
        <w:rPr>
          <w:rFonts w:eastAsia="Times New Roman" w:cstheme="minorHAnsi"/>
          <w:lang w:val="en-GB" w:eastAsia="en-CA"/>
        </w:rPr>
        <w:t xml:space="preserve"> The </w:t>
      </w:r>
      <w:r>
        <w:rPr>
          <w:rFonts w:eastAsia="Times New Roman" w:cstheme="minorHAnsi"/>
          <w:lang w:val="en-GB" w:eastAsia="en-CA"/>
        </w:rPr>
        <w:lastRenderedPageBreak/>
        <w:t>availability of reliable monitoring data is therefore limited. In addition, inadequate programme</w:t>
      </w:r>
      <w:r>
        <w:rPr>
          <w:rFonts w:cstheme="minorHAnsi"/>
        </w:rPr>
        <w:t xml:space="preserve"> documentation and reporting</w:t>
      </w:r>
      <w:r w:rsidRPr="00A91DE8">
        <w:rPr>
          <w:rFonts w:cstheme="minorHAnsi"/>
        </w:rPr>
        <w:t xml:space="preserve"> </w:t>
      </w:r>
      <w:r>
        <w:rPr>
          <w:rFonts w:cstheme="minorHAnsi"/>
        </w:rPr>
        <w:t xml:space="preserve">at the activity level </w:t>
      </w:r>
      <w:r w:rsidRPr="00A91DE8">
        <w:rPr>
          <w:rFonts w:cstheme="minorHAnsi"/>
        </w:rPr>
        <w:t xml:space="preserve">by </w:t>
      </w:r>
      <w:proofErr w:type="gramStart"/>
      <w:r w:rsidRPr="00A91DE8">
        <w:rPr>
          <w:rFonts w:cstheme="minorHAnsi"/>
        </w:rPr>
        <w:t>a number of</w:t>
      </w:r>
      <w:proofErr w:type="gramEnd"/>
      <w:r w:rsidRPr="00A91DE8">
        <w:rPr>
          <w:rFonts w:cstheme="minorHAnsi"/>
        </w:rPr>
        <w:t xml:space="preserve"> the IPs</w:t>
      </w:r>
      <w:r>
        <w:rPr>
          <w:rFonts w:cstheme="minorHAnsi"/>
        </w:rPr>
        <w:t xml:space="preserve"> posed a challenge. It is therefore difficult to assign specific changes to the support of GDPP. The</w:t>
      </w:r>
      <w:r>
        <w:rPr>
          <w:rFonts w:eastAsia="Times New Roman" w:cstheme="minorHAnsi"/>
          <w:lang w:val="en-GB" w:eastAsia="en-CA"/>
        </w:rPr>
        <w:t xml:space="preserve"> ET addressed this by reviewing all available documents, followed up by interviews and focus groups. That said, there were no major impediments to </w:t>
      </w:r>
      <w:proofErr w:type="gramStart"/>
      <w:r>
        <w:rPr>
          <w:rFonts w:eastAsia="Times New Roman" w:cstheme="minorHAnsi"/>
          <w:lang w:val="en-GB" w:eastAsia="en-CA"/>
        </w:rPr>
        <w:t>actually gathering</w:t>
      </w:r>
      <w:proofErr w:type="gramEnd"/>
      <w:r>
        <w:rPr>
          <w:rFonts w:eastAsia="Times New Roman" w:cstheme="minorHAnsi"/>
          <w:lang w:val="en-GB" w:eastAsia="en-CA"/>
        </w:rPr>
        <w:t xml:space="preserve"> data; the team leader, based in Canada, was able to conduct interviews remotely with all donors and UNDP staff, including the former CTA for the GDPP based in Tajikistan. The national consultants were able to conduct field visits to selected implementation sites and to hold interviews with IPs in Addis Ababa. The Country Office provided useful and relevant support. The ET’s view is that the </w:t>
      </w:r>
      <w:r w:rsidRPr="00E912C1">
        <w:rPr>
          <w:rFonts w:eastAsia="Times New Roman" w:cstheme="minorHAnsi"/>
          <w:lang w:val="en-GB" w:eastAsia="en-CA"/>
        </w:rPr>
        <w:t xml:space="preserve">broad range of interviews and the available documentation provided adequate opportunities to compare information and ensure </w:t>
      </w:r>
      <w:r w:rsidRPr="00E912C1">
        <w:rPr>
          <w:rFonts w:cs="Calibri"/>
          <w:color w:val="000000"/>
        </w:rPr>
        <w:t>data gathered during the evaluation</w:t>
      </w:r>
      <w:r w:rsidRPr="00E912C1">
        <w:rPr>
          <w:rFonts w:eastAsia="Times New Roman" w:cstheme="minorHAnsi"/>
          <w:lang w:val="en-GB" w:eastAsia="en-CA"/>
        </w:rPr>
        <w:t xml:space="preserve"> could be corroborated. </w:t>
      </w:r>
    </w:p>
    <w:p w14:paraId="5A70EA75" w14:textId="77777777" w:rsidR="00C12C91" w:rsidRDefault="00C12C91" w:rsidP="004F27CE">
      <w:pPr>
        <w:spacing w:line="240" w:lineRule="auto"/>
        <w:rPr>
          <w:rFonts w:eastAsia="Times New Roman" w:cstheme="minorHAnsi"/>
          <w:b/>
          <w:lang w:val="en-GB" w:eastAsia="en-CA"/>
        </w:rPr>
      </w:pPr>
      <w:r>
        <w:rPr>
          <w:rFonts w:eastAsia="Times New Roman" w:cstheme="minorHAnsi"/>
          <w:b/>
          <w:lang w:val="en-GB" w:eastAsia="en-CA"/>
        </w:rPr>
        <w:br w:type="page"/>
      </w:r>
    </w:p>
    <w:p w14:paraId="38DF81F1" w14:textId="77777777" w:rsidR="00C12C91" w:rsidRPr="00FC4BB5" w:rsidRDefault="00C12C91" w:rsidP="00C12C91">
      <w:pPr>
        <w:spacing w:before="240" w:line="360" w:lineRule="auto"/>
        <w:jc w:val="both"/>
        <w:rPr>
          <w:rFonts w:eastAsia="Times New Roman" w:cstheme="minorHAnsi"/>
          <w:b/>
          <w:lang w:val="en-GB" w:eastAsia="en-CA"/>
        </w:rPr>
      </w:pPr>
      <w:r w:rsidRPr="00FC4BB5">
        <w:rPr>
          <w:rFonts w:eastAsia="Times New Roman" w:cstheme="minorHAnsi"/>
          <w:b/>
          <w:lang w:val="en-GB" w:eastAsia="en-CA"/>
        </w:rPr>
        <w:lastRenderedPageBreak/>
        <w:t>SECTION 2: THE COUNTRY CONTEXT</w:t>
      </w:r>
    </w:p>
    <w:p w14:paraId="7188C28E" w14:textId="77777777" w:rsidR="00C12C91" w:rsidRPr="00CE722C" w:rsidRDefault="00C12C91" w:rsidP="00C12C91">
      <w:pPr>
        <w:pStyle w:val="ListParagraph"/>
        <w:numPr>
          <w:ilvl w:val="1"/>
          <w:numId w:val="6"/>
        </w:numPr>
        <w:spacing w:after="0"/>
        <w:jc w:val="both"/>
      </w:pPr>
      <w:r w:rsidRPr="00CE722C">
        <w:rPr>
          <w:i/>
        </w:rPr>
        <w:t xml:space="preserve">Development context: </w:t>
      </w:r>
    </w:p>
    <w:p w14:paraId="269CB0C8" w14:textId="77777777" w:rsidR="00C12C91" w:rsidRPr="00DC41A9" w:rsidRDefault="00C12C91" w:rsidP="00C12C91">
      <w:pPr>
        <w:pStyle w:val="ListParagraph"/>
        <w:spacing w:after="0"/>
        <w:ind w:left="360"/>
        <w:jc w:val="both"/>
        <w:rPr>
          <w:sz w:val="24"/>
          <w:szCs w:val="24"/>
        </w:rPr>
      </w:pPr>
    </w:p>
    <w:p w14:paraId="6436B169" w14:textId="77777777" w:rsidR="00C12C91" w:rsidRDefault="00C12C91" w:rsidP="004F27CE">
      <w:pPr>
        <w:numPr>
          <w:ilvl w:val="0"/>
          <w:numId w:val="3"/>
        </w:numPr>
        <w:shd w:val="clear" w:color="auto" w:fill="FFFFFF"/>
        <w:spacing w:after="240" w:line="240" w:lineRule="auto"/>
        <w:jc w:val="both"/>
      </w:pPr>
      <w:r>
        <w:t>With a current population of around 115 million in 2020, according to the World Bank,</w:t>
      </w:r>
      <w:r>
        <w:rPr>
          <w:rStyle w:val="FootnoteReference"/>
        </w:rPr>
        <w:footnoteReference w:id="10"/>
      </w:r>
      <w:r>
        <w:t xml:space="preserve"> Ethiopia is the second most populous country in Africa after Nigeria. It is estimated that some 46% of the population is under the age of 15 and 51% are between 15 and 64 years old,</w:t>
      </w:r>
      <w:r>
        <w:rPr>
          <w:rStyle w:val="FootnoteReference"/>
        </w:rPr>
        <w:footnoteReference w:id="11"/>
      </w:r>
      <w:r>
        <w:t xml:space="preserve"> the largest youth population in sub-Saharan Africa.</w:t>
      </w:r>
      <w:r>
        <w:rPr>
          <w:rStyle w:val="FootnoteReference"/>
        </w:rPr>
        <w:footnoteReference w:id="12"/>
      </w:r>
      <w:r>
        <w:t xml:space="preserve"> Although the so-called “youth bulge” potentially represents an incredible asset, youth unemployment is estimated at 27%. The need to service this burgeoning population of unemployed youth adds additional pressure on the absorption capacity of the labor market and will necessitate the creation of sufficient new jobs if unemployment issues are not to have serious consequences for the economy and stability going forward.</w:t>
      </w:r>
    </w:p>
    <w:p w14:paraId="2140F14C" w14:textId="77777777" w:rsidR="00C12C91" w:rsidRDefault="00C12C91" w:rsidP="004F27CE">
      <w:pPr>
        <w:pStyle w:val="ListParagraph"/>
        <w:numPr>
          <w:ilvl w:val="0"/>
          <w:numId w:val="3"/>
        </w:numPr>
        <w:spacing w:line="240" w:lineRule="auto"/>
        <w:jc w:val="both"/>
      </w:pPr>
      <w:r>
        <w:t>The Government of Ethiopia has over the last two decades shown great commitment to implement policies and programmes aimed at stimulating rapid development transformation largely by prioritizing investments to build and operate social and economic infrastructure, improving capacities within government to broaden access to basic social services such as education, health and water and sanitation, and prioritizing public investments in pro-poor economic sectors such as agriculture, food security and job creation (focusing on micro, small and medium enterprises). Although the country has experienced the fastest growing economy in the region, with a 6.1% growth in FY2019/20, it also remains one of the poorest countries with a per capita gross national income of $890.</w:t>
      </w:r>
      <w:r>
        <w:rPr>
          <w:rStyle w:val="FootnoteReference"/>
        </w:rPr>
        <w:footnoteReference w:id="13"/>
      </w:r>
    </w:p>
    <w:p w14:paraId="5375B684" w14:textId="77777777" w:rsidR="00C12C91" w:rsidRDefault="00C12C91" w:rsidP="004F27CE">
      <w:pPr>
        <w:pStyle w:val="ListParagraph"/>
        <w:spacing w:line="240" w:lineRule="auto"/>
        <w:ind w:left="450"/>
        <w:jc w:val="both"/>
      </w:pPr>
    </w:p>
    <w:p w14:paraId="65E7D1D9" w14:textId="05877E4E" w:rsidR="00C12C91" w:rsidRDefault="00C12C91" w:rsidP="004F27CE">
      <w:pPr>
        <w:pStyle w:val="ListParagraph"/>
        <w:numPr>
          <w:ilvl w:val="0"/>
          <w:numId w:val="3"/>
        </w:numPr>
        <w:spacing w:after="0" w:line="240" w:lineRule="auto"/>
        <w:jc w:val="both"/>
      </w:pPr>
      <w:r w:rsidRPr="00AD64F1">
        <w:rPr>
          <w:rFonts w:cstheme="minorHAnsi"/>
          <w:bCs/>
          <w:kern w:val="14"/>
          <w:lang w:val="en-AU"/>
        </w:rPr>
        <w:t xml:space="preserve">Prime Minister Abiy Ahmed, </w:t>
      </w:r>
      <w:r>
        <w:rPr>
          <w:rFonts w:cstheme="minorHAnsi"/>
          <w:bCs/>
          <w:kern w:val="14"/>
          <w:lang w:val="en-AU"/>
        </w:rPr>
        <w:t>after</w:t>
      </w:r>
      <w:r w:rsidRPr="00AD64F1">
        <w:rPr>
          <w:rFonts w:cstheme="minorHAnsi"/>
          <w:bCs/>
          <w:kern w:val="14"/>
          <w:lang w:val="en-AU"/>
        </w:rPr>
        <w:t xml:space="preserve"> coming to power </w:t>
      </w:r>
      <w:r>
        <w:rPr>
          <w:rFonts w:cstheme="minorHAnsi"/>
          <w:bCs/>
          <w:kern w:val="14"/>
          <w:lang w:val="en-AU"/>
        </w:rPr>
        <w:t>i</w:t>
      </w:r>
      <w:r w:rsidRPr="00AD64F1">
        <w:rPr>
          <w:rFonts w:cstheme="minorHAnsi"/>
          <w:bCs/>
          <w:kern w:val="14"/>
          <w:lang w:val="en-AU"/>
        </w:rPr>
        <w:t>n April 2018, introduced ambitious and transformative reforms</w:t>
      </w:r>
      <w:r w:rsidRPr="00944D63">
        <w:rPr>
          <w:rStyle w:val="FootnoteReference"/>
          <w:rFonts w:cstheme="minorHAnsi"/>
          <w:bCs/>
          <w:kern w:val="14"/>
          <w:lang w:val="en-AU"/>
        </w:rPr>
        <w:footnoteReference w:id="14"/>
      </w:r>
      <w:r w:rsidRPr="00AD64F1">
        <w:rPr>
          <w:rFonts w:cstheme="minorHAnsi"/>
          <w:bCs/>
          <w:kern w:val="14"/>
          <w:lang w:val="en-AU"/>
        </w:rPr>
        <w:t xml:space="preserve"> that opened up political space (included lifting the state of emergency, releasing political prisoners, and announcing plans to revise repressive laws) and economic possibilities (partial privatization of state-owned enterprises)</w:t>
      </w:r>
      <w:r>
        <w:rPr>
          <w:rFonts w:cstheme="minorHAnsi"/>
          <w:bCs/>
          <w:kern w:val="14"/>
          <w:lang w:val="en-AU"/>
        </w:rPr>
        <w:t>.</w:t>
      </w:r>
      <w:r w:rsidRPr="00944D63">
        <w:rPr>
          <w:rStyle w:val="FootnoteReference"/>
          <w:rFonts w:cstheme="minorHAnsi"/>
          <w:bCs/>
          <w:kern w:val="14"/>
          <w:lang w:val="en-AU"/>
        </w:rPr>
        <w:footnoteReference w:id="15"/>
      </w:r>
      <w:r w:rsidRPr="00AD64F1">
        <w:rPr>
          <w:rFonts w:cstheme="minorHAnsi"/>
          <w:bCs/>
          <w:kern w:val="14"/>
          <w:lang w:val="en-AU"/>
        </w:rPr>
        <w:t xml:space="preserve"> He outlined a renewed vision of development and democratization including revising laws, establishing a system of accountability for serious human rights abuses, accelerating reform of the criminal justice system, addressing recurring ethnic-based</w:t>
      </w:r>
      <w:r>
        <w:rPr>
          <w:rFonts w:cstheme="minorHAnsi"/>
          <w:bCs/>
          <w:kern w:val="14"/>
          <w:lang w:val="en-AU"/>
        </w:rPr>
        <w:t xml:space="preserve"> </w:t>
      </w:r>
      <w:r w:rsidRPr="00AD64F1">
        <w:rPr>
          <w:rFonts w:cstheme="minorHAnsi"/>
          <w:bCs/>
          <w:kern w:val="14"/>
          <w:lang w:val="en-AU"/>
        </w:rPr>
        <w:t>clashes, implementing electoral reforms, freeing civil society and independent media. In doing so Abiy envisioned bringing more unity to the state, more dynamism and opportunity to its economy, and more justice to its people</w:t>
      </w:r>
      <w:r w:rsidR="000A5B91">
        <w:rPr>
          <w:rFonts w:cstheme="minorHAnsi"/>
          <w:bCs/>
          <w:kern w:val="14"/>
          <w:lang w:val="en-AU"/>
        </w:rPr>
        <w:t>.</w:t>
      </w:r>
      <w:r w:rsidRPr="00944D63">
        <w:rPr>
          <w:rStyle w:val="FootnoteReference"/>
          <w:rFonts w:cstheme="minorHAnsi"/>
          <w:bCs/>
          <w:kern w:val="14"/>
          <w:lang w:val="en-AU"/>
        </w:rPr>
        <w:footnoteReference w:id="16"/>
      </w:r>
      <w:r w:rsidRPr="00AD64F1">
        <w:rPr>
          <w:rFonts w:cstheme="minorHAnsi"/>
          <w:bCs/>
          <w:kern w:val="14"/>
          <w:lang w:val="en-AU"/>
        </w:rPr>
        <w:t xml:space="preserve"> He dismantled the state’s repression machinery</w:t>
      </w:r>
      <w:r>
        <w:rPr>
          <w:rFonts w:cstheme="minorHAnsi"/>
          <w:bCs/>
          <w:kern w:val="14"/>
          <w:lang w:val="en-AU"/>
        </w:rPr>
        <w:t>,</w:t>
      </w:r>
      <w:r w:rsidRPr="00AD64F1">
        <w:rPr>
          <w:rFonts w:cstheme="minorHAnsi"/>
          <w:bCs/>
          <w:kern w:val="14"/>
          <w:lang w:val="en-AU"/>
        </w:rPr>
        <w:t xml:space="preserve"> which </w:t>
      </w:r>
      <w:r>
        <w:rPr>
          <w:rFonts w:cstheme="minorHAnsi"/>
          <w:bCs/>
          <w:kern w:val="14"/>
          <w:lang w:val="en-AU"/>
        </w:rPr>
        <w:t xml:space="preserve">had </w:t>
      </w:r>
      <w:r w:rsidRPr="00AD64F1">
        <w:rPr>
          <w:rFonts w:cstheme="minorHAnsi"/>
          <w:bCs/>
          <w:kern w:val="14"/>
          <w:lang w:val="en-AU"/>
        </w:rPr>
        <w:t>weakened the state’s ability to maintain order and emboldened regional nationalists</w:t>
      </w:r>
      <w:r>
        <w:rPr>
          <w:rFonts w:cstheme="minorHAnsi"/>
          <w:bCs/>
          <w:kern w:val="14"/>
          <w:lang w:val="en-AU"/>
        </w:rPr>
        <w:t>.</w:t>
      </w:r>
      <w:r w:rsidRPr="00944D63">
        <w:rPr>
          <w:rStyle w:val="FootnoteReference"/>
          <w:rFonts w:cstheme="minorHAnsi"/>
          <w:bCs/>
          <w:kern w:val="14"/>
          <w:lang w:val="en-AU"/>
        </w:rPr>
        <w:footnoteReference w:id="17"/>
      </w:r>
      <w:r w:rsidRPr="00AD64F1">
        <w:rPr>
          <w:rFonts w:cstheme="minorHAnsi"/>
          <w:bCs/>
          <w:kern w:val="14"/>
          <w:lang w:val="en-AU"/>
        </w:rPr>
        <w:t xml:space="preserve"> In general, he made strides towards reforming authoritarianism and fostered regional peace. The PM’s reforms have presented both opportunities (designed and implemented at the right juncture) and challenges (the security and historical dynamics) for the GDPP.</w:t>
      </w:r>
    </w:p>
    <w:p w14:paraId="096A6141" w14:textId="77777777" w:rsidR="00C12C91" w:rsidRDefault="00C12C91" w:rsidP="004F27CE">
      <w:pPr>
        <w:pStyle w:val="ListParagraph"/>
        <w:spacing w:line="240" w:lineRule="auto"/>
      </w:pPr>
    </w:p>
    <w:p w14:paraId="5121B1E9" w14:textId="77777777" w:rsidR="00C12C91" w:rsidRDefault="00C12C91" w:rsidP="004F27CE">
      <w:pPr>
        <w:pStyle w:val="ListParagraph"/>
        <w:numPr>
          <w:ilvl w:val="0"/>
          <w:numId w:val="3"/>
        </w:numPr>
        <w:spacing w:line="240" w:lineRule="auto"/>
        <w:jc w:val="both"/>
      </w:pPr>
      <w:r>
        <w:lastRenderedPageBreak/>
        <w:t>On top of the economic and social transformation, improvements have been made in the governance sector, for example, by ratifying a largely progressive constitution, efforts to address inequalities, policies that promote gender equality and the establishment of democratic institutions, etc. Although the policy orientation and commitment has resulted in significant improvements in terms of Ethiopia’s human development, Ethiopia still ranks at 173 out of 189 countries in the 2020 Human Development Report and 31 out of 54 African countries in the 2021 Mo Ibrahim Governance Index. The gains it has made remain fragile and vulnerable to economic shocks stemming from climate-related drought and the COVID-19 pandemic.</w:t>
      </w:r>
      <w:r>
        <w:rPr>
          <w:rStyle w:val="FootnoteReference"/>
        </w:rPr>
        <w:footnoteReference w:id="18"/>
      </w:r>
      <w:r>
        <w:t xml:space="preserve"> In addition, the country lies in an area of geopolitical instability and is home to the largest refugee influx in Africa. </w:t>
      </w:r>
    </w:p>
    <w:p w14:paraId="14B3136F" w14:textId="77777777" w:rsidR="00C12C91" w:rsidRDefault="00C12C91" w:rsidP="004F27CE">
      <w:pPr>
        <w:pStyle w:val="ListParagraph"/>
        <w:spacing w:line="240" w:lineRule="auto"/>
      </w:pPr>
    </w:p>
    <w:p w14:paraId="34FD505B" w14:textId="77777777" w:rsidR="00C12C91" w:rsidRDefault="00C12C91" w:rsidP="004F27CE">
      <w:pPr>
        <w:pStyle w:val="ListParagraph"/>
        <w:numPr>
          <w:ilvl w:val="0"/>
          <w:numId w:val="3"/>
        </w:numPr>
        <w:spacing w:line="240" w:lineRule="auto"/>
        <w:jc w:val="both"/>
      </w:pPr>
      <w:r>
        <w:t>To compound the structural fragility outlined above, Ethiopia now faces a serious problem of political instability and armed conflicts in various regions of the country. Most notably, the conflicts in the Tigray, Amhara and Afar regions following the Law Enforcement Operation of the Government in Tigray in November 2020, and that in Oromia and Benishangul Gumuz regions, have resulted in the displacement of millions of people and a humanitarian, social and economic crisis. Given heightened international concern over the impact of the conflict on ordinary people, especially in Tigray, it remains to be seen what effect this might have on future international support for programming in Ethiopia, including initiatives such as the GDPP. That said, recent developments in Ethiopia - such as: (1) the recent release of key political figures from prison; (2) initiatives for the establishment of the National Dialogue Forum and (3) the re-rapprochement of the government with donors might improve the space for governance and the democratization process. However, it is too early to judge at this stage.</w:t>
      </w:r>
    </w:p>
    <w:p w14:paraId="75009463" w14:textId="77777777" w:rsidR="00C12C91" w:rsidRDefault="00C12C91" w:rsidP="00C12C91">
      <w:pPr>
        <w:pStyle w:val="ListParagraph"/>
        <w:spacing w:line="360" w:lineRule="auto"/>
        <w:ind w:left="360"/>
        <w:jc w:val="both"/>
      </w:pPr>
    </w:p>
    <w:p w14:paraId="3249984C" w14:textId="77777777" w:rsidR="00C12C91" w:rsidRDefault="00C12C91" w:rsidP="00C12C91">
      <w:pPr>
        <w:pStyle w:val="ListParagraph"/>
        <w:numPr>
          <w:ilvl w:val="1"/>
          <w:numId w:val="6"/>
        </w:numPr>
        <w:spacing w:after="0" w:line="360" w:lineRule="auto"/>
        <w:jc w:val="both"/>
        <w:rPr>
          <w:i/>
        </w:rPr>
      </w:pPr>
      <w:r w:rsidRPr="00E40C3A">
        <w:rPr>
          <w:i/>
        </w:rPr>
        <w:t xml:space="preserve">Key elements of </w:t>
      </w:r>
      <w:r>
        <w:rPr>
          <w:i/>
        </w:rPr>
        <w:t>the GDPP</w:t>
      </w:r>
    </w:p>
    <w:p w14:paraId="40AAC01C" w14:textId="77777777" w:rsidR="00C12C91" w:rsidRPr="00D2147E" w:rsidRDefault="00C12C91" w:rsidP="004F27CE">
      <w:pPr>
        <w:pStyle w:val="NormalWeb"/>
        <w:numPr>
          <w:ilvl w:val="0"/>
          <w:numId w:val="3"/>
        </w:numPr>
        <w:shd w:val="clear" w:color="auto" w:fill="FEFEFE"/>
        <w:spacing w:line="240" w:lineRule="auto"/>
        <w:jc w:val="both"/>
        <w:rPr>
          <w:rFonts w:asciiTheme="minorHAnsi" w:eastAsia="Times New Roman" w:hAnsiTheme="minorHAnsi" w:cstheme="minorHAnsi"/>
          <w:color w:val="0A0A0A"/>
          <w:spacing w:val="4"/>
          <w:sz w:val="22"/>
          <w:szCs w:val="22"/>
          <w:lang w:eastAsia="en-CA"/>
        </w:rPr>
      </w:pPr>
      <w:r w:rsidRPr="00D2147E">
        <w:rPr>
          <w:rFonts w:asciiTheme="minorHAnsi" w:hAnsiTheme="minorHAnsi" w:cstheme="minorHAnsi"/>
          <w:sz w:val="22"/>
          <w:szCs w:val="22"/>
        </w:rPr>
        <w:t xml:space="preserve">UNDP has been a consistent partner of the GoE since 1981, providing technical expertise and policy advice to implement national strategies and plans, and to localise the Sustainable Development Goals. </w:t>
      </w:r>
      <w:r w:rsidRPr="00D2147E">
        <w:rPr>
          <w:rFonts w:asciiTheme="minorHAnsi" w:eastAsia="Times New Roman" w:hAnsiTheme="minorHAnsi" w:cstheme="minorHAnsi"/>
          <w:color w:val="0A0A0A"/>
          <w:spacing w:val="4"/>
          <w:sz w:val="22"/>
          <w:szCs w:val="22"/>
          <w:lang w:eastAsia="en-CA"/>
        </w:rPr>
        <w:t>Programme Priorities</w:t>
      </w:r>
      <w:r>
        <w:rPr>
          <w:rFonts w:asciiTheme="minorHAnsi" w:eastAsia="Times New Roman" w:hAnsiTheme="minorHAnsi" w:cstheme="minorHAnsi"/>
          <w:color w:val="0A0A0A"/>
          <w:spacing w:val="4"/>
          <w:sz w:val="22"/>
          <w:szCs w:val="22"/>
          <w:lang w:eastAsia="en-CA"/>
        </w:rPr>
        <w:t xml:space="preserve"> in the 2016-2020 Country Programme Document included: </w:t>
      </w:r>
    </w:p>
    <w:p w14:paraId="7198D526" w14:textId="77777777" w:rsidR="00C12C91" w:rsidRPr="00D2147E" w:rsidRDefault="00C12C91" w:rsidP="004F27CE">
      <w:pPr>
        <w:numPr>
          <w:ilvl w:val="0"/>
          <w:numId w:val="7"/>
        </w:numPr>
        <w:shd w:val="clear" w:color="auto" w:fill="FEFEFE"/>
        <w:spacing w:after="0" w:line="240" w:lineRule="auto"/>
        <w:rPr>
          <w:rFonts w:eastAsia="Times New Roman" w:cstheme="minorHAnsi"/>
          <w:color w:val="0A0A0A"/>
          <w:spacing w:val="4"/>
          <w:lang w:eastAsia="en-CA"/>
        </w:rPr>
      </w:pPr>
      <w:r w:rsidRPr="00D2147E">
        <w:rPr>
          <w:rFonts w:eastAsia="Times New Roman" w:cstheme="minorHAnsi"/>
          <w:color w:val="0A0A0A"/>
          <w:spacing w:val="4"/>
          <w:lang w:eastAsia="en-CA"/>
        </w:rPr>
        <w:t>Accelerating Economic Growth and Poverty Reduction</w:t>
      </w:r>
    </w:p>
    <w:p w14:paraId="0F3610FD" w14:textId="77777777" w:rsidR="00C12C91" w:rsidRPr="00D2147E" w:rsidRDefault="00C12C91" w:rsidP="004F27CE">
      <w:pPr>
        <w:numPr>
          <w:ilvl w:val="0"/>
          <w:numId w:val="7"/>
        </w:numPr>
        <w:shd w:val="clear" w:color="auto" w:fill="FEFEFE"/>
        <w:spacing w:after="0" w:line="240" w:lineRule="auto"/>
        <w:rPr>
          <w:rFonts w:eastAsia="Times New Roman" w:cstheme="minorHAnsi"/>
          <w:color w:val="0A0A0A"/>
          <w:spacing w:val="4"/>
          <w:lang w:eastAsia="en-CA"/>
        </w:rPr>
      </w:pPr>
      <w:r w:rsidRPr="00D2147E">
        <w:rPr>
          <w:rFonts w:eastAsia="Times New Roman" w:cstheme="minorHAnsi"/>
          <w:color w:val="0A0A0A"/>
          <w:spacing w:val="4"/>
          <w:lang w:eastAsia="en-CA"/>
        </w:rPr>
        <w:t>Climate Change and Resilience Building</w:t>
      </w:r>
    </w:p>
    <w:p w14:paraId="283668E4" w14:textId="77777777" w:rsidR="00C12C91" w:rsidRDefault="00C12C91" w:rsidP="004F27CE">
      <w:pPr>
        <w:numPr>
          <w:ilvl w:val="0"/>
          <w:numId w:val="7"/>
        </w:numPr>
        <w:shd w:val="clear" w:color="auto" w:fill="FEFEFE"/>
        <w:spacing w:after="0" w:line="240" w:lineRule="auto"/>
        <w:rPr>
          <w:rFonts w:eastAsia="Times New Roman" w:cstheme="minorHAnsi"/>
          <w:color w:val="0A0A0A"/>
          <w:spacing w:val="4"/>
          <w:lang w:eastAsia="en-CA"/>
        </w:rPr>
      </w:pPr>
      <w:r w:rsidRPr="00D2147E">
        <w:rPr>
          <w:rFonts w:eastAsia="Times New Roman" w:cstheme="minorHAnsi"/>
          <w:color w:val="0A0A0A"/>
          <w:spacing w:val="4"/>
          <w:lang w:eastAsia="en-CA"/>
        </w:rPr>
        <w:t>Strengthening Democratic Governance and Capacity Development</w:t>
      </w:r>
    </w:p>
    <w:p w14:paraId="4A62C865" w14:textId="77777777" w:rsidR="00C12C91" w:rsidRDefault="00C12C91" w:rsidP="004F27CE">
      <w:pPr>
        <w:shd w:val="clear" w:color="auto" w:fill="FEFEFE"/>
        <w:spacing w:after="0" w:line="240" w:lineRule="auto"/>
        <w:rPr>
          <w:rFonts w:eastAsia="Times New Roman" w:cstheme="minorHAnsi"/>
          <w:color w:val="0A0A0A"/>
          <w:spacing w:val="4"/>
          <w:lang w:eastAsia="en-CA"/>
        </w:rPr>
      </w:pPr>
    </w:p>
    <w:p w14:paraId="4AAEB52A" w14:textId="77777777" w:rsidR="00C12C91" w:rsidRPr="009854B2" w:rsidRDefault="00C12C91" w:rsidP="004F27CE">
      <w:pPr>
        <w:pStyle w:val="ListParagraph"/>
        <w:spacing w:after="0" w:line="240" w:lineRule="auto"/>
        <w:ind w:left="448"/>
        <w:jc w:val="both"/>
        <w:rPr>
          <w:rFonts w:cstheme="minorHAnsi"/>
        </w:rPr>
      </w:pPr>
      <w:r>
        <w:t xml:space="preserve">Through a partnership approach, UNDP engages with development partners, civil </w:t>
      </w:r>
      <w:proofErr w:type="gramStart"/>
      <w:r>
        <w:t>society</w:t>
      </w:r>
      <w:proofErr w:type="gramEnd"/>
      <w:r>
        <w:t xml:space="preserve"> and the private sector in order to address the development challenges of the country. Within this context. the GDPP, as defined in the Programme Document (June 2017), aimed to reinforce </w:t>
      </w:r>
      <w:r w:rsidRPr="009854B2">
        <w:rPr>
          <w:rFonts w:cstheme="minorHAnsi"/>
        </w:rPr>
        <w:t xml:space="preserve">the GoE’s desire to improve public governance and deepen democracy by prioritizing </w:t>
      </w:r>
      <w:r w:rsidRPr="009854B2">
        <w:rPr>
          <w:rFonts w:cstheme="minorHAnsi"/>
          <w:i/>
        </w:rPr>
        <w:t xml:space="preserve">“citizens’ participation, transparency and accountability, rule of law and justice, effective service delivery, consensus building and the full expression of the media”. </w:t>
      </w:r>
      <w:r w:rsidRPr="009854B2">
        <w:rPr>
          <w:rFonts w:cstheme="minorHAnsi"/>
        </w:rPr>
        <w:t xml:space="preserve">These priorities are also closely aligned with outcomes of the Strategic Plan of the UNDP (2017-2020) and those in the United Nations Development Assistance Framework (UNDAF, 2016-2020) for Ethiopia. They also echo commitments made in Agenda 2030, </w:t>
      </w:r>
      <w:r w:rsidRPr="009854B2">
        <w:rPr>
          <w:rFonts w:cstheme="minorHAnsi"/>
        </w:rPr>
        <w:lastRenderedPageBreak/>
        <w:t xml:space="preserve">particularly Goal 16: </w:t>
      </w:r>
      <w:r w:rsidRPr="009854B2">
        <w:rPr>
          <w:rFonts w:cstheme="minorHAnsi"/>
          <w:i/>
        </w:rPr>
        <w:t>promoting peaceful and inclusive societies, access to justice and capable and responsive institutions.</w:t>
      </w:r>
      <w:r>
        <w:rPr>
          <w:rStyle w:val="FootnoteReference"/>
          <w:rFonts w:cstheme="minorHAnsi"/>
          <w:i/>
        </w:rPr>
        <w:footnoteReference w:id="19"/>
      </w:r>
    </w:p>
    <w:p w14:paraId="2B68EA5F" w14:textId="77777777" w:rsidR="00C12C91" w:rsidRPr="009854B2" w:rsidRDefault="00C12C91" w:rsidP="004F27CE">
      <w:pPr>
        <w:pStyle w:val="ListParagraph"/>
        <w:spacing w:after="0" w:line="240" w:lineRule="auto"/>
        <w:ind w:left="540"/>
        <w:jc w:val="both"/>
        <w:rPr>
          <w:rFonts w:cstheme="minorHAnsi"/>
        </w:rPr>
      </w:pPr>
    </w:p>
    <w:p w14:paraId="72F3F761" w14:textId="77777777" w:rsidR="00C12C91" w:rsidRPr="00121C60" w:rsidRDefault="00C12C91" w:rsidP="004F27CE">
      <w:pPr>
        <w:pStyle w:val="FootnoteText"/>
        <w:numPr>
          <w:ilvl w:val="0"/>
          <w:numId w:val="3"/>
        </w:numPr>
        <w:jc w:val="both"/>
        <w:rPr>
          <w:rFonts w:cstheme="minorHAnsi"/>
          <w:sz w:val="22"/>
          <w:szCs w:val="22"/>
        </w:rPr>
      </w:pPr>
      <w:r w:rsidRPr="00121C60">
        <w:rPr>
          <w:rFonts w:cstheme="minorHAnsi"/>
          <w:sz w:val="22"/>
          <w:szCs w:val="22"/>
        </w:rPr>
        <w:t xml:space="preserve">The overarching goal of the GDPP is to capitalise on existing momentum and opportunities to further advance good governance and entrench democratic principles at all levels and across the country. The </w:t>
      </w:r>
      <w:r w:rsidRPr="00121C60">
        <w:rPr>
          <w:sz w:val="22"/>
          <w:szCs w:val="22"/>
        </w:rPr>
        <w:t>programme implementation is anchored on a multi-stakeholder approach involving eleven Implementing Partners</w:t>
      </w:r>
      <w:r>
        <w:rPr>
          <w:sz w:val="22"/>
          <w:szCs w:val="22"/>
        </w:rPr>
        <w:t>.</w:t>
      </w:r>
      <w:r w:rsidRPr="00121C60">
        <w:rPr>
          <w:rStyle w:val="FootnoteReference"/>
          <w:sz w:val="22"/>
          <w:szCs w:val="22"/>
        </w:rPr>
        <w:footnoteReference w:id="20"/>
      </w:r>
    </w:p>
    <w:p w14:paraId="14663F46" w14:textId="77777777" w:rsidR="00C12C91" w:rsidRPr="00A91DE8" w:rsidRDefault="00C12C91" w:rsidP="004F27CE">
      <w:pPr>
        <w:spacing w:after="0" w:line="240" w:lineRule="auto"/>
        <w:jc w:val="both"/>
        <w:rPr>
          <w:rFonts w:cstheme="minorHAnsi"/>
          <w:b/>
        </w:rPr>
      </w:pPr>
    </w:p>
    <w:p w14:paraId="31961DCC" w14:textId="77777777" w:rsidR="00C12C91" w:rsidRDefault="00C12C91" w:rsidP="004F27CE">
      <w:pPr>
        <w:spacing w:after="0" w:line="240" w:lineRule="auto"/>
        <w:ind w:firstLine="540"/>
        <w:jc w:val="both"/>
        <w:rPr>
          <w:rFonts w:cstheme="minorHAnsi"/>
        </w:rPr>
      </w:pPr>
      <w:r w:rsidRPr="00A91DE8">
        <w:rPr>
          <w:rFonts w:cstheme="minorHAnsi"/>
        </w:rPr>
        <w:t xml:space="preserve">To achieve this goal, the Programme </w:t>
      </w:r>
      <w:r>
        <w:rPr>
          <w:rFonts w:cstheme="minorHAnsi"/>
        </w:rPr>
        <w:t>aimed to</w:t>
      </w:r>
      <w:r w:rsidRPr="00A91DE8">
        <w:rPr>
          <w:rFonts w:cstheme="minorHAnsi"/>
        </w:rPr>
        <w:t xml:space="preserve"> contribute to </w:t>
      </w:r>
      <w:r w:rsidRPr="00AA6C46">
        <w:rPr>
          <w:rFonts w:cstheme="minorHAnsi"/>
        </w:rPr>
        <w:t>three broad outcome areas</w:t>
      </w:r>
      <w:r w:rsidRPr="00A91DE8">
        <w:rPr>
          <w:rFonts w:cstheme="minorHAnsi"/>
        </w:rPr>
        <w:t xml:space="preserve">, namely: </w:t>
      </w:r>
    </w:p>
    <w:p w14:paraId="6701EBE1" w14:textId="77777777" w:rsidR="00C12C91" w:rsidRDefault="00C12C91" w:rsidP="004F27CE">
      <w:pPr>
        <w:spacing w:after="0" w:line="240" w:lineRule="auto"/>
        <w:jc w:val="both"/>
        <w:rPr>
          <w:rFonts w:cstheme="minorHAnsi"/>
        </w:rPr>
      </w:pPr>
    </w:p>
    <w:p w14:paraId="4FC30F99" w14:textId="77777777" w:rsidR="00C12C91" w:rsidRPr="00AA6C46" w:rsidRDefault="00C12C91" w:rsidP="004F27CE">
      <w:pPr>
        <w:spacing w:after="0" w:line="240" w:lineRule="auto"/>
        <w:ind w:firstLine="720"/>
        <w:jc w:val="both"/>
        <w:rPr>
          <w:rFonts w:cstheme="minorHAnsi"/>
          <w:i/>
        </w:rPr>
      </w:pPr>
      <w:r w:rsidRPr="00AA6C46">
        <w:rPr>
          <w:rFonts w:cstheme="minorHAnsi"/>
          <w:i/>
        </w:rPr>
        <w:t xml:space="preserve">a) improved inclusion, social cohesion and sustainable </w:t>
      </w:r>
      <w:proofErr w:type="gramStart"/>
      <w:r w:rsidRPr="00AA6C46">
        <w:rPr>
          <w:rFonts w:cstheme="minorHAnsi"/>
          <w:i/>
        </w:rPr>
        <w:t>peace;</w:t>
      </w:r>
      <w:proofErr w:type="gramEnd"/>
      <w:r w:rsidRPr="00AA6C46">
        <w:rPr>
          <w:rFonts w:cstheme="minorHAnsi"/>
          <w:i/>
        </w:rPr>
        <w:t xml:space="preserve"> </w:t>
      </w:r>
    </w:p>
    <w:p w14:paraId="093A39E6" w14:textId="77777777" w:rsidR="00C12C91" w:rsidRPr="00AA6C46" w:rsidRDefault="00C12C91" w:rsidP="004F27CE">
      <w:pPr>
        <w:spacing w:after="0" w:line="240" w:lineRule="auto"/>
        <w:ind w:firstLine="720"/>
        <w:jc w:val="both"/>
        <w:rPr>
          <w:rFonts w:cstheme="minorHAnsi"/>
          <w:i/>
        </w:rPr>
      </w:pPr>
      <w:r w:rsidRPr="00AA6C46">
        <w:rPr>
          <w:rFonts w:cstheme="minorHAnsi"/>
          <w:i/>
        </w:rPr>
        <w:t xml:space="preserve">b) responsive, </w:t>
      </w:r>
      <w:proofErr w:type="gramStart"/>
      <w:r w:rsidRPr="00AA6C46">
        <w:rPr>
          <w:rFonts w:cstheme="minorHAnsi"/>
          <w:i/>
        </w:rPr>
        <w:t>accountable</w:t>
      </w:r>
      <w:proofErr w:type="gramEnd"/>
      <w:r w:rsidRPr="00AA6C46">
        <w:rPr>
          <w:rFonts w:cstheme="minorHAnsi"/>
          <w:i/>
        </w:rPr>
        <w:t xml:space="preserve"> and inclusive systems of governance; and:</w:t>
      </w:r>
    </w:p>
    <w:p w14:paraId="19CBF3D0" w14:textId="77777777" w:rsidR="00C12C91" w:rsidRPr="00AA6C46" w:rsidRDefault="00C12C91" w:rsidP="004F27CE">
      <w:pPr>
        <w:spacing w:after="0" w:line="240" w:lineRule="auto"/>
        <w:ind w:firstLine="720"/>
        <w:jc w:val="both"/>
        <w:rPr>
          <w:rFonts w:cstheme="minorHAnsi"/>
          <w:i/>
        </w:rPr>
      </w:pPr>
      <w:r w:rsidRPr="00AA6C46">
        <w:rPr>
          <w:rFonts w:cstheme="minorHAnsi"/>
          <w:i/>
        </w:rPr>
        <w:t>c) empowered and responsible citizens.</w:t>
      </w:r>
      <w:r>
        <w:rPr>
          <w:rStyle w:val="FootnoteReference"/>
          <w:rFonts w:cstheme="minorHAnsi"/>
          <w:i/>
        </w:rPr>
        <w:footnoteReference w:id="21"/>
      </w:r>
      <w:r w:rsidRPr="00AA6C46">
        <w:rPr>
          <w:rFonts w:cstheme="minorHAnsi"/>
          <w:i/>
        </w:rPr>
        <w:t xml:space="preserve"> </w:t>
      </w:r>
    </w:p>
    <w:p w14:paraId="40554270" w14:textId="77777777" w:rsidR="00C12C91" w:rsidRPr="008D1638" w:rsidRDefault="00C12C91" w:rsidP="004F27CE">
      <w:pPr>
        <w:pStyle w:val="ListParagraph"/>
        <w:numPr>
          <w:ilvl w:val="0"/>
          <w:numId w:val="3"/>
        </w:numPr>
        <w:spacing w:before="240" w:line="240" w:lineRule="auto"/>
        <w:ind w:left="90"/>
        <w:jc w:val="both"/>
        <w:rPr>
          <w:rFonts w:cstheme="minorHAnsi"/>
        </w:rPr>
      </w:pPr>
      <w:r>
        <w:t>These objectives were further elaborated on in the 2016/2020 CPD for Ethiopia:</w:t>
      </w:r>
    </w:p>
    <w:p w14:paraId="21E28E4B" w14:textId="77777777" w:rsidR="00C12C91" w:rsidRPr="008D1638" w:rsidRDefault="00C12C91" w:rsidP="004F27CE">
      <w:pPr>
        <w:pStyle w:val="ListParagraph"/>
        <w:spacing w:before="240" w:line="240" w:lineRule="auto"/>
        <w:ind w:left="90"/>
        <w:jc w:val="both"/>
        <w:rPr>
          <w:rFonts w:cstheme="minorHAnsi"/>
        </w:rPr>
      </w:pPr>
    </w:p>
    <w:p w14:paraId="0B79914A" w14:textId="77777777" w:rsidR="00C12C91" w:rsidRPr="008D1638" w:rsidRDefault="00C12C91" w:rsidP="004F27CE">
      <w:pPr>
        <w:pStyle w:val="ListParagraph"/>
        <w:spacing w:before="240" w:line="240" w:lineRule="auto"/>
        <w:ind w:left="450"/>
        <w:jc w:val="both"/>
        <w:rPr>
          <w:rFonts w:cstheme="minorHAnsi"/>
        </w:rPr>
      </w:pPr>
      <w:r w:rsidRPr="008D1638">
        <w:rPr>
          <w:rFonts w:cstheme="minorHAnsi"/>
        </w:rPr>
        <w:t>The overarching strategic thrust of the democratic governance and capacity development pillar is to strengthen the capacities of national and subnational institutions. The programme will be framed around a set of interdependent priorities: (a) strengthening transparency, accountability, rule of law and justice targeting women and vulnerable groups, and ensuring adherence to international human rights obligations; (b) addressing awareness, prevention and enforcement of anti-corruption measures; (c) consolidation of the democratic process; (d) building national capacities to promote social cohesion and conflict prevention; and (e) advancing local governance and decentralized service delivery, including active citizen engagement.</w:t>
      </w:r>
      <w:r>
        <w:rPr>
          <w:rStyle w:val="FootnoteReference"/>
          <w:rFonts w:cstheme="minorHAnsi"/>
        </w:rPr>
        <w:footnoteReference w:id="22"/>
      </w:r>
    </w:p>
    <w:p w14:paraId="51C786A5" w14:textId="77777777" w:rsidR="00C12C91" w:rsidRDefault="00C12C91" w:rsidP="004F27CE">
      <w:pPr>
        <w:pStyle w:val="ListParagraph"/>
        <w:spacing w:line="240" w:lineRule="auto"/>
        <w:jc w:val="both"/>
        <w:rPr>
          <w:rFonts w:cstheme="minorHAnsi"/>
        </w:rPr>
      </w:pPr>
    </w:p>
    <w:p w14:paraId="6E853BB5" w14:textId="77777777" w:rsidR="00C12C91" w:rsidRPr="0013377E" w:rsidRDefault="00C12C91" w:rsidP="004F27CE">
      <w:pPr>
        <w:pStyle w:val="ListParagraph"/>
        <w:numPr>
          <w:ilvl w:val="0"/>
          <w:numId w:val="3"/>
        </w:numPr>
        <w:autoSpaceDE w:val="0"/>
        <w:autoSpaceDN w:val="0"/>
        <w:adjustRightInd w:val="0"/>
        <w:spacing w:line="240" w:lineRule="auto"/>
        <w:jc w:val="both"/>
      </w:pPr>
      <w:r>
        <w:t>In the CPD, UNDP</w:t>
      </w:r>
      <w:r w:rsidRPr="009226D1">
        <w:rPr>
          <w:rFonts w:cstheme="minorHAnsi"/>
        </w:rPr>
        <w:t xml:space="preserve"> also pledged to support “leadership development and change management at the federal and regional levels of government by focusing on women leaders.”</w:t>
      </w:r>
      <w:r>
        <w:rPr>
          <w:rStyle w:val="FootnoteReference"/>
          <w:rFonts w:cstheme="minorHAnsi"/>
        </w:rPr>
        <w:footnoteReference w:id="23"/>
      </w:r>
      <w:r w:rsidRPr="009226D1">
        <w:rPr>
          <w:rFonts w:cstheme="minorHAnsi"/>
        </w:rPr>
        <w:t xml:space="preserve"> This is of </w:t>
      </w:r>
      <w:proofErr w:type="gramStart"/>
      <w:r w:rsidRPr="009226D1">
        <w:rPr>
          <w:rFonts w:cstheme="minorHAnsi"/>
        </w:rPr>
        <w:t>particular relevance</w:t>
      </w:r>
      <w:proofErr w:type="gramEnd"/>
      <w:r w:rsidRPr="009226D1">
        <w:rPr>
          <w:rFonts w:cstheme="minorHAnsi"/>
        </w:rPr>
        <w:t xml:space="preserve"> given the emphasis on gender equality throughout UNDP’s programming environment.</w:t>
      </w:r>
      <w:r>
        <w:rPr>
          <w:rStyle w:val="FootnoteReference"/>
          <w:rFonts w:cstheme="minorHAnsi"/>
        </w:rPr>
        <w:footnoteReference w:id="24"/>
      </w:r>
      <w:r w:rsidRPr="009226D1">
        <w:rPr>
          <w:rFonts w:cstheme="minorHAnsi"/>
        </w:rPr>
        <w:t xml:space="preserve"> </w:t>
      </w:r>
    </w:p>
    <w:p w14:paraId="085091CF" w14:textId="77777777" w:rsidR="00C12C91" w:rsidRDefault="00C12C91" w:rsidP="00C12C91">
      <w:pPr>
        <w:pStyle w:val="ListParagraph"/>
        <w:autoSpaceDE w:val="0"/>
        <w:autoSpaceDN w:val="0"/>
        <w:adjustRightInd w:val="0"/>
        <w:spacing w:line="360" w:lineRule="auto"/>
        <w:ind w:left="450"/>
        <w:jc w:val="both"/>
      </w:pPr>
    </w:p>
    <w:p w14:paraId="15F659D7" w14:textId="77777777" w:rsidR="00C12C91" w:rsidRDefault="00C12C91" w:rsidP="004F27CE">
      <w:pPr>
        <w:pStyle w:val="ListParagraph"/>
        <w:numPr>
          <w:ilvl w:val="0"/>
          <w:numId w:val="3"/>
        </w:numPr>
        <w:spacing w:line="240" w:lineRule="auto"/>
        <w:ind w:left="448" w:hanging="357"/>
        <w:jc w:val="both"/>
      </w:pPr>
      <w:r>
        <w:t xml:space="preserve">As mentioned in paragraph 2, above, the GDPP was launched at a time when the official approach to governance in Ethiopia was far less accommodating than it is today. Since then, there has been a significant change in the operational environment resulting in a renewed commitment to political, </w:t>
      </w:r>
      <w:proofErr w:type="gramStart"/>
      <w:r>
        <w:t>economic</w:t>
      </w:r>
      <w:proofErr w:type="gramEnd"/>
      <w:r>
        <w:t xml:space="preserve"> and social reforms. 2018 was a pivotal year in the transformation of the Ethiopian political landscape and ultimately resulted in a change of government. New governance arrangements and policy priorities were established, emphasizing Human Rights, Rule of Law and accountability, </w:t>
      </w:r>
      <w:proofErr w:type="gramStart"/>
      <w:r>
        <w:t>peace</w:t>
      </w:r>
      <w:proofErr w:type="gramEnd"/>
      <w:r>
        <w:t xml:space="preserve"> and stability. </w:t>
      </w:r>
      <w:r w:rsidRPr="00A91DE8">
        <w:rPr>
          <w:rFonts w:cstheme="minorHAnsi"/>
        </w:rPr>
        <w:t xml:space="preserve">GDPP was designed to be about transformational change moving away from the </w:t>
      </w:r>
      <w:r w:rsidRPr="00A91DE8">
        <w:rPr>
          <w:rFonts w:cstheme="minorHAnsi"/>
        </w:rPr>
        <w:lastRenderedPageBreak/>
        <w:t>traditional approach of capacity development towards fostering/encouraging IPs to be more innovative in selecting activities to be advanced with GDPP funding.</w:t>
      </w:r>
      <w:r>
        <w:rPr>
          <w:rStyle w:val="FootnoteReference"/>
          <w:rFonts w:cstheme="minorHAnsi"/>
        </w:rPr>
        <w:footnoteReference w:id="25"/>
      </w:r>
      <w:r w:rsidRPr="00A91DE8">
        <w:rPr>
          <w:rFonts w:cstheme="minorHAnsi"/>
        </w:rPr>
        <w:t xml:space="preserve"> </w:t>
      </w:r>
      <w:r>
        <w:t>The relevance and value added of the GDPP was therefore reconfirmed as a strong enabling platform for transformation through the various achievements recorded by the participating Democratic Institutions.</w:t>
      </w:r>
      <w:r>
        <w:rPr>
          <w:rStyle w:val="FootnoteReference"/>
        </w:rPr>
        <w:footnoteReference w:id="26"/>
      </w:r>
    </w:p>
    <w:p w14:paraId="26E143F4" w14:textId="77777777" w:rsidR="00C12C91" w:rsidRDefault="00C12C91" w:rsidP="004F27CE">
      <w:pPr>
        <w:pStyle w:val="ListParagraph"/>
        <w:spacing w:line="240" w:lineRule="auto"/>
        <w:ind w:left="540"/>
        <w:jc w:val="both"/>
      </w:pPr>
    </w:p>
    <w:p w14:paraId="2AF8BFFC" w14:textId="6AC487D4" w:rsidR="00C12C91" w:rsidRDefault="00C12C91" w:rsidP="004F27CE">
      <w:pPr>
        <w:pStyle w:val="ListParagraph"/>
        <w:numPr>
          <w:ilvl w:val="0"/>
          <w:numId w:val="3"/>
        </w:numPr>
        <w:spacing w:line="240" w:lineRule="auto"/>
        <w:jc w:val="both"/>
      </w:pPr>
      <w:r>
        <w:t xml:space="preserve">Building on these positive developments, the GoE and UNDP decided to “refocus” the GDPP and “reposition” it to </w:t>
      </w:r>
      <w:proofErr w:type="gramStart"/>
      <w:r>
        <w:t>more effectively address transformational and transitional needs</w:t>
      </w:r>
      <w:proofErr w:type="gramEnd"/>
      <w:r>
        <w:t xml:space="preserve">. The result was the presentation of a “repositioning paper” to the Programme Management Board in December 2018. The repositioning paper took note of the lessons learned from the first year of GDPP implementation and laid out key strategic priority areas of focus for 2019 onwards. According to the </w:t>
      </w:r>
      <w:r w:rsidR="00E12820">
        <w:t xml:space="preserve">2020 </w:t>
      </w:r>
      <w:r>
        <w:t>MTR, the repositioning exercise allowed all Institutions contributing to the programme and UNDP to reconfirm the relevance of the programme to the current policy priorities and to ensure that identified activities are addressing transformational issues. Subsequently, the results framework of the programme underwent a review and expansion with new sub-outputs included. This mainly involved fine-tuning sub-outputs and activities without changing the original outcomes and outputs. The repositioning exercise has also served the purpose of reconfirming the commitment of IPs.</w:t>
      </w:r>
      <w:r>
        <w:rPr>
          <w:rStyle w:val="FootnoteReference"/>
        </w:rPr>
        <w:footnoteReference w:id="27"/>
      </w:r>
      <w:r>
        <w:t xml:space="preserve"> </w:t>
      </w:r>
    </w:p>
    <w:p w14:paraId="23E9DFF2" w14:textId="77777777" w:rsidR="00C12C91" w:rsidRDefault="00C12C91" w:rsidP="004F27CE">
      <w:pPr>
        <w:pStyle w:val="ListParagraph"/>
        <w:spacing w:line="240" w:lineRule="auto"/>
      </w:pPr>
    </w:p>
    <w:p w14:paraId="5E40FFA2" w14:textId="77777777" w:rsidR="00C12C91" w:rsidRDefault="00C12C91" w:rsidP="004F27CE">
      <w:pPr>
        <w:pStyle w:val="ListParagraph"/>
        <w:numPr>
          <w:ilvl w:val="0"/>
          <w:numId w:val="3"/>
        </w:numPr>
        <w:spacing w:after="0" w:line="240" w:lineRule="auto"/>
        <w:jc w:val="both"/>
      </w:pPr>
      <w:r w:rsidRPr="005E0E53">
        <w:t xml:space="preserve">UNDP’s close relationship with the government gives it space to have dialogue with it on policies and practices. In this role, there is an element of ongoing advocacy that is integral to GDPP implementation, particularly given the NIM modality. Development partners may like to see UNDP taking on a more proactive role in engaging with the GoE on some of the difficult issues of human rights, democratic </w:t>
      </w:r>
      <w:proofErr w:type="gramStart"/>
      <w:r w:rsidRPr="005E0E53">
        <w:t>norms</w:t>
      </w:r>
      <w:proofErr w:type="gramEnd"/>
      <w:r w:rsidRPr="005E0E53">
        <w:t xml:space="preserve"> and standards. </w:t>
      </w:r>
      <w:r w:rsidRPr="00EF5620">
        <w:t>However, UNDP has not been seen to use its position of trust with the government for leverage or to be even constructively critical of GoE activities,</w:t>
      </w:r>
      <w:r w:rsidRPr="005E0E53">
        <w:t xml:space="preserve"> for</w:t>
      </w:r>
      <w:r>
        <w:t xml:space="preserve"> </w:t>
      </w:r>
      <w:r w:rsidRPr="00EF5620">
        <w:t>example, regarding human rights violations in Tigray and other regions such as Afar, Amhara, Oromia and Benishangul Gumuz.</w:t>
      </w:r>
      <w:r w:rsidRPr="00EF5620">
        <w:rPr>
          <w:rStyle w:val="FootnoteReference"/>
        </w:rPr>
        <w:footnoteReference w:id="28"/>
      </w:r>
    </w:p>
    <w:p w14:paraId="7E9BD6F2" w14:textId="77777777" w:rsidR="00C12C91" w:rsidRDefault="00C12C91" w:rsidP="004F27CE">
      <w:pPr>
        <w:pStyle w:val="ListParagraph"/>
        <w:spacing w:line="240" w:lineRule="auto"/>
      </w:pPr>
    </w:p>
    <w:p w14:paraId="3B91EDBD" w14:textId="77777777" w:rsidR="00C12C91" w:rsidRPr="002230CD" w:rsidRDefault="00C12C91" w:rsidP="004F27CE">
      <w:pPr>
        <w:spacing w:after="0" w:line="240" w:lineRule="auto"/>
        <w:jc w:val="both"/>
        <w:rPr>
          <w:i/>
        </w:rPr>
      </w:pPr>
      <w:r>
        <w:rPr>
          <w:i/>
        </w:rPr>
        <w:t xml:space="preserve">2.3 </w:t>
      </w:r>
      <w:r w:rsidRPr="002230CD">
        <w:rPr>
          <w:i/>
        </w:rPr>
        <w:t>Alignment of GD</w:t>
      </w:r>
      <w:r>
        <w:rPr>
          <w:i/>
        </w:rPr>
        <w:t>P</w:t>
      </w:r>
      <w:r w:rsidRPr="002230CD">
        <w:rPr>
          <w:i/>
        </w:rPr>
        <w:t>P to National Policies and Strategies</w:t>
      </w:r>
    </w:p>
    <w:p w14:paraId="685A2DD2" w14:textId="77777777" w:rsidR="00C12C91" w:rsidRDefault="00C12C91" w:rsidP="004F27CE">
      <w:pPr>
        <w:pStyle w:val="ListParagraph"/>
        <w:spacing w:line="240" w:lineRule="auto"/>
      </w:pPr>
    </w:p>
    <w:p w14:paraId="669CBA09" w14:textId="77777777" w:rsidR="00C12C91" w:rsidRDefault="00C12C91" w:rsidP="004F27CE">
      <w:pPr>
        <w:pStyle w:val="ListParagraph"/>
        <w:numPr>
          <w:ilvl w:val="0"/>
          <w:numId w:val="3"/>
        </w:numPr>
        <w:spacing w:before="240" w:line="240" w:lineRule="auto"/>
        <w:jc w:val="both"/>
      </w:pPr>
      <w:r>
        <w:t xml:space="preserve">There is no doubt that the GDPP objectives fit well with the UNDAF </w:t>
      </w:r>
      <w:r w:rsidRPr="003566F0">
        <w:t xml:space="preserve">(2016-2020) </w:t>
      </w:r>
      <w:r>
        <w:t xml:space="preserve">outcome 12: that “key government institutions and other stakeholders utilize enhanced capacities to ensure equitable, efficient, accountable, participatory and gender-sensitive development.” </w:t>
      </w:r>
      <w:r w:rsidRPr="006C156C">
        <w:t xml:space="preserve">Its related strategic plan outcome statement is </w:t>
      </w:r>
      <w:r>
        <w:t>also</w:t>
      </w:r>
      <w:r w:rsidRPr="006C156C">
        <w:t xml:space="preserve"> relevant:</w:t>
      </w:r>
      <w:r>
        <w:t xml:space="preserve"> “</w:t>
      </w:r>
      <w:r w:rsidRPr="006C156C">
        <w:t>citizens' expectations for voice, development, the rule of law and accountability are met by stronger systems of democratic governance</w:t>
      </w:r>
      <w:r>
        <w:t>.</w:t>
      </w:r>
      <w:r w:rsidRPr="006C156C">
        <w:t>” Further, GDPP outcomes are directly linked with UNDAF (2016-2020) outcome pillar 4 which deals with issues of good governance, participation, and capacity</w:t>
      </w:r>
      <w:r>
        <w:t xml:space="preserve"> development. </w:t>
      </w:r>
    </w:p>
    <w:p w14:paraId="2599E8ED" w14:textId="77777777" w:rsidR="00C12C91" w:rsidRDefault="00C12C91" w:rsidP="004F27CE">
      <w:pPr>
        <w:pStyle w:val="ListParagraph"/>
        <w:spacing w:line="240" w:lineRule="auto"/>
      </w:pPr>
    </w:p>
    <w:p w14:paraId="1C899707" w14:textId="0787A192" w:rsidR="00C12C91" w:rsidRDefault="000A5B91" w:rsidP="004F27CE">
      <w:pPr>
        <w:pStyle w:val="ListParagraph"/>
        <w:numPr>
          <w:ilvl w:val="0"/>
          <w:numId w:val="3"/>
        </w:numPr>
        <w:spacing w:after="0" w:line="240" w:lineRule="auto"/>
        <w:jc w:val="both"/>
      </w:pPr>
      <w:r>
        <w:rPr>
          <w:rFonts w:eastAsia="Times New Roman" w:cstheme="minorHAnsi"/>
          <w:lang w:eastAsia="en-CA"/>
        </w:rPr>
        <w:t xml:space="preserve">The </w:t>
      </w:r>
      <w:r w:rsidR="00C12C91" w:rsidRPr="00CE722C">
        <w:rPr>
          <w:rFonts w:eastAsia="Times New Roman" w:cstheme="minorHAnsi"/>
          <w:lang w:eastAsia="en-CA"/>
        </w:rPr>
        <w:t>GDPP is consistent with the</w:t>
      </w:r>
      <w:r w:rsidR="00C12C91" w:rsidRPr="00526B2D">
        <w:t xml:space="preserve"> government development policy objectives, as reflected in the overarching policy documents, notably the </w:t>
      </w:r>
      <w:r w:rsidR="00C12C91">
        <w:t xml:space="preserve">Constitution of the Federal Democratic Republic of Ethiopia (FDRE) </w:t>
      </w:r>
      <w:r w:rsidR="00C12C91" w:rsidRPr="00526B2D">
        <w:t xml:space="preserve">and the GTP II. The 1995 FDRE Constitution incorporates most of internationally recognized democratic and human rights principles. GTP II also envisioned the attainment of democracy, good governance, and social justice through people's participation. One of the seven </w:t>
      </w:r>
      <w:r w:rsidR="00C12C91" w:rsidRPr="00526B2D">
        <w:lastRenderedPageBreak/>
        <w:t xml:space="preserve">pillars of the GTP II also relates to the establishment of “democratic and developmental good governance through enhancing implementation capacity of the public sector and mobilization of public participation.” Thus, there is significant </w:t>
      </w:r>
      <w:r w:rsidR="00C12C91">
        <w:t>alignment between GDPP objectives and government policy objectives enshrined in the FDRE Constitution and GTP II.</w:t>
      </w:r>
      <w:r w:rsidR="00C12C91">
        <w:rPr>
          <w:rStyle w:val="FootnoteReference"/>
        </w:rPr>
        <w:footnoteReference w:id="29"/>
      </w:r>
    </w:p>
    <w:p w14:paraId="6573B398" w14:textId="77777777" w:rsidR="00C12C91" w:rsidRDefault="00C12C91" w:rsidP="004F27CE">
      <w:pPr>
        <w:spacing w:after="0" w:line="240" w:lineRule="auto"/>
        <w:jc w:val="both"/>
      </w:pPr>
    </w:p>
    <w:p w14:paraId="22BDB612" w14:textId="77777777" w:rsidR="00C12C91" w:rsidRDefault="00C12C91" w:rsidP="004F27CE">
      <w:pPr>
        <w:pStyle w:val="ListParagraph"/>
        <w:numPr>
          <w:ilvl w:val="0"/>
          <w:numId w:val="3"/>
        </w:numPr>
        <w:spacing w:line="240" w:lineRule="auto"/>
        <w:jc w:val="both"/>
      </w:pPr>
      <w:r>
        <w:t>The alignment of the GDPP objectives with government policy objectives could further be seen in three different implementation phases: before the 2018 reform; between 2018 and the start of the 2020 Northern Ethiopia war (commonly known as the Tigray war); and after the start of the Northern Ethiopia war. Of course, project design and the first implementation phase were challenged by the country’s political instability and the nation’s restrictive laws. The feasibility of the achievement of the GDPP objectives was questionable when considered in the light of the narrow political space and restrictive governance context that was prevailing during the design of the GDPP. Accordingly, during the initial stages of the programme, major stakeholders (including UNDP and DPs) had lower expectations on the ability of the GDPP to meaningfully achieve its objectives. They supported the GDPP mainly to push the limits by constructively engaging with the government. The intention was to influence from within by maintaining political access and engagement with the government, rather than by staying away.</w:t>
      </w:r>
      <w:r>
        <w:rPr>
          <w:rStyle w:val="FootnoteReference"/>
        </w:rPr>
        <w:footnoteReference w:id="30"/>
      </w:r>
    </w:p>
    <w:p w14:paraId="62FEA0EF" w14:textId="77777777" w:rsidR="00C12C91" w:rsidRDefault="00C12C91" w:rsidP="004F27CE">
      <w:pPr>
        <w:pStyle w:val="ListParagraph"/>
        <w:spacing w:line="240" w:lineRule="auto"/>
      </w:pPr>
    </w:p>
    <w:p w14:paraId="5D70ED34" w14:textId="2D717315" w:rsidR="00C12C91" w:rsidRDefault="00C12C91" w:rsidP="004F27CE">
      <w:pPr>
        <w:pStyle w:val="ListParagraph"/>
        <w:numPr>
          <w:ilvl w:val="0"/>
          <w:numId w:val="3"/>
        </w:numPr>
        <w:spacing w:after="0" w:line="240" w:lineRule="auto"/>
        <w:jc w:val="both"/>
      </w:pPr>
      <w:r>
        <w:t xml:space="preserve"> In the second implementation phase, democracy and rule of law were considered major policy priorities and most of the expected results specified in the document directly align with the GDPP outcome and output areas. Most of the restrictive policies and laws that diverge with the GDPP objectives, such as the laws governing civil society and elections, had been revised and replaced by more enabling policies. The government also issued a new economic policy document called “A Home-</w:t>
      </w:r>
      <w:r w:rsidR="000A5B91">
        <w:t>G</w:t>
      </w:r>
      <w:r>
        <w:t xml:space="preserve">rown Economic Reform Agenda” in September 2019, although it is not directly aligned with GDPP. There was constructive engagement across stakeholders - IPs, </w:t>
      </w:r>
      <w:proofErr w:type="gramStart"/>
      <w:r>
        <w:t>DPs</w:t>
      </w:r>
      <w:proofErr w:type="gramEnd"/>
      <w:r>
        <w:t xml:space="preserve"> and UNDP but the COVID-19 pandemic resulted in implementation challenges, e.g., postponing trainings, and other activities. After the start of the war, the situation changed. </w:t>
      </w:r>
      <w:r w:rsidRPr="005D74D1">
        <w:t xml:space="preserve">The conflict between the </w:t>
      </w:r>
      <w:r w:rsidR="001025B2">
        <w:t>G</w:t>
      </w:r>
      <w:r w:rsidRPr="005D74D1">
        <w:t>overnment of Ethiopia and forces in its northern Tigray region has thrown the country into turmoil. Fighting has been going on since November 2020, destabilizing the country, leaving thousands of people dead with millions displaced and a considerabl</w:t>
      </w:r>
      <w:r>
        <w:t>y more</w:t>
      </w:r>
      <w:r w:rsidRPr="005D74D1">
        <w:t> </w:t>
      </w:r>
      <w:hyperlink r:id="rId10" w:history="1">
        <w:r w:rsidRPr="005D74D1">
          <w:t>living in famine conditions</w:t>
        </w:r>
      </w:hyperlink>
      <w:r w:rsidRPr="005D74D1">
        <w:t>. All sides have been accused of atrocities</w:t>
      </w:r>
      <w:r>
        <w:t>.</w:t>
      </w:r>
      <w:r>
        <w:rPr>
          <w:rStyle w:val="FootnoteReference"/>
        </w:rPr>
        <w:footnoteReference w:id="31"/>
      </w:r>
      <w:r>
        <w:t xml:space="preserve"> Project implementation has continued but donors’ perspectives have </w:t>
      </w:r>
      <w:proofErr w:type="gramStart"/>
      <w:r>
        <w:t>changed</w:t>
      </w:r>
      <w:proofErr w:type="gramEnd"/>
      <w:r>
        <w:t xml:space="preserve"> and concerns are growing.</w:t>
      </w:r>
    </w:p>
    <w:p w14:paraId="5048D1CF" w14:textId="77777777" w:rsidR="00C12C91" w:rsidRDefault="00C12C91" w:rsidP="004F27CE">
      <w:pPr>
        <w:pStyle w:val="ListParagraph"/>
        <w:spacing w:line="240" w:lineRule="auto"/>
      </w:pPr>
    </w:p>
    <w:p w14:paraId="14A5DDF3" w14:textId="77777777" w:rsidR="00C12C91" w:rsidRPr="005B2D03" w:rsidRDefault="00C12C91" w:rsidP="004F27CE">
      <w:pPr>
        <w:spacing w:after="0" w:line="240" w:lineRule="auto"/>
        <w:jc w:val="both"/>
        <w:rPr>
          <w:i/>
        </w:rPr>
      </w:pPr>
      <w:r w:rsidRPr="005B2D03">
        <w:rPr>
          <w:bCs/>
          <w:i/>
        </w:rPr>
        <w:t>2.</w:t>
      </w:r>
      <w:r>
        <w:rPr>
          <w:bCs/>
          <w:i/>
        </w:rPr>
        <w:t>4</w:t>
      </w:r>
      <w:r w:rsidRPr="005B2D03">
        <w:rPr>
          <w:bCs/>
          <w:i/>
        </w:rPr>
        <w:t xml:space="preserve"> Validity of Theory of Change</w:t>
      </w:r>
    </w:p>
    <w:p w14:paraId="3A406E65" w14:textId="77777777" w:rsidR="00C12C91" w:rsidRDefault="00C12C91" w:rsidP="00C12C91">
      <w:pPr>
        <w:pStyle w:val="ListParagraph"/>
        <w:spacing w:after="0"/>
      </w:pPr>
    </w:p>
    <w:p w14:paraId="54D7FE98" w14:textId="77777777" w:rsidR="00C12C91" w:rsidRPr="006604FB" w:rsidRDefault="00C12C91" w:rsidP="004F27CE">
      <w:pPr>
        <w:pStyle w:val="ListParagraph"/>
        <w:numPr>
          <w:ilvl w:val="0"/>
          <w:numId w:val="3"/>
        </w:numPr>
        <w:spacing w:before="240" w:line="240" w:lineRule="auto"/>
        <w:jc w:val="both"/>
      </w:pPr>
      <w:r>
        <w:t>The theory of change model on page 18 of the ProDoc captures the central logic of the programme with its essential components. The model starts with a list of what it called ‘development challenges’ in Ethiopia although most of the indicated issues are at a nexus between governance and development. Next, it shows the strategic interventions designed to address the listed challenges. The model presents the five programme outputs that will lead to its upper three outcomes while the latter are areas supporting the programme impact.</w:t>
      </w:r>
      <w:r w:rsidRPr="007342FE">
        <w:t xml:space="preserve"> </w:t>
      </w:r>
      <w:r>
        <w:t xml:space="preserve">Going further right, assumptions are listed which highlight </w:t>
      </w:r>
      <w:r w:rsidRPr="00923EFD">
        <w:rPr>
          <w:rFonts w:ascii="Calibri" w:hAnsi="Calibri"/>
        </w:rPr>
        <w:t>specific risks and conditions that are present in the country and programme context.</w:t>
      </w:r>
      <w:r>
        <w:t xml:space="preserve"> While </w:t>
      </w:r>
      <w:r>
        <w:lastRenderedPageBreak/>
        <w:t xml:space="preserve">the model captures the broad logic of programme interventions and expected outcomes, causal links are not clearly shown and are not systematic. </w:t>
      </w:r>
    </w:p>
    <w:p w14:paraId="7D4EE841" w14:textId="77777777" w:rsidR="00C12C91" w:rsidRPr="001E34B3" w:rsidRDefault="00C12C91" w:rsidP="004F27CE">
      <w:pPr>
        <w:pStyle w:val="ListParagraph"/>
        <w:spacing w:before="240" w:line="240" w:lineRule="auto"/>
        <w:ind w:left="450"/>
        <w:jc w:val="both"/>
        <w:rPr>
          <w:rFonts w:eastAsia="Times New Roman" w:cstheme="minorHAnsi"/>
          <w:b/>
          <w:lang w:val="en-GB" w:eastAsia="en-CA"/>
        </w:rPr>
      </w:pPr>
    </w:p>
    <w:p w14:paraId="5730FA0D" w14:textId="77777777" w:rsidR="00C12C91" w:rsidRPr="001E34B3" w:rsidRDefault="00C12C91" w:rsidP="004F27CE">
      <w:pPr>
        <w:pStyle w:val="ListParagraph"/>
        <w:numPr>
          <w:ilvl w:val="0"/>
          <w:numId w:val="3"/>
        </w:numPr>
        <w:spacing w:before="240" w:line="240" w:lineRule="auto"/>
        <w:jc w:val="both"/>
        <w:rPr>
          <w:rFonts w:eastAsia="Times New Roman" w:cstheme="minorHAnsi"/>
          <w:b/>
          <w:lang w:val="en-GB" w:eastAsia="en-CA"/>
        </w:rPr>
      </w:pPr>
      <w:r w:rsidRPr="001E34B3">
        <w:rPr>
          <w:bCs/>
        </w:rPr>
        <w:t>T</w:t>
      </w:r>
      <w:r>
        <w:t xml:space="preserve">he </w:t>
      </w:r>
      <w:r w:rsidRPr="00195136">
        <w:t xml:space="preserve">GDPP original </w:t>
      </w:r>
      <w:r>
        <w:t>results framework</w:t>
      </w:r>
      <w:r w:rsidRPr="00195136">
        <w:t xml:space="preserve"> specified the intended output and outcome</w:t>
      </w:r>
      <w:r w:rsidRPr="005D07EF">
        <w:t xml:space="preserve"> </w:t>
      </w:r>
      <w:r w:rsidRPr="00195136">
        <w:t xml:space="preserve">statements. However, there were several issues in the vertical and horizontal logic of the </w:t>
      </w:r>
      <w:r>
        <w:t>programme</w:t>
      </w:r>
      <w:r w:rsidRPr="00195136">
        <w:t xml:space="preserve"> results framework. The MTR team noted the following </w:t>
      </w:r>
      <w:r>
        <w:t>recommendations</w:t>
      </w:r>
      <w:r w:rsidRPr="00195136">
        <w:t xml:space="preserve"> </w:t>
      </w:r>
      <w:r>
        <w:t>pertaining to</w:t>
      </w:r>
      <w:r w:rsidRPr="00195136">
        <w:t xml:space="preserve"> the </w:t>
      </w:r>
      <w:r>
        <w:t>overall monitoring and evaluation system:</w:t>
      </w:r>
    </w:p>
    <w:p w14:paraId="0CF5A90E" w14:textId="77777777" w:rsidR="00C12C91" w:rsidRPr="001E34B3" w:rsidRDefault="00C12C91" w:rsidP="004F27CE">
      <w:pPr>
        <w:pStyle w:val="ListParagraph"/>
        <w:spacing w:line="240" w:lineRule="auto"/>
        <w:rPr>
          <w:rFonts w:eastAsia="Times New Roman" w:cstheme="minorHAnsi"/>
          <w:b/>
          <w:lang w:val="en-GB" w:eastAsia="en-CA"/>
        </w:rPr>
      </w:pPr>
    </w:p>
    <w:p w14:paraId="476339E1" w14:textId="77777777" w:rsidR="00C12C91" w:rsidRDefault="00C12C91" w:rsidP="004F27CE">
      <w:pPr>
        <w:pStyle w:val="ListParagraph"/>
        <w:numPr>
          <w:ilvl w:val="0"/>
          <w:numId w:val="8"/>
        </w:numPr>
        <w:spacing w:before="240" w:line="240" w:lineRule="auto"/>
        <w:jc w:val="both"/>
      </w:pPr>
      <w:r>
        <w:t>D</w:t>
      </w:r>
      <w:r w:rsidRPr="00D4624A">
        <w:t xml:space="preserve">evelop a fully-fledged monitoring and evaluation plan for the remaining period and implement in accordance with the UNDP programming policies and procedures, as envisaged in the programme document. </w:t>
      </w:r>
    </w:p>
    <w:p w14:paraId="44B044A1" w14:textId="77777777" w:rsidR="00C12C91" w:rsidRDefault="00C12C91" w:rsidP="004F27CE">
      <w:pPr>
        <w:pStyle w:val="ListParagraph"/>
        <w:numPr>
          <w:ilvl w:val="0"/>
          <w:numId w:val="8"/>
        </w:numPr>
        <w:spacing w:before="240" w:line="240" w:lineRule="auto"/>
        <w:jc w:val="both"/>
      </w:pPr>
      <w:r>
        <w:t>A</w:t>
      </w:r>
      <w:r w:rsidRPr="00D4624A">
        <w:t xml:space="preserve">rrange and undertake periodic joint monitoring of performance that involves DPs, MoF, IPs and UNDP. </w:t>
      </w:r>
    </w:p>
    <w:p w14:paraId="3945B0CD" w14:textId="77777777" w:rsidR="00C12C91" w:rsidRDefault="00C12C91" w:rsidP="004F27CE">
      <w:pPr>
        <w:pStyle w:val="ListParagraph"/>
        <w:numPr>
          <w:ilvl w:val="0"/>
          <w:numId w:val="8"/>
        </w:numPr>
        <w:spacing w:before="240" w:line="240" w:lineRule="auto"/>
        <w:jc w:val="both"/>
      </w:pPr>
      <w:r>
        <w:t>I</w:t>
      </w:r>
      <w:r w:rsidRPr="00D4624A">
        <w:t>mprove progress reporting with emphasis on results chain analysis where possible by drawing out a systematic linkage between the baseline situation, programme intervention and results at output and outcome levels. And ensure activity and results linkages across implementation and reporting.</w:t>
      </w:r>
    </w:p>
    <w:p w14:paraId="419C79EC" w14:textId="77777777" w:rsidR="00C12C91" w:rsidRDefault="00C12C91" w:rsidP="004F27CE">
      <w:pPr>
        <w:pStyle w:val="ListParagraph"/>
        <w:spacing w:line="240" w:lineRule="auto"/>
      </w:pPr>
    </w:p>
    <w:p w14:paraId="2AFE1738" w14:textId="77777777" w:rsidR="00C12C91" w:rsidRPr="001E34B3" w:rsidRDefault="00C12C91" w:rsidP="004F27CE">
      <w:pPr>
        <w:pStyle w:val="ListParagraph"/>
        <w:numPr>
          <w:ilvl w:val="0"/>
          <w:numId w:val="3"/>
        </w:numPr>
        <w:spacing w:before="240" w:line="240" w:lineRule="auto"/>
        <w:jc w:val="both"/>
        <w:rPr>
          <w:rFonts w:eastAsia="Times New Roman" w:cstheme="minorHAnsi"/>
          <w:b/>
          <w:lang w:val="en-GB" w:eastAsia="en-CA"/>
        </w:rPr>
      </w:pPr>
      <w:r>
        <w:t xml:space="preserve"> In addition, and most importantly, the MTR team recommended revising and refocusing the Theory of Change of the programme </w:t>
      </w:r>
      <w:proofErr w:type="gramStart"/>
      <w:r>
        <w:t>in order to</w:t>
      </w:r>
      <w:proofErr w:type="gramEnd"/>
      <w:r>
        <w:t xml:space="preserve"> address the limitations identified in terms of clarifying the different levels of programme change expected to happen throughout the results chain, particularly, the pathways from programme outcomes to envisaged impact. </w:t>
      </w:r>
    </w:p>
    <w:p w14:paraId="70CD99EE" w14:textId="77777777" w:rsidR="00C12C91" w:rsidRDefault="00C12C91" w:rsidP="004F27CE">
      <w:pPr>
        <w:pStyle w:val="ListParagraph"/>
        <w:spacing w:line="240" w:lineRule="auto"/>
      </w:pPr>
    </w:p>
    <w:p w14:paraId="1A973075" w14:textId="77777777" w:rsidR="00C12C91" w:rsidRPr="001E34B3" w:rsidRDefault="00C12C91" w:rsidP="004F27CE">
      <w:pPr>
        <w:pStyle w:val="ListParagraph"/>
        <w:numPr>
          <w:ilvl w:val="0"/>
          <w:numId w:val="3"/>
        </w:numPr>
        <w:spacing w:before="240" w:line="240" w:lineRule="auto"/>
        <w:jc w:val="both"/>
        <w:rPr>
          <w:rFonts w:eastAsia="Times New Roman" w:cstheme="minorHAnsi"/>
          <w:b/>
          <w:lang w:val="en-GB" w:eastAsia="en-CA"/>
        </w:rPr>
      </w:pPr>
      <w:r>
        <w:t>The ET</w:t>
      </w:r>
      <w:r w:rsidRPr="001E34B3">
        <w:rPr>
          <w:spacing w:val="-6"/>
        </w:rPr>
        <w:t xml:space="preserve"> </w:t>
      </w:r>
      <w:r>
        <w:t>agrees</w:t>
      </w:r>
      <w:r w:rsidRPr="001E34B3">
        <w:rPr>
          <w:spacing w:val="-7"/>
        </w:rPr>
        <w:t xml:space="preserve"> </w:t>
      </w:r>
      <w:r>
        <w:t>with</w:t>
      </w:r>
      <w:r w:rsidRPr="001E34B3">
        <w:rPr>
          <w:spacing w:val="-7"/>
        </w:rPr>
        <w:t xml:space="preserve"> </w:t>
      </w:r>
      <w:r>
        <w:t>the</w:t>
      </w:r>
      <w:r w:rsidRPr="001E34B3">
        <w:rPr>
          <w:spacing w:val="-10"/>
        </w:rPr>
        <w:t xml:space="preserve"> </w:t>
      </w:r>
      <w:r>
        <w:t>above</w:t>
      </w:r>
      <w:r w:rsidRPr="001E34B3">
        <w:rPr>
          <w:spacing w:val="-10"/>
        </w:rPr>
        <w:t xml:space="preserve"> </w:t>
      </w:r>
      <w:r>
        <w:t>observations</w:t>
      </w:r>
      <w:r w:rsidRPr="001E34B3">
        <w:rPr>
          <w:spacing w:val="-9"/>
        </w:rPr>
        <w:t xml:space="preserve"> </w:t>
      </w:r>
      <w:r>
        <w:t>made</w:t>
      </w:r>
      <w:r w:rsidRPr="001E34B3">
        <w:rPr>
          <w:spacing w:val="-10"/>
        </w:rPr>
        <w:t xml:space="preserve"> </w:t>
      </w:r>
      <w:r>
        <w:t>by</w:t>
      </w:r>
      <w:r w:rsidRPr="001E34B3">
        <w:rPr>
          <w:spacing w:val="-10"/>
        </w:rPr>
        <w:t xml:space="preserve"> </w:t>
      </w:r>
      <w:r>
        <w:t>the</w:t>
      </w:r>
      <w:r w:rsidRPr="001E34B3">
        <w:rPr>
          <w:spacing w:val="-9"/>
        </w:rPr>
        <w:t xml:space="preserve"> </w:t>
      </w:r>
      <w:r>
        <w:t>MTR</w:t>
      </w:r>
      <w:r w:rsidRPr="001E34B3">
        <w:rPr>
          <w:spacing w:val="-8"/>
        </w:rPr>
        <w:t xml:space="preserve"> </w:t>
      </w:r>
      <w:r>
        <w:t>team</w:t>
      </w:r>
      <w:r w:rsidRPr="00983ADA">
        <w:t>.</w:t>
      </w:r>
      <w:r w:rsidRPr="001E34B3">
        <w:rPr>
          <w:spacing w:val="34"/>
        </w:rPr>
        <w:t xml:space="preserve"> </w:t>
      </w:r>
      <w:r w:rsidRPr="00983ADA">
        <w:t>Some</w:t>
      </w:r>
      <w:r w:rsidRPr="001E34B3">
        <w:rPr>
          <w:spacing w:val="-11"/>
        </w:rPr>
        <w:t xml:space="preserve"> </w:t>
      </w:r>
      <w:r w:rsidRPr="00983ADA">
        <w:t>changes in monitoring and evaluation planning and practices</w:t>
      </w:r>
      <w:r>
        <w:t>,</w:t>
      </w:r>
      <w:r w:rsidRPr="00983ADA">
        <w:t xml:space="preserve"> as well as many recommendations of the MTR team regarding the log</w:t>
      </w:r>
      <w:r>
        <w:t>-frame, were</w:t>
      </w:r>
      <w:r w:rsidRPr="00983ADA">
        <w:t xml:space="preserve"> accepted by the </w:t>
      </w:r>
      <w:r>
        <w:t>Programme Management Board (</w:t>
      </w:r>
      <w:r w:rsidRPr="00983ADA">
        <w:t>PMB</w:t>
      </w:r>
      <w:r>
        <w:t>)</w:t>
      </w:r>
      <w:r w:rsidRPr="00983ADA">
        <w:t>. Exception</w:t>
      </w:r>
      <w:r>
        <w:t>s</w:t>
      </w:r>
      <w:r w:rsidRPr="00983ADA">
        <w:t xml:space="preserve"> to these include revisiting the </w:t>
      </w:r>
      <w:r>
        <w:t>ToC</w:t>
      </w:r>
      <w:r w:rsidRPr="00983ADA">
        <w:t xml:space="preserve"> and developing a full-fledged monitoring and evaluation plan. The justifi</w:t>
      </w:r>
      <w:r>
        <w:t>cation given for not reviewing the To</w:t>
      </w:r>
      <w:r w:rsidRPr="00983ADA">
        <w:t xml:space="preserve">C, for example, </w:t>
      </w:r>
      <w:r>
        <w:t>was</w:t>
      </w:r>
      <w:r w:rsidRPr="00983ADA">
        <w:t xml:space="preserve"> that</w:t>
      </w:r>
      <w:r>
        <w:t xml:space="preserve">: </w:t>
      </w:r>
      <w:r w:rsidRPr="00983ADA">
        <w:t>“a comprehensive revision and refocusing of the ToC of the programme after three years of its implementation</w:t>
      </w:r>
      <w:r>
        <w:t xml:space="preserve"> may entail changes on the intended results, focus areas and strategic components of the programme and which is impractical.”</w:t>
      </w:r>
      <w:r>
        <w:rPr>
          <w:rStyle w:val="FootnoteReference"/>
        </w:rPr>
        <w:footnoteReference w:id="32"/>
      </w:r>
      <w:r>
        <w:t xml:space="preserve">  However, this contradicts the existing body of literature which emphasizes that a theory of change is an adaptive management tool.</w:t>
      </w:r>
      <w:r>
        <w:rPr>
          <w:rStyle w:val="FootnoteReference"/>
        </w:rPr>
        <w:footnoteReference w:id="33"/>
      </w:r>
      <w:r>
        <w:t xml:space="preserve"> Further, </w:t>
      </w:r>
      <w:r w:rsidRPr="00195136">
        <w:t>the T</w:t>
      </w:r>
      <w:r>
        <w:t>o</w:t>
      </w:r>
      <w:r w:rsidRPr="00195136">
        <w:t xml:space="preserve">C </w:t>
      </w:r>
      <w:r>
        <w:t>could have been</w:t>
      </w:r>
      <w:r w:rsidRPr="00195136">
        <w:t xml:space="preserve"> revised based on recommendations from </w:t>
      </w:r>
      <w:r>
        <w:t>the</w:t>
      </w:r>
      <w:r w:rsidRPr="00195136">
        <w:t xml:space="preserve"> mid</w:t>
      </w:r>
      <w:r>
        <w:t>-</w:t>
      </w:r>
      <w:r w:rsidRPr="00195136">
        <w:t>term evaluation</w:t>
      </w:r>
      <w:r>
        <w:t xml:space="preserve"> and the review c</w:t>
      </w:r>
      <w:r w:rsidRPr="00195136">
        <w:t xml:space="preserve">ould </w:t>
      </w:r>
      <w:r>
        <w:t>have begun</w:t>
      </w:r>
      <w:r w:rsidRPr="00195136">
        <w:t xml:space="preserve"> to verify lower-level results and their contributions to expected outcomes. </w:t>
      </w:r>
      <w:r>
        <w:t xml:space="preserve"> </w:t>
      </w:r>
    </w:p>
    <w:p w14:paraId="352AA8AF" w14:textId="77777777" w:rsidR="00C12C91" w:rsidRPr="00BD6D34" w:rsidRDefault="00C12C91" w:rsidP="004F27CE">
      <w:pPr>
        <w:pStyle w:val="ListParagraph"/>
        <w:spacing w:line="240" w:lineRule="auto"/>
      </w:pPr>
    </w:p>
    <w:p w14:paraId="4096138C" w14:textId="77777777" w:rsidR="00C12C91" w:rsidRPr="001C7289" w:rsidRDefault="00C12C91" w:rsidP="004F27CE">
      <w:pPr>
        <w:pStyle w:val="ListParagraph"/>
        <w:numPr>
          <w:ilvl w:val="0"/>
          <w:numId w:val="3"/>
        </w:numPr>
        <w:spacing w:line="240" w:lineRule="auto"/>
        <w:jc w:val="both"/>
        <w:rPr>
          <w:rFonts w:eastAsia="Times New Roman" w:cstheme="minorHAnsi"/>
          <w:b/>
          <w:lang w:eastAsia="en-CA"/>
        </w:rPr>
      </w:pPr>
      <w:r>
        <w:t>Most interviewed respondents indicated that the programme design process adequately considered the views of major stakeholders at federal level and its foundation was based on objective information and analysis of the governance situation in the country. They further stated that these efforts have contributed to enhancing the relevance of the programme and the validity of its design. Embedded in the programme design is its strategy to reach the wider Ethiopian population, i.e., the primary beneficiary, through transforming the governance institutions into vibrant and effective bodies. Although questions have been raised about the lack of a regional focus and the absence of s</w:t>
      </w:r>
      <w:r w:rsidRPr="00ED4597">
        <w:t>ubstantive</w:t>
      </w:r>
      <w:r>
        <w:t xml:space="preserve"> CSO engagement, in general, stakeholders view the GDPP as a useful and valuable initiative.</w:t>
      </w:r>
    </w:p>
    <w:p w14:paraId="5878B0C2" w14:textId="77777777" w:rsidR="00C12C91" w:rsidRDefault="00C12C91" w:rsidP="004F27CE">
      <w:pPr>
        <w:spacing w:before="240" w:line="240" w:lineRule="auto"/>
        <w:rPr>
          <w:b/>
        </w:rPr>
      </w:pPr>
      <w:r w:rsidRPr="005101AD">
        <w:rPr>
          <w:b/>
        </w:rPr>
        <w:lastRenderedPageBreak/>
        <w:t>SECTION 3 FINDINGS of the EVALUATION</w:t>
      </w:r>
      <w:r>
        <w:rPr>
          <w:b/>
        </w:rPr>
        <w:t xml:space="preserve"> and ASSESSMENT AGAINST EVALUATION CRITERIA</w:t>
      </w:r>
    </w:p>
    <w:p w14:paraId="2921E695" w14:textId="77777777" w:rsidR="00C12C91" w:rsidRPr="002316C2" w:rsidRDefault="00C12C91" w:rsidP="004F27CE">
      <w:pPr>
        <w:spacing w:line="240" w:lineRule="auto"/>
        <w:rPr>
          <w:b/>
        </w:rPr>
      </w:pPr>
      <w:r>
        <w:rPr>
          <w:b/>
        </w:rPr>
        <w:t xml:space="preserve">3.1 </w:t>
      </w:r>
      <w:r w:rsidRPr="002316C2">
        <w:rPr>
          <w:b/>
        </w:rPr>
        <w:t>Overview</w:t>
      </w:r>
    </w:p>
    <w:p w14:paraId="1497AF62" w14:textId="4AC7699A" w:rsidR="00C12C91" w:rsidRPr="00A0467C" w:rsidRDefault="00C12C91" w:rsidP="004F27CE">
      <w:pPr>
        <w:pStyle w:val="ListParagraph"/>
        <w:numPr>
          <w:ilvl w:val="0"/>
          <w:numId w:val="3"/>
        </w:numPr>
        <w:spacing w:before="240" w:line="240" w:lineRule="auto"/>
        <w:jc w:val="both"/>
        <w:rPr>
          <w:b/>
        </w:rPr>
      </w:pPr>
      <w:r>
        <w:t xml:space="preserve">The presentation of the findings of this review is organised in accordance with OECD/DAC evaluation criteria and is consistent with and focussed on answering the evaluation questions listed in the ToR (see Annex </w:t>
      </w:r>
      <w:r w:rsidR="0072463D">
        <w:t>4</w:t>
      </w:r>
      <w:r>
        <w:t xml:space="preserve">). The findings form the basis of the lessons learned and recommendations presented in </w:t>
      </w:r>
      <w:r w:rsidRPr="00A0467C">
        <w:t xml:space="preserve">the last section of this report. </w:t>
      </w:r>
      <w:r w:rsidRPr="00A0467C">
        <w:rPr>
          <w:rFonts w:eastAsia="Arial"/>
          <w:bCs/>
        </w:rPr>
        <w:t xml:space="preserve">The evaluation criteria are broken down </w:t>
      </w:r>
      <w:r w:rsidRPr="00A0467C">
        <w:rPr>
          <w:rFonts w:eastAsia="Times New Roman" w:cstheme="minorHAnsi"/>
          <w:lang w:eastAsia="en-CA"/>
        </w:rPr>
        <w:t xml:space="preserve">under five headings, i.e., relevance, effectiveness, efficiency, </w:t>
      </w:r>
      <w:proofErr w:type="gramStart"/>
      <w:r w:rsidRPr="00A0467C">
        <w:rPr>
          <w:rFonts w:eastAsia="Times New Roman" w:cstheme="minorHAnsi"/>
          <w:lang w:eastAsia="en-CA"/>
        </w:rPr>
        <w:t>impact</w:t>
      </w:r>
      <w:proofErr w:type="gramEnd"/>
      <w:r w:rsidRPr="00A0467C">
        <w:rPr>
          <w:rFonts w:eastAsia="Times New Roman" w:cstheme="minorHAnsi"/>
          <w:lang w:eastAsia="en-CA"/>
        </w:rPr>
        <w:t xml:space="preserve"> and sustainability. In addition, two cross-cutting issues - gender and human rights - are also assessed in the TE.  The 31 specific evaluation questions (EQ) making up the evaluation criteria in the ToR are shown in Annex 3. From this starting point, the ET has addressed the questions under each evaluation criteria heading. A detailed analysis of programme achievements against outputs, sub-outputs and targets by activity is presented in Annex </w:t>
      </w:r>
      <w:r w:rsidR="0072463D">
        <w:rPr>
          <w:rFonts w:eastAsia="Times New Roman" w:cstheme="minorHAnsi"/>
          <w:lang w:eastAsia="en-CA"/>
        </w:rPr>
        <w:t>1</w:t>
      </w:r>
      <w:r w:rsidRPr="00A0467C">
        <w:rPr>
          <w:rFonts w:eastAsia="Times New Roman" w:cstheme="minorHAnsi"/>
          <w:lang w:eastAsia="en-CA"/>
        </w:rPr>
        <w:t>.</w:t>
      </w:r>
    </w:p>
    <w:p w14:paraId="1A30007F" w14:textId="77777777" w:rsidR="00C12C91" w:rsidRPr="00A0467C" w:rsidRDefault="00C12C91" w:rsidP="004F27CE">
      <w:pPr>
        <w:pStyle w:val="ListParagraph"/>
        <w:spacing w:before="240" w:line="240" w:lineRule="auto"/>
        <w:ind w:left="360"/>
        <w:jc w:val="both"/>
        <w:rPr>
          <w:b/>
        </w:rPr>
      </w:pPr>
    </w:p>
    <w:p w14:paraId="3E8FBCF6" w14:textId="77777777" w:rsidR="00C12C91" w:rsidRPr="001E34B3" w:rsidRDefault="00C12C91" w:rsidP="004F27CE">
      <w:pPr>
        <w:pStyle w:val="ListParagraph"/>
        <w:numPr>
          <w:ilvl w:val="0"/>
          <w:numId w:val="3"/>
        </w:numPr>
        <w:spacing w:before="240" w:line="240" w:lineRule="auto"/>
        <w:jc w:val="both"/>
        <w:rPr>
          <w:rFonts w:eastAsia="Times New Roman" w:cstheme="minorHAnsi"/>
          <w:b/>
          <w:lang w:val="en-GB" w:eastAsia="en-CA"/>
        </w:rPr>
      </w:pPr>
      <w:r w:rsidRPr="00A0467C">
        <w:t>The GDPP considered that governance issues are interrelated and should be addressed comprehensively. As a result, the GDPP outcomes and outputs were defined in a very broad manner and included a wide range of thematic areas and large number of IPs. However, indicators to measure the achievement of GDPP objectives (outcomes and outputs) were not included in the programme document. A year after programme start up, a separate Results Framework (RF) specifying the results and their corresponding indictors was developed. As also indicated in the MTR report, some indicators were too broad and complex to properly measure the achievement of results. This problem emanates partly from the manner the outputs and outcomes are defined. Overall, the adoption of a comprehensive approach is relevant a</w:t>
      </w:r>
      <w:r>
        <w:t xml:space="preserve">nd appropriate, however, the programme design is highly ambitious, complex, and less focused as it is spread thin across 11 </w:t>
      </w:r>
      <w:proofErr w:type="gramStart"/>
      <w:r>
        <w:t>IPs, and</w:t>
      </w:r>
      <w:proofErr w:type="gramEnd"/>
      <w:r>
        <w:t xml:space="preserve"> reaches out to all regions. </w:t>
      </w:r>
    </w:p>
    <w:p w14:paraId="2B510561" w14:textId="77777777" w:rsidR="00C12C91" w:rsidRDefault="00C12C91" w:rsidP="004F27CE">
      <w:pPr>
        <w:pStyle w:val="ListParagraph"/>
        <w:spacing w:line="240" w:lineRule="auto"/>
      </w:pPr>
    </w:p>
    <w:p w14:paraId="5E48362C" w14:textId="77777777" w:rsidR="00C12C91" w:rsidRPr="002230CD" w:rsidRDefault="00C12C91" w:rsidP="004F27CE">
      <w:pPr>
        <w:pStyle w:val="ListParagraph"/>
        <w:numPr>
          <w:ilvl w:val="0"/>
          <w:numId w:val="3"/>
        </w:numPr>
        <w:spacing w:before="240" w:line="240" w:lineRule="auto"/>
        <w:jc w:val="both"/>
        <w:rPr>
          <w:b/>
        </w:rPr>
      </w:pPr>
      <w:r>
        <w:t>The programme design also attempted to be responsive to the needs and priorities of vulnerable groups, particularly to that of women. Some gender issues were identified in the ToC and in the definition of some output areas and activities. However, no separate and comprehensive gender analysis was carried out as part of the initial design of the GDPP, which may have affected appropriate mainstreaming of gender in the programme. This assertion is supported by the findings of the comprehensive gender analysis undertaken under the GDPP in 2019.</w:t>
      </w:r>
      <w:r>
        <w:rPr>
          <w:rStyle w:val="FootnoteReference"/>
        </w:rPr>
        <w:footnoteReference w:id="34"/>
      </w:r>
      <w:r>
        <w:t xml:space="preserve"> Accordingly, the programme design limitations</w:t>
      </w:r>
      <w:r w:rsidRPr="002230CD">
        <w:rPr>
          <w:rFonts w:eastAsia="Times New Roman" w:cstheme="minorHAnsi"/>
          <w:lang w:val="en-GB" w:eastAsia="en-CA"/>
        </w:rPr>
        <w:t xml:space="preserve"> </w:t>
      </w:r>
      <w:r>
        <w:rPr>
          <w:rFonts w:eastAsia="Times New Roman" w:cstheme="minorHAnsi"/>
          <w:lang w:val="en-GB" w:eastAsia="en-CA"/>
        </w:rPr>
        <w:t>outlined</w:t>
      </w:r>
      <w:r w:rsidRPr="002230CD">
        <w:rPr>
          <w:rFonts w:eastAsia="Times New Roman" w:cstheme="minorHAnsi"/>
          <w:lang w:val="en-GB" w:eastAsia="en-CA"/>
        </w:rPr>
        <w:t xml:space="preserve"> above </w:t>
      </w:r>
      <w:r>
        <w:rPr>
          <w:rFonts w:eastAsia="Times New Roman" w:cstheme="minorHAnsi"/>
          <w:lang w:val="en-GB" w:eastAsia="en-CA"/>
        </w:rPr>
        <w:t>h</w:t>
      </w:r>
      <w:r w:rsidRPr="002230CD">
        <w:rPr>
          <w:rFonts w:eastAsia="Times New Roman" w:cstheme="minorHAnsi"/>
          <w:lang w:val="en-GB" w:eastAsia="en-CA"/>
        </w:rPr>
        <w:t>ave implications for the analysis of the evaluation criteria which follow</w:t>
      </w:r>
      <w:r>
        <w:rPr>
          <w:rFonts w:eastAsia="Times New Roman" w:cstheme="minorHAnsi"/>
          <w:lang w:val="en-GB" w:eastAsia="en-CA"/>
        </w:rPr>
        <w:t xml:space="preserve"> below</w:t>
      </w:r>
      <w:r w:rsidRPr="002230CD">
        <w:rPr>
          <w:rFonts w:eastAsia="Times New Roman" w:cstheme="minorHAnsi"/>
          <w:lang w:val="en-GB" w:eastAsia="en-CA"/>
        </w:rPr>
        <w:t>.</w:t>
      </w:r>
    </w:p>
    <w:p w14:paraId="13533152" w14:textId="77777777" w:rsidR="00C12C91" w:rsidRPr="001917FF" w:rsidRDefault="00C12C91" w:rsidP="004F27CE">
      <w:pPr>
        <w:spacing w:before="240" w:line="240" w:lineRule="auto"/>
        <w:ind w:left="90"/>
        <w:jc w:val="both"/>
        <w:rPr>
          <w:rFonts w:eastAsia="Times New Roman" w:cstheme="minorHAnsi"/>
          <w:b/>
          <w:lang w:eastAsia="en-CA"/>
        </w:rPr>
      </w:pPr>
      <w:r w:rsidRPr="001917FF">
        <w:rPr>
          <w:rFonts w:eastAsia="Times New Roman" w:cstheme="minorHAnsi"/>
          <w:b/>
          <w:lang w:eastAsia="en-CA"/>
        </w:rPr>
        <w:t>3.1.1 Relevance</w:t>
      </w:r>
    </w:p>
    <w:p w14:paraId="7997C983" w14:textId="77777777" w:rsidR="00C12C91" w:rsidRDefault="00C12C91" w:rsidP="004F27CE">
      <w:pPr>
        <w:pStyle w:val="ListParagraph"/>
        <w:numPr>
          <w:ilvl w:val="0"/>
          <w:numId w:val="3"/>
        </w:numPr>
        <w:spacing w:before="240" w:line="240" w:lineRule="auto"/>
        <w:jc w:val="both"/>
      </w:pPr>
      <w:r>
        <w:t xml:space="preserve">The GDPP was conceived to transform the oversight and accountability institutions into dynamic and independent bodies that can deliver on their constitutional mandates to the satisfaction of </w:t>
      </w:r>
      <w:r w:rsidRPr="00D94B7A">
        <w:t>all stakeholders. The programme design involved IPs and other stakeholders</w:t>
      </w:r>
      <w:r>
        <w:t>,</w:t>
      </w:r>
      <w:r w:rsidRPr="00D94B7A">
        <w:t xml:space="preserve"> including donors</w:t>
      </w:r>
      <w:r>
        <w:t>,</w:t>
      </w:r>
      <w:r w:rsidRPr="00D94B7A">
        <w:t xml:space="preserve"> </w:t>
      </w:r>
      <w:r w:rsidRPr="003566F0">
        <w:t>to ensure their commitment and participation throughout the programme cycle.</w:t>
      </w:r>
      <w:r w:rsidRPr="003566F0">
        <w:rPr>
          <w:b/>
        </w:rPr>
        <w:t xml:space="preserve"> </w:t>
      </w:r>
      <w:r w:rsidRPr="00D94B7A">
        <w:t xml:space="preserve">The design has also incorporated recommendations and lessons from </w:t>
      </w:r>
      <w:r>
        <w:t xml:space="preserve">the </w:t>
      </w:r>
      <w:r w:rsidRPr="00D94B7A">
        <w:t>DIP as well as governance assessment reports that were</w:t>
      </w:r>
      <w:r>
        <w:t xml:space="preserve"> done before and for the development of the programme concept. The Ethiopian government’s initial interest in the programme was manifested by its request that UNDP present a more in-depth governance study, which leveraged the approach to further implementation. </w:t>
      </w:r>
    </w:p>
    <w:p w14:paraId="4F1AA5AB" w14:textId="77777777" w:rsidR="00C12C91" w:rsidRDefault="00C12C91" w:rsidP="004F27CE">
      <w:pPr>
        <w:pStyle w:val="ListParagraph"/>
        <w:spacing w:before="240" w:line="240" w:lineRule="auto"/>
        <w:ind w:left="450"/>
        <w:jc w:val="both"/>
      </w:pPr>
    </w:p>
    <w:p w14:paraId="4C526D5B" w14:textId="65E8E879" w:rsidR="00C12C91" w:rsidRPr="001E34B3" w:rsidRDefault="00C12C91" w:rsidP="004F27CE">
      <w:pPr>
        <w:pStyle w:val="ListParagraph"/>
        <w:numPr>
          <w:ilvl w:val="0"/>
          <w:numId w:val="3"/>
        </w:numPr>
        <w:spacing w:before="240" w:line="240" w:lineRule="auto"/>
        <w:jc w:val="both"/>
        <w:rPr>
          <w:lang w:val="en-US"/>
        </w:rPr>
      </w:pPr>
      <w:r>
        <w:t xml:space="preserve">Overall, the ET identified many strengths in the programme design. It targeted strengthening the legal and institutional frameworks critical to the delivery of results. This entailed addressing the gaps in </w:t>
      </w:r>
      <w:r>
        <w:lastRenderedPageBreak/>
        <w:t xml:space="preserve">laws and the institutional capacities and synergies. Participatory approaches were adopted in policy formulation and institutional </w:t>
      </w:r>
      <w:r w:rsidRPr="00D94B7A">
        <w:t xml:space="preserve">reforms. The involvement of citizens in </w:t>
      </w:r>
      <w:r w:rsidRPr="003566F0">
        <w:t xml:space="preserve">public perception surveys on the performance of selected governance institutions are cases in point. </w:t>
      </w:r>
      <w:r w:rsidRPr="00D94B7A">
        <w:t xml:space="preserve"> The approaches further resulted in devising a holistic National Anti-Corruption</w:t>
      </w:r>
      <w:r>
        <w:t xml:space="preserve"> Policy and Strategy. The design considered capacity building as critical for effective governance institutions</w:t>
      </w:r>
      <w:r w:rsidR="000A5B91">
        <w:t xml:space="preserve"> to take root and was therefore</w:t>
      </w:r>
      <w:r>
        <w:t xml:space="preserve"> embedded in each programme output to drive the GDPP results. Relevant institutions in the governance and accountability sector were selected and earmarked to deliver on their mandates. Indeed, the GDPP design focused on the key institutions with governance and accountability mandates. </w:t>
      </w:r>
    </w:p>
    <w:p w14:paraId="113A2CE7" w14:textId="77777777" w:rsidR="00C12C91" w:rsidRPr="001E34B3" w:rsidRDefault="00C12C91" w:rsidP="00C12C91">
      <w:pPr>
        <w:pStyle w:val="ListParagraph"/>
        <w:spacing w:before="240" w:line="360" w:lineRule="auto"/>
        <w:ind w:left="450"/>
        <w:jc w:val="both"/>
        <w:rPr>
          <w:lang w:val="en-US"/>
        </w:rPr>
      </w:pPr>
    </w:p>
    <w:p w14:paraId="7FD96285" w14:textId="77777777" w:rsidR="00C12C91" w:rsidRPr="001E34B3" w:rsidRDefault="00C12C91" w:rsidP="00FB4347">
      <w:pPr>
        <w:pStyle w:val="ListParagraph"/>
        <w:numPr>
          <w:ilvl w:val="0"/>
          <w:numId w:val="3"/>
        </w:numPr>
        <w:spacing w:before="240" w:line="240" w:lineRule="auto"/>
        <w:jc w:val="both"/>
        <w:rPr>
          <w:lang w:val="en-US"/>
        </w:rPr>
      </w:pPr>
      <w:r>
        <w:t>However, the programme was conceived at a time when the country faced civil unrest and protests in some parts called for reform and/regime change. This had multiple implications in terms of the government embracing the programme, at least initially. Government policy objectives pursued on the ground, as well as elaborated in several lower-level policy and legal documents such as in laws governing the media, civil society, terrorism, elections, etc., were considered as limiting and not conducive to promoting democracy and good governance. It was partly due to this restrictive political and governance context that the negotiation and preparation of the GDPP took a long time (nearly 2 years).</w:t>
      </w:r>
      <w:r>
        <w:rPr>
          <w:rStyle w:val="FootnoteReference"/>
        </w:rPr>
        <w:footnoteReference w:id="35"/>
      </w:r>
      <w:r>
        <w:t xml:space="preserve"> As a key informant indicated: </w:t>
      </w:r>
    </w:p>
    <w:p w14:paraId="51A588E5" w14:textId="77777777" w:rsidR="00C12C91" w:rsidRPr="002316C2" w:rsidRDefault="00C12C91" w:rsidP="00FB4347">
      <w:pPr>
        <w:spacing w:line="240" w:lineRule="auto"/>
        <w:ind w:left="720"/>
        <w:jc w:val="both"/>
        <w:rPr>
          <w:b/>
          <w:highlight w:val="yellow"/>
        </w:rPr>
      </w:pPr>
      <w:r>
        <w:t>“The programme was designed at a difficult time; governance reforms weren’t there then. They did some contextual analysis to design the programme; it was a very sensitive exercise and was not liked by the government, so it was shelved.”</w:t>
      </w:r>
      <w:r>
        <w:rPr>
          <w:rStyle w:val="FootnoteReference"/>
        </w:rPr>
        <w:footnoteReference w:id="36"/>
      </w:r>
    </w:p>
    <w:p w14:paraId="56818757" w14:textId="77777777" w:rsidR="00C12C91" w:rsidRDefault="00C12C91" w:rsidP="00FB4347">
      <w:pPr>
        <w:spacing w:before="240" w:line="240" w:lineRule="auto"/>
        <w:ind w:left="450"/>
        <w:jc w:val="both"/>
      </w:pPr>
      <w:r>
        <w:t xml:space="preserve">In that restrictive and narrow political space, designing such a democratic governance programme document raised the question of its feasibility and applicability.  Despite this, GDPP overcame the challenges and secured well-co-ordinated donor support from multiple funding agencies. </w:t>
      </w:r>
    </w:p>
    <w:p w14:paraId="4231FFC1" w14:textId="77777777" w:rsidR="00C12C91" w:rsidRDefault="00C12C91" w:rsidP="00FB4347">
      <w:pPr>
        <w:spacing w:line="240" w:lineRule="auto"/>
        <w:rPr>
          <w:rFonts w:cstheme="minorHAnsi"/>
        </w:rPr>
      </w:pPr>
      <w:r>
        <w:rPr>
          <w:rFonts w:cstheme="minorHAnsi"/>
        </w:rPr>
        <w:br w:type="page"/>
      </w:r>
    </w:p>
    <w:p w14:paraId="132D5F37" w14:textId="77777777" w:rsidR="00C12C91" w:rsidRDefault="00C12C91" w:rsidP="00FB4347">
      <w:pPr>
        <w:pStyle w:val="ListParagraph"/>
        <w:numPr>
          <w:ilvl w:val="0"/>
          <w:numId w:val="3"/>
        </w:numPr>
        <w:spacing w:before="240" w:line="240" w:lineRule="auto"/>
        <w:jc w:val="both"/>
        <w:rPr>
          <w:rFonts w:cstheme="minorHAnsi"/>
        </w:rPr>
      </w:pPr>
      <w:r>
        <w:rPr>
          <w:rFonts w:cstheme="minorHAnsi"/>
        </w:rPr>
        <w:lastRenderedPageBreak/>
        <w:t xml:space="preserve">The </w:t>
      </w:r>
      <w:r w:rsidRPr="00247CA5">
        <w:rPr>
          <w:rFonts w:cstheme="minorHAnsi"/>
        </w:rPr>
        <w:t xml:space="preserve">GDPP also has relevance in the broader context of the </w:t>
      </w:r>
      <w:r>
        <w:t>Ten Years Perspective Development Plan (2021 – 2030)</w:t>
      </w:r>
      <w:r w:rsidRPr="00247CA5">
        <w:rPr>
          <w:rFonts w:cstheme="minorHAnsi"/>
        </w:rPr>
        <w:t>, in particular:</w:t>
      </w:r>
    </w:p>
    <w:p w14:paraId="4EAA7B20" w14:textId="77777777" w:rsidR="00C12C91" w:rsidRPr="006C57F2" w:rsidRDefault="00C12C91" w:rsidP="00FB4347">
      <w:pPr>
        <w:pStyle w:val="ListParagraph"/>
        <w:spacing w:line="240" w:lineRule="auto"/>
        <w:rPr>
          <w:rFonts w:cstheme="minorHAnsi"/>
        </w:rPr>
      </w:pPr>
    </w:p>
    <w:p w14:paraId="7D4252AA" w14:textId="77777777" w:rsidR="00C12C91" w:rsidRPr="00E343B8" w:rsidRDefault="00C12C91" w:rsidP="00FB4347">
      <w:pPr>
        <w:pStyle w:val="ListParagraph"/>
        <w:spacing w:line="240" w:lineRule="auto"/>
        <w:jc w:val="both"/>
        <w:rPr>
          <w:rFonts w:cstheme="minorHAnsi"/>
        </w:rPr>
      </w:pPr>
      <w:r w:rsidRPr="00E343B8">
        <w:rPr>
          <w:rFonts w:cstheme="minorHAnsi"/>
        </w:rPr>
        <w:t xml:space="preserve"> Pillar 3, </w:t>
      </w:r>
      <w:r w:rsidRPr="00E343B8">
        <w:rPr>
          <w:rFonts w:cstheme="minorHAnsi"/>
          <w:i/>
        </w:rPr>
        <w:t>I</w:t>
      </w:r>
      <w:r w:rsidRPr="00E343B8">
        <w:rPr>
          <w:i/>
        </w:rPr>
        <w:t>nstitutional Transformation</w:t>
      </w:r>
      <w:r>
        <w:t xml:space="preserve">: </w:t>
      </w:r>
    </w:p>
    <w:p w14:paraId="746A2E01" w14:textId="77777777" w:rsidR="00C12C91" w:rsidRDefault="00C12C91" w:rsidP="00FB4347">
      <w:pPr>
        <w:pStyle w:val="ListParagraph"/>
        <w:spacing w:line="240" w:lineRule="auto"/>
        <w:ind w:left="1440"/>
        <w:jc w:val="both"/>
      </w:pPr>
      <w:r>
        <w:t xml:space="preserve">“Build democratic and judicial institutions that ensure elite bargain, national consensus, common vision and government legitimacy”; and, </w:t>
      </w:r>
    </w:p>
    <w:p w14:paraId="2873CC15" w14:textId="77777777" w:rsidR="00C12C91" w:rsidRDefault="00C12C91" w:rsidP="00FB4347">
      <w:pPr>
        <w:pStyle w:val="ListParagraph"/>
        <w:spacing w:line="240" w:lineRule="auto"/>
        <w:jc w:val="both"/>
      </w:pPr>
    </w:p>
    <w:p w14:paraId="7D6914DF" w14:textId="77777777" w:rsidR="00C12C91" w:rsidRDefault="00C12C91" w:rsidP="00FB4347">
      <w:pPr>
        <w:pStyle w:val="ListParagraph"/>
        <w:spacing w:line="240" w:lineRule="auto"/>
        <w:jc w:val="both"/>
      </w:pPr>
      <w:r>
        <w:t xml:space="preserve">Pillar 5, </w:t>
      </w:r>
      <w:r w:rsidRPr="00E46A9E">
        <w:rPr>
          <w:i/>
        </w:rPr>
        <w:t>Equitable participation of women and children</w:t>
      </w:r>
      <w:r>
        <w:t>:</w:t>
      </w:r>
    </w:p>
    <w:p w14:paraId="4352A7A5" w14:textId="77777777" w:rsidR="00C12C91" w:rsidRPr="00E46A9E" w:rsidRDefault="00C12C91" w:rsidP="00FB4347">
      <w:pPr>
        <w:pStyle w:val="ListParagraph"/>
        <w:spacing w:line="240" w:lineRule="auto"/>
        <w:jc w:val="both"/>
        <w:rPr>
          <w:rFonts w:cstheme="minorHAnsi"/>
        </w:rPr>
      </w:pPr>
    </w:p>
    <w:p w14:paraId="54F64FDD" w14:textId="77777777" w:rsidR="00C12C91" w:rsidRDefault="00C12C91" w:rsidP="00FB4347">
      <w:pPr>
        <w:pStyle w:val="ListParagraph"/>
        <w:spacing w:line="240" w:lineRule="auto"/>
        <w:ind w:firstLine="720"/>
        <w:jc w:val="both"/>
      </w:pPr>
      <w:r>
        <w:t>“Ensure gender equity in economic and social sectors</w:t>
      </w:r>
      <w:proofErr w:type="gramStart"/>
      <w:r>
        <w:t>”;</w:t>
      </w:r>
      <w:proofErr w:type="gramEnd"/>
    </w:p>
    <w:p w14:paraId="0862B2D8" w14:textId="77777777" w:rsidR="00C12C91" w:rsidRDefault="00C12C91" w:rsidP="00FB4347">
      <w:pPr>
        <w:pStyle w:val="ListParagraph"/>
        <w:spacing w:line="240" w:lineRule="auto"/>
        <w:ind w:left="1440"/>
        <w:jc w:val="both"/>
      </w:pPr>
      <w:r>
        <w:t xml:space="preserve">“Ensure fair participation of women and youth in leadership and decision-making positions”; and, </w:t>
      </w:r>
    </w:p>
    <w:p w14:paraId="4D73CEFA" w14:textId="77777777" w:rsidR="00C12C91" w:rsidRDefault="00C12C91" w:rsidP="00FB4347">
      <w:pPr>
        <w:pStyle w:val="ListParagraph"/>
        <w:spacing w:line="240" w:lineRule="auto"/>
        <w:ind w:left="1440"/>
        <w:jc w:val="both"/>
        <w:rPr>
          <w:rStyle w:val="FootnoteTextChar"/>
        </w:rPr>
      </w:pPr>
      <w:r>
        <w:t>“Create awareness among citizens about the role of women and youth in the country’s overall development.”</w:t>
      </w:r>
      <w:r w:rsidRPr="00E46A9E">
        <w:rPr>
          <w:rStyle w:val="FootnoteTextChar"/>
        </w:rPr>
        <w:t xml:space="preserve"> </w:t>
      </w:r>
      <w:r>
        <w:rPr>
          <w:rStyle w:val="FootnoteReference"/>
        </w:rPr>
        <w:footnoteReference w:id="37"/>
      </w:r>
    </w:p>
    <w:p w14:paraId="6ED823BC" w14:textId="77777777" w:rsidR="00C12C91" w:rsidRDefault="00C12C91" w:rsidP="00FB4347">
      <w:pPr>
        <w:pStyle w:val="ListParagraph"/>
        <w:spacing w:line="240" w:lineRule="auto"/>
        <w:ind w:left="1440"/>
        <w:jc w:val="both"/>
        <w:rPr>
          <w:rStyle w:val="FootnoteTextChar"/>
        </w:rPr>
      </w:pPr>
    </w:p>
    <w:p w14:paraId="74DFD81B" w14:textId="77777777" w:rsidR="00C12C91" w:rsidRDefault="00C12C91" w:rsidP="00FB4347">
      <w:pPr>
        <w:pStyle w:val="ListParagraph"/>
        <w:spacing w:line="240" w:lineRule="auto"/>
        <w:ind w:left="1440"/>
        <w:jc w:val="both"/>
        <w:rPr>
          <w:rStyle w:val="FootnoteTextChar"/>
        </w:rPr>
      </w:pPr>
    </w:p>
    <w:p w14:paraId="4A728AE7" w14:textId="77777777" w:rsidR="00C12C91" w:rsidRDefault="00C12C91" w:rsidP="00FB4347">
      <w:pPr>
        <w:pStyle w:val="ListParagraph"/>
        <w:numPr>
          <w:ilvl w:val="0"/>
          <w:numId w:val="3"/>
        </w:numPr>
        <w:spacing w:line="240" w:lineRule="auto"/>
        <w:jc w:val="both"/>
      </w:pPr>
      <w:r w:rsidRPr="000520E6">
        <w:t xml:space="preserve">The GDPP has relevance to </w:t>
      </w:r>
      <w:r>
        <w:t>the</w:t>
      </w:r>
      <w:r w:rsidRPr="000520E6">
        <w:t xml:space="preserve"> demands </w:t>
      </w:r>
      <w:r>
        <w:t xml:space="preserve">of people </w:t>
      </w:r>
      <w:r w:rsidRPr="000520E6">
        <w:t xml:space="preserve">on the ground </w:t>
      </w:r>
      <w:r>
        <w:t>- for instance, the programme funded activities that promoted social cohesion, expanded dialogue and civic space, etc., and came at a critical time when citizens faced crises across the country.</w:t>
      </w:r>
    </w:p>
    <w:p w14:paraId="2747ACF1" w14:textId="77777777" w:rsidR="00C12C91" w:rsidRPr="000520E6" w:rsidRDefault="00C12C91" w:rsidP="00FB4347">
      <w:pPr>
        <w:spacing w:line="240" w:lineRule="auto"/>
        <w:ind w:firstLine="450"/>
        <w:jc w:val="both"/>
        <w:rPr>
          <w:b/>
        </w:rPr>
      </w:pPr>
      <w:r>
        <w:t>Specific comments from interviewees confirm that:</w:t>
      </w:r>
      <w:r w:rsidRPr="001D46B5">
        <w:t xml:space="preserve"> </w:t>
      </w:r>
    </w:p>
    <w:p w14:paraId="51B86434" w14:textId="77777777" w:rsidR="00C12C91" w:rsidRPr="00835903" w:rsidRDefault="00C12C91" w:rsidP="00FB4347">
      <w:pPr>
        <w:pStyle w:val="ListParagraph"/>
        <w:numPr>
          <w:ilvl w:val="0"/>
          <w:numId w:val="9"/>
        </w:numPr>
        <w:spacing w:line="240" w:lineRule="auto"/>
        <w:jc w:val="both"/>
        <w:rPr>
          <w:b/>
        </w:rPr>
      </w:pPr>
      <w:r w:rsidRPr="00404A9C">
        <w:t xml:space="preserve">GDPP’s support through trainings, system strengthening and improving institutional </w:t>
      </w:r>
      <w:r>
        <w:t>and implementation capacity is</w:t>
      </w:r>
      <w:r w:rsidRPr="00404A9C">
        <w:t xml:space="preserve"> </w:t>
      </w:r>
      <w:r>
        <w:t xml:space="preserve">regarded as highly </w:t>
      </w:r>
      <w:r w:rsidRPr="00404A9C">
        <w:t xml:space="preserve">relevant in addressing gaps </w:t>
      </w:r>
      <w:r>
        <w:t>in knowledge and capability.</w:t>
      </w:r>
    </w:p>
    <w:p w14:paraId="29E9004D" w14:textId="77777777" w:rsidR="00C12C91" w:rsidRDefault="00C12C91" w:rsidP="00FB4347">
      <w:pPr>
        <w:pStyle w:val="ListParagraph"/>
        <w:numPr>
          <w:ilvl w:val="0"/>
          <w:numId w:val="9"/>
        </w:numPr>
        <w:spacing w:line="240" w:lineRule="auto"/>
        <w:jc w:val="both"/>
      </w:pPr>
      <w:r w:rsidRPr="00DE1B04">
        <w:t xml:space="preserve">GDPP has promoted human </w:t>
      </w:r>
      <w:r>
        <w:t xml:space="preserve">rights </w:t>
      </w:r>
      <w:r w:rsidRPr="00DE1B04">
        <w:t xml:space="preserve">and democratic </w:t>
      </w:r>
      <w:r>
        <w:t>governance</w:t>
      </w:r>
      <w:r w:rsidRPr="00DE1B04">
        <w:t xml:space="preserve"> </w:t>
      </w:r>
      <w:r>
        <w:t>by</w:t>
      </w:r>
      <w:r w:rsidRPr="00DE1B04">
        <w:t xml:space="preserve"> establishing systems and structures supportive of democratic institutions</w:t>
      </w:r>
      <w:r>
        <w:t>.</w:t>
      </w:r>
    </w:p>
    <w:p w14:paraId="6ABD428B" w14:textId="77777777" w:rsidR="00C12C91" w:rsidRDefault="00C12C91" w:rsidP="00FB4347">
      <w:pPr>
        <w:pStyle w:val="ListParagraph"/>
        <w:numPr>
          <w:ilvl w:val="0"/>
          <w:numId w:val="9"/>
        </w:numPr>
        <w:spacing w:line="240" w:lineRule="auto"/>
        <w:jc w:val="both"/>
      </w:pPr>
      <w:r>
        <w:t>GDPP has promoted key governance issues such as citizens’ participation, transparency, accountability, inclusion, improved service delivery and access to justice.</w:t>
      </w:r>
    </w:p>
    <w:p w14:paraId="79AEADA7" w14:textId="77777777" w:rsidR="00C12C91" w:rsidRDefault="00C12C91" w:rsidP="00FB4347">
      <w:pPr>
        <w:pStyle w:val="ListParagraph"/>
        <w:numPr>
          <w:ilvl w:val="0"/>
          <w:numId w:val="9"/>
        </w:numPr>
        <w:spacing w:line="240" w:lineRule="auto"/>
        <w:jc w:val="both"/>
      </w:pPr>
      <w:r>
        <w:t xml:space="preserve">GDPP was able to provide financial support to sustain the governance work of institutions where government funding was not available. </w:t>
      </w:r>
    </w:p>
    <w:p w14:paraId="3D48D3BB" w14:textId="77777777" w:rsidR="00C12C91" w:rsidRDefault="00C12C91" w:rsidP="00FB4347">
      <w:pPr>
        <w:spacing w:after="0" w:line="240" w:lineRule="auto"/>
        <w:jc w:val="both"/>
      </w:pPr>
    </w:p>
    <w:p w14:paraId="2DEF94B6" w14:textId="572B26A0" w:rsidR="00C12C91" w:rsidRDefault="00C12C91" w:rsidP="00FB4347">
      <w:pPr>
        <w:pStyle w:val="ListParagraph"/>
        <w:numPr>
          <w:ilvl w:val="0"/>
          <w:numId w:val="3"/>
        </w:numPr>
        <w:spacing w:line="240" w:lineRule="auto"/>
        <w:jc w:val="both"/>
      </w:pPr>
      <w:r w:rsidRPr="009C3CA6">
        <w:rPr>
          <w:rFonts w:eastAsia="Arial"/>
          <w:bCs/>
        </w:rPr>
        <w:t xml:space="preserve">In conclusion, </w:t>
      </w:r>
      <w:r>
        <w:t>the ET has determined that</w:t>
      </w:r>
      <w:r w:rsidRPr="00D24CAF">
        <w:t xml:space="preserve"> the GDPP is </w:t>
      </w:r>
      <w:r>
        <w:t xml:space="preserve">highly </w:t>
      </w:r>
      <w:r w:rsidRPr="00D24CAF">
        <w:t xml:space="preserve">relevant to the GoE’s governance and democratic participation agenda and to the </w:t>
      </w:r>
      <w:r>
        <w:t>objectives</w:t>
      </w:r>
      <w:r w:rsidRPr="00D24CAF">
        <w:t xml:space="preserve"> and interests of the various IPs. </w:t>
      </w:r>
      <w:r>
        <w:t xml:space="preserve">However, </w:t>
      </w:r>
      <w:r w:rsidRPr="009C3CA6">
        <w:rPr>
          <w:rFonts w:cstheme="minorHAnsi"/>
          <w:bCs/>
          <w:iCs/>
          <w:spacing w:val="5"/>
          <w:bdr w:val="none" w:sz="0" w:space="0" w:color="auto" w:frame="1"/>
          <w:shd w:val="clear" w:color="auto" w:fill="FFFFFF"/>
        </w:rPr>
        <w:t>although it</w:t>
      </w:r>
      <w:r w:rsidRPr="009C3CA6">
        <w:rPr>
          <w:rFonts w:cstheme="minorHAnsi"/>
          <w:b/>
          <w:bCs/>
          <w:iCs/>
          <w:spacing w:val="5"/>
          <w:bdr w:val="none" w:sz="0" w:space="0" w:color="auto" w:frame="1"/>
          <w:shd w:val="clear" w:color="auto" w:fill="FFFFFF"/>
        </w:rPr>
        <w:t xml:space="preserve"> </w:t>
      </w:r>
      <w:r w:rsidRPr="009C3CA6">
        <w:rPr>
          <w:rFonts w:cstheme="minorHAnsi"/>
          <w:bCs/>
          <w:iCs/>
          <w:spacing w:val="5"/>
          <w:bdr w:val="none" w:sz="0" w:space="0" w:color="auto" w:frame="1"/>
          <w:shd w:val="clear" w:color="auto" w:fill="FFFFFF"/>
        </w:rPr>
        <w:t xml:space="preserve">embodies, under NIM, a process whereby the GoE is in the lead in choosing its direction, in effect it is highly centralised and does not adequately address people’s needs at regional and local levels. It is also too </w:t>
      </w:r>
      <w:r w:rsidR="00401C32">
        <w:rPr>
          <w:rFonts w:cstheme="minorHAnsi"/>
          <w:bCs/>
          <w:iCs/>
          <w:spacing w:val="5"/>
          <w:bdr w:val="none" w:sz="0" w:space="0" w:color="auto" w:frame="1"/>
          <w:shd w:val="clear" w:color="auto" w:fill="FFFFFF"/>
        </w:rPr>
        <w:t>reliant</w:t>
      </w:r>
      <w:r w:rsidRPr="009C3CA6">
        <w:rPr>
          <w:rFonts w:cstheme="minorHAnsi"/>
          <w:bCs/>
          <w:iCs/>
          <w:spacing w:val="5"/>
          <w:bdr w:val="none" w:sz="0" w:space="0" w:color="auto" w:frame="1"/>
          <w:shd w:val="clear" w:color="auto" w:fill="FFFFFF"/>
        </w:rPr>
        <w:t xml:space="preserve"> on political stability and falls short in addressing gender </w:t>
      </w:r>
      <w:proofErr w:type="gramStart"/>
      <w:r w:rsidRPr="009C3CA6">
        <w:rPr>
          <w:rFonts w:cstheme="minorHAnsi"/>
          <w:bCs/>
          <w:iCs/>
          <w:spacing w:val="5"/>
          <w:bdr w:val="none" w:sz="0" w:space="0" w:color="auto" w:frame="1"/>
          <w:shd w:val="clear" w:color="auto" w:fill="FFFFFF"/>
        </w:rPr>
        <w:t>equality in particular</w:t>
      </w:r>
      <w:proofErr w:type="gramEnd"/>
      <w:r w:rsidRPr="009C3CA6">
        <w:rPr>
          <w:rFonts w:cstheme="minorHAnsi"/>
          <w:bCs/>
          <w:iCs/>
          <w:spacing w:val="5"/>
          <w:bdr w:val="none" w:sz="0" w:space="0" w:color="auto" w:frame="1"/>
          <w:shd w:val="clear" w:color="auto" w:fill="FFFFFF"/>
        </w:rPr>
        <w:t>.</w:t>
      </w:r>
      <w:r w:rsidRPr="00F333AD">
        <w:rPr>
          <w:bdr w:val="none" w:sz="0" w:space="0" w:color="auto" w:frame="1"/>
          <w:shd w:val="clear" w:color="auto" w:fill="FFFFFF"/>
          <w:vertAlign w:val="superscript"/>
        </w:rPr>
        <w:footnoteReference w:id="38"/>
      </w:r>
      <w:r w:rsidRPr="009C3CA6">
        <w:rPr>
          <w:rFonts w:cstheme="minorHAnsi"/>
          <w:bCs/>
          <w:iCs/>
          <w:spacing w:val="5"/>
          <w:bdr w:val="none" w:sz="0" w:space="0" w:color="auto" w:frame="1"/>
          <w:shd w:val="clear" w:color="auto" w:fill="FFFFFF"/>
        </w:rPr>
        <w:t xml:space="preserve"> Although it </w:t>
      </w:r>
      <w:r w:rsidRPr="00C739FB">
        <w:t>contributes ostensibly to sustainable development goals 5, 10 and 16,</w:t>
      </w:r>
      <w:r w:rsidRPr="00C739FB">
        <w:rPr>
          <w:vertAlign w:val="superscript"/>
        </w:rPr>
        <w:footnoteReference w:id="39"/>
      </w:r>
      <w:r w:rsidRPr="00C739FB">
        <w:t xml:space="preserve"> it is not evident that these are objectives the </w:t>
      </w:r>
      <w:r>
        <w:t xml:space="preserve">programme </w:t>
      </w:r>
      <w:r w:rsidRPr="00C739FB">
        <w:t xml:space="preserve">pursues deliberately. </w:t>
      </w:r>
    </w:p>
    <w:p w14:paraId="5B28D38C" w14:textId="77777777" w:rsidR="00C12C91" w:rsidRPr="00FD0C06" w:rsidRDefault="00C12C91" w:rsidP="00FB4347">
      <w:pPr>
        <w:spacing w:before="240" w:after="0" w:line="240" w:lineRule="auto"/>
        <w:jc w:val="both"/>
        <w:rPr>
          <w:b/>
        </w:rPr>
      </w:pPr>
      <w:r>
        <w:rPr>
          <w:b/>
        </w:rPr>
        <w:t xml:space="preserve">3.1.2 </w:t>
      </w:r>
      <w:r w:rsidRPr="00FD0C06">
        <w:rPr>
          <w:b/>
        </w:rPr>
        <w:t>Effectiveness</w:t>
      </w:r>
    </w:p>
    <w:p w14:paraId="48487BFF" w14:textId="77777777" w:rsidR="00C12C91" w:rsidRPr="00BB244E" w:rsidRDefault="00C12C91" w:rsidP="00FB4347">
      <w:pPr>
        <w:autoSpaceDE w:val="0"/>
        <w:autoSpaceDN w:val="0"/>
        <w:adjustRightInd w:val="0"/>
        <w:spacing w:after="0" w:line="240" w:lineRule="auto"/>
        <w:rPr>
          <w:rFonts w:ascii="ArialMT" w:hAnsi="ArialMT" w:cs="ArialMT"/>
          <w:sz w:val="24"/>
          <w:szCs w:val="24"/>
          <w:lang w:val="en-US"/>
        </w:rPr>
      </w:pPr>
    </w:p>
    <w:p w14:paraId="1FC9D32F" w14:textId="5F884AB2" w:rsidR="00C12C91" w:rsidRPr="005E251F" w:rsidRDefault="00C12C91" w:rsidP="00FB4347">
      <w:pPr>
        <w:pStyle w:val="ListParagraph"/>
        <w:numPr>
          <w:ilvl w:val="0"/>
          <w:numId w:val="3"/>
        </w:numPr>
        <w:autoSpaceDE w:val="0"/>
        <w:autoSpaceDN w:val="0"/>
        <w:adjustRightInd w:val="0"/>
        <w:spacing w:after="0" w:line="240" w:lineRule="auto"/>
        <w:jc w:val="both"/>
      </w:pPr>
      <w:r w:rsidRPr="005E251F">
        <w:rPr>
          <w:rFonts w:eastAsia="Times New Roman" w:cstheme="minorHAnsi"/>
          <w:bCs/>
          <w:iCs/>
          <w:bdr w:val="none" w:sz="0" w:space="0" w:color="auto" w:frame="1"/>
          <w:lang w:eastAsia="en-CA"/>
        </w:rPr>
        <w:lastRenderedPageBreak/>
        <w:t xml:space="preserve">The overall management structure and operational context of the GDPP is appropriate and regarded by stakeholders as being professional, accessible, </w:t>
      </w:r>
      <w:proofErr w:type="gramStart"/>
      <w:r w:rsidRPr="005E251F">
        <w:rPr>
          <w:rFonts w:eastAsia="Times New Roman" w:cstheme="minorHAnsi"/>
          <w:bCs/>
          <w:iCs/>
          <w:bdr w:val="none" w:sz="0" w:space="0" w:color="auto" w:frame="1"/>
          <w:lang w:eastAsia="en-CA"/>
        </w:rPr>
        <w:t>efficient</w:t>
      </w:r>
      <w:proofErr w:type="gramEnd"/>
      <w:r w:rsidRPr="005E251F">
        <w:rPr>
          <w:rFonts w:eastAsia="Times New Roman" w:cstheme="minorHAnsi"/>
          <w:bCs/>
          <w:iCs/>
          <w:bdr w:val="none" w:sz="0" w:space="0" w:color="auto" w:frame="1"/>
          <w:lang w:eastAsia="en-CA"/>
        </w:rPr>
        <w:t xml:space="preserve"> and effective. However, several interviewees have flagged their concerns over the centralisation of decision making, the lack of meaningful outreach to the regions and the virtual absence of CSO participation in planning and implementation.</w:t>
      </w:r>
      <w:r w:rsidR="00E7275A">
        <w:rPr>
          <w:rStyle w:val="FootnoteReference"/>
          <w:rFonts w:eastAsia="Times New Roman" w:cstheme="minorHAnsi"/>
          <w:bCs/>
          <w:iCs/>
          <w:bdr w:val="none" w:sz="0" w:space="0" w:color="auto" w:frame="1"/>
          <w:lang w:eastAsia="en-CA"/>
        </w:rPr>
        <w:footnoteReference w:id="40"/>
      </w:r>
      <w:r w:rsidRPr="005E251F">
        <w:rPr>
          <w:rFonts w:eastAsia="Times New Roman" w:cstheme="minorHAnsi"/>
          <w:bCs/>
          <w:iCs/>
          <w:bdr w:val="none" w:sz="0" w:space="0" w:color="auto" w:frame="1"/>
          <w:lang w:eastAsia="en-CA"/>
        </w:rPr>
        <w:t xml:space="preserve"> In fact, there was no regional or local interaction/participation factored into the design of the programme.</w:t>
      </w:r>
      <w:r>
        <w:rPr>
          <w:rStyle w:val="FootnoteReference"/>
          <w:rFonts w:eastAsia="Times New Roman" w:cstheme="minorHAnsi"/>
          <w:bCs/>
          <w:iCs/>
          <w:bdr w:val="none" w:sz="0" w:space="0" w:color="auto" w:frame="1"/>
          <w:lang w:eastAsia="en-CA"/>
        </w:rPr>
        <w:footnoteReference w:id="41"/>
      </w:r>
      <w:r w:rsidRPr="005E251F">
        <w:rPr>
          <w:rFonts w:eastAsia="Times New Roman" w:cstheme="minorHAnsi"/>
          <w:bCs/>
          <w:iCs/>
          <w:bdr w:val="none" w:sz="0" w:space="0" w:color="auto" w:frame="1"/>
          <w:lang w:eastAsia="en-CA"/>
        </w:rPr>
        <w:t xml:space="preserve">  </w:t>
      </w:r>
    </w:p>
    <w:p w14:paraId="1CB77AFB" w14:textId="77777777" w:rsidR="00C12C91" w:rsidRDefault="00C12C91" w:rsidP="00FB4347">
      <w:pPr>
        <w:pStyle w:val="ListParagraph"/>
        <w:autoSpaceDE w:val="0"/>
        <w:autoSpaceDN w:val="0"/>
        <w:adjustRightInd w:val="0"/>
        <w:spacing w:after="0" w:line="240" w:lineRule="auto"/>
        <w:ind w:left="450"/>
        <w:jc w:val="both"/>
      </w:pPr>
    </w:p>
    <w:p w14:paraId="45F5BEE8" w14:textId="77777777" w:rsidR="00C12C91" w:rsidRDefault="00C12C91" w:rsidP="00FB4347">
      <w:pPr>
        <w:pStyle w:val="ListParagraph"/>
        <w:numPr>
          <w:ilvl w:val="0"/>
          <w:numId w:val="3"/>
        </w:numPr>
        <w:spacing w:line="240" w:lineRule="auto"/>
        <w:jc w:val="both"/>
        <w:rPr>
          <w:rFonts w:eastAsia="Times New Roman" w:cstheme="minorHAnsi"/>
          <w:lang w:val="en-GB"/>
        </w:rPr>
      </w:pPr>
      <w:r>
        <w:rPr>
          <w:rFonts w:eastAsia="Times New Roman" w:cstheme="minorHAnsi"/>
          <w:lang w:val="en-GB"/>
        </w:rPr>
        <w:t>In</w:t>
      </w:r>
      <w:r w:rsidRPr="003C2D3A">
        <w:rPr>
          <w:rFonts w:eastAsia="Times New Roman" w:cstheme="minorHAnsi"/>
          <w:lang w:val="en-GB"/>
        </w:rPr>
        <w:t xml:space="preserve"> aggregate</w:t>
      </w:r>
      <w:r>
        <w:rPr>
          <w:rFonts w:eastAsia="Times New Roman" w:cstheme="minorHAnsi"/>
          <w:lang w:val="en-GB"/>
        </w:rPr>
        <w:t>, the</w:t>
      </w:r>
      <w:r w:rsidRPr="003C2D3A">
        <w:rPr>
          <w:rFonts w:eastAsia="Times New Roman" w:cstheme="minorHAnsi"/>
          <w:lang w:val="en-GB"/>
        </w:rPr>
        <w:t xml:space="preserve"> achievements under GDPP may be broken down into the categories of effectiveness as follows. First, GDPP enabled and financed the drafting of enabling tools, frameworks, standards, strategies, </w:t>
      </w:r>
      <w:proofErr w:type="gramStart"/>
      <w:r w:rsidRPr="003C2D3A">
        <w:rPr>
          <w:rFonts w:eastAsia="Times New Roman" w:cstheme="minorHAnsi"/>
          <w:lang w:val="en-GB"/>
        </w:rPr>
        <w:t>laws</w:t>
      </w:r>
      <w:proofErr w:type="gramEnd"/>
      <w:r w:rsidRPr="003C2D3A">
        <w:rPr>
          <w:rFonts w:eastAsia="Times New Roman" w:cstheme="minorHAnsi"/>
          <w:lang w:val="en-GB"/>
        </w:rPr>
        <w:t xml:space="preserve"> and mechanisms. Second, the GDPP contributed to awareness on democracy, </w:t>
      </w:r>
      <w:proofErr w:type="gramStart"/>
      <w:r w:rsidRPr="003C2D3A">
        <w:rPr>
          <w:rFonts w:eastAsia="Times New Roman" w:cstheme="minorHAnsi"/>
          <w:lang w:val="en-GB"/>
        </w:rPr>
        <w:t>rights</w:t>
      </w:r>
      <w:proofErr w:type="gramEnd"/>
      <w:r w:rsidRPr="003C2D3A">
        <w:rPr>
          <w:rFonts w:eastAsia="Times New Roman" w:cstheme="minorHAnsi"/>
          <w:lang w:val="en-GB"/>
        </w:rPr>
        <w:t xml:space="preserve"> and legal issues. Third, GDPP contributed to capacity building for the IPs and their stakeholders.  Fourth, the GDPP contributed </w:t>
      </w:r>
      <w:proofErr w:type="gramStart"/>
      <w:r w:rsidRPr="003C2D3A">
        <w:rPr>
          <w:rFonts w:eastAsia="Times New Roman" w:cstheme="minorHAnsi"/>
          <w:lang w:val="en-GB"/>
        </w:rPr>
        <w:t>in</w:t>
      </w:r>
      <w:proofErr w:type="gramEnd"/>
      <w:r w:rsidRPr="003C2D3A">
        <w:rPr>
          <w:rFonts w:eastAsia="Times New Roman" w:cstheme="minorHAnsi"/>
          <w:lang w:val="en-GB"/>
        </w:rPr>
        <w:t xml:space="preserve"> establishing credibility of the IPs as democratic institutions by financing their promotional costs and establishing digital access platforms. Fifth, through the establishment and execution of dialogues, events, </w:t>
      </w:r>
      <w:proofErr w:type="gramStart"/>
      <w:r w:rsidRPr="003C2D3A">
        <w:rPr>
          <w:rFonts w:eastAsia="Times New Roman" w:cstheme="minorHAnsi"/>
          <w:lang w:val="en-GB"/>
        </w:rPr>
        <w:t>conferences</w:t>
      </w:r>
      <w:proofErr w:type="gramEnd"/>
      <w:r w:rsidRPr="003C2D3A">
        <w:rPr>
          <w:rFonts w:eastAsia="Times New Roman" w:cstheme="minorHAnsi"/>
          <w:lang w:val="en-GB"/>
        </w:rPr>
        <w:t xml:space="preserve"> and forums the GDPP contributed to the expansion of political and civic space in the country. Finally, in its work with the IPs, the GDPP created a platform for promoting gender, empowerment of women and inclusiveness (including diverse groups with special needs) in Ethiopia.</w:t>
      </w:r>
    </w:p>
    <w:p w14:paraId="7FA9AE4F" w14:textId="77777777" w:rsidR="00C12C91" w:rsidRDefault="00C12C91" w:rsidP="00FB4347">
      <w:pPr>
        <w:pStyle w:val="ListParagraph"/>
        <w:spacing w:line="240" w:lineRule="auto"/>
        <w:ind w:left="450"/>
        <w:jc w:val="both"/>
        <w:rPr>
          <w:rFonts w:eastAsia="Times New Roman" w:cstheme="minorHAnsi"/>
          <w:lang w:val="en-GB"/>
        </w:rPr>
      </w:pPr>
    </w:p>
    <w:p w14:paraId="2B90F959" w14:textId="77777777" w:rsidR="00C12C91" w:rsidRPr="00D35395" w:rsidRDefault="00C12C91" w:rsidP="00FB4347">
      <w:pPr>
        <w:pStyle w:val="ListParagraph"/>
        <w:numPr>
          <w:ilvl w:val="0"/>
          <w:numId w:val="3"/>
        </w:numPr>
        <w:spacing w:before="240" w:line="240" w:lineRule="auto"/>
        <w:jc w:val="both"/>
      </w:pPr>
      <w:r>
        <w:t xml:space="preserve">Nevertheless, even under the best conditions of domestic capacity, political commitment and sustained leadership support, progress in governance reform will be measured in increments and there will be no </w:t>
      </w:r>
      <w:proofErr w:type="gramStart"/>
      <w:r>
        <w:t>particular end</w:t>
      </w:r>
      <w:proofErr w:type="gramEnd"/>
      <w:r>
        <w:t xml:space="preserve"> to the process. The benefits will accrue over time and will be marked by steady improvements in the operating and regulatory environment leading, ideally, to more effective and efficient delivery of government programmes. In this sense, t</w:t>
      </w:r>
      <w:r w:rsidRPr="00D35395">
        <w:rPr>
          <w:rFonts w:eastAsia="Times New Roman" w:cstheme="minorHAnsi"/>
          <w:lang w:eastAsia="en-CA"/>
        </w:rPr>
        <w:t xml:space="preserve">he measure of the success of the GDPP is fundamentally tied to the progress it has made in enabling the GoE to develop and implement relevant policies and guidelines on governance reform and democratic development. </w:t>
      </w:r>
    </w:p>
    <w:p w14:paraId="73BA8D7E" w14:textId="77777777" w:rsidR="00C12C91" w:rsidRDefault="00C12C91" w:rsidP="00FB4347">
      <w:pPr>
        <w:pStyle w:val="ListParagraph"/>
        <w:spacing w:line="240" w:lineRule="auto"/>
      </w:pPr>
    </w:p>
    <w:p w14:paraId="56D30386" w14:textId="77777777" w:rsidR="00C12C91" w:rsidRDefault="00C12C91" w:rsidP="00FB4347">
      <w:pPr>
        <w:pStyle w:val="ListParagraph"/>
        <w:numPr>
          <w:ilvl w:val="0"/>
          <w:numId w:val="3"/>
        </w:numPr>
        <w:spacing w:before="240" w:line="240" w:lineRule="auto"/>
        <w:jc w:val="both"/>
      </w:pPr>
      <w:r w:rsidRPr="00BB244E">
        <w:t>Delays in project implementation have b</w:t>
      </w:r>
      <w:r>
        <w:t>e</w:t>
      </w:r>
      <w:r w:rsidRPr="00BB244E">
        <w:t xml:space="preserve">en quite common for reasons attributed in part to UNDP’s cumbersome funds disbursement </w:t>
      </w:r>
      <w:r>
        <w:t xml:space="preserve">and procurement policies. In addition, movement restrictions surrounding the COVID-19 pandemic have been challenging to the effective and efficient implementation of programme activities and objectives. This has been compounded by the security crisis in the country. This </w:t>
      </w:r>
      <w:r w:rsidRPr="00F333AD">
        <w:t xml:space="preserve">illustrates the fact that </w:t>
      </w:r>
      <w:r w:rsidRPr="009916D8">
        <w:t xml:space="preserve">implementation delays are not necessarily the “fault” of </w:t>
      </w:r>
      <w:r>
        <w:t>UNDP or the GDPP</w:t>
      </w:r>
      <w:r w:rsidRPr="009916D8">
        <w:t>. Rather, they reflect the complex situation on the ground</w:t>
      </w:r>
      <w:r w:rsidRPr="00F333AD">
        <w:t xml:space="preserve"> and show that “politics” and unforeseen events can often stall much needed progress</w:t>
      </w:r>
      <w:r>
        <w:t>.</w:t>
      </w:r>
    </w:p>
    <w:p w14:paraId="783B031E" w14:textId="77777777" w:rsidR="00C12C91" w:rsidRDefault="00C12C91" w:rsidP="00FB4347">
      <w:pPr>
        <w:pStyle w:val="ListParagraph"/>
        <w:spacing w:after="0" w:line="240" w:lineRule="auto"/>
      </w:pPr>
    </w:p>
    <w:p w14:paraId="0AF39521" w14:textId="77777777" w:rsidR="00C12C91" w:rsidRDefault="00C12C91" w:rsidP="00FB4347">
      <w:pPr>
        <w:pStyle w:val="ListParagraph"/>
        <w:numPr>
          <w:ilvl w:val="0"/>
          <w:numId w:val="3"/>
        </w:numPr>
        <w:spacing w:line="240" w:lineRule="auto"/>
        <w:jc w:val="both"/>
        <w:rPr>
          <w:rFonts w:eastAsia="Times New Roman" w:cstheme="minorHAnsi"/>
          <w:lang w:val="en-GB"/>
        </w:rPr>
      </w:pPr>
      <w:r w:rsidRPr="00B73877">
        <w:rPr>
          <w:rFonts w:eastAsia="Times New Roman" w:cstheme="minorHAnsi"/>
          <w:lang w:val="en-GB"/>
        </w:rPr>
        <w:t xml:space="preserve">In general, the GDPP achieved its planned sub-outputs, outputs, immediate outcomes, and objectives and the expected results of the program were relatively </w:t>
      </w:r>
      <w:r>
        <w:rPr>
          <w:rFonts w:eastAsia="Times New Roman" w:cstheme="minorHAnsi"/>
          <w:lang w:val="en-GB"/>
        </w:rPr>
        <w:t xml:space="preserve">effectively </w:t>
      </w:r>
      <w:r w:rsidRPr="00B73877">
        <w:rPr>
          <w:rFonts w:eastAsia="Times New Roman" w:cstheme="minorHAnsi"/>
          <w:lang w:val="en-GB"/>
        </w:rPr>
        <w:t>achieved. The achievements were partly linked to the revision of and repositioning of t</w:t>
      </w:r>
      <w:r>
        <w:rPr>
          <w:rFonts w:eastAsia="Times New Roman" w:cstheme="minorHAnsi"/>
          <w:lang w:val="en-GB"/>
        </w:rPr>
        <w:t>he program sub-</w:t>
      </w:r>
      <w:r w:rsidRPr="00B73877">
        <w:rPr>
          <w:rFonts w:eastAsia="Times New Roman" w:cstheme="minorHAnsi"/>
          <w:lang w:val="en-GB"/>
        </w:rPr>
        <w:t xml:space="preserve">outputs, </w:t>
      </w:r>
      <w:proofErr w:type="gramStart"/>
      <w:r w:rsidRPr="00B73877">
        <w:rPr>
          <w:rFonts w:eastAsia="Times New Roman" w:cstheme="minorHAnsi"/>
          <w:lang w:val="en-GB"/>
        </w:rPr>
        <w:t>outputs</w:t>
      </w:r>
      <w:proofErr w:type="gramEnd"/>
      <w:r w:rsidRPr="00B73877">
        <w:rPr>
          <w:rFonts w:eastAsia="Times New Roman" w:cstheme="minorHAnsi"/>
          <w:lang w:val="en-GB"/>
        </w:rPr>
        <w:t xml:space="preserve"> and the objectives. The improvements in monitoring and back-up expertise from the UNDP, especially after the mid-term review and the revision</w:t>
      </w:r>
      <w:r>
        <w:rPr>
          <w:rFonts w:eastAsia="Times New Roman" w:cstheme="minorHAnsi"/>
          <w:lang w:val="en-GB"/>
        </w:rPr>
        <w:t>,</w:t>
      </w:r>
      <w:r w:rsidRPr="00B73877">
        <w:rPr>
          <w:rFonts w:eastAsia="Times New Roman" w:cstheme="minorHAnsi"/>
          <w:lang w:val="en-GB"/>
        </w:rPr>
        <w:t xml:space="preserve"> </w:t>
      </w:r>
      <w:r>
        <w:rPr>
          <w:rFonts w:eastAsia="Times New Roman" w:cstheme="minorHAnsi"/>
          <w:lang w:val="en-GB"/>
        </w:rPr>
        <w:t>aided</w:t>
      </w:r>
      <w:r w:rsidRPr="00B73877">
        <w:rPr>
          <w:rFonts w:eastAsia="Times New Roman" w:cstheme="minorHAnsi"/>
          <w:lang w:val="en-GB"/>
        </w:rPr>
        <w:t xml:space="preserve"> the achievement of the </w:t>
      </w:r>
      <w:r>
        <w:rPr>
          <w:rFonts w:eastAsia="Times New Roman" w:cstheme="minorHAnsi"/>
          <w:lang w:val="en-GB"/>
        </w:rPr>
        <w:t>objectives. The</w:t>
      </w:r>
      <w:r w:rsidRPr="00B73877">
        <w:rPr>
          <w:rFonts w:eastAsia="Times New Roman" w:cstheme="minorHAnsi"/>
          <w:lang w:val="en-GB"/>
        </w:rPr>
        <w:t xml:space="preserve"> uptake of the mid-term program</w:t>
      </w:r>
      <w:r>
        <w:rPr>
          <w:rFonts w:eastAsia="Times New Roman" w:cstheme="minorHAnsi"/>
          <w:lang w:val="en-GB"/>
        </w:rPr>
        <w:t>me</w:t>
      </w:r>
      <w:r w:rsidRPr="00B73877">
        <w:rPr>
          <w:rFonts w:eastAsia="Times New Roman" w:cstheme="minorHAnsi"/>
          <w:lang w:val="en-GB"/>
        </w:rPr>
        <w:t xml:space="preserve"> review</w:t>
      </w:r>
      <w:r>
        <w:rPr>
          <w:rFonts w:eastAsia="Times New Roman" w:cstheme="minorHAnsi"/>
          <w:lang w:val="en-GB"/>
        </w:rPr>
        <w:t>’s</w:t>
      </w:r>
      <w:r w:rsidRPr="00B73877">
        <w:rPr>
          <w:rFonts w:eastAsia="Times New Roman" w:cstheme="minorHAnsi"/>
          <w:lang w:val="en-GB"/>
        </w:rPr>
        <w:t xml:space="preserve"> recommendations improved the results</w:t>
      </w:r>
      <w:r>
        <w:rPr>
          <w:rFonts w:eastAsia="Times New Roman" w:cstheme="minorHAnsi"/>
          <w:lang w:val="en-GB"/>
        </w:rPr>
        <w:t>, al</w:t>
      </w:r>
      <w:r w:rsidRPr="00B73877">
        <w:rPr>
          <w:rFonts w:eastAsia="Times New Roman" w:cstheme="minorHAnsi"/>
          <w:lang w:val="en-GB"/>
        </w:rPr>
        <w:t xml:space="preserve">though </w:t>
      </w:r>
      <w:r>
        <w:rPr>
          <w:rFonts w:eastAsia="Times New Roman" w:cstheme="minorHAnsi"/>
          <w:lang w:val="en-GB"/>
        </w:rPr>
        <w:t>to a minimal extent</w:t>
      </w:r>
      <w:r w:rsidRPr="00B73877">
        <w:rPr>
          <w:rFonts w:eastAsia="Times New Roman" w:cstheme="minorHAnsi"/>
          <w:lang w:val="en-GB"/>
        </w:rPr>
        <w:t xml:space="preserve"> at </w:t>
      </w:r>
      <w:r>
        <w:rPr>
          <w:rFonts w:eastAsia="Times New Roman" w:cstheme="minorHAnsi"/>
          <w:lang w:val="en-GB"/>
        </w:rPr>
        <w:t xml:space="preserve">the </w:t>
      </w:r>
      <w:r w:rsidRPr="00B73877">
        <w:rPr>
          <w:rFonts w:eastAsia="Times New Roman" w:cstheme="minorHAnsi"/>
          <w:lang w:val="en-GB"/>
        </w:rPr>
        <w:t>regional level</w:t>
      </w:r>
      <w:r>
        <w:rPr>
          <w:rFonts w:eastAsia="Times New Roman" w:cstheme="minorHAnsi"/>
          <w:lang w:val="en-GB"/>
        </w:rPr>
        <w:t>.</w:t>
      </w:r>
      <w:r w:rsidRPr="00B73877">
        <w:rPr>
          <w:rFonts w:eastAsia="Times New Roman" w:cstheme="minorHAnsi"/>
          <w:lang w:val="en-GB"/>
        </w:rPr>
        <w:t xml:space="preserve"> The quality of the program</w:t>
      </w:r>
      <w:r>
        <w:rPr>
          <w:rFonts w:eastAsia="Times New Roman" w:cstheme="minorHAnsi"/>
          <w:lang w:val="en-GB"/>
        </w:rPr>
        <w:t>me</w:t>
      </w:r>
      <w:r w:rsidRPr="00B73877">
        <w:rPr>
          <w:rFonts w:eastAsia="Times New Roman" w:cstheme="minorHAnsi"/>
          <w:lang w:val="en-GB"/>
        </w:rPr>
        <w:t xml:space="preserve"> implementation was relatively good but due to abstract measurement indicators</w:t>
      </w:r>
      <w:r>
        <w:rPr>
          <w:rFonts w:eastAsia="Times New Roman" w:cstheme="minorHAnsi"/>
          <w:lang w:val="en-GB"/>
        </w:rPr>
        <w:t>,</w:t>
      </w:r>
      <w:r w:rsidRPr="00B73877">
        <w:rPr>
          <w:rFonts w:eastAsia="Times New Roman" w:cstheme="minorHAnsi"/>
          <w:lang w:val="en-GB"/>
        </w:rPr>
        <w:t xml:space="preserve"> and </w:t>
      </w:r>
      <w:r>
        <w:rPr>
          <w:rFonts w:eastAsia="Times New Roman" w:cstheme="minorHAnsi"/>
          <w:lang w:val="en-GB"/>
        </w:rPr>
        <w:t xml:space="preserve">the </w:t>
      </w:r>
      <w:r w:rsidRPr="00B73877">
        <w:rPr>
          <w:rFonts w:eastAsia="Times New Roman" w:cstheme="minorHAnsi"/>
          <w:lang w:val="en-GB"/>
        </w:rPr>
        <w:t>lack of baseline</w:t>
      </w:r>
      <w:r>
        <w:rPr>
          <w:rFonts w:eastAsia="Times New Roman" w:cstheme="minorHAnsi"/>
          <w:lang w:val="en-GB"/>
        </w:rPr>
        <w:t>s</w:t>
      </w:r>
      <w:r w:rsidRPr="00B73877">
        <w:rPr>
          <w:rFonts w:eastAsia="Times New Roman" w:cstheme="minorHAnsi"/>
          <w:lang w:val="en-GB"/>
        </w:rPr>
        <w:t xml:space="preserve"> and targets for considerab</w:t>
      </w:r>
      <w:r>
        <w:rPr>
          <w:rFonts w:eastAsia="Times New Roman" w:cstheme="minorHAnsi"/>
          <w:lang w:val="en-GB"/>
        </w:rPr>
        <w:t xml:space="preserve">le number of </w:t>
      </w:r>
      <w:r>
        <w:rPr>
          <w:rFonts w:eastAsia="Times New Roman" w:cstheme="minorHAnsi"/>
          <w:lang w:val="en-GB"/>
        </w:rPr>
        <w:lastRenderedPageBreak/>
        <w:t>indicators, sub-</w:t>
      </w:r>
      <w:r w:rsidRPr="00B73877">
        <w:rPr>
          <w:rFonts w:eastAsia="Times New Roman" w:cstheme="minorHAnsi"/>
          <w:lang w:val="en-GB"/>
        </w:rPr>
        <w:t>outputs, outputs and outcomes</w:t>
      </w:r>
      <w:r>
        <w:rPr>
          <w:rFonts w:eastAsia="Times New Roman" w:cstheme="minorHAnsi"/>
          <w:lang w:val="en-GB"/>
        </w:rPr>
        <w:t>, the evaluability of implementation was reduced.</w:t>
      </w:r>
      <w:r w:rsidRPr="00B73877">
        <w:rPr>
          <w:rFonts w:eastAsia="Times New Roman" w:cstheme="minorHAnsi"/>
          <w:lang w:val="en-GB"/>
        </w:rPr>
        <w:t xml:space="preserve"> The results of the program</w:t>
      </w:r>
      <w:r>
        <w:rPr>
          <w:rFonts w:eastAsia="Times New Roman" w:cstheme="minorHAnsi"/>
          <w:lang w:val="en-GB"/>
        </w:rPr>
        <w:t>me</w:t>
      </w:r>
      <w:r w:rsidRPr="00B73877">
        <w:rPr>
          <w:rFonts w:eastAsia="Times New Roman" w:cstheme="minorHAnsi"/>
          <w:lang w:val="en-GB"/>
        </w:rPr>
        <w:t xml:space="preserve"> were </w:t>
      </w:r>
      <w:r>
        <w:rPr>
          <w:rFonts w:eastAsia="Times New Roman" w:cstheme="minorHAnsi"/>
          <w:lang w:val="en-GB"/>
        </w:rPr>
        <w:t xml:space="preserve">also </w:t>
      </w:r>
      <w:r w:rsidRPr="00B73877">
        <w:rPr>
          <w:rFonts w:eastAsia="Times New Roman" w:cstheme="minorHAnsi"/>
          <w:lang w:val="en-GB"/>
        </w:rPr>
        <w:t xml:space="preserve">affected </w:t>
      </w:r>
      <w:r>
        <w:rPr>
          <w:rFonts w:eastAsia="Times New Roman" w:cstheme="minorHAnsi"/>
          <w:lang w:val="en-GB"/>
        </w:rPr>
        <w:t>to some degree</w:t>
      </w:r>
      <w:r w:rsidRPr="00B73877">
        <w:rPr>
          <w:rFonts w:eastAsia="Times New Roman" w:cstheme="minorHAnsi"/>
          <w:lang w:val="en-GB"/>
        </w:rPr>
        <w:t xml:space="preserve"> by changes in </w:t>
      </w:r>
      <w:r>
        <w:rPr>
          <w:rFonts w:eastAsia="Times New Roman" w:cstheme="minorHAnsi"/>
          <w:lang w:val="en-GB"/>
        </w:rPr>
        <w:t xml:space="preserve">the </w:t>
      </w:r>
      <w:r w:rsidRPr="00B73877">
        <w:rPr>
          <w:rFonts w:eastAsia="Times New Roman" w:cstheme="minorHAnsi"/>
          <w:lang w:val="en-GB"/>
        </w:rPr>
        <w:t>political landscape and the funding and resource shortage. However, the reforms underway in the country ha</w:t>
      </w:r>
      <w:r>
        <w:rPr>
          <w:rFonts w:eastAsia="Times New Roman" w:cstheme="minorHAnsi"/>
          <w:lang w:val="en-GB"/>
        </w:rPr>
        <w:t>ve</w:t>
      </w:r>
      <w:r w:rsidRPr="00B73877">
        <w:rPr>
          <w:rFonts w:eastAsia="Times New Roman" w:cstheme="minorHAnsi"/>
          <w:lang w:val="en-GB"/>
        </w:rPr>
        <w:t xml:space="preserve"> also positively enhanced program</w:t>
      </w:r>
      <w:r>
        <w:rPr>
          <w:rFonts w:eastAsia="Times New Roman" w:cstheme="minorHAnsi"/>
          <w:lang w:val="en-GB"/>
        </w:rPr>
        <w:t>me</w:t>
      </w:r>
      <w:r w:rsidRPr="00B73877">
        <w:rPr>
          <w:rFonts w:eastAsia="Times New Roman" w:cstheme="minorHAnsi"/>
          <w:lang w:val="en-GB"/>
        </w:rPr>
        <w:t xml:space="preserve"> implementation and the achievement of results. </w:t>
      </w:r>
      <w:r>
        <w:rPr>
          <w:rFonts w:eastAsia="Times New Roman" w:cstheme="minorHAnsi"/>
          <w:lang w:val="en-GB"/>
        </w:rPr>
        <w:t>The following table shows the relationship between activities and target achievements and demonstrates that the programme has been very effective:</w:t>
      </w:r>
    </w:p>
    <w:p w14:paraId="3DACD6F3" w14:textId="77777777" w:rsidR="00C12C91" w:rsidRDefault="00C12C91" w:rsidP="00FB4347">
      <w:pPr>
        <w:spacing w:line="240" w:lineRule="auto"/>
        <w:rPr>
          <w:rFonts w:eastAsia="Times New Roman" w:cstheme="minorHAnsi"/>
          <w:lang w:val="en-GB"/>
        </w:rPr>
      </w:pPr>
      <w:r>
        <w:rPr>
          <w:rFonts w:eastAsia="Times New Roman" w:cstheme="minorHAnsi"/>
          <w:lang w:val="en-GB"/>
        </w:rPr>
        <w:br w:type="page"/>
      </w:r>
    </w:p>
    <w:p w14:paraId="2ABEF874" w14:textId="2952C621" w:rsidR="00C12C91" w:rsidRDefault="00C12C91" w:rsidP="00C12C91">
      <w:pPr>
        <w:pStyle w:val="Caption"/>
        <w:spacing w:after="0"/>
        <w:rPr>
          <w:rFonts w:cstheme="minorHAnsi"/>
          <w:i w:val="0"/>
          <w:iCs w:val="0"/>
          <w:color w:val="auto"/>
          <w:sz w:val="22"/>
          <w:szCs w:val="22"/>
        </w:rPr>
      </w:pPr>
      <w:r w:rsidRPr="003E4E68">
        <w:rPr>
          <w:rFonts w:cstheme="minorHAnsi"/>
          <w:i w:val="0"/>
          <w:iCs w:val="0"/>
          <w:color w:val="auto"/>
          <w:sz w:val="22"/>
          <w:szCs w:val="22"/>
        </w:rPr>
        <w:lastRenderedPageBreak/>
        <w:t xml:space="preserve">Table </w:t>
      </w:r>
      <w:r w:rsidRPr="003E4E68">
        <w:rPr>
          <w:rFonts w:cstheme="minorHAnsi"/>
          <w:i w:val="0"/>
          <w:iCs w:val="0"/>
          <w:color w:val="auto"/>
          <w:sz w:val="22"/>
          <w:szCs w:val="22"/>
        </w:rPr>
        <w:fldChar w:fldCharType="begin"/>
      </w:r>
      <w:r w:rsidRPr="003E4E68">
        <w:rPr>
          <w:rFonts w:cstheme="minorHAnsi"/>
          <w:i w:val="0"/>
          <w:iCs w:val="0"/>
          <w:color w:val="auto"/>
          <w:sz w:val="22"/>
          <w:szCs w:val="22"/>
        </w:rPr>
        <w:instrText xml:space="preserve"> SEQ Table \* ARABIC </w:instrText>
      </w:r>
      <w:r w:rsidRPr="003E4E68">
        <w:rPr>
          <w:rFonts w:cstheme="minorHAnsi"/>
          <w:i w:val="0"/>
          <w:iCs w:val="0"/>
          <w:color w:val="auto"/>
          <w:sz w:val="22"/>
          <w:szCs w:val="22"/>
        </w:rPr>
        <w:fldChar w:fldCharType="separate"/>
      </w:r>
      <w:r w:rsidR="006240B3">
        <w:rPr>
          <w:rFonts w:cstheme="minorHAnsi"/>
          <w:i w:val="0"/>
          <w:iCs w:val="0"/>
          <w:noProof/>
          <w:color w:val="auto"/>
          <w:sz w:val="22"/>
          <w:szCs w:val="22"/>
        </w:rPr>
        <w:t>1</w:t>
      </w:r>
      <w:r w:rsidRPr="003E4E68">
        <w:rPr>
          <w:rFonts w:cstheme="minorHAnsi"/>
          <w:i w:val="0"/>
          <w:iCs w:val="0"/>
          <w:color w:val="auto"/>
          <w:sz w:val="22"/>
          <w:szCs w:val="22"/>
        </w:rPr>
        <w:fldChar w:fldCharType="end"/>
      </w:r>
      <w:r w:rsidRPr="003E4E68">
        <w:rPr>
          <w:rFonts w:cstheme="minorHAnsi"/>
          <w:i w:val="0"/>
          <w:iCs w:val="0"/>
          <w:color w:val="auto"/>
          <w:sz w:val="22"/>
          <w:szCs w:val="22"/>
        </w:rPr>
        <w:t xml:space="preserve"> – Summary of Evaluation Results Based on Activity Accomplishments and Target Achievements</w:t>
      </w:r>
    </w:p>
    <w:p w14:paraId="7B4E3B40" w14:textId="77777777" w:rsidR="00C12C91" w:rsidRPr="009B5969" w:rsidRDefault="00C12C91" w:rsidP="00C12C91">
      <w:pPr>
        <w:spacing w:after="0"/>
        <w:rPr>
          <w:lang w:val="en-US"/>
        </w:rPr>
      </w:pPr>
    </w:p>
    <w:p w14:paraId="03440089" w14:textId="513EA406" w:rsidR="00C12C91" w:rsidRPr="00F16D90" w:rsidRDefault="00C12C91" w:rsidP="00C12C91">
      <w:pPr>
        <w:spacing w:after="0" w:line="240" w:lineRule="auto"/>
        <w:jc w:val="both"/>
        <w:rPr>
          <w:rFonts w:cstheme="minorHAnsi"/>
          <w:sz w:val="20"/>
          <w:szCs w:val="20"/>
        </w:rPr>
      </w:pPr>
      <w:r w:rsidRPr="003E4E68">
        <w:rPr>
          <w:rFonts w:cstheme="minorHAnsi"/>
          <w:sz w:val="20"/>
          <w:szCs w:val="20"/>
        </w:rPr>
        <w:t>Note</w:t>
      </w:r>
      <w:r w:rsidR="00F16D90">
        <w:rPr>
          <w:rFonts w:cstheme="minorHAnsi"/>
          <w:sz w:val="20"/>
          <w:szCs w:val="20"/>
        </w:rPr>
        <w:t xml:space="preserve"> 1</w:t>
      </w:r>
      <w:r w:rsidRPr="003E4E68">
        <w:rPr>
          <w:rFonts w:cstheme="minorHAnsi"/>
          <w:sz w:val="20"/>
          <w:szCs w:val="20"/>
        </w:rPr>
        <w:t xml:space="preserve">: </w:t>
      </w:r>
      <w:r>
        <w:rPr>
          <w:rFonts w:cstheme="minorHAnsi"/>
          <w:sz w:val="20"/>
          <w:szCs w:val="20"/>
        </w:rPr>
        <w:tab/>
      </w:r>
      <w:r>
        <w:rPr>
          <w:rFonts w:cstheme="minorHAnsi"/>
          <w:sz w:val="20"/>
          <w:szCs w:val="20"/>
        </w:rPr>
        <w:tab/>
      </w:r>
      <w:r w:rsidRPr="003E4E68">
        <w:rPr>
          <w:rFonts w:cstheme="minorHAnsi"/>
          <w:sz w:val="20"/>
          <w:szCs w:val="20"/>
        </w:rPr>
        <w:t>Red (below 75%)</w:t>
      </w:r>
      <w:r>
        <w:rPr>
          <w:rFonts w:cstheme="minorHAnsi"/>
          <w:sz w:val="20"/>
          <w:szCs w:val="20"/>
        </w:rPr>
        <w:tab/>
      </w:r>
      <w:r>
        <w:rPr>
          <w:rFonts w:cstheme="minorHAnsi"/>
          <w:sz w:val="20"/>
          <w:szCs w:val="20"/>
        </w:rPr>
        <w:tab/>
      </w:r>
      <w:r w:rsidRPr="003E4E68">
        <w:rPr>
          <w:rFonts w:cstheme="minorHAnsi"/>
          <w:sz w:val="20"/>
          <w:szCs w:val="20"/>
        </w:rPr>
        <w:t>Yellow (75 - 89%)</w:t>
      </w:r>
      <w:r>
        <w:rPr>
          <w:rFonts w:cstheme="minorHAnsi"/>
          <w:sz w:val="20"/>
          <w:szCs w:val="20"/>
        </w:rPr>
        <w:tab/>
      </w:r>
      <w:r>
        <w:rPr>
          <w:rFonts w:cstheme="minorHAnsi"/>
          <w:sz w:val="20"/>
          <w:szCs w:val="20"/>
        </w:rPr>
        <w:tab/>
      </w:r>
      <w:r>
        <w:rPr>
          <w:rFonts w:cstheme="minorHAnsi"/>
          <w:sz w:val="20"/>
          <w:szCs w:val="20"/>
        </w:rPr>
        <w:tab/>
      </w:r>
      <w:r w:rsidRPr="003E4E68">
        <w:rPr>
          <w:rFonts w:cstheme="minorHAnsi"/>
          <w:sz w:val="20"/>
          <w:szCs w:val="20"/>
        </w:rPr>
        <w:t>Green = Above 90%</w:t>
      </w:r>
    </w:p>
    <w:tbl>
      <w:tblPr>
        <w:tblStyle w:val="TableGrid"/>
        <w:tblW w:w="5000" w:type="pct"/>
        <w:tblLook w:val="04A0" w:firstRow="1" w:lastRow="0" w:firstColumn="1" w:lastColumn="0" w:noHBand="0" w:noVBand="1"/>
      </w:tblPr>
      <w:tblGrid>
        <w:gridCol w:w="4315"/>
        <w:gridCol w:w="1350"/>
        <w:gridCol w:w="989"/>
        <w:gridCol w:w="905"/>
        <w:gridCol w:w="1791"/>
      </w:tblGrid>
      <w:tr w:rsidR="00C12C91" w:rsidRPr="003E4E68" w14:paraId="09C6418D" w14:textId="77777777" w:rsidTr="00192882">
        <w:tc>
          <w:tcPr>
            <w:tcW w:w="2307" w:type="pct"/>
            <w:vMerge w:val="restart"/>
          </w:tcPr>
          <w:p w14:paraId="62D54C07" w14:textId="77777777" w:rsidR="00C12C91" w:rsidRPr="003E4E68" w:rsidRDefault="00C12C91" w:rsidP="00192882">
            <w:pPr>
              <w:jc w:val="both"/>
              <w:rPr>
                <w:rFonts w:cstheme="minorHAnsi"/>
                <w:b/>
                <w:bCs/>
                <w:sz w:val="20"/>
                <w:szCs w:val="20"/>
              </w:rPr>
            </w:pPr>
            <w:r w:rsidRPr="003E4E68">
              <w:rPr>
                <w:rFonts w:cstheme="minorHAnsi"/>
                <w:b/>
                <w:bCs/>
                <w:sz w:val="20"/>
                <w:szCs w:val="20"/>
              </w:rPr>
              <w:t xml:space="preserve">Outputs </w:t>
            </w:r>
          </w:p>
        </w:tc>
        <w:tc>
          <w:tcPr>
            <w:tcW w:w="722" w:type="pct"/>
            <w:vMerge w:val="restart"/>
          </w:tcPr>
          <w:p w14:paraId="2BD29498" w14:textId="77777777" w:rsidR="00C12C91" w:rsidRPr="003E4E68" w:rsidRDefault="00C12C91" w:rsidP="00192882">
            <w:pPr>
              <w:jc w:val="both"/>
              <w:rPr>
                <w:rFonts w:cstheme="minorHAnsi"/>
                <w:b/>
                <w:bCs/>
                <w:sz w:val="20"/>
                <w:szCs w:val="20"/>
              </w:rPr>
            </w:pPr>
            <w:r w:rsidRPr="003E4E68">
              <w:rPr>
                <w:rFonts w:cstheme="minorHAnsi"/>
                <w:b/>
                <w:bCs/>
                <w:sz w:val="20"/>
                <w:szCs w:val="20"/>
              </w:rPr>
              <w:t>Achievement (%)</w:t>
            </w:r>
          </w:p>
        </w:tc>
        <w:tc>
          <w:tcPr>
            <w:tcW w:w="1971" w:type="pct"/>
            <w:gridSpan w:val="3"/>
          </w:tcPr>
          <w:p w14:paraId="489B52DA" w14:textId="77777777" w:rsidR="00C12C91" w:rsidRPr="003E4E68" w:rsidRDefault="00C12C91" w:rsidP="00192882">
            <w:pPr>
              <w:jc w:val="both"/>
              <w:rPr>
                <w:rFonts w:cstheme="minorHAnsi"/>
                <w:b/>
                <w:bCs/>
                <w:sz w:val="20"/>
                <w:szCs w:val="20"/>
              </w:rPr>
            </w:pPr>
            <w:r w:rsidRPr="003E4E68">
              <w:rPr>
                <w:rFonts w:cstheme="minorHAnsi"/>
                <w:b/>
                <w:bCs/>
                <w:sz w:val="20"/>
                <w:szCs w:val="20"/>
              </w:rPr>
              <w:t>Rating of the Achievement</w:t>
            </w:r>
          </w:p>
        </w:tc>
      </w:tr>
      <w:tr w:rsidR="00C12C91" w:rsidRPr="003E4E68" w14:paraId="717DF478" w14:textId="77777777" w:rsidTr="00192882">
        <w:tc>
          <w:tcPr>
            <w:tcW w:w="2307" w:type="pct"/>
            <w:vMerge/>
          </w:tcPr>
          <w:p w14:paraId="15CD7539" w14:textId="77777777" w:rsidR="00C12C91" w:rsidRPr="003E4E68" w:rsidRDefault="00C12C91" w:rsidP="00192882">
            <w:pPr>
              <w:jc w:val="both"/>
              <w:rPr>
                <w:rFonts w:cstheme="minorHAnsi"/>
                <w:b/>
                <w:bCs/>
                <w:sz w:val="20"/>
                <w:szCs w:val="20"/>
              </w:rPr>
            </w:pPr>
          </w:p>
        </w:tc>
        <w:tc>
          <w:tcPr>
            <w:tcW w:w="722" w:type="pct"/>
            <w:vMerge/>
          </w:tcPr>
          <w:p w14:paraId="0616CBA0" w14:textId="77777777" w:rsidR="00C12C91" w:rsidRPr="003E4E68" w:rsidRDefault="00C12C91" w:rsidP="00192882">
            <w:pPr>
              <w:jc w:val="both"/>
              <w:rPr>
                <w:rFonts w:cstheme="minorHAnsi"/>
                <w:b/>
                <w:bCs/>
                <w:sz w:val="20"/>
                <w:szCs w:val="20"/>
              </w:rPr>
            </w:pPr>
          </w:p>
        </w:tc>
        <w:tc>
          <w:tcPr>
            <w:tcW w:w="529" w:type="pct"/>
          </w:tcPr>
          <w:p w14:paraId="338E6A47" w14:textId="77777777" w:rsidR="00C12C91" w:rsidRPr="003E4E68" w:rsidRDefault="00C12C91" w:rsidP="00192882">
            <w:pPr>
              <w:jc w:val="both"/>
              <w:rPr>
                <w:rFonts w:cstheme="minorHAnsi"/>
                <w:b/>
                <w:bCs/>
                <w:sz w:val="20"/>
                <w:szCs w:val="20"/>
              </w:rPr>
            </w:pPr>
            <w:r w:rsidRPr="003E4E68">
              <w:rPr>
                <w:rFonts w:cstheme="minorHAnsi"/>
                <w:b/>
                <w:bCs/>
                <w:sz w:val="20"/>
                <w:szCs w:val="20"/>
              </w:rPr>
              <w:t>Red</w:t>
            </w:r>
          </w:p>
        </w:tc>
        <w:tc>
          <w:tcPr>
            <w:tcW w:w="484" w:type="pct"/>
          </w:tcPr>
          <w:p w14:paraId="799005A0" w14:textId="77777777" w:rsidR="00C12C91" w:rsidRPr="003E4E68" w:rsidRDefault="00C12C91" w:rsidP="00192882">
            <w:pPr>
              <w:jc w:val="both"/>
              <w:rPr>
                <w:rFonts w:cstheme="minorHAnsi"/>
                <w:b/>
                <w:bCs/>
                <w:sz w:val="20"/>
                <w:szCs w:val="20"/>
              </w:rPr>
            </w:pPr>
            <w:r w:rsidRPr="003E4E68">
              <w:rPr>
                <w:rFonts w:cstheme="minorHAnsi"/>
                <w:b/>
                <w:bCs/>
                <w:sz w:val="20"/>
                <w:szCs w:val="20"/>
              </w:rPr>
              <w:t>Yellow</w:t>
            </w:r>
          </w:p>
        </w:tc>
        <w:tc>
          <w:tcPr>
            <w:tcW w:w="957" w:type="pct"/>
          </w:tcPr>
          <w:p w14:paraId="2534B12E" w14:textId="77777777" w:rsidR="00C12C91" w:rsidRPr="003E4E68" w:rsidRDefault="00C12C91" w:rsidP="00192882">
            <w:pPr>
              <w:jc w:val="both"/>
              <w:rPr>
                <w:rFonts w:cstheme="minorHAnsi"/>
                <w:b/>
                <w:bCs/>
                <w:sz w:val="20"/>
                <w:szCs w:val="20"/>
              </w:rPr>
            </w:pPr>
            <w:r w:rsidRPr="003E4E68">
              <w:rPr>
                <w:rFonts w:cstheme="minorHAnsi"/>
                <w:b/>
                <w:bCs/>
                <w:sz w:val="20"/>
                <w:szCs w:val="20"/>
              </w:rPr>
              <w:t>Green</w:t>
            </w:r>
          </w:p>
        </w:tc>
      </w:tr>
      <w:tr w:rsidR="00C12C91" w:rsidRPr="003E4E68" w14:paraId="7F10382D" w14:textId="77777777" w:rsidTr="00192882">
        <w:tc>
          <w:tcPr>
            <w:tcW w:w="2307" w:type="pct"/>
          </w:tcPr>
          <w:p w14:paraId="081899BB" w14:textId="77777777" w:rsidR="00C12C91" w:rsidRPr="003E4E68" w:rsidRDefault="00C12C91" w:rsidP="00192882">
            <w:pPr>
              <w:jc w:val="both"/>
              <w:rPr>
                <w:rFonts w:eastAsia="Times New Roman" w:cstheme="minorHAnsi"/>
                <w:sz w:val="20"/>
                <w:szCs w:val="20"/>
                <w:lang w:val="en-GB"/>
              </w:rPr>
            </w:pPr>
            <w:r w:rsidRPr="003E4E68">
              <w:rPr>
                <w:rFonts w:eastAsia="Times New Roman" w:cstheme="minorHAnsi"/>
                <w:sz w:val="20"/>
                <w:szCs w:val="20"/>
                <w:lang w:val="en-GB"/>
              </w:rPr>
              <w:t>Output 1 – Political processes of federal and regional state legislative bodies are Inclusive and effectively delivering on their constitutional mandates</w:t>
            </w:r>
          </w:p>
        </w:tc>
        <w:tc>
          <w:tcPr>
            <w:tcW w:w="722" w:type="pct"/>
          </w:tcPr>
          <w:p w14:paraId="32CE5168" w14:textId="77777777" w:rsidR="00C12C91" w:rsidRPr="003E4E68" w:rsidRDefault="00C12C91" w:rsidP="00192882">
            <w:pPr>
              <w:jc w:val="both"/>
              <w:rPr>
                <w:rFonts w:cstheme="minorHAnsi"/>
                <w:sz w:val="20"/>
                <w:szCs w:val="20"/>
              </w:rPr>
            </w:pPr>
            <w:r w:rsidRPr="003E4E68">
              <w:rPr>
                <w:rFonts w:cstheme="minorHAnsi"/>
                <w:b/>
                <w:bCs/>
                <w:sz w:val="20"/>
                <w:szCs w:val="20"/>
              </w:rPr>
              <w:t>86.5%</w:t>
            </w:r>
          </w:p>
        </w:tc>
        <w:tc>
          <w:tcPr>
            <w:tcW w:w="529" w:type="pct"/>
          </w:tcPr>
          <w:p w14:paraId="3015DEA5" w14:textId="77777777" w:rsidR="00C12C91" w:rsidRPr="003E4E68" w:rsidRDefault="00C12C91" w:rsidP="00192882">
            <w:pPr>
              <w:jc w:val="both"/>
              <w:rPr>
                <w:rFonts w:cstheme="minorHAnsi"/>
                <w:b/>
                <w:bCs/>
                <w:sz w:val="20"/>
                <w:szCs w:val="20"/>
              </w:rPr>
            </w:pPr>
          </w:p>
        </w:tc>
        <w:tc>
          <w:tcPr>
            <w:tcW w:w="484" w:type="pct"/>
            <w:shd w:val="clear" w:color="auto" w:fill="FFFFFF" w:themeFill="background1"/>
          </w:tcPr>
          <w:p w14:paraId="520B2DF1" w14:textId="77777777" w:rsidR="00C12C91" w:rsidRPr="003E4E68" w:rsidRDefault="00C12C91" w:rsidP="00192882">
            <w:pPr>
              <w:jc w:val="both"/>
              <w:rPr>
                <w:rFonts w:cstheme="minorHAnsi"/>
                <w:b/>
                <w:bCs/>
                <w:sz w:val="20"/>
                <w:szCs w:val="20"/>
              </w:rPr>
            </w:pPr>
          </w:p>
        </w:tc>
        <w:tc>
          <w:tcPr>
            <w:tcW w:w="957" w:type="pct"/>
            <w:shd w:val="clear" w:color="auto" w:fill="00B050"/>
          </w:tcPr>
          <w:p w14:paraId="11EE53C4" w14:textId="77777777" w:rsidR="00C12C91" w:rsidRPr="003E4E68" w:rsidRDefault="00C12C91" w:rsidP="00192882">
            <w:pPr>
              <w:jc w:val="both"/>
              <w:rPr>
                <w:rFonts w:cstheme="minorHAnsi"/>
                <w:b/>
                <w:bCs/>
                <w:sz w:val="20"/>
                <w:szCs w:val="20"/>
              </w:rPr>
            </w:pPr>
          </w:p>
        </w:tc>
      </w:tr>
      <w:tr w:rsidR="00C12C91" w:rsidRPr="003E4E68" w14:paraId="525195C2" w14:textId="77777777" w:rsidTr="00192882">
        <w:trPr>
          <w:trHeight w:val="548"/>
        </w:trPr>
        <w:tc>
          <w:tcPr>
            <w:tcW w:w="2307" w:type="pct"/>
          </w:tcPr>
          <w:p w14:paraId="2C481C79" w14:textId="77777777" w:rsidR="00C12C91" w:rsidRPr="003E4E68" w:rsidRDefault="00C12C91" w:rsidP="00192882">
            <w:pPr>
              <w:jc w:val="both"/>
              <w:rPr>
                <w:rFonts w:cstheme="minorHAnsi"/>
                <w:b/>
                <w:bCs/>
                <w:sz w:val="20"/>
                <w:szCs w:val="20"/>
              </w:rPr>
            </w:pPr>
            <w:r w:rsidRPr="003E4E68">
              <w:rPr>
                <w:rFonts w:eastAsia="Times New Roman" w:cstheme="minorHAnsi"/>
                <w:sz w:val="20"/>
                <w:szCs w:val="20"/>
                <w:lang w:val="en-GB"/>
              </w:rPr>
              <w:t>Output 2: Federal and regional state systems of governance are more accountable, transparent and are delivering services in inclusive and responsive ways</w:t>
            </w:r>
          </w:p>
        </w:tc>
        <w:tc>
          <w:tcPr>
            <w:tcW w:w="722" w:type="pct"/>
          </w:tcPr>
          <w:p w14:paraId="657906D3" w14:textId="77777777" w:rsidR="00C12C91" w:rsidRPr="003E4E68" w:rsidRDefault="00C12C91" w:rsidP="00192882">
            <w:pPr>
              <w:jc w:val="both"/>
              <w:rPr>
                <w:rFonts w:cstheme="minorHAnsi"/>
                <w:sz w:val="20"/>
                <w:szCs w:val="20"/>
              </w:rPr>
            </w:pPr>
            <w:r w:rsidRPr="003E4E68">
              <w:rPr>
                <w:rFonts w:cstheme="minorHAnsi"/>
                <w:b/>
                <w:bCs/>
                <w:sz w:val="20"/>
                <w:szCs w:val="20"/>
              </w:rPr>
              <w:t>100%</w:t>
            </w:r>
          </w:p>
        </w:tc>
        <w:tc>
          <w:tcPr>
            <w:tcW w:w="529" w:type="pct"/>
          </w:tcPr>
          <w:p w14:paraId="6F07C7AF" w14:textId="77777777" w:rsidR="00C12C91" w:rsidRPr="003E4E68" w:rsidRDefault="00C12C91" w:rsidP="00192882">
            <w:pPr>
              <w:jc w:val="both"/>
              <w:rPr>
                <w:rFonts w:cstheme="minorHAnsi"/>
                <w:b/>
                <w:bCs/>
                <w:sz w:val="20"/>
                <w:szCs w:val="20"/>
              </w:rPr>
            </w:pPr>
          </w:p>
        </w:tc>
        <w:tc>
          <w:tcPr>
            <w:tcW w:w="484" w:type="pct"/>
            <w:shd w:val="clear" w:color="auto" w:fill="FFFFFF" w:themeFill="background1"/>
          </w:tcPr>
          <w:p w14:paraId="18846828" w14:textId="77777777" w:rsidR="00C12C91" w:rsidRPr="003E4E68" w:rsidRDefault="00C12C91" w:rsidP="00192882">
            <w:pPr>
              <w:jc w:val="both"/>
              <w:rPr>
                <w:rFonts w:cstheme="minorHAnsi"/>
                <w:b/>
                <w:bCs/>
                <w:sz w:val="20"/>
                <w:szCs w:val="20"/>
              </w:rPr>
            </w:pPr>
          </w:p>
        </w:tc>
        <w:tc>
          <w:tcPr>
            <w:tcW w:w="957" w:type="pct"/>
            <w:shd w:val="clear" w:color="auto" w:fill="00B050"/>
          </w:tcPr>
          <w:p w14:paraId="2A9C8972" w14:textId="77777777" w:rsidR="00C12C91" w:rsidRPr="003E4E68" w:rsidRDefault="00C12C91" w:rsidP="00192882">
            <w:pPr>
              <w:jc w:val="both"/>
              <w:rPr>
                <w:rFonts w:cstheme="minorHAnsi"/>
                <w:b/>
                <w:bCs/>
                <w:sz w:val="20"/>
                <w:szCs w:val="20"/>
              </w:rPr>
            </w:pPr>
          </w:p>
        </w:tc>
      </w:tr>
      <w:tr w:rsidR="00C12C91" w:rsidRPr="003E4E68" w14:paraId="5C09F3CD" w14:textId="77777777" w:rsidTr="00192882">
        <w:tc>
          <w:tcPr>
            <w:tcW w:w="2307" w:type="pct"/>
          </w:tcPr>
          <w:p w14:paraId="1EEB07EC" w14:textId="77777777" w:rsidR="00C12C91" w:rsidRPr="003E4E68" w:rsidRDefault="00C12C91" w:rsidP="00192882">
            <w:pPr>
              <w:jc w:val="both"/>
              <w:rPr>
                <w:rFonts w:eastAsia="Times New Roman" w:cstheme="minorHAnsi"/>
                <w:sz w:val="20"/>
                <w:szCs w:val="20"/>
                <w:lang w:val="en-GB"/>
              </w:rPr>
            </w:pPr>
            <w:r w:rsidRPr="003E4E68">
              <w:rPr>
                <w:rFonts w:eastAsia="Times New Roman" w:cstheme="minorHAnsi"/>
                <w:sz w:val="20"/>
                <w:szCs w:val="20"/>
                <w:lang w:val="en-GB"/>
              </w:rPr>
              <w:t>Output 3: Citizens are empowered to voice their concerns and participate in decision-making and political processes at all levels of governance</w:t>
            </w:r>
          </w:p>
        </w:tc>
        <w:tc>
          <w:tcPr>
            <w:tcW w:w="722" w:type="pct"/>
          </w:tcPr>
          <w:p w14:paraId="399BB769" w14:textId="77777777" w:rsidR="00C12C91" w:rsidRPr="003E4E68" w:rsidRDefault="00C12C91" w:rsidP="00192882">
            <w:pPr>
              <w:jc w:val="both"/>
              <w:rPr>
                <w:rFonts w:cstheme="minorHAnsi"/>
                <w:sz w:val="20"/>
                <w:szCs w:val="20"/>
              </w:rPr>
            </w:pPr>
            <w:r w:rsidRPr="003E4E68">
              <w:rPr>
                <w:rFonts w:cstheme="minorHAnsi"/>
                <w:b/>
                <w:bCs/>
                <w:sz w:val="20"/>
                <w:szCs w:val="20"/>
              </w:rPr>
              <w:t>97.7%</w:t>
            </w:r>
          </w:p>
        </w:tc>
        <w:tc>
          <w:tcPr>
            <w:tcW w:w="529" w:type="pct"/>
          </w:tcPr>
          <w:p w14:paraId="25D80658" w14:textId="77777777" w:rsidR="00C12C91" w:rsidRPr="003E4E68" w:rsidRDefault="00C12C91" w:rsidP="00192882">
            <w:pPr>
              <w:jc w:val="both"/>
              <w:rPr>
                <w:rFonts w:cstheme="minorHAnsi"/>
                <w:b/>
                <w:bCs/>
                <w:sz w:val="20"/>
                <w:szCs w:val="20"/>
              </w:rPr>
            </w:pPr>
          </w:p>
        </w:tc>
        <w:tc>
          <w:tcPr>
            <w:tcW w:w="484" w:type="pct"/>
            <w:shd w:val="clear" w:color="auto" w:fill="auto"/>
          </w:tcPr>
          <w:p w14:paraId="6B783795" w14:textId="77777777" w:rsidR="00C12C91" w:rsidRPr="003E4E68" w:rsidRDefault="00C12C91" w:rsidP="00192882">
            <w:pPr>
              <w:jc w:val="both"/>
              <w:rPr>
                <w:rFonts w:cstheme="minorHAnsi"/>
                <w:b/>
                <w:bCs/>
                <w:sz w:val="20"/>
                <w:szCs w:val="20"/>
              </w:rPr>
            </w:pPr>
          </w:p>
        </w:tc>
        <w:tc>
          <w:tcPr>
            <w:tcW w:w="957" w:type="pct"/>
            <w:shd w:val="clear" w:color="auto" w:fill="00B050"/>
          </w:tcPr>
          <w:p w14:paraId="7DF93241" w14:textId="77777777" w:rsidR="00C12C91" w:rsidRPr="003E4E68" w:rsidRDefault="00C12C91" w:rsidP="00192882">
            <w:pPr>
              <w:jc w:val="both"/>
              <w:rPr>
                <w:rFonts w:cstheme="minorHAnsi"/>
                <w:b/>
                <w:bCs/>
                <w:sz w:val="20"/>
                <w:szCs w:val="20"/>
              </w:rPr>
            </w:pPr>
          </w:p>
        </w:tc>
      </w:tr>
      <w:tr w:rsidR="00C12C91" w:rsidRPr="003E4E68" w14:paraId="6617D746" w14:textId="77777777" w:rsidTr="00192882">
        <w:tc>
          <w:tcPr>
            <w:tcW w:w="2307" w:type="pct"/>
          </w:tcPr>
          <w:p w14:paraId="04DAF9FC" w14:textId="77777777" w:rsidR="00C12C91" w:rsidRPr="003E4E68" w:rsidRDefault="00C12C91" w:rsidP="00192882">
            <w:pPr>
              <w:jc w:val="both"/>
              <w:rPr>
                <w:rFonts w:eastAsia="Times New Roman" w:cstheme="minorHAnsi"/>
                <w:sz w:val="20"/>
                <w:szCs w:val="20"/>
                <w:lang w:val="en-GB"/>
              </w:rPr>
            </w:pPr>
            <w:r w:rsidRPr="003E4E68">
              <w:rPr>
                <w:rFonts w:eastAsia="Times New Roman" w:cstheme="minorHAnsi"/>
                <w:sz w:val="20"/>
                <w:szCs w:val="20"/>
                <w:lang w:val="en-GB"/>
              </w:rPr>
              <w:t>Output 4: Systems and mechanisms for promoting social cohesion, managing diversity, preventing, and managing conflicts, fostering dialogues, and building peace are further strengthened at national, regional, and local levels</w:t>
            </w:r>
          </w:p>
        </w:tc>
        <w:tc>
          <w:tcPr>
            <w:tcW w:w="722" w:type="pct"/>
          </w:tcPr>
          <w:p w14:paraId="5FB4EB59" w14:textId="77777777" w:rsidR="00C12C91" w:rsidRPr="003E4E68" w:rsidRDefault="00C12C91" w:rsidP="00192882">
            <w:pPr>
              <w:jc w:val="both"/>
              <w:rPr>
                <w:rFonts w:cstheme="minorHAnsi"/>
                <w:sz w:val="20"/>
                <w:szCs w:val="20"/>
              </w:rPr>
            </w:pPr>
            <w:r w:rsidRPr="003E4E68">
              <w:rPr>
                <w:rFonts w:cstheme="minorHAnsi"/>
                <w:b/>
                <w:bCs/>
                <w:sz w:val="20"/>
                <w:szCs w:val="20"/>
              </w:rPr>
              <w:t>87.5%</w:t>
            </w:r>
          </w:p>
        </w:tc>
        <w:tc>
          <w:tcPr>
            <w:tcW w:w="529" w:type="pct"/>
          </w:tcPr>
          <w:p w14:paraId="3AB59504" w14:textId="77777777" w:rsidR="00C12C91" w:rsidRPr="003E4E68" w:rsidRDefault="00C12C91" w:rsidP="00192882">
            <w:pPr>
              <w:jc w:val="both"/>
              <w:rPr>
                <w:rFonts w:cstheme="minorHAnsi"/>
                <w:b/>
                <w:bCs/>
                <w:sz w:val="20"/>
                <w:szCs w:val="20"/>
              </w:rPr>
            </w:pPr>
          </w:p>
        </w:tc>
        <w:tc>
          <w:tcPr>
            <w:tcW w:w="484" w:type="pct"/>
            <w:shd w:val="clear" w:color="auto" w:fill="auto"/>
          </w:tcPr>
          <w:p w14:paraId="63229291" w14:textId="77777777" w:rsidR="00C12C91" w:rsidRPr="003E4E68" w:rsidRDefault="00C12C91" w:rsidP="00192882">
            <w:pPr>
              <w:jc w:val="both"/>
              <w:rPr>
                <w:rFonts w:cstheme="minorHAnsi"/>
                <w:b/>
                <w:bCs/>
                <w:sz w:val="20"/>
                <w:szCs w:val="20"/>
              </w:rPr>
            </w:pPr>
          </w:p>
        </w:tc>
        <w:tc>
          <w:tcPr>
            <w:tcW w:w="957" w:type="pct"/>
            <w:shd w:val="clear" w:color="auto" w:fill="00B050"/>
          </w:tcPr>
          <w:p w14:paraId="405DB5E5" w14:textId="77777777" w:rsidR="00C12C91" w:rsidRPr="003E4E68" w:rsidRDefault="00C12C91" w:rsidP="00192882">
            <w:pPr>
              <w:jc w:val="both"/>
              <w:rPr>
                <w:rFonts w:cstheme="minorHAnsi"/>
                <w:b/>
                <w:bCs/>
                <w:sz w:val="20"/>
                <w:szCs w:val="20"/>
              </w:rPr>
            </w:pPr>
          </w:p>
        </w:tc>
      </w:tr>
      <w:tr w:rsidR="00C12C91" w:rsidRPr="003E4E68" w14:paraId="66A3AA3D" w14:textId="77777777" w:rsidTr="00192882">
        <w:tc>
          <w:tcPr>
            <w:tcW w:w="2307" w:type="pct"/>
          </w:tcPr>
          <w:p w14:paraId="3BAA8467" w14:textId="77777777" w:rsidR="00C12C91" w:rsidRPr="003E4E68" w:rsidRDefault="00C12C91" w:rsidP="00192882">
            <w:pPr>
              <w:jc w:val="both"/>
              <w:rPr>
                <w:rFonts w:cstheme="minorHAnsi"/>
                <w:b/>
                <w:bCs/>
                <w:sz w:val="20"/>
                <w:szCs w:val="20"/>
              </w:rPr>
            </w:pPr>
            <w:r w:rsidRPr="003E4E68">
              <w:rPr>
                <w:rFonts w:eastAsia="Times New Roman" w:cstheme="minorHAnsi"/>
                <w:sz w:val="20"/>
                <w:szCs w:val="20"/>
                <w:lang w:val="en-GB"/>
              </w:rPr>
              <w:t>Output 5: Enhance access to justice and promote and protect human rights in Ethiopia</w:t>
            </w:r>
          </w:p>
        </w:tc>
        <w:tc>
          <w:tcPr>
            <w:tcW w:w="722" w:type="pct"/>
          </w:tcPr>
          <w:p w14:paraId="17A63372" w14:textId="77777777" w:rsidR="00C12C91" w:rsidRPr="003E4E68" w:rsidRDefault="00C12C91" w:rsidP="00192882">
            <w:pPr>
              <w:jc w:val="both"/>
              <w:rPr>
                <w:rFonts w:cstheme="minorHAnsi"/>
                <w:b/>
                <w:bCs/>
                <w:sz w:val="20"/>
                <w:szCs w:val="20"/>
              </w:rPr>
            </w:pPr>
            <w:r w:rsidRPr="003E4E68">
              <w:rPr>
                <w:rFonts w:cstheme="minorHAnsi"/>
                <w:b/>
                <w:bCs/>
                <w:sz w:val="20"/>
                <w:szCs w:val="20"/>
              </w:rPr>
              <w:t>147.5%</w:t>
            </w:r>
          </w:p>
        </w:tc>
        <w:tc>
          <w:tcPr>
            <w:tcW w:w="529" w:type="pct"/>
          </w:tcPr>
          <w:p w14:paraId="5E104F97" w14:textId="77777777" w:rsidR="00C12C91" w:rsidRPr="003E4E68" w:rsidRDefault="00C12C91" w:rsidP="00192882">
            <w:pPr>
              <w:jc w:val="both"/>
              <w:rPr>
                <w:rFonts w:cstheme="minorHAnsi"/>
                <w:b/>
                <w:bCs/>
                <w:sz w:val="20"/>
                <w:szCs w:val="20"/>
              </w:rPr>
            </w:pPr>
          </w:p>
        </w:tc>
        <w:tc>
          <w:tcPr>
            <w:tcW w:w="484" w:type="pct"/>
            <w:shd w:val="clear" w:color="auto" w:fill="FFFFFF" w:themeFill="background1"/>
          </w:tcPr>
          <w:p w14:paraId="32CA3005" w14:textId="77777777" w:rsidR="00C12C91" w:rsidRPr="003E4E68" w:rsidRDefault="00C12C91" w:rsidP="00192882">
            <w:pPr>
              <w:jc w:val="both"/>
              <w:rPr>
                <w:rFonts w:cstheme="minorHAnsi"/>
                <w:b/>
                <w:bCs/>
                <w:sz w:val="20"/>
                <w:szCs w:val="20"/>
              </w:rPr>
            </w:pPr>
          </w:p>
        </w:tc>
        <w:tc>
          <w:tcPr>
            <w:tcW w:w="957" w:type="pct"/>
            <w:shd w:val="clear" w:color="auto" w:fill="00B050"/>
          </w:tcPr>
          <w:p w14:paraId="11A0F354" w14:textId="77777777" w:rsidR="00C12C91" w:rsidRPr="003E4E68" w:rsidRDefault="00C12C91" w:rsidP="00192882">
            <w:pPr>
              <w:jc w:val="both"/>
              <w:rPr>
                <w:rFonts w:cstheme="minorHAnsi"/>
                <w:b/>
                <w:bCs/>
                <w:sz w:val="20"/>
                <w:szCs w:val="20"/>
              </w:rPr>
            </w:pPr>
          </w:p>
        </w:tc>
      </w:tr>
    </w:tbl>
    <w:p w14:paraId="3ED75B91" w14:textId="77777777" w:rsidR="00F16D90" w:rsidRPr="00F16D90" w:rsidRDefault="00F16D90" w:rsidP="00F16D90">
      <w:pPr>
        <w:pStyle w:val="ListParagraph"/>
        <w:spacing w:line="360" w:lineRule="auto"/>
        <w:ind w:left="360"/>
        <w:jc w:val="both"/>
        <w:rPr>
          <w:rFonts w:eastAsia="Times New Roman" w:cstheme="minorHAnsi"/>
          <w:bCs/>
          <w:iCs/>
          <w:bdr w:val="none" w:sz="0" w:space="0" w:color="auto" w:frame="1"/>
          <w:lang w:eastAsia="en-CA"/>
        </w:rPr>
      </w:pPr>
    </w:p>
    <w:p w14:paraId="7C804F74" w14:textId="438E22BC" w:rsidR="00C12C91" w:rsidRPr="00FC6960" w:rsidRDefault="00C12C91" w:rsidP="00FB4347">
      <w:pPr>
        <w:pStyle w:val="ListParagraph"/>
        <w:numPr>
          <w:ilvl w:val="0"/>
          <w:numId w:val="3"/>
        </w:numPr>
        <w:spacing w:line="240" w:lineRule="auto"/>
        <w:jc w:val="both"/>
        <w:rPr>
          <w:rFonts w:eastAsia="Times New Roman" w:cstheme="minorHAnsi"/>
          <w:bCs/>
          <w:iCs/>
          <w:bdr w:val="none" w:sz="0" w:space="0" w:color="auto" w:frame="1"/>
          <w:lang w:eastAsia="en-CA"/>
        </w:rPr>
      </w:pPr>
      <w:r>
        <w:rPr>
          <w:rFonts w:eastAsia="Times New Roman" w:cstheme="minorHAnsi"/>
          <w:lang w:eastAsia="en-CA"/>
        </w:rPr>
        <w:t>Based on the above, i</w:t>
      </w:r>
      <w:r w:rsidRPr="00FD0C06">
        <w:rPr>
          <w:rFonts w:eastAsia="Times New Roman" w:cstheme="minorHAnsi"/>
          <w:lang w:eastAsia="en-CA"/>
        </w:rPr>
        <w:t xml:space="preserve">t </w:t>
      </w:r>
      <w:r>
        <w:rPr>
          <w:rFonts w:eastAsia="Times New Roman" w:cstheme="minorHAnsi"/>
          <w:lang w:eastAsia="en-CA"/>
        </w:rPr>
        <w:t>can</w:t>
      </w:r>
      <w:r w:rsidRPr="00FD0C06">
        <w:rPr>
          <w:rFonts w:eastAsia="Times New Roman" w:cstheme="minorHAnsi"/>
          <w:lang w:eastAsia="en-CA"/>
        </w:rPr>
        <w:t xml:space="preserve"> </w:t>
      </w:r>
      <w:r>
        <w:rPr>
          <w:rFonts w:eastAsia="Times New Roman" w:cstheme="minorHAnsi"/>
          <w:lang w:eastAsia="en-CA"/>
        </w:rPr>
        <w:t xml:space="preserve">therefore be argued that the GDPP </w:t>
      </w:r>
      <w:r w:rsidRPr="00FD0C06">
        <w:rPr>
          <w:rFonts w:eastAsia="Times New Roman" w:cstheme="minorHAnsi"/>
          <w:lang w:eastAsia="en-CA"/>
        </w:rPr>
        <w:t xml:space="preserve">has </w:t>
      </w:r>
      <w:r>
        <w:rPr>
          <w:rFonts w:eastAsia="Times New Roman" w:cstheme="minorHAnsi"/>
          <w:lang w:eastAsia="en-CA"/>
        </w:rPr>
        <w:t xml:space="preserve">effectively </w:t>
      </w:r>
      <w:r w:rsidRPr="005E251F">
        <w:rPr>
          <w:rFonts w:eastAsia="Times New Roman" w:cstheme="minorHAnsi"/>
          <w:lang w:eastAsia="en-CA"/>
        </w:rPr>
        <w:t>achieved its objective to</w:t>
      </w:r>
      <w:r w:rsidRPr="00FD0C06">
        <w:rPr>
          <w:rFonts w:eastAsia="Times New Roman" w:cstheme="minorHAnsi"/>
          <w:lang w:eastAsia="en-CA"/>
        </w:rPr>
        <w:t xml:space="preserve"> “further advance good governance and entrench democratic principles at all levels and across the country.” For instance, the guidelines and manuals, laws, new structure, digital systems, promotion materials and assessments funded by the GDPP are implemented and have improved work systems, networking and collaboration among stakeholders, their </w:t>
      </w:r>
      <w:proofErr w:type="gramStart"/>
      <w:r w:rsidRPr="00FD0C06">
        <w:rPr>
          <w:rFonts w:eastAsia="Times New Roman" w:cstheme="minorHAnsi"/>
          <w:lang w:eastAsia="en-CA"/>
        </w:rPr>
        <w:t>institutions</w:t>
      </w:r>
      <w:proofErr w:type="gramEnd"/>
      <w:r w:rsidRPr="00FD0C06">
        <w:rPr>
          <w:rFonts w:eastAsia="Times New Roman" w:cstheme="minorHAnsi"/>
          <w:lang w:eastAsia="en-CA"/>
        </w:rPr>
        <w:t xml:space="preserve"> and internal staffs. However, given the poorly defined results framework, it is difficult to </w:t>
      </w:r>
      <w:r>
        <w:rPr>
          <w:rFonts w:eastAsia="Times New Roman" w:cstheme="minorHAnsi"/>
          <w:lang w:eastAsia="en-CA"/>
        </w:rPr>
        <w:t>conclusively determine</w:t>
      </w:r>
      <w:r w:rsidRPr="00FD0C06">
        <w:rPr>
          <w:rFonts w:eastAsia="Times New Roman" w:cstheme="minorHAnsi"/>
          <w:lang w:eastAsia="en-CA"/>
        </w:rPr>
        <w:t xml:space="preserve"> how effective the actual contribution the GDPP has been.</w:t>
      </w:r>
      <w:r>
        <w:rPr>
          <w:rStyle w:val="FootnoteReference"/>
          <w:rFonts w:eastAsia="Times New Roman" w:cstheme="minorHAnsi"/>
          <w:lang w:eastAsia="en-CA"/>
        </w:rPr>
        <w:footnoteReference w:id="42"/>
      </w:r>
    </w:p>
    <w:p w14:paraId="617514E4" w14:textId="77777777" w:rsidR="00C12C91" w:rsidRPr="00FC6960" w:rsidRDefault="00C12C91" w:rsidP="00FB4347">
      <w:pPr>
        <w:pStyle w:val="ListParagraph"/>
        <w:spacing w:after="0" w:line="240" w:lineRule="auto"/>
        <w:rPr>
          <w:rFonts w:eastAsia="Times New Roman" w:cstheme="minorHAnsi"/>
          <w:bCs/>
          <w:iCs/>
          <w:bdr w:val="none" w:sz="0" w:space="0" w:color="auto" w:frame="1"/>
          <w:lang w:eastAsia="en-CA"/>
        </w:rPr>
      </w:pPr>
    </w:p>
    <w:p w14:paraId="63AF637D" w14:textId="77777777" w:rsidR="00C12C91" w:rsidRDefault="00C12C91" w:rsidP="00FB4347">
      <w:pPr>
        <w:spacing w:line="240" w:lineRule="auto"/>
        <w:ind w:firstLine="450"/>
      </w:pPr>
      <w:r>
        <w:t>Specific comments from interviewees:</w:t>
      </w:r>
    </w:p>
    <w:p w14:paraId="5A88AB7E" w14:textId="77777777" w:rsidR="00C12C91" w:rsidRPr="00FB45B2" w:rsidRDefault="00C12C91" w:rsidP="00FB4347">
      <w:pPr>
        <w:spacing w:line="240" w:lineRule="auto"/>
        <w:ind w:left="720"/>
        <w:contextualSpacing/>
      </w:pPr>
    </w:p>
    <w:p w14:paraId="4827EEFE" w14:textId="77777777" w:rsidR="00C12C91" w:rsidRPr="00FB45B2" w:rsidRDefault="00C12C91" w:rsidP="00FB4347">
      <w:pPr>
        <w:numPr>
          <w:ilvl w:val="0"/>
          <w:numId w:val="10"/>
        </w:numPr>
        <w:spacing w:line="240" w:lineRule="auto"/>
        <w:contextualSpacing/>
        <w:jc w:val="both"/>
      </w:pPr>
      <w:r w:rsidRPr="00FB45B2">
        <w:t>Because the GDPP has been implemented at the federal level, it has been less effective in reaching the people in the regions.</w:t>
      </w:r>
    </w:p>
    <w:p w14:paraId="3F086788" w14:textId="77777777" w:rsidR="00C12C91" w:rsidRPr="00FB45B2" w:rsidRDefault="00C12C91" w:rsidP="00FB4347">
      <w:pPr>
        <w:numPr>
          <w:ilvl w:val="0"/>
          <w:numId w:val="10"/>
        </w:numPr>
        <w:spacing w:line="240" w:lineRule="auto"/>
        <w:contextualSpacing/>
        <w:jc w:val="both"/>
      </w:pPr>
      <w:r w:rsidRPr="00FB45B2">
        <w:t>Many initiatives have not been possible to implement at regional levels because of centralised decision making, resource limitations and weak local capacity.</w:t>
      </w:r>
    </w:p>
    <w:p w14:paraId="40789D67" w14:textId="77777777" w:rsidR="00C12C91" w:rsidRPr="00FB45B2" w:rsidRDefault="00C12C91" w:rsidP="00FB4347">
      <w:pPr>
        <w:numPr>
          <w:ilvl w:val="0"/>
          <w:numId w:val="10"/>
        </w:numPr>
        <w:spacing w:line="240" w:lineRule="auto"/>
        <w:contextualSpacing/>
        <w:jc w:val="both"/>
      </w:pPr>
      <w:r w:rsidRPr="00FB45B2">
        <w:t xml:space="preserve">The programme has not been inclusive in terms of its support for women, </w:t>
      </w:r>
      <w:proofErr w:type="gramStart"/>
      <w:r w:rsidRPr="00FB45B2">
        <w:t>youth</w:t>
      </w:r>
      <w:proofErr w:type="gramEnd"/>
      <w:r w:rsidRPr="00FB45B2">
        <w:t xml:space="preserve"> and people with disabilities.</w:t>
      </w:r>
    </w:p>
    <w:p w14:paraId="6E3B5FD1" w14:textId="77777777" w:rsidR="00C12C91" w:rsidRDefault="00C12C91" w:rsidP="00FB4347">
      <w:pPr>
        <w:spacing w:after="0" w:line="240" w:lineRule="auto"/>
        <w:jc w:val="both"/>
        <w:rPr>
          <w:rFonts w:eastAsia="Times New Roman" w:cstheme="minorHAnsi"/>
          <w:b/>
          <w:lang w:eastAsia="en-CA"/>
        </w:rPr>
      </w:pPr>
    </w:p>
    <w:p w14:paraId="76D7C83D" w14:textId="77777777" w:rsidR="00C12C91" w:rsidRPr="009B5969" w:rsidRDefault="00C12C91" w:rsidP="00FB4347">
      <w:pPr>
        <w:spacing w:after="0" w:line="240" w:lineRule="auto"/>
        <w:jc w:val="both"/>
        <w:rPr>
          <w:rFonts w:eastAsia="Times New Roman" w:cstheme="minorHAnsi"/>
          <w:lang w:eastAsia="en-CA"/>
        </w:rPr>
      </w:pPr>
      <w:r w:rsidRPr="009B5969">
        <w:rPr>
          <w:rFonts w:eastAsia="Times New Roman" w:cstheme="minorHAnsi"/>
          <w:b/>
          <w:lang w:eastAsia="en-CA"/>
        </w:rPr>
        <w:t>3.1.3</w:t>
      </w:r>
      <w:r w:rsidRPr="009B5969">
        <w:rPr>
          <w:rFonts w:eastAsia="Times New Roman" w:cstheme="minorHAnsi"/>
          <w:lang w:eastAsia="en-CA"/>
        </w:rPr>
        <w:t xml:space="preserve"> </w:t>
      </w:r>
      <w:r w:rsidRPr="009B5969">
        <w:rPr>
          <w:b/>
        </w:rPr>
        <w:t>Efficiency</w:t>
      </w:r>
    </w:p>
    <w:p w14:paraId="4F29BAFA" w14:textId="77777777" w:rsidR="00C12C91" w:rsidRPr="00FD0C06" w:rsidRDefault="00C12C91" w:rsidP="00FB4347">
      <w:pPr>
        <w:pStyle w:val="ListParagraph"/>
        <w:spacing w:line="240" w:lineRule="auto"/>
        <w:jc w:val="both"/>
        <w:rPr>
          <w:rFonts w:eastAsia="Times New Roman" w:cstheme="minorHAnsi"/>
          <w:lang w:eastAsia="en-CA"/>
        </w:rPr>
      </w:pPr>
    </w:p>
    <w:p w14:paraId="0EF6FB8A" w14:textId="77777777" w:rsidR="00C12C91" w:rsidRDefault="00C12C91" w:rsidP="00FB4347">
      <w:pPr>
        <w:pStyle w:val="ListParagraph"/>
        <w:numPr>
          <w:ilvl w:val="0"/>
          <w:numId w:val="3"/>
        </w:numPr>
        <w:spacing w:before="240" w:after="0" w:line="240" w:lineRule="auto"/>
        <w:jc w:val="both"/>
      </w:pPr>
      <w:r w:rsidRPr="009B4E7A">
        <w:rPr>
          <w:rFonts w:eastAsia="Times New Roman" w:cstheme="minorHAnsi"/>
          <w:lang w:eastAsia="en-CA"/>
        </w:rPr>
        <w:lastRenderedPageBreak/>
        <w:t xml:space="preserve">Apart from timelines, efficiency </w:t>
      </w:r>
      <w:r w:rsidRPr="009B4E7A">
        <w:rPr>
          <w:rFonts w:eastAsia="Times New Roman" w:cstheme="minorHAnsi"/>
          <w:bCs/>
          <w:iCs/>
          <w:bdr w:val="none" w:sz="0" w:space="0" w:color="auto" w:frame="1"/>
          <w:lang w:eastAsia="en-CA"/>
        </w:rPr>
        <w:t xml:space="preserve">is a function of economy and cost-effectiveness. “Cost” includes financial, human resources and expertise invested. </w:t>
      </w:r>
      <w:r>
        <w:t xml:space="preserve">The programme was designed to be implemented with a budget of USD$40 million over a period of four and a half years (July 2017 and December 2021). However, only 57% of the pledged budget was secured within the stated timeframe. Table 2 below presents a summary of financial support to the five programme components. It reveals that output 1 received the highest level of financial support: 29% ($ </w:t>
      </w:r>
      <w:r w:rsidRPr="00DA6CFD">
        <w:t>6</w:t>
      </w:r>
      <w:r>
        <w:t>,</w:t>
      </w:r>
      <w:r w:rsidRPr="00DA6CFD">
        <w:t>582</w:t>
      </w:r>
      <w:r>
        <w:t>,</w:t>
      </w:r>
      <w:r w:rsidRPr="00DA6CFD">
        <w:t>235</w:t>
      </w:r>
      <w:r>
        <w:t xml:space="preserve">) of the raised budget, followed by output 4 and output 3. Output 5 which comprised support to access to justice and human rights activities [through </w:t>
      </w:r>
      <w:r w:rsidRPr="00E51D2C">
        <w:t>EHRC/OAG/EBA</w:t>
      </w:r>
      <w:r>
        <w:t xml:space="preserve">] received a relatively lower level of financial support at only 12% of the released </w:t>
      </w:r>
      <w:r w:rsidRPr="00BA0FA6">
        <w:t>budget, comparable to output</w:t>
      </w:r>
      <w:r>
        <w:t xml:space="preserve"> 2 that received 13% of the budget. Summation of the project expenditures in the combined delivery reports indicates that as of December 2021, a total of US $ </w:t>
      </w:r>
      <w:r w:rsidRPr="00DA3E81">
        <w:t>22,383,955</w:t>
      </w:r>
      <w:r w:rsidRPr="008242C4">
        <w:t xml:space="preserve"> </w:t>
      </w:r>
      <w:r>
        <w:t>had been spent representing 97% of the programme budget. The largest portion of the programme expenditure ($</w:t>
      </w:r>
      <w:r w:rsidRPr="000865A4">
        <w:t>22,383,955</w:t>
      </w:r>
      <w:r w:rsidRPr="008242C4">
        <w:t xml:space="preserve"> </w:t>
      </w:r>
      <w:r>
        <w:t xml:space="preserve">or 84%) was channeled through the government system for the 11 IPs while the remaining 14% was utilized for programme </w:t>
      </w:r>
      <w:r w:rsidRPr="00526B2D">
        <w:t>management.</w:t>
      </w:r>
      <w:r w:rsidRPr="009B4E7A">
        <w:rPr>
          <w:highlight w:val="yellow"/>
        </w:rPr>
        <w:t xml:space="preserve"> </w:t>
      </w:r>
    </w:p>
    <w:p w14:paraId="341C9422" w14:textId="77777777" w:rsidR="00C12C91" w:rsidRDefault="00C12C91" w:rsidP="00FB4347">
      <w:pPr>
        <w:pStyle w:val="ListParagraph"/>
        <w:spacing w:before="240" w:after="0" w:line="240" w:lineRule="auto"/>
        <w:ind w:left="450"/>
        <w:jc w:val="both"/>
      </w:pPr>
    </w:p>
    <w:p w14:paraId="476B9C44" w14:textId="332A367A" w:rsidR="00C12C91" w:rsidRDefault="00C12C91" w:rsidP="00FB4347">
      <w:pPr>
        <w:pStyle w:val="ListParagraph"/>
        <w:numPr>
          <w:ilvl w:val="0"/>
          <w:numId w:val="3"/>
        </w:numPr>
        <w:spacing w:before="240" w:line="240" w:lineRule="auto"/>
        <w:jc w:val="both"/>
      </w:pPr>
      <w:r w:rsidRPr="009B4E7A">
        <w:rPr>
          <w:bCs/>
        </w:rPr>
        <w:t>Analysis of the budget allocation and expenditure</w:t>
      </w:r>
      <w:r>
        <w:t xml:space="preserve"> further indicates that the programme allocated 17% to UNDP and 11% to EHRC and HoPR each. Only 4% of the programme budget was allocated for OFAG while it utilized only 77%. </w:t>
      </w:r>
      <w:r w:rsidRPr="00D67CE1">
        <w:t>Budget allocation was based on implementation capacity, budget utilization and prioritization and relevance of activities</w:t>
      </w:r>
      <w:r>
        <w:t>. Based on the above analysis, the ET has determined that the GDPP used its resources efficiently and effectively.</w:t>
      </w:r>
    </w:p>
    <w:p w14:paraId="355F4BD5" w14:textId="77777777" w:rsidR="000810C9" w:rsidRDefault="000810C9" w:rsidP="000810C9">
      <w:pPr>
        <w:pStyle w:val="ListParagraph"/>
      </w:pPr>
    </w:p>
    <w:p w14:paraId="7578C660" w14:textId="77777777" w:rsidR="000810C9" w:rsidRDefault="000810C9" w:rsidP="000810C9">
      <w:pPr>
        <w:pStyle w:val="ListParagraph"/>
        <w:spacing w:before="240" w:line="240" w:lineRule="auto"/>
        <w:ind w:left="360"/>
        <w:jc w:val="both"/>
      </w:pPr>
    </w:p>
    <w:p w14:paraId="661C4950" w14:textId="77777777" w:rsidR="00FB4347" w:rsidRDefault="00FB4347" w:rsidP="00FB4347">
      <w:pPr>
        <w:pStyle w:val="ListParagraph"/>
        <w:numPr>
          <w:ilvl w:val="0"/>
          <w:numId w:val="3"/>
        </w:numPr>
        <w:spacing w:before="240" w:line="360" w:lineRule="auto"/>
        <w:jc w:val="both"/>
      </w:pPr>
      <w:r w:rsidRPr="0037616A">
        <w:t xml:space="preserve">Table </w:t>
      </w:r>
      <w:r>
        <w:t>2 GDPP: Allocation Vs. Expenditure Per Output: 1 July 2017 - 31 December 2021</w:t>
      </w:r>
    </w:p>
    <w:p w14:paraId="66356C02" w14:textId="77777777" w:rsidR="00FB4347" w:rsidRDefault="00FB4347" w:rsidP="000810C9">
      <w:pPr>
        <w:pStyle w:val="ListParagraph"/>
        <w:spacing w:line="360" w:lineRule="auto"/>
        <w:ind w:left="360"/>
        <w:jc w:val="both"/>
      </w:pPr>
      <w:r w:rsidRPr="0074290D">
        <w:rPr>
          <w:noProof/>
          <w:lang w:eastAsia="en-CA"/>
        </w:rPr>
        <w:drawing>
          <wp:inline distT="0" distB="0" distL="0" distR="0" wp14:anchorId="2A7D82C9" wp14:editId="2C0F2EBD">
            <wp:extent cx="5448121" cy="3124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9668" cy="3125087"/>
                    </a:xfrm>
                    <a:prstGeom prst="rect">
                      <a:avLst/>
                    </a:prstGeom>
                    <a:noFill/>
                    <a:ln>
                      <a:noFill/>
                    </a:ln>
                  </pic:spPr>
                </pic:pic>
              </a:graphicData>
            </a:graphic>
          </wp:inline>
        </w:drawing>
      </w:r>
    </w:p>
    <w:p w14:paraId="0656B439" w14:textId="77777777" w:rsidR="00C12C91" w:rsidRDefault="00C12C91" w:rsidP="00FB4347">
      <w:pPr>
        <w:spacing w:line="240" w:lineRule="auto"/>
      </w:pPr>
      <w:r>
        <w:br w:type="page"/>
      </w:r>
    </w:p>
    <w:p w14:paraId="46CEAE07" w14:textId="308A1C71" w:rsidR="00C12C91" w:rsidRDefault="00C12C91" w:rsidP="00FB4347">
      <w:pPr>
        <w:pStyle w:val="ListParagraph"/>
        <w:numPr>
          <w:ilvl w:val="0"/>
          <w:numId w:val="3"/>
        </w:numPr>
        <w:spacing w:before="240" w:after="0" w:line="240" w:lineRule="auto"/>
        <w:jc w:val="both"/>
      </w:pPr>
      <w:r>
        <w:lastRenderedPageBreak/>
        <w:t>Notwithstanding the above</w:t>
      </w:r>
      <w:r w:rsidR="00F16D90">
        <w:t xml:space="preserve"> </w:t>
      </w:r>
      <w:r w:rsidR="00F16D90" w:rsidRPr="00192882">
        <w:t>(</w:t>
      </w:r>
      <w:r w:rsidR="00192882" w:rsidRPr="00192882">
        <w:t xml:space="preserve">the </w:t>
      </w:r>
      <w:r w:rsidR="00192882">
        <w:t xml:space="preserve">detailed </w:t>
      </w:r>
      <w:r w:rsidR="00F16D90" w:rsidRPr="00192882">
        <w:t>r</w:t>
      </w:r>
      <w:r w:rsidR="0072463D">
        <w:t>ating approach is presented in Annex 1</w:t>
      </w:r>
      <w:r w:rsidR="00F16D90" w:rsidRPr="00192882">
        <w:t>)</w:t>
      </w:r>
      <w:r w:rsidRPr="00192882">
        <w:t xml:space="preserve">, </w:t>
      </w:r>
      <w:r>
        <w:t xml:space="preserve">programme efficiency is not just a question of proficiently distributing resources. A key informant from UNDP asserted that most IPs have shown little progress in the timely implementation of activities and technical and financial reporting. The informant further added that support from UNDP sometimes went to the extent of preparing financial reports for some of them. </w:t>
      </w:r>
      <w:r w:rsidRPr="00D67CE1">
        <w:t>On the IP side, there have been numerous cases of staff turnover which have negated institutional</w:t>
      </w:r>
      <w:r>
        <w:t xml:space="preserve"> memory and compromised efficient programme delivery. Moreover, there are clear indications that some IPs are less committed and motivated than others to support the issues promulgated by the GDPP. Accordingly, the ET supports the GDPP’s Option Paper proposal that future funding allocations should be based on performance. </w:t>
      </w:r>
    </w:p>
    <w:p w14:paraId="01F72EBE" w14:textId="77777777" w:rsidR="00C12C91" w:rsidRDefault="00C12C91" w:rsidP="00FB4347">
      <w:pPr>
        <w:spacing w:before="240" w:after="0" w:line="240" w:lineRule="auto"/>
        <w:jc w:val="both"/>
      </w:pPr>
      <w:r>
        <w:t>Specific comments from interviewees:</w:t>
      </w:r>
    </w:p>
    <w:p w14:paraId="02C8ED98" w14:textId="77777777" w:rsidR="00C12C91" w:rsidRDefault="00C12C91" w:rsidP="00FB4347">
      <w:pPr>
        <w:pStyle w:val="ListParagraph"/>
        <w:spacing w:line="240" w:lineRule="auto"/>
      </w:pPr>
    </w:p>
    <w:p w14:paraId="714F8708" w14:textId="77777777" w:rsidR="00C12C91" w:rsidRDefault="00C12C91" w:rsidP="00FB4347">
      <w:pPr>
        <w:pStyle w:val="ListParagraph"/>
        <w:numPr>
          <w:ilvl w:val="0"/>
          <w:numId w:val="10"/>
        </w:numPr>
        <w:spacing w:line="240" w:lineRule="auto"/>
        <w:jc w:val="both"/>
      </w:pPr>
      <w:r>
        <w:t>Delays in internal decision making, a lengthy procurement process and limited engagement between local staff in the regions and the centre has impacted programme delivery.</w:t>
      </w:r>
    </w:p>
    <w:p w14:paraId="12FC3232" w14:textId="77777777" w:rsidR="00C12C91" w:rsidRDefault="00C12C91" w:rsidP="00FB4347">
      <w:pPr>
        <w:pStyle w:val="ListParagraph"/>
        <w:numPr>
          <w:ilvl w:val="0"/>
          <w:numId w:val="10"/>
        </w:numPr>
        <w:spacing w:line="240" w:lineRule="auto"/>
        <w:jc w:val="both"/>
      </w:pPr>
      <w:r>
        <w:t>The lack of coordination between IPs has led to inefficient programme implementation.</w:t>
      </w:r>
    </w:p>
    <w:p w14:paraId="701E508C" w14:textId="77777777" w:rsidR="00C12C91" w:rsidRDefault="00C12C91" w:rsidP="00FB4347">
      <w:pPr>
        <w:pStyle w:val="ListParagraph"/>
        <w:numPr>
          <w:ilvl w:val="0"/>
          <w:numId w:val="10"/>
        </w:numPr>
        <w:spacing w:line="240" w:lineRule="auto"/>
        <w:jc w:val="both"/>
      </w:pPr>
      <w:r>
        <w:t>GDPP has funded some activities that would not have been financed by the government because of its sensitivity to the topic, e.g., the anti-corruption strategy and related national survey of perceptions of corruption.</w:t>
      </w:r>
    </w:p>
    <w:p w14:paraId="56050764" w14:textId="77777777" w:rsidR="00C12C91" w:rsidRDefault="00C12C91" w:rsidP="00FB4347">
      <w:pPr>
        <w:pStyle w:val="ListParagraph"/>
        <w:spacing w:line="240" w:lineRule="auto"/>
      </w:pPr>
    </w:p>
    <w:p w14:paraId="19F95CF9" w14:textId="58B9B77A" w:rsidR="00C12C91" w:rsidRDefault="00C12C91" w:rsidP="000810C9">
      <w:pPr>
        <w:pStyle w:val="ListParagraph"/>
        <w:numPr>
          <w:ilvl w:val="0"/>
          <w:numId w:val="3"/>
        </w:numPr>
        <w:spacing w:line="240" w:lineRule="auto"/>
        <w:jc w:val="both"/>
      </w:pPr>
      <w:r>
        <w:t>The GDPP was evidently an appropriate mechanism for achieving the desired objectives and the intended res</w:t>
      </w:r>
      <w:r w:rsidR="000A5B91">
        <w:t>ults. Through its disbursements</w:t>
      </w:r>
      <w:r>
        <w:t xml:space="preserve"> it supported the five outputs </w:t>
      </w:r>
      <w:r w:rsidR="000A5B91">
        <w:t xml:space="preserve">of the programme with IPs </w:t>
      </w:r>
      <w:r>
        <w:t xml:space="preserve">positively influencing the achievement of most of their set targets. This was aided </w:t>
      </w:r>
      <w:proofErr w:type="gramStart"/>
      <w:r>
        <w:t>by the use of</w:t>
      </w:r>
      <w:proofErr w:type="gramEnd"/>
      <w:r>
        <w:t xml:space="preserve"> the NIM under which the IPs directly assume the responsibility for the related output (or outputs) and carry out all activities towards the achievement of the outputs thereby enhancing programme efficiency.</w:t>
      </w:r>
      <w:r>
        <w:rPr>
          <w:rStyle w:val="FootnoteReference"/>
        </w:rPr>
        <w:footnoteReference w:id="43"/>
      </w:r>
      <w:r>
        <w:t xml:space="preserve"> Nevertheless, </w:t>
      </w:r>
      <w:r w:rsidRPr="004B7D0C">
        <w:t xml:space="preserve">some of the implementing partners had glaring gaps in programme management </w:t>
      </w:r>
      <w:r>
        <w:t xml:space="preserve">capacity, </w:t>
      </w:r>
      <w:r w:rsidRPr="004B7D0C">
        <w:t xml:space="preserve">particularly </w:t>
      </w:r>
      <w:r>
        <w:t xml:space="preserve">regarding </w:t>
      </w:r>
      <w:r w:rsidRPr="004B7D0C">
        <w:t xml:space="preserve">donor fund management and reporting. </w:t>
      </w:r>
      <w:r>
        <w:t xml:space="preserve">This inevitably led to </w:t>
      </w:r>
      <w:r w:rsidRPr="004B7D0C">
        <w:t xml:space="preserve">delays in activity </w:t>
      </w:r>
      <w:r w:rsidRPr="005E251F">
        <w:t xml:space="preserve">planning, </w:t>
      </w:r>
      <w:proofErr w:type="gramStart"/>
      <w:r w:rsidRPr="005E251F">
        <w:t>implementation</w:t>
      </w:r>
      <w:proofErr w:type="gramEnd"/>
      <w:r w:rsidRPr="005E251F">
        <w:t xml:space="preserve"> and reporting</w:t>
      </w:r>
      <w:r>
        <w:t>.</w:t>
      </w:r>
    </w:p>
    <w:p w14:paraId="0E70878A" w14:textId="77777777" w:rsidR="00C12C91" w:rsidRDefault="00C12C91" w:rsidP="000810C9">
      <w:pPr>
        <w:pStyle w:val="ListParagraph"/>
        <w:spacing w:line="240" w:lineRule="auto"/>
      </w:pPr>
    </w:p>
    <w:p w14:paraId="0E0C6CC3" w14:textId="77777777" w:rsidR="00C12C91" w:rsidRDefault="00C12C91" w:rsidP="000810C9">
      <w:pPr>
        <w:pStyle w:val="ListParagraph"/>
        <w:numPr>
          <w:ilvl w:val="0"/>
          <w:numId w:val="3"/>
        </w:numPr>
        <w:spacing w:line="240" w:lineRule="auto"/>
        <w:jc w:val="both"/>
        <w:rPr>
          <w:rFonts w:ascii="Arial" w:hAnsi="Arial" w:cs="Arial"/>
          <w:spacing w:val="4"/>
        </w:rPr>
      </w:pPr>
      <w:r w:rsidRPr="004B7D0C">
        <w:t xml:space="preserve">Most importantly, </w:t>
      </w:r>
      <w:r>
        <w:t xml:space="preserve">the </w:t>
      </w:r>
      <w:r w:rsidRPr="004B7D0C">
        <w:t xml:space="preserve">GDPP mobilized funding from multiple donors:  Austria, Sweden, Norway and Denmark, and UNDP. Nearly half of the contribution (48.5%) was from Sweden (SIDA) followed by UNDP (20%). </w:t>
      </w:r>
      <w:r>
        <w:t xml:space="preserve">As an interviewee from the MoF said, the </w:t>
      </w:r>
      <w:r w:rsidRPr="004B7D0C">
        <w:t xml:space="preserve">GDPP’s coordination role was </w:t>
      </w:r>
      <w:r>
        <w:t xml:space="preserve">crucial </w:t>
      </w:r>
      <w:r w:rsidRPr="004B7D0C">
        <w:t xml:space="preserve">in avoiding potential </w:t>
      </w:r>
      <w:r>
        <w:t xml:space="preserve">duplication of effort: </w:t>
      </w:r>
      <w:r w:rsidRPr="004B7D0C">
        <w:t xml:space="preserve">“GDPP was efficient in mobilizing funds from the four donors and utilizing </w:t>
      </w:r>
      <w:r>
        <w:t>them</w:t>
      </w:r>
      <w:r w:rsidRPr="004B7D0C">
        <w:t xml:space="preserve"> for one programme goal. It would have been a waste of resources if the four donors had </w:t>
      </w:r>
      <w:r>
        <w:t>funded four different projects/</w:t>
      </w:r>
      <w:r w:rsidRPr="004B7D0C">
        <w:t>programmes with similar objectives. That would be duplication.</w:t>
      </w:r>
      <w:r>
        <w:t>”</w:t>
      </w:r>
      <w:r w:rsidRPr="004B7D0C">
        <w:t xml:space="preserve"> In addition, UNDP partnered with other agencies for synergy and complementarity</w:t>
      </w:r>
      <w:r>
        <w:t>, f</w:t>
      </w:r>
      <w:r w:rsidRPr="004B7D0C">
        <w:t>or example, with UN Women in implementing a gender responsive legislative process that benefited women parliamentarians and strengthen</w:t>
      </w:r>
      <w:r>
        <w:t>ed</w:t>
      </w:r>
      <w:r w:rsidRPr="004B7D0C">
        <w:t xml:space="preserve"> </w:t>
      </w:r>
      <w:proofErr w:type="spellStart"/>
      <w:r w:rsidRPr="004B7D0C">
        <w:t>HoPR’s</w:t>
      </w:r>
      <w:proofErr w:type="spellEnd"/>
      <w:r w:rsidRPr="004B7D0C">
        <w:t xml:space="preserve"> internal capacity</w:t>
      </w:r>
      <w:r>
        <w:t xml:space="preserve"> as well as </w:t>
      </w:r>
      <w:r w:rsidRPr="005E251F">
        <w:t>NEBE’s electoral law revision</w:t>
      </w:r>
      <w:r>
        <w:t>.</w:t>
      </w:r>
      <w:r>
        <w:rPr>
          <w:rFonts w:ascii="Arial" w:hAnsi="Arial" w:cs="Arial"/>
          <w:spacing w:val="4"/>
        </w:rPr>
        <w:t xml:space="preserve"> </w:t>
      </w:r>
    </w:p>
    <w:p w14:paraId="0DB52E17" w14:textId="77777777" w:rsidR="00C12C91" w:rsidRPr="00813701" w:rsidRDefault="00C12C91" w:rsidP="00C12C91">
      <w:pPr>
        <w:pStyle w:val="ListParagraph"/>
        <w:spacing w:line="360" w:lineRule="auto"/>
        <w:ind w:left="450"/>
        <w:jc w:val="both"/>
        <w:rPr>
          <w:rFonts w:ascii="Arial" w:hAnsi="Arial" w:cs="Arial"/>
          <w:spacing w:val="4"/>
        </w:rPr>
      </w:pPr>
    </w:p>
    <w:p w14:paraId="7AB5D323" w14:textId="77777777" w:rsidR="00C12C91" w:rsidRDefault="00C12C91" w:rsidP="000810C9">
      <w:pPr>
        <w:pStyle w:val="ListParagraph"/>
        <w:numPr>
          <w:ilvl w:val="0"/>
          <w:numId w:val="3"/>
        </w:numPr>
        <w:spacing w:line="240" w:lineRule="auto"/>
        <w:jc w:val="both"/>
      </w:pPr>
      <w:r w:rsidRPr="00E91248">
        <w:rPr>
          <w:bCs/>
        </w:rPr>
        <w:t xml:space="preserve">Despite the positive signals outlined above, </w:t>
      </w:r>
      <w:r>
        <w:t>due to the lack of supporting data and information on each itemized cost and payment by the programme,</w:t>
      </w:r>
      <w:r w:rsidRPr="00E91248">
        <w:rPr>
          <w:bCs/>
        </w:rPr>
        <w:t xml:space="preserve"> t</w:t>
      </w:r>
      <w:r>
        <w:t xml:space="preserve">he ET is unable to accurately establish efficiencies of the GDPP in terms of measuring the value, costs, or benefits of the programme investment. Interviews and reviews of different sources however reveal no indication of </w:t>
      </w:r>
      <w:r>
        <w:lastRenderedPageBreak/>
        <w:t xml:space="preserve">misappropriation of programme resources by GDPP stakeholders. The ET therefore judges the efficiency of the </w:t>
      </w:r>
      <w:r w:rsidRPr="00526B2D">
        <w:t xml:space="preserve">GDPP </w:t>
      </w:r>
      <w:r>
        <w:t>to be</w:t>
      </w:r>
      <w:r w:rsidRPr="00526B2D">
        <w:t xml:space="preserve"> satisfactory</w:t>
      </w:r>
      <w:r w:rsidRPr="00F66A45">
        <w:t>.</w:t>
      </w:r>
    </w:p>
    <w:p w14:paraId="2C71DB0E" w14:textId="77777777" w:rsidR="00C12C91" w:rsidRPr="00FB1022" w:rsidRDefault="00C12C91" w:rsidP="000810C9">
      <w:pPr>
        <w:spacing w:before="240" w:line="240" w:lineRule="auto"/>
        <w:jc w:val="both"/>
        <w:rPr>
          <w:b/>
        </w:rPr>
      </w:pPr>
      <w:r>
        <w:rPr>
          <w:b/>
        </w:rPr>
        <w:t xml:space="preserve">3.1.4 </w:t>
      </w:r>
      <w:r w:rsidRPr="00FB1022">
        <w:rPr>
          <w:b/>
        </w:rPr>
        <w:t>Impact</w:t>
      </w:r>
    </w:p>
    <w:p w14:paraId="26ED6CF2" w14:textId="77777777" w:rsidR="00C12C91" w:rsidRPr="00FD13DA" w:rsidRDefault="00C12C91" w:rsidP="000810C9">
      <w:pPr>
        <w:pStyle w:val="ListParagraph"/>
        <w:numPr>
          <w:ilvl w:val="0"/>
          <w:numId w:val="3"/>
        </w:numPr>
        <w:spacing w:before="240" w:line="240" w:lineRule="auto"/>
        <w:jc w:val="both"/>
      </w:pPr>
      <w:r>
        <w:t xml:space="preserve">An impact evaluation provides information about the impacts produced by a particular intervention - positive and negative - intended and unintended, </w:t>
      </w:r>
      <w:proofErr w:type="gramStart"/>
      <w:r>
        <w:t>direct</w:t>
      </w:r>
      <w:proofErr w:type="gramEnd"/>
      <w:r>
        <w:t xml:space="preserve"> and indirect. The key questions to consider are: What has happened </w:t>
      </w:r>
      <w:proofErr w:type="gramStart"/>
      <w:r>
        <w:t>as a result of</w:t>
      </w:r>
      <w:proofErr w:type="gramEnd"/>
      <w:r>
        <w:t xml:space="preserve"> the programme? What real difference has the activity made to the beneficiaries? How many people have been affected?</w:t>
      </w:r>
      <w:r>
        <w:rPr>
          <w:rStyle w:val="FootnoteReference"/>
        </w:rPr>
        <w:footnoteReference w:id="44"/>
      </w:r>
      <w:r>
        <w:t xml:space="preserve"> In the absence of credible outcome indicators for the GDPP, it is difficult to judge the actual impact of the programme. Instead, we are left to consider basic information from the kinds of activities that have been supported. </w:t>
      </w:r>
      <w:r w:rsidRPr="004415C2">
        <w:rPr>
          <w:rFonts w:eastAsia="Times New Roman" w:cstheme="minorHAnsi"/>
          <w:bCs/>
          <w:iCs/>
          <w:bdr w:val="none" w:sz="0" w:space="0" w:color="auto" w:frame="1"/>
          <w:lang w:eastAsia="en-CA"/>
        </w:rPr>
        <w:t>These are reflected in areas such as capacity building, the number of trainings delivered, technical financial and material support, e.g., through digitisation of certain services, documents, awareness creation, e.g., on elections and networking, etc.</w:t>
      </w:r>
    </w:p>
    <w:p w14:paraId="7D7956FA" w14:textId="77777777" w:rsidR="00C12C91" w:rsidRPr="00FD13DA" w:rsidRDefault="00C12C91" w:rsidP="000810C9">
      <w:pPr>
        <w:pStyle w:val="ListParagraph"/>
        <w:spacing w:line="240" w:lineRule="auto"/>
        <w:ind w:left="450"/>
        <w:jc w:val="both"/>
      </w:pPr>
    </w:p>
    <w:p w14:paraId="3B88C285" w14:textId="69FD0AC5" w:rsidR="00B510CC" w:rsidRPr="00B510CC" w:rsidRDefault="00C12C91" w:rsidP="000810C9">
      <w:pPr>
        <w:pStyle w:val="ListParagraph"/>
        <w:numPr>
          <w:ilvl w:val="0"/>
          <w:numId w:val="3"/>
        </w:numPr>
        <w:shd w:val="clear" w:color="auto" w:fill="FFFFFF" w:themeFill="background1"/>
        <w:spacing w:line="240" w:lineRule="auto"/>
        <w:jc w:val="both"/>
        <w:rPr>
          <w:sz w:val="18"/>
          <w:szCs w:val="18"/>
        </w:rPr>
      </w:pPr>
      <w:r>
        <w:t xml:space="preserve">The ToC model on page 18 of the ProDoc indicates that the </w:t>
      </w:r>
      <w:r w:rsidRPr="00FD13DA">
        <w:rPr>
          <w:i/>
          <w:iCs/>
        </w:rPr>
        <w:t>impact</w:t>
      </w:r>
      <w:r>
        <w:t xml:space="preserve"> of GDPP is to contribute to the country’s attainment of a lower middle–income status that is envisioned by 2025. Further, the ProDoc explicitly indicates that transformation requires combined and balanced progress on several fronts: Economic and Political Governance, Environmental Sustainability and Governance, Sustained Peace and Stability. By partnering and working with the leading democratic institutions in the country, GDPP is strategically positioned to contribute to creating an enabling environment that would in turn deliver the country to its desired end: “Lower Middle-Income status.” However, as noted in the MTR report, analysis of the programme interventions in line with the impact indicators confirmed that impact aspirations were ambitious.  Indeed, the impact of the programme is difficult to assess given that it provides “soft support” that is problematic to measure in real terms. Although this is the case, the ET through desk review and stakeholder consultations captured significant immediate results that have the potential of contributing to the realisation of the desired impact level results, as noted below.</w:t>
      </w:r>
      <w:r w:rsidR="00F16D90">
        <w:t xml:space="preserve"> </w:t>
      </w:r>
    </w:p>
    <w:p w14:paraId="2B9311E4" w14:textId="77777777" w:rsidR="00B510CC" w:rsidRPr="00B510CC" w:rsidRDefault="00B510CC" w:rsidP="000810C9">
      <w:pPr>
        <w:pStyle w:val="ListParagraph"/>
        <w:shd w:val="clear" w:color="auto" w:fill="FFFFFF" w:themeFill="background1"/>
        <w:spacing w:line="240" w:lineRule="auto"/>
        <w:ind w:left="360"/>
        <w:jc w:val="both"/>
        <w:rPr>
          <w:sz w:val="18"/>
          <w:szCs w:val="18"/>
        </w:rPr>
      </w:pPr>
    </w:p>
    <w:p w14:paraId="23B90CBD" w14:textId="671D4A17" w:rsidR="00C12C91" w:rsidRDefault="00C12C91" w:rsidP="000810C9">
      <w:pPr>
        <w:pStyle w:val="ListParagraph"/>
        <w:numPr>
          <w:ilvl w:val="0"/>
          <w:numId w:val="3"/>
        </w:numPr>
        <w:shd w:val="clear" w:color="auto" w:fill="FFFFFF" w:themeFill="background1"/>
        <w:spacing w:after="0" w:line="240" w:lineRule="auto"/>
        <w:jc w:val="both"/>
      </w:pPr>
      <w:r w:rsidRPr="00080E18">
        <w:t>Continuous capacity strengthening support coupled with the formulation and adoption of legislative and oversight standards and manuals</w:t>
      </w:r>
      <w:r>
        <w:t>;</w:t>
      </w:r>
      <w:r w:rsidRPr="00080E18">
        <w:t xml:space="preserve"> constitutional interpretation guidelines and procedures; and </w:t>
      </w:r>
      <w:r>
        <w:t xml:space="preserve">secretariat </w:t>
      </w:r>
      <w:r w:rsidRPr="00547E91">
        <w:t xml:space="preserve">guidelines have </w:t>
      </w:r>
      <w:r>
        <w:t xml:space="preserve">stimulated </w:t>
      </w:r>
      <w:r w:rsidRPr="00547E91">
        <w:t xml:space="preserve">the two </w:t>
      </w:r>
      <w:r>
        <w:t xml:space="preserve">legislative </w:t>
      </w:r>
      <w:r w:rsidRPr="00547E91">
        <w:t xml:space="preserve">houses to uphold and adhere to both international standards and democratic principles in the sector. The criteria and procedures in law making processes potentially inclines HoPR and HoF to respect, observe and defend </w:t>
      </w:r>
      <w:r>
        <w:t xml:space="preserve">the </w:t>
      </w:r>
      <w:r w:rsidRPr="00547E91">
        <w:t xml:space="preserve">human and democratic rights of </w:t>
      </w:r>
      <w:r>
        <w:t xml:space="preserve">the </w:t>
      </w:r>
      <w:r w:rsidRPr="00547E91">
        <w:t xml:space="preserve">population through the application of international norms and standards.  Furthermore, through the establishment of a </w:t>
      </w:r>
      <w:r w:rsidRPr="000A74BC">
        <w:rPr>
          <w:bCs/>
        </w:rPr>
        <w:t>Parliamentary Research Network (PRN) and further development of the network guidelines and standards,</w:t>
      </w:r>
      <w:r w:rsidRPr="000A74BC">
        <w:rPr>
          <w:b/>
          <w:bCs/>
        </w:rPr>
        <w:t xml:space="preserve"> </w:t>
      </w:r>
      <w:r w:rsidRPr="00547E91">
        <w:t>local think-tanks, universities, international organizations, and CSOs</w:t>
      </w:r>
      <w:r>
        <w:t xml:space="preserve"> were brought together to help support MPs with research activities</w:t>
      </w:r>
      <w:r w:rsidRPr="00547E91">
        <w:t xml:space="preserve">. For </w:t>
      </w:r>
      <w:r>
        <w:t>example,</w:t>
      </w:r>
      <w:r w:rsidRPr="00547E91">
        <w:t xml:space="preserve"> the first ever Annual Parliamentary Research Conference under the title “Parliament, Democracy and Human Rights” was held in February 2021 in Addis Ababa. 16 research papers were presented by Scholars from the PRN. Informants indicated that MPs were positively impacted by the importance of having evidence-based support in the law-making process.</w:t>
      </w:r>
      <w:r w:rsidR="007E7687">
        <w:t xml:space="preserve"> </w:t>
      </w:r>
      <w:r w:rsidR="004A133B" w:rsidRPr="00CB0441">
        <w:t>L</w:t>
      </w:r>
      <w:r w:rsidR="00FF256F" w:rsidRPr="00CB0441">
        <w:t xml:space="preserve">ocal level democratic institutions forums </w:t>
      </w:r>
      <w:r w:rsidR="007E7687" w:rsidRPr="00CB0441">
        <w:t>and ethics and anti corruption</w:t>
      </w:r>
      <w:r w:rsidR="00FF256F" w:rsidRPr="00CB0441">
        <w:t xml:space="preserve"> clubs’</w:t>
      </w:r>
      <w:r w:rsidR="007E7687" w:rsidRPr="00CB0441">
        <w:t xml:space="preserve"> </w:t>
      </w:r>
      <w:r w:rsidR="00FF256F" w:rsidRPr="00CB0441">
        <w:t xml:space="preserve">components were attempted and exercised at zonal and </w:t>
      </w:r>
      <w:r w:rsidR="00EC377C" w:rsidRPr="00CB0441">
        <w:t>schools’</w:t>
      </w:r>
      <w:r w:rsidR="00FF256F" w:rsidRPr="00CB0441">
        <w:t xml:space="preserve"> leve</w:t>
      </w:r>
      <w:r w:rsidR="00EC377C" w:rsidRPr="00CB0441">
        <w:t>l</w:t>
      </w:r>
      <w:r w:rsidR="000A5B91">
        <w:t>s</w:t>
      </w:r>
      <w:r w:rsidR="00425DFB" w:rsidRPr="00CB0441">
        <w:t xml:space="preserve"> in observed regions</w:t>
      </w:r>
      <w:r w:rsidR="00EC377C" w:rsidRPr="00CB0441">
        <w:t>. This was a good sta</w:t>
      </w:r>
      <w:r w:rsidR="00CB0441" w:rsidRPr="00CB0441">
        <w:t>r</w:t>
      </w:r>
      <w:r w:rsidR="00EC377C" w:rsidRPr="00CB0441">
        <w:t xml:space="preserve">t to directly reach communities </w:t>
      </w:r>
      <w:r w:rsidR="000A5B91">
        <w:t>and will</w:t>
      </w:r>
      <w:r w:rsidR="00EC377C" w:rsidRPr="00CB0441">
        <w:t xml:space="preserve"> need critical attention in the future</w:t>
      </w:r>
      <w:r w:rsidR="007E7687" w:rsidRPr="00CB0441">
        <w:t>.</w:t>
      </w:r>
      <w:r w:rsidR="007E7687">
        <w:t xml:space="preserve"> </w:t>
      </w:r>
      <w:r w:rsidRPr="00547E91">
        <w:t xml:space="preserve">It is therefore apparent that the GDPP has supported both new systems and structures that </w:t>
      </w:r>
      <w:r>
        <w:t xml:space="preserve">will have a </w:t>
      </w:r>
      <w:r w:rsidRPr="00547E91">
        <w:t>positive impact</w:t>
      </w:r>
      <w:r>
        <w:t xml:space="preserve"> on the</w:t>
      </w:r>
      <w:r w:rsidRPr="00547E91">
        <w:t xml:space="preserve"> human and democratic </w:t>
      </w:r>
      <w:r>
        <w:t>rights of the wider population.</w:t>
      </w:r>
    </w:p>
    <w:p w14:paraId="0D2A8581" w14:textId="77777777" w:rsidR="00C12C91" w:rsidRDefault="00C12C91" w:rsidP="000810C9">
      <w:pPr>
        <w:pStyle w:val="ListParagraph"/>
        <w:spacing w:after="0" w:line="240" w:lineRule="auto"/>
        <w:ind w:left="450"/>
        <w:jc w:val="both"/>
      </w:pPr>
    </w:p>
    <w:p w14:paraId="33506D59" w14:textId="77777777" w:rsidR="00C12C91" w:rsidRDefault="00C12C91" w:rsidP="000810C9">
      <w:pPr>
        <w:pStyle w:val="ListParagraph"/>
        <w:numPr>
          <w:ilvl w:val="0"/>
          <w:numId w:val="3"/>
        </w:numPr>
        <w:spacing w:line="240" w:lineRule="auto"/>
        <w:jc w:val="both"/>
      </w:pPr>
      <w:r>
        <w:t>The</w:t>
      </w:r>
      <w:r w:rsidRPr="00C57239">
        <w:t xml:space="preserve"> deployment of </w:t>
      </w:r>
      <w:r>
        <w:t>democratic institutions’</w:t>
      </w:r>
      <w:r w:rsidRPr="00C57239">
        <w:t xml:space="preserve"> forums, platforms, and coalitions</w:t>
      </w:r>
      <w:r>
        <w:t>,</w:t>
      </w:r>
      <w:r w:rsidRPr="00C57239">
        <w:t xml:space="preserve"> as well as the capacity strengthening support provided to the</w:t>
      </w:r>
      <w:r>
        <w:t>m, have led to an improvement in the coordination of democratic institutions.</w:t>
      </w:r>
      <w:r w:rsidRPr="00547E91">
        <w:t xml:space="preserve"> </w:t>
      </w:r>
      <w:r>
        <w:t>Some, including</w:t>
      </w:r>
      <w:r w:rsidRPr="00547E91">
        <w:t xml:space="preserve"> </w:t>
      </w:r>
      <w:r>
        <w:t xml:space="preserve">the </w:t>
      </w:r>
      <w:r w:rsidRPr="00547E91">
        <w:t>Speakers Forum, the Federal and Regional Anti-Corruption Agencies Platfor</w:t>
      </w:r>
      <w:r>
        <w:t>m, t</w:t>
      </w:r>
      <w:r w:rsidRPr="00547E91">
        <w:t>he Civil Society Dialogue Forum, Democratic Institutions Forum, University Ethics Anti-Corruption Club Forum</w:t>
      </w:r>
      <w:r>
        <w:t>, and University Peace Forum have benefited. In most cases, some of the forums, platforms, and coalitions are anchored by focal points per institutions: one nationally headquartered in Addis Ababa and one headquartered in regional capital, ensuring a deliberate link between national action and regional processes and interests. Others like The Civil Society Dialogue Forum and Democratic Institutions Forum serve as umbrellas for similar like-minded institutions. Through established networks, GDPP created opportunities for capacity strengthening, experience sharing, and guidelines/standards development. That has had an impact in improving restrictive laws and adopting new practices.</w:t>
      </w:r>
      <w:r w:rsidRPr="00A813C3">
        <w:t xml:space="preserve"> </w:t>
      </w:r>
      <w:r w:rsidRPr="008B0976">
        <w:t xml:space="preserve">Although the full effect of such initiatives is still evolving, their transformative potential is apparent even at </w:t>
      </w:r>
      <w:r>
        <w:t>this</w:t>
      </w:r>
      <w:r w:rsidRPr="008B0976">
        <w:t xml:space="preserve"> early stage. For instance, </w:t>
      </w:r>
      <w:r>
        <w:t>improved CSO legislation increased the number of beneficiaries reached and the quality-of-service delivery while the Speakers Forum has already created conditions for synergy and harmonization of laws passed at federal and regional levels. This will</w:t>
      </w:r>
      <w:r w:rsidRPr="008B0976">
        <w:t xml:space="preserve"> greatly improve service delivery </w:t>
      </w:r>
      <w:r>
        <w:t xml:space="preserve">and improvement in legislative practices </w:t>
      </w:r>
      <w:r w:rsidRPr="008B0976">
        <w:t xml:space="preserve">through promoting respect for </w:t>
      </w:r>
      <w:r>
        <w:t xml:space="preserve">the </w:t>
      </w:r>
      <w:r w:rsidRPr="008B0976">
        <w:t xml:space="preserve">human rights of </w:t>
      </w:r>
      <w:r>
        <w:t>poor and vulnerable communities, and beyond</w:t>
      </w:r>
      <w:r w:rsidRPr="008B0976">
        <w:t>.</w:t>
      </w:r>
    </w:p>
    <w:p w14:paraId="2F7FADC0" w14:textId="77777777" w:rsidR="00C12C91" w:rsidRDefault="00C12C91" w:rsidP="000810C9">
      <w:pPr>
        <w:pStyle w:val="ListParagraph"/>
        <w:spacing w:line="240" w:lineRule="auto"/>
        <w:ind w:left="360"/>
        <w:jc w:val="both"/>
      </w:pPr>
    </w:p>
    <w:p w14:paraId="50395DFD" w14:textId="77777777" w:rsidR="00C12C91" w:rsidRDefault="00C12C91" w:rsidP="000810C9">
      <w:pPr>
        <w:pStyle w:val="ListParagraph"/>
        <w:numPr>
          <w:ilvl w:val="0"/>
          <w:numId w:val="3"/>
        </w:numPr>
        <w:spacing w:before="240" w:after="0" w:line="240" w:lineRule="auto"/>
        <w:jc w:val="both"/>
      </w:pPr>
      <w:r>
        <w:t xml:space="preserve">The formulation of the </w:t>
      </w:r>
      <w:r w:rsidRPr="00F00FF4">
        <w:t>new mass-media legislative reform</w:t>
      </w:r>
      <w:r>
        <w:t xml:space="preserve"> as well as revision of CSO legislation </w:t>
      </w:r>
      <w:r w:rsidRPr="004366F7">
        <w:t xml:space="preserve">embraced a consultative approach with various social groups making inputs. This has been perceived as </w:t>
      </w:r>
      <w:r>
        <w:t>the</w:t>
      </w:r>
      <w:r w:rsidRPr="004366F7">
        <w:t xml:space="preserve"> government’s explicit commitment and willingness towards transforming the country’s </w:t>
      </w:r>
      <w:r>
        <w:t>media and CSO platforms</w:t>
      </w:r>
      <w:r w:rsidRPr="004366F7">
        <w:t xml:space="preserve"> to be able to respond to the needs of the population. </w:t>
      </w:r>
      <w:r>
        <w:t xml:space="preserve">The mass media legislation reform resulted in the birth of the most progressive and liberal media laws and </w:t>
      </w:r>
      <w:r w:rsidRPr="00B22F10">
        <w:t xml:space="preserve">GDPP support contributed to increased visibility, credibility, and independence of key democratic intuitions. </w:t>
      </w:r>
    </w:p>
    <w:p w14:paraId="43D79870" w14:textId="77777777" w:rsidR="00C12C91" w:rsidRDefault="00C12C91" w:rsidP="000810C9">
      <w:pPr>
        <w:pStyle w:val="ListParagraph"/>
        <w:spacing w:line="240" w:lineRule="auto"/>
      </w:pPr>
    </w:p>
    <w:p w14:paraId="40FFDF3F" w14:textId="7318778D" w:rsidR="00C12C91" w:rsidRDefault="00C12C91" w:rsidP="000810C9">
      <w:pPr>
        <w:pStyle w:val="ListParagraph"/>
        <w:numPr>
          <w:ilvl w:val="0"/>
          <w:numId w:val="3"/>
        </w:numPr>
        <w:spacing w:line="240" w:lineRule="auto"/>
        <w:jc w:val="both"/>
      </w:pPr>
      <w:r>
        <w:t xml:space="preserve">The Programme continued supporting democratic and accountability institutions in reinforcing their professional independence with the aim of creating an environment conducive to participation and inclusion. The key element of GDPP’s contribution has been on ‘inclusion’ and ensuring awareness raising for large segments of society on their rights in terms of political and civic participation. For example, democratic institutions and executive organs (such as EHRC, FEACC, EIO and EBA) organized awareness raising sessions for enhancing the participation of civic societies and citizens in political processes, including fighting corruption. </w:t>
      </w:r>
      <w:proofErr w:type="gramStart"/>
      <w:r w:rsidRPr="00DB6915">
        <w:t>A number of</w:t>
      </w:r>
      <w:proofErr w:type="gramEnd"/>
      <w:r w:rsidRPr="00DB6915">
        <w:t xml:space="preserve"> citizens’ empowerment initiatives have been undertaken through the programme support</w:t>
      </w:r>
      <w:r>
        <w:t>ing</w:t>
      </w:r>
      <w:r w:rsidRPr="00DB6915">
        <w:t xml:space="preserve"> countrywide consultations about </w:t>
      </w:r>
      <w:r w:rsidRPr="00D56E03">
        <w:t>governance and accountability</w:t>
      </w:r>
      <w:r>
        <w:t>. These have</w:t>
      </w:r>
      <w:r w:rsidRPr="00DB6915">
        <w:t xml:space="preserve"> coupled with </w:t>
      </w:r>
      <w:r>
        <w:t xml:space="preserve">the </w:t>
      </w:r>
      <w:r w:rsidRPr="00DB6915">
        <w:t xml:space="preserve">deliberate involvement of various social groups such as women, </w:t>
      </w:r>
      <w:proofErr w:type="gramStart"/>
      <w:r w:rsidRPr="00DB6915">
        <w:t>youth</w:t>
      </w:r>
      <w:proofErr w:type="gramEnd"/>
      <w:r w:rsidRPr="00DB6915">
        <w:t xml:space="preserve"> and Civil Society Organisations </w:t>
      </w:r>
      <w:r>
        <w:t xml:space="preserve">to disseminate </w:t>
      </w:r>
      <w:r w:rsidRPr="00DB6915">
        <w:t>vital and empowering information</w:t>
      </w:r>
      <w:r>
        <w:t>.</w:t>
      </w:r>
      <w:r w:rsidRPr="00DB6915">
        <w:t xml:space="preserve"> This has great potential </w:t>
      </w:r>
      <w:r>
        <w:t>for</w:t>
      </w:r>
      <w:r w:rsidRPr="00DB6915">
        <w:t xml:space="preserve"> increasing </w:t>
      </w:r>
      <w:r>
        <w:t xml:space="preserve">the </w:t>
      </w:r>
      <w:r w:rsidRPr="00DB6915">
        <w:t xml:space="preserve">demand for better services and accountability from duty bearers, which are all critical ingredients of peacebuilding, democratisation, and human rights protection. </w:t>
      </w:r>
      <w:r>
        <w:t>IPs have</w:t>
      </w:r>
      <w:r w:rsidRPr="00DB6915">
        <w:t xml:space="preserve"> </w:t>
      </w:r>
      <w:r>
        <w:t>contributed by sharing</w:t>
      </w:r>
      <w:r w:rsidRPr="00DB6915">
        <w:t xml:space="preserve"> valuable information </w:t>
      </w:r>
      <w:r>
        <w:t>on governance and accountability issues</w:t>
      </w:r>
      <w:r w:rsidRPr="00DB6915">
        <w:t xml:space="preserve"> </w:t>
      </w:r>
      <w:r>
        <w:t>with</w:t>
      </w:r>
      <w:r w:rsidRPr="00DB6915">
        <w:t xml:space="preserve"> the public </w:t>
      </w:r>
      <w:r>
        <w:t>through</w:t>
      </w:r>
      <w:r w:rsidRPr="00DB6915">
        <w:t xml:space="preserve"> </w:t>
      </w:r>
      <w:r w:rsidR="000A5B91">
        <w:t>n</w:t>
      </w:r>
      <w:r>
        <w:t>ewsletters and radio programmes.</w:t>
      </w:r>
    </w:p>
    <w:p w14:paraId="33245692" w14:textId="77777777" w:rsidR="00C12C91" w:rsidRDefault="00C12C91" w:rsidP="000810C9">
      <w:pPr>
        <w:pStyle w:val="ListParagraph"/>
        <w:spacing w:line="240" w:lineRule="auto"/>
        <w:ind w:left="450"/>
        <w:jc w:val="both"/>
      </w:pPr>
    </w:p>
    <w:p w14:paraId="1419DAFC" w14:textId="77777777" w:rsidR="00C12C91" w:rsidRDefault="00C12C91" w:rsidP="000810C9">
      <w:pPr>
        <w:pStyle w:val="ListParagraph"/>
        <w:numPr>
          <w:ilvl w:val="0"/>
          <w:numId w:val="3"/>
        </w:numPr>
        <w:spacing w:line="240" w:lineRule="auto"/>
        <w:jc w:val="both"/>
      </w:pPr>
      <w:r>
        <w:t xml:space="preserve">An important impact has been that there is now </w:t>
      </w:r>
      <w:r w:rsidRPr="00DB6915">
        <w:t xml:space="preserve">a basis for the public to demand accountability </w:t>
      </w:r>
      <w:r>
        <w:t xml:space="preserve">in </w:t>
      </w:r>
      <w:r w:rsidRPr="00DB6915">
        <w:t xml:space="preserve">the </w:t>
      </w:r>
      <w:r w:rsidRPr="00D56E03">
        <w:t>democratic governance</w:t>
      </w:r>
      <w:r w:rsidRPr="00DB6915">
        <w:t xml:space="preserve"> sector. Although the transformative gains at the citizenry level are still low, this </w:t>
      </w:r>
      <w:r>
        <w:t>approach</w:t>
      </w:r>
      <w:r w:rsidRPr="00DB6915">
        <w:t xml:space="preserve"> has potential </w:t>
      </w:r>
      <w:r>
        <w:t>to</w:t>
      </w:r>
      <w:r w:rsidRPr="00DB6915">
        <w:t xml:space="preserve"> yield greater </w:t>
      </w:r>
      <w:r>
        <w:t xml:space="preserve">benefits </w:t>
      </w:r>
      <w:r w:rsidRPr="00DB6915">
        <w:t>for the general population both in the medium and long term</w:t>
      </w:r>
      <w:r>
        <w:t>.</w:t>
      </w:r>
    </w:p>
    <w:p w14:paraId="3EF2B503" w14:textId="77777777" w:rsidR="00C12C91" w:rsidRDefault="00C12C91" w:rsidP="000810C9">
      <w:pPr>
        <w:pStyle w:val="ListParagraph"/>
        <w:spacing w:line="240" w:lineRule="auto"/>
      </w:pPr>
    </w:p>
    <w:p w14:paraId="0017082A" w14:textId="642965CD" w:rsidR="00C12C91" w:rsidRDefault="00C12C91" w:rsidP="000810C9">
      <w:pPr>
        <w:pStyle w:val="ListParagraph"/>
        <w:numPr>
          <w:ilvl w:val="0"/>
          <w:numId w:val="3"/>
        </w:numPr>
        <w:spacing w:line="240" w:lineRule="auto"/>
        <w:jc w:val="both"/>
      </w:pPr>
      <w:r>
        <w:lastRenderedPageBreak/>
        <w:t xml:space="preserve">Overall, the </w:t>
      </w:r>
      <w:r w:rsidRPr="0010215F">
        <w:t xml:space="preserve">GDPP </w:t>
      </w:r>
      <w:r>
        <w:t>impacted</w:t>
      </w:r>
      <w:r w:rsidRPr="0010215F">
        <w:t xml:space="preserve"> </w:t>
      </w:r>
      <w:r>
        <w:t>the country’s</w:t>
      </w:r>
      <w:r w:rsidRPr="0010215F">
        <w:t xml:space="preserve"> democratic governance landscape through promoting,</w:t>
      </w:r>
      <w:r>
        <w:t xml:space="preserve"> </w:t>
      </w:r>
      <w:r w:rsidRPr="0010215F">
        <w:t>cultivat</w:t>
      </w:r>
      <w:r>
        <w:t>ing, and capacitating national/</w:t>
      </w:r>
      <w:r w:rsidRPr="0010215F">
        <w:t>and regional forums</w:t>
      </w:r>
      <w:r>
        <w:t>, platforms,</w:t>
      </w:r>
      <w:r w:rsidRPr="0010215F">
        <w:t xml:space="preserve"> and coalitions</w:t>
      </w:r>
      <w:r>
        <w:t xml:space="preserve"> thereby</w:t>
      </w:r>
      <w:r w:rsidRPr="0010215F">
        <w:t xml:space="preserve"> </w:t>
      </w:r>
      <w:r>
        <w:t>positively impacting improved governance and human rights. However, as indicated in paragraph 4</w:t>
      </w:r>
      <w:r w:rsidR="000A5B91">
        <w:t>7</w:t>
      </w:r>
      <w:r>
        <w:t xml:space="preserve">, above, major results will only become apparent after many </w:t>
      </w:r>
      <w:proofErr w:type="gramStart"/>
      <w:r>
        <w:t>years</w:t>
      </w:r>
      <w:proofErr w:type="gramEnd"/>
      <w:r>
        <w:t xml:space="preserve"> and it is impossible to measure any significant progress in the short term. </w:t>
      </w:r>
    </w:p>
    <w:p w14:paraId="0EA0DF18" w14:textId="77777777" w:rsidR="00C12C91" w:rsidRDefault="00C12C91" w:rsidP="000810C9">
      <w:pPr>
        <w:spacing w:line="240" w:lineRule="auto"/>
        <w:jc w:val="both"/>
      </w:pPr>
      <w:r>
        <w:t>Specific comments from interviewees:</w:t>
      </w:r>
    </w:p>
    <w:p w14:paraId="4C9B5929" w14:textId="77777777" w:rsidR="00C12C91" w:rsidRDefault="00C12C91" w:rsidP="000810C9">
      <w:pPr>
        <w:pStyle w:val="ListParagraph"/>
        <w:numPr>
          <w:ilvl w:val="0"/>
          <w:numId w:val="11"/>
        </w:numPr>
        <w:spacing w:before="240" w:line="240" w:lineRule="auto"/>
        <w:jc w:val="both"/>
        <w:textAlignment w:val="baseline"/>
      </w:pPr>
      <w:r>
        <w:t>Training modules will have long-term impact in enhancing personal skills and institutional systems.</w:t>
      </w:r>
    </w:p>
    <w:p w14:paraId="7EB85F4A" w14:textId="77777777" w:rsidR="00C12C91" w:rsidRDefault="00C12C91" w:rsidP="000810C9">
      <w:pPr>
        <w:pStyle w:val="ListParagraph"/>
        <w:numPr>
          <w:ilvl w:val="0"/>
          <w:numId w:val="11"/>
        </w:numPr>
        <w:spacing w:before="240" w:line="240" w:lineRule="auto"/>
        <w:jc w:val="both"/>
        <w:textAlignment w:val="baseline"/>
      </w:pPr>
      <w:r>
        <w:t>GDPP support has enhanced and triggered positive changes in organisational structures.</w:t>
      </w:r>
    </w:p>
    <w:p w14:paraId="022C8901" w14:textId="77777777" w:rsidR="00C12C91" w:rsidRDefault="00C12C91" w:rsidP="000810C9">
      <w:pPr>
        <w:pStyle w:val="ListParagraph"/>
        <w:numPr>
          <w:ilvl w:val="0"/>
          <w:numId w:val="11"/>
        </w:numPr>
        <w:spacing w:before="240" w:line="240" w:lineRule="auto"/>
        <w:jc w:val="both"/>
        <w:textAlignment w:val="baseline"/>
      </w:pPr>
      <w:r>
        <w:t>Systems in place improved reporting and data collection.</w:t>
      </w:r>
    </w:p>
    <w:p w14:paraId="0190AD3B" w14:textId="77777777" w:rsidR="00C12C91" w:rsidRDefault="00C12C91" w:rsidP="000810C9">
      <w:pPr>
        <w:pStyle w:val="ListParagraph"/>
        <w:spacing w:before="240" w:line="240" w:lineRule="auto"/>
        <w:ind w:left="1800"/>
        <w:jc w:val="both"/>
        <w:textAlignment w:val="baseline"/>
      </w:pPr>
    </w:p>
    <w:p w14:paraId="265256F3" w14:textId="77777777" w:rsidR="00C12C91" w:rsidRPr="00E2395F" w:rsidRDefault="00C12C91" w:rsidP="000810C9">
      <w:pPr>
        <w:spacing w:before="240" w:line="240" w:lineRule="auto"/>
        <w:ind w:left="90"/>
        <w:jc w:val="both"/>
        <w:textAlignment w:val="baseline"/>
        <w:rPr>
          <w:rFonts w:eastAsia="Times New Roman" w:cstheme="minorHAnsi"/>
          <w:b/>
          <w:bCs/>
          <w:iCs/>
          <w:color w:val="FF0000"/>
          <w:bdr w:val="none" w:sz="0" w:space="0" w:color="auto" w:frame="1"/>
          <w:lang w:eastAsia="en-CA"/>
        </w:rPr>
      </w:pPr>
      <w:r>
        <w:rPr>
          <w:rFonts w:eastAsia="Times New Roman" w:cstheme="minorHAnsi"/>
          <w:b/>
          <w:bCs/>
          <w:iCs/>
          <w:bdr w:val="none" w:sz="0" w:space="0" w:color="auto" w:frame="1"/>
          <w:lang w:eastAsia="en-CA"/>
        </w:rPr>
        <w:t>3</w:t>
      </w:r>
      <w:r w:rsidRPr="00FD0C06">
        <w:rPr>
          <w:rFonts w:eastAsia="Times New Roman" w:cstheme="minorHAnsi"/>
          <w:b/>
          <w:bCs/>
          <w:iCs/>
          <w:bdr w:val="none" w:sz="0" w:space="0" w:color="auto" w:frame="1"/>
          <w:lang w:eastAsia="en-CA"/>
        </w:rPr>
        <w:t>.1.</w:t>
      </w:r>
      <w:r w:rsidRPr="00BE6830">
        <w:rPr>
          <w:rFonts w:eastAsia="Times New Roman" w:cstheme="minorHAnsi"/>
          <w:b/>
          <w:bCs/>
          <w:iCs/>
          <w:bdr w:val="none" w:sz="0" w:space="0" w:color="auto" w:frame="1"/>
          <w:lang w:eastAsia="en-CA"/>
        </w:rPr>
        <w:t>5 Sustainability</w:t>
      </w:r>
    </w:p>
    <w:p w14:paraId="3FDE80B0" w14:textId="1A238AA1" w:rsidR="00C12C91" w:rsidRPr="00AC1C6A" w:rsidRDefault="00C12C91" w:rsidP="000810C9">
      <w:pPr>
        <w:pStyle w:val="ListParagraph"/>
        <w:numPr>
          <w:ilvl w:val="0"/>
          <w:numId w:val="3"/>
        </w:numPr>
        <w:spacing w:before="240" w:after="0" w:line="240" w:lineRule="auto"/>
        <w:jc w:val="both"/>
        <w:textAlignment w:val="baseline"/>
      </w:pPr>
      <w:r w:rsidRPr="00F333AD">
        <w:t xml:space="preserve">Sustainability is part of a commitment to ensure that </w:t>
      </w:r>
      <w:r>
        <w:t>programme</w:t>
      </w:r>
      <w:r w:rsidRPr="00F333AD">
        <w:t xml:space="preserve"> implementation at all levels is carried out in a productive, </w:t>
      </w:r>
      <w:proofErr w:type="gramStart"/>
      <w:r w:rsidRPr="00F333AD">
        <w:t>transparent</w:t>
      </w:r>
      <w:proofErr w:type="gramEnd"/>
      <w:r w:rsidRPr="00F333AD">
        <w:t xml:space="preserve"> and accountable way.</w:t>
      </w:r>
      <w:r w:rsidRPr="00034BE1">
        <w:rPr>
          <w:rFonts w:cstheme="minorHAnsi"/>
        </w:rPr>
        <w:t xml:space="preserve"> In the case of the GDPP, the key issue is whether the resources will be available to maintain progress in the future. </w:t>
      </w:r>
      <w:r w:rsidRPr="00034BE1">
        <w:rPr>
          <w:rFonts w:eastAsia="Times New Roman" w:cstheme="minorHAnsi"/>
          <w:bCs/>
          <w:iCs/>
          <w:bdr w:val="none" w:sz="0" w:space="0" w:color="auto" w:frame="1"/>
          <w:lang w:eastAsia="en-CA"/>
        </w:rPr>
        <w:t xml:space="preserve">There are several areas where UNDP support through the GDPP has created capacity that bodes well for the future sustainability of the kinds of activities developed to date. Policies and guidelines have been developed which, along with the various training exercises, should place the GoE in a stronger position to further develop and expand its programmes and services in the areas of democratisation and governance. Given that the support given to the IPs directly builds capacity to enable government officials and staff to implement and manage </w:t>
      </w:r>
      <w:proofErr w:type="gramStart"/>
      <w:r w:rsidRPr="00034BE1">
        <w:rPr>
          <w:rFonts w:eastAsia="Times New Roman" w:cstheme="minorHAnsi"/>
          <w:bCs/>
          <w:iCs/>
          <w:bdr w:val="none" w:sz="0" w:space="0" w:color="auto" w:frame="1"/>
          <w:lang w:eastAsia="en-CA"/>
        </w:rPr>
        <w:t>projects, and</w:t>
      </w:r>
      <w:proofErr w:type="gramEnd"/>
      <w:r w:rsidRPr="00034BE1">
        <w:rPr>
          <w:rFonts w:eastAsia="Times New Roman" w:cstheme="minorHAnsi"/>
          <w:bCs/>
          <w:iCs/>
          <w:bdr w:val="none" w:sz="0" w:space="0" w:color="auto" w:frame="1"/>
          <w:lang w:eastAsia="en-CA"/>
        </w:rPr>
        <w:t xml:space="preserve"> enhance the accountability and effectiveness of services that address the governance priorities of Ethiopia, they are inherently “sustainable.” However, a simple analysis of what </w:t>
      </w:r>
      <w:r>
        <w:rPr>
          <w:rFonts w:eastAsia="Times New Roman" w:cstheme="minorHAnsi"/>
          <w:bCs/>
          <w:iCs/>
          <w:bdr w:val="none" w:sz="0" w:space="0" w:color="auto" w:frame="1"/>
          <w:lang w:eastAsia="en-CA"/>
        </w:rPr>
        <w:t>underpins</w:t>
      </w:r>
      <w:r w:rsidRPr="00034BE1">
        <w:rPr>
          <w:rFonts w:eastAsia="Times New Roman" w:cstheme="minorHAnsi"/>
          <w:bCs/>
          <w:iCs/>
          <w:bdr w:val="none" w:sz="0" w:space="0" w:color="auto" w:frame="1"/>
          <w:lang w:eastAsia="en-CA"/>
        </w:rPr>
        <w:t xml:space="preserve"> sustainability indicate</w:t>
      </w:r>
      <w:r w:rsidR="000A5B91">
        <w:rPr>
          <w:rFonts w:eastAsia="Times New Roman" w:cstheme="minorHAnsi"/>
          <w:bCs/>
          <w:iCs/>
          <w:bdr w:val="none" w:sz="0" w:space="0" w:color="auto" w:frame="1"/>
          <w:lang w:eastAsia="en-CA"/>
        </w:rPr>
        <w:t>s</w:t>
      </w:r>
      <w:r w:rsidRPr="00034BE1">
        <w:rPr>
          <w:rFonts w:eastAsia="Times New Roman" w:cstheme="minorHAnsi"/>
          <w:bCs/>
          <w:iCs/>
          <w:bdr w:val="none" w:sz="0" w:space="0" w:color="auto" w:frame="1"/>
          <w:lang w:eastAsia="en-CA"/>
        </w:rPr>
        <w:t xml:space="preserve"> that the activities delivered would face significant challenges when it comes to their long-term viability without continued financial support, and that is in question.</w:t>
      </w:r>
      <w:r>
        <w:rPr>
          <w:rStyle w:val="FootnoteReference"/>
          <w:rFonts w:eastAsia="Times New Roman" w:cstheme="minorHAnsi"/>
          <w:bCs/>
          <w:iCs/>
          <w:bdr w:val="none" w:sz="0" w:space="0" w:color="auto" w:frame="1"/>
          <w:lang w:eastAsia="en-CA"/>
        </w:rPr>
        <w:footnoteReference w:id="45"/>
      </w:r>
      <w:r w:rsidRPr="00034BE1">
        <w:rPr>
          <w:rFonts w:eastAsia="Times New Roman" w:cstheme="minorHAnsi"/>
          <w:bCs/>
          <w:iCs/>
          <w:bdr w:val="none" w:sz="0" w:space="0" w:color="auto" w:frame="1"/>
          <w:lang w:eastAsia="en-CA"/>
        </w:rPr>
        <w:t xml:space="preserve"> </w:t>
      </w:r>
    </w:p>
    <w:p w14:paraId="55FBB385" w14:textId="77777777" w:rsidR="00C12C91" w:rsidRPr="00FD0C06" w:rsidRDefault="00C12C91" w:rsidP="000810C9">
      <w:pPr>
        <w:pStyle w:val="ListParagraph"/>
        <w:spacing w:before="240" w:after="0" w:line="240" w:lineRule="auto"/>
        <w:ind w:left="450"/>
        <w:jc w:val="both"/>
        <w:textAlignment w:val="baseline"/>
      </w:pPr>
    </w:p>
    <w:p w14:paraId="3422D3BA" w14:textId="77777777" w:rsidR="00C12C91" w:rsidRPr="00D51805" w:rsidRDefault="00C12C91" w:rsidP="000810C9">
      <w:pPr>
        <w:pStyle w:val="ListParagraph"/>
        <w:numPr>
          <w:ilvl w:val="0"/>
          <w:numId w:val="3"/>
        </w:numPr>
        <w:spacing w:before="240" w:after="0" w:line="240" w:lineRule="auto"/>
        <w:jc w:val="both"/>
        <w:textAlignment w:val="baseline"/>
        <w:rPr>
          <w:rFonts w:eastAsia="Times New Roman" w:cstheme="minorHAnsi"/>
          <w:lang w:eastAsia="en-CA"/>
        </w:rPr>
      </w:pPr>
      <w:r w:rsidRPr="00034BE1">
        <w:rPr>
          <w:rFonts w:eastAsia="Times New Roman" w:cstheme="minorHAnsi"/>
          <w:lang w:eastAsia="en-CA"/>
        </w:rPr>
        <w:t xml:space="preserve">From the outset of the GDPP, donors have provided generous support to it. However, in interviews, most were non-committal about whether they would (or could) continue their funding when the present programme expires. </w:t>
      </w:r>
      <w:r>
        <w:t>The</w:t>
      </w:r>
      <w:r w:rsidRPr="00944810">
        <w:t xml:space="preserve"> continued instability </w:t>
      </w:r>
      <w:r>
        <w:t xml:space="preserve">in the north of the country, </w:t>
      </w:r>
      <w:r w:rsidRPr="00944810">
        <w:t xml:space="preserve">and </w:t>
      </w:r>
      <w:r>
        <w:t xml:space="preserve">the </w:t>
      </w:r>
      <w:r w:rsidRPr="00944810">
        <w:t xml:space="preserve">erosion of </w:t>
      </w:r>
      <w:r>
        <w:t xml:space="preserve">human </w:t>
      </w:r>
      <w:proofErr w:type="gramStart"/>
      <w:r>
        <w:t>rights norms in particular</w:t>
      </w:r>
      <w:r w:rsidRPr="00944810">
        <w:t xml:space="preserve">, </w:t>
      </w:r>
      <w:r>
        <w:t>has</w:t>
      </w:r>
      <w:proofErr w:type="gramEnd"/>
      <w:r>
        <w:t xml:space="preserve"> been flagged by donors as a major problem affecting their commitment to continue funding the GDPP. </w:t>
      </w:r>
      <w:r w:rsidRPr="00034BE1">
        <w:rPr>
          <w:rFonts w:eastAsia="Times New Roman" w:cstheme="minorHAnsi"/>
          <w:lang w:eastAsia="en-CA"/>
        </w:rPr>
        <w:t xml:space="preserve">Although the sample is small, on balance, there are more who waver than there were those who remain committed. </w:t>
      </w:r>
      <w:r>
        <w:t xml:space="preserve">In some cases, pressure has come from donors’ headquarters to reassess funding to state institutions because of the ongoing conflict. In general, future funding will depend on the context, i.e., the security situation. </w:t>
      </w:r>
    </w:p>
    <w:p w14:paraId="37215B51" w14:textId="77777777" w:rsidR="00C12C91" w:rsidRDefault="00C12C91" w:rsidP="000810C9">
      <w:pPr>
        <w:pStyle w:val="ListParagraph"/>
        <w:spacing w:line="240" w:lineRule="auto"/>
      </w:pPr>
    </w:p>
    <w:p w14:paraId="15B8F69D" w14:textId="77777777" w:rsidR="00C12C91" w:rsidRPr="00FD0C06" w:rsidRDefault="00C12C91" w:rsidP="000810C9">
      <w:pPr>
        <w:pStyle w:val="ListParagraph"/>
        <w:numPr>
          <w:ilvl w:val="0"/>
          <w:numId w:val="3"/>
        </w:numPr>
        <w:spacing w:before="240" w:after="0" w:line="240" w:lineRule="auto"/>
        <w:jc w:val="both"/>
        <w:textAlignment w:val="baseline"/>
        <w:rPr>
          <w:rFonts w:eastAsia="Times New Roman" w:cstheme="minorHAnsi"/>
          <w:lang w:eastAsia="en-CA"/>
        </w:rPr>
      </w:pPr>
      <w:r>
        <w:t>Sustainability, at least in terms of external funding, is therefore an uncertain</w:t>
      </w:r>
      <w:r w:rsidRPr="00944810">
        <w:t xml:space="preserve"> </w:t>
      </w:r>
      <w:r>
        <w:t xml:space="preserve">element in </w:t>
      </w:r>
      <w:r w:rsidRPr="00944810">
        <w:t xml:space="preserve">the </w:t>
      </w:r>
      <w:r>
        <w:t>future development of the GDPP</w:t>
      </w:r>
      <w:r w:rsidRPr="00944810">
        <w:t>.</w:t>
      </w:r>
      <w:r w:rsidRPr="00F333AD">
        <w:t xml:space="preserve"> </w:t>
      </w:r>
      <w:r w:rsidRPr="0082044A">
        <w:rPr>
          <w:rFonts w:cstheme="minorHAnsi"/>
          <w:color w:val="222222"/>
          <w:shd w:val="clear" w:color="auto" w:fill="FFFFFF"/>
        </w:rPr>
        <w:t xml:space="preserve">It may not be appropriate to call this donor fatigue but, given that some donors are cutting back on their assistance programmes globally, it could presage a re-evaluation by some of them of their support for the GDPP. </w:t>
      </w:r>
    </w:p>
    <w:p w14:paraId="73D9A3BF" w14:textId="77777777" w:rsidR="00C12C91" w:rsidRDefault="00C12C91" w:rsidP="000810C9">
      <w:pPr>
        <w:spacing w:before="240" w:line="240" w:lineRule="auto"/>
        <w:ind w:firstLine="450"/>
        <w:jc w:val="both"/>
        <w:textAlignment w:val="baseline"/>
      </w:pPr>
      <w:r>
        <w:t>Specific comments from interviewees:</w:t>
      </w:r>
    </w:p>
    <w:p w14:paraId="7F6BD7DC" w14:textId="77777777" w:rsidR="00C12C91" w:rsidRDefault="00C12C91" w:rsidP="000810C9">
      <w:pPr>
        <w:pStyle w:val="ListParagraph"/>
        <w:numPr>
          <w:ilvl w:val="0"/>
          <w:numId w:val="12"/>
        </w:numPr>
        <w:spacing w:before="240" w:line="240" w:lineRule="auto"/>
        <w:jc w:val="both"/>
        <w:textAlignment w:val="baseline"/>
        <w:rPr>
          <w:rFonts w:eastAsia="Times New Roman" w:cstheme="minorHAnsi"/>
          <w:lang w:eastAsia="en-CA"/>
        </w:rPr>
      </w:pPr>
      <w:r>
        <w:rPr>
          <w:rFonts w:eastAsia="Times New Roman" w:cstheme="minorHAnsi"/>
          <w:lang w:eastAsia="en-CA"/>
        </w:rPr>
        <w:lastRenderedPageBreak/>
        <w:t>Discontinuity in funding will end, or reverse, most gains because government support is insufficient to maintain progress.</w:t>
      </w:r>
    </w:p>
    <w:p w14:paraId="67450E54" w14:textId="77777777" w:rsidR="00C12C91" w:rsidRDefault="00C12C91" w:rsidP="000810C9">
      <w:pPr>
        <w:pStyle w:val="ListParagraph"/>
        <w:numPr>
          <w:ilvl w:val="0"/>
          <w:numId w:val="12"/>
        </w:numPr>
        <w:spacing w:before="240" w:line="240" w:lineRule="auto"/>
        <w:jc w:val="both"/>
        <w:textAlignment w:val="baseline"/>
        <w:rPr>
          <w:rFonts w:eastAsia="Times New Roman" w:cstheme="minorHAnsi"/>
          <w:lang w:eastAsia="en-CA"/>
        </w:rPr>
      </w:pPr>
      <w:r>
        <w:rPr>
          <w:rFonts w:eastAsia="Times New Roman" w:cstheme="minorHAnsi"/>
          <w:lang w:eastAsia="en-CA"/>
        </w:rPr>
        <w:t>It is difficult to say what activities would be sustainable at the local level because there has not been any substantive support to the regions anyway.</w:t>
      </w:r>
    </w:p>
    <w:p w14:paraId="5F438CA6" w14:textId="77777777" w:rsidR="00C12C91" w:rsidRDefault="00C12C91" w:rsidP="000810C9">
      <w:pPr>
        <w:pStyle w:val="ListParagraph"/>
        <w:numPr>
          <w:ilvl w:val="0"/>
          <w:numId w:val="12"/>
        </w:numPr>
        <w:spacing w:before="240" w:line="240" w:lineRule="auto"/>
        <w:jc w:val="both"/>
        <w:textAlignment w:val="baseline"/>
        <w:rPr>
          <w:rFonts w:eastAsia="Times New Roman" w:cstheme="minorHAnsi"/>
          <w:lang w:eastAsia="en-CA"/>
        </w:rPr>
      </w:pPr>
      <w:r>
        <w:rPr>
          <w:rFonts w:eastAsia="Times New Roman" w:cstheme="minorHAnsi"/>
          <w:lang w:eastAsia="en-CA"/>
        </w:rPr>
        <w:t>Skills learned from trainings will remain with the recipients but there is a risk that trained people will move to better paying opportunities; the continuity of institutional memory depends on ongoing funding.</w:t>
      </w:r>
    </w:p>
    <w:p w14:paraId="3D7797DE" w14:textId="77777777" w:rsidR="00C12C91" w:rsidRDefault="00C12C91" w:rsidP="00C12C91">
      <w:pPr>
        <w:pStyle w:val="ListParagraph"/>
      </w:pPr>
    </w:p>
    <w:p w14:paraId="3009F824" w14:textId="77777777" w:rsidR="00C12C91" w:rsidRPr="00FD0C06" w:rsidRDefault="00C12C91" w:rsidP="00C12C91">
      <w:pPr>
        <w:spacing w:before="240" w:line="360" w:lineRule="auto"/>
        <w:ind w:left="90"/>
        <w:jc w:val="both"/>
        <w:textAlignment w:val="baseline"/>
        <w:rPr>
          <w:rFonts w:cstheme="minorHAnsi"/>
          <w:b/>
          <w:color w:val="222222"/>
          <w:shd w:val="clear" w:color="auto" w:fill="FFFFFF"/>
        </w:rPr>
      </w:pPr>
      <w:r w:rsidRPr="00FD0C06">
        <w:rPr>
          <w:rFonts w:cstheme="minorHAnsi"/>
          <w:b/>
          <w:color w:val="222222"/>
          <w:shd w:val="clear" w:color="auto" w:fill="FFFFFF"/>
        </w:rPr>
        <w:t>4.1.6 Cross-cutting Issues</w:t>
      </w:r>
    </w:p>
    <w:p w14:paraId="0981446A" w14:textId="77777777" w:rsidR="00C12C91" w:rsidRPr="0082044A" w:rsidRDefault="00C12C91" w:rsidP="000810C9">
      <w:pPr>
        <w:pStyle w:val="ListParagraph"/>
        <w:numPr>
          <w:ilvl w:val="0"/>
          <w:numId w:val="3"/>
        </w:numPr>
        <w:spacing w:before="240" w:after="0" w:line="240" w:lineRule="auto"/>
        <w:jc w:val="both"/>
        <w:textAlignment w:val="baseline"/>
        <w:rPr>
          <w:rFonts w:eastAsia="Times New Roman" w:cstheme="minorHAnsi"/>
          <w:lang w:eastAsia="en-CA"/>
        </w:rPr>
      </w:pPr>
      <w:r w:rsidRPr="0082044A">
        <w:rPr>
          <w:rFonts w:cstheme="minorHAnsi"/>
          <w:color w:val="222222"/>
          <w:shd w:val="clear" w:color="auto" w:fill="FFFFFF"/>
        </w:rPr>
        <w:t>It is not evident that cross-cutting issues - gender and human rights - are fully integrated into all programme activities, nor is there a clear understanding of what this would involve.</w:t>
      </w:r>
      <w:r w:rsidRPr="0082044A">
        <w:rPr>
          <w:rFonts w:eastAsia="Times New Roman" w:cstheme="minorHAnsi"/>
          <w:lang w:eastAsia="en-CA"/>
        </w:rPr>
        <w:t xml:space="preserve"> That said, there has been slow but steady progress on legislative and policy reform on gender-related issues. On human rights, the GDPP, by enhancing people’s access to basic information, e.g., about elections, supports the aim of strengthening good governance and increasing citizens’ engagement in areas that respond to their needs.</w:t>
      </w:r>
    </w:p>
    <w:p w14:paraId="3F2A46FD" w14:textId="77777777" w:rsidR="00C12C91" w:rsidRDefault="00C12C91" w:rsidP="000810C9">
      <w:pPr>
        <w:spacing w:before="240" w:line="240" w:lineRule="auto"/>
        <w:jc w:val="both"/>
        <w:textAlignment w:val="baseline"/>
        <w:rPr>
          <w:rFonts w:eastAsia="Times New Roman" w:cstheme="minorHAnsi"/>
          <w:i/>
          <w:lang w:eastAsia="en-CA"/>
        </w:rPr>
      </w:pPr>
      <w:r w:rsidRPr="00EA73E3">
        <w:rPr>
          <w:rFonts w:eastAsia="Times New Roman" w:cstheme="minorHAnsi"/>
          <w:i/>
          <w:lang w:eastAsia="en-CA"/>
        </w:rPr>
        <w:t>Gender</w:t>
      </w:r>
      <w:r>
        <w:rPr>
          <w:rFonts w:eastAsia="Times New Roman" w:cstheme="minorHAnsi"/>
          <w:i/>
          <w:lang w:eastAsia="en-CA"/>
        </w:rPr>
        <w:t>:</w:t>
      </w:r>
    </w:p>
    <w:p w14:paraId="5B65458B" w14:textId="03A62B31" w:rsidR="00785A1B" w:rsidRPr="00785A1B" w:rsidRDefault="00C12C91" w:rsidP="000810C9">
      <w:pPr>
        <w:pStyle w:val="ListParagraph"/>
        <w:numPr>
          <w:ilvl w:val="0"/>
          <w:numId w:val="3"/>
        </w:numPr>
        <w:spacing w:before="240" w:after="0" w:line="240" w:lineRule="auto"/>
        <w:jc w:val="both"/>
        <w:textAlignment w:val="baseline"/>
      </w:pPr>
      <w:r w:rsidRPr="00785A1B">
        <w:rPr>
          <w:rFonts w:eastAsia="Times New Roman" w:cstheme="minorHAnsi"/>
          <w:lang w:eastAsia="en-CA"/>
        </w:rPr>
        <w:t xml:space="preserve">Although </w:t>
      </w:r>
      <w:r>
        <w:t xml:space="preserve">gender was infused in all the work plans, and the IPs were given strong guidance through the technical leads embedded with them, it cannot be said that these initiatives have led to a significant gender impact. </w:t>
      </w:r>
      <w:r w:rsidR="005D4927" w:rsidRPr="00785A1B">
        <w:rPr>
          <w:rFonts w:eastAsia="Times New Roman" w:cstheme="minorHAnsi"/>
          <w:lang w:eastAsia="en-CA"/>
        </w:rPr>
        <w:t xml:space="preserve">It became apparent during the MTR that, despite </w:t>
      </w:r>
      <w:proofErr w:type="gramStart"/>
      <w:r w:rsidR="005D4927" w:rsidRPr="00785A1B">
        <w:rPr>
          <w:rFonts w:eastAsia="Times New Roman" w:cstheme="minorHAnsi"/>
          <w:lang w:eastAsia="en-CA"/>
        </w:rPr>
        <w:t>a number of</w:t>
      </w:r>
      <w:proofErr w:type="gramEnd"/>
      <w:r w:rsidR="005D4927" w:rsidRPr="00785A1B">
        <w:rPr>
          <w:rFonts w:eastAsia="Times New Roman" w:cstheme="minorHAnsi"/>
          <w:lang w:eastAsia="en-CA"/>
        </w:rPr>
        <w:t xml:space="preserve"> recommended gender-affirmative interventions</w:t>
      </w:r>
      <w:r w:rsidR="00C540C8">
        <w:rPr>
          <w:rFonts w:eastAsia="Times New Roman" w:cstheme="minorHAnsi"/>
          <w:lang w:eastAsia="en-CA"/>
        </w:rPr>
        <w:t>,</w:t>
      </w:r>
      <w:r w:rsidR="005D4927" w:rsidRPr="00785A1B">
        <w:rPr>
          <w:rFonts w:eastAsia="Times New Roman" w:cstheme="minorHAnsi"/>
          <w:lang w:eastAsia="en-CA"/>
        </w:rPr>
        <w:t xml:space="preserve"> more targeted support was needed to enable the IPs to fully integrate gender throughout their work.</w:t>
      </w:r>
      <w:r w:rsidR="005D4927">
        <w:rPr>
          <w:rStyle w:val="FootnoteReference"/>
          <w:rFonts w:eastAsia="Times New Roman" w:cstheme="minorHAnsi"/>
          <w:lang w:eastAsia="en-CA"/>
        </w:rPr>
        <w:footnoteReference w:id="46"/>
      </w:r>
      <w:r w:rsidR="005D4927" w:rsidRPr="00785A1B">
        <w:rPr>
          <w:rFonts w:eastAsia="Times New Roman" w:cstheme="minorHAnsi"/>
          <w:lang w:eastAsia="en-CA"/>
        </w:rPr>
        <w:t xml:space="preserve"> That remains the case. </w:t>
      </w:r>
    </w:p>
    <w:p w14:paraId="0DFA8CF2" w14:textId="77777777" w:rsidR="00785A1B" w:rsidRPr="00785A1B" w:rsidRDefault="00785A1B" w:rsidP="000810C9">
      <w:pPr>
        <w:pStyle w:val="ListParagraph"/>
        <w:spacing w:before="240" w:after="0" w:line="240" w:lineRule="auto"/>
        <w:ind w:left="450"/>
        <w:jc w:val="both"/>
        <w:textAlignment w:val="baseline"/>
      </w:pPr>
    </w:p>
    <w:p w14:paraId="2D988FB4" w14:textId="77777777" w:rsidR="00785A1B" w:rsidRPr="00785A1B" w:rsidRDefault="005D4927" w:rsidP="000810C9">
      <w:pPr>
        <w:pStyle w:val="ListParagraph"/>
        <w:numPr>
          <w:ilvl w:val="0"/>
          <w:numId w:val="3"/>
        </w:numPr>
        <w:spacing w:after="0" w:line="240" w:lineRule="auto"/>
        <w:jc w:val="both"/>
        <w:textAlignment w:val="baseline"/>
      </w:pPr>
      <w:r w:rsidRPr="00785A1B">
        <w:rPr>
          <w:rFonts w:cs="Calibri"/>
        </w:rPr>
        <w:t>The five GDPP output areas are of particular importance from the perspective of promoting gender equality and women empowerment</w:t>
      </w:r>
      <w:r w:rsidR="00785A1B" w:rsidRPr="00785A1B">
        <w:rPr>
          <w:rFonts w:cs="Calibri"/>
        </w:rPr>
        <w:t>.</w:t>
      </w:r>
      <w:r w:rsidRPr="00785A1B">
        <w:rPr>
          <w:rFonts w:cs="Calibri"/>
        </w:rPr>
        <w:t xml:space="preserve"> </w:t>
      </w:r>
      <w:r w:rsidR="00785A1B" w:rsidRPr="00785A1B">
        <w:rPr>
          <w:rFonts w:cs="Calibri"/>
        </w:rPr>
        <w:t xml:space="preserve">Essentially, </w:t>
      </w:r>
      <w:r w:rsidRPr="00785A1B">
        <w:rPr>
          <w:rFonts w:cs="Calibri"/>
        </w:rPr>
        <w:t xml:space="preserve">the programme’s focus </w:t>
      </w:r>
      <w:r w:rsidR="00785A1B" w:rsidRPr="00785A1B">
        <w:rPr>
          <w:rFonts w:cs="Calibri"/>
        </w:rPr>
        <w:t xml:space="preserve">on areas </w:t>
      </w:r>
      <w:r w:rsidRPr="00785A1B">
        <w:rPr>
          <w:rFonts w:cs="Calibri"/>
        </w:rPr>
        <w:t xml:space="preserve">such as rule of law, participation, accountability, and transparency are </w:t>
      </w:r>
      <w:r w:rsidR="00785A1B" w:rsidRPr="00785A1B">
        <w:rPr>
          <w:rFonts w:cs="Calibri"/>
        </w:rPr>
        <w:t>supportive of</w:t>
      </w:r>
      <w:r w:rsidRPr="00785A1B">
        <w:rPr>
          <w:rFonts w:cs="Calibri"/>
        </w:rPr>
        <w:t xml:space="preserve"> gender equality.  However, the </w:t>
      </w:r>
      <w:r w:rsidR="00785A1B" w:rsidRPr="00785A1B">
        <w:rPr>
          <w:rFonts w:cs="Calibri"/>
        </w:rPr>
        <w:t>ProDoc</w:t>
      </w:r>
      <w:r w:rsidRPr="00785A1B">
        <w:rPr>
          <w:rFonts w:cs="Calibri"/>
        </w:rPr>
        <w:t xml:space="preserve"> does not explicitly </w:t>
      </w:r>
      <w:r w:rsidR="00785A1B" w:rsidRPr="00785A1B">
        <w:rPr>
          <w:rFonts w:cs="Calibri"/>
        </w:rPr>
        <w:t>link</w:t>
      </w:r>
      <w:r w:rsidRPr="00785A1B">
        <w:rPr>
          <w:rFonts w:cs="Calibri"/>
        </w:rPr>
        <w:t xml:space="preserve"> these essential governance ingredients with gendered connections. </w:t>
      </w:r>
    </w:p>
    <w:p w14:paraId="72CD3289" w14:textId="77777777" w:rsidR="00785A1B" w:rsidRDefault="00785A1B" w:rsidP="000810C9">
      <w:pPr>
        <w:pStyle w:val="ListParagraph"/>
        <w:spacing w:line="240" w:lineRule="auto"/>
      </w:pPr>
    </w:p>
    <w:p w14:paraId="7F4D6D58" w14:textId="267EA808" w:rsidR="00E45869" w:rsidRDefault="00785A1B" w:rsidP="000810C9">
      <w:pPr>
        <w:pStyle w:val="ListParagraph"/>
        <w:numPr>
          <w:ilvl w:val="0"/>
          <w:numId w:val="3"/>
        </w:numPr>
        <w:spacing w:after="0" w:line="240" w:lineRule="auto"/>
        <w:jc w:val="both"/>
        <w:textAlignment w:val="baseline"/>
      </w:pPr>
      <w:r>
        <w:t xml:space="preserve">The </w:t>
      </w:r>
      <w:r w:rsidR="005D4927" w:rsidRPr="005D4927">
        <w:t>GDPP took differ</w:t>
      </w:r>
      <w:r>
        <w:t>ent sub-outputs and activities/</w:t>
      </w:r>
      <w:r w:rsidR="005D4927" w:rsidRPr="005D4927">
        <w:t xml:space="preserve">indicators to prioritize </w:t>
      </w:r>
      <w:r>
        <w:t xml:space="preserve">the </w:t>
      </w:r>
      <w:r w:rsidR="005D4927" w:rsidRPr="005D4927">
        <w:t xml:space="preserve">needs of women and promote their participation in the programme. </w:t>
      </w:r>
      <w:r>
        <w:t>For</w:t>
      </w:r>
      <w:r w:rsidR="005D4927" w:rsidRPr="005D4927">
        <w:t xml:space="preserve"> example, some of these include enhancing </w:t>
      </w:r>
      <w:r>
        <w:t xml:space="preserve">the </w:t>
      </w:r>
      <w:r w:rsidR="005D4927" w:rsidRPr="005D4927">
        <w:t>role and participation of women and youth in politics</w:t>
      </w:r>
      <w:r>
        <w:t>,</w:t>
      </w:r>
      <w:r w:rsidR="005D4927" w:rsidRPr="005D4927">
        <w:t xml:space="preserve"> public </w:t>
      </w:r>
      <w:proofErr w:type="gramStart"/>
      <w:r w:rsidR="005D4927" w:rsidRPr="005D4927">
        <w:t>decision-making</w:t>
      </w:r>
      <w:proofErr w:type="gramEnd"/>
      <w:r w:rsidR="005D4927" w:rsidRPr="005D4927">
        <w:t xml:space="preserve"> and staff capacity development trainings on gender analysis. While </w:t>
      </w:r>
      <w:r>
        <w:t xml:space="preserve">the </w:t>
      </w:r>
      <w:r w:rsidR="005D4927" w:rsidRPr="005D4927">
        <w:t xml:space="preserve">initial programme design was informed by context assessments, gender analysis was </w:t>
      </w:r>
      <w:r>
        <w:t>lacking</w:t>
      </w:r>
      <w:r w:rsidR="005D4927" w:rsidRPr="005D4927">
        <w:t xml:space="preserve"> which resulted in </w:t>
      </w:r>
      <w:r>
        <w:t>the failure</w:t>
      </w:r>
      <w:r w:rsidR="005D4927" w:rsidRPr="005D4927">
        <w:t xml:space="preserve"> to develop the identification, </w:t>
      </w:r>
      <w:proofErr w:type="gramStart"/>
      <w:r w:rsidR="005D4927" w:rsidRPr="005D4927">
        <w:t>design</w:t>
      </w:r>
      <w:proofErr w:type="gramEnd"/>
      <w:r w:rsidR="005D4927" w:rsidRPr="005D4927">
        <w:t xml:space="preserve"> and planning of the most appropriate gender sensitive activities. In some cases, AWPs did not </w:t>
      </w:r>
      <w:r w:rsidR="00294707">
        <w:t>list</w:t>
      </w:r>
      <w:r w:rsidR="005D4927" w:rsidRPr="005D4927">
        <w:t xml:space="preserve"> gender disaggregated activities a</w:t>
      </w:r>
      <w:r>
        <w:t xml:space="preserve">lthough outputs usually </w:t>
      </w:r>
      <w:proofErr w:type="gramStart"/>
      <w:r>
        <w:t>stated</w:t>
      </w:r>
      <w:proofErr w:type="gramEnd"/>
      <w:r>
        <w:t xml:space="preserve"> “gender disaggregated data.”</w:t>
      </w:r>
      <w:r w:rsidR="005D4927" w:rsidRPr="005D4927">
        <w:rPr>
          <w:rStyle w:val="FootnoteReference"/>
        </w:rPr>
        <w:footnoteReference w:id="47"/>
      </w:r>
      <w:r>
        <w:t xml:space="preserve"> </w:t>
      </w:r>
      <w:r w:rsidR="00294707">
        <w:t>Moreover</w:t>
      </w:r>
      <w:r w:rsidR="005D4927" w:rsidRPr="005D4927">
        <w:t xml:space="preserve">, </w:t>
      </w:r>
      <w:r>
        <w:t>completed</w:t>
      </w:r>
      <w:r w:rsidR="005D4927" w:rsidRPr="005D4927">
        <w:t xml:space="preserve"> activities </w:t>
      </w:r>
      <w:r w:rsidR="00294707">
        <w:t>neglected to provide</w:t>
      </w:r>
      <w:r w:rsidR="005D4927" w:rsidRPr="005D4927">
        <w:t xml:space="preserve"> data and information</w:t>
      </w:r>
      <w:r w:rsidR="00294707">
        <w:t xml:space="preserve"> on gender</w:t>
      </w:r>
      <w:r>
        <w:t>.</w:t>
      </w:r>
      <w:r w:rsidR="005D4927" w:rsidRPr="005D4927">
        <w:rPr>
          <w:rStyle w:val="FootnoteReference"/>
        </w:rPr>
        <w:footnoteReference w:id="48"/>
      </w:r>
    </w:p>
    <w:p w14:paraId="2FB79D4C" w14:textId="77777777" w:rsidR="00E45869" w:rsidRDefault="00E45869" w:rsidP="000810C9">
      <w:pPr>
        <w:pStyle w:val="ListParagraph"/>
        <w:spacing w:line="240" w:lineRule="auto"/>
      </w:pPr>
    </w:p>
    <w:p w14:paraId="00E8C6C4" w14:textId="557E44AA" w:rsidR="00C540C8" w:rsidRPr="00C540C8" w:rsidRDefault="00E45869" w:rsidP="000810C9">
      <w:pPr>
        <w:pStyle w:val="ListParagraph"/>
        <w:numPr>
          <w:ilvl w:val="0"/>
          <w:numId w:val="3"/>
        </w:numPr>
        <w:spacing w:after="0" w:line="240" w:lineRule="auto"/>
        <w:jc w:val="both"/>
        <w:textAlignment w:val="baseline"/>
      </w:pPr>
      <w:r>
        <w:t xml:space="preserve">The </w:t>
      </w:r>
      <w:r w:rsidR="005D4927" w:rsidRPr="005D4927">
        <w:t>GDPP</w:t>
      </w:r>
      <w:r w:rsidR="005D4927" w:rsidRPr="00C540C8">
        <w:rPr>
          <w:spacing w:val="-5"/>
        </w:rPr>
        <w:t xml:space="preserve"> </w:t>
      </w:r>
      <w:r w:rsidR="005D4927" w:rsidRPr="005D4927">
        <w:t>made</w:t>
      </w:r>
      <w:r w:rsidR="005D4927" w:rsidRPr="00C540C8">
        <w:rPr>
          <w:spacing w:val="-2"/>
        </w:rPr>
        <w:t xml:space="preserve"> </w:t>
      </w:r>
      <w:r w:rsidR="005D4927" w:rsidRPr="005D4927">
        <w:t>strong</w:t>
      </w:r>
      <w:r w:rsidR="005D4927" w:rsidRPr="00C540C8">
        <w:rPr>
          <w:spacing w:val="-5"/>
        </w:rPr>
        <w:t xml:space="preserve"> </w:t>
      </w:r>
      <w:r w:rsidR="005D4927" w:rsidRPr="005D4927">
        <w:t>efforts</w:t>
      </w:r>
      <w:r w:rsidR="005D4927" w:rsidRPr="00C540C8">
        <w:rPr>
          <w:spacing w:val="-4"/>
        </w:rPr>
        <w:t xml:space="preserve"> </w:t>
      </w:r>
      <w:r w:rsidR="005D4927" w:rsidRPr="005D4927">
        <w:t>to</w:t>
      </w:r>
      <w:r w:rsidR="005D4927" w:rsidRPr="00C540C8">
        <w:rPr>
          <w:spacing w:val="-1"/>
        </w:rPr>
        <w:t xml:space="preserve"> </w:t>
      </w:r>
      <w:r w:rsidR="005D4927" w:rsidRPr="005D4927">
        <w:t>hire or engage</w:t>
      </w:r>
      <w:r w:rsidR="005D4927" w:rsidRPr="00C540C8">
        <w:rPr>
          <w:spacing w:val="-5"/>
        </w:rPr>
        <w:t xml:space="preserve"> </w:t>
      </w:r>
      <w:r w:rsidR="005D4927" w:rsidRPr="005D4927">
        <w:t>women</w:t>
      </w:r>
      <w:r w:rsidR="005D4927" w:rsidRPr="00C540C8">
        <w:rPr>
          <w:spacing w:val="-3"/>
        </w:rPr>
        <w:t xml:space="preserve"> </w:t>
      </w:r>
      <w:r w:rsidR="005D4927" w:rsidRPr="005D4927">
        <w:t>in senior</w:t>
      </w:r>
      <w:r w:rsidR="005D4927" w:rsidRPr="00C540C8">
        <w:rPr>
          <w:spacing w:val="-2"/>
        </w:rPr>
        <w:t xml:space="preserve"> management and technical </w:t>
      </w:r>
      <w:r w:rsidR="005D4927" w:rsidRPr="005D4927">
        <w:t>positions</w:t>
      </w:r>
      <w:r w:rsidR="005D4927" w:rsidRPr="00C540C8">
        <w:rPr>
          <w:spacing w:val="-3"/>
        </w:rPr>
        <w:t xml:space="preserve"> </w:t>
      </w:r>
      <w:r w:rsidR="005D4927" w:rsidRPr="005D4927">
        <w:t>and</w:t>
      </w:r>
      <w:r w:rsidR="005D4927" w:rsidRPr="00C540C8">
        <w:rPr>
          <w:spacing w:val="-3"/>
        </w:rPr>
        <w:t xml:space="preserve"> </w:t>
      </w:r>
      <w:r w:rsidR="005D4927" w:rsidRPr="005D4927">
        <w:t>in</w:t>
      </w:r>
      <w:r w:rsidR="005D4927" w:rsidRPr="00C540C8">
        <w:rPr>
          <w:spacing w:val="-3"/>
        </w:rPr>
        <w:t xml:space="preserve"> </w:t>
      </w:r>
      <w:r w:rsidR="005D4927" w:rsidRPr="005D4927">
        <w:t>the</w:t>
      </w:r>
      <w:r w:rsidR="005D4927" w:rsidRPr="00C540C8">
        <w:rPr>
          <w:spacing w:val="-2"/>
        </w:rPr>
        <w:t xml:space="preserve"> </w:t>
      </w:r>
      <w:r w:rsidR="005D4927" w:rsidRPr="005D4927">
        <w:t>seconded or embedded positions of IPs.</w:t>
      </w:r>
      <w:r w:rsidR="005D4927" w:rsidRPr="00C540C8">
        <w:rPr>
          <w:spacing w:val="-3"/>
        </w:rPr>
        <w:t xml:space="preserve"> </w:t>
      </w:r>
      <w:r w:rsidR="007953EB">
        <w:rPr>
          <w:spacing w:val="-3"/>
        </w:rPr>
        <w:t>S</w:t>
      </w:r>
      <w:r w:rsidR="00C540C8" w:rsidRPr="00E45869">
        <w:rPr>
          <w:rFonts w:eastAsia="Times New Roman" w:cstheme="minorHAnsi"/>
          <w:lang w:eastAsia="en-CA"/>
        </w:rPr>
        <w:t xml:space="preserve">ome significant efforts have been made to mainstream gender into programme activities. For example, in 2018, the CO initiated a joint </w:t>
      </w:r>
      <w:r w:rsidR="00C540C8" w:rsidRPr="00E45869">
        <w:rPr>
          <w:rFonts w:eastAsia="Times New Roman" w:cstheme="minorHAnsi"/>
          <w:lang w:eastAsia="en-CA"/>
        </w:rPr>
        <w:lastRenderedPageBreak/>
        <w:t>programme with UN Women focusing on enhancing the gender responsiveness of the House of People’s Representatives with the effective leadership of women parliamentarians.</w:t>
      </w:r>
      <w:r w:rsidR="00C540C8" w:rsidRPr="005D4927">
        <w:rPr>
          <w:rStyle w:val="FootnoteReference"/>
          <w:rFonts w:eastAsia="Times New Roman" w:cstheme="minorHAnsi"/>
          <w:lang w:eastAsia="en-CA"/>
        </w:rPr>
        <w:footnoteReference w:id="49"/>
      </w:r>
      <w:r w:rsidR="00C540C8" w:rsidRPr="00E45869">
        <w:rPr>
          <w:rFonts w:eastAsia="Times New Roman" w:cstheme="minorHAnsi"/>
          <w:lang w:eastAsia="en-CA"/>
        </w:rPr>
        <w:t xml:space="preserve"> In 2019, UNDP in collaboration with GDPP IPs undertook a systematic and in-depth Gender Analysis aimed at identifying capacity gaps and recommend strategic and tailored interventions towards promoting gender equality and women empowerment.</w:t>
      </w:r>
      <w:r w:rsidR="00C540C8" w:rsidRPr="005D4927">
        <w:rPr>
          <w:rStyle w:val="FootnoteReference"/>
          <w:rFonts w:eastAsia="Times New Roman" w:cstheme="minorHAnsi"/>
          <w:lang w:eastAsia="en-CA"/>
        </w:rPr>
        <w:footnoteReference w:id="50"/>
      </w:r>
      <w:r w:rsidR="00C540C8" w:rsidRPr="00E45869">
        <w:rPr>
          <w:rFonts w:eastAsia="Times New Roman" w:cstheme="minorHAnsi"/>
          <w:lang w:eastAsia="en-CA"/>
        </w:rPr>
        <w:t xml:space="preserve"> Notwithstanding these efforts, gender equality is most often measured in terms of the number of female participants in activities like workshops and there is little indication that women play a significant role in determining gender-related policies and programmes. </w:t>
      </w:r>
    </w:p>
    <w:p w14:paraId="3030BC26" w14:textId="77777777" w:rsidR="00C540C8" w:rsidRPr="00C540C8" w:rsidRDefault="00C540C8" w:rsidP="000810C9">
      <w:pPr>
        <w:pStyle w:val="ListParagraph"/>
        <w:spacing w:after="0" w:line="240" w:lineRule="auto"/>
        <w:ind w:left="450"/>
        <w:jc w:val="both"/>
        <w:textAlignment w:val="baseline"/>
      </w:pPr>
    </w:p>
    <w:p w14:paraId="339B867E" w14:textId="549076B3" w:rsidR="00C540C8" w:rsidRPr="00E45869" w:rsidRDefault="00C540C8" w:rsidP="000810C9">
      <w:pPr>
        <w:pStyle w:val="ListParagraph"/>
        <w:numPr>
          <w:ilvl w:val="0"/>
          <w:numId w:val="3"/>
        </w:numPr>
        <w:spacing w:after="0" w:line="240" w:lineRule="auto"/>
        <w:jc w:val="both"/>
        <w:textAlignment w:val="baseline"/>
      </w:pPr>
      <w:r w:rsidRPr="00E45869">
        <w:rPr>
          <w:rFonts w:eastAsia="Times New Roman" w:cstheme="minorHAnsi"/>
          <w:lang w:eastAsia="en-CA"/>
        </w:rPr>
        <w:t xml:space="preserve">That said, the inadequacy of an overarching gender structure and weak accountability mechanisms are not matters that can easily be addressed at the IP level. </w:t>
      </w:r>
      <w:r w:rsidR="00F34222">
        <w:rPr>
          <w:rFonts w:eastAsia="Times New Roman" w:cstheme="minorHAnsi"/>
          <w:lang w:eastAsia="en-CA"/>
        </w:rPr>
        <w:t xml:space="preserve">This is also the manifestation of the fact that </w:t>
      </w:r>
      <w:r w:rsidR="00F34222" w:rsidRPr="00F34222">
        <w:rPr>
          <w:rFonts w:eastAsia="Times New Roman" w:cstheme="minorHAnsi"/>
          <w:lang w:eastAsia="en-CA"/>
        </w:rPr>
        <w:t xml:space="preserve">gender inequality </w:t>
      </w:r>
      <w:r w:rsidR="00F34222">
        <w:rPr>
          <w:rFonts w:eastAsia="Times New Roman" w:cstheme="minorHAnsi"/>
          <w:lang w:eastAsia="en-CA"/>
        </w:rPr>
        <w:t xml:space="preserve">in Ethiopia </w:t>
      </w:r>
      <w:r w:rsidR="00F34222" w:rsidRPr="00F34222">
        <w:rPr>
          <w:rFonts w:eastAsia="Times New Roman" w:cstheme="minorHAnsi"/>
          <w:lang w:eastAsia="en-CA"/>
        </w:rPr>
        <w:t xml:space="preserve">is still prevalent in a largely patriarchal society where public discourse about gender equality remains </w:t>
      </w:r>
      <w:r w:rsidR="00F34222">
        <w:rPr>
          <w:rFonts w:eastAsia="Times New Roman" w:cstheme="minorHAnsi"/>
          <w:lang w:eastAsia="en-CA"/>
        </w:rPr>
        <w:t xml:space="preserve">a challenge. </w:t>
      </w:r>
      <w:r w:rsidRPr="00E45869">
        <w:rPr>
          <w:rFonts w:eastAsia="Times New Roman" w:cstheme="minorHAnsi"/>
          <w:lang w:eastAsia="en-CA"/>
        </w:rPr>
        <w:t xml:space="preserve">Some </w:t>
      </w:r>
      <w:r w:rsidR="00F34222">
        <w:rPr>
          <w:rFonts w:eastAsia="Times New Roman" w:cstheme="minorHAnsi"/>
          <w:lang w:eastAsia="en-CA"/>
        </w:rPr>
        <w:t xml:space="preserve">GDPP IPs </w:t>
      </w:r>
      <w:r w:rsidRPr="00E45869">
        <w:rPr>
          <w:rFonts w:eastAsia="Times New Roman" w:cstheme="minorHAnsi"/>
          <w:lang w:eastAsia="en-CA"/>
        </w:rPr>
        <w:t xml:space="preserve">have successfully managed to bridge the gap between policy and application, for example, NEBE and </w:t>
      </w:r>
      <w:r w:rsidR="00F34222">
        <w:rPr>
          <w:rFonts w:eastAsia="Times New Roman" w:cstheme="minorHAnsi"/>
          <w:lang w:eastAsia="en-CA"/>
        </w:rPr>
        <w:t>E</w:t>
      </w:r>
      <w:r w:rsidRPr="00E45869">
        <w:rPr>
          <w:rFonts w:eastAsia="Times New Roman" w:cstheme="minorHAnsi"/>
          <w:lang w:eastAsia="en-CA"/>
        </w:rPr>
        <w:t xml:space="preserve">HRC have both succeeded </w:t>
      </w:r>
      <w:r>
        <w:rPr>
          <w:rFonts w:eastAsia="Times New Roman" w:cstheme="minorHAnsi"/>
          <w:lang w:eastAsia="en-CA"/>
        </w:rPr>
        <w:t>in</w:t>
      </w:r>
      <w:r w:rsidRPr="00E45869">
        <w:rPr>
          <w:rFonts w:eastAsia="Times New Roman" w:cstheme="minorHAnsi"/>
          <w:lang w:eastAsia="en-CA"/>
        </w:rPr>
        <w:t xml:space="preserve"> recruit</w:t>
      </w:r>
      <w:r>
        <w:rPr>
          <w:rFonts w:eastAsia="Times New Roman" w:cstheme="minorHAnsi"/>
          <w:lang w:eastAsia="en-CA"/>
        </w:rPr>
        <w:t>ing</w:t>
      </w:r>
      <w:r w:rsidRPr="00E45869">
        <w:rPr>
          <w:rFonts w:eastAsia="Times New Roman" w:cstheme="minorHAnsi"/>
          <w:lang w:eastAsia="en-CA"/>
        </w:rPr>
        <w:t xml:space="preserve"> trained staff resulting in measurable progress in gender mainstreaming. In general, however, it has proved difficult for most IPs to advance gender priorities.</w:t>
      </w:r>
      <w:r w:rsidRPr="005D4927">
        <w:rPr>
          <w:rStyle w:val="FootnoteReference"/>
          <w:rFonts w:eastAsia="Times New Roman" w:cstheme="minorHAnsi"/>
          <w:lang w:eastAsia="en-CA"/>
        </w:rPr>
        <w:footnoteReference w:id="51"/>
      </w:r>
    </w:p>
    <w:p w14:paraId="1044FF6B" w14:textId="115E3C3D" w:rsidR="00E45869" w:rsidRDefault="00E45869" w:rsidP="000810C9">
      <w:pPr>
        <w:pStyle w:val="ListParagraph"/>
        <w:spacing w:after="0" w:line="240" w:lineRule="auto"/>
        <w:ind w:left="450"/>
        <w:jc w:val="both"/>
        <w:textAlignment w:val="baseline"/>
      </w:pPr>
    </w:p>
    <w:p w14:paraId="02A25AAC" w14:textId="31D1B26A" w:rsidR="00E45869" w:rsidRPr="00E45869" w:rsidRDefault="00C540C8" w:rsidP="000810C9">
      <w:pPr>
        <w:pStyle w:val="ListParagraph"/>
        <w:numPr>
          <w:ilvl w:val="0"/>
          <w:numId w:val="3"/>
        </w:numPr>
        <w:spacing w:after="0" w:line="240" w:lineRule="auto"/>
        <w:jc w:val="both"/>
        <w:textAlignment w:val="baseline"/>
      </w:pPr>
      <w:r>
        <w:t xml:space="preserve">The </w:t>
      </w:r>
      <w:r w:rsidR="005D4927" w:rsidRPr="005D4927">
        <w:t xml:space="preserve">GDPP’s intervention in promoting gender equality and women empowerment evolved throughout the programme implementation period. Based on recommendations from </w:t>
      </w:r>
      <w:r>
        <w:t xml:space="preserve">the </w:t>
      </w:r>
      <w:r w:rsidR="005D4927" w:rsidRPr="005D4927">
        <w:t xml:space="preserve">MTR, </w:t>
      </w:r>
      <w:r>
        <w:t xml:space="preserve">a </w:t>
      </w:r>
      <w:r w:rsidR="005D4927" w:rsidRPr="005D4927">
        <w:t>Gender, and Social Inclusion specialist (GESI) was recruited and deploy</w:t>
      </w:r>
      <w:r>
        <w:t xml:space="preserve">ed which was important to help IPs </w:t>
      </w:r>
      <w:r w:rsidR="005D4927" w:rsidRPr="005D4927">
        <w:t>identify the</w:t>
      </w:r>
      <w:r>
        <w:t xml:space="preserve"> gaps in their approaches to gender</w:t>
      </w:r>
      <w:r w:rsidR="005D4927" w:rsidRPr="005D4927">
        <w:t xml:space="preserve"> and </w:t>
      </w:r>
      <w:r>
        <w:t xml:space="preserve">to </w:t>
      </w:r>
      <w:r w:rsidR="005D4927" w:rsidRPr="005D4927">
        <w:t xml:space="preserve">start implementing a few activities accordingly. </w:t>
      </w:r>
      <w:r w:rsidRPr="005D4927">
        <w:t xml:space="preserve">This </w:t>
      </w:r>
      <w:r>
        <w:t>is</w:t>
      </w:r>
      <w:r w:rsidRPr="005D4927">
        <w:t xml:space="preserve"> manifested through continuous capacity building support on gender and conducting gender analysis </w:t>
      </w:r>
      <w:r>
        <w:t>and</w:t>
      </w:r>
      <w:r w:rsidRPr="005D4927">
        <w:t xml:space="preserve"> gender audit</w:t>
      </w:r>
      <w:r>
        <w:t>s</w:t>
      </w:r>
      <w:r w:rsidRPr="00C540C8">
        <w:t xml:space="preserve"> </w:t>
      </w:r>
      <w:r w:rsidRPr="005D4927">
        <w:t xml:space="preserve">across IPs. </w:t>
      </w:r>
      <w:r w:rsidR="005D4927" w:rsidRPr="005D4927">
        <w:t xml:space="preserve">However, the idea of mainstreaming gender is still questioned and there is no uniform </w:t>
      </w:r>
      <w:r>
        <w:t>approach to</w:t>
      </w:r>
      <w:r w:rsidR="005D4927" w:rsidRPr="005D4927">
        <w:t xml:space="preserve"> implementation</w:t>
      </w:r>
      <w:r>
        <w:t>.</w:t>
      </w:r>
      <w:r w:rsidR="005D4927" w:rsidRPr="00E45869">
        <w:rPr>
          <w:rFonts w:eastAsia="Times New Roman" w:cstheme="minorHAnsi"/>
          <w:lang w:eastAsia="en-CA"/>
        </w:rPr>
        <w:t xml:space="preserve"> In essence the situation reflects the lack of a gender strategy at the outset of the programme and the absence of a gender focal point until well into its second year. Without a defined gender programming structure from the beginning, it has been difficult to address gender issues systematically. </w:t>
      </w:r>
    </w:p>
    <w:p w14:paraId="47E5E13F" w14:textId="77777777" w:rsidR="00E45869" w:rsidRPr="00E45869" w:rsidRDefault="00E45869" w:rsidP="000810C9">
      <w:pPr>
        <w:pStyle w:val="ListParagraph"/>
        <w:spacing w:line="240" w:lineRule="auto"/>
        <w:rPr>
          <w:rFonts w:eastAsia="Times New Roman" w:cstheme="minorHAnsi"/>
          <w:lang w:eastAsia="en-CA"/>
        </w:rPr>
      </w:pPr>
    </w:p>
    <w:p w14:paraId="4E2E21B5" w14:textId="77777777" w:rsidR="00C12C91" w:rsidRDefault="00C12C91" w:rsidP="000810C9">
      <w:pPr>
        <w:pStyle w:val="ListParagraph"/>
        <w:spacing w:before="240" w:line="240" w:lineRule="auto"/>
        <w:ind w:left="0"/>
        <w:jc w:val="both"/>
        <w:rPr>
          <w:i/>
        </w:rPr>
      </w:pPr>
      <w:r w:rsidRPr="00FD0C06">
        <w:rPr>
          <w:i/>
        </w:rPr>
        <w:t>Human Rights</w:t>
      </w:r>
    </w:p>
    <w:p w14:paraId="5ACFEEF3" w14:textId="77777777" w:rsidR="00C12C91" w:rsidRDefault="00C12C91" w:rsidP="000810C9">
      <w:pPr>
        <w:pStyle w:val="ListParagraph"/>
        <w:spacing w:before="240" w:line="240" w:lineRule="auto"/>
        <w:ind w:left="0"/>
        <w:jc w:val="both"/>
        <w:rPr>
          <w:i/>
        </w:rPr>
      </w:pPr>
    </w:p>
    <w:p w14:paraId="760EC414" w14:textId="77777777" w:rsidR="00C12C91" w:rsidRDefault="00C12C91" w:rsidP="000810C9">
      <w:pPr>
        <w:pStyle w:val="ListParagraph"/>
        <w:numPr>
          <w:ilvl w:val="0"/>
          <w:numId w:val="3"/>
        </w:numPr>
        <w:spacing w:line="240" w:lineRule="auto"/>
        <w:jc w:val="both"/>
      </w:pPr>
      <w:r>
        <w:t>The GDPP reinforces and promotes</w:t>
      </w:r>
      <w:r w:rsidRPr="00057A41">
        <w:t xml:space="preserve"> human and democratic rights in Ethiopia through </w:t>
      </w:r>
      <w:r>
        <w:t>its support for the establishment of</w:t>
      </w:r>
      <w:r w:rsidRPr="00057A41">
        <w:t xml:space="preserve"> systems and structures of democratic institutions</w:t>
      </w:r>
      <w:r>
        <w:t>. The formulated GDPP strategy has reawakened the country’s call to uphold and adhere to human rights principles and standards particularly after the 2018 reform. The design of the programme was adapted to the realities of Ethiopia and to the fact that the government had already adopted</w:t>
      </w:r>
      <w:r w:rsidRPr="00057A41">
        <w:t xml:space="preserve"> international human rights laws, protocols, and standa</w:t>
      </w:r>
      <w:r>
        <w:t xml:space="preserve">rds. </w:t>
      </w:r>
      <w:r w:rsidRPr="00DC1475">
        <w:t xml:space="preserve">The human rights components embedded in Output 5 of the ProDoc and elsewhere in the same document potentially incline individuals, </w:t>
      </w:r>
      <w:proofErr w:type="gramStart"/>
      <w:r w:rsidRPr="00DC1475">
        <w:t>groups</w:t>
      </w:r>
      <w:proofErr w:type="gramEnd"/>
      <w:r w:rsidRPr="00DC1475">
        <w:t xml:space="preserve"> and institutions to respect and observe the human rights of the population. </w:t>
      </w:r>
      <w:r>
        <w:t>In realization for this, GDPP supported EHRC and OAG</w:t>
      </w:r>
      <w:r w:rsidRPr="00AB5525">
        <w:t xml:space="preserve"> </w:t>
      </w:r>
      <w:r>
        <w:t xml:space="preserve">to strengthen efforts to enhance access to justice and promote and protect human rights across the country. GDPP’s support for the two institutions was vital in strengthening their existing capacity and providing leverage to promote the human rights cause. </w:t>
      </w:r>
      <w:r w:rsidRPr="00057A41">
        <w:t>Of</w:t>
      </w:r>
      <w:r>
        <w:t xml:space="preserve"> the IPs, the Human Rights Commission is widely regarded as the cream of the crop - it “owns” its programme, understands its activities and is not dependent on UNDP to provide guidance and oversight. A key informant from EHRC indicated that GDPP support was vital in making the organization’s system more efficient and assisting its wider human rights interventions. The same is true for OAG which made the organization to be more </w:t>
      </w:r>
      <w:r>
        <w:lastRenderedPageBreak/>
        <w:t xml:space="preserve">proactive in addressing human rights issues. Among others, the two organizations carried out </w:t>
      </w:r>
      <w:r w:rsidRPr="000770E3">
        <w:t>various awareness creation</w:t>
      </w:r>
      <w:r>
        <w:t xml:space="preserve"> activities</w:t>
      </w:r>
      <w:r w:rsidRPr="000770E3">
        <w:t xml:space="preserve"> and trainings; facilitated discussion and dialogues; and conducted evidence-based advocacy on </w:t>
      </w:r>
      <w:r>
        <w:t xml:space="preserve">a range of </w:t>
      </w:r>
      <w:r w:rsidRPr="000770E3">
        <w:t>human rights</w:t>
      </w:r>
      <w:r>
        <w:t xml:space="preserve"> issues - </w:t>
      </w:r>
      <w:r w:rsidRPr="008E0132">
        <w:t>the dignity, freedom, and basic human rights of all people</w:t>
      </w:r>
      <w:r>
        <w:t xml:space="preserve">. The GDPP is best placed in promoting, </w:t>
      </w:r>
      <w:proofErr w:type="gramStart"/>
      <w:r>
        <w:t>supporting</w:t>
      </w:r>
      <w:proofErr w:type="gramEnd"/>
      <w:r>
        <w:t xml:space="preserve"> and assisting the design, development and promotion of successive </w:t>
      </w:r>
      <w:r w:rsidRPr="008405B5">
        <w:t>National Human Rights Action Plans.</w:t>
      </w:r>
      <w:r w:rsidRPr="00C3326C">
        <w:t xml:space="preserve"> </w:t>
      </w:r>
    </w:p>
    <w:p w14:paraId="2F85315F" w14:textId="77777777" w:rsidR="00C12C91" w:rsidRDefault="00C12C91" w:rsidP="000810C9">
      <w:pPr>
        <w:pStyle w:val="ListParagraph"/>
        <w:spacing w:line="240" w:lineRule="auto"/>
        <w:ind w:left="450"/>
        <w:jc w:val="both"/>
      </w:pPr>
    </w:p>
    <w:p w14:paraId="23C3D7F7" w14:textId="77777777" w:rsidR="00C12C91" w:rsidRDefault="00C12C91" w:rsidP="000810C9">
      <w:pPr>
        <w:pStyle w:val="ListParagraph"/>
        <w:numPr>
          <w:ilvl w:val="0"/>
          <w:numId w:val="3"/>
        </w:numPr>
        <w:spacing w:after="0" w:line="240" w:lineRule="auto"/>
        <w:jc w:val="both"/>
      </w:pPr>
      <w:r>
        <w:t xml:space="preserve">The GDPP programme also promoted the rights of persons with disabilities through partnerships with CSOs supporting disabled persons in the regions. The support provided by GDPP enabled access of the laws to the disability fraternity. Specifically, CSOs translated and published the amended laws into Braille and sign language, thereby promoting the right of access to information by Persons </w:t>
      </w:r>
      <w:proofErr w:type="gramStart"/>
      <w:r>
        <w:t>With</w:t>
      </w:r>
      <w:proofErr w:type="gramEnd"/>
      <w:r>
        <w:t xml:space="preserve"> Disabilities (PWD). With support from GDPP, IPs worked with </w:t>
      </w:r>
      <w:r w:rsidRPr="00A42D9A">
        <w:t>CSOs and reached millions of people through national TVs, radios, pamphlets, brochures, and through a variety of awareness creation forums. In some cases, people living in hard-to-reach areas were accessed through human rights investigation activities and voter education campaign</w:t>
      </w:r>
      <w:r>
        <w:t>s</w:t>
      </w:r>
      <w:r w:rsidRPr="00A42D9A">
        <w:t xml:space="preserve"> in both cases focusing on awareness creation and advocacy on human rights.  </w:t>
      </w:r>
    </w:p>
    <w:p w14:paraId="2B40D907" w14:textId="06B5E50C" w:rsidR="00C12C91" w:rsidRDefault="00C12C91" w:rsidP="000810C9">
      <w:pPr>
        <w:pStyle w:val="ListParagraph"/>
        <w:spacing w:line="240" w:lineRule="auto"/>
      </w:pPr>
    </w:p>
    <w:p w14:paraId="71D2A128" w14:textId="77777777" w:rsidR="00C12C91" w:rsidRPr="00427DB9" w:rsidRDefault="00C12C91" w:rsidP="000810C9">
      <w:pPr>
        <w:spacing w:before="240" w:line="240" w:lineRule="auto"/>
        <w:jc w:val="both"/>
        <w:rPr>
          <w:b/>
        </w:rPr>
      </w:pPr>
      <w:r w:rsidRPr="00427DB9">
        <w:rPr>
          <w:b/>
        </w:rPr>
        <w:t>SECTION 4: CONCLUSION</w:t>
      </w:r>
      <w:r>
        <w:rPr>
          <w:b/>
        </w:rPr>
        <w:t>S</w:t>
      </w:r>
      <w:r w:rsidRPr="00427DB9">
        <w:rPr>
          <w:b/>
        </w:rPr>
        <w:t xml:space="preserve"> </w:t>
      </w:r>
    </w:p>
    <w:p w14:paraId="387D5D8A" w14:textId="77777777" w:rsidR="00C12C91" w:rsidRDefault="00C12C91" w:rsidP="000810C9">
      <w:pPr>
        <w:pStyle w:val="ListParagraph"/>
        <w:spacing w:line="240" w:lineRule="auto"/>
      </w:pPr>
    </w:p>
    <w:p w14:paraId="3C7A4116" w14:textId="77777777" w:rsidR="00C12C91" w:rsidRDefault="00C12C91" w:rsidP="000810C9">
      <w:pPr>
        <w:pStyle w:val="ListParagraph"/>
        <w:numPr>
          <w:ilvl w:val="0"/>
          <w:numId w:val="3"/>
        </w:numPr>
        <w:spacing w:line="240" w:lineRule="auto"/>
        <w:jc w:val="both"/>
      </w:pPr>
      <w:r w:rsidRPr="002E76CC">
        <w:t xml:space="preserve">The </w:t>
      </w:r>
      <w:r>
        <w:t xml:space="preserve">ET </w:t>
      </w:r>
      <w:r w:rsidRPr="002E76CC">
        <w:t>conclude</w:t>
      </w:r>
      <w:r>
        <w:t>s</w:t>
      </w:r>
      <w:r w:rsidRPr="002E76CC">
        <w:t xml:space="preserve"> that the strategic priorities and areas of focus identified in the programme document have been a good fit with the national needs and UNDP’s position as a trusted partner of the GoE. </w:t>
      </w:r>
      <w:r>
        <w:t xml:space="preserve">The IPs confirm that they see UNDP as a consistent and long-term partner unlike others who only fund projects at one point in time and exit the partnership when it is completed. </w:t>
      </w:r>
      <w:r w:rsidRPr="00F333AD">
        <w:t xml:space="preserve">The </w:t>
      </w:r>
      <w:r>
        <w:t>N</w:t>
      </w:r>
      <w:r w:rsidRPr="00F333AD">
        <w:t>IM modality ensures strong convergence with the country programme and Strategic Plan of UNDP</w:t>
      </w:r>
      <w:r>
        <w:t xml:space="preserve"> as well as in ensuring national ownership and capacity over time</w:t>
      </w:r>
      <w:r w:rsidRPr="00F333AD">
        <w:t xml:space="preserve">. Moreover, the core objectives of the </w:t>
      </w:r>
      <w:r>
        <w:t>GDPP</w:t>
      </w:r>
      <w:r w:rsidRPr="00F333AD">
        <w:t xml:space="preserve"> provide a good framework for supporting the </w:t>
      </w:r>
      <w:r>
        <w:t xml:space="preserve">governance and democratic development priorities of the government. </w:t>
      </w:r>
      <w:r w:rsidRPr="002E76CC">
        <w:t xml:space="preserve">Performance has been mixed in different output areas, with the capacity building of officials </w:t>
      </w:r>
      <w:r>
        <w:t xml:space="preserve">to strengthen the institutions </w:t>
      </w:r>
      <w:r w:rsidRPr="002E76CC">
        <w:t>being one of the more successful elements</w:t>
      </w:r>
      <w:r>
        <w:t>.</w:t>
      </w:r>
    </w:p>
    <w:p w14:paraId="391FCD8C" w14:textId="77777777" w:rsidR="00C12C91" w:rsidRDefault="00C12C91" w:rsidP="000810C9">
      <w:pPr>
        <w:pStyle w:val="ListParagraph"/>
        <w:spacing w:line="240" w:lineRule="auto"/>
        <w:ind w:left="450"/>
        <w:jc w:val="both"/>
      </w:pPr>
    </w:p>
    <w:p w14:paraId="141D448F" w14:textId="3955B2CB" w:rsidR="00C12C91" w:rsidRDefault="00C12C91" w:rsidP="000810C9">
      <w:pPr>
        <w:pStyle w:val="ListParagraph"/>
        <w:numPr>
          <w:ilvl w:val="0"/>
          <w:numId w:val="3"/>
        </w:numPr>
        <w:spacing w:line="240" w:lineRule="auto"/>
        <w:jc w:val="both"/>
      </w:pPr>
      <w:r w:rsidRPr="002E76CC">
        <w:t>A major weakness of the programme has been the l</w:t>
      </w:r>
      <w:r>
        <w:t xml:space="preserve">imited level </w:t>
      </w:r>
      <w:r w:rsidRPr="002E76CC">
        <w:t>of CSO engagement as well as the absence of a concerted effort to reach out to regional, local and community levels.</w:t>
      </w:r>
      <w:r w:rsidR="004D11A8">
        <w:rPr>
          <w:rStyle w:val="FootnoteReference"/>
        </w:rPr>
        <w:footnoteReference w:id="52"/>
      </w:r>
      <w:r w:rsidRPr="002E76CC">
        <w:t xml:space="preserve"> The potential for applying bottom-up planning has not been explored in any detail. The participation of communities in the design and delivery of activities that address their needs holds the promise of contributing to the success of the GDPP </w:t>
      </w:r>
      <w:r>
        <w:t>in a future iteration</w:t>
      </w:r>
      <w:r w:rsidR="00F34222">
        <w:t>,</w:t>
      </w:r>
      <w:r>
        <w:t xml:space="preserve"> </w:t>
      </w:r>
      <w:r w:rsidRPr="002E76CC">
        <w:t>but this needs to be linked to the broader development effort.</w:t>
      </w:r>
      <w:r>
        <w:t xml:space="preserve"> </w:t>
      </w:r>
    </w:p>
    <w:p w14:paraId="54929F3F" w14:textId="77777777" w:rsidR="00354B72" w:rsidRDefault="00354B72" w:rsidP="000810C9">
      <w:pPr>
        <w:pStyle w:val="ListParagraph"/>
        <w:spacing w:line="240" w:lineRule="auto"/>
      </w:pPr>
    </w:p>
    <w:p w14:paraId="65464A05" w14:textId="1BF2A375" w:rsidR="00354B72" w:rsidRPr="00375319" w:rsidRDefault="007577E4" w:rsidP="000810C9">
      <w:pPr>
        <w:pStyle w:val="ListParagraph"/>
        <w:numPr>
          <w:ilvl w:val="0"/>
          <w:numId w:val="3"/>
        </w:numPr>
        <w:spacing w:line="240" w:lineRule="auto"/>
        <w:jc w:val="both"/>
      </w:pPr>
      <w:r w:rsidRPr="00375319">
        <w:t>The</w:t>
      </w:r>
      <w:r w:rsidR="007F7010" w:rsidRPr="00375319">
        <w:t xml:space="preserve"> sub-</w:t>
      </w:r>
      <w:r w:rsidR="005C18C1" w:rsidRPr="00375319">
        <w:t xml:space="preserve">output, </w:t>
      </w:r>
      <w:proofErr w:type="gramStart"/>
      <w:r w:rsidR="005C18C1" w:rsidRPr="00375319">
        <w:t>output</w:t>
      </w:r>
      <w:proofErr w:type="gramEnd"/>
      <w:r w:rsidR="005C18C1" w:rsidRPr="00375319">
        <w:t xml:space="preserve"> and outcome level indicator</w:t>
      </w:r>
      <w:r w:rsidR="007F7010" w:rsidRPr="00375319">
        <w:t>s</w:t>
      </w:r>
      <w:r w:rsidR="005C18C1" w:rsidRPr="00375319">
        <w:t xml:space="preserve"> (baseline and target values) are either TBDs or subject to change or relative scale measures.</w:t>
      </w:r>
      <w:r w:rsidR="00A859B1" w:rsidRPr="00375319">
        <w:t xml:space="preserve"> This has</w:t>
      </w:r>
      <w:r w:rsidR="007F7010" w:rsidRPr="00375319">
        <w:t xml:space="preserve"> constrained the evaluation of the effectiveness of results and is </w:t>
      </w:r>
      <w:r w:rsidR="00A859B1" w:rsidRPr="00375319">
        <w:t>a major weakness of the GDPP.</w:t>
      </w:r>
    </w:p>
    <w:p w14:paraId="41DBED7A" w14:textId="77777777" w:rsidR="00C12C91" w:rsidRDefault="00C12C91" w:rsidP="000810C9">
      <w:pPr>
        <w:pStyle w:val="ListParagraph"/>
        <w:spacing w:line="240" w:lineRule="auto"/>
      </w:pPr>
    </w:p>
    <w:p w14:paraId="2D323EC2" w14:textId="77777777" w:rsidR="00C12C91" w:rsidRDefault="00C12C91" w:rsidP="000810C9">
      <w:pPr>
        <w:pStyle w:val="ListParagraph"/>
        <w:numPr>
          <w:ilvl w:val="0"/>
          <w:numId w:val="3"/>
        </w:numPr>
        <w:spacing w:line="240" w:lineRule="auto"/>
        <w:jc w:val="both"/>
      </w:pPr>
      <w:r w:rsidRPr="00F333AD">
        <w:t xml:space="preserve">The most critical factor that </w:t>
      </w:r>
      <w:r>
        <w:t xml:space="preserve">has </w:t>
      </w:r>
      <w:r w:rsidRPr="00F333AD">
        <w:t>contribute</w:t>
      </w:r>
      <w:r>
        <w:t>d</w:t>
      </w:r>
      <w:r w:rsidRPr="00F333AD">
        <w:t xml:space="preserve"> to the success of the </w:t>
      </w:r>
      <w:r>
        <w:t>GDPP is</w:t>
      </w:r>
      <w:r w:rsidRPr="00F333AD">
        <w:t xml:space="preserve"> </w:t>
      </w:r>
      <w:r>
        <w:t>its</w:t>
      </w:r>
      <w:r w:rsidRPr="00F333AD">
        <w:t xml:space="preserve"> well-managed professional team </w:t>
      </w:r>
      <w:r>
        <w:t xml:space="preserve">at the CO, including seconded programme officers in the IPs, </w:t>
      </w:r>
      <w:r w:rsidRPr="00F333AD">
        <w:t>with strong capacity in technical and programming matters</w:t>
      </w:r>
      <w:r>
        <w:t>.</w:t>
      </w:r>
      <w:r w:rsidRPr="00F333AD">
        <w:t xml:space="preserve"> The major factors limiting the success of the </w:t>
      </w:r>
      <w:r>
        <w:t>programme</w:t>
      </w:r>
      <w:r w:rsidRPr="00F333AD">
        <w:t xml:space="preserve"> and contributing to delays in implementation </w:t>
      </w:r>
      <w:proofErr w:type="gramStart"/>
      <w:r w:rsidRPr="00F333AD">
        <w:t>are:</w:t>
      </w:r>
      <w:proofErr w:type="gramEnd"/>
      <w:r w:rsidRPr="00F333AD">
        <w:t xml:space="preserve"> </w:t>
      </w:r>
      <w:r>
        <w:t xml:space="preserve">procedural disparities in IPs and the </w:t>
      </w:r>
      <w:r w:rsidRPr="006E6E21">
        <w:t>UNDP in resourcing and decision-making,</w:t>
      </w:r>
      <w:r>
        <w:t xml:space="preserve"> </w:t>
      </w:r>
      <w:r w:rsidRPr="00F333AD">
        <w:t>insecurity and the impact of the C</w:t>
      </w:r>
      <w:r>
        <w:t>OVID</w:t>
      </w:r>
      <w:r w:rsidRPr="00F333AD">
        <w:t xml:space="preserve">-19 pandemic. </w:t>
      </w:r>
    </w:p>
    <w:p w14:paraId="7B9E5F5B" w14:textId="77777777" w:rsidR="00C12C91" w:rsidRDefault="00C12C91" w:rsidP="000810C9">
      <w:pPr>
        <w:pStyle w:val="ListParagraph"/>
        <w:spacing w:line="240" w:lineRule="auto"/>
      </w:pPr>
    </w:p>
    <w:p w14:paraId="05BD1FD2" w14:textId="77777777" w:rsidR="00C12C91" w:rsidRDefault="00C12C91" w:rsidP="000810C9">
      <w:pPr>
        <w:pStyle w:val="ListParagraph"/>
        <w:numPr>
          <w:ilvl w:val="0"/>
          <w:numId w:val="3"/>
        </w:numPr>
        <w:spacing w:line="240" w:lineRule="auto"/>
        <w:jc w:val="both"/>
      </w:pPr>
      <w:r w:rsidRPr="00F333AD">
        <w:lastRenderedPageBreak/>
        <w:t xml:space="preserve">While interviewees commented favourably on the level of communication between UNDP management </w:t>
      </w:r>
      <w:r>
        <w:t xml:space="preserve">and the donors, some IPs </w:t>
      </w:r>
      <w:r w:rsidRPr="00F333AD">
        <w:t xml:space="preserve">described the information-sharing relationship between </w:t>
      </w:r>
      <w:r>
        <w:t>themselves and UNDP</w:t>
      </w:r>
      <w:r w:rsidRPr="00F333AD">
        <w:t xml:space="preserve"> as less than constructive with programming decisions often being sprung on the</w:t>
      </w:r>
      <w:r>
        <w:t>m</w:t>
      </w:r>
      <w:r w:rsidRPr="00F333AD">
        <w:t xml:space="preserve"> without discussion. </w:t>
      </w:r>
    </w:p>
    <w:p w14:paraId="437A7535" w14:textId="77777777" w:rsidR="00C12C91" w:rsidRDefault="00C12C91" w:rsidP="000810C9">
      <w:pPr>
        <w:pStyle w:val="ListParagraph"/>
        <w:spacing w:line="240" w:lineRule="auto"/>
      </w:pPr>
    </w:p>
    <w:p w14:paraId="4BEF5BC1" w14:textId="339229EC" w:rsidR="00C12C91" w:rsidRPr="00DE6827" w:rsidRDefault="00C12C91" w:rsidP="000810C9">
      <w:pPr>
        <w:pStyle w:val="ListParagraph"/>
        <w:numPr>
          <w:ilvl w:val="0"/>
          <w:numId w:val="3"/>
        </w:numPr>
        <w:spacing w:line="240" w:lineRule="auto"/>
        <w:jc w:val="both"/>
      </w:pPr>
      <w:r>
        <w:t xml:space="preserve">The evaluation found that UNDP’s sustained advocacy, training and practical support has contributed to a better awareness and understanding of key issues such as gender and the SDGs but not universally. </w:t>
      </w:r>
      <w:r w:rsidRPr="00F333AD">
        <w:t xml:space="preserve">Efforts to enhance women’s socio-economic and political rights have not progressed at the </w:t>
      </w:r>
      <w:r>
        <w:t>programme</w:t>
      </w:r>
      <w:r w:rsidRPr="00F333AD">
        <w:t xml:space="preserve"> level and gender equality has not been prioritised. In part this stems from the </w:t>
      </w:r>
      <w:r>
        <w:t xml:space="preserve">failure of UNDP </w:t>
      </w:r>
      <w:r w:rsidRPr="00F333AD">
        <w:t xml:space="preserve">to recruit a gender specialist </w:t>
      </w:r>
      <w:r w:rsidR="007953EB">
        <w:t>at the beginning of the programme</w:t>
      </w:r>
      <w:r w:rsidRPr="00F333AD">
        <w:t xml:space="preserve">. Collaboration on gender with </w:t>
      </w:r>
      <w:r>
        <w:t>the IPs</w:t>
      </w:r>
      <w:r w:rsidRPr="00F333AD">
        <w:t xml:space="preserve"> has been </w:t>
      </w:r>
      <w:r>
        <w:t>wanting</w:t>
      </w:r>
      <w:r w:rsidRPr="00F333AD">
        <w:t xml:space="preserve"> and the projects which do have something of a gender component </w:t>
      </w:r>
      <w:r>
        <w:t>tend to be</w:t>
      </w:r>
      <w:r w:rsidRPr="00F333AD">
        <w:t xml:space="preserve"> gender-responsive, rather than gender-transformative. They </w:t>
      </w:r>
      <w:r>
        <w:t xml:space="preserve">have </w:t>
      </w:r>
      <w:r w:rsidRPr="00F333AD">
        <w:t>contribute</w:t>
      </w:r>
      <w:r>
        <w:t>d</w:t>
      </w:r>
      <w:r w:rsidRPr="00F333AD">
        <w:t xml:space="preserve"> little to addressing the root causes of gender inequalities. </w:t>
      </w:r>
      <w:r>
        <w:t>Now that a</w:t>
      </w:r>
      <w:r w:rsidRPr="00F333AD">
        <w:t xml:space="preserve"> gender specialist is appointed</w:t>
      </w:r>
      <w:r>
        <w:t xml:space="preserve"> greater progress should be made in any future programme.</w:t>
      </w:r>
      <w:r w:rsidRPr="009F646D">
        <w:rPr>
          <w:rFonts w:cstheme="minorHAnsi"/>
          <w:sz w:val="24"/>
          <w:szCs w:val="24"/>
        </w:rPr>
        <w:t xml:space="preserve"> </w:t>
      </w:r>
    </w:p>
    <w:p w14:paraId="389FCB5D" w14:textId="77777777" w:rsidR="00C12C91" w:rsidRDefault="00C12C91" w:rsidP="000810C9">
      <w:pPr>
        <w:pStyle w:val="ListParagraph"/>
        <w:spacing w:line="240" w:lineRule="auto"/>
      </w:pPr>
    </w:p>
    <w:p w14:paraId="1D02073B" w14:textId="77777777" w:rsidR="00C4203C" w:rsidRPr="00C4203C" w:rsidRDefault="00C12C91" w:rsidP="000810C9">
      <w:pPr>
        <w:pStyle w:val="ListParagraph"/>
        <w:numPr>
          <w:ilvl w:val="0"/>
          <w:numId w:val="3"/>
        </w:numPr>
        <w:spacing w:before="240" w:line="240" w:lineRule="auto"/>
        <w:jc w:val="both"/>
      </w:pPr>
      <w:r w:rsidRPr="00F333AD">
        <w:t xml:space="preserve">There has been no direct support to the SDGs under any of the activities funded by the </w:t>
      </w:r>
      <w:r>
        <w:t>GDPP</w:t>
      </w:r>
      <w:r w:rsidRPr="00F333AD">
        <w:t xml:space="preserve"> and therefore no attempt to use the SDGs as an entry point to solidify the </w:t>
      </w:r>
      <w:r>
        <w:t>programme’s</w:t>
      </w:r>
      <w:r w:rsidRPr="00F333AD">
        <w:t xml:space="preserve"> strategic objectives.</w:t>
      </w:r>
      <w:r w:rsidR="00E76358">
        <w:rPr>
          <w:rStyle w:val="FootnoteReference"/>
        </w:rPr>
        <w:footnoteReference w:id="53"/>
      </w:r>
      <w:r w:rsidRPr="00F333AD">
        <w:t xml:space="preserve"> </w:t>
      </w:r>
      <w:r>
        <w:t>T</w:t>
      </w:r>
      <w:r w:rsidRPr="00F333AD">
        <w:t xml:space="preserve">he evaluation was unable to determine whether there is general awareness and understanding of the SDGs </w:t>
      </w:r>
      <w:r>
        <w:t>at the community level</w:t>
      </w:r>
      <w:r w:rsidRPr="00F333AD">
        <w:t xml:space="preserve">. Raising awareness of the SDGs through focused campaigns will help the attainment of SDG targets and should be an inclusive and participatory process, e.g., </w:t>
      </w:r>
      <w:r w:rsidRPr="00C4203C">
        <w:rPr>
          <w:rFonts w:cstheme="minorHAnsi"/>
        </w:rPr>
        <w:t xml:space="preserve">through initiating dialogue with members of civil society, the private sector, government officials and marginalised groups, especially women, </w:t>
      </w:r>
      <w:proofErr w:type="gramStart"/>
      <w:r w:rsidRPr="00C4203C">
        <w:rPr>
          <w:rFonts w:cstheme="minorHAnsi"/>
        </w:rPr>
        <w:t>youth</w:t>
      </w:r>
      <w:proofErr w:type="gramEnd"/>
      <w:r w:rsidRPr="00C4203C">
        <w:rPr>
          <w:rFonts w:cstheme="minorHAnsi"/>
        </w:rPr>
        <w:t xml:space="preserve"> and people with special needs.</w:t>
      </w:r>
      <w:r w:rsidRPr="00C4203C">
        <w:rPr>
          <w:rFonts w:eastAsia="Times New Roman" w:cstheme="minorHAnsi"/>
          <w:color w:val="000000" w:themeColor="text1"/>
        </w:rPr>
        <w:t xml:space="preserve"> </w:t>
      </w:r>
    </w:p>
    <w:p w14:paraId="2421CDC7" w14:textId="77777777" w:rsidR="00C4203C" w:rsidRPr="00C4203C" w:rsidRDefault="00C4203C" w:rsidP="000810C9">
      <w:pPr>
        <w:pStyle w:val="ListParagraph"/>
        <w:spacing w:line="240" w:lineRule="auto"/>
        <w:rPr>
          <w:rFonts w:cstheme="minorHAnsi"/>
        </w:rPr>
      </w:pPr>
    </w:p>
    <w:p w14:paraId="58026335" w14:textId="022A1F17" w:rsidR="008E4FC0" w:rsidRDefault="00C12C91" w:rsidP="000810C9">
      <w:pPr>
        <w:pStyle w:val="ListParagraph"/>
        <w:numPr>
          <w:ilvl w:val="0"/>
          <w:numId w:val="3"/>
        </w:numPr>
        <w:spacing w:before="240" w:line="240" w:lineRule="auto"/>
        <w:jc w:val="both"/>
      </w:pPr>
      <w:proofErr w:type="gramStart"/>
      <w:r w:rsidRPr="00C4203C">
        <w:rPr>
          <w:rFonts w:cstheme="minorHAnsi"/>
        </w:rPr>
        <w:t>It is clear that until</w:t>
      </w:r>
      <w:proofErr w:type="gramEnd"/>
      <w:r w:rsidRPr="00C4203C">
        <w:rPr>
          <w:rFonts w:cstheme="minorHAnsi"/>
        </w:rPr>
        <w:t xml:space="preserve"> 2030, the speed of implementation of the SDGs will have to increase significantly in many countries. UNDP Ethiopia needs to seek transformative, </w:t>
      </w:r>
      <w:proofErr w:type="gramStart"/>
      <w:r w:rsidRPr="00C4203C">
        <w:rPr>
          <w:rFonts w:cstheme="minorHAnsi"/>
        </w:rPr>
        <w:t>integrated</w:t>
      </w:r>
      <w:proofErr w:type="gramEnd"/>
      <w:r w:rsidRPr="00C4203C">
        <w:rPr>
          <w:rFonts w:cstheme="minorHAnsi"/>
        </w:rPr>
        <w:t xml:space="preserve"> and sustainable policy and programming options for SDG implementation that are localised and embedded in institutions. Also, </w:t>
      </w:r>
      <w:proofErr w:type="gramStart"/>
      <w:r w:rsidRPr="00C4203C">
        <w:rPr>
          <w:rFonts w:cstheme="minorHAnsi"/>
        </w:rPr>
        <w:t>in order to</w:t>
      </w:r>
      <w:proofErr w:type="gramEnd"/>
      <w:r w:rsidRPr="00C4203C">
        <w:rPr>
          <w:rFonts w:cstheme="minorHAnsi"/>
        </w:rPr>
        <w:t xml:space="preserve"> ensure services, reach to lower levels, and are accessible to citizens across the country, UNDP needs to mobilise funds to continue established interventions such as the DARS in FEACC, the ARTS in OFAG and interactive citizens’ information and feedback centers at HoF, EIO, CCI, etc. This should be prioritised in a new iteration of the GDPP and in any follow-up collaborations with the IPs to support individual accessibility and use</w:t>
      </w:r>
      <w:r w:rsidR="00F34222" w:rsidRPr="00C4203C">
        <w:rPr>
          <w:rFonts w:cstheme="minorHAnsi"/>
        </w:rPr>
        <w:t>.</w:t>
      </w:r>
      <w:r w:rsidR="008E4FC0" w:rsidRPr="00C4203C">
        <w:rPr>
          <w:rFonts w:cstheme="minorHAnsi"/>
        </w:rPr>
        <w:t xml:space="preserve"> </w:t>
      </w:r>
    </w:p>
    <w:p w14:paraId="255AFDC6" w14:textId="77777777" w:rsidR="008E4FC0" w:rsidRDefault="008E4FC0" w:rsidP="000810C9">
      <w:pPr>
        <w:pStyle w:val="ListParagraph"/>
        <w:spacing w:before="240" w:line="240" w:lineRule="auto"/>
        <w:ind w:left="360"/>
        <w:jc w:val="both"/>
      </w:pPr>
    </w:p>
    <w:p w14:paraId="57ED7B43" w14:textId="1B5C611B" w:rsidR="00C12C91" w:rsidRPr="008E4FC0" w:rsidRDefault="00C12C91" w:rsidP="000810C9">
      <w:pPr>
        <w:pStyle w:val="ListParagraph"/>
        <w:numPr>
          <w:ilvl w:val="0"/>
          <w:numId w:val="3"/>
        </w:numPr>
        <w:spacing w:before="240" w:line="240" w:lineRule="auto"/>
        <w:jc w:val="both"/>
        <w:rPr>
          <w:rFonts w:eastAsia="Times New Roman" w:cstheme="minorHAnsi"/>
          <w:b/>
          <w:sz w:val="20"/>
          <w:szCs w:val="20"/>
          <w:lang w:val="en-GB" w:eastAsia="en-CA"/>
        </w:rPr>
      </w:pPr>
      <w:r>
        <w:t xml:space="preserve">The </w:t>
      </w:r>
      <w:r w:rsidRPr="003566F0">
        <w:t>GDPP has emphasized the centrality of </w:t>
      </w:r>
      <w:r>
        <w:t xml:space="preserve"> </w:t>
      </w:r>
      <w:hyperlink r:id="rId12" w:tgtFrame="_blank" w:history="1">
        <w:r w:rsidRPr="003566F0">
          <w:t>good public sector governance</w:t>
        </w:r>
      </w:hyperlink>
      <w:r w:rsidRPr="003566F0">
        <w:t> and </w:t>
      </w:r>
      <w:hyperlink r:id="rId13" w:tgtFrame="_blank" w:history="1">
        <w:r w:rsidRPr="003566F0">
          <w:t>anti-corruption</w:t>
        </w:r>
      </w:hyperlink>
      <w:r w:rsidRPr="003566F0">
        <w:t xml:space="preserve"> efforts in </w:t>
      </w:r>
      <w:r>
        <w:t xml:space="preserve">achieving </w:t>
      </w:r>
      <w:r w:rsidRPr="003566F0">
        <w:t>its overarching programme idea</w:t>
      </w:r>
      <w:r>
        <w:t xml:space="preserve">, i.e., “strong, inclusive and responsive democratic institutions are the bedrock to ensure good governance and democracy.” </w:t>
      </w:r>
      <w:r w:rsidRPr="003566F0">
        <w:t xml:space="preserve">These “supply-side activities” remain essential for improving state capacity and strengthening core country governance systems such as public </w:t>
      </w:r>
      <w:r>
        <w:t>service delivery</w:t>
      </w:r>
      <w:r w:rsidRPr="003566F0">
        <w:t xml:space="preserve">.  Ultimately, it is the state that is responsible for the sensible policy-making and efficient service delivery necessary </w:t>
      </w:r>
      <w:r>
        <w:t>to</w:t>
      </w:r>
      <w:r w:rsidRPr="003566F0">
        <w:t xml:space="preserve"> achiev</w:t>
      </w:r>
      <w:r>
        <w:t>e</w:t>
      </w:r>
      <w:r w:rsidRPr="003566F0">
        <w:t xml:space="preserve"> salutary development ou</w:t>
      </w:r>
      <w:r>
        <w:t>tcomes. But, in the future, UNDP/</w:t>
      </w:r>
      <w:r w:rsidRPr="003566F0">
        <w:t xml:space="preserve">GDPP </w:t>
      </w:r>
      <w:proofErr w:type="gramStart"/>
      <w:r w:rsidRPr="003566F0">
        <w:t>has to</w:t>
      </w:r>
      <w:proofErr w:type="gramEnd"/>
      <w:r w:rsidRPr="003566F0">
        <w:t xml:space="preserve"> widen its analytic and operational lens on governance to include what is being called the “demand-side” of governance. This could be achieved through directly partnering with CSO</w:t>
      </w:r>
      <w:r>
        <w:t>s</w:t>
      </w:r>
      <w:r w:rsidRPr="003566F0">
        <w:t xml:space="preserve"> and reaching citizens. </w:t>
      </w:r>
      <w:r w:rsidRPr="00ED4597">
        <w:t xml:space="preserve">It could also be achieved by tagging a component of the budget and support to the local level, making local level support by IPs as criteria for funding. </w:t>
      </w:r>
    </w:p>
    <w:p w14:paraId="4C9EABC1" w14:textId="4D5586C9" w:rsidR="00C12C91" w:rsidRPr="00C4203C" w:rsidRDefault="007953EB" w:rsidP="000810C9">
      <w:pPr>
        <w:pStyle w:val="ListParagraph"/>
        <w:numPr>
          <w:ilvl w:val="0"/>
          <w:numId w:val="3"/>
        </w:numPr>
        <w:spacing w:before="240" w:line="240" w:lineRule="auto"/>
        <w:jc w:val="both"/>
        <w:rPr>
          <w:rFonts w:eastAsia="Times New Roman" w:cstheme="minorHAnsi"/>
          <w:lang w:val="en-US" w:eastAsia="en-CA"/>
        </w:rPr>
      </w:pPr>
      <w:r>
        <w:lastRenderedPageBreak/>
        <w:t xml:space="preserve">The </w:t>
      </w:r>
      <w:r w:rsidR="00C12C91">
        <w:t xml:space="preserve">GDPP’s objective is also in line with the SDGs; particularly with Goal 16 which states “Promote peaceful and inclusive societies for sustainable development, provide access to justice for all and build effective, accountable and inclusive institutions at all levels.” </w:t>
      </w:r>
      <w:r>
        <w:t xml:space="preserve">The </w:t>
      </w:r>
      <w:r w:rsidR="00C12C91">
        <w:t>GDPP outcomes and outputs directly respond to most of the SDG 16 specific targets: promote the rule of law, reduce corruption, develop effective, accountable, and transparent institutions, and ensure responsive, inclusive, participatory, and representative decision-making</w:t>
      </w:r>
      <w:r w:rsidR="00C12C91" w:rsidRPr="000D46E6">
        <w:t xml:space="preserve">. </w:t>
      </w:r>
    </w:p>
    <w:p w14:paraId="3F8C6795" w14:textId="77777777" w:rsidR="007953EB" w:rsidRDefault="007953EB" w:rsidP="000810C9">
      <w:pPr>
        <w:spacing w:line="240" w:lineRule="auto"/>
        <w:rPr>
          <w:b/>
        </w:rPr>
      </w:pPr>
      <w:r>
        <w:rPr>
          <w:b/>
        </w:rPr>
        <w:br w:type="page"/>
      </w:r>
    </w:p>
    <w:p w14:paraId="7E2FF2F6" w14:textId="34FF41CF" w:rsidR="00C12C91" w:rsidRDefault="00C12C91" w:rsidP="000810C9">
      <w:pPr>
        <w:spacing w:before="240" w:after="0" w:line="240" w:lineRule="auto"/>
        <w:jc w:val="both"/>
        <w:rPr>
          <w:b/>
        </w:rPr>
      </w:pPr>
      <w:r>
        <w:rPr>
          <w:b/>
        </w:rPr>
        <w:lastRenderedPageBreak/>
        <w:t xml:space="preserve">SECTION 5 </w:t>
      </w:r>
      <w:r w:rsidRPr="00387114">
        <w:rPr>
          <w:b/>
        </w:rPr>
        <w:t>RECOMMENDATIONS</w:t>
      </w:r>
      <w:r>
        <w:rPr>
          <w:b/>
        </w:rPr>
        <w:t xml:space="preserve"> FOR A NEW ITERATION OF THE GDPP</w:t>
      </w:r>
    </w:p>
    <w:p w14:paraId="6279C724" w14:textId="77777777" w:rsidR="00375319" w:rsidRDefault="00375319" w:rsidP="000810C9">
      <w:pPr>
        <w:spacing w:after="0" w:line="240" w:lineRule="auto"/>
      </w:pPr>
    </w:p>
    <w:p w14:paraId="1946A0A7" w14:textId="379ECF0C" w:rsidR="00A058CB" w:rsidRDefault="00A058CB" w:rsidP="000810C9">
      <w:pPr>
        <w:spacing w:after="0" w:line="240" w:lineRule="auto"/>
      </w:pPr>
      <w:r w:rsidRPr="007F7010">
        <w:t xml:space="preserve">The ET proposes the following key recommendations which are informed by the </w:t>
      </w:r>
      <w:r w:rsidR="00D77021" w:rsidRPr="007F7010">
        <w:t>TE</w:t>
      </w:r>
      <w:r w:rsidRPr="007F7010">
        <w:t xml:space="preserve"> findings and conclusions:</w:t>
      </w:r>
      <w:r>
        <w:t xml:space="preserve">  </w:t>
      </w:r>
    </w:p>
    <w:p w14:paraId="1088BE22" w14:textId="77777777" w:rsidR="00C12C91" w:rsidRDefault="00C12C91" w:rsidP="000810C9">
      <w:pPr>
        <w:spacing w:after="0" w:line="240" w:lineRule="auto"/>
        <w:jc w:val="both"/>
        <w:rPr>
          <w:b/>
        </w:rPr>
      </w:pPr>
    </w:p>
    <w:p w14:paraId="68F2CE14" w14:textId="5C41D7FF" w:rsidR="00C12C91" w:rsidRPr="004317F7" w:rsidRDefault="00C12C91" w:rsidP="000810C9">
      <w:pPr>
        <w:pStyle w:val="ListParagraph"/>
        <w:numPr>
          <w:ilvl w:val="2"/>
          <w:numId w:val="25"/>
        </w:numPr>
        <w:spacing w:after="0" w:line="240" w:lineRule="auto"/>
        <w:jc w:val="both"/>
        <w:rPr>
          <w:b/>
        </w:rPr>
      </w:pPr>
      <w:r w:rsidRPr="004317F7">
        <w:rPr>
          <w:b/>
        </w:rPr>
        <w:t>Broad Programmatic Level Recommendations:</w:t>
      </w:r>
    </w:p>
    <w:p w14:paraId="5E3A55BC" w14:textId="565223DD" w:rsidR="006A6A30" w:rsidRDefault="006A6A30" w:rsidP="000810C9">
      <w:pPr>
        <w:pStyle w:val="ListParagraph"/>
        <w:spacing w:line="240" w:lineRule="auto"/>
        <w:ind w:left="360"/>
        <w:jc w:val="both"/>
        <w:rPr>
          <w:b/>
        </w:rPr>
      </w:pPr>
    </w:p>
    <w:p w14:paraId="60D99AFB" w14:textId="74806718" w:rsidR="0028583D" w:rsidRPr="00A40C97" w:rsidRDefault="006A6A30" w:rsidP="000810C9">
      <w:pPr>
        <w:pStyle w:val="gmail-msolistparagraph"/>
        <w:spacing w:before="0" w:beforeAutospacing="0" w:after="240" w:afterAutospacing="0"/>
        <w:jc w:val="both"/>
        <w:rPr>
          <w:rFonts w:asciiTheme="minorHAnsi" w:eastAsiaTheme="minorHAnsi" w:hAnsiTheme="minorHAnsi" w:cstheme="minorBidi"/>
          <w:sz w:val="22"/>
          <w:szCs w:val="22"/>
          <w:highlight w:val="yellow"/>
        </w:rPr>
      </w:pPr>
      <w:r w:rsidRPr="00664FF7">
        <w:rPr>
          <w:rFonts w:asciiTheme="minorHAnsi" w:eastAsiaTheme="minorHAnsi" w:hAnsiTheme="minorHAnsi" w:cstheme="minorBidi"/>
          <w:b/>
          <w:sz w:val="22"/>
          <w:szCs w:val="22"/>
        </w:rPr>
        <w:t>R.1</w:t>
      </w:r>
      <w:r w:rsidRPr="002B077E">
        <w:rPr>
          <w:rFonts w:asciiTheme="minorHAnsi" w:eastAsiaTheme="minorHAnsi" w:hAnsiTheme="minorHAnsi" w:cstheme="minorBidi"/>
          <w:sz w:val="22"/>
          <w:szCs w:val="22"/>
        </w:rPr>
        <w:t xml:space="preserve"> Significant progress has been made under the GDPP in enhancing good governance and democratic development in Ethiopia. In order not to lose the gains made thus far, a follow-on programme (GDPP Phase II) is recommended to build on the achievements and lessons learned. A second phase of the GDPP should give considerable attention to both the national level as well as to the regional level partners and activities. </w:t>
      </w:r>
      <w:bookmarkStart w:id="4" w:name="_Hlk101256915"/>
    </w:p>
    <w:bookmarkEnd w:id="4"/>
    <w:p w14:paraId="640C724D" w14:textId="1761B03A" w:rsidR="002B077E" w:rsidRDefault="002B077E" w:rsidP="000810C9">
      <w:pPr>
        <w:spacing w:line="240" w:lineRule="auto"/>
      </w:pPr>
      <w:r w:rsidRPr="00664FF7">
        <w:rPr>
          <w:b/>
        </w:rPr>
        <w:t>R.</w:t>
      </w:r>
      <w:r w:rsidR="00664FF7" w:rsidRPr="00664FF7">
        <w:rPr>
          <w:b/>
        </w:rPr>
        <w:t>2</w:t>
      </w:r>
      <w:r w:rsidRPr="002B077E">
        <w:t xml:space="preserve"> It important for IPs at national and regional levels, selected CSOs, traditional leaders and other key stakeholders to participate in programme design meetings of GDPP II.</w:t>
      </w:r>
    </w:p>
    <w:p w14:paraId="45D8CA27" w14:textId="0E375584" w:rsidR="00C12C91" w:rsidRPr="002B077E" w:rsidRDefault="00196A0F" w:rsidP="000810C9">
      <w:pPr>
        <w:spacing w:line="240" w:lineRule="auto"/>
        <w:jc w:val="both"/>
        <w:rPr>
          <w:highlight w:val="yellow"/>
        </w:rPr>
      </w:pPr>
      <w:r w:rsidRPr="00664FF7">
        <w:rPr>
          <w:b/>
        </w:rPr>
        <w:t>R.</w:t>
      </w:r>
      <w:r w:rsidR="00664FF7" w:rsidRPr="00664FF7">
        <w:rPr>
          <w:b/>
        </w:rPr>
        <w:t>3</w:t>
      </w:r>
      <w:r w:rsidR="00677729">
        <w:t xml:space="preserve"> </w:t>
      </w:r>
      <w:r w:rsidR="00C12C91">
        <w:t>Building on its Governance experience, UNDP should develop a comprehensive SDG support strategy to guide Ethiopia’s attainment of the SDGs highlighting those where UNDP has or can mobilise top-class expertise. In conjunction, UNDP should support an awareness raising campaign to help attain the SDG targets.</w:t>
      </w:r>
    </w:p>
    <w:p w14:paraId="02F641B4" w14:textId="320E104D" w:rsidR="00AC4B30" w:rsidRDefault="00C12C91" w:rsidP="000810C9">
      <w:pPr>
        <w:spacing w:line="240" w:lineRule="auto"/>
        <w:jc w:val="both"/>
      </w:pPr>
      <w:r w:rsidRPr="00664FF7">
        <w:rPr>
          <w:b/>
        </w:rPr>
        <w:t>R.</w:t>
      </w:r>
      <w:r w:rsidR="00664FF7" w:rsidRPr="00664FF7">
        <w:rPr>
          <w:b/>
        </w:rPr>
        <w:t>4</w:t>
      </w:r>
      <w:r>
        <w:t xml:space="preserve"> </w:t>
      </w:r>
      <w:r w:rsidR="00AC4B30">
        <w:t xml:space="preserve">For a future GDPP </w:t>
      </w:r>
      <w:r w:rsidR="00AC4B30" w:rsidRPr="002B077E">
        <w:t>II</w:t>
      </w:r>
      <w:r w:rsidR="00AC4B30">
        <w:t>, d</w:t>
      </w:r>
      <w:r>
        <w:t xml:space="preserve">evelop a clearly defined results framework, </w:t>
      </w:r>
      <w:r w:rsidR="00B9741D" w:rsidRPr="008C44E8">
        <w:t>including identification of clear and measura</w:t>
      </w:r>
      <w:r w:rsidR="008C44E8" w:rsidRPr="008C44E8">
        <w:t>ble sub-</w:t>
      </w:r>
      <w:r w:rsidR="00B9741D" w:rsidRPr="008C44E8">
        <w:t>output, output and outcome level indicators, baselines and targets based on quick assessments</w:t>
      </w:r>
      <w:r w:rsidR="00B9741D">
        <w:t xml:space="preserve"> </w:t>
      </w:r>
      <w:r>
        <w:t xml:space="preserve">involving relevant IPs, Ministries and regional departments, sectoral bureaus, </w:t>
      </w:r>
      <w:r w:rsidRPr="00BE6830">
        <w:t xml:space="preserve">research, </w:t>
      </w:r>
      <w:proofErr w:type="gramStart"/>
      <w:r w:rsidRPr="00BE6830">
        <w:t>training</w:t>
      </w:r>
      <w:proofErr w:type="gramEnd"/>
      <w:r w:rsidRPr="00BE6830">
        <w:t xml:space="preserve"> and knowledge institutions</w:t>
      </w:r>
      <w:r>
        <w:t xml:space="preserve"> for each key sector</w:t>
      </w:r>
      <w:r w:rsidR="00AC4B30">
        <w:t>.</w:t>
      </w:r>
      <w:bookmarkStart w:id="5" w:name="_Hlk101257055"/>
      <w:r w:rsidR="00AC4B30">
        <w:t xml:space="preserve"> </w:t>
      </w:r>
    </w:p>
    <w:p w14:paraId="601839B3" w14:textId="6D727D89" w:rsidR="00485016" w:rsidRDefault="00485016" w:rsidP="000810C9">
      <w:pPr>
        <w:spacing w:line="240" w:lineRule="auto"/>
        <w:jc w:val="both"/>
      </w:pPr>
      <w:r w:rsidRPr="00485016">
        <w:rPr>
          <w:b/>
        </w:rPr>
        <w:t>R.5</w:t>
      </w:r>
      <w:r>
        <w:t xml:space="preserve"> In </w:t>
      </w:r>
      <w:r w:rsidR="008D02A9">
        <w:t xml:space="preserve">designing </w:t>
      </w:r>
      <w:r>
        <w:t>a future programme, establish stronger and more robust risk assessment/management mechanisms, in terms of short/medium/long-term risks;</w:t>
      </w:r>
      <w:r w:rsidR="00F34222">
        <w:t xml:space="preserve"> </w:t>
      </w:r>
      <w:proofErr w:type="gramStart"/>
      <w:r w:rsidR="007953EB">
        <w:t>and,</w:t>
      </w:r>
      <w:proofErr w:type="gramEnd"/>
      <w:r w:rsidR="007953EB">
        <w:t xml:space="preserve"> </w:t>
      </w:r>
      <w:r>
        <w:t xml:space="preserve">include comprehensive mitigation measures in programme planning. </w:t>
      </w:r>
    </w:p>
    <w:p w14:paraId="104A1667" w14:textId="665FC957" w:rsidR="0028583D" w:rsidRPr="002B077E" w:rsidRDefault="00AC4B30" w:rsidP="000810C9">
      <w:pPr>
        <w:spacing w:line="240" w:lineRule="auto"/>
        <w:jc w:val="both"/>
        <w:rPr>
          <w:lang w:val="en-US"/>
        </w:rPr>
      </w:pPr>
      <w:r w:rsidRPr="00664FF7">
        <w:rPr>
          <w:b/>
        </w:rPr>
        <w:t>R.</w:t>
      </w:r>
      <w:r w:rsidR="00485016">
        <w:rPr>
          <w:b/>
        </w:rPr>
        <w:t>6</w:t>
      </w:r>
      <w:r w:rsidRPr="00AC4B30">
        <w:t xml:space="preserve"> </w:t>
      </w:r>
      <w:r w:rsidR="0028583D" w:rsidRPr="00AC4B30">
        <w:t>Monitoring and evaluation functions of a follow-on programme should be well considered through support by qualified and professional team members through secondment and across IPs. A budget line equivalent to at least 5% of the total budget should be accorded to the M&amp;E function to ensure adequate facilitation of its activities.</w:t>
      </w:r>
    </w:p>
    <w:p w14:paraId="7D20356F" w14:textId="4D9C235C" w:rsidR="009F526F" w:rsidRPr="00A40C97" w:rsidRDefault="00677729" w:rsidP="000810C9">
      <w:pPr>
        <w:spacing w:line="240" w:lineRule="auto"/>
        <w:jc w:val="both"/>
      </w:pPr>
      <w:r w:rsidRPr="00664FF7">
        <w:rPr>
          <w:b/>
        </w:rPr>
        <w:t>R.</w:t>
      </w:r>
      <w:r w:rsidR="00485016">
        <w:rPr>
          <w:b/>
        </w:rPr>
        <w:t>7</w:t>
      </w:r>
      <w:r>
        <w:t xml:space="preserve"> </w:t>
      </w:r>
      <w:r w:rsidR="009F526F">
        <w:t xml:space="preserve">Ethiopia has 11 regions and two city administrations. A new programme should pilot </w:t>
      </w:r>
      <w:r w:rsidR="00FB7094">
        <w:t>intervention</w:t>
      </w:r>
      <w:r w:rsidR="007953EB">
        <w:t>s</w:t>
      </w:r>
      <w:r w:rsidR="009F526F">
        <w:t xml:space="preserve"> in a few regions</w:t>
      </w:r>
      <w:r w:rsidR="00FB7094">
        <w:t xml:space="preserve"> by representing </w:t>
      </w:r>
      <w:r w:rsidR="009E5D2E">
        <w:t xml:space="preserve">both </w:t>
      </w:r>
      <w:r w:rsidR="00FB7094">
        <w:t xml:space="preserve">pastoral and </w:t>
      </w:r>
      <w:proofErr w:type="spellStart"/>
      <w:r w:rsidR="00FB7094">
        <w:t>agro</w:t>
      </w:r>
      <w:proofErr w:type="spellEnd"/>
      <w:r w:rsidR="00AC4B30">
        <w:t>-</w:t>
      </w:r>
      <w:r w:rsidR="00FB7094">
        <w:t xml:space="preserve">pastoral </w:t>
      </w:r>
      <w:r w:rsidR="001F2B71">
        <w:t>communities</w:t>
      </w:r>
      <w:r w:rsidR="00FB7094">
        <w:t xml:space="preserve"> </w:t>
      </w:r>
      <w:r w:rsidR="009F526F">
        <w:t xml:space="preserve">and clearly demonstrate how the </w:t>
      </w:r>
      <w:r w:rsidR="009F526F" w:rsidRPr="001F2B71">
        <w:t>intervention</w:t>
      </w:r>
      <w:r w:rsidR="007953EB">
        <w:t>s</w:t>
      </w:r>
      <w:r w:rsidR="009F526F" w:rsidRPr="001F2B71">
        <w:t xml:space="preserve"> tran</w:t>
      </w:r>
      <w:r w:rsidR="009F526F" w:rsidRPr="00B03291">
        <w:t>slat</w:t>
      </w:r>
      <w:r w:rsidR="007953EB">
        <w:t>e</w:t>
      </w:r>
      <w:r w:rsidR="009F526F" w:rsidRPr="00B03291">
        <w:t xml:space="preserve"> at the regional</w:t>
      </w:r>
      <w:r w:rsidR="009F526F" w:rsidRPr="00C9128A">
        <w:t xml:space="preserve"> level by relating these results back to the federal level.</w:t>
      </w:r>
      <w:r w:rsidR="009E5D2E" w:rsidRPr="00EB0682">
        <w:t xml:space="preserve"> We propose Oromi</w:t>
      </w:r>
      <w:r w:rsidR="009E5D2E" w:rsidRPr="001F2B71">
        <w:t>a, Amhara and Afar</w:t>
      </w:r>
      <w:r w:rsidR="00AC4B30">
        <w:t>.</w:t>
      </w:r>
      <w:r w:rsidR="009F526F" w:rsidRPr="00B03291">
        <w:t xml:space="preserve"> </w:t>
      </w:r>
      <w:r w:rsidR="009E5D2E" w:rsidRPr="00A40C97">
        <w:t>Local level democratic institution forum</w:t>
      </w:r>
      <w:r w:rsidR="00AC4B30">
        <w:t>s</w:t>
      </w:r>
      <w:r w:rsidR="009E5D2E" w:rsidRPr="00A40C97">
        <w:t xml:space="preserve"> (at Zonal and Woreda level)</w:t>
      </w:r>
      <w:r w:rsidR="00FB7094" w:rsidRPr="00A40C97">
        <w:t xml:space="preserve"> and </w:t>
      </w:r>
      <w:r w:rsidR="007953EB">
        <w:t>ethics and anti-</w:t>
      </w:r>
      <w:r w:rsidR="001F2B71">
        <w:t>corruption clubs</w:t>
      </w:r>
      <w:r w:rsidR="009F526F" w:rsidRPr="00A40C97">
        <w:t xml:space="preserve"> </w:t>
      </w:r>
      <w:r w:rsidR="007E7687" w:rsidRPr="00A40C97">
        <w:t xml:space="preserve">(at </w:t>
      </w:r>
      <w:r w:rsidR="009E5D2E" w:rsidRPr="00A40C97">
        <w:t>schools</w:t>
      </w:r>
      <w:r w:rsidR="007E7687" w:rsidRPr="00A40C97">
        <w:t>)</w:t>
      </w:r>
      <w:r w:rsidR="009F526F" w:rsidRPr="00A40C97">
        <w:t xml:space="preserve"> should be included</w:t>
      </w:r>
      <w:r w:rsidR="007E7687" w:rsidRPr="00A40C97">
        <w:t xml:space="preserve"> and further strengthen</w:t>
      </w:r>
      <w:r w:rsidR="001F2B71">
        <w:t>ed</w:t>
      </w:r>
      <w:r w:rsidR="007E7687" w:rsidRPr="00A40C97">
        <w:t xml:space="preserve"> </w:t>
      </w:r>
      <w:r w:rsidR="009F526F">
        <w:t xml:space="preserve">featuring social media as a powerful tool. </w:t>
      </w:r>
    </w:p>
    <w:bookmarkEnd w:id="5"/>
    <w:p w14:paraId="1F1C3E3A" w14:textId="16A90580" w:rsidR="00C12C91" w:rsidRPr="004317F7" w:rsidRDefault="00C12C91" w:rsidP="000810C9">
      <w:pPr>
        <w:pStyle w:val="ListParagraph"/>
        <w:numPr>
          <w:ilvl w:val="2"/>
          <w:numId w:val="25"/>
        </w:numPr>
        <w:spacing w:before="240" w:line="240" w:lineRule="auto"/>
        <w:jc w:val="both"/>
        <w:rPr>
          <w:b/>
        </w:rPr>
      </w:pPr>
      <w:r w:rsidRPr="004317F7">
        <w:rPr>
          <w:b/>
        </w:rPr>
        <w:t>Governance and Capacity Building</w:t>
      </w:r>
    </w:p>
    <w:p w14:paraId="198C09A5" w14:textId="2F8BFE33" w:rsidR="00C12C91" w:rsidRDefault="00C12C91" w:rsidP="000810C9">
      <w:pPr>
        <w:spacing w:line="240" w:lineRule="auto"/>
        <w:jc w:val="both"/>
      </w:pPr>
      <w:r w:rsidRPr="00664FF7">
        <w:rPr>
          <w:b/>
        </w:rPr>
        <w:t>R.</w:t>
      </w:r>
      <w:r w:rsidR="00485016">
        <w:rPr>
          <w:b/>
        </w:rPr>
        <w:t>8</w:t>
      </w:r>
      <w:r>
        <w:rPr>
          <w:b/>
        </w:rPr>
        <w:t xml:space="preserve"> </w:t>
      </w:r>
      <w:r>
        <w:t>Through advanced training, coaching and/or secondment from other UNDP offices, as well as where possible fresh recruitment, develop high-level staff skills, especially in the IPs but also in UNDP as necessary, in the following core areas:</w:t>
      </w:r>
    </w:p>
    <w:p w14:paraId="2C5AB8DD" w14:textId="77777777" w:rsidR="00C12C91" w:rsidRDefault="00C12C91" w:rsidP="00A40C97">
      <w:pPr>
        <w:pStyle w:val="ListParagraph"/>
        <w:numPr>
          <w:ilvl w:val="0"/>
          <w:numId w:val="1"/>
        </w:numPr>
        <w:spacing w:line="240" w:lineRule="auto"/>
        <w:jc w:val="both"/>
      </w:pPr>
      <w:r>
        <w:t>Developing theories of change and enhancing knowledge of their importance in programme design and results management.</w:t>
      </w:r>
    </w:p>
    <w:p w14:paraId="1097B4FE" w14:textId="77777777" w:rsidR="00A0467C" w:rsidRDefault="00C12C91" w:rsidP="00A0467C">
      <w:pPr>
        <w:pStyle w:val="ListParagraph"/>
        <w:numPr>
          <w:ilvl w:val="0"/>
          <w:numId w:val="1"/>
        </w:numPr>
        <w:spacing w:line="240" w:lineRule="auto"/>
        <w:jc w:val="both"/>
      </w:pPr>
      <w:r>
        <w:lastRenderedPageBreak/>
        <w:t xml:space="preserve">Strengthening internal monitoring and data collection systems focusing on </w:t>
      </w:r>
      <w:proofErr w:type="gramStart"/>
      <w:r>
        <w:t>results;</w:t>
      </w:r>
      <w:proofErr w:type="gramEnd"/>
    </w:p>
    <w:p w14:paraId="55246489" w14:textId="14CF4200" w:rsidR="00A0467C" w:rsidRDefault="00C12C91" w:rsidP="00A0467C">
      <w:pPr>
        <w:pStyle w:val="ListParagraph"/>
        <w:numPr>
          <w:ilvl w:val="0"/>
          <w:numId w:val="1"/>
        </w:numPr>
        <w:spacing w:line="240" w:lineRule="auto"/>
        <w:jc w:val="both"/>
      </w:pPr>
      <w:r>
        <w:t xml:space="preserve">Strengthening documentation, reporting and dissemination of collaboration interventions along thematic sectors leading to policy briefs, </w:t>
      </w:r>
      <w:proofErr w:type="gramStart"/>
      <w:r>
        <w:t>dialogue</w:t>
      </w:r>
      <w:proofErr w:type="gramEnd"/>
      <w:r>
        <w:t xml:space="preserve"> and position papers, et</w:t>
      </w:r>
      <w:bookmarkStart w:id="6" w:name="_Hlk101257099"/>
      <w:r w:rsidR="00AC4B30">
        <w:t>c.</w:t>
      </w:r>
    </w:p>
    <w:bookmarkEnd w:id="6"/>
    <w:p w14:paraId="1A89D567" w14:textId="02FC8568" w:rsidR="00AC4B30" w:rsidRDefault="00AC4B30" w:rsidP="00AC4B30">
      <w:pPr>
        <w:spacing w:line="240" w:lineRule="auto"/>
        <w:jc w:val="both"/>
      </w:pPr>
      <w:r w:rsidRPr="00664FF7">
        <w:rPr>
          <w:b/>
        </w:rPr>
        <w:t>R.</w:t>
      </w:r>
      <w:r w:rsidR="00485016">
        <w:rPr>
          <w:b/>
        </w:rPr>
        <w:t>9</w:t>
      </w:r>
      <w:r w:rsidRPr="00664FF7">
        <w:rPr>
          <w:b/>
        </w:rPr>
        <w:t>.</w:t>
      </w:r>
      <w:r w:rsidRPr="00AC4B30">
        <w:t xml:space="preserve"> GDPP should strengthen the collaboration and management mechanisms of PMB and PTC to promote harmonious and complementary support and ensure IPs’ programme ownership. Because of high turnover in IPs, thorough induction of new staff should be systematic. </w:t>
      </w:r>
    </w:p>
    <w:p w14:paraId="466ECA50" w14:textId="6547FC66" w:rsidR="00664FF7" w:rsidRDefault="00C12C91" w:rsidP="00664FF7">
      <w:pPr>
        <w:spacing w:line="240" w:lineRule="auto"/>
        <w:jc w:val="both"/>
      </w:pPr>
      <w:r>
        <w:rPr>
          <w:b/>
        </w:rPr>
        <w:t>R.</w:t>
      </w:r>
      <w:r w:rsidR="00485016">
        <w:rPr>
          <w:b/>
        </w:rPr>
        <w:t>10</w:t>
      </w:r>
      <w:r w:rsidR="00A40C97">
        <w:rPr>
          <w:b/>
        </w:rPr>
        <w:t>.</w:t>
      </w:r>
      <w:r>
        <w:rPr>
          <w:b/>
        </w:rPr>
        <w:t xml:space="preserve"> </w:t>
      </w:r>
      <w:r>
        <w:t>Senior management inputs need to go into exploring synergistic partnerships with other UN agencies which may have technical capacity in specific areas of relevance to the GDPP.</w:t>
      </w:r>
    </w:p>
    <w:p w14:paraId="75F2339C" w14:textId="58219DCE" w:rsidR="005C159A" w:rsidRDefault="00C12C91" w:rsidP="00664FF7">
      <w:pPr>
        <w:spacing w:line="240" w:lineRule="auto"/>
        <w:jc w:val="both"/>
        <w:rPr>
          <w:b/>
        </w:rPr>
      </w:pPr>
      <w:r>
        <w:rPr>
          <w:b/>
        </w:rPr>
        <w:t>R.</w:t>
      </w:r>
      <w:r w:rsidR="00A40C97">
        <w:rPr>
          <w:b/>
        </w:rPr>
        <w:t>1</w:t>
      </w:r>
      <w:r w:rsidR="00485016">
        <w:rPr>
          <w:b/>
        </w:rPr>
        <w:t>1</w:t>
      </w:r>
      <w:r w:rsidR="00A40C97">
        <w:rPr>
          <w:b/>
        </w:rPr>
        <w:t>.</w:t>
      </w:r>
      <w:r>
        <w:rPr>
          <w:b/>
        </w:rPr>
        <w:t xml:space="preserve"> </w:t>
      </w:r>
      <w:r>
        <w:t xml:space="preserve">Ensure that when undertaking capacity building interventions, there is a clear baseline of the capacity gaps identified and a defined pathway to change before embarking on the process. </w:t>
      </w:r>
    </w:p>
    <w:p w14:paraId="0034F1FB" w14:textId="2A8E9AEF" w:rsidR="00C12C91" w:rsidRPr="004317F7" w:rsidRDefault="00C12C91" w:rsidP="004317F7">
      <w:pPr>
        <w:pStyle w:val="ListParagraph"/>
        <w:numPr>
          <w:ilvl w:val="2"/>
          <w:numId w:val="25"/>
        </w:numPr>
        <w:spacing w:before="240" w:line="240" w:lineRule="auto"/>
        <w:jc w:val="both"/>
        <w:rPr>
          <w:b/>
        </w:rPr>
      </w:pPr>
      <w:r w:rsidRPr="004317F7">
        <w:rPr>
          <w:b/>
        </w:rPr>
        <w:t>Resource Mobilisation, Monitoring and Reporting</w:t>
      </w:r>
    </w:p>
    <w:p w14:paraId="0A33EC93" w14:textId="1FEDB1AF" w:rsidR="00C12C91" w:rsidRDefault="00C12C91" w:rsidP="00664FF7">
      <w:pPr>
        <w:spacing w:line="240" w:lineRule="auto"/>
        <w:jc w:val="both"/>
      </w:pPr>
      <w:r>
        <w:rPr>
          <w:b/>
        </w:rPr>
        <w:t>R.</w:t>
      </w:r>
      <w:r w:rsidR="00A0467C">
        <w:rPr>
          <w:b/>
        </w:rPr>
        <w:t>1</w:t>
      </w:r>
      <w:r w:rsidR="00485016">
        <w:rPr>
          <w:b/>
        </w:rPr>
        <w:t>2</w:t>
      </w:r>
      <w:r>
        <w:rPr>
          <w:b/>
        </w:rPr>
        <w:t xml:space="preserve"> </w:t>
      </w:r>
      <w:r>
        <w:t>Use Service User Feedback Surveys</w:t>
      </w:r>
      <w:r w:rsidR="006B36F0">
        <w:t>, and work closely with CSOs,</w:t>
      </w:r>
      <w:r>
        <w:t xml:space="preserve"> to elicit people’s views on public service delivery, rule of law, </w:t>
      </w:r>
      <w:proofErr w:type="gramStart"/>
      <w:r>
        <w:t>accountability</w:t>
      </w:r>
      <w:proofErr w:type="gramEnd"/>
      <w:r>
        <w:t xml:space="preserve"> and transparency to identify where efforts to improve performance should best be applied. </w:t>
      </w:r>
    </w:p>
    <w:p w14:paraId="05077456" w14:textId="7BE5565B" w:rsidR="00C12C91" w:rsidRDefault="00C12C91" w:rsidP="00664FF7">
      <w:pPr>
        <w:spacing w:line="240" w:lineRule="auto"/>
        <w:jc w:val="both"/>
      </w:pPr>
      <w:r>
        <w:rPr>
          <w:b/>
        </w:rPr>
        <w:t>R.</w:t>
      </w:r>
      <w:r w:rsidR="00A0467C">
        <w:rPr>
          <w:b/>
        </w:rPr>
        <w:t>1</w:t>
      </w:r>
      <w:r w:rsidR="00485016">
        <w:rPr>
          <w:b/>
        </w:rPr>
        <w:t>3</w:t>
      </w:r>
      <w:r>
        <w:t xml:space="preserve"> UNDP should work with specialized institutions, including advocacy CSOs and higher research institutions in the country, to publish evidence of trends in policy and strategic information. </w:t>
      </w:r>
    </w:p>
    <w:p w14:paraId="0A06BA30" w14:textId="78A413E5" w:rsidR="00C12C91" w:rsidRDefault="00C12C91" w:rsidP="00664FF7">
      <w:pPr>
        <w:jc w:val="both"/>
      </w:pPr>
      <w:r w:rsidRPr="00664FF7">
        <w:rPr>
          <w:b/>
        </w:rPr>
        <w:t>R.</w:t>
      </w:r>
      <w:r w:rsidR="00A0467C" w:rsidRPr="00664FF7">
        <w:rPr>
          <w:b/>
        </w:rPr>
        <w:t>1</w:t>
      </w:r>
      <w:r w:rsidR="00485016">
        <w:rPr>
          <w:b/>
        </w:rPr>
        <w:t>4</w:t>
      </w:r>
      <w:r w:rsidRPr="00664FF7">
        <w:rPr>
          <w:b/>
        </w:rPr>
        <w:t xml:space="preserve"> </w:t>
      </w:r>
      <w:r>
        <w:t xml:space="preserve">UNDP needs to develop a robust resource mobilisation strategy to strengthen the GDPP. </w:t>
      </w:r>
      <w:proofErr w:type="gramStart"/>
      <w:r>
        <w:t>In particular, UNDP</w:t>
      </w:r>
      <w:proofErr w:type="gramEnd"/>
      <w:r>
        <w:t xml:space="preserve"> needs to explore funding opportunities with other donors apart from the initial 4 (Austria, Denmark, Norway and Sweden) as well as explore options with the private sector.</w:t>
      </w:r>
    </w:p>
    <w:p w14:paraId="3F217B70" w14:textId="30676F92" w:rsidR="00C12C91" w:rsidRDefault="00C12C91" w:rsidP="00664FF7">
      <w:pPr>
        <w:spacing w:line="240" w:lineRule="auto"/>
        <w:jc w:val="both"/>
        <w:rPr>
          <w:b/>
        </w:rPr>
      </w:pPr>
      <w:r>
        <w:rPr>
          <w:b/>
        </w:rPr>
        <w:t>R.1</w:t>
      </w:r>
      <w:r w:rsidR="00485016">
        <w:rPr>
          <w:b/>
        </w:rPr>
        <w:t>5</w:t>
      </w:r>
      <w:r>
        <w:rPr>
          <w:b/>
        </w:rPr>
        <w:t xml:space="preserve"> </w:t>
      </w:r>
      <w:r>
        <w:t xml:space="preserve">UNDP should explore citizen-based funding – as in the experience of Indonesia, for example, where citizens contribute to the anti-corruption commission. In Ethiopia, the context of citizens (dissatisfied by certain government services) is fertile and such funding can be sustainable and independent </w:t>
      </w:r>
      <w:proofErr w:type="gramStart"/>
      <w:r>
        <w:t>in order to</w:t>
      </w:r>
      <w:proofErr w:type="gramEnd"/>
      <w:r>
        <w:t xml:space="preserve"> support areas which the government sees as “thorny” and doesn’t want to touch. This would also increase citizen demands for greater participation in decisions that affect their lives.</w:t>
      </w:r>
      <w:r w:rsidRPr="006F3554">
        <w:rPr>
          <w:b/>
        </w:rPr>
        <w:t xml:space="preserve"> </w:t>
      </w:r>
    </w:p>
    <w:p w14:paraId="663F0C8D" w14:textId="0351BB0D" w:rsidR="001F6ADE" w:rsidRPr="001F6ADE" w:rsidRDefault="001F6ADE" w:rsidP="004317F7">
      <w:pPr>
        <w:spacing w:after="0"/>
        <w:jc w:val="both"/>
        <w:rPr>
          <w:bCs/>
        </w:rPr>
      </w:pPr>
      <w:r w:rsidRPr="001F6ADE">
        <w:rPr>
          <w:b/>
          <w:bCs/>
        </w:rPr>
        <w:t>R.1</w:t>
      </w:r>
      <w:r w:rsidR="00485016">
        <w:rPr>
          <w:b/>
          <w:bCs/>
        </w:rPr>
        <w:t>6</w:t>
      </w:r>
      <w:r w:rsidRPr="001F6ADE">
        <w:rPr>
          <w:bCs/>
        </w:rPr>
        <w:t xml:space="preserve"> Given the variation in the capacity and experience of IPs, GDPP should create experience sharing opportunities, for example, during joint monitoring visits, regular meetings or capacity strengthening trainings. </w:t>
      </w:r>
    </w:p>
    <w:p w14:paraId="06034F21" w14:textId="77777777" w:rsidR="00A0467C" w:rsidRDefault="00A0467C" w:rsidP="00C12C91">
      <w:pPr>
        <w:spacing w:after="0" w:line="240" w:lineRule="auto"/>
        <w:ind w:left="720"/>
        <w:jc w:val="both"/>
        <w:rPr>
          <w:b/>
        </w:rPr>
      </w:pPr>
    </w:p>
    <w:p w14:paraId="6856E5B8" w14:textId="1BD6DD13" w:rsidR="00C12C91" w:rsidRDefault="00375319" w:rsidP="00C12C91">
      <w:pPr>
        <w:spacing w:line="240" w:lineRule="auto"/>
        <w:jc w:val="both"/>
        <w:rPr>
          <w:b/>
        </w:rPr>
      </w:pPr>
      <w:r>
        <w:rPr>
          <w:b/>
        </w:rPr>
        <w:t xml:space="preserve">5.1.4 </w:t>
      </w:r>
      <w:r w:rsidR="00C12C91" w:rsidRPr="006F3554">
        <w:rPr>
          <w:b/>
        </w:rPr>
        <w:t>Cross-Cutting Issues</w:t>
      </w:r>
    </w:p>
    <w:p w14:paraId="030CE9BF" w14:textId="70F47773" w:rsidR="001F6ADE" w:rsidRPr="00BF34DF" w:rsidRDefault="00C12C91" w:rsidP="00BF34DF">
      <w:pPr>
        <w:spacing w:line="240" w:lineRule="auto"/>
        <w:jc w:val="both"/>
        <w:rPr>
          <w:b/>
        </w:rPr>
      </w:pPr>
      <w:r w:rsidRPr="00BF34DF">
        <w:rPr>
          <w:b/>
        </w:rPr>
        <w:t>R.1</w:t>
      </w:r>
      <w:r w:rsidR="00485016">
        <w:rPr>
          <w:b/>
        </w:rPr>
        <w:t>7</w:t>
      </w:r>
      <w:r w:rsidRPr="00BF34DF">
        <w:rPr>
          <w:b/>
        </w:rPr>
        <w:t xml:space="preserve"> </w:t>
      </w:r>
      <w:r>
        <w:t>UNDP should seek to learn from the experiences of other countries, and strong gender organisations in Ethiopia, in developing gender-specific programming strategies though virtual workshops or other kinds of information exchanges.</w:t>
      </w:r>
      <w:r w:rsidR="00BA75D3">
        <w:t xml:space="preserve"> </w:t>
      </w:r>
    </w:p>
    <w:p w14:paraId="6A9303EF" w14:textId="73EB1FA2" w:rsidR="00C12C91" w:rsidRPr="00BF34DF" w:rsidRDefault="00C12C91" w:rsidP="00BF34DF">
      <w:pPr>
        <w:spacing w:line="240" w:lineRule="auto"/>
        <w:jc w:val="both"/>
        <w:rPr>
          <w:b/>
        </w:rPr>
      </w:pPr>
      <w:r w:rsidRPr="00BF34DF">
        <w:rPr>
          <w:b/>
        </w:rPr>
        <w:t>R.1</w:t>
      </w:r>
      <w:r w:rsidR="00485016">
        <w:rPr>
          <w:b/>
        </w:rPr>
        <w:t>8</w:t>
      </w:r>
      <w:r w:rsidRPr="00BF34DF">
        <w:rPr>
          <w:b/>
        </w:rPr>
        <w:t xml:space="preserve"> </w:t>
      </w:r>
      <w:r>
        <w:t xml:space="preserve">UNDP needs to cascade the gender tools and frameworks of the UN system to the specific programme and project level </w:t>
      </w:r>
      <w:proofErr w:type="gramStart"/>
      <w:r>
        <w:t>in order to</w:t>
      </w:r>
      <w:proofErr w:type="gramEnd"/>
      <w:r>
        <w:t xml:space="preserve"> better monitor and track results based on gender indicators.</w:t>
      </w:r>
    </w:p>
    <w:p w14:paraId="250AC556" w14:textId="461517DF" w:rsidR="00C12C91" w:rsidRDefault="00C12C91" w:rsidP="00BF34DF">
      <w:pPr>
        <w:spacing w:after="0" w:line="240" w:lineRule="auto"/>
        <w:jc w:val="both"/>
      </w:pPr>
      <w:r w:rsidRPr="003B3994">
        <w:rPr>
          <w:b/>
        </w:rPr>
        <w:t>R.</w:t>
      </w:r>
      <w:r w:rsidR="00A40C97" w:rsidRPr="003B3994">
        <w:rPr>
          <w:b/>
        </w:rPr>
        <w:t>1</w:t>
      </w:r>
      <w:r w:rsidR="00485016">
        <w:rPr>
          <w:b/>
        </w:rPr>
        <w:t>9</w:t>
      </w:r>
      <w:r w:rsidR="00A40C97">
        <w:t xml:space="preserve"> </w:t>
      </w:r>
      <w:r>
        <w:t>At the local level, UNDP should seek opportunities to support social networks and movements aimed at advancing women’s rights, gender inclusivity, marginalized</w:t>
      </w:r>
      <w:r w:rsidRPr="008C2BB0">
        <w:t xml:space="preserve"> </w:t>
      </w:r>
      <w:proofErr w:type="gramStart"/>
      <w:r>
        <w:t>groups</w:t>
      </w:r>
      <w:proofErr w:type="gramEnd"/>
      <w:r>
        <w:t xml:space="preserve"> and persons with disabilities (special needs). (In the context of Ethiopia, this is a meaningful and critical recommendation in the sense that minority voices and rights are not heard; and these groups are increasingly marginalized, even currently, in context where more reforms are the “talk” of the day).</w:t>
      </w:r>
    </w:p>
    <w:p w14:paraId="2F692DDB" w14:textId="77777777" w:rsidR="00C12C91" w:rsidRPr="00B2772B" w:rsidRDefault="00C12C91" w:rsidP="00C12C91">
      <w:pPr>
        <w:jc w:val="both"/>
        <w:rPr>
          <w:b/>
          <w:bCs/>
        </w:rPr>
      </w:pPr>
      <w:r>
        <w:rPr>
          <w:b/>
          <w:bCs/>
        </w:rPr>
        <w:lastRenderedPageBreak/>
        <w:t>SECTION 6 LESSONS LEARNED</w:t>
      </w:r>
    </w:p>
    <w:p w14:paraId="71110991" w14:textId="77777777" w:rsidR="00C12C91" w:rsidRPr="00B2772B" w:rsidRDefault="00C12C91" w:rsidP="00C12C91">
      <w:pPr>
        <w:pStyle w:val="ListParagraph"/>
        <w:numPr>
          <w:ilvl w:val="0"/>
          <w:numId w:val="14"/>
        </w:numPr>
        <w:spacing w:before="240" w:line="256" w:lineRule="auto"/>
        <w:jc w:val="both"/>
        <w:rPr>
          <w:rFonts w:cstheme="minorHAnsi"/>
        </w:rPr>
      </w:pPr>
      <w:r w:rsidRPr="00B2772B">
        <w:rPr>
          <w:b/>
        </w:rPr>
        <w:t>A high level of flexibility and adaptability</w:t>
      </w:r>
      <w:r w:rsidRPr="00B2772B">
        <w:t xml:space="preserve"> of governance programming to the country context, particularly in transitional settings, is essential. The recent shift in the political landscape of Ethiopia confirmed the importance of ensuring a high level of responsiveness to political and policy shifts without compromising the basic foundations, </w:t>
      </w:r>
      <w:proofErr w:type="gramStart"/>
      <w:r w:rsidRPr="00B2772B">
        <w:t>principles</w:t>
      </w:r>
      <w:proofErr w:type="gramEnd"/>
      <w:r w:rsidRPr="00B2772B">
        <w:t xml:space="preserve"> and pillars of the programme. </w:t>
      </w:r>
    </w:p>
    <w:p w14:paraId="35A8E5CE" w14:textId="77777777" w:rsidR="00C12C91" w:rsidRPr="00B2772B" w:rsidRDefault="00C12C91" w:rsidP="00C12C91">
      <w:pPr>
        <w:pStyle w:val="ListParagraph"/>
        <w:numPr>
          <w:ilvl w:val="0"/>
          <w:numId w:val="15"/>
        </w:numPr>
        <w:spacing w:line="256" w:lineRule="auto"/>
        <w:jc w:val="both"/>
        <w:rPr>
          <w:rFonts w:cstheme="minorHAnsi"/>
        </w:rPr>
      </w:pPr>
      <w:r w:rsidRPr="00B2772B">
        <w:rPr>
          <w:rFonts w:cstheme="minorHAnsi"/>
          <w:b/>
          <w:bCs/>
        </w:rPr>
        <w:t>A well-designed and organized programme born out of solid research is crucial.</w:t>
      </w:r>
      <w:r w:rsidRPr="00B2772B">
        <w:rPr>
          <w:rFonts w:cstheme="minorHAnsi"/>
        </w:rPr>
        <w:t xml:space="preserve"> Lessons learned from previous programmes are salient in informing the growth and development of a programme concept. The design aspect brought on board critical players and institutions relevant to the GDPP. </w:t>
      </w:r>
    </w:p>
    <w:p w14:paraId="2B84D97E" w14:textId="77777777" w:rsidR="00C12C91" w:rsidRPr="00B2772B" w:rsidRDefault="00C12C91" w:rsidP="00C12C91">
      <w:pPr>
        <w:pStyle w:val="ListParagraph"/>
        <w:numPr>
          <w:ilvl w:val="0"/>
          <w:numId w:val="15"/>
        </w:numPr>
        <w:spacing w:line="256" w:lineRule="auto"/>
        <w:jc w:val="both"/>
        <w:rPr>
          <w:rFonts w:cstheme="minorHAnsi"/>
        </w:rPr>
      </w:pPr>
      <w:r w:rsidRPr="00B2772B">
        <w:rPr>
          <w:rFonts w:cstheme="minorHAnsi"/>
          <w:b/>
          <w:bCs/>
        </w:rPr>
        <w:t>Finding focus: going deep vs. spreading thin.</w:t>
      </w:r>
      <w:r w:rsidRPr="00B2772B">
        <w:rPr>
          <w:rFonts w:cstheme="minorHAnsi"/>
        </w:rPr>
        <w:t xml:space="preserve"> GDPP learned from experience that the number of implementing partners should be of a manageable scale to ensure good quality programme implementation. Likewise, in reshaping the thematic focus of the programme, it is important to identify essential elements in the wider governance and accountability spectrum. Programme focus is important to leverage resources and to ensure the efficiency of programme outcomes. </w:t>
      </w:r>
    </w:p>
    <w:p w14:paraId="22987F75" w14:textId="77777777" w:rsidR="00C12C91" w:rsidRPr="00B2772B" w:rsidRDefault="00C12C91" w:rsidP="00C12C91">
      <w:pPr>
        <w:pStyle w:val="ListParagraph"/>
        <w:numPr>
          <w:ilvl w:val="0"/>
          <w:numId w:val="15"/>
        </w:numPr>
        <w:spacing w:line="256" w:lineRule="auto"/>
        <w:jc w:val="both"/>
        <w:rPr>
          <w:rFonts w:cstheme="minorHAnsi"/>
        </w:rPr>
      </w:pPr>
      <w:r w:rsidRPr="00B2772B">
        <w:rPr>
          <w:rFonts w:cstheme="minorHAnsi"/>
          <w:b/>
          <w:bCs/>
        </w:rPr>
        <w:t xml:space="preserve">Striking a balance between ‘supply side’ and ‘demand side’ of governance. </w:t>
      </w:r>
      <w:r w:rsidRPr="00B2772B">
        <w:rPr>
          <w:rFonts w:cstheme="minorHAnsi"/>
        </w:rPr>
        <w:t>GDPP has emphasized the centrality of </w:t>
      </w:r>
      <w:hyperlink r:id="rId14" w:tgtFrame="_blank" w:history="1">
        <w:r w:rsidRPr="009C60DC">
          <w:t>good public sector governance</w:t>
        </w:r>
      </w:hyperlink>
      <w:r w:rsidRPr="00B2772B">
        <w:rPr>
          <w:rFonts w:cstheme="minorHAnsi"/>
        </w:rPr>
        <w:t> and </w:t>
      </w:r>
      <w:hyperlink r:id="rId15" w:tgtFrame="_blank" w:history="1">
        <w:r w:rsidRPr="009C60DC">
          <w:t>anti-corruption</w:t>
        </w:r>
      </w:hyperlink>
      <w:r w:rsidRPr="00B2772B">
        <w:rPr>
          <w:rFonts w:cstheme="minorHAnsi"/>
        </w:rPr>
        <w:t xml:space="preserve"> efforts in achieving its overarching programme idea, i.e., “strong, inclusive and responsive democratic institutions are the bedrock to ensure good governance and democracy.”  These “supply-side activities” remain essential for improving state capacity and strengthening core country governance systems such as public service delivery.  Similarly, the “demand-side” of governance is also very important in addressing governance and accountability issues. Hence, directly partnering with </w:t>
      </w:r>
      <w:r w:rsidRPr="00BE6830">
        <w:rPr>
          <w:rFonts w:cstheme="minorHAnsi"/>
        </w:rPr>
        <w:t xml:space="preserve">grassroots level CSOs that are closer to the people </w:t>
      </w:r>
      <w:r w:rsidRPr="00B2772B">
        <w:rPr>
          <w:rFonts w:cstheme="minorHAnsi"/>
        </w:rPr>
        <w:t xml:space="preserve">and reaching citizens is essential. </w:t>
      </w:r>
    </w:p>
    <w:p w14:paraId="4F5E6652" w14:textId="09B1A959" w:rsidR="00C12C91" w:rsidRPr="00B2772B" w:rsidRDefault="00C12C91" w:rsidP="00C12C91">
      <w:pPr>
        <w:pStyle w:val="ListParagraph"/>
        <w:numPr>
          <w:ilvl w:val="0"/>
          <w:numId w:val="15"/>
        </w:numPr>
        <w:spacing w:line="256" w:lineRule="auto"/>
        <w:jc w:val="both"/>
        <w:rPr>
          <w:rFonts w:cstheme="minorHAnsi"/>
        </w:rPr>
      </w:pPr>
      <w:r w:rsidRPr="00B2772B">
        <w:rPr>
          <w:rFonts w:cstheme="minorHAnsi"/>
          <w:b/>
          <w:bCs/>
        </w:rPr>
        <w:t>Programme execution modality vs. IPs’ implementation capacity.</w:t>
      </w:r>
      <w:r w:rsidRPr="00B2772B">
        <w:rPr>
          <w:rFonts w:cstheme="minorHAnsi"/>
        </w:rPr>
        <w:t xml:space="preserve"> Allowing IPs to choose their own priorities and plans was key to effective implementation of programme interventions. The NIM modality has created strong national ‘ownership’ and responsibility. It is important to note that the success of this execution modality requires ‘unwavering’ supportive supervision, mentoring, coaching, and continuous capacity strengthening support to IPs.  </w:t>
      </w:r>
      <w:r w:rsidR="00F90F91">
        <w:rPr>
          <w:rFonts w:cstheme="minorHAnsi"/>
        </w:rPr>
        <w:t xml:space="preserve">This needs to be underpinned by the IPs own commitment to the </w:t>
      </w:r>
      <w:proofErr w:type="gramStart"/>
      <w:r w:rsidR="00F90F91">
        <w:rPr>
          <w:rFonts w:cstheme="minorHAnsi"/>
        </w:rPr>
        <w:t>longer term</w:t>
      </w:r>
      <w:proofErr w:type="gramEnd"/>
      <w:r w:rsidR="00F90F91">
        <w:rPr>
          <w:rFonts w:cstheme="minorHAnsi"/>
        </w:rPr>
        <w:t xml:space="preserve"> sustainability of the programme interventions by fully integrating the improvements achieved within their own IP systems and structures. </w:t>
      </w:r>
      <w:r w:rsidRPr="00B2772B">
        <w:rPr>
          <w:rFonts w:cstheme="minorHAnsi"/>
        </w:rPr>
        <w:t xml:space="preserve"> </w:t>
      </w:r>
    </w:p>
    <w:p w14:paraId="7388482E" w14:textId="77777777" w:rsidR="00C12C91" w:rsidRPr="00B2772B" w:rsidRDefault="00C12C91" w:rsidP="00C12C91">
      <w:pPr>
        <w:pStyle w:val="ListParagraph"/>
        <w:numPr>
          <w:ilvl w:val="0"/>
          <w:numId w:val="15"/>
        </w:numPr>
        <w:spacing w:line="256" w:lineRule="auto"/>
        <w:jc w:val="both"/>
        <w:rPr>
          <w:rFonts w:cstheme="minorHAnsi"/>
        </w:rPr>
      </w:pPr>
      <w:r w:rsidRPr="00B2772B">
        <w:rPr>
          <w:rFonts w:cstheme="minorHAnsi"/>
          <w:b/>
          <w:bCs/>
        </w:rPr>
        <w:t>Multiple institutional synergies are key to strengthening programme implementation.</w:t>
      </w:r>
      <w:r w:rsidRPr="00B2772B">
        <w:rPr>
          <w:rFonts w:cstheme="minorHAnsi"/>
        </w:rPr>
        <w:t xml:space="preserve"> Each IP has its own strengths and areas for improvement, but some IPs are more efficient in properly planning and implementing programme activities. Creating more platforms and experience sharing opportunities among IPs are important for cross fertilization of learning and best practices. In addition, this approach is essential to avoid duplication of efforts. </w:t>
      </w:r>
    </w:p>
    <w:p w14:paraId="4E45F83C" w14:textId="77777777" w:rsidR="00C12C91" w:rsidRPr="00B2772B" w:rsidRDefault="00C12C91" w:rsidP="00C12C91">
      <w:pPr>
        <w:pStyle w:val="ListParagraph"/>
        <w:numPr>
          <w:ilvl w:val="0"/>
          <w:numId w:val="15"/>
        </w:numPr>
        <w:spacing w:line="256" w:lineRule="auto"/>
        <w:jc w:val="both"/>
        <w:rPr>
          <w:rFonts w:cstheme="minorHAnsi"/>
        </w:rPr>
      </w:pPr>
      <w:r w:rsidRPr="00B2772B">
        <w:rPr>
          <w:rFonts w:cstheme="minorHAnsi"/>
          <w:b/>
          <w:bCs/>
        </w:rPr>
        <w:t>A mix of soft and hard interventions improves outcomes.</w:t>
      </w:r>
      <w:r w:rsidRPr="00B2772B">
        <w:rPr>
          <w:rFonts w:cstheme="minorHAnsi"/>
        </w:rPr>
        <w:t xml:space="preserve"> Soft activities, such as capacity building, policy and legal reforms are enhanced with improvements to the working environment, for example, by infrastructure improvements.</w:t>
      </w:r>
    </w:p>
    <w:p w14:paraId="6D50E272" w14:textId="65A2335F" w:rsidR="00C12C91" w:rsidRDefault="00C12C91" w:rsidP="00C12C91">
      <w:pPr>
        <w:pStyle w:val="ListParagraph"/>
        <w:numPr>
          <w:ilvl w:val="0"/>
          <w:numId w:val="15"/>
        </w:numPr>
        <w:spacing w:line="256" w:lineRule="auto"/>
        <w:jc w:val="both"/>
        <w:rPr>
          <w:rFonts w:cstheme="minorHAnsi"/>
        </w:rPr>
      </w:pPr>
      <w:r w:rsidRPr="00B2772B">
        <w:rPr>
          <w:rFonts w:cstheme="minorHAnsi"/>
          <w:b/>
          <w:bCs/>
        </w:rPr>
        <w:t>The necessity of a well thought out M&amp;E framework.</w:t>
      </w:r>
      <w:r w:rsidRPr="00B2772B">
        <w:rPr>
          <w:rFonts w:cstheme="minorHAnsi"/>
        </w:rPr>
        <w:t xml:space="preserve"> A well-designed M&amp;E strategy is essential in tracking the progress of programme activities. </w:t>
      </w:r>
      <w:r w:rsidR="00446464">
        <w:rPr>
          <w:rFonts w:cstheme="minorHAnsi"/>
        </w:rPr>
        <w:t>In the a</w:t>
      </w:r>
      <w:r w:rsidRPr="00B2772B">
        <w:rPr>
          <w:rFonts w:cstheme="minorHAnsi"/>
        </w:rPr>
        <w:t>bsen</w:t>
      </w:r>
      <w:r w:rsidR="00F90F91">
        <w:rPr>
          <w:rFonts w:cstheme="minorHAnsi"/>
        </w:rPr>
        <w:t xml:space="preserve">ce </w:t>
      </w:r>
      <w:proofErr w:type="gramStart"/>
      <w:r w:rsidR="00F90F91">
        <w:rPr>
          <w:rFonts w:cstheme="minorHAnsi"/>
        </w:rPr>
        <w:t xml:space="preserve">of </w:t>
      </w:r>
      <w:r w:rsidRPr="00B2772B">
        <w:rPr>
          <w:rFonts w:cstheme="minorHAnsi"/>
        </w:rPr>
        <w:t xml:space="preserve"> such</w:t>
      </w:r>
      <w:proofErr w:type="gramEnd"/>
      <w:r w:rsidRPr="00B2772B">
        <w:rPr>
          <w:rFonts w:cstheme="minorHAnsi"/>
        </w:rPr>
        <w:t xml:space="preserve"> results,  </w:t>
      </w:r>
      <w:r w:rsidR="00446464">
        <w:rPr>
          <w:rFonts w:cstheme="minorHAnsi"/>
        </w:rPr>
        <w:t xml:space="preserve">it will be </w:t>
      </w:r>
      <w:r w:rsidRPr="00B2772B">
        <w:rPr>
          <w:rFonts w:cstheme="minorHAnsi"/>
        </w:rPr>
        <w:t xml:space="preserve">a challenge to determine </w:t>
      </w:r>
      <w:r w:rsidR="00F90F91">
        <w:rPr>
          <w:rFonts w:cstheme="minorHAnsi"/>
        </w:rPr>
        <w:t xml:space="preserve">achievement of the </w:t>
      </w:r>
      <w:r w:rsidRPr="00B2772B">
        <w:rPr>
          <w:rFonts w:cstheme="minorHAnsi"/>
        </w:rPr>
        <w:t xml:space="preserve">programme outcomes. </w:t>
      </w:r>
    </w:p>
    <w:p w14:paraId="656F82DE" w14:textId="77777777" w:rsidR="005070CA" w:rsidRPr="003271EC" w:rsidRDefault="00C12C91" w:rsidP="00192882">
      <w:pPr>
        <w:pStyle w:val="ListParagraph"/>
        <w:numPr>
          <w:ilvl w:val="0"/>
          <w:numId w:val="15"/>
        </w:numPr>
        <w:spacing w:line="240" w:lineRule="auto"/>
        <w:jc w:val="both"/>
        <w:outlineLvl w:val="0"/>
        <w:rPr>
          <w:rFonts w:eastAsia="Times New Roman" w:cstheme="minorHAnsi"/>
          <w:lang w:eastAsia="en-CA"/>
        </w:rPr>
      </w:pPr>
      <w:r w:rsidRPr="002F7B16">
        <w:rPr>
          <w:rFonts w:cstheme="minorHAnsi"/>
          <w:b/>
          <w:bCs/>
        </w:rPr>
        <w:t xml:space="preserve">Necessity of gender and social inclusion. </w:t>
      </w:r>
      <w:r w:rsidRPr="002F7B16">
        <w:rPr>
          <w:rFonts w:cstheme="minorHAnsi"/>
        </w:rPr>
        <w:t>Adequately considering gender and social inclusion issues at programme design and implementation stages</w:t>
      </w:r>
      <w:r w:rsidRPr="002F7B16">
        <w:rPr>
          <w:rFonts w:cstheme="minorHAnsi"/>
          <w:b/>
          <w:bCs/>
        </w:rPr>
        <w:t xml:space="preserve"> </w:t>
      </w:r>
      <w:r w:rsidRPr="002F7B16">
        <w:rPr>
          <w:rFonts w:cstheme="minorHAnsi"/>
        </w:rPr>
        <w:t xml:space="preserve">will enhance the promotion of women and other groups rights and enable the programme to reach all the people it seeks to assist. </w:t>
      </w:r>
    </w:p>
    <w:p w14:paraId="06E73772" w14:textId="169442E1" w:rsidR="003271EC" w:rsidRPr="00EE5574" w:rsidRDefault="00EE5574" w:rsidP="003271EC">
      <w:pPr>
        <w:pStyle w:val="ListParagraph"/>
        <w:numPr>
          <w:ilvl w:val="0"/>
          <w:numId w:val="15"/>
        </w:numPr>
        <w:spacing w:line="240" w:lineRule="auto"/>
        <w:jc w:val="both"/>
        <w:outlineLvl w:val="0"/>
        <w:rPr>
          <w:rFonts w:eastAsia="Times New Roman" w:cstheme="minorHAnsi"/>
          <w:lang w:val="en-US" w:eastAsia="en-CA"/>
        </w:rPr>
      </w:pPr>
      <w:r w:rsidRPr="00EE5574">
        <w:rPr>
          <w:rFonts w:eastAsia="Times New Roman" w:cstheme="minorHAnsi"/>
          <w:b/>
          <w:lang w:eastAsia="en-CA"/>
        </w:rPr>
        <w:lastRenderedPageBreak/>
        <w:t>Necessity of clear and measurable indicators.</w:t>
      </w:r>
      <w:r w:rsidRPr="00EE5574">
        <w:rPr>
          <w:rFonts w:eastAsia="Times New Roman" w:cstheme="minorHAnsi"/>
          <w:lang w:eastAsia="en-CA"/>
        </w:rPr>
        <w:t xml:space="preserve"> </w:t>
      </w:r>
      <w:r w:rsidR="003271EC" w:rsidRPr="00EE5574">
        <w:rPr>
          <w:rFonts w:eastAsia="Times New Roman" w:cstheme="minorHAnsi"/>
          <w:lang w:eastAsia="en-CA"/>
        </w:rPr>
        <w:t xml:space="preserve">Abstract and relative </w:t>
      </w:r>
      <w:r w:rsidRPr="00EE5574">
        <w:rPr>
          <w:rFonts w:eastAsia="Times New Roman" w:cstheme="minorHAnsi"/>
          <w:lang w:eastAsia="en-CA"/>
        </w:rPr>
        <w:t>sub-</w:t>
      </w:r>
      <w:r w:rsidR="003271EC" w:rsidRPr="00EE5574">
        <w:rPr>
          <w:rFonts w:eastAsia="Times New Roman" w:cstheme="minorHAnsi"/>
          <w:lang w:eastAsia="en-CA"/>
        </w:rPr>
        <w:t xml:space="preserve">output, output and outcome level indicators, baseline and targets constrain the evaluability of </w:t>
      </w:r>
      <w:r w:rsidRPr="00EE5574">
        <w:rPr>
          <w:rFonts w:eastAsia="Times New Roman" w:cstheme="minorHAnsi"/>
          <w:lang w:eastAsia="en-CA"/>
        </w:rPr>
        <w:t>program</w:t>
      </w:r>
      <w:r>
        <w:rPr>
          <w:rFonts w:eastAsia="Times New Roman" w:cstheme="minorHAnsi"/>
          <w:lang w:eastAsia="en-CA"/>
        </w:rPr>
        <w:t>me</w:t>
      </w:r>
      <w:r w:rsidRPr="00EE5574">
        <w:rPr>
          <w:rFonts w:eastAsia="Times New Roman" w:cstheme="minorHAnsi"/>
          <w:lang w:eastAsia="en-CA"/>
        </w:rPr>
        <w:t xml:space="preserve"> implementation</w:t>
      </w:r>
      <w:r w:rsidR="003271EC" w:rsidRPr="00EE5574">
        <w:rPr>
          <w:rFonts w:eastAsia="Times New Roman" w:cstheme="minorHAnsi"/>
          <w:lang w:eastAsia="en-CA"/>
        </w:rPr>
        <w:t xml:space="preserve"> </w:t>
      </w:r>
      <w:r w:rsidR="00EE4BBD" w:rsidRPr="00EE5574">
        <w:rPr>
          <w:rFonts w:eastAsia="Times New Roman" w:cstheme="minorHAnsi"/>
          <w:lang w:eastAsia="en-CA"/>
        </w:rPr>
        <w:t xml:space="preserve">and </w:t>
      </w:r>
      <w:r>
        <w:rPr>
          <w:rFonts w:eastAsia="Times New Roman" w:cstheme="minorHAnsi"/>
          <w:lang w:eastAsia="en-CA"/>
        </w:rPr>
        <w:t xml:space="preserve">the </w:t>
      </w:r>
      <w:r w:rsidR="00EE4BBD" w:rsidRPr="00EE5574">
        <w:rPr>
          <w:rFonts w:eastAsia="Times New Roman" w:cstheme="minorHAnsi"/>
          <w:lang w:eastAsia="en-CA"/>
        </w:rPr>
        <w:t>evaluation of results</w:t>
      </w:r>
      <w:r w:rsidR="003271EC" w:rsidRPr="00EE5574">
        <w:rPr>
          <w:rFonts w:eastAsia="Times New Roman" w:cstheme="minorHAnsi"/>
          <w:lang w:eastAsia="en-CA"/>
        </w:rPr>
        <w:t>.</w:t>
      </w:r>
    </w:p>
    <w:p w14:paraId="225215C0" w14:textId="457974B4" w:rsidR="003271EC" w:rsidRPr="003271EC" w:rsidRDefault="003271EC" w:rsidP="003271EC">
      <w:pPr>
        <w:pStyle w:val="ListParagraph"/>
        <w:spacing w:line="240" w:lineRule="auto"/>
        <w:jc w:val="both"/>
        <w:outlineLvl w:val="0"/>
        <w:rPr>
          <w:rFonts w:eastAsia="Times New Roman" w:cstheme="minorHAnsi"/>
          <w:lang w:eastAsia="en-CA"/>
        </w:rPr>
        <w:sectPr w:rsidR="003271EC" w:rsidRPr="003271EC" w:rsidSect="00E168AE">
          <w:footerReference w:type="default" r:id="rId16"/>
          <w:pgSz w:w="12240" w:h="15840"/>
          <w:pgMar w:top="1440" w:right="1440" w:bottom="1440" w:left="1440" w:header="720" w:footer="720" w:gutter="0"/>
          <w:pgNumType w:start="1"/>
          <w:cols w:space="720"/>
          <w:docGrid w:linePitch="360"/>
        </w:sectPr>
      </w:pPr>
    </w:p>
    <w:p w14:paraId="5C365245" w14:textId="77777777" w:rsidR="00474D71" w:rsidRDefault="005070CA" w:rsidP="005070CA">
      <w:pPr>
        <w:outlineLvl w:val="0"/>
        <w:rPr>
          <w:b/>
        </w:rPr>
      </w:pPr>
      <w:r w:rsidRPr="005070CA">
        <w:rPr>
          <w:b/>
        </w:rPr>
        <w:lastRenderedPageBreak/>
        <w:t>ANNEX 1</w:t>
      </w:r>
      <w:r w:rsidR="00B62737">
        <w:rPr>
          <w:b/>
        </w:rPr>
        <w:t xml:space="preserve"> </w:t>
      </w:r>
    </w:p>
    <w:p w14:paraId="4A34A257" w14:textId="1F676264" w:rsidR="005070CA" w:rsidRPr="005070CA" w:rsidRDefault="00B62737" w:rsidP="005070CA">
      <w:pPr>
        <w:outlineLvl w:val="0"/>
        <w:rPr>
          <w:b/>
        </w:rPr>
      </w:pPr>
      <w:r>
        <w:rPr>
          <w:b/>
        </w:rPr>
        <w:t>Programme Achievements against Outputs, Sub-</w:t>
      </w:r>
      <w:proofErr w:type="gramStart"/>
      <w:r>
        <w:rPr>
          <w:b/>
        </w:rPr>
        <w:t>outputs</w:t>
      </w:r>
      <w:proofErr w:type="gramEnd"/>
      <w:r>
        <w:rPr>
          <w:b/>
        </w:rPr>
        <w:t xml:space="preserve"> and Targets by Activity.</w:t>
      </w:r>
    </w:p>
    <w:p w14:paraId="58288DC1" w14:textId="77777777" w:rsidR="00474D71" w:rsidRDefault="00474D71" w:rsidP="000810C9">
      <w:pPr>
        <w:pStyle w:val="ListParagraph"/>
        <w:numPr>
          <w:ilvl w:val="0"/>
          <w:numId w:val="17"/>
        </w:numPr>
        <w:spacing w:after="0" w:line="240" w:lineRule="auto"/>
        <w:jc w:val="both"/>
      </w:pPr>
      <w:r>
        <w:t xml:space="preserve">Overall, the initial design of the GDPP was viewed by key stakeholders interviewed as appropriate and coherent for the needs and issues envisaged in promoting democratic governance and participatory democracy in Ethiopia. The programme’s design was considered relevant for providing much needed support to key democratic institutions by partnering with them: </w:t>
      </w:r>
      <w:proofErr w:type="spellStart"/>
      <w:r>
        <w:t>HoPRs</w:t>
      </w:r>
      <w:proofErr w:type="spellEnd"/>
      <w:r>
        <w:t>, HoF, EACC, EHRC, EIO, OAG, OFAG, MoP, CCI, NEBE and EBA/EMA. Capacity building support given was immense. T</w:t>
      </w:r>
      <w:r w:rsidRPr="005E69F4">
        <w:rPr>
          <w:rFonts w:cstheme="minorHAnsi"/>
          <w:bCs/>
          <w:iCs/>
          <w:spacing w:val="5"/>
          <w:bdr w:val="none" w:sz="0" w:space="0" w:color="auto" w:frame="1"/>
          <w:shd w:val="clear" w:color="auto" w:fill="FFFFFF"/>
        </w:rPr>
        <w:t>he different policies, strategies and laws issued at national level are highly relevant and should have tickle down effect to citizens.</w:t>
      </w:r>
      <w:r>
        <w:t xml:space="preserve"> An identified weakness of the programme design was the over-emphasis on national level institutions with de-emphasis on CSOs that received negligible direct support and attention despite being a major programme concern. This approach neglected and underrated regional level democratic institutions which are basically the foundations of democratic governance in any nation. Design emphasis on gender was not to the level it was expected.  The following sections breakdown the programme’s achievements by outputs and sub-outputs.</w:t>
      </w:r>
    </w:p>
    <w:p w14:paraId="26D30985" w14:textId="77777777" w:rsidR="00474D71" w:rsidRDefault="00474D71" w:rsidP="000810C9">
      <w:pPr>
        <w:pStyle w:val="ListParagraph"/>
        <w:spacing w:after="0" w:line="240" w:lineRule="auto"/>
        <w:ind w:left="450"/>
        <w:jc w:val="both"/>
      </w:pPr>
    </w:p>
    <w:p w14:paraId="0920F615" w14:textId="679E41A2" w:rsidR="00474D71" w:rsidRDefault="00474D71" w:rsidP="000810C9">
      <w:pPr>
        <w:pStyle w:val="ListParagraph"/>
        <w:numPr>
          <w:ilvl w:val="0"/>
          <w:numId w:val="17"/>
        </w:numPr>
        <w:spacing w:line="240" w:lineRule="auto"/>
        <w:jc w:val="both"/>
      </w:pPr>
      <w:r w:rsidRPr="00395412">
        <w:rPr>
          <w:b/>
          <w:bCs/>
        </w:rPr>
        <w:t xml:space="preserve">Output 1: Political processes of federal and regional state legislative bodies are Inclusive and effectively delivering on their constitutional mandates. </w:t>
      </w:r>
      <w:r w:rsidRPr="00F26C0B">
        <w:t xml:space="preserve">This output </w:t>
      </w:r>
      <w:r>
        <w:t>required</w:t>
      </w:r>
      <w:r w:rsidRPr="00F26C0B">
        <w:t xml:space="preserve"> the need to </w:t>
      </w:r>
      <w:r>
        <w:t>strengthen both institutional, and technical capacity to mandated institutions. This helped to provide technical assistance, capacity strengthening training and policy and operational capacities of relevant IPs (HoPR, OAG, EHRC, EIO, FEAC, OFAG, NEBE, HOF and their regi</w:t>
      </w:r>
      <w:r w:rsidR="00F90F91">
        <w:t>o</w:t>
      </w:r>
      <w:r>
        <w:t xml:space="preserve">nal counterparts and branches). A key informant noted the contribution of technical and financial assistance delivered by the GDPP to IPs greatly helped to bridge implementation capacity gaps within their respective institutions. For example, GDPP established </w:t>
      </w:r>
      <w:r w:rsidR="00F90F91">
        <w:t>the D</w:t>
      </w:r>
      <w:r>
        <w:t xml:space="preserve">emocratic </w:t>
      </w:r>
      <w:r w:rsidR="00F90F91">
        <w:t>I</w:t>
      </w:r>
      <w:r>
        <w:t xml:space="preserve">nstitutions </w:t>
      </w:r>
      <w:r w:rsidR="00F90F91">
        <w:t>F</w:t>
      </w:r>
      <w:r>
        <w:t>or</w:t>
      </w:r>
      <w:r w:rsidR="00F90F91">
        <w:t>u</w:t>
      </w:r>
      <w:r>
        <w:t>m and provided support. The HoPR prioritized efforts towards developing and strengthening its systems, frameworks, and tools for enhancing oversight capacity. This was highly relevant because the relationship between the Parliament and the key watchdog institutions</w:t>
      </w:r>
      <w:r>
        <w:rPr>
          <w:rStyle w:val="FootnoteReference"/>
        </w:rPr>
        <w:footnoteReference w:id="54"/>
      </w:r>
      <w:r>
        <w:t xml:space="preserve"> whose function and responsibilities make them directly accountable to the HoPR, had not been defined. Specific relevant supports provided to IPs included </w:t>
      </w:r>
      <w:r w:rsidRPr="002C6187">
        <w:t xml:space="preserve">capacity strengthening of the legislative staff and elected representatives, improving and/ developing legal systems and operational structures of the </w:t>
      </w:r>
      <w:r w:rsidR="004908F3">
        <w:t>H</w:t>
      </w:r>
      <w:r w:rsidRPr="002C6187">
        <w:t>ouse, increasing participation and engagement of women, and reaching people through improved legal and functional framework.</w:t>
      </w:r>
      <w:r>
        <w:t xml:space="preserve"> However, emerging interests and new developments were not considered while its programme design did not consider CSOs as direct implementing partners. </w:t>
      </w:r>
    </w:p>
    <w:p w14:paraId="508D3109" w14:textId="77777777" w:rsidR="00474D71" w:rsidRDefault="00474D71" w:rsidP="000810C9">
      <w:pPr>
        <w:pStyle w:val="ListParagraph"/>
        <w:spacing w:line="240" w:lineRule="auto"/>
        <w:ind w:left="450"/>
        <w:jc w:val="both"/>
      </w:pPr>
    </w:p>
    <w:p w14:paraId="539F02F4" w14:textId="7F94E5C1" w:rsidR="00474D71" w:rsidRDefault="004908F3" w:rsidP="000810C9">
      <w:pPr>
        <w:pStyle w:val="ListParagraph"/>
        <w:numPr>
          <w:ilvl w:val="0"/>
          <w:numId w:val="17"/>
        </w:numPr>
        <w:spacing w:line="240" w:lineRule="auto"/>
        <w:jc w:val="both"/>
      </w:pPr>
      <w:proofErr w:type="gramStart"/>
      <w:r>
        <w:rPr>
          <w:b/>
          <w:bCs/>
        </w:rPr>
        <w:t xml:space="preserve">Output </w:t>
      </w:r>
      <w:r w:rsidR="00474D71" w:rsidRPr="00395412">
        <w:rPr>
          <w:b/>
          <w:bCs/>
        </w:rPr>
        <w:t xml:space="preserve"> 2</w:t>
      </w:r>
      <w:proofErr w:type="gramEnd"/>
      <w:r w:rsidR="00474D71" w:rsidRPr="00395412">
        <w:rPr>
          <w:b/>
          <w:bCs/>
        </w:rPr>
        <w:t>: Federal and regional state systems of governance are more accountable, transparent and are delivering services in more inclusive and responsive ways.</w:t>
      </w:r>
      <w:r w:rsidR="00474D71">
        <w:t xml:space="preserve"> Enhancing transparency and accountability is a central feature of any democracy. They are vehicles by which citizens make democratic institutions accountable to people whom they are responsible to serve.  However, strengthening accountability, transparency and responsiveness at federal and regional levels requires strong capacity building support. This action starts with assessment of the level of maturation of the institutions and the challenges they are facing in delivering their constitutional </w:t>
      </w:r>
      <w:r w:rsidR="00474D71">
        <w:lastRenderedPageBreak/>
        <w:t>mandates. This output considers supporting democratic institution</w:t>
      </w:r>
      <w:r>
        <w:t>s</w:t>
      </w:r>
      <w:r w:rsidR="00474D71">
        <w:t xml:space="preserve"> with the objective of enhancing transparency and accountability through strengthening the information systems. As a key informant said GDPP has promoted key governance issues such as citizens’ participation, transparency, accountability, inclusion, improved service delivery and access to justice. This will help improve the ability of citizens to be able to access information. Key partners for this output are FEACC, EIO, OFAG, OAG and their regional counterparts and branches. However, the design and implementation of specific interventions under each of the focus areas (i.e., accountability, transparency and development of anti-corruption policy and strategy) was not supported by strong monitoring and supportive supervision system.  </w:t>
      </w:r>
    </w:p>
    <w:p w14:paraId="16413EEF" w14:textId="77777777" w:rsidR="00474D71" w:rsidRDefault="00474D71" w:rsidP="000810C9">
      <w:pPr>
        <w:pStyle w:val="ListParagraph"/>
        <w:spacing w:line="240" w:lineRule="auto"/>
        <w:jc w:val="both"/>
      </w:pPr>
    </w:p>
    <w:p w14:paraId="601806B4" w14:textId="6CFE2889" w:rsidR="00474D71" w:rsidRDefault="00474D71" w:rsidP="000810C9">
      <w:pPr>
        <w:pStyle w:val="ListParagraph"/>
        <w:numPr>
          <w:ilvl w:val="0"/>
          <w:numId w:val="17"/>
        </w:numPr>
        <w:spacing w:line="240" w:lineRule="auto"/>
        <w:jc w:val="both"/>
      </w:pPr>
      <w:r w:rsidRPr="00401BB3">
        <w:rPr>
          <w:b/>
          <w:bCs/>
        </w:rPr>
        <w:t>Output 3: Citizens are empowered to voice their concerns and participate in decision-making and political processes at all levels of governance.</w:t>
      </w:r>
      <w:r>
        <w:t xml:space="preserve"> This output involves citizens’ participation in political decision making which is a key pillar for building and sustaining democratic and inclusive governance systems. On some occasions, Ethiopian people have tried to gain access to political decision-making positions by contesting for elective positions at various levels. Their efforts, however, have not translated into appreciative gains as subsequent elections at least since 1991 revealed. This </w:t>
      </w:r>
      <w:proofErr w:type="gramStart"/>
      <w:r>
        <w:t>state of affairs</w:t>
      </w:r>
      <w:proofErr w:type="gramEnd"/>
      <w:r>
        <w:t xml:space="preserve"> is also evident amongst women, youth and other marginalized groups including PWDs. In recognition of this challenge, GDPP provided support specifically targeting democratic institutions, there by reaching citizens. However, GDPP’s support did not adequately reach women, youth and PWDs, recognizing these groups as priorities for stronger democratic inclusion in Ethiopia. The support of GDPP to this area is not only relevant but extremely essential for promoting enduring democratic governance in Ethiopia. The programme identified NEBE, HoPR, EIO and MoP as key institutions in facilitating and promoting this agenda. </w:t>
      </w:r>
    </w:p>
    <w:p w14:paraId="14C603DB" w14:textId="77777777" w:rsidR="00474D71" w:rsidRDefault="00474D71" w:rsidP="000810C9">
      <w:pPr>
        <w:pStyle w:val="ListParagraph"/>
        <w:spacing w:line="240" w:lineRule="auto"/>
        <w:ind w:left="450"/>
        <w:jc w:val="both"/>
      </w:pPr>
    </w:p>
    <w:p w14:paraId="0B8EA195" w14:textId="77777777" w:rsidR="00474D71" w:rsidRDefault="00474D71" w:rsidP="000810C9">
      <w:pPr>
        <w:pStyle w:val="ListParagraph"/>
        <w:numPr>
          <w:ilvl w:val="0"/>
          <w:numId w:val="17"/>
        </w:numPr>
        <w:spacing w:line="240" w:lineRule="auto"/>
        <w:jc w:val="both"/>
      </w:pPr>
      <w:r w:rsidRPr="00877901">
        <w:rPr>
          <w:b/>
          <w:bCs/>
        </w:rPr>
        <w:t xml:space="preserve">Output 4: Systems and mechanisms for promoting social </w:t>
      </w:r>
      <w:r>
        <w:rPr>
          <w:b/>
          <w:bCs/>
        </w:rPr>
        <w:t>c</w:t>
      </w:r>
      <w:r w:rsidRPr="00877901">
        <w:rPr>
          <w:b/>
          <w:bCs/>
        </w:rPr>
        <w:t>ohesion, managing diversity, preventing, and managing conflicts, fostering dialogues, and building peace are further strengthened at national, regional, and local levels.</w:t>
      </w:r>
      <w:r>
        <w:t xml:space="preserve"> Managing diversity should be guided by clear and acceptable principles, systems, and organizational structures. Effective diversity management is an important area for strengthening the federal system. However, the country is lacking essential elements of diversity management. Practice of national consensus building on issues of strategic importance (e.g., advance social cohesion and maintain sustainable peace and stability) is rarely available.  GDPP recognized and engaged the HoF, MoP and their regional counterparts in managing diversity which is not only appropriate but a timely effort in consolidating democratic governance in Ethiopia. Project activities and support in this component was thus highly relevant.</w:t>
      </w:r>
    </w:p>
    <w:p w14:paraId="79D98D5E" w14:textId="77777777" w:rsidR="00474D71" w:rsidRDefault="00474D71" w:rsidP="000810C9">
      <w:pPr>
        <w:pStyle w:val="ListParagraph"/>
        <w:spacing w:line="240" w:lineRule="auto"/>
      </w:pPr>
    </w:p>
    <w:p w14:paraId="2A1150DA" w14:textId="77777777" w:rsidR="00474D71" w:rsidRDefault="00474D71" w:rsidP="000810C9">
      <w:pPr>
        <w:pStyle w:val="ListParagraph"/>
        <w:numPr>
          <w:ilvl w:val="0"/>
          <w:numId w:val="17"/>
        </w:numPr>
        <w:spacing w:line="240" w:lineRule="auto"/>
        <w:jc w:val="both"/>
      </w:pPr>
      <w:r w:rsidRPr="007F35E8">
        <w:rPr>
          <w:b/>
          <w:bCs/>
        </w:rPr>
        <w:t xml:space="preserve">Output 5: Access to justice enhanced and human rights promoted and protected across Ethiopia; </w:t>
      </w:r>
      <w:r w:rsidRPr="001A6133">
        <w:t xml:space="preserve">Ethiopia is a signatory to </w:t>
      </w:r>
      <w:proofErr w:type="gramStart"/>
      <w:r w:rsidRPr="001A6133">
        <w:t>a number of</w:t>
      </w:r>
      <w:proofErr w:type="gramEnd"/>
      <w:r w:rsidRPr="001A6133">
        <w:t xml:space="preserve"> international human rights instruments. Among others, Ethiopia is party to core human rights treaties, including the International Covenant on Civil and Political Rights (ICCPR), the International Covenant on Economic, Social and Cultural Rights (ICESCR), and the Convention against Torture and Other Cruel, Inhuman or Degrading Treatment or Punishment. The new government has revitalized commitments to human rights protection in the country. However, Ethiopia’s human rights record</w:t>
      </w:r>
      <w:r>
        <w:t>s</w:t>
      </w:r>
      <w:r w:rsidRPr="001A6133">
        <w:t xml:space="preserve"> was among the worst in the world. </w:t>
      </w:r>
      <w:r>
        <w:t xml:space="preserve"> Supplementing government effort, the GDPP focus is placed on establishing/strengthening </w:t>
      </w:r>
      <w:proofErr w:type="gramStart"/>
      <w:r>
        <w:t>of:</w:t>
      </w:r>
      <w:proofErr w:type="gramEnd"/>
      <w:r>
        <w:t xml:space="preserve"> i) Regulatory and procedural systems for effective access to justice and redress mechanisms; ii) Capacity of public and law enforcement bodies to abide by human rights laws and regulation; and iii) Mechanisms for monitoring, compiling, and reporting of human rights protection and violations. As a key informant said </w:t>
      </w:r>
      <w:r w:rsidRPr="00DE1B04">
        <w:t xml:space="preserve">GDPP has promoted human </w:t>
      </w:r>
      <w:r>
        <w:t xml:space="preserve">rights </w:t>
      </w:r>
      <w:r w:rsidRPr="00DE1B04">
        <w:t xml:space="preserve">and democratic </w:t>
      </w:r>
      <w:r>
        <w:t>governance</w:t>
      </w:r>
      <w:r w:rsidRPr="00DE1B04">
        <w:t xml:space="preserve"> </w:t>
      </w:r>
      <w:r>
        <w:lastRenderedPageBreak/>
        <w:t>by</w:t>
      </w:r>
      <w:r w:rsidRPr="00DE1B04">
        <w:t xml:space="preserve"> establishing systems and structures supportive of </w:t>
      </w:r>
      <w:r>
        <w:t xml:space="preserve">human rights institutions. Project activities on this was thus highly relevant. </w:t>
      </w:r>
    </w:p>
    <w:p w14:paraId="75577EDA" w14:textId="77777777" w:rsidR="00474D71" w:rsidRPr="00C45A24" w:rsidRDefault="00474D71" w:rsidP="000810C9">
      <w:pPr>
        <w:pStyle w:val="ListParagraph"/>
        <w:spacing w:line="240" w:lineRule="auto"/>
        <w:rPr>
          <w:rFonts w:eastAsia="Times New Roman" w:cstheme="minorHAnsi"/>
          <w:lang w:eastAsia="en-CA"/>
        </w:rPr>
      </w:pPr>
    </w:p>
    <w:p w14:paraId="38AA7239" w14:textId="467E3AD3" w:rsidR="00474D71" w:rsidRPr="00C45A24" w:rsidRDefault="00474D71" w:rsidP="000810C9">
      <w:pPr>
        <w:pStyle w:val="ListParagraph"/>
        <w:numPr>
          <w:ilvl w:val="0"/>
          <w:numId w:val="17"/>
        </w:numPr>
        <w:spacing w:before="240" w:line="240" w:lineRule="auto"/>
        <w:jc w:val="both"/>
      </w:pPr>
      <w:r w:rsidRPr="000E311A">
        <w:rPr>
          <w:rFonts w:eastAsia="Times New Roman" w:cstheme="minorHAnsi"/>
          <w:b/>
          <w:bCs/>
          <w:lang w:eastAsia="en-CA"/>
        </w:rPr>
        <w:t>Improved</w:t>
      </w:r>
      <w:r w:rsidRPr="00C024A4">
        <w:rPr>
          <w:rFonts w:eastAsia="Times New Roman" w:cstheme="minorHAnsi"/>
          <w:b/>
          <w:bCs/>
          <w:lang w:val="en-GB"/>
        </w:rPr>
        <w:t xml:space="preserve"> </w:t>
      </w:r>
      <w:r w:rsidRPr="00C45A24">
        <w:rPr>
          <w:rFonts w:eastAsia="Times New Roman" w:cstheme="minorHAnsi"/>
          <w:b/>
          <w:bCs/>
          <w:lang w:val="en-GB"/>
        </w:rPr>
        <w:t>Oversight Capacity of the Legislat</w:t>
      </w:r>
      <w:r w:rsidR="004908F3">
        <w:rPr>
          <w:rFonts w:eastAsia="Times New Roman" w:cstheme="minorHAnsi"/>
          <w:b/>
          <w:bCs/>
          <w:lang w:val="en-GB"/>
        </w:rPr>
        <w:t>ures</w:t>
      </w:r>
      <w:r w:rsidRPr="00C45A24">
        <w:rPr>
          <w:rFonts w:eastAsia="Times New Roman" w:cstheme="minorHAnsi"/>
          <w:b/>
          <w:bCs/>
          <w:lang w:val="en-GB"/>
        </w:rPr>
        <w:t xml:space="preserve">: </w:t>
      </w:r>
      <w:r>
        <w:rPr>
          <w:rFonts w:eastAsia="Times New Roman" w:cstheme="minorHAnsi"/>
          <w:lang w:val="en-GB"/>
        </w:rPr>
        <w:t>Under this sub-</w:t>
      </w:r>
      <w:r w:rsidRPr="00C45A24">
        <w:rPr>
          <w:rFonts w:eastAsia="Times New Roman" w:cstheme="minorHAnsi"/>
          <w:lang w:val="en-GB"/>
        </w:rPr>
        <w:t xml:space="preserve">output, value added laws and systems with </w:t>
      </w:r>
      <w:r w:rsidR="004908F3">
        <w:rPr>
          <w:rFonts w:eastAsia="Times New Roman" w:cstheme="minorHAnsi"/>
          <w:lang w:val="en-GB"/>
        </w:rPr>
        <w:t xml:space="preserve">a </w:t>
      </w:r>
      <w:r w:rsidRPr="00C45A24">
        <w:rPr>
          <w:rFonts w:eastAsia="Times New Roman" w:cstheme="minorHAnsi"/>
          <w:lang w:val="en-GB"/>
        </w:rPr>
        <w:t xml:space="preserve">gender lens is adopted. The baseline </w:t>
      </w:r>
      <w:r w:rsidR="004908F3">
        <w:rPr>
          <w:rFonts w:eastAsia="Times New Roman" w:cstheme="minorHAnsi"/>
          <w:lang w:val="en-GB"/>
        </w:rPr>
        <w:t>was zero</w:t>
      </w:r>
      <w:r w:rsidRPr="00C45A24">
        <w:rPr>
          <w:rFonts w:eastAsia="Times New Roman" w:cstheme="minorHAnsi"/>
          <w:lang w:val="en-GB"/>
        </w:rPr>
        <w:t xml:space="preserve"> and target was 25 and 36 such laws and system adopted by the HoPR and 4 RSCs (four each) respectively. Out of the 61 laws planned, 54 systems and laws were produced (88.5%). </w:t>
      </w:r>
      <w:proofErr w:type="gramStart"/>
      <w:r w:rsidRPr="00C45A24">
        <w:rPr>
          <w:rFonts w:eastAsia="Times New Roman" w:cstheme="minorHAnsi"/>
          <w:lang w:val="en-GB"/>
        </w:rPr>
        <w:t>And also</w:t>
      </w:r>
      <w:proofErr w:type="gramEnd"/>
      <w:r w:rsidRPr="00C45A24">
        <w:rPr>
          <w:rFonts w:eastAsia="Times New Roman" w:cstheme="minorHAnsi"/>
          <w:lang w:val="en-GB"/>
        </w:rPr>
        <w:t xml:space="preserve">, 4 IT systems, 12 gender mainstreaming strategies, 3 manuals and 35 guidelines were produced. </w:t>
      </w:r>
      <w:r w:rsidR="004908F3">
        <w:rPr>
          <w:rFonts w:eastAsia="Times New Roman" w:cstheme="minorHAnsi"/>
          <w:lang w:val="en-GB"/>
        </w:rPr>
        <w:t>There was n</w:t>
      </w:r>
      <w:r w:rsidRPr="00C45A24">
        <w:rPr>
          <w:rFonts w:eastAsia="Times New Roman" w:cstheme="minorHAnsi"/>
          <w:lang w:val="en-GB"/>
        </w:rPr>
        <w:t>o distinction by region and federal</w:t>
      </w:r>
      <w:r w:rsidR="004908F3">
        <w:rPr>
          <w:rFonts w:eastAsia="Times New Roman" w:cstheme="minorHAnsi"/>
          <w:lang w:val="en-GB"/>
        </w:rPr>
        <w:t xml:space="preserve"> levels</w:t>
      </w:r>
      <w:r w:rsidRPr="00C45A24">
        <w:rPr>
          <w:rFonts w:eastAsia="Times New Roman" w:cstheme="minorHAnsi"/>
          <w:lang w:val="en-GB"/>
        </w:rPr>
        <w:t>. Analytical reports and legislative proposals by parliamentary staff were planned to be submitted to the HoPR Standing Committees. In 2017, there no such report</w:t>
      </w:r>
      <w:r w:rsidR="004908F3">
        <w:rPr>
          <w:rFonts w:eastAsia="Times New Roman" w:cstheme="minorHAnsi"/>
          <w:lang w:val="en-GB"/>
        </w:rPr>
        <w:t>s</w:t>
      </w:r>
      <w:r w:rsidRPr="00C45A24">
        <w:rPr>
          <w:rFonts w:eastAsia="Times New Roman" w:cstheme="minorHAnsi"/>
          <w:lang w:val="en-GB"/>
        </w:rPr>
        <w:t xml:space="preserve">. About 53 analytical reports and legislative proposals were planned. In 2021, about 7 analytical reports by HoPR, 1 by EHRC, 4 by HoF and 4 by OAG were produced and submitted. Out of the 53 planned, 16 of the targets was achieved (30.2%). Interaction of the MPs to their constituents were planned to increase </w:t>
      </w:r>
      <w:proofErr w:type="gramStart"/>
      <w:r w:rsidR="006325DB">
        <w:rPr>
          <w:rFonts w:eastAsia="Times New Roman" w:cstheme="minorHAnsi"/>
          <w:lang w:val="en-GB"/>
        </w:rPr>
        <w:t xml:space="preserve">with </w:t>
      </w:r>
      <w:r w:rsidRPr="00C45A24">
        <w:rPr>
          <w:rFonts w:eastAsia="Times New Roman" w:cstheme="minorHAnsi"/>
          <w:lang w:val="en-GB"/>
        </w:rPr>
        <w:t xml:space="preserve"> support</w:t>
      </w:r>
      <w:proofErr w:type="gramEnd"/>
      <w:r w:rsidRPr="00C45A24">
        <w:rPr>
          <w:rFonts w:eastAsia="Times New Roman" w:cstheme="minorHAnsi"/>
          <w:lang w:val="en-GB"/>
        </w:rPr>
        <w:t xml:space="preserve"> of the GDPP. The baseline in 2017 was twice annually and the target was planned to be four times a year. Since there is no evidence, it was not possible evaluate the achievements.  An HoPR, EIO, EHRC and FEACC staff capacity building in gender analysis and the daily application by federal legislature and 11 RECs were planned. There was capacity building on gender analysis and tracking as a baseline in 2017 and the target was set to train 1585. The IPs trained 1337 staff in 2021. The overall achievement in this target was 84.4%.</w:t>
      </w:r>
    </w:p>
    <w:p w14:paraId="7DECC673" w14:textId="77777777" w:rsidR="00474D71" w:rsidRPr="00C45A24" w:rsidRDefault="00474D71" w:rsidP="000810C9">
      <w:pPr>
        <w:pStyle w:val="ListParagraph"/>
        <w:spacing w:before="240" w:line="240" w:lineRule="auto"/>
        <w:ind w:left="450"/>
        <w:jc w:val="both"/>
      </w:pPr>
    </w:p>
    <w:p w14:paraId="7F86307F" w14:textId="28FE5FAB" w:rsidR="00474D71" w:rsidRDefault="00474D71" w:rsidP="000810C9">
      <w:pPr>
        <w:pStyle w:val="ListParagraph"/>
        <w:numPr>
          <w:ilvl w:val="0"/>
          <w:numId w:val="17"/>
        </w:numPr>
        <w:spacing w:after="0" w:line="240" w:lineRule="auto"/>
        <w:jc w:val="both"/>
        <w:rPr>
          <w:rFonts w:eastAsia="Times New Roman" w:cstheme="minorHAnsi"/>
          <w:lang w:val="en-GB"/>
        </w:rPr>
      </w:pPr>
      <w:r w:rsidRPr="000E311A">
        <w:rPr>
          <w:rFonts w:eastAsia="Times New Roman" w:cstheme="minorHAnsi"/>
          <w:b/>
          <w:bCs/>
          <w:lang w:eastAsia="en-CA"/>
        </w:rPr>
        <w:t>Capacity</w:t>
      </w:r>
      <w:r w:rsidRPr="00C024A4">
        <w:rPr>
          <w:rFonts w:eastAsia="Times New Roman" w:cstheme="minorHAnsi"/>
          <w:b/>
          <w:bCs/>
          <w:lang w:val="en-GB"/>
        </w:rPr>
        <w:t xml:space="preserve"> </w:t>
      </w:r>
      <w:r w:rsidRPr="00225401">
        <w:rPr>
          <w:rFonts w:eastAsia="Times New Roman" w:cstheme="minorHAnsi"/>
          <w:b/>
          <w:bCs/>
          <w:lang w:val="en-GB"/>
        </w:rPr>
        <w:t xml:space="preserve">of Key DIs Strengthened to Fulfil their Mission-Critical Functions: </w:t>
      </w:r>
      <w:r w:rsidRPr="00225401">
        <w:rPr>
          <w:rFonts w:eastAsia="Times New Roman" w:cstheme="minorHAnsi"/>
          <w:lang w:val="en-GB"/>
        </w:rPr>
        <w:t xml:space="preserve">To increase a CSO partnership with government on key agendas/public demands were planned to strengthen capacity of key </w:t>
      </w:r>
      <w:proofErr w:type="spellStart"/>
      <w:r w:rsidRPr="00225401">
        <w:rPr>
          <w:rFonts w:eastAsia="Times New Roman" w:cstheme="minorHAnsi"/>
          <w:lang w:val="en-GB"/>
        </w:rPr>
        <w:t>DIs.</w:t>
      </w:r>
      <w:proofErr w:type="spellEnd"/>
      <w:r w:rsidRPr="00225401">
        <w:rPr>
          <w:rFonts w:eastAsia="Times New Roman" w:cstheme="minorHAnsi"/>
          <w:lang w:val="en-GB"/>
        </w:rPr>
        <w:t xml:space="preserve"> The baseline was set to be “inadequate</w:t>
      </w:r>
      <w:proofErr w:type="gramStart"/>
      <w:r w:rsidRPr="00225401">
        <w:rPr>
          <w:rFonts w:eastAsia="Times New Roman" w:cstheme="minorHAnsi"/>
          <w:lang w:val="en-GB"/>
        </w:rPr>
        <w:t>”</w:t>
      </w:r>
      <w:proofErr w:type="gramEnd"/>
      <w:r w:rsidRPr="00225401">
        <w:rPr>
          <w:rFonts w:eastAsia="Times New Roman" w:cstheme="minorHAnsi"/>
          <w:lang w:val="en-GB"/>
        </w:rPr>
        <w:t xml:space="preserve"> and the target was to achieve “highly adequate” (60 – 80). A partnership agreement with CSOs was initiated and CSOs engaged in several activities in support </w:t>
      </w:r>
      <w:r w:rsidR="000E311A">
        <w:rPr>
          <w:rFonts w:eastAsia="Times New Roman" w:cstheme="minorHAnsi"/>
          <w:lang w:val="en-GB"/>
        </w:rPr>
        <w:t xml:space="preserve">of </w:t>
      </w:r>
      <w:r w:rsidRPr="00225401">
        <w:rPr>
          <w:rFonts w:eastAsia="Times New Roman" w:cstheme="minorHAnsi"/>
          <w:lang w:val="en-GB"/>
        </w:rPr>
        <w:t xml:space="preserve">mission-critical functions of </w:t>
      </w:r>
      <w:proofErr w:type="spellStart"/>
      <w:r w:rsidRPr="00225401">
        <w:rPr>
          <w:rFonts w:eastAsia="Times New Roman" w:cstheme="minorHAnsi"/>
          <w:lang w:val="en-GB"/>
        </w:rPr>
        <w:t>D</w:t>
      </w:r>
      <w:r w:rsidR="000E311A">
        <w:rPr>
          <w:rFonts w:eastAsia="Times New Roman" w:cstheme="minorHAnsi"/>
          <w:lang w:val="en-GB"/>
        </w:rPr>
        <w:t>I</w:t>
      </w:r>
      <w:r w:rsidRPr="00225401">
        <w:rPr>
          <w:rFonts w:eastAsia="Times New Roman" w:cstheme="minorHAnsi"/>
          <w:lang w:val="en-GB"/>
        </w:rPr>
        <w:t>s.</w:t>
      </w:r>
      <w:proofErr w:type="spellEnd"/>
      <w:r w:rsidRPr="00225401">
        <w:rPr>
          <w:rFonts w:eastAsia="Times New Roman" w:cstheme="minorHAnsi"/>
          <w:lang w:val="en-GB"/>
        </w:rPr>
        <w:t xml:space="preserve"> For instance, CSOs involved in the debate on </w:t>
      </w:r>
      <w:r w:rsidR="006325DB">
        <w:rPr>
          <w:rFonts w:eastAsia="Times New Roman" w:cstheme="minorHAnsi"/>
          <w:lang w:val="en-GB"/>
        </w:rPr>
        <w:t xml:space="preserve">the </w:t>
      </w:r>
      <w:r w:rsidRPr="00225401">
        <w:rPr>
          <w:rFonts w:eastAsia="Times New Roman" w:cstheme="minorHAnsi"/>
          <w:lang w:val="en-GB"/>
        </w:rPr>
        <w:t xml:space="preserve">new anti-corruption law and the structure of the FEACC in the </w:t>
      </w:r>
      <w:r w:rsidR="006325DB">
        <w:rPr>
          <w:rFonts w:eastAsia="Times New Roman" w:cstheme="minorHAnsi"/>
          <w:lang w:val="en-GB"/>
        </w:rPr>
        <w:t>P</w:t>
      </w:r>
      <w:r w:rsidRPr="00225401">
        <w:rPr>
          <w:rFonts w:eastAsia="Times New Roman" w:cstheme="minorHAnsi"/>
          <w:lang w:val="en-GB"/>
        </w:rPr>
        <w:t>arliament. The FEACC has had a collaboration agreement with CSOs to work as partners. Also, OFAG involved 35 key stakeholders in the validat</w:t>
      </w:r>
      <w:r w:rsidR="006325DB">
        <w:rPr>
          <w:rFonts w:eastAsia="Times New Roman" w:cstheme="minorHAnsi"/>
          <w:lang w:val="en-GB"/>
        </w:rPr>
        <w:t>ion</w:t>
      </w:r>
      <w:r w:rsidRPr="00225401">
        <w:rPr>
          <w:rFonts w:eastAsia="Times New Roman" w:cstheme="minorHAnsi"/>
          <w:lang w:val="en-GB"/>
        </w:rPr>
        <w:t xml:space="preserve"> of its Audit Report Tracking System. The CCI also involved CSOs (association of persons with disability). The NEBE involved CSOs in voter education and election observations. The EHRC involved CSOs in human rights monitoring. The OAG involved the CSOs in justice sector gap assessment. The MoP involved local CSOs in p</w:t>
      </w:r>
      <w:r w:rsidR="006325DB">
        <w:rPr>
          <w:rFonts w:eastAsia="Times New Roman" w:cstheme="minorHAnsi"/>
          <w:lang w:val="en-GB"/>
        </w:rPr>
        <w:t>e</w:t>
      </w:r>
      <w:r w:rsidRPr="00225401">
        <w:rPr>
          <w:rFonts w:eastAsia="Times New Roman" w:cstheme="minorHAnsi"/>
          <w:lang w:val="en-GB"/>
        </w:rPr>
        <w:t xml:space="preserve">ace dialogues. However, in terms of evaluating the effectiveness, both the scale and how the numbers in the scale are calculated for the baseline and target is abstract. The IPs planned to adopt, </w:t>
      </w:r>
      <w:proofErr w:type="gramStart"/>
      <w:r w:rsidRPr="00225401">
        <w:rPr>
          <w:rFonts w:eastAsia="Times New Roman" w:cstheme="minorHAnsi"/>
          <w:lang w:val="en-GB"/>
        </w:rPr>
        <w:t>implement</w:t>
      </w:r>
      <w:proofErr w:type="gramEnd"/>
      <w:r w:rsidRPr="00225401">
        <w:rPr>
          <w:rFonts w:eastAsia="Times New Roman" w:cstheme="minorHAnsi"/>
          <w:lang w:val="en-GB"/>
        </w:rPr>
        <w:t xml:space="preserve"> and evaluate impact of </w:t>
      </w:r>
      <w:r w:rsidR="006325DB">
        <w:rPr>
          <w:rFonts w:eastAsia="Times New Roman" w:cstheme="minorHAnsi"/>
          <w:lang w:val="en-GB"/>
        </w:rPr>
        <w:t xml:space="preserve">the </w:t>
      </w:r>
      <w:r w:rsidRPr="00225401">
        <w:rPr>
          <w:rFonts w:eastAsia="Times New Roman" w:cstheme="minorHAnsi"/>
          <w:lang w:val="en-GB"/>
        </w:rPr>
        <w:t>HR strategy. In 2016, there was no functional</w:t>
      </w:r>
      <w:r>
        <w:rPr>
          <w:rFonts w:eastAsia="Times New Roman" w:cstheme="minorHAnsi"/>
          <w:lang w:val="en-GB"/>
        </w:rPr>
        <w:t xml:space="preserve"> </w:t>
      </w:r>
      <w:r w:rsidRPr="00225401">
        <w:rPr>
          <w:rFonts w:eastAsia="Times New Roman" w:cstheme="minorHAnsi"/>
          <w:lang w:val="en-GB"/>
        </w:rPr>
        <w:t xml:space="preserve">HR </w:t>
      </w:r>
      <w:proofErr w:type="gramStart"/>
      <w:r w:rsidRPr="00225401">
        <w:rPr>
          <w:rFonts w:eastAsia="Times New Roman" w:cstheme="minorHAnsi"/>
          <w:lang w:val="en-GB"/>
        </w:rPr>
        <w:t>strategy</w:t>
      </w:r>
      <w:proofErr w:type="gramEnd"/>
      <w:r w:rsidRPr="00225401">
        <w:rPr>
          <w:rFonts w:eastAsia="Times New Roman" w:cstheme="minorHAnsi"/>
          <w:lang w:val="en-GB"/>
        </w:rPr>
        <w:t xml:space="preserve"> and the target was to adopt, implement and assess impact of </w:t>
      </w:r>
      <w:r w:rsidR="006325DB">
        <w:rPr>
          <w:rFonts w:eastAsia="Times New Roman" w:cstheme="minorHAnsi"/>
          <w:lang w:val="en-GB"/>
        </w:rPr>
        <w:t xml:space="preserve">the </w:t>
      </w:r>
      <w:r w:rsidRPr="00225401">
        <w:rPr>
          <w:rFonts w:eastAsia="Times New Roman" w:cstheme="minorHAnsi"/>
          <w:lang w:val="en-GB"/>
        </w:rPr>
        <w:t xml:space="preserve">HR strategy. The presence of functional and monitored HR strategy in the 11 IPs was the expected achievement. From the interviews with the IPs and reports, all IPs have </w:t>
      </w:r>
      <w:r w:rsidR="006325DB">
        <w:rPr>
          <w:rFonts w:eastAsia="Times New Roman" w:cstheme="minorHAnsi"/>
          <w:lang w:val="en-GB"/>
        </w:rPr>
        <w:t xml:space="preserve">a </w:t>
      </w:r>
      <w:r w:rsidRPr="00225401">
        <w:rPr>
          <w:rFonts w:eastAsia="Times New Roman" w:cstheme="minorHAnsi"/>
          <w:lang w:val="en-GB"/>
        </w:rPr>
        <w:t xml:space="preserve">HR strategy. Therefore, the target was achieved by 100%. </w:t>
      </w:r>
    </w:p>
    <w:p w14:paraId="59FF68C1" w14:textId="77777777" w:rsidR="00474D71" w:rsidRDefault="00474D71" w:rsidP="000810C9">
      <w:pPr>
        <w:spacing w:line="240" w:lineRule="auto"/>
        <w:ind w:left="90"/>
        <w:rPr>
          <w:rFonts w:cstheme="minorHAnsi"/>
          <w:i/>
          <w:iCs/>
        </w:rPr>
      </w:pPr>
    </w:p>
    <w:p w14:paraId="2AAFC21B" w14:textId="77777777" w:rsidR="00787CBA" w:rsidRDefault="00787CBA" w:rsidP="00474D71">
      <w:pPr>
        <w:ind w:left="90"/>
        <w:rPr>
          <w:rFonts w:cstheme="minorHAnsi"/>
          <w:i/>
          <w:iCs/>
        </w:rPr>
      </w:pPr>
    </w:p>
    <w:p w14:paraId="7421B043" w14:textId="77777777" w:rsidR="00787CBA" w:rsidRDefault="00787CBA" w:rsidP="00474D71">
      <w:pPr>
        <w:ind w:left="90"/>
        <w:rPr>
          <w:rFonts w:cstheme="minorHAnsi"/>
          <w:i/>
          <w:iCs/>
        </w:rPr>
      </w:pPr>
    </w:p>
    <w:p w14:paraId="3962AF36" w14:textId="77777777" w:rsidR="00787CBA" w:rsidRDefault="00787CBA" w:rsidP="00474D71">
      <w:pPr>
        <w:ind w:left="90"/>
        <w:rPr>
          <w:rFonts w:cstheme="minorHAnsi"/>
          <w:i/>
          <w:iCs/>
        </w:rPr>
      </w:pPr>
    </w:p>
    <w:p w14:paraId="04881836" w14:textId="77777777" w:rsidR="00787CBA" w:rsidRDefault="00787CBA" w:rsidP="00474D71">
      <w:pPr>
        <w:ind w:left="90"/>
        <w:rPr>
          <w:rFonts w:cstheme="minorHAnsi"/>
          <w:i/>
          <w:iCs/>
        </w:rPr>
      </w:pPr>
    </w:p>
    <w:p w14:paraId="77C067FC" w14:textId="77777777" w:rsidR="00787CBA" w:rsidRDefault="00787CBA" w:rsidP="00474D71">
      <w:pPr>
        <w:ind w:left="90"/>
        <w:rPr>
          <w:rFonts w:cstheme="minorHAnsi"/>
          <w:i/>
          <w:iCs/>
        </w:rPr>
      </w:pPr>
    </w:p>
    <w:p w14:paraId="6D9A70AC" w14:textId="77777777" w:rsidR="00787CBA" w:rsidRDefault="00787CBA" w:rsidP="00474D71">
      <w:pPr>
        <w:ind w:left="90"/>
        <w:rPr>
          <w:rFonts w:cstheme="minorHAnsi"/>
          <w:i/>
          <w:iCs/>
        </w:rPr>
      </w:pPr>
    </w:p>
    <w:p w14:paraId="7DF81ACB" w14:textId="2B621A5F" w:rsidR="00474D71" w:rsidRPr="00526B2D" w:rsidRDefault="00474D71" w:rsidP="00474D71">
      <w:pPr>
        <w:ind w:left="90"/>
        <w:rPr>
          <w:rFonts w:cstheme="minorHAnsi"/>
          <w:i/>
          <w:iCs/>
        </w:rPr>
      </w:pPr>
      <w:r w:rsidRPr="00526B2D">
        <w:rPr>
          <w:rFonts w:cstheme="minorHAnsi"/>
          <w:i/>
          <w:iCs/>
        </w:rPr>
        <w:lastRenderedPageBreak/>
        <w:t xml:space="preserve">Table </w:t>
      </w:r>
      <w:r w:rsidRPr="00526B2D">
        <w:rPr>
          <w:rFonts w:cstheme="minorHAnsi"/>
          <w:i/>
          <w:iCs/>
        </w:rPr>
        <w:fldChar w:fldCharType="begin"/>
      </w:r>
      <w:r w:rsidRPr="00526B2D">
        <w:rPr>
          <w:rFonts w:cstheme="minorHAnsi"/>
          <w:i/>
          <w:iCs/>
        </w:rPr>
        <w:instrText xml:space="preserve"> SEQ Table \* ARABIC </w:instrText>
      </w:r>
      <w:r w:rsidRPr="00526B2D">
        <w:rPr>
          <w:rFonts w:cstheme="minorHAnsi"/>
          <w:i/>
          <w:iCs/>
        </w:rPr>
        <w:fldChar w:fldCharType="separate"/>
      </w:r>
      <w:r w:rsidR="006240B3">
        <w:rPr>
          <w:rFonts w:cstheme="minorHAnsi"/>
          <w:i/>
          <w:iCs/>
          <w:noProof/>
        </w:rPr>
        <w:t>2</w:t>
      </w:r>
      <w:r w:rsidRPr="00526B2D">
        <w:rPr>
          <w:rFonts w:cstheme="minorHAnsi"/>
          <w:i/>
          <w:iCs/>
        </w:rPr>
        <w:fldChar w:fldCharType="end"/>
      </w:r>
      <w:r w:rsidRPr="00526B2D">
        <w:rPr>
          <w:rFonts w:cstheme="minorHAnsi"/>
          <w:i/>
          <w:iCs/>
        </w:rPr>
        <w:t xml:space="preserve"> – Achievements of Sub</w:t>
      </w:r>
      <w:r>
        <w:rPr>
          <w:rFonts w:cstheme="minorHAnsi"/>
          <w:i/>
          <w:iCs/>
        </w:rPr>
        <w:t>-</w:t>
      </w:r>
      <w:r w:rsidRPr="00526B2D">
        <w:rPr>
          <w:rFonts w:cstheme="minorHAnsi"/>
          <w:i/>
          <w:iCs/>
        </w:rPr>
        <w:t>Outputs 1.1, 1.2 and 1.3</w:t>
      </w:r>
    </w:p>
    <w:tbl>
      <w:tblPr>
        <w:tblStyle w:val="TableGrid"/>
        <w:tblW w:w="5000" w:type="pct"/>
        <w:tblLook w:val="04A0" w:firstRow="1" w:lastRow="0" w:firstColumn="1" w:lastColumn="0" w:noHBand="0" w:noVBand="1"/>
      </w:tblPr>
      <w:tblGrid>
        <w:gridCol w:w="4478"/>
        <w:gridCol w:w="1692"/>
        <w:gridCol w:w="1784"/>
        <w:gridCol w:w="1396"/>
      </w:tblGrid>
      <w:tr w:rsidR="00474D71" w:rsidRPr="004F4736" w14:paraId="2E2C75E5" w14:textId="77777777" w:rsidTr="00085813">
        <w:tc>
          <w:tcPr>
            <w:tcW w:w="2395" w:type="pct"/>
            <w:shd w:val="clear" w:color="auto" w:fill="8EAADB" w:themeFill="accent5" w:themeFillTint="99"/>
          </w:tcPr>
          <w:p w14:paraId="3228CD04" w14:textId="77777777" w:rsidR="00474D71" w:rsidRPr="00225401" w:rsidRDefault="00474D71" w:rsidP="00085813">
            <w:pPr>
              <w:rPr>
                <w:rFonts w:eastAsia="Times New Roman" w:cstheme="minorHAnsi"/>
              </w:rPr>
            </w:pPr>
            <w:r>
              <w:rPr>
                <w:rFonts w:eastAsia="Times New Roman" w:cstheme="minorHAnsi"/>
              </w:rPr>
              <w:t>Sub-</w:t>
            </w:r>
            <w:r w:rsidRPr="00225401">
              <w:rPr>
                <w:rFonts w:eastAsia="Times New Roman" w:cstheme="minorHAnsi"/>
              </w:rPr>
              <w:t>Outputs of Output 1</w:t>
            </w:r>
          </w:p>
        </w:tc>
        <w:tc>
          <w:tcPr>
            <w:tcW w:w="905" w:type="pct"/>
            <w:shd w:val="clear" w:color="auto" w:fill="8EAADB" w:themeFill="accent5" w:themeFillTint="99"/>
          </w:tcPr>
          <w:p w14:paraId="624DE240" w14:textId="77777777" w:rsidR="00474D71" w:rsidRPr="00225401" w:rsidRDefault="00474D71" w:rsidP="00085813">
            <w:pPr>
              <w:rPr>
                <w:rFonts w:eastAsia="Times New Roman" w:cstheme="minorHAnsi"/>
              </w:rPr>
            </w:pPr>
            <w:r w:rsidRPr="00225401">
              <w:rPr>
                <w:rFonts w:eastAsia="Times New Roman" w:cstheme="minorHAnsi"/>
                <w:b/>
                <w:bCs/>
              </w:rPr>
              <w:t>Target activities planned</w:t>
            </w:r>
          </w:p>
        </w:tc>
        <w:tc>
          <w:tcPr>
            <w:tcW w:w="954" w:type="pct"/>
            <w:shd w:val="clear" w:color="auto" w:fill="8EAADB" w:themeFill="accent5" w:themeFillTint="99"/>
          </w:tcPr>
          <w:p w14:paraId="60ED9C3F" w14:textId="77777777" w:rsidR="00474D71" w:rsidRPr="00225401" w:rsidRDefault="00474D71" w:rsidP="00085813">
            <w:pPr>
              <w:rPr>
                <w:rFonts w:eastAsia="Times New Roman" w:cstheme="minorHAnsi"/>
              </w:rPr>
            </w:pPr>
            <w:r w:rsidRPr="00225401">
              <w:rPr>
                <w:rFonts w:eastAsia="Times New Roman" w:cstheme="minorHAnsi"/>
                <w:b/>
                <w:bCs/>
              </w:rPr>
              <w:t>Target activities accomplished</w:t>
            </w:r>
          </w:p>
        </w:tc>
        <w:tc>
          <w:tcPr>
            <w:tcW w:w="747" w:type="pct"/>
            <w:shd w:val="clear" w:color="auto" w:fill="8EAADB" w:themeFill="accent5" w:themeFillTint="99"/>
          </w:tcPr>
          <w:p w14:paraId="1690056A" w14:textId="77777777" w:rsidR="00474D71" w:rsidRPr="00225401" w:rsidRDefault="00474D71" w:rsidP="00085813">
            <w:pPr>
              <w:rPr>
                <w:rFonts w:eastAsia="Times New Roman" w:cstheme="minorHAnsi"/>
              </w:rPr>
            </w:pPr>
            <w:r w:rsidRPr="00225401">
              <w:rPr>
                <w:rFonts w:eastAsia="Times New Roman" w:cstheme="minorHAnsi"/>
              </w:rPr>
              <w:t>Achievement Rating (%)</w:t>
            </w:r>
          </w:p>
        </w:tc>
      </w:tr>
      <w:tr w:rsidR="00474D71" w:rsidRPr="004F4736" w14:paraId="7ADE5EAE" w14:textId="77777777" w:rsidTr="00085813">
        <w:tc>
          <w:tcPr>
            <w:tcW w:w="2395" w:type="pct"/>
          </w:tcPr>
          <w:p w14:paraId="7AB3A97B" w14:textId="77777777" w:rsidR="00474D71" w:rsidRPr="00225401" w:rsidRDefault="00474D71" w:rsidP="00085813">
            <w:pPr>
              <w:rPr>
                <w:rFonts w:eastAsia="Times New Roman" w:cstheme="minorHAnsi"/>
              </w:rPr>
            </w:pPr>
            <w:r w:rsidRPr="00225401">
              <w:rPr>
                <w:rFonts w:eastAsia="Times New Roman" w:cstheme="minorHAnsi"/>
              </w:rPr>
              <w:t>1.1. Improved Oversight Capacity of the Legislatives</w:t>
            </w:r>
          </w:p>
        </w:tc>
        <w:tc>
          <w:tcPr>
            <w:tcW w:w="905" w:type="pct"/>
          </w:tcPr>
          <w:p w14:paraId="5979C4F9" w14:textId="77777777" w:rsidR="00474D71" w:rsidRPr="00225401" w:rsidRDefault="00474D71" w:rsidP="00085813">
            <w:pPr>
              <w:rPr>
                <w:rFonts w:eastAsia="Times New Roman" w:cstheme="minorHAnsi"/>
              </w:rPr>
            </w:pPr>
            <w:r w:rsidRPr="00225401">
              <w:rPr>
                <w:rFonts w:eastAsia="Times New Roman" w:cstheme="minorHAnsi"/>
              </w:rPr>
              <w:t>38</w:t>
            </w:r>
          </w:p>
        </w:tc>
        <w:tc>
          <w:tcPr>
            <w:tcW w:w="954" w:type="pct"/>
          </w:tcPr>
          <w:p w14:paraId="2F8676E0" w14:textId="77777777" w:rsidR="00474D71" w:rsidRPr="00225401" w:rsidRDefault="00474D71" w:rsidP="00085813">
            <w:pPr>
              <w:rPr>
                <w:rFonts w:eastAsia="Times New Roman" w:cstheme="minorHAnsi"/>
              </w:rPr>
            </w:pPr>
            <w:r w:rsidRPr="00225401">
              <w:rPr>
                <w:rFonts w:eastAsia="Times New Roman" w:cstheme="minorHAnsi"/>
              </w:rPr>
              <w:t>36</w:t>
            </w:r>
          </w:p>
        </w:tc>
        <w:tc>
          <w:tcPr>
            <w:tcW w:w="747" w:type="pct"/>
            <w:shd w:val="clear" w:color="auto" w:fill="00B050"/>
          </w:tcPr>
          <w:p w14:paraId="548B30DD" w14:textId="77777777" w:rsidR="00474D71" w:rsidRPr="00225401" w:rsidRDefault="00474D71" w:rsidP="00085813">
            <w:pPr>
              <w:rPr>
                <w:rFonts w:eastAsia="Times New Roman" w:cstheme="minorHAnsi"/>
              </w:rPr>
            </w:pPr>
            <w:r w:rsidRPr="00225401">
              <w:rPr>
                <w:rFonts w:eastAsia="Times New Roman" w:cstheme="minorHAnsi"/>
              </w:rPr>
              <w:t>94.7%</w:t>
            </w:r>
          </w:p>
        </w:tc>
      </w:tr>
      <w:tr w:rsidR="00474D71" w:rsidRPr="004F4736" w14:paraId="3524EC6B" w14:textId="77777777" w:rsidTr="00085813">
        <w:tc>
          <w:tcPr>
            <w:tcW w:w="2395" w:type="pct"/>
          </w:tcPr>
          <w:p w14:paraId="3FE33598" w14:textId="77777777" w:rsidR="00474D71" w:rsidRPr="00225401" w:rsidRDefault="00474D71" w:rsidP="00085813">
            <w:pPr>
              <w:rPr>
                <w:rFonts w:eastAsia="Times New Roman" w:cstheme="minorHAnsi"/>
              </w:rPr>
            </w:pPr>
            <w:r w:rsidRPr="00225401">
              <w:rPr>
                <w:rFonts w:eastAsia="Times New Roman" w:cstheme="minorHAnsi"/>
              </w:rPr>
              <w:t>1.2. Capacity of Key DIs Strengthened to Fulfil their Mission-Critical Functions</w:t>
            </w:r>
          </w:p>
        </w:tc>
        <w:tc>
          <w:tcPr>
            <w:tcW w:w="905" w:type="pct"/>
          </w:tcPr>
          <w:p w14:paraId="0A8BCFC7" w14:textId="77777777" w:rsidR="00474D71" w:rsidRPr="00225401" w:rsidRDefault="00474D71" w:rsidP="00085813">
            <w:pPr>
              <w:rPr>
                <w:rFonts w:eastAsia="Times New Roman" w:cstheme="minorHAnsi"/>
              </w:rPr>
            </w:pPr>
            <w:r w:rsidRPr="00225401">
              <w:rPr>
                <w:rFonts w:eastAsia="Times New Roman" w:cstheme="minorHAnsi"/>
              </w:rPr>
              <w:t>18</w:t>
            </w:r>
          </w:p>
        </w:tc>
        <w:tc>
          <w:tcPr>
            <w:tcW w:w="954" w:type="pct"/>
          </w:tcPr>
          <w:p w14:paraId="30AECAAE" w14:textId="77777777" w:rsidR="00474D71" w:rsidRPr="00225401" w:rsidRDefault="00474D71" w:rsidP="00085813">
            <w:pPr>
              <w:rPr>
                <w:rFonts w:eastAsia="Times New Roman" w:cstheme="minorHAnsi"/>
              </w:rPr>
            </w:pPr>
            <w:r w:rsidRPr="00225401">
              <w:rPr>
                <w:rFonts w:eastAsia="Times New Roman" w:cstheme="minorHAnsi"/>
              </w:rPr>
              <w:t>13</w:t>
            </w:r>
          </w:p>
        </w:tc>
        <w:tc>
          <w:tcPr>
            <w:tcW w:w="747" w:type="pct"/>
            <w:shd w:val="clear" w:color="auto" w:fill="FFFF00"/>
          </w:tcPr>
          <w:p w14:paraId="3CA23054" w14:textId="77777777" w:rsidR="00474D71" w:rsidRPr="00225401" w:rsidRDefault="00474D71" w:rsidP="00085813">
            <w:pPr>
              <w:rPr>
                <w:rFonts w:eastAsia="Times New Roman" w:cstheme="minorHAnsi"/>
              </w:rPr>
            </w:pPr>
            <w:r w:rsidRPr="00225401">
              <w:rPr>
                <w:rFonts w:eastAsia="Times New Roman" w:cstheme="minorHAnsi"/>
              </w:rPr>
              <w:t>72.2%</w:t>
            </w:r>
          </w:p>
        </w:tc>
      </w:tr>
      <w:tr w:rsidR="00474D71" w:rsidRPr="004F4736" w14:paraId="466C9130" w14:textId="77777777" w:rsidTr="00085813">
        <w:tc>
          <w:tcPr>
            <w:tcW w:w="2395" w:type="pct"/>
          </w:tcPr>
          <w:p w14:paraId="648E9FE8" w14:textId="77777777" w:rsidR="00474D71" w:rsidRPr="00225401" w:rsidRDefault="00474D71" w:rsidP="00085813">
            <w:pPr>
              <w:rPr>
                <w:rFonts w:eastAsia="Times New Roman" w:cstheme="minorHAnsi"/>
              </w:rPr>
            </w:pPr>
            <w:r w:rsidRPr="00225401">
              <w:rPr>
                <w:rFonts w:eastAsia="Times New Roman" w:cstheme="minorHAnsi"/>
              </w:rPr>
              <w:t>1.3. Citizens actively participate in decision making in the country</w:t>
            </w:r>
          </w:p>
        </w:tc>
        <w:tc>
          <w:tcPr>
            <w:tcW w:w="905" w:type="pct"/>
          </w:tcPr>
          <w:p w14:paraId="4E997BB8" w14:textId="77777777" w:rsidR="00474D71" w:rsidRPr="00225401" w:rsidRDefault="00474D71" w:rsidP="00085813">
            <w:pPr>
              <w:rPr>
                <w:rFonts w:eastAsia="Times New Roman" w:cstheme="minorHAnsi"/>
              </w:rPr>
            </w:pPr>
            <w:r w:rsidRPr="00225401">
              <w:rPr>
                <w:rFonts w:eastAsia="Times New Roman" w:cstheme="minorHAnsi"/>
              </w:rPr>
              <w:t>20</w:t>
            </w:r>
          </w:p>
        </w:tc>
        <w:tc>
          <w:tcPr>
            <w:tcW w:w="954" w:type="pct"/>
          </w:tcPr>
          <w:p w14:paraId="712C2605" w14:textId="77777777" w:rsidR="00474D71" w:rsidRPr="00225401" w:rsidRDefault="00474D71" w:rsidP="00085813">
            <w:pPr>
              <w:rPr>
                <w:rFonts w:eastAsia="Times New Roman" w:cstheme="minorHAnsi"/>
              </w:rPr>
            </w:pPr>
            <w:r w:rsidRPr="00225401">
              <w:rPr>
                <w:rFonts w:eastAsia="Times New Roman" w:cstheme="minorHAnsi"/>
              </w:rPr>
              <w:t>20</w:t>
            </w:r>
          </w:p>
        </w:tc>
        <w:tc>
          <w:tcPr>
            <w:tcW w:w="747" w:type="pct"/>
            <w:shd w:val="clear" w:color="auto" w:fill="00B050"/>
          </w:tcPr>
          <w:p w14:paraId="45BB8866" w14:textId="77777777" w:rsidR="00474D71" w:rsidRPr="00225401" w:rsidRDefault="00474D71" w:rsidP="00085813">
            <w:pPr>
              <w:rPr>
                <w:rFonts w:eastAsia="Times New Roman" w:cstheme="minorHAnsi"/>
              </w:rPr>
            </w:pPr>
            <w:r w:rsidRPr="00225401">
              <w:rPr>
                <w:rFonts w:eastAsia="Times New Roman" w:cstheme="minorHAnsi"/>
              </w:rPr>
              <w:t>100%</w:t>
            </w:r>
          </w:p>
        </w:tc>
      </w:tr>
      <w:tr w:rsidR="00474D71" w:rsidRPr="004F4736" w14:paraId="140CAB27" w14:textId="77777777" w:rsidTr="00085813">
        <w:tc>
          <w:tcPr>
            <w:tcW w:w="2395" w:type="pct"/>
          </w:tcPr>
          <w:p w14:paraId="4E0ABA00" w14:textId="77777777" w:rsidR="00474D71" w:rsidRPr="00225401" w:rsidRDefault="00474D71" w:rsidP="00085813">
            <w:pPr>
              <w:rPr>
                <w:rFonts w:eastAsia="Times New Roman" w:cstheme="minorHAnsi"/>
                <w:b/>
                <w:bCs/>
              </w:rPr>
            </w:pPr>
            <w:r w:rsidRPr="00225401">
              <w:rPr>
                <w:rFonts w:eastAsia="Times New Roman" w:cstheme="minorHAnsi"/>
                <w:b/>
                <w:bCs/>
              </w:rPr>
              <w:t>Average</w:t>
            </w:r>
          </w:p>
        </w:tc>
        <w:tc>
          <w:tcPr>
            <w:tcW w:w="905" w:type="pct"/>
          </w:tcPr>
          <w:p w14:paraId="0C8E6A7E" w14:textId="77777777" w:rsidR="00474D71" w:rsidRPr="00225401" w:rsidRDefault="00474D71" w:rsidP="00085813">
            <w:pPr>
              <w:rPr>
                <w:rFonts w:eastAsia="Times New Roman" w:cstheme="minorHAnsi"/>
                <w:b/>
                <w:bCs/>
              </w:rPr>
            </w:pPr>
            <w:r w:rsidRPr="00225401">
              <w:rPr>
                <w:rFonts w:eastAsia="Times New Roman" w:cstheme="minorHAnsi"/>
                <w:b/>
                <w:bCs/>
              </w:rPr>
              <w:t>76</w:t>
            </w:r>
          </w:p>
        </w:tc>
        <w:tc>
          <w:tcPr>
            <w:tcW w:w="954" w:type="pct"/>
          </w:tcPr>
          <w:p w14:paraId="4E982B1B" w14:textId="77777777" w:rsidR="00474D71" w:rsidRPr="00225401" w:rsidRDefault="00474D71" w:rsidP="00085813">
            <w:pPr>
              <w:rPr>
                <w:rFonts w:eastAsia="Times New Roman" w:cstheme="minorHAnsi"/>
                <w:b/>
                <w:bCs/>
              </w:rPr>
            </w:pPr>
            <w:r w:rsidRPr="00225401">
              <w:rPr>
                <w:rFonts w:eastAsia="Times New Roman" w:cstheme="minorHAnsi"/>
                <w:b/>
                <w:bCs/>
              </w:rPr>
              <w:t>69</w:t>
            </w:r>
          </w:p>
        </w:tc>
        <w:tc>
          <w:tcPr>
            <w:tcW w:w="747" w:type="pct"/>
            <w:shd w:val="clear" w:color="auto" w:fill="00B050"/>
          </w:tcPr>
          <w:p w14:paraId="3EBA81A7" w14:textId="77777777" w:rsidR="00474D71" w:rsidRPr="00225401" w:rsidRDefault="00474D71" w:rsidP="00085813">
            <w:pPr>
              <w:rPr>
                <w:rFonts w:eastAsia="Times New Roman" w:cstheme="minorHAnsi"/>
                <w:b/>
                <w:bCs/>
              </w:rPr>
            </w:pPr>
            <w:r w:rsidRPr="00225401">
              <w:rPr>
                <w:rFonts w:eastAsia="Times New Roman" w:cstheme="minorHAnsi"/>
                <w:b/>
                <w:bCs/>
              </w:rPr>
              <w:t>90.8%</w:t>
            </w:r>
          </w:p>
        </w:tc>
      </w:tr>
    </w:tbl>
    <w:p w14:paraId="450EB595" w14:textId="77777777" w:rsidR="00474D71" w:rsidRDefault="00474D71" w:rsidP="00474D71">
      <w:pPr>
        <w:pStyle w:val="ListParagraph"/>
        <w:spacing w:before="240" w:line="360" w:lineRule="auto"/>
        <w:ind w:left="90"/>
        <w:jc w:val="both"/>
        <w:rPr>
          <w:rFonts w:cstheme="minorHAnsi"/>
        </w:rPr>
      </w:pPr>
      <w:r w:rsidRPr="00225401">
        <w:rPr>
          <w:rFonts w:cstheme="minorHAnsi"/>
        </w:rPr>
        <w:t>Note: Red (below 75%) Yellow (75 - 89%) Green = Above 90%</w:t>
      </w:r>
    </w:p>
    <w:p w14:paraId="6058FABB" w14:textId="77777777" w:rsidR="00474D71" w:rsidRPr="00225401" w:rsidRDefault="00474D71" w:rsidP="00474D71">
      <w:pPr>
        <w:pStyle w:val="ListParagraph"/>
        <w:spacing w:before="240" w:line="360" w:lineRule="auto"/>
        <w:ind w:left="90"/>
        <w:jc w:val="both"/>
        <w:rPr>
          <w:rFonts w:cstheme="minorHAnsi"/>
        </w:rPr>
      </w:pPr>
    </w:p>
    <w:p w14:paraId="5097BD76" w14:textId="77777777" w:rsidR="00474D71" w:rsidRDefault="00474D71" w:rsidP="00787CBA">
      <w:pPr>
        <w:pStyle w:val="ListParagraph"/>
        <w:numPr>
          <w:ilvl w:val="0"/>
          <w:numId w:val="17"/>
        </w:numPr>
        <w:spacing w:line="240" w:lineRule="auto"/>
        <w:ind w:left="357"/>
        <w:jc w:val="both"/>
        <w:rPr>
          <w:rFonts w:eastAsia="Times New Roman" w:cstheme="minorHAnsi"/>
          <w:lang w:val="en-GB"/>
        </w:rPr>
      </w:pPr>
      <w:r w:rsidRPr="00225401">
        <w:rPr>
          <w:rFonts w:eastAsia="Times New Roman" w:cstheme="minorHAnsi"/>
          <w:lang w:val="en-GB"/>
        </w:rPr>
        <w:t xml:space="preserve">The average improvement in public perception about DIs was planned. The baseline in 2021 was set as “low” and this status of perception was expected to improve to 20% from the baseline and the overall public perception to 75% (positively perceive the DIs). Though abstract to rate from the baseline </w:t>
      </w:r>
      <w:proofErr w:type="gramStart"/>
      <w:r w:rsidRPr="00225401">
        <w:rPr>
          <w:rFonts w:eastAsia="Times New Roman" w:cstheme="minorHAnsi"/>
          <w:lang w:val="en-GB"/>
        </w:rPr>
        <w:t>and also</w:t>
      </w:r>
      <w:proofErr w:type="gramEnd"/>
      <w:r w:rsidRPr="00225401">
        <w:rPr>
          <w:rFonts w:eastAsia="Times New Roman" w:cstheme="minorHAnsi"/>
          <w:lang w:val="en-GB"/>
        </w:rPr>
        <w:t xml:space="preserve"> the overall public perception, the communication and promotions conducted by NEBE, FEACC, EIO, CCI, HoPR, HoF and the dialogues conducted at grassroots levels by the MoP, enhanced the visibility of the IPs. The digital systems in place such as integrative call-centres at several languages also improved the perception of the public (including clients) on the IPs. Thus, the functions of the IPs got more and more clearer to citizens in terms of what services to expect from the IPs and what rights to exercise as citizens. Adopting policies, guidelines, forums, </w:t>
      </w:r>
      <w:proofErr w:type="gramStart"/>
      <w:r w:rsidRPr="00225401">
        <w:rPr>
          <w:rFonts w:eastAsia="Times New Roman" w:cstheme="minorHAnsi"/>
          <w:lang w:val="en-GB"/>
        </w:rPr>
        <w:t>standards</w:t>
      </w:r>
      <w:proofErr w:type="gramEnd"/>
      <w:r w:rsidRPr="00225401">
        <w:rPr>
          <w:rFonts w:eastAsia="Times New Roman" w:cstheme="minorHAnsi"/>
          <w:lang w:val="en-GB"/>
        </w:rPr>
        <w:t xml:space="preserve"> and frameworks were also planned by IPs. The baseline in 2017 was not known and the target was set at 12. About 9 were accomplished. Also, 1,120 regional and federal level participants engaged in forums and familiarization sessions on guidelines, standards, </w:t>
      </w:r>
      <w:proofErr w:type="gramStart"/>
      <w:r w:rsidRPr="00225401">
        <w:rPr>
          <w:rFonts w:eastAsia="Times New Roman" w:cstheme="minorHAnsi"/>
          <w:lang w:val="en-GB"/>
        </w:rPr>
        <w:t>frameworks</w:t>
      </w:r>
      <w:proofErr w:type="gramEnd"/>
      <w:r w:rsidRPr="00225401">
        <w:rPr>
          <w:rFonts w:eastAsia="Times New Roman" w:cstheme="minorHAnsi"/>
          <w:lang w:val="en-GB"/>
        </w:rPr>
        <w:t xml:space="preserve"> and policies adopted and implemented. Thus, the target was achieved by 75%. Familiarization programs were planned by EIO, EBA and NEBE. There was no baseline and target identified. The revised result plan was 734 (517 by EBA, 157 by EIO and 60 by NEBE), EIO and NEBE planned to organize 5 and 2 awareness creation sessions respectively. Out of the planned 734, about 390 participants (EBA 184, EIO 151 and NEBE 55) engaged in familiarization forums. NEBE organized 2 sessions. The overall achievement was 53.1% for the</w:t>
      </w:r>
      <w:r>
        <w:rPr>
          <w:rFonts w:eastAsia="Times New Roman" w:cstheme="minorHAnsi"/>
          <w:lang w:val="en-GB"/>
        </w:rPr>
        <w:t xml:space="preserve"> </w:t>
      </w:r>
      <w:r w:rsidRPr="00225401">
        <w:rPr>
          <w:rFonts w:eastAsia="Times New Roman" w:cstheme="minorHAnsi"/>
          <w:lang w:val="en-GB"/>
        </w:rPr>
        <w:t>familiarization forums. Specifically, the performance of the EIO was 96%. The session planned by the EIO was not conducted but NEBE organized 2 sessions and the performance this target was 40%.</w:t>
      </w:r>
    </w:p>
    <w:p w14:paraId="684C366D" w14:textId="77777777" w:rsidR="00474D71" w:rsidRDefault="00474D71" w:rsidP="00787CBA">
      <w:pPr>
        <w:pStyle w:val="ListParagraph"/>
        <w:spacing w:line="240" w:lineRule="auto"/>
        <w:ind w:left="357"/>
        <w:jc w:val="both"/>
        <w:rPr>
          <w:rFonts w:eastAsia="Times New Roman" w:cstheme="minorHAnsi"/>
          <w:lang w:val="en-GB"/>
        </w:rPr>
      </w:pPr>
    </w:p>
    <w:p w14:paraId="4ED0D647" w14:textId="77777777" w:rsidR="00474D71" w:rsidRDefault="00474D71" w:rsidP="00787CBA">
      <w:pPr>
        <w:pStyle w:val="ListParagraph"/>
        <w:numPr>
          <w:ilvl w:val="0"/>
          <w:numId w:val="17"/>
        </w:numPr>
        <w:spacing w:line="240" w:lineRule="auto"/>
        <w:ind w:left="357"/>
        <w:jc w:val="both"/>
        <w:rPr>
          <w:rFonts w:eastAsia="Times New Roman" w:cstheme="minorHAnsi"/>
          <w:lang w:val="en-GB"/>
        </w:rPr>
      </w:pPr>
      <w:r w:rsidRPr="000E311A">
        <w:rPr>
          <w:rFonts w:eastAsia="Times New Roman" w:cstheme="minorHAnsi"/>
          <w:b/>
          <w:bCs/>
          <w:lang w:eastAsia="en-CA"/>
        </w:rPr>
        <w:t>Citizens</w:t>
      </w:r>
      <w:r w:rsidRPr="00797C71">
        <w:rPr>
          <w:rFonts w:eastAsia="Times New Roman" w:cstheme="minorHAnsi"/>
          <w:b/>
          <w:bCs/>
          <w:lang w:val="en-GB"/>
        </w:rPr>
        <w:t xml:space="preserve"> actively participate in decision making in the country: </w:t>
      </w:r>
      <w:r w:rsidRPr="00797C71">
        <w:rPr>
          <w:rFonts w:eastAsia="Times New Roman" w:cstheme="minorHAnsi"/>
          <w:lang w:val="en-GB"/>
        </w:rPr>
        <w:t>Citizen’s active participation in socio-economic/political key decisions in terms of freque</w:t>
      </w:r>
      <w:r>
        <w:rPr>
          <w:rFonts w:eastAsia="Times New Roman" w:cstheme="minorHAnsi"/>
          <w:lang w:val="en-GB"/>
        </w:rPr>
        <w:t>ncy were planned under this sub-</w:t>
      </w:r>
      <w:r w:rsidRPr="00797C71">
        <w:rPr>
          <w:rFonts w:eastAsia="Times New Roman" w:cstheme="minorHAnsi"/>
          <w:lang w:val="en-GB"/>
        </w:rPr>
        <w:t xml:space="preserve">output. The indicators were an increase in citizens reporting about their active participation in socio-economic/political decision making in the country and tracking the trend of improvement. A survey was planned to set a </w:t>
      </w:r>
      <w:proofErr w:type="gramStart"/>
      <w:r w:rsidRPr="00797C71">
        <w:rPr>
          <w:rFonts w:eastAsia="Times New Roman" w:cstheme="minorHAnsi"/>
          <w:lang w:val="en-GB"/>
        </w:rPr>
        <w:t>baseline</w:t>
      </w:r>
      <w:proofErr w:type="gramEnd"/>
      <w:r w:rsidRPr="00797C71">
        <w:rPr>
          <w:rFonts w:eastAsia="Times New Roman" w:cstheme="minorHAnsi"/>
          <w:lang w:val="en-GB"/>
        </w:rPr>
        <w:t xml:space="preserve"> but the target was to improve at least by 20% from the baseline. Except the national corruption perception survey conducted by FEACC, the baseline was not set. Since the baseline is abstract and not set as well as tracking mechanism isn’t set, it is difficult to evaluate the achievement. Providing formal opportunities for civil society to participate in/contribute to the work of DIs was planned. The baseline was no such opportunity in 2017 and the target was set to engage at least quarterly. Though the frequency is not tracked in terms of quarterly engagement of CSOs and contributions to DIs, the initiatives by FEACC, NEBE, EHRC, CCI, MoP, HoPR and HoF can be taken as encouraging achievements. In summary, the first output was identified for 10 IPs; namely, the HoPR, EHRC, FEACC, EIO, OAG, EBA/EMA, HoF, OFAG, NEBE and CCI. Under this output (legislative bodies </w:t>
      </w:r>
      <w:r w:rsidRPr="00797C71">
        <w:rPr>
          <w:rFonts w:eastAsia="Times New Roman" w:cstheme="minorHAnsi"/>
          <w:lang w:val="en-GB"/>
        </w:rPr>
        <w:lastRenderedPageBreak/>
        <w:t>and democratic institutions capacities strengthened for discharging thei</w:t>
      </w:r>
      <w:r>
        <w:rPr>
          <w:rFonts w:eastAsia="Times New Roman" w:cstheme="minorHAnsi"/>
          <w:lang w:val="en-GB"/>
        </w:rPr>
        <w:t>r oversight functions), two sub-</w:t>
      </w:r>
      <w:r w:rsidRPr="00797C71">
        <w:rPr>
          <w:rFonts w:eastAsia="Times New Roman" w:cstheme="minorHAnsi"/>
          <w:lang w:val="en-GB"/>
        </w:rPr>
        <w:t>outputs and six activities were identified fo</w:t>
      </w:r>
      <w:r>
        <w:rPr>
          <w:rFonts w:eastAsia="Times New Roman" w:cstheme="minorHAnsi"/>
          <w:lang w:val="en-GB"/>
        </w:rPr>
        <w:t>r implementation. The first sub-</w:t>
      </w:r>
      <w:r w:rsidRPr="00797C71">
        <w:rPr>
          <w:rFonts w:eastAsia="Times New Roman" w:cstheme="minorHAnsi"/>
          <w:lang w:val="en-GB"/>
        </w:rPr>
        <w:t>output considers strengthening legislative bodies and democratic institutions capacities for discharging their oversight functions. The activities (including indicators) identified relate to designing standardized systems/frameworks/tools, establishing platforms/forums, and enhancing the knowledge and skills of staffs on the identified oversight functions.</w:t>
      </w:r>
    </w:p>
    <w:p w14:paraId="3CB94419" w14:textId="77777777" w:rsidR="00474D71" w:rsidRDefault="00474D71" w:rsidP="00787CBA">
      <w:pPr>
        <w:pStyle w:val="ListParagraph"/>
        <w:spacing w:line="240" w:lineRule="auto"/>
        <w:ind w:left="357"/>
        <w:jc w:val="both"/>
        <w:rPr>
          <w:rFonts w:eastAsia="Times New Roman" w:cstheme="minorHAnsi"/>
          <w:lang w:val="en-GB"/>
        </w:rPr>
      </w:pPr>
    </w:p>
    <w:p w14:paraId="2A7658E9" w14:textId="7C9E554F" w:rsidR="00474D71" w:rsidRDefault="00474D71" w:rsidP="00787CBA">
      <w:pPr>
        <w:pStyle w:val="ListParagraph"/>
        <w:numPr>
          <w:ilvl w:val="0"/>
          <w:numId w:val="17"/>
        </w:numPr>
        <w:spacing w:line="240" w:lineRule="auto"/>
        <w:ind w:left="357"/>
        <w:jc w:val="both"/>
        <w:rPr>
          <w:rFonts w:eastAsia="Times New Roman" w:cstheme="minorHAnsi"/>
          <w:lang w:val="en-GB"/>
        </w:rPr>
      </w:pPr>
      <w:r w:rsidRPr="00225401">
        <w:rPr>
          <w:rFonts w:eastAsia="Times New Roman" w:cstheme="minorHAnsi"/>
          <w:lang w:val="en-GB"/>
        </w:rPr>
        <w:t>T</w:t>
      </w:r>
      <w:r w:rsidRPr="00B73877">
        <w:rPr>
          <w:rFonts w:eastAsia="Times New Roman" w:cstheme="minorHAnsi"/>
          <w:lang w:val="en-GB"/>
        </w:rPr>
        <w:t xml:space="preserve">he GDPP </w:t>
      </w:r>
      <w:r>
        <w:rPr>
          <w:rFonts w:eastAsia="Times New Roman" w:cstheme="minorHAnsi"/>
          <w:lang w:val="en-GB"/>
        </w:rPr>
        <w:t>achieved better results for sub-</w:t>
      </w:r>
      <w:r w:rsidRPr="00B73877">
        <w:rPr>
          <w:rFonts w:eastAsia="Times New Roman" w:cstheme="minorHAnsi"/>
          <w:lang w:val="en-GB"/>
        </w:rPr>
        <w:t>output 1.1. Out of the 22 planned activities, 19 were accomplished; and the overall target achievement in terms of activities achieve</w:t>
      </w:r>
      <w:r w:rsidRPr="00225401">
        <w:rPr>
          <w:rFonts w:eastAsia="Times New Roman" w:cstheme="minorHAnsi"/>
          <w:lang w:val="en-GB"/>
        </w:rPr>
        <w:t>d was 86.4%. For the second indicator, the achievement exceeded the plan, 16 activities were accomplished while the plan was 15; and the overall target achieved by 107%. For the third indicator, out of 1585 staff planned to reach by capacity building training, 1337 staff were trained; and the overall target achi</w:t>
      </w:r>
      <w:r>
        <w:rPr>
          <w:rFonts w:eastAsia="Times New Roman" w:cstheme="minorHAnsi"/>
          <w:lang w:val="en-GB"/>
        </w:rPr>
        <w:t>eved was 84.4%. In average, sub-</w:t>
      </w:r>
      <w:r w:rsidRPr="00225401">
        <w:rPr>
          <w:rFonts w:eastAsia="Times New Roman" w:cstheme="minorHAnsi"/>
          <w:lang w:val="en-GB"/>
        </w:rPr>
        <w:t>output 1.1 achievement is 92.6%. Thus, the accomplishment of the activities effectively contribute</w:t>
      </w:r>
      <w:r>
        <w:rPr>
          <w:rFonts w:eastAsia="Times New Roman" w:cstheme="minorHAnsi"/>
          <w:lang w:val="en-GB"/>
        </w:rPr>
        <w:t>d to the achievement of the sub-</w:t>
      </w:r>
      <w:r w:rsidRPr="00225401">
        <w:rPr>
          <w:rFonts w:eastAsia="Times New Roman" w:cstheme="minorHAnsi"/>
          <w:lang w:val="en-GB"/>
        </w:rPr>
        <w:t>out</w:t>
      </w:r>
      <w:r>
        <w:rPr>
          <w:rFonts w:eastAsia="Times New Roman" w:cstheme="minorHAnsi"/>
          <w:lang w:val="en-GB"/>
        </w:rPr>
        <w:t xml:space="preserve">puts, </w:t>
      </w:r>
      <w:proofErr w:type="gramStart"/>
      <w:r>
        <w:rPr>
          <w:rFonts w:eastAsia="Times New Roman" w:cstheme="minorHAnsi"/>
          <w:lang w:val="en-GB"/>
        </w:rPr>
        <w:t>outputs</w:t>
      </w:r>
      <w:proofErr w:type="gramEnd"/>
      <w:r>
        <w:rPr>
          <w:rFonts w:eastAsia="Times New Roman" w:cstheme="minorHAnsi"/>
          <w:lang w:val="en-GB"/>
        </w:rPr>
        <w:t xml:space="preserve"> and outcomes. Sub-</w:t>
      </w:r>
      <w:r w:rsidRPr="00225401">
        <w:rPr>
          <w:rFonts w:eastAsia="Times New Roman" w:cstheme="minorHAnsi"/>
          <w:lang w:val="en-GB"/>
        </w:rPr>
        <w:t>output 1.2 aims at enhancing professional independence of DIs in discharging their core functions and the indicators identified to measure this sub output were designing functional standards and procedures, and professional staff whose knowledge on application of standards, procedures and tools can be</w:t>
      </w:r>
      <w:r>
        <w:rPr>
          <w:rFonts w:eastAsia="Times New Roman" w:cstheme="minorHAnsi"/>
          <w:lang w:val="en-GB"/>
        </w:rPr>
        <w:t xml:space="preserve"> </w:t>
      </w:r>
      <w:r w:rsidRPr="00225401">
        <w:rPr>
          <w:rFonts w:eastAsia="Times New Roman" w:cstheme="minorHAnsi"/>
          <w:lang w:val="en-GB"/>
        </w:rPr>
        <w:t xml:space="preserve">confirmed for securing professional independence in the IPs selected. The GDPP achieved </w:t>
      </w:r>
      <w:r>
        <w:rPr>
          <w:rFonts w:eastAsia="Times New Roman" w:cstheme="minorHAnsi"/>
          <w:lang w:val="en-GB"/>
        </w:rPr>
        <w:t>results close to target for sub-</w:t>
      </w:r>
      <w:r w:rsidRPr="00225401">
        <w:rPr>
          <w:rFonts w:eastAsia="Times New Roman" w:cstheme="minorHAnsi"/>
          <w:lang w:val="en-GB"/>
        </w:rPr>
        <w:t xml:space="preserve">output 1.2. In </w:t>
      </w:r>
      <w:r>
        <w:rPr>
          <w:rFonts w:eastAsia="Times New Roman" w:cstheme="minorHAnsi"/>
          <w:lang w:val="en-GB"/>
        </w:rPr>
        <w:t>the first indicator of this sub-</w:t>
      </w:r>
      <w:r w:rsidRPr="00225401">
        <w:rPr>
          <w:rFonts w:eastAsia="Times New Roman" w:cstheme="minorHAnsi"/>
          <w:lang w:val="en-GB"/>
        </w:rPr>
        <w:t>output, out of the 12 activities planned, 9 were accomplished; and the achievement of this specific target is by 75%. In th</w:t>
      </w:r>
      <w:r>
        <w:rPr>
          <w:rFonts w:eastAsia="Times New Roman" w:cstheme="minorHAnsi"/>
          <w:lang w:val="en-GB"/>
        </w:rPr>
        <w:t>e second indicator for this sub-</w:t>
      </w:r>
      <w:r w:rsidRPr="00225401">
        <w:rPr>
          <w:rFonts w:eastAsia="Times New Roman" w:cstheme="minorHAnsi"/>
          <w:lang w:val="en-GB"/>
        </w:rPr>
        <w:t>output, out of the 517 planned training participants, 410 have been trained (79.3</w:t>
      </w:r>
      <w:r w:rsidR="004D7264">
        <w:rPr>
          <w:rFonts w:eastAsia="Times New Roman" w:cstheme="minorHAnsi"/>
          <w:lang w:val="en-GB"/>
        </w:rPr>
        <w:t>%</w:t>
      </w:r>
      <w:r w:rsidRPr="00225401">
        <w:rPr>
          <w:rFonts w:eastAsia="Times New Roman" w:cstheme="minorHAnsi"/>
          <w:lang w:val="en-GB"/>
        </w:rPr>
        <w:t>). For the third indicator, out of the 5 awareness sessions planned, two sessions were accomplished; the achievement of this specific indicator is 40%. The achievement</w:t>
      </w:r>
      <w:r>
        <w:rPr>
          <w:rFonts w:eastAsia="Times New Roman" w:cstheme="minorHAnsi"/>
          <w:lang w:val="en-GB"/>
        </w:rPr>
        <w:t xml:space="preserve"> of the overall targets for sub-</w:t>
      </w:r>
      <w:r w:rsidRPr="00225401">
        <w:rPr>
          <w:rFonts w:eastAsia="Times New Roman" w:cstheme="minorHAnsi"/>
          <w:lang w:val="en-GB"/>
        </w:rPr>
        <w:t>output 1.2 is thus 78.8% and the achievement was just close to the target.  In the third indicator, out of the 20 activities planned, all 20 were accomplished and the achievement was 100% and was on the target. In average, the achievement of output 1 was 86.03%</w:t>
      </w:r>
      <w:r w:rsidR="004D7264">
        <w:rPr>
          <w:rFonts w:eastAsia="Times New Roman" w:cstheme="minorHAnsi"/>
          <w:lang w:val="en-GB"/>
        </w:rPr>
        <w:t>,</w:t>
      </w:r>
      <w:r w:rsidRPr="00225401">
        <w:rPr>
          <w:rFonts w:eastAsia="Times New Roman" w:cstheme="minorHAnsi"/>
          <w:lang w:val="en-GB"/>
        </w:rPr>
        <w:t xml:space="preserve"> which is close to the target and has relatively contributed to the achievement of the outcome.</w:t>
      </w:r>
    </w:p>
    <w:p w14:paraId="193DB6B7" w14:textId="77777777" w:rsidR="00474D71" w:rsidRDefault="00474D71" w:rsidP="00787CBA">
      <w:pPr>
        <w:pStyle w:val="ListParagraph"/>
        <w:spacing w:line="240" w:lineRule="auto"/>
        <w:ind w:left="357"/>
        <w:jc w:val="both"/>
        <w:rPr>
          <w:rFonts w:eastAsia="Times New Roman" w:cstheme="minorHAnsi"/>
          <w:lang w:val="en-GB"/>
        </w:rPr>
      </w:pPr>
    </w:p>
    <w:p w14:paraId="6F975CAD" w14:textId="33A86A9C" w:rsidR="00474D71" w:rsidRDefault="00474D71" w:rsidP="00787CBA">
      <w:pPr>
        <w:pStyle w:val="ListParagraph"/>
        <w:numPr>
          <w:ilvl w:val="0"/>
          <w:numId w:val="17"/>
        </w:numPr>
        <w:spacing w:line="240" w:lineRule="auto"/>
        <w:ind w:left="357"/>
        <w:jc w:val="both"/>
        <w:rPr>
          <w:rFonts w:eastAsia="Times New Roman" w:cstheme="minorHAnsi"/>
          <w:lang w:val="en-GB"/>
        </w:rPr>
      </w:pPr>
      <w:r w:rsidRPr="000E311A">
        <w:rPr>
          <w:rFonts w:eastAsia="Times New Roman" w:cstheme="minorHAnsi"/>
          <w:b/>
          <w:bCs/>
          <w:lang w:eastAsia="en-CA"/>
        </w:rPr>
        <w:t>Promoting</w:t>
      </w:r>
      <w:r w:rsidRPr="002120FC">
        <w:rPr>
          <w:rFonts w:eastAsia="Times New Roman" w:cstheme="minorHAnsi"/>
          <w:b/>
          <w:bCs/>
          <w:lang w:val="en-GB"/>
        </w:rPr>
        <w:t xml:space="preserve"> and strengthening systems: </w:t>
      </w:r>
      <w:r w:rsidRPr="002120FC">
        <w:rPr>
          <w:rFonts w:eastAsia="Times New Roman" w:cstheme="minorHAnsi"/>
          <w:lang w:val="en-GB"/>
        </w:rPr>
        <w:t>T</w:t>
      </w:r>
      <w:r>
        <w:rPr>
          <w:rFonts w:eastAsia="Times New Roman" w:cstheme="minorHAnsi"/>
          <w:lang w:val="en-GB"/>
        </w:rPr>
        <w:t>he objective of this sub-</w:t>
      </w:r>
      <w:r w:rsidRPr="002120FC">
        <w:rPr>
          <w:rFonts w:eastAsia="Times New Roman" w:cstheme="minorHAnsi"/>
          <w:lang w:val="en-GB"/>
        </w:rPr>
        <w:t xml:space="preserve">output was to strengthen and promote transparency, accountability, and integrity at all levels of government. The baseline was </w:t>
      </w:r>
      <w:r w:rsidR="004D7264">
        <w:rPr>
          <w:rFonts w:eastAsia="Times New Roman" w:cstheme="minorHAnsi"/>
          <w:lang w:val="en-GB"/>
        </w:rPr>
        <w:t>zero</w:t>
      </w:r>
      <w:r w:rsidRPr="002120FC">
        <w:rPr>
          <w:rFonts w:eastAsia="Times New Roman" w:cstheme="minorHAnsi"/>
          <w:lang w:val="en-GB"/>
        </w:rPr>
        <w:t xml:space="preserve"> and the target was set as the presence of system that strengthens and promotes good governance. Und</w:t>
      </w:r>
      <w:r>
        <w:rPr>
          <w:rFonts w:eastAsia="Times New Roman" w:cstheme="minorHAnsi"/>
          <w:lang w:val="en-GB"/>
        </w:rPr>
        <w:t>er this sub-</w:t>
      </w:r>
      <w:r w:rsidRPr="002120FC">
        <w:rPr>
          <w:rFonts w:eastAsia="Times New Roman" w:cstheme="minorHAnsi"/>
          <w:lang w:val="en-GB"/>
        </w:rPr>
        <w:t>output, improvement in the rank and scores of overall governance index (</w:t>
      </w:r>
      <w:r w:rsidR="004D7264">
        <w:rPr>
          <w:rFonts w:eastAsia="Times New Roman" w:cstheme="minorHAnsi"/>
          <w:lang w:val="en-GB"/>
        </w:rPr>
        <w:t>the Mo</w:t>
      </w:r>
      <w:r w:rsidRPr="002120FC">
        <w:rPr>
          <w:rFonts w:eastAsia="Times New Roman" w:cstheme="minorHAnsi"/>
          <w:lang w:val="en-GB"/>
        </w:rPr>
        <w:t xml:space="preserve"> Ibrahim Index of African Governance or APRM) was planned. The baseline was that Ethiopia was 36/54 African countries and 47/100 score-points in 2017. The target was set to see Ethiopia being in the top 20 African countries in APRM index and achieving a score-point of 55/100. There is no evidence on such outputs but with the political dynamics and deterioration in the country during the GDPP implementation period, any rank and score would be misleading.  Improvement of public rating in accountability, </w:t>
      </w:r>
      <w:proofErr w:type="gramStart"/>
      <w:r w:rsidRPr="002120FC">
        <w:rPr>
          <w:rFonts w:eastAsia="Times New Roman" w:cstheme="minorHAnsi"/>
          <w:lang w:val="en-GB"/>
        </w:rPr>
        <w:t>transparency</w:t>
      </w:r>
      <w:proofErr w:type="gramEnd"/>
      <w:r w:rsidRPr="002120FC">
        <w:rPr>
          <w:rFonts w:eastAsia="Times New Roman" w:cstheme="minorHAnsi"/>
          <w:lang w:val="en-GB"/>
        </w:rPr>
        <w:t xml:space="preserve"> and efficiency of governance of Ethiopia is planned with the baseline to be set and a target of 50% increase from the baseline (which is also subject to adjustment after assessment). The FEACC planned 1 Policy &amp; Strategy Document, 1 National Survey Report and 1 system/web portal to improve the governance</w:t>
      </w:r>
      <w:r w:rsidR="004D7264">
        <w:rPr>
          <w:rFonts w:eastAsia="Times New Roman" w:cstheme="minorHAnsi"/>
          <w:lang w:val="en-GB"/>
        </w:rPr>
        <w:t xml:space="preserve"> was implemented</w:t>
      </w:r>
      <w:r w:rsidRPr="002120FC">
        <w:rPr>
          <w:rFonts w:eastAsia="Times New Roman" w:cstheme="minorHAnsi"/>
          <w:lang w:val="en-GB"/>
        </w:rPr>
        <w:t>. All FEACC’s planned strategy, perception survey report and system/portal facilities</w:t>
      </w:r>
      <w:r w:rsidR="004D7264">
        <w:rPr>
          <w:rFonts w:eastAsia="Times New Roman" w:cstheme="minorHAnsi"/>
          <w:lang w:val="en-GB"/>
        </w:rPr>
        <w:t xml:space="preserve"> were achieved</w:t>
      </w:r>
      <w:r w:rsidRPr="002120FC">
        <w:rPr>
          <w:rFonts w:eastAsia="Times New Roman" w:cstheme="minorHAnsi"/>
          <w:lang w:val="en-GB"/>
        </w:rPr>
        <w:t xml:space="preserve">. The EIO planned 1 IT system automation and 1 case-flow system. The EIO’s planned call-centre &amp; synchronized IT and case management system was implemented. The CCI planned 1 free call </w:t>
      </w:r>
      <w:r w:rsidR="000E311A" w:rsidRPr="002120FC">
        <w:rPr>
          <w:rFonts w:eastAsia="Times New Roman" w:cstheme="minorHAnsi"/>
          <w:lang w:val="en-GB"/>
        </w:rPr>
        <w:t>centre</w:t>
      </w:r>
      <w:r w:rsidRPr="002120FC">
        <w:rPr>
          <w:rFonts w:eastAsia="Times New Roman" w:cstheme="minorHAnsi"/>
          <w:lang w:val="en-GB"/>
        </w:rPr>
        <w:t xml:space="preserve">, 1 case management system and 1 gender mainstreaming manual. The free call </w:t>
      </w:r>
      <w:r w:rsidR="000E311A" w:rsidRPr="002120FC">
        <w:rPr>
          <w:rFonts w:eastAsia="Times New Roman" w:cstheme="minorHAnsi"/>
          <w:lang w:val="en-GB"/>
        </w:rPr>
        <w:t>centre</w:t>
      </w:r>
      <w:r w:rsidRPr="002120FC">
        <w:rPr>
          <w:rFonts w:eastAsia="Times New Roman" w:cstheme="minorHAnsi"/>
          <w:lang w:val="en-GB"/>
        </w:rPr>
        <w:t xml:space="preserve"> automation, case flow management systems and gender mainstreaming manual were accomplished. Therefore, the achievement was 100%. A national strategy on transparency, accountability and efficiency was also planned. There was no such strategy in 2017 as a baseline and the presence of a national anti-corruption strategy adopted, </w:t>
      </w:r>
      <w:r w:rsidRPr="002120FC">
        <w:rPr>
          <w:rFonts w:eastAsia="Times New Roman" w:cstheme="minorHAnsi"/>
          <w:lang w:val="en-GB"/>
        </w:rPr>
        <w:lastRenderedPageBreak/>
        <w:t xml:space="preserve">implemented and impact assessment conducted and reported was set as a target. The FEACC planned to design and adopt 1 regulation (code of conduct) and 1 review report on UNCAC. Both the code of conduct and UNCAC review were implemented. The achievement was 100%. The CCI also planned 1 study on service provision, 3 study on constitutional issues, 3 discussion forums and 2 publications. The planned 3 research report and 3 discussion forums were accomplished while the assessment report and 2 publications were not. The achievement of the target was thus 66.7%. </w:t>
      </w:r>
    </w:p>
    <w:p w14:paraId="1CCB3CA8" w14:textId="20301C36" w:rsidR="00474D71" w:rsidRPr="00225401" w:rsidRDefault="00474D71" w:rsidP="00474D71">
      <w:pPr>
        <w:pStyle w:val="Caption"/>
        <w:rPr>
          <w:rFonts w:cstheme="minorHAnsi"/>
          <w:i w:val="0"/>
          <w:iCs w:val="0"/>
          <w:sz w:val="22"/>
          <w:szCs w:val="22"/>
        </w:rPr>
      </w:pPr>
      <w:r w:rsidRPr="00225401">
        <w:rPr>
          <w:rFonts w:cstheme="minorHAnsi"/>
          <w:i w:val="0"/>
          <w:iCs w:val="0"/>
          <w:sz w:val="22"/>
          <w:szCs w:val="22"/>
        </w:rPr>
        <w:t xml:space="preserve">Table </w:t>
      </w:r>
      <w:r w:rsidRPr="00225401">
        <w:rPr>
          <w:rFonts w:cstheme="minorHAnsi"/>
          <w:i w:val="0"/>
          <w:iCs w:val="0"/>
          <w:sz w:val="22"/>
          <w:szCs w:val="22"/>
        </w:rPr>
        <w:fldChar w:fldCharType="begin"/>
      </w:r>
      <w:r w:rsidRPr="00225401">
        <w:rPr>
          <w:rFonts w:cstheme="minorHAnsi"/>
          <w:i w:val="0"/>
          <w:iCs w:val="0"/>
          <w:sz w:val="22"/>
          <w:szCs w:val="22"/>
        </w:rPr>
        <w:instrText xml:space="preserve"> SEQ Table \* ARABIC </w:instrText>
      </w:r>
      <w:r w:rsidRPr="00225401">
        <w:rPr>
          <w:rFonts w:cstheme="minorHAnsi"/>
          <w:i w:val="0"/>
          <w:iCs w:val="0"/>
          <w:sz w:val="22"/>
          <w:szCs w:val="22"/>
        </w:rPr>
        <w:fldChar w:fldCharType="separate"/>
      </w:r>
      <w:r w:rsidR="006240B3">
        <w:rPr>
          <w:rFonts w:cstheme="minorHAnsi"/>
          <w:i w:val="0"/>
          <w:iCs w:val="0"/>
          <w:noProof/>
          <w:sz w:val="22"/>
          <w:szCs w:val="22"/>
        </w:rPr>
        <w:t>3</w:t>
      </w:r>
      <w:r w:rsidRPr="00225401">
        <w:rPr>
          <w:rFonts w:cstheme="minorHAnsi"/>
          <w:i w:val="0"/>
          <w:iCs w:val="0"/>
          <w:sz w:val="22"/>
          <w:szCs w:val="22"/>
        </w:rPr>
        <w:fldChar w:fldCharType="end"/>
      </w:r>
      <w:r>
        <w:rPr>
          <w:rFonts w:cstheme="minorHAnsi"/>
          <w:i w:val="0"/>
          <w:iCs w:val="0"/>
          <w:sz w:val="22"/>
          <w:szCs w:val="22"/>
        </w:rPr>
        <w:t xml:space="preserve"> – Achievements of Sub-</w:t>
      </w:r>
      <w:r w:rsidRPr="00225401">
        <w:rPr>
          <w:rFonts w:cstheme="minorHAnsi"/>
          <w:i w:val="0"/>
          <w:iCs w:val="0"/>
          <w:sz w:val="22"/>
          <w:szCs w:val="22"/>
        </w:rPr>
        <w:t>Outputs 2.1, 2.2 and 2.3</w:t>
      </w:r>
    </w:p>
    <w:tbl>
      <w:tblPr>
        <w:tblStyle w:val="TableGrid"/>
        <w:tblW w:w="5000" w:type="pct"/>
        <w:tblLook w:val="04A0" w:firstRow="1" w:lastRow="0" w:firstColumn="1" w:lastColumn="0" w:noHBand="0" w:noVBand="1"/>
      </w:tblPr>
      <w:tblGrid>
        <w:gridCol w:w="4135"/>
        <w:gridCol w:w="1980"/>
        <w:gridCol w:w="1801"/>
        <w:gridCol w:w="1434"/>
      </w:tblGrid>
      <w:tr w:rsidR="00474D71" w:rsidRPr="005B2583" w14:paraId="7F73FB80" w14:textId="77777777" w:rsidTr="00085813">
        <w:tc>
          <w:tcPr>
            <w:tcW w:w="2211" w:type="pct"/>
            <w:shd w:val="clear" w:color="auto" w:fill="8EAADB" w:themeFill="accent5" w:themeFillTint="99"/>
          </w:tcPr>
          <w:p w14:paraId="3BE2AA69" w14:textId="77777777" w:rsidR="00474D71" w:rsidRPr="00225401" w:rsidRDefault="00474D71" w:rsidP="00085813">
            <w:pPr>
              <w:rPr>
                <w:rFonts w:eastAsia="Times New Roman" w:cstheme="minorHAnsi"/>
              </w:rPr>
            </w:pPr>
            <w:r>
              <w:rPr>
                <w:rFonts w:eastAsia="Times New Roman" w:cstheme="minorHAnsi"/>
              </w:rPr>
              <w:t>Sub-</w:t>
            </w:r>
            <w:r w:rsidRPr="00225401">
              <w:rPr>
                <w:rFonts w:eastAsia="Times New Roman" w:cstheme="minorHAnsi"/>
              </w:rPr>
              <w:t>Outputs of Output 2</w:t>
            </w:r>
          </w:p>
        </w:tc>
        <w:tc>
          <w:tcPr>
            <w:tcW w:w="1059" w:type="pct"/>
            <w:shd w:val="clear" w:color="auto" w:fill="8EAADB" w:themeFill="accent5" w:themeFillTint="99"/>
          </w:tcPr>
          <w:p w14:paraId="01B04C86" w14:textId="77777777" w:rsidR="00474D71" w:rsidRPr="00225401" w:rsidRDefault="00474D71" w:rsidP="00085813">
            <w:pPr>
              <w:rPr>
                <w:rFonts w:eastAsia="Times New Roman" w:cstheme="minorHAnsi"/>
              </w:rPr>
            </w:pPr>
            <w:r w:rsidRPr="00225401">
              <w:rPr>
                <w:rFonts w:eastAsia="Times New Roman" w:cstheme="minorHAnsi"/>
                <w:b/>
                <w:bCs/>
              </w:rPr>
              <w:t>Target activities planned</w:t>
            </w:r>
          </w:p>
        </w:tc>
        <w:tc>
          <w:tcPr>
            <w:tcW w:w="963" w:type="pct"/>
            <w:shd w:val="clear" w:color="auto" w:fill="8EAADB" w:themeFill="accent5" w:themeFillTint="99"/>
          </w:tcPr>
          <w:p w14:paraId="63746401" w14:textId="77777777" w:rsidR="00474D71" w:rsidRPr="00225401" w:rsidRDefault="00474D71" w:rsidP="00085813">
            <w:pPr>
              <w:rPr>
                <w:rFonts w:eastAsia="Times New Roman" w:cstheme="minorHAnsi"/>
              </w:rPr>
            </w:pPr>
            <w:r w:rsidRPr="00225401">
              <w:rPr>
                <w:rFonts w:eastAsia="Times New Roman" w:cstheme="minorHAnsi"/>
                <w:b/>
                <w:bCs/>
              </w:rPr>
              <w:t>Target activities accomplished</w:t>
            </w:r>
          </w:p>
        </w:tc>
        <w:tc>
          <w:tcPr>
            <w:tcW w:w="767" w:type="pct"/>
            <w:shd w:val="clear" w:color="auto" w:fill="8EAADB" w:themeFill="accent5" w:themeFillTint="99"/>
          </w:tcPr>
          <w:p w14:paraId="032D6478" w14:textId="77777777" w:rsidR="00474D71" w:rsidRPr="00225401" w:rsidRDefault="00474D71" w:rsidP="00085813">
            <w:pPr>
              <w:rPr>
                <w:rFonts w:eastAsia="Times New Roman" w:cstheme="minorHAnsi"/>
              </w:rPr>
            </w:pPr>
            <w:r w:rsidRPr="00225401">
              <w:rPr>
                <w:rFonts w:eastAsia="Times New Roman" w:cstheme="minorHAnsi"/>
              </w:rPr>
              <w:t>Achievement Rating (%)</w:t>
            </w:r>
          </w:p>
        </w:tc>
      </w:tr>
      <w:tr w:rsidR="00474D71" w:rsidRPr="005B2583" w14:paraId="1A6BCD5F" w14:textId="77777777" w:rsidTr="00085813">
        <w:tc>
          <w:tcPr>
            <w:tcW w:w="2211" w:type="pct"/>
          </w:tcPr>
          <w:p w14:paraId="1F844847" w14:textId="77777777" w:rsidR="00474D71" w:rsidRPr="00225401" w:rsidRDefault="00474D71" w:rsidP="00085813">
            <w:pPr>
              <w:rPr>
                <w:rFonts w:eastAsia="Times New Roman" w:cstheme="minorHAnsi"/>
              </w:rPr>
            </w:pPr>
            <w:r w:rsidRPr="00225401">
              <w:rPr>
                <w:rFonts w:eastAsia="Times New Roman" w:cstheme="minorHAnsi"/>
              </w:rPr>
              <w:t>2.1. Promoting and strengthening systems</w:t>
            </w:r>
          </w:p>
        </w:tc>
        <w:tc>
          <w:tcPr>
            <w:tcW w:w="1059" w:type="pct"/>
          </w:tcPr>
          <w:p w14:paraId="30D5900E" w14:textId="77777777" w:rsidR="00474D71" w:rsidRPr="00225401" w:rsidRDefault="00474D71" w:rsidP="00085813">
            <w:pPr>
              <w:rPr>
                <w:rFonts w:eastAsia="Times New Roman" w:cstheme="minorHAnsi"/>
              </w:rPr>
            </w:pPr>
            <w:r w:rsidRPr="00225401">
              <w:rPr>
                <w:rFonts w:eastAsia="Times New Roman" w:cstheme="minorHAnsi"/>
              </w:rPr>
              <w:t>19</w:t>
            </w:r>
          </w:p>
        </w:tc>
        <w:tc>
          <w:tcPr>
            <w:tcW w:w="963" w:type="pct"/>
          </w:tcPr>
          <w:p w14:paraId="0C042EC6" w14:textId="77777777" w:rsidR="00474D71" w:rsidRPr="00225401" w:rsidRDefault="00474D71" w:rsidP="00085813">
            <w:pPr>
              <w:rPr>
                <w:rFonts w:eastAsia="Times New Roman" w:cstheme="minorHAnsi"/>
              </w:rPr>
            </w:pPr>
            <w:r w:rsidRPr="00225401">
              <w:rPr>
                <w:rFonts w:eastAsia="Times New Roman" w:cstheme="minorHAnsi"/>
              </w:rPr>
              <w:t>19</w:t>
            </w:r>
          </w:p>
        </w:tc>
        <w:tc>
          <w:tcPr>
            <w:tcW w:w="767" w:type="pct"/>
            <w:shd w:val="clear" w:color="auto" w:fill="00B050"/>
          </w:tcPr>
          <w:p w14:paraId="17831290" w14:textId="77777777" w:rsidR="00474D71" w:rsidRPr="00225401" w:rsidRDefault="00474D71" w:rsidP="00085813">
            <w:pPr>
              <w:rPr>
                <w:rFonts w:eastAsia="Times New Roman" w:cstheme="minorHAnsi"/>
              </w:rPr>
            </w:pPr>
            <w:r w:rsidRPr="00225401">
              <w:rPr>
                <w:rFonts w:eastAsia="Times New Roman" w:cstheme="minorHAnsi"/>
              </w:rPr>
              <w:t>100%</w:t>
            </w:r>
          </w:p>
        </w:tc>
      </w:tr>
      <w:tr w:rsidR="00474D71" w:rsidRPr="005B2583" w14:paraId="32F81989" w14:textId="77777777" w:rsidTr="00085813">
        <w:tc>
          <w:tcPr>
            <w:tcW w:w="2211" w:type="pct"/>
          </w:tcPr>
          <w:p w14:paraId="34B26BB0" w14:textId="77777777" w:rsidR="00474D71" w:rsidRPr="00225401" w:rsidRDefault="00474D71" w:rsidP="00085813">
            <w:pPr>
              <w:rPr>
                <w:rFonts w:eastAsia="Times New Roman" w:cstheme="minorHAnsi"/>
              </w:rPr>
            </w:pPr>
            <w:r w:rsidRPr="00225401">
              <w:rPr>
                <w:rFonts w:eastAsia="Times New Roman" w:cstheme="minorHAnsi"/>
              </w:rPr>
              <w:t>2.2. Capacity to prevent, investigate and prosecute corruption and maladministration</w:t>
            </w:r>
          </w:p>
        </w:tc>
        <w:tc>
          <w:tcPr>
            <w:tcW w:w="1059" w:type="pct"/>
          </w:tcPr>
          <w:p w14:paraId="3BD9FEED" w14:textId="77777777" w:rsidR="00474D71" w:rsidRPr="00225401" w:rsidRDefault="00474D71" w:rsidP="00085813">
            <w:pPr>
              <w:rPr>
                <w:rFonts w:eastAsia="Times New Roman" w:cstheme="minorHAnsi"/>
              </w:rPr>
            </w:pPr>
            <w:r w:rsidRPr="00225401">
              <w:rPr>
                <w:rFonts w:eastAsia="Times New Roman" w:cstheme="minorHAnsi"/>
              </w:rPr>
              <w:t>3</w:t>
            </w:r>
          </w:p>
        </w:tc>
        <w:tc>
          <w:tcPr>
            <w:tcW w:w="963" w:type="pct"/>
          </w:tcPr>
          <w:p w14:paraId="3515A895" w14:textId="77777777" w:rsidR="00474D71" w:rsidRPr="00225401" w:rsidRDefault="00474D71" w:rsidP="00085813">
            <w:pPr>
              <w:rPr>
                <w:rFonts w:eastAsia="Times New Roman" w:cstheme="minorHAnsi"/>
              </w:rPr>
            </w:pPr>
            <w:r w:rsidRPr="00225401">
              <w:rPr>
                <w:rFonts w:eastAsia="Times New Roman" w:cstheme="minorHAnsi"/>
              </w:rPr>
              <w:t>3</w:t>
            </w:r>
          </w:p>
        </w:tc>
        <w:tc>
          <w:tcPr>
            <w:tcW w:w="767" w:type="pct"/>
            <w:shd w:val="clear" w:color="auto" w:fill="00B050"/>
          </w:tcPr>
          <w:p w14:paraId="1AF137D8" w14:textId="77777777" w:rsidR="00474D71" w:rsidRPr="00225401" w:rsidRDefault="00474D71" w:rsidP="00085813">
            <w:pPr>
              <w:rPr>
                <w:rFonts w:eastAsia="Times New Roman" w:cstheme="minorHAnsi"/>
              </w:rPr>
            </w:pPr>
            <w:r w:rsidRPr="00225401">
              <w:rPr>
                <w:rFonts w:eastAsia="Times New Roman" w:cstheme="minorHAnsi"/>
              </w:rPr>
              <w:t>100%</w:t>
            </w:r>
          </w:p>
        </w:tc>
      </w:tr>
      <w:tr w:rsidR="00474D71" w:rsidRPr="005B2583" w14:paraId="665FFB37" w14:textId="77777777" w:rsidTr="00085813">
        <w:tc>
          <w:tcPr>
            <w:tcW w:w="2211" w:type="pct"/>
          </w:tcPr>
          <w:p w14:paraId="72F85BDB" w14:textId="77777777" w:rsidR="00474D71" w:rsidRPr="00225401" w:rsidRDefault="00474D71" w:rsidP="00085813">
            <w:pPr>
              <w:rPr>
                <w:rFonts w:eastAsia="Times New Roman" w:cstheme="minorHAnsi"/>
              </w:rPr>
            </w:pPr>
            <w:r w:rsidRPr="00225401">
              <w:rPr>
                <w:rFonts w:eastAsia="Times New Roman" w:cstheme="minorHAnsi"/>
              </w:rPr>
              <w:t>2.3 Promote awareness of service providers and seekers for quality service provision</w:t>
            </w:r>
          </w:p>
        </w:tc>
        <w:tc>
          <w:tcPr>
            <w:tcW w:w="1059" w:type="pct"/>
          </w:tcPr>
          <w:p w14:paraId="3CE8DE83" w14:textId="77777777" w:rsidR="00474D71" w:rsidRPr="00225401" w:rsidRDefault="00474D71" w:rsidP="00085813">
            <w:pPr>
              <w:rPr>
                <w:rFonts w:eastAsia="Times New Roman" w:cstheme="minorHAnsi"/>
              </w:rPr>
            </w:pPr>
            <w:r w:rsidRPr="00225401">
              <w:rPr>
                <w:rFonts w:eastAsia="Times New Roman" w:cstheme="minorHAnsi"/>
              </w:rPr>
              <w:t>6</w:t>
            </w:r>
          </w:p>
        </w:tc>
        <w:tc>
          <w:tcPr>
            <w:tcW w:w="963" w:type="pct"/>
          </w:tcPr>
          <w:p w14:paraId="4CAD2E77" w14:textId="77777777" w:rsidR="00474D71" w:rsidRPr="00225401" w:rsidRDefault="00474D71" w:rsidP="00085813">
            <w:pPr>
              <w:rPr>
                <w:rFonts w:eastAsia="Times New Roman" w:cstheme="minorHAnsi"/>
              </w:rPr>
            </w:pPr>
            <w:r w:rsidRPr="00225401">
              <w:rPr>
                <w:rFonts w:eastAsia="Times New Roman" w:cstheme="minorHAnsi"/>
              </w:rPr>
              <w:t>6</w:t>
            </w:r>
          </w:p>
        </w:tc>
        <w:tc>
          <w:tcPr>
            <w:tcW w:w="767" w:type="pct"/>
            <w:shd w:val="clear" w:color="auto" w:fill="00B050"/>
          </w:tcPr>
          <w:p w14:paraId="2ADC7422" w14:textId="77777777" w:rsidR="00474D71" w:rsidRPr="00225401" w:rsidRDefault="00474D71" w:rsidP="00085813">
            <w:pPr>
              <w:rPr>
                <w:rFonts w:eastAsia="Times New Roman" w:cstheme="minorHAnsi"/>
              </w:rPr>
            </w:pPr>
            <w:r w:rsidRPr="00225401">
              <w:rPr>
                <w:rFonts w:eastAsia="Times New Roman" w:cstheme="minorHAnsi"/>
              </w:rPr>
              <w:t>100%</w:t>
            </w:r>
          </w:p>
        </w:tc>
      </w:tr>
      <w:tr w:rsidR="00474D71" w:rsidRPr="005B2583" w14:paraId="6B1C660C" w14:textId="77777777" w:rsidTr="00085813">
        <w:tc>
          <w:tcPr>
            <w:tcW w:w="2211" w:type="pct"/>
          </w:tcPr>
          <w:p w14:paraId="0B355609" w14:textId="77777777" w:rsidR="00474D71" w:rsidRPr="00225401" w:rsidRDefault="00474D71" w:rsidP="00085813">
            <w:pPr>
              <w:rPr>
                <w:rFonts w:eastAsia="Times New Roman" w:cstheme="minorHAnsi"/>
                <w:b/>
                <w:bCs/>
              </w:rPr>
            </w:pPr>
            <w:r w:rsidRPr="00225401">
              <w:rPr>
                <w:rFonts w:eastAsia="Times New Roman" w:cstheme="minorHAnsi"/>
                <w:b/>
                <w:bCs/>
              </w:rPr>
              <w:t>Average</w:t>
            </w:r>
          </w:p>
        </w:tc>
        <w:tc>
          <w:tcPr>
            <w:tcW w:w="1059" w:type="pct"/>
          </w:tcPr>
          <w:p w14:paraId="18323DB6" w14:textId="77777777" w:rsidR="00474D71" w:rsidRPr="00225401" w:rsidRDefault="00474D71" w:rsidP="00085813">
            <w:pPr>
              <w:rPr>
                <w:rFonts w:eastAsia="Times New Roman" w:cstheme="minorHAnsi"/>
                <w:b/>
                <w:bCs/>
              </w:rPr>
            </w:pPr>
            <w:r w:rsidRPr="00225401">
              <w:rPr>
                <w:rFonts w:eastAsia="Times New Roman" w:cstheme="minorHAnsi"/>
                <w:b/>
                <w:bCs/>
              </w:rPr>
              <w:t>28</w:t>
            </w:r>
          </w:p>
        </w:tc>
        <w:tc>
          <w:tcPr>
            <w:tcW w:w="963" w:type="pct"/>
          </w:tcPr>
          <w:p w14:paraId="5A76298F" w14:textId="77777777" w:rsidR="00474D71" w:rsidRPr="00225401" w:rsidRDefault="00474D71" w:rsidP="00085813">
            <w:pPr>
              <w:rPr>
                <w:rFonts w:eastAsia="Times New Roman" w:cstheme="minorHAnsi"/>
                <w:b/>
                <w:bCs/>
              </w:rPr>
            </w:pPr>
            <w:r w:rsidRPr="00225401">
              <w:rPr>
                <w:rFonts w:eastAsia="Times New Roman" w:cstheme="minorHAnsi"/>
                <w:b/>
                <w:bCs/>
              </w:rPr>
              <w:t>28</w:t>
            </w:r>
          </w:p>
        </w:tc>
        <w:tc>
          <w:tcPr>
            <w:tcW w:w="767" w:type="pct"/>
            <w:shd w:val="clear" w:color="auto" w:fill="00B050"/>
          </w:tcPr>
          <w:p w14:paraId="022546DE" w14:textId="77777777" w:rsidR="00474D71" w:rsidRPr="00225401" w:rsidRDefault="00474D71" w:rsidP="00085813">
            <w:pPr>
              <w:rPr>
                <w:rFonts w:eastAsia="Times New Roman" w:cstheme="minorHAnsi"/>
                <w:b/>
                <w:bCs/>
              </w:rPr>
            </w:pPr>
            <w:r w:rsidRPr="00225401">
              <w:rPr>
                <w:rFonts w:eastAsia="Times New Roman" w:cstheme="minorHAnsi"/>
                <w:b/>
                <w:bCs/>
              </w:rPr>
              <w:t>100%</w:t>
            </w:r>
          </w:p>
        </w:tc>
      </w:tr>
    </w:tbl>
    <w:p w14:paraId="3B83CB6E" w14:textId="77777777" w:rsidR="00474D71" w:rsidRPr="002120FC" w:rsidRDefault="00474D71" w:rsidP="00474D71">
      <w:pPr>
        <w:spacing w:before="240" w:line="360" w:lineRule="auto"/>
        <w:jc w:val="both"/>
        <w:rPr>
          <w:rFonts w:cstheme="minorHAnsi"/>
        </w:rPr>
      </w:pPr>
      <w:r w:rsidRPr="002120FC">
        <w:rPr>
          <w:rFonts w:cstheme="minorHAnsi"/>
        </w:rPr>
        <w:t>Note: Red (below 75</w:t>
      </w:r>
      <w:proofErr w:type="gramStart"/>
      <w:r w:rsidRPr="002120FC">
        <w:rPr>
          <w:rFonts w:cstheme="minorHAnsi"/>
        </w:rPr>
        <w:t xml:space="preserve">%)   </w:t>
      </w:r>
      <w:proofErr w:type="gramEnd"/>
      <w:r w:rsidRPr="002120FC">
        <w:rPr>
          <w:rFonts w:cstheme="minorHAnsi"/>
        </w:rPr>
        <w:t xml:space="preserve">  Yellow (75 - 89%) Green = Above 90%</w:t>
      </w:r>
    </w:p>
    <w:p w14:paraId="4A20091C" w14:textId="5B9D0CE6" w:rsidR="00474D71" w:rsidRDefault="00474D71" w:rsidP="00787CBA">
      <w:pPr>
        <w:pStyle w:val="ListParagraph"/>
        <w:numPr>
          <w:ilvl w:val="0"/>
          <w:numId w:val="17"/>
        </w:numPr>
        <w:spacing w:after="0" w:line="240" w:lineRule="auto"/>
        <w:ind w:left="357"/>
        <w:jc w:val="both"/>
        <w:rPr>
          <w:rFonts w:eastAsia="Times New Roman" w:cstheme="minorHAnsi"/>
          <w:lang w:val="en-GB"/>
        </w:rPr>
      </w:pPr>
      <w:r w:rsidRPr="00225401">
        <w:rPr>
          <w:rFonts w:eastAsia="Times New Roman" w:cstheme="minorHAnsi"/>
          <w:lang w:val="en-GB"/>
        </w:rPr>
        <w:t xml:space="preserve">A presence of </w:t>
      </w:r>
      <w:r w:rsidR="004D7264">
        <w:rPr>
          <w:rFonts w:eastAsia="Times New Roman" w:cstheme="minorHAnsi"/>
          <w:lang w:val="en-GB"/>
        </w:rPr>
        <w:t xml:space="preserve">the </w:t>
      </w:r>
      <w:r w:rsidRPr="00225401">
        <w:rPr>
          <w:rFonts w:eastAsia="Times New Roman" w:cstheme="minorHAnsi"/>
          <w:lang w:val="en-GB"/>
        </w:rPr>
        <w:t xml:space="preserve">ethical code of conduct for public officials was planned. The baseline was that no ethical code </w:t>
      </w:r>
      <w:r w:rsidR="004D7264">
        <w:rPr>
          <w:rFonts w:eastAsia="Times New Roman" w:cstheme="minorHAnsi"/>
          <w:lang w:val="en-GB"/>
        </w:rPr>
        <w:t xml:space="preserve">existed </w:t>
      </w:r>
      <w:r w:rsidRPr="00225401">
        <w:rPr>
          <w:rFonts w:eastAsia="Times New Roman" w:cstheme="minorHAnsi"/>
          <w:lang w:val="en-GB"/>
        </w:rPr>
        <w:t xml:space="preserve">in 2017 and the target was to adopt and implement </w:t>
      </w:r>
      <w:r w:rsidR="004D7264">
        <w:rPr>
          <w:rFonts w:eastAsia="Times New Roman" w:cstheme="minorHAnsi"/>
          <w:lang w:val="en-GB"/>
        </w:rPr>
        <w:t xml:space="preserve">a </w:t>
      </w:r>
      <w:r w:rsidRPr="00225401">
        <w:rPr>
          <w:rFonts w:eastAsia="Times New Roman" w:cstheme="minorHAnsi"/>
          <w:lang w:val="en-GB"/>
        </w:rPr>
        <w:t>code and assess the impact. The FEACC, EIO and CCI planned to assess gap</w:t>
      </w:r>
      <w:r w:rsidR="004D7264">
        <w:rPr>
          <w:rFonts w:eastAsia="Times New Roman" w:cstheme="minorHAnsi"/>
          <w:lang w:val="en-GB"/>
        </w:rPr>
        <w:t>s</w:t>
      </w:r>
      <w:r w:rsidRPr="00225401">
        <w:rPr>
          <w:rFonts w:eastAsia="Times New Roman" w:cstheme="minorHAnsi"/>
          <w:lang w:val="en-GB"/>
        </w:rPr>
        <w:t xml:space="preserve">, adopt a code of conduct and a digital system for implementation (automated case flow and clearance system). The IPs assessed the gap, adopted the automation system and are using the system for case management and feedback until the cases are assessed, </w:t>
      </w:r>
      <w:proofErr w:type="gramStart"/>
      <w:r w:rsidRPr="00225401">
        <w:rPr>
          <w:rFonts w:eastAsia="Times New Roman" w:cstheme="minorHAnsi"/>
          <w:lang w:val="en-GB"/>
        </w:rPr>
        <w:t>decided</w:t>
      </w:r>
      <w:proofErr w:type="gramEnd"/>
      <w:r w:rsidRPr="00225401">
        <w:rPr>
          <w:rFonts w:eastAsia="Times New Roman" w:cstheme="minorHAnsi"/>
          <w:lang w:val="en-GB"/>
        </w:rPr>
        <w:t xml:space="preserve"> and cleared with a code of conduct in place. The achievement of the target is 100% for the code of conduct and the automation system but one assessment and 2 publications that were planned by the CCI were not accomplished. Youth and children integrity was planned to be mainstreamed in the education system and the implemented was planned to be tracked and measured. The baseline was that there no such mainstreaming </w:t>
      </w:r>
      <w:proofErr w:type="gramStart"/>
      <w:r w:rsidRPr="00225401">
        <w:rPr>
          <w:rFonts w:eastAsia="Times New Roman" w:cstheme="minorHAnsi"/>
          <w:lang w:val="en-GB"/>
        </w:rPr>
        <w:t>strategy</w:t>
      </w:r>
      <w:proofErr w:type="gramEnd"/>
      <w:r w:rsidRPr="00225401">
        <w:rPr>
          <w:rFonts w:eastAsia="Times New Roman" w:cstheme="minorHAnsi"/>
          <w:lang w:val="en-GB"/>
        </w:rPr>
        <w:t xml:space="preserve"> and the target was to adopt, implement and assess the impact of the strategy. The measurement was set in Likert </w:t>
      </w:r>
      <w:proofErr w:type="gramStart"/>
      <w:r w:rsidRPr="00225401">
        <w:rPr>
          <w:rFonts w:eastAsia="Times New Roman" w:cstheme="minorHAnsi"/>
          <w:lang w:val="en-GB"/>
        </w:rPr>
        <w:t>scale</w:t>
      </w:r>
      <w:proofErr w:type="gramEnd"/>
      <w:r w:rsidRPr="00225401">
        <w:rPr>
          <w:rFonts w:eastAsia="Times New Roman" w:cstheme="minorHAnsi"/>
          <w:lang w:val="en-GB"/>
        </w:rPr>
        <w:t xml:space="preserve"> but it does not show for what each scale stands for and how the scale </w:t>
      </w:r>
      <w:r w:rsidR="004D7264">
        <w:rPr>
          <w:rFonts w:eastAsia="Times New Roman" w:cstheme="minorHAnsi"/>
          <w:lang w:val="en-GB"/>
        </w:rPr>
        <w:t>wa</w:t>
      </w:r>
      <w:r w:rsidRPr="00225401">
        <w:rPr>
          <w:rFonts w:eastAsia="Times New Roman" w:cstheme="minorHAnsi"/>
          <w:lang w:val="en-GB"/>
        </w:rPr>
        <w:t>s set. The EIO planned 1 platform, 1 assessment report and one complaint handling strategy and implemented all of them (100%). Also,</w:t>
      </w:r>
      <w:r>
        <w:rPr>
          <w:rFonts w:eastAsia="Times New Roman" w:cstheme="minorHAnsi"/>
          <w:lang w:val="en-GB"/>
        </w:rPr>
        <w:t xml:space="preserve"> </w:t>
      </w:r>
      <w:r w:rsidRPr="00225401">
        <w:rPr>
          <w:rFonts w:eastAsia="Times New Roman" w:cstheme="minorHAnsi"/>
          <w:lang w:val="en-GB"/>
        </w:rPr>
        <w:t>the EIO established ethics clubs in schools and together with clubs it is working to integrate integrity issues in the education curriculum. The achievement is not rated since the scale is abstract. Sessions were planned to be conducted for raising awareness of information providers and service seekers on service delivery procedures of the IPs. A baseline and target were not set for this indicator. However, the EIO planned 1 forum for raising awareness of information providers and service seekers and organized an awareness raising forum. The achievement is thus 100%. However, since a baseline and target were not set, the effectiveness was not rated.</w:t>
      </w:r>
    </w:p>
    <w:p w14:paraId="4A0A6252" w14:textId="77777777" w:rsidR="00474D71" w:rsidRDefault="00474D71" w:rsidP="00787CBA">
      <w:pPr>
        <w:pStyle w:val="ListParagraph"/>
        <w:spacing w:after="0" w:line="240" w:lineRule="auto"/>
        <w:ind w:left="357"/>
        <w:jc w:val="both"/>
        <w:rPr>
          <w:rFonts w:eastAsia="Times New Roman" w:cstheme="minorHAnsi"/>
          <w:lang w:val="en-GB"/>
        </w:rPr>
      </w:pPr>
    </w:p>
    <w:p w14:paraId="0B6AB3E4" w14:textId="0A925B72" w:rsidR="00474D71" w:rsidRDefault="00474D71" w:rsidP="00787CBA">
      <w:pPr>
        <w:pStyle w:val="ListParagraph"/>
        <w:numPr>
          <w:ilvl w:val="0"/>
          <w:numId w:val="17"/>
        </w:numPr>
        <w:spacing w:after="0" w:line="240" w:lineRule="auto"/>
        <w:ind w:left="357"/>
        <w:jc w:val="both"/>
        <w:rPr>
          <w:rFonts w:eastAsia="Times New Roman" w:cstheme="minorHAnsi"/>
          <w:lang w:val="en-GB"/>
        </w:rPr>
      </w:pPr>
      <w:r w:rsidRPr="005C23E4">
        <w:rPr>
          <w:rFonts w:eastAsia="Times New Roman" w:cstheme="minorHAnsi"/>
          <w:b/>
          <w:bCs/>
          <w:lang w:eastAsia="en-CA"/>
        </w:rPr>
        <w:t>Capacity</w:t>
      </w:r>
      <w:r w:rsidRPr="00C024A4">
        <w:rPr>
          <w:rFonts w:eastAsia="Times New Roman" w:cstheme="minorHAnsi"/>
          <w:b/>
          <w:bCs/>
          <w:lang w:val="en-GB"/>
        </w:rPr>
        <w:t xml:space="preserve"> </w:t>
      </w:r>
      <w:r w:rsidRPr="0006488D">
        <w:rPr>
          <w:rFonts w:eastAsia="Times New Roman" w:cstheme="minorHAnsi"/>
          <w:b/>
          <w:bCs/>
          <w:lang w:val="en-GB"/>
        </w:rPr>
        <w:t xml:space="preserve">to investigate and prosecute corruption and maladministration: </w:t>
      </w:r>
      <w:r>
        <w:rPr>
          <w:rFonts w:eastAsia="Times New Roman" w:cstheme="minorHAnsi"/>
          <w:lang w:val="en-GB"/>
        </w:rPr>
        <w:t>The objective of the sub-</w:t>
      </w:r>
      <w:r w:rsidRPr="0006488D">
        <w:rPr>
          <w:rFonts w:eastAsia="Times New Roman" w:cstheme="minorHAnsi"/>
          <w:lang w:val="en-GB"/>
        </w:rPr>
        <w:t>output was to strengthen the capacity at all level</w:t>
      </w:r>
      <w:r w:rsidR="004D7264">
        <w:rPr>
          <w:rFonts w:eastAsia="Times New Roman" w:cstheme="minorHAnsi"/>
          <w:lang w:val="en-GB"/>
        </w:rPr>
        <w:t>s</w:t>
      </w:r>
      <w:r w:rsidRPr="0006488D">
        <w:rPr>
          <w:rFonts w:eastAsia="Times New Roman" w:cstheme="minorHAnsi"/>
          <w:lang w:val="en-GB"/>
        </w:rPr>
        <w:t xml:space="preserve"> of government to effectively prevent, investigate and prosecute corruption and maladministration but both baseline and target was not set. A public perception on the prevalence of corruption in the country was planned. The measurement was by TI Corruption Perception Index. The baseline set was TI rank 107/180 and an improvement in perception was 35% in 2017. The target was set at 100 top countries in rank and increase in perception average </w:t>
      </w:r>
      <w:r w:rsidRPr="0006488D">
        <w:rPr>
          <w:rFonts w:eastAsia="Times New Roman" w:cstheme="minorHAnsi"/>
          <w:lang w:val="en-GB"/>
        </w:rPr>
        <w:lastRenderedPageBreak/>
        <w:t>percentage of 45%. An improvement in citizens' corruption perception was planned to be tracked. The baseline was to be decided after the FEACC national perception survey report and the target was set at 20% increase in public perception from the baseline. Since there wasn’t baseline and target, and evidence on this was not found in reports and interview narratives, the achievement was not rated for this specific indicator. A plan was set to clear corruption and maladministration (including the outstanding) cases within a year in number of cases (in percentage rate). The baseline was set at 55.5% for FEACC, at 71% for EIO and at 62% for selected regions in 2016. The target was set at 90% for FEACC, at 95% for EIO and at 90% for selection regions. Since evidence was not found for this specific indicator, the achievement was not rated. Th</w:t>
      </w:r>
      <w:r>
        <w:rPr>
          <w:rFonts w:eastAsia="Times New Roman" w:cstheme="minorHAnsi"/>
          <w:lang w:val="en-GB"/>
        </w:rPr>
        <w:t>e</w:t>
      </w:r>
      <w:r w:rsidRPr="0006488D">
        <w:rPr>
          <w:rFonts w:eastAsia="Times New Roman" w:cstheme="minorHAnsi"/>
          <w:lang w:val="en-GB"/>
        </w:rPr>
        <w:t xml:space="preserve"> second output was planned by 3 IPs; namely, the FEACC, EIO and CCI. The GDPP achieve</w:t>
      </w:r>
      <w:r>
        <w:rPr>
          <w:rFonts w:eastAsia="Times New Roman" w:cstheme="minorHAnsi"/>
          <w:lang w:val="en-GB"/>
        </w:rPr>
        <w:t>d results on the target for sub-</w:t>
      </w:r>
      <w:r w:rsidRPr="0006488D">
        <w:rPr>
          <w:rFonts w:eastAsia="Times New Roman" w:cstheme="minorHAnsi"/>
          <w:lang w:val="en-GB"/>
        </w:rPr>
        <w:t>output 2.1. Out of 19 activities planned, all 19 were accomplished.</w:t>
      </w:r>
      <w:r>
        <w:rPr>
          <w:rFonts w:eastAsia="Times New Roman" w:cstheme="minorHAnsi"/>
          <w:lang w:val="en-GB"/>
        </w:rPr>
        <w:t xml:space="preserve"> The overall target in this sub-</w:t>
      </w:r>
      <w:r w:rsidRPr="0006488D">
        <w:rPr>
          <w:rFonts w:eastAsia="Times New Roman" w:cstheme="minorHAnsi"/>
          <w:lang w:val="en-GB"/>
        </w:rPr>
        <w:t>output is achieved by 100% and the ach</w:t>
      </w:r>
      <w:r>
        <w:rPr>
          <w:rFonts w:eastAsia="Times New Roman" w:cstheme="minorHAnsi"/>
          <w:lang w:val="en-GB"/>
        </w:rPr>
        <w:t>ievement was on the target. Sub-</w:t>
      </w:r>
      <w:r w:rsidRPr="0006488D">
        <w:rPr>
          <w:rFonts w:eastAsia="Times New Roman" w:cstheme="minorHAnsi"/>
          <w:lang w:val="en-GB"/>
        </w:rPr>
        <w:t>output 2.2 aims at installing/strengthening complaints handling and feedback mechanisms for ensuring accountability and customers’/clients’ satisfaction, with e</w:t>
      </w:r>
      <w:r>
        <w:rPr>
          <w:rFonts w:eastAsia="Times New Roman" w:cstheme="minorHAnsi"/>
          <w:lang w:val="en-GB"/>
        </w:rPr>
        <w:t>mphasis on women and youth. Sub-</w:t>
      </w:r>
      <w:r w:rsidRPr="0006488D">
        <w:rPr>
          <w:rFonts w:eastAsia="Times New Roman" w:cstheme="minorHAnsi"/>
          <w:lang w:val="en-GB"/>
        </w:rPr>
        <w:t>output 2.3 aims at promoting awareness of information providers and service seekers for ensuring quality service provision in the IPs selected. From the evaluation data results, the GDPP achieve</w:t>
      </w:r>
      <w:r>
        <w:rPr>
          <w:rFonts w:eastAsia="Times New Roman" w:cstheme="minorHAnsi"/>
          <w:lang w:val="en-GB"/>
        </w:rPr>
        <w:t>d results on the target for sub-</w:t>
      </w:r>
      <w:r w:rsidRPr="0006488D">
        <w:rPr>
          <w:rFonts w:eastAsia="Times New Roman" w:cstheme="minorHAnsi"/>
          <w:lang w:val="en-GB"/>
        </w:rPr>
        <w:t>outpu</w:t>
      </w:r>
      <w:r>
        <w:rPr>
          <w:rFonts w:eastAsia="Times New Roman" w:cstheme="minorHAnsi"/>
          <w:lang w:val="en-GB"/>
        </w:rPr>
        <w:t>ts 2.2 and 2.3 as well. For sub-</w:t>
      </w:r>
      <w:r w:rsidRPr="0006488D">
        <w:rPr>
          <w:rFonts w:eastAsia="Times New Roman" w:cstheme="minorHAnsi"/>
          <w:lang w:val="en-GB"/>
        </w:rPr>
        <w:t>output 2.2, out of 3 activities, all three (1</w:t>
      </w:r>
      <w:r>
        <w:rPr>
          <w:rFonts w:eastAsia="Times New Roman" w:cstheme="minorHAnsi"/>
          <w:lang w:val="en-GB"/>
        </w:rPr>
        <w:t>00%) were accomplished. For sub-</w:t>
      </w:r>
      <w:r w:rsidRPr="0006488D">
        <w:rPr>
          <w:rFonts w:eastAsia="Times New Roman" w:cstheme="minorHAnsi"/>
          <w:lang w:val="en-GB"/>
        </w:rPr>
        <w:t>output 2.3, the activity planned (6) were accomplished (100%) and the target achievement was 100%. In average, the achievement output two was on the target, which is 100% and was effective.</w:t>
      </w:r>
    </w:p>
    <w:p w14:paraId="1783EBFA" w14:textId="77777777" w:rsidR="00474D71" w:rsidRDefault="00474D71" w:rsidP="00787CBA">
      <w:pPr>
        <w:pStyle w:val="ListParagraph"/>
        <w:spacing w:after="0" w:line="240" w:lineRule="auto"/>
        <w:ind w:left="357"/>
        <w:jc w:val="both"/>
        <w:rPr>
          <w:rFonts w:eastAsia="Times New Roman" w:cstheme="minorHAnsi"/>
          <w:lang w:val="en-GB"/>
        </w:rPr>
      </w:pPr>
    </w:p>
    <w:p w14:paraId="3B008780" w14:textId="60890195" w:rsidR="00474D71" w:rsidRDefault="00474D71" w:rsidP="00787CBA">
      <w:pPr>
        <w:pStyle w:val="ListParagraph"/>
        <w:numPr>
          <w:ilvl w:val="0"/>
          <w:numId w:val="17"/>
        </w:numPr>
        <w:spacing w:line="240" w:lineRule="auto"/>
        <w:ind w:left="357"/>
        <w:jc w:val="both"/>
        <w:rPr>
          <w:rFonts w:eastAsia="Times New Roman" w:cstheme="minorHAnsi"/>
          <w:lang w:val="en-GB"/>
        </w:rPr>
      </w:pPr>
      <w:r w:rsidRPr="005C23E4">
        <w:rPr>
          <w:rFonts w:eastAsia="Times New Roman" w:cstheme="minorHAnsi"/>
          <w:b/>
          <w:bCs/>
          <w:lang w:eastAsia="en-CA"/>
        </w:rPr>
        <w:t>Improvement</w:t>
      </w:r>
      <w:r w:rsidRPr="00C024A4">
        <w:rPr>
          <w:rFonts w:eastAsia="Times New Roman" w:cstheme="minorHAnsi"/>
          <w:b/>
          <w:bCs/>
          <w:lang w:val="en-GB"/>
        </w:rPr>
        <w:t xml:space="preserve"> in</w:t>
      </w:r>
      <w:r w:rsidRPr="00623ECC">
        <w:rPr>
          <w:rFonts w:eastAsia="Times New Roman" w:cstheme="minorHAnsi"/>
          <w:b/>
          <w:bCs/>
          <w:lang w:val="en-GB"/>
        </w:rPr>
        <w:t xml:space="preserve"> electoral legal and institutional frameworks: </w:t>
      </w:r>
      <w:r>
        <w:rPr>
          <w:rFonts w:eastAsia="Times New Roman" w:cstheme="minorHAnsi"/>
          <w:lang w:val="en-GB"/>
        </w:rPr>
        <w:t>This sub-</w:t>
      </w:r>
      <w:r w:rsidRPr="00623ECC">
        <w:rPr>
          <w:rFonts w:eastAsia="Times New Roman" w:cstheme="minorHAnsi"/>
          <w:lang w:val="en-GB"/>
        </w:rPr>
        <w:t>output aims at ensuring inclusion and participation of citizens in governance affairs in the country. There was no basel</w:t>
      </w:r>
      <w:r>
        <w:rPr>
          <w:rFonts w:eastAsia="Times New Roman" w:cstheme="minorHAnsi"/>
          <w:lang w:val="en-GB"/>
        </w:rPr>
        <w:t>ine and target set for this sub-</w:t>
      </w:r>
      <w:r w:rsidRPr="00623ECC">
        <w:rPr>
          <w:rFonts w:eastAsia="Times New Roman" w:cstheme="minorHAnsi"/>
          <w:lang w:val="en-GB"/>
        </w:rPr>
        <w:t xml:space="preserve">output. Increase in women MPs at federal parliaments and regional councils was planned. The baseline was 33/3% in HoF, 38.8% in HoPR and 40.7% (average) in </w:t>
      </w:r>
      <w:proofErr w:type="spellStart"/>
      <w:r w:rsidRPr="00623ECC">
        <w:rPr>
          <w:rFonts w:eastAsia="Times New Roman" w:cstheme="minorHAnsi"/>
          <w:lang w:val="en-GB"/>
        </w:rPr>
        <w:t>RECs.</w:t>
      </w:r>
      <w:proofErr w:type="spellEnd"/>
      <w:r w:rsidRPr="00623ECC">
        <w:rPr>
          <w:rFonts w:eastAsia="Times New Roman" w:cstheme="minorHAnsi"/>
          <w:lang w:val="en-GB"/>
        </w:rPr>
        <w:t xml:space="preserve"> The target was set at 35% in HoF, 42% in HoPR and 45% in </w:t>
      </w:r>
      <w:proofErr w:type="spellStart"/>
      <w:r w:rsidRPr="00623ECC">
        <w:rPr>
          <w:rFonts w:eastAsia="Times New Roman" w:cstheme="minorHAnsi"/>
          <w:lang w:val="en-GB"/>
        </w:rPr>
        <w:t>RECs.</w:t>
      </w:r>
      <w:proofErr w:type="spellEnd"/>
      <w:r w:rsidRPr="00623ECC">
        <w:rPr>
          <w:rFonts w:eastAsia="Times New Roman" w:cstheme="minorHAnsi"/>
          <w:lang w:val="en-GB"/>
        </w:rPr>
        <w:t xml:space="preserve"> Also, the HoPR and HOF planned to conduct gender gap assessments, </w:t>
      </w:r>
      <w:proofErr w:type="gramStart"/>
      <w:r w:rsidRPr="00623ECC">
        <w:rPr>
          <w:rFonts w:eastAsia="Times New Roman" w:cstheme="minorHAnsi"/>
          <w:lang w:val="en-GB"/>
        </w:rPr>
        <w:t>validated</w:t>
      </w:r>
      <w:proofErr w:type="gramEnd"/>
      <w:r w:rsidRPr="00623ECC">
        <w:rPr>
          <w:rFonts w:eastAsia="Times New Roman" w:cstheme="minorHAnsi"/>
          <w:lang w:val="en-GB"/>
        </w:rPr>
        <w:t xml:space="preserve"> and produced handbook (3) and a gender mainstreaming guideline. The guideline planed was not implemented. In line with the target, since women representation in the HoF, HoPR and RECs were not reported, the achievement for this specific measure was not rated. Availing a revised electoral law was planned by NEBE. The baseline was that there no revised electoral law exists and the target set was to have a revised electoral law before 2020 general elections. This was accomplished and the achievement was 100%. Networking and good governance collaborative forums were planned. But both the baseline and target were not set. The EIO planned 3 networking and good governance collaborative forums and accomplished 2 forums by engaging 139 participants. Since the baseline and target was not set, the achievement was not rated, but from the EIO performance, the achievement was 75%. An effective electoral complaint handling and dispute resolution system was planned, </w:t>
      </w:r>
      <w:proofErr w:type="gramStart"/>
      <w:r w:rsidRPr="00623ECC">
        <w:rPr>
          <w:rFonts w:eastAsia="Times New Roman" w:cstheme="minorHAnsi"/>
          <w:lang w:val="en-GB"/>
        </w:rPr>
        <w:t>adopted</w:t>
      </w:r>
      <w:proofErr w:type="gramEnd"/>
      <w:r w:rsidRPr="00623ECC">
        <w:rPr>
          <w:rFonts w:eastAsia="Times New Roman" w:cstheme="minorHAnsi"/>
          <w:lang w:val="en-GB"/>
        </w:rPr>
        <w:t xml:space="preserve"> and implemented. The baseline was TBD in 2017 and the target was set to be “high” in 2021 though the measure for the scale was not clearly presented. Thus, the achievement in here was not rated. An improved citizen voice and participation in decision-making processes was planned. The baseline and target were not set. From the PWB plan, EHRC planned 80 CSOs (30% working on diversity) to participate in platforms/forums to promote citizens participation. The EHRC engaged 82 CSOs in civic engagement and feedback forums and engaged 124 individual participants from the 82 CSOs. The achievement is 102.5% and additionally participated 124 individuals outside the planned target.</w:t>
      </w:r>
    </w:p>
    <w:p w14:paraId="030EA084" w14:textId="6E853692" w:rsidR="00787CBA" w:rsidRDefault="00787CBA" w:rsidP="00787CBA">
      <w:pPr>
        <w:spacing w:line="240" w:lineRule="auto"/>
        <w:jc w:val="both"/>
        <w:rPr>
          <w:rFonts w:eastAsia="Times New Roman" w:cstheme="minorHAnsi"/>
          <w:lang w:val="en-GB"/>
        </w:rPr>
      </w:pPr>
    </w:p>
    <w:p w14:paraId="078B7581" w14:textId="0C279016" w:rsidR="00787CBA" w:rsidRDefault="00787CBA" w:rsidP="00787CBA">
      <w:pPr>
        <w:spacing w:line="240" w:lineRule="auto"/>
        <w:jc w:val="both"/>
        <w:rPr>
          <w:rFonts w:eastAsia="Times New Roman" w:cstheme="minorHAnsi"/>
          <w:lang w:val="en-GB"/>
        </w:rPr>
      </w:pPr>
    </w:p>
    <w:p w14:paraId="64CF54A3" w14:textId="77777777" w:rsidR="00787CBA" w:rsidRPr="00787CBA" w:rsidRDefault="00787CBA" w:rsidP="00787CBA">
      <w:pPr>
        <w:spacing w:line="240" w:lineRule="auto"/>
        <w:jc w:val="both"/>
        <w:rPr>
          <w:rFonts w:eastAsia="Times New Roman" w:cstheme="minorHAnsi"/>
          <w:lang w:val="en-GB"/>
        </w:rPr>
      </w:pPr>
    </w:p>
    <w:p w14:paraId="1E5AFD63" w14:textId="1D3F7C74" w:rsidR="00474D71" w:rsidRPr="00225401" w:rsidRDefault="00474D71" w:rsidP="00474D71">
      <w:pPr>
        <w:pStyle w:val="Caption"/>
        <w:rPr>
          <w:rFonts w:cstheme="minorHAnsi"/>
          <w:i w:val="0"/>
          <w:iCs w:val="0"/>
          <w:sz w:val="22"/>
          <w:szCs w:val="22"/>
        </w:rPr>
      </w:pPr>
      <w:r w:rsidRPr="00225401">
        <w:rPr>
          <w:rFonts w:cstheme="minorHAnsi"/>
          <w:i w:val="0"/>
          <w:iCs w:val="0"/>
          <w:sz w:val="22"/>
          <w:szCs w:val="22"/>
        </w:rPr>
        <w:lastRenderedPageBreak/>
        <w:t xml:space="preserve">Table </w:t>
      </w:r>
      <w:r w:rsidRPr="00225401">
        <w:rPr>
          <w:rFonts w:cstheme="minorHAnsi"/>
          <w:i w:val="0"/>
          <w:iCs w:val="0"/>
          <w:sz w:val="22"/>
          <w:szCs w:val="22"/>
        </w:rPr>
        <w:fldChar w:fldCharType="begin"/>
      </w:r>
      <w:r w:rsidRPr="00225401">
        <w:rPr>
          <w:rFonts w:cstheme="minorHAnsi"/>
          <w:i w:val="0"/>
          <w:iCs w:val="0"/>
          <w:sz w:val="22"/>
          <w:szCs w:val="22"/>
        </w:rPr>
        <w:instrText xml:space="preserve"> SEQ Table \* ARABIC </w:instrText>
      </w:r>
      <w:r w:rsidRPr="00225401">
        <w:rPr>
          <w:rFonts w:cstheme="minorHAnsi"/>
          <w:i w:val="0"/>
          <w:iCs w:val="0"/>
          <w:sz w:val="22"/>
          <w:szCs w:val="22"/>
        </w:rPr>
        <w:fldChar w:fldCharType="separate"/>
      </w:r>
      <w:r w:rsidR="006240B3">
        <w:rPr>
          <w:rFonts w:cstheme="minorHAnsi"/>
          <w:i w:val="0"/>
          <w:iCs w:val="0"/>
          <w:noProof/>
          <w:sz w:val="22"/>
          <w:szCs w:val="22"/>
        </w:rPr>
        <w:t>4</w:t>
      </w:r>
      <w:r w:rsidRPr="00225401">
        <w:rPr>
          <w:rFonts w:cstheme="minorHAnsi"/>
          <w:i w:val="0"/>
          <w:iCs w:val="0"/>
          <w:sz w:val="22"/>
          <w:szCs w:val="22"/>
        </w:rPr>
        <w:fldChar w:fldCharType="end"/>
      </w:r>
      <w:r>
        <w:rPr>
          <w:rFonts w:cstheme="minorHAnsi"/>
          <w:i w:val="0"/>
          <w:iCs w:val="0"/>
          <w:sz w:val="22"/>
          <w:szCs w:val="22"/>
        </w:rPr>
        <w:t xml:space="preserve"> – Achievements of Sub-</w:t>
      </w:r>
      <w:r w:rsidRPr="00225401">
        <w:rPr>
          <w:rFonts w:cstheme="minorHAnsi"/>
          <w:i w:val="0"/>
          <w:iCs w:val="0"/>
          <w:sz w:val="22"/>
          <w:szCs w:val="22"/>
        </w:rPr>
        <w:t>Outputs 3.1, 3.2 and 3.3</w:t>
      </w:r>
    </w:p>
    <w:tbl>
      <w:tblPr>
        <w:tblStyle w:val="TableGrid"/>
        <w:tblW w:w="5000" w:type="pct"/>
        <w:tblLook w:val="04A0" w:firstRow="1" w:lastRow="0" w:firstColumn="1" w:lastColumn="0" w:noHBand="0" w:noVBand="1"/>
      </w:tblPr>
      <w:tblGrid>
        <w:gridCol w:w="2819"/>
        <w:gridCol w:w="1663"/>
        <w:gridCol w:w="1736"/>
        <w:gridCol w:w="1735"/>
        <w:gridCol w:w="1397"/>
      </w:tblGrid>
      <w:tr w:rsidR="00787CBA" w:rsidRPr="005B2583" w14:paraId="38F82CF6" w14:textId="77777777" w:rsidTr="00787CBA">
        <w:tc>
          <w:tcPr>
            <w:tcW w:w="1507" w:type="pct"/>
            <w:shd w:val="clear" w:color="auto" w:fill="8EAADB" w:themeFill="accent5" w:themeFillTint="99"/>
          </w:tcPr>
          <w:p w14:paraId="23B7882C" w14:textId="77777777" w:rsidR="00787CBA" w:rsidRPr="00225401" w:rsidRDefault="00787CBA" w:rsidP="00085813">
            <w:pPr>
              <w:rPr>
                <w:rFonts w:eastAsia="Times New Roman" w:cstheme="minorHAnsi"/>
              </w:rPr>
            </w:pPr>
            <w:r>
              <w:rPr>
                <w:rFonts w:eastAsia="Times New Roman" w:cstheme="minorHAnsi"/>
              </w:rPr>
              <w:t>Sub-</w:t>
            </w:r>
            <w:r w:rsidRPr="00225401">
              <w:rPr>
                <w:rFonts w:eastAsia="Times New Roman" w:cstheme="minorHAnsi"/>
              </w:rPr>
              <w:t>Outputs of Output 3</w:t>
            </w:r>
          </w:p>
        </w:tc>
        <w:tc>
          <w:tcPr>
            <w:tcW w:w="889" w:type="pct"/>
            <w:shd w:val="clear" w:color="auto" w:fill="8EAADB" w:themeFill="accent5" w:themeFillTint="99"/>
          </w:tcPr>
          <w:p w14:paraId="52EFC538" w14:textId="77777777" w:rsidR="00787CBA" w:rsidRPr="00225401" w:rsidRDefault="00787CBA" w:rsidP="00085813">
            <w:pPr>
              <w:rPr>
                <w:rFonts w:eastAsia="Times New Roman" w:cstheme="minorHAnsi"/>
              </w:rPr>
            </w:pPr>
            <w:r w:rsidRPr="00225401">
              <w:rPr>
                <w:rFonts w:eastAsia="Times New Roman" w:cstheme="minorHAnsi"/>
                <w:b/>
                <w:bCs/>
              </w:rPr>
              <w:t>Target activities planned</w:t>
            </w:r>
          </w:p>
        </w:tc>
        <w:tc>
          <w:tcPr>
            <w:tcW w:w="928" w:type="pct"/>
            <w:shd w:val="clear" w:color="auto" w:fill="8EAADB" w:themeFill="accent5" w:themeFillTint="99"/>
          </w:tcPr>
          <w:p w14:paraId="71FAD38D" w14:textId="77777777" w:rsidR="00787CBA" w:rsidRPr="00225401" w:rsidRDefault="00787CBA" w:rsidP="00085813">
            <w:pPr>
              <w:rPr>
                <w:rFonts w:eastAsia="Times New Roman" w:cstheme="minorHAnsi"/>
                <w:b/>
                <w:bCs/>
              </w:rPr>
            </w:pPr>
          </w:p>
        </w:tc>
        <w:tc>
          <w:tcPr>
            <w:tcW w:w="928" w:type="pct"/>
            <w:shd w:val="clear" w:color="auto" w:fill="8EAADB" w:themeFill="accent5" w:themeFillTint="99"/>
          </w:tcPr>
          <w:p w14:paraId="536DC8E3" w14:textId="53C970D7" w:rsidR="00787CBA" w:rsidRPr="00225401" w:rsidRDefault="00787CBA" w:rsidP="00085813">
            <w:pPr>
              <w:rPr>
                <w:rFonts w:eastAsia="Times New Roman" w:cstheme="minorHAnsi"/>
              </w:rPr>
            </w:pPr>
            <w:r w:rsidRPr="00225401">
              <w:rPr>
                <w:rFonts w:eastAsia="Times New Roman" w:cstheme="minorHAnsi"/>
                <w:b/>
                <w:bCs/>
              </w:rPr>
              <w:t>Target activities accomplished</w:t>
            </w:r>
          </w:p>
        </w:tc>
        <w:tc>
          <w:tcPr>
            <w:tcW w:w="747" w:type="pct"/>
            <w:shd w:val="clear" w:color="auto" w:fill="8EAADB" w:themeFill="accent5" w:themeFillTint="99"/>
          </w:tcPr>
          <w:p w14:paraId="35C09A9C" w14:textId="77777777" w:rsidR="00787CBA" w:rsidRPr="00225401" w:rsidRDefault="00787CBA" w:rsidP="00085813">
            <w:pPr>
              <w:rPr>
                <w:rFonts w:eastAsia="Times New Roman" w:cstheme="minorHAnsi"/>
              </w:rPr>
            </w:pPr>
            <w:r w:rsidRPr="00225401">
              <w:rPr>
                <w:rFonts w:eastAsia="Times New Roman" w:cstheme="minorHAnsi"/>
              </w:rPr>
              <w:t>Achievement Rating (%)</w:t>
            </w:r>
          </w:p>
        </w:tc>
      </w:tr>
      <w:tr w:rsidR="00787CBA" w:rsidRPr="005B2583" w14:paraId="123CEFB9" w14:textId="77777777" w:rsidTr="00787CBA">
        <w:tc>
          <w:tcPr>
            <w:tcW w:w="1507" w:type="pct"/>
          </w:tcPr>
          <w:p w14:paraId="23E1AE7D" w14:textId="77777777" w:rsidR="00787CBA" w:rsidRPr="00225401" w:rsidRDefault="00787CBA" w:rsidP="00085813">
            <w:pPr>
              <w:rPr>
                <w:rFonts w:eastAsia="Times New Roman" w:cstheme="minorHAnsi"/>
              </w:rPr>
            </w:pPr>
            <w:r w:rsidRPr="00225401">
              <w:rPr>
                <w:rFonts w:eastAsia="Times New Roman" w:cstheme="minorHAnsi"/>
              </w:rPr>
              <w:t>3.1. Improvement in electoral legal and institutional frameworks</w:t>
            </w:r>
          </w:p>
        </w:tc>
        <w:tc>
          <w:tcPr>
            <w:tcW w:w="889" w:type="pct"/>
          </w:tcPr>
          <w:p w14:paraId="23EFB213" w14:textId="77777777" w:rsidR="00787CBA" w:rsidRPr="00225401" w:rsidRDefault="00787CBA" w:rsidP="00085813">
            <w:pPr>
              <w:rPr>
                <w:rFonts w:eastAsia="Times New Roman" w:cstheme="minorHAnsi"/>
                <w:b/>
                <w:bCs/>
              </w:rPr>
            </w:pPr>
            <w:r w:rsidRPr="00225401">
              <w:rPr>
                <w:rFonts w:eastAsia="Times New Roman" w:cstheme="minorHAnsi"/>
                <w:b/>
                <w:bCs/>
              </w:rPr>
              <w:t>91</w:t>
            </w:r>
          </w:p>
        </w:tc>
        <w:tc>
          <w:tcPr>
            <w:tcW w:w="928" w:type="pct"/>
          </w:tcPr>
          <w:p w14:paraId="7D4120DF" w14:textId="77777777" w:rsidR="00787CBA" w:rsidRPr="00225401" w:rsidRDefault="00787CBA" w:rsidP="00085813">
            <w:pPr>
              <w:rPr>
                <w:rFonts w:eastAsia="Times New Roman" w:cstheme="minorHAnsi"/>
                <w:b/>
                <w:bCs/>
              </w:rPr>
            </w:pPr>
          </w:p>
        </w:tc>
        <w:tc>
          <w:tcPr>
            <w:tcW w:w="928" w:type="pct"/>
          </w:tcPr>
          <w:p w14:paraId="3D8F5360" w14:textId="311E94D9" w:rsidR="00787CBA" w:rsidRPr="00225401" w:rsidRDefault="00787CBA" w:rsidP="00085813">
            <w:pPr>
              <w:rPr>
                <w:rFonts w:eastAsia="Times New Roman" w:cstheme="minorHAnsi"/>
                <w:b/>
                <w:bCs/>
              </w:rPr>
            </w:pPr>
            <w:r w:rsidRPr="00225401">
              <w:rPr>
                <w:rFonts w:eastAsia="Times New Roman" w:cstheme="minorHAnsi"/>
                <w:b/>
                <w:bCs/>
              </w:rPr>
              <w:t>79</w:t>
            </w:r>
          </w:p>
        </w:tc>
        <w:tc>
          <w:tcPr>
            <w:tcW w:w="747" w:type="pct"/>
            <w:shd w:val="clear" w:color="auto" w:fill="00B050"/>
          </w:tcPr>
          <w:p w14:paraId="3E7E66DD" w14:textId="77777777" w:rsidR="00787CBA" w:rsidRPr="00225401" w:rsidRDefault="00787CBA" w:rsidP="00085813">
            <w:pPr>
              <w:rPr>
                <w:rFonts w:eastAsia="Times New Roman" w:cstheme="minorHAnsi"/>
                <w:b/>
                <w:bCs/>
              </w:rPr>
            </w:pPr>
            <w:r w:rsidRPr="00225401">
              <w:rPr>
                <w:rFonts w:eastAsia="Times New Roman" w:cstheme="minorHAnsi"/>
                <w:b/>
                <w:bCs/>
              </w:rPr>
              <w:t>86.8%</w:t>
            </w:r>
          </w:p>
        </w:tc>
      </w:tr>
      <w:tr w:rsidR="00787CBA" w:rsidRPr="005B2583" w14:paraId="4AA9FB9B" w14:textId="77777777" w:rsidTr="00787CBA">
        <w:tc>
          <w:tcPr>
            <w:tcW w:w="1507" w:type="pct"/>
          </w:tcPr>
          <w:p w14:paraId="46C551F7" w14:textId="77777777" w:rsidR="00787CBA" w:rsidRPr="00225401" w:rsidRDefault="00787CBA" w:rsidP="00085813">
            <w:pPr>
              <w:rPr>
                <w:rFonts w:eastAsia="Times New Roman" w:cstheme="minorHAnsi"/>
              </w:rPr>
            </w:pPr>
            <w:r w:rsidRPr="00225401">
              <w:rPr>
                <w:rFonts w:eastAsia="Times New Roman" w:cstheme="minorHAnsi"/>
              </w:rPr>
              <w:t>3.2. Enhanced role and participation of women and youth in politics</w:t>
            </w:r>
          </w:p>
        </w:tc>
        <w:tc>
          <w:tcPr>
            <w:tcW w:w="889" w:type="pct"/>
          </w:tcPr>
          <w:p w14:paraId="1AE64EB1" w14:textId="77777777" w:rsidR="00787CBA" w:rsidRPr="00225401" w:rsidRDefault="00787CBA" w:rsidP="00085813">
            <w:pPr>
              <w:rPr>
                <w:rFonts w:eastAsia="Times New Roman" w:cstheme="minorHAnsi"/>
                <w:b/>
                <w:bCs/>
              </w:rPr>
            </w:pPr>
            <w:r w:rsidRPr="00225401">
              <w:rPr>
                <w:rFonts w:eastAsia="Times New Roman" w:cstheme="minorHAnsi"/>
                <w:b/>
                <w:bCs/>
              </w:rPr>
              <w:t>97</w:t>
            </w:r>
            <w:r w:rsidRPr="00225401">
              <w:rPr>
                <w:rFonts w:eastAsia="Times New Roman" w:cstheme="minorHAnsi"/>
              </w:rPr>
              <w:t xml:space="preserve"> </w:t>
            </w:r>
          </w:p>
        </w:tc>
        <w:tc>
          <w:tcPr>
            <w:tcW w:w="928" w:type="pct"/>
          </w:tcPr>
          <w:p w14:paraId="206D740C" w14:textId="77777777" w:rsidR="00787CBA" w:rsidRPr="00225401" w:rsidRDefault="00787CBA" w:rsidP="00085813">
            <w:pPr>
              <w:rPr>
                <w:rFonts w:eastAsia="Times New Roman" w:cstheme="minorHAnsi"/>
                <w:b/>
                <w:bCs/>
              </w:rPr>
            </w:pPr>
          </w:p>
        </w:tc>
        <w:tc>
          <w:tcPr>
            <w:tcW w:w="928" w:type="pct"/>
          </w:tcPr>
          <w:p w14:paraId="1065AD9A" w14:textId="002B83D7" w:rsidR="00787CBA" w:rsidRPr="00225401" w:rsidRDefault="00787CBA" w:rsidP="00085813">
            <w:pPr>
              <w:rPr>
                <w:rFonts w:eastAsia="Times New Roman" w:cstheme="minorHAnsi"/>
                <w:b/>
                <w:bCs/>
              </w:rPr>
            </w:pPr>
            <w:r w:rsidRPr="00225401">
              <w:rPr>
                <w:rFonts w:eastAsia="Times New Roman" w:cstheme="minorHAnsi"/>
                <w:b/>
                <w:bCs/>
              </w:rPr>
              <w:t>99</w:t>
            </w:r>
          </w:p>
        </w:tc>
        <w:tc>
          <w:tcPr>
            <w:tcW w:w="747" w:type="pct"/>
            <w:shd w:val="clear" w:color="auto" w:fill="00B050"/>
          </w:tcPr>
          <w:p w14:paraId="27C1A37F" w14:textId="77777777" w:rsidR="00787CBA" w:rsidRPr="00225401" w:rsidRDefault="00787CBA" w:rsidP="00085813">
            <w:pPr>
              <w:rPr>
                <w:rFonts w:eastAsia="Times New Roman" w:cstheme="minorHAnsi"/>
                <w:b/>
                <w:bCs/>
              </w:rPr>
            </w:pPr>
            <w:r w:rsidRPr="00225401">
              <w:rPr>
                <w:rFonts w:eastAsia="Times New Roman" w:cstheme="minorHAnsi"/>
                <w:b/>
                <w:bCs/>
              </w:rPr>
              <w:t>102.1%</w:t>
            </w:r>
          </w:p>
        </w:tc>
      </w:tr>
      <w:tr w:rsidR="00787CBA" w:rsidRPr="005B2583" w14:paraId="6CC8A303" w14:textId="77777777" w:rsidTr="00787CBA">
        <w:tc>
          <w:tcPr>
            <w:tcW w:w="1507" w:type="pct"/>
          </w:tcPr>
          <w:p w14:paraId="7626332F" w14:textId="77777777" w:rsidR="00787CBA" w:rsidRPr="00225401" w:rsidRDefault="00787CBA" w:rsidP="00085813">
            <w:pPr>
              <w:rPr>
                <w:rFonts w:eastAsia="Times New Roman" w:cstheme="minorHAnsi"/>
              </w:rPr>
            </w:pPr>
            <w:r w:rsidRPr="00225401">
              <w:rPr>
                <w:rFonts w:eastAsia="Times New Roman" w:cstheme="minorHAnsi"/>
              </w:rPr>
              <w:t>Average</w:t>
            </w:r>
          </w:p>
        </w:tc>
        <w:tc>
          <w:tcPr>
            <w:tcW w:w="889" w:type="pct"/>
          </w:tcPr>
          <w:p w14:paraId="32869606" w14:textId="77777777" w:rsidR="00787CBA" w:rsidRPr="00225401" w:rsidRDefault="00787CBA" w:rsidP="00085813">
            <w:pPr>
              <w:rPr>
                <w:rFonts w:eastAsia="Times New Roman" w:cstheme="minorHAnsi"/>
                <w:b/>
                <w:bCs/>
              </w:rPr>
            </w:pPr>
            <w:r w:rsidRPr="00225401">
              <w:rPr>
                <w:rFonts w:eastAsia="Times New Roman" w:cstheme="minorHAnsi"/>
                <w:b/>
                <w:bCs/>
              </w:rPr>
              <w:t>188</w:t>
            </w:r>
          </w:p>
        </w:tc>
        <w:tc>
          <w:tcPr>
            <w:tcW w:w="928" w:type="pct"/>
          </w:tcPr>
          <w:p w14:paraId="6D5212C3" w14:textId="77777777" w:rsidR="00787CBA" w:rsidRPr="00225401" w:rsidRDefault="00787CBA" w:rsidP="00085813">
            <w:pPr>
              <w:rPr>
                <w:rFonts w:eastAsia="Times New Roman" w:cstheme="minorHAnsi"/>
                <w:b/>
                <w:bCs/>
              </w:rPr>
            </w:pPr>
          </w:p>
        </w:tc>
        <w:tc>
          <w:tcPr>
            <w:tcW w:w="928" w:type="pct"/>
          </w:tcPr>
          <w:p w14:paraId="70363912" w14:textId="25775058" w:rsidR="00787CBA" w:rsidRPr="00225401" w:rsidRDefault="00787CBA" w:rsidP="00085813">
            <w:pPr>
              <w:rPr>
                <w:rFonts w:eastAsia="Times New Roman" w:cstheme="minorHAnsi"/>
                <w:b/>
                <w:bCs/>
              </w:rPr>
            </w:pPr>
            <w:r w:rsidRPr="00225401">
              <w:rPr>
                <w:rFonts w:eastAsia="Times New Roman" w:cstheme="minorHAnsi"/>
                <w:b/>
                <w:bCs/>
              </w:rPr>
              <w:t>178</w:t>
            </w:r>
          </w:p>
        </w:tc>
        <w:tc>
          <w:tcPr>
            <w:tcW w:w="747" w:type="pct"/>
            <w:shd w:val="clear" w:color="auto" w:fill="00B050"/>
          </w:tcPr>
          <w:p w14:paraId="6B386005" w14:textId="77777777" w:rsidR="00787CBA" w:rsidRPr="00225401" w:rsidRDefault="00787CBA" w:rsidP="00085813">
            <w:pPr>
              <w:rPr>
                <w:rFonts w:eastAsia="Times New Roman" w:cstheme="minorHAnsi"/>
                <w:b/>
                <w:bCs/>
              </w:rPr>
            </w:pPr>
            <w:r w:rsidRPr="00225401">
              <w:rPr>
                <w:rFonts w:eastAsia="Times New Roman" w:cstheme="minorHAnsi"/>
                <w:b/>
                <w:bCs/>
              </w:rPr>
              <w:t>94.7%</w:t>
            </w:r>
          </w:p>
        </w:tc>
      </w:tr>
    </w:tbl>
    <w:p w14:paraId="6822AC63" w14:textId="77777777" w:rsidR="00474D71" w:rsidRDefault="00474D71" w:rsidP="00474D71">
      <w:pPr>
        <w:pStyle w:val="ListParagraph"/>
        <w:spacing w:before="240" w:line="360" w:lineRule="auto"/>
        <w:ind w:left="90"/>
        <w:jc w:val="both"/>
        <w:rPr>
          <w:rFonts w:cstheme="minorHAnsi"/>
        </w:rPr>
      </w:pPr>
      <w:r w:rsidRPr="00225401">
        <w:rPr>
          <w:rFonts w:cstheme="minorHAnsi"/>
        </w:rPr>
        <w:t>Note: Red (below 75</w:t>
      </w:r>
      <w:proofErr w:type="gramStart"/>
      <w:r w:rsidRPr="00225401">
        <w:rPr>
          <w:rFonts w:cstheme="minorHAnsi"/>
        </w:rPr>
        <w:t xml:space="preserve">%)   </w:t>
      </w:r>
      <w:proofErr w:type="gramEnd"/>
      <w:r w:rsidRPr="00225401">
        <w:rPr>
          <w:rFonts w:cstheme="minorHAnsi"/>
        </w:rPr>
        <w:t xml:space="preserve">  Yellow (75 - 89%) Green = Above 90%</w:t>
      </w:r>
    </w:p>
    <w:p w14:paraId="153C4D60" w14:textId="77777777" w:rsidR="00474D71" w:rsidRPr="00225401" w:rsidRDefault="00474D71" w:rsidP="00474D71">
      <w:pPr>
        <w:pStyle w:val="ListParagraph"/>
        <w:spacing w:before="240" w:line="360" w:lineRule="auto"/>
        <w:ind w:left="90"/>
        <w:jc w:val="both"/>
        <w:rPr>
          <w:rFonts w:cstheme="minorHAnsi"/>
        </w:rPr>
      </w:pPr>
    </w:p>
    <w:p w14:paraId="45711592" w14:textId="77777777" w:rsidR="00474D71" w:rsidRDefault="00474D71" w:rsidP="00787CBA">
      <w:pPr>
        <w:pStyle w:val="ListParagraph"/>
        <w:numPr>
          <w:ilvl w:val="0"/>
          <w:numId w:val="17"/>
        </w:numPr>
        <w:spacing w:line="240" w:lineRule="auto"/>
        <w:ind w:left="360"/>
        <w:jc w:val="both"/>
        <w:rPr>
          <w:rFonts w:eastAsia="Times New Roman" w:cstheme="minorHAnsi"/>
          <w:lang w:val="en-GB"/>
        </w:rPr>
      </w:pPr>
      <w:r w:rsidRPr="00225401">
        <w:rPr>
          <w:rFonts w:eastAsia="Times New Roman" w:cstheme="minorHAnsi"/>
          <w:lang w:val="en-GB"/>
        </w:rPr>
        <w:t xml:space="preserve">Increasing voters’ turnout was planned by NEBE but both the baseline and target was not set. In this specific activity, the NEBE distributed 10,000 braille and 15,000 video copies, addressed 7.4 million vulnerable groups via the media, sensitized 13 voter education providers, 3 election observation sessions for 3 CSOs, conducted 1 gender mapping study with political parties, advocacy work for 125 participants from diverse groups, 3 awareness creation program and 1 national forum on anti-hate speech. The NEBE transcribed and published the electoral law in sign language. Since a baseline and data was not set, the achievement cannot be evaluated. Increase in women MPs representation at federal parliaments and regional councils were planned. The baseline in 2017 was 32% for HoF, 38.8% for HoPR and 40.7% (Average) for </w:t>
      </w:r>
      <w:proofErr w:type="spellStart"/>
      <w:r w:rsidRPr="00225401">
        <w:rPr>
          <w:rFonts w:eastAsia="Times New Roman" w:cstheme="minorHAnsi"/>
          <w:lang w:val="en-GB"/>
        </w:rPr>
        <w:t>RECs.</w:t>
      </w:r>
      <w:proofErr w:type="spellEnd"/>
      <w:r w:rsidRPr="00225401">
        <w:rPr>
          <w:rFonts w:eastAsia="Times New Roman" w:cstheme="minorHAnsi"/>
          <w:lang w:val="en-GB"/>
        </w:rPr>
        <w:t xml:space="preserve"> The target was set 40% for HoF, 42% for HoPR and 42% (average) for </w:t>
      </w:r>
      <w:proofErr w:type="spellStart"/>
      <w:r w:rsidRPr="00225401">
        <w:rPr>
          <w:rFonts w:eastAsia="Times New Roman" w:cstheme="minorHAnsi"/>
          <w:lang w:val="en-GB"/>
        </w:rPr>
        <w:t>RECs.</w:t>
      </w:r>
      <w:proofErr w:type="spellEnd"/>
      <w:r w:rsidRPr="00225401">
        <w:rPr>
          <w:rFonts w:eastAsia="Times New Roman" w:cstheme="minorHAnsi"/>
          <w:lang w:val="en-GB"/>
        </w:rPr>
        <w:t xml:space="preserve"> The HoPR targeted 1 digitized parliamentary documentation system and accomplished. An enabling legal and operational space for CSO participation was planned. The baseline was TBD in 2017 and the target was set to have an enabling CSO law in 2021. The FEACC has established a CSO registry and selected 3 CSOs for collaboration support. Also organized four CSO forums. The MoP has conducted two national dialogues/conferences engaging 1500 community representatives and one comprehensive assessment on diversity to identify CSO engagement areas. All the activities planned by the PWB is accomplished 100% but since the baseline and target is not set, the achievement cannot be evaluated. </w:t>
      </w:r>
    </w:p>
    <w:p w14:paraId="1E5556A3" w14:textId="77777777" w:rsidR="00474D71" w:rsidRPr="00225401" w:rsidRDefault="00474D71" w:rsidP="00787CBA">
      <w:pPr>
        <w:pStyle w:val="ListParagraph"/>
        <w:spacing w:line="240" w:lineRule="auto"/>
        <w:ind w:left="360"/>
        <w:jc w:val="both"/>
        <w:rPr>
          <w:rFonts w:eastAsia="Times New Roman" w:cstheme="minorHAnsi"/>
          <w:lang w:val="en-GB"/>
        </w:rPr>
      </w:pPr>
    </w:p>
    <w:p w14:paraId="4AE96176" w14:textId="77777777" w:rsidR="00474D71" w:rsidRDefault="00474D71" w:rsidP="00787CBA">
      <w:pPr>
        <w:pStyle w:val="ListParagraph"/>
        <w:numPr>
          <w:ilvl w:val="0"/>
          <w:numId w:val="17"/>
        </w:numPr>
        <w:spacing w:line="240" w:lineRule="auto"/>
        <w:ind w:left="360"/>
        <w:jc w:val="both"/>
        <w:rPr>
          <w:rFonts w:eastAsia="Times New Roman" w:cstheme="minorHAnsi"/>
          <w:lang w:val="en-GB"/>
        </w:rPr>
      </w:pPr>
      <w:r w:rsidRPr="00225401">
        <w:rPr>
          <w:rFonts w:eastAsia="Times New Roman" w:cstheme="minorHAnsi"/>
          <w:lang w:val="en-GB"/>
        </w:rPr>
        <w:t xml:space="preserve">A plan for media sector situational analysis report and action plan was targeted. The baseline was none in 2017 and the analysis report and plan were set as target in 2021. The EIO planned 1 training for 400 participants, five media programs in four media outlets and conducted fifteen radio programs. It organized 1 consultative workshop, established 14 Ombudsman </w:t>
      </w:r>
      <w:proofErr w:type="gramStart"/>
      <w:r w:rsidRPr="00225401">
        <w:rPr>
          <w:rFonts w:eastAsia="Times New Roman" w:cstheme="minorHAnsi"/>
          <w:lang w:val="en-GB"/>
        </w:rPr>
        <w:t>Clubs</w:t>
      </w:r>
      <w:proofErr w:type="gramEnd"/>
      <w:r w:rsidRPr="00225401">
        <w:rPr>
          <w:rFonts w:eastAsia="Times New Roman" w:cstheme="minorHAnsi"/>
          <w:lang w:val="en-GB"/>
        </w:rPr>
        <w:t xml:space="preserve"> and conducted awareness raising training to 350 Clubs, 5 promotional Spots via 10 Regional Media. The EMA planned awareness creation for 1000 participants and the EBA 4 promotional spots and established a national medial</w:t>
      </w:r>
      <w:r>
        <w:rPr>
          <w:rFonts w:eastAsia="Times New Roman" w:cstheme="minorHAnsi"/>
          <w:lang w:val="en-GB"/>
        </w:rPr>
        <w:t xml:space="preserve"> </w:t>
      </w:r>
      <w:r w:rsidRPr="00225401">
        <w:rPr>
          <w:rFonts w:eastAsia="Times New Roman" w:cstheme="minorHAnsi"/>
          <w:lang w:val="en-GB"/>
        </w:rPr>
        <w:t xml:space="preserve">council. The EMA conducted 1 onsite monitoring visit, provided technical support to 5 Community Radio/Promotion Spots, organized one national platform, sensitization workshop for 890 political parties and training form 10 community radios. From the baseline and target set, the analysis report and action plan were accomplished (100%) and additional forums and awareness creation sessions were conducted. The CCI also planned two awareness session for 200 participants on the constitution and implemented one session for 62 women, </w:t>
      </w:r>
      <w:proofErr w:type="gramStart"/>
      <w:r w:rsidRPr="00225401">
        <w:rPr>
          <w:rFonts w:eastAsia="Times New Roman" w:cstheme="minorHAnsi"/>
          <w:lang w:val="en-GB"/>
        </w:rPr>
        <w:t>youth</w:t>
      </w:r>
      <w:proofErr w:type="gramEnd"/>
      <w:r w:rsidRPr="00225401">
        <w:rPr>
          <w:rFonts w:eastAsia="Times New Roman" w:cstheme="minorHAnsi"/>
          <w:lang w:val="en-GB"/>
        </w:rPr>
        <w:t xml:space="preserve"> and other vulnerable groups. From the planned target, one session (50%) and 62 (31%) was accomplished; and thus, the achievement was below the target.</w:t>
      </w:r>
    </w:p>
    <w:p w14:paraId="764CD92F" w14:textId="77777777" w:rsidR="00474D71" w:rsidRDefault="00474D71" w:rsidP="00787CBA">
      <w:pPr>
        <w:pStyle w:val="ListParagraph"/>
        <w:spacing w:line="240" w:lineRule="auto"/>
        <w:ind w:left="360"/>
        <w:jc w:val="both"/>
        <w:rPr>
          <w:rFonts w:eastAsia="Times New Roman" w:cstheme="minorHAnsi"/>
          <w:lang w:val="en-GB"/>
        </w:rPr>
      </w:pPr>
    </w:p>
    <w:p w14:paraId="7D34E0CC" w14:textId="5C8B1F08" w:rsidR="00474D71" w:rsidRDefault="00474D71" w:rsidP="00787CBA">
      <w:pPr>
        <w:pStyle w:val="ListParagraph"/>
        <w:numPr>
          <w:ilvl w:val="0"/>
          <w:numId w:val="17"/>
        </w:numPr>
        <w:spacing w:line="240" w:lineRule="auto"/>
        <w:ind w:left="360"/>
        <w:jc w:val="both"/>
        <w:rPr>
          <w:rFonts w:eastAsia="Times New Roman" w:cstheme="minorHAnsi"/>
          <w:lang w:val="en-GB"/>
        </w:rPr>
      </w:pPr>
      <w:r w:rsidRPr="005C23E4">
        <w:rPr>
          <w:rFonts w:eastAsia="Times New Roman" w:cstheme="minorHAnsi"/>
          <w:b/>
          <w:bCs/>
          <w:lang w:eastAsia="en-CA"/>
        </w:rPr>
        <w:t>Enhanced</w:t>
      </w:r>
      <w:r w:rsidRPr="000668FC">
        <w:rPr>
          <w:rFonts w:eastAsia="Times New Roman" w:cstheme="minorHAnsi"/>
          <w:b/>
          <w:bCs/>
          <w:lang w:val="en-GB"/>
        </w:rPr>
        <w:t xml:space="preserve"> role and participation of women and youth in politics: </w:t>
      </w:r>
      <w:r w:rsidRPr="000668FC">
        <w:rPr>
          <w:rFonts w:eastAsia="Times New Roman" w:cstheme="minorHAnsi"/>
          <w:lang w:val="en-GB"/>
        </w:rPr>
        <w:t xml:space="preserve">Both baseline </w:t>
      </w:r>
      <w:r>
        <w:rPr>
          <w:rFonts w:eastAsia="Times New Roman" w:cstheme="minorHAnsi"/>
          <w:lang w:val="en-GB"/>
        </w:rPr>
        <w:t>and target not set for this sub-</w:t>
      </w:r>
      <w:r w:rsidRPr="000668FC">
        <w:rPr>
          <w:rFonts w:eastAsia="Times New Roman" w:cstheme="minorHAnsi"/>
          <w:lang w:val="en-GB"/>
        </w:rPr>
        <w:t xml:space="preserve">output. Regarding the indicators, training women MPs in leadership, legislative staff trained and institutionalizing the women caucus at federal and region level was planned. Both the baseline in 2017 and target in 2022 were TBD and the achievement was not rated. Also, increasing a women MPs who hold leadership positions in federal parliament and regional councils was planned but both the baseline in 2017 and target in 2022 were TBDs and the achievement is not rated. A training for a parliamentary and legislature staff in gender analysis and tracking daily application in federal and 11 RECs were planned. The baseline was none in 2017 and a target of 150 for HoPR and 110 for 11 RECs was set for 2021. Since evidence was not available, the achievement was not rated. Institutionalization of the women's caucus and its full functionality was planned for the federal HoPR and 9 </w:t>
      </w:r>
      <w:proofErr w:type="spellStart"/>
      <w:r w:rsidRPr="000668FC">
        <w:rPr>
          <w:rFonts w:eastAsia="Times New Roman" w:cstheme="minorHAnsi"/>
          <w:lang w:val="en-GB"/>
        </w:rPr>
        <w:t>RECs.</w:t>
      </w:r>
      <w:proofErr w:type="spellEnd"/>
      <w:r w:rsidRPr="000668FC">
        <w:rPr>
          <w:rFonts w:eastAsia="Times New Roman" w:cstheme="minorHAnsi"/>
          <w:lang w:val="en-GB"/>
        </w:rPr>
        <w:t xml:space="preserve"> The baseline was no fully institutionalized W</w:t>
      </w:r>
      <w:r w:rsidR="00D3554B">
        <w:rPr>
          <w:rFonts w:eastAsia="Times New Roman" w:cstheme="minorHAnsi"/>
          <w:lang w:val="en-GB"/>
        </w:rPr>
        <w:t xml:space="preserve">omen’s </w:t>
      </w:r>
      <w:r w:rsidRPr="000668FC">
        <w:rPr>
          <w:rFonts w:eastAsia="Times New Roman" w:cstheme="minorHAnsi"/>
          <w:lang w:val="en-GB"/>
        </w:rPr>
        <w:t>C</w:t>
      </w:r>
      <w:r w:rsidR="00D3554B">
        <w:rPr>
          <w:rFonts w:eastAsia="Times New Roman" w:cstheme="minorHAnsi"/>
          <w:lang w:val="en-GB"/>
        </w:rPr>
        <w:t>aucus</w:t>
      </w:r>
      <w:r w:rsidRPr="000668FC">
        <w:rPr>
          <w:rFonts w:eastAsia="Times New Roman" w:cstheme="minorHAnsi"/>
          <w:lang w:val="en-GB"/>
        </w:rPr>
        <w:t xml:space="preserve"> in 2017 and the target was set for 1 and 11 WCs institutionalized and functional at the HoPR and RECs respectively.</w:t>
      </w:r>
    </w:p>
    <w:p w14:paraId="70A0F4B5" w14:textId="77777777" w:rsidR="00474D71" w:rsidRDefault="00474D71" w:rsidP="00787CBA">
      <w:pPr>
        <w:pStyle w:val="ListParagraph"/>
        <w:spacing w:line="240" w:lineRule="auto"/>
        <w:ind w:left="360"/>
        <w:jc w:val="both"/>
        <w:rPr>
          <w:rFonts w:eastAsia="Times New Roman" w:cstheme="minorHAnsi"/>
          <w:lang w:val="en-GB"/>
        </w:rPr>
      </w:pPr>
    </w:p>
    <w:p w14:paraId="69D8B4AB" w14:textId="77777777" w:rsidR="00474D71" w:rsidRDefault="00474D71" w:rsidP="00787CBA">
      <w:pPr>
        <w:pStyle w:val="ListParagraph"/>
        <w:numPr>
          <w:ilvl w:val="0"/>
          <w:numId w:val="17"/>
        </w:numPr>
        <w:spacing w:line="240" w:lineRule="auto"/>
        <w:ind w:left="360"/>
        <w:jc w:val="both"/>
        <w:rPr>
          <w:rFonts w:eastAsia="Times New Roman" w:cstheme="minorHAnsi"/>
          <w:lang w:val="en-GB"/>
        </w:rPr>
      </w:pPr>
      <w:r w:rsidRPr="00225401">
        <w:rPr>
          <w:rFonts w:eastAsia="Times New Roman" w:cstheme="minorHAnsi"/>
          <w:lang w:val="en-GB"/>
        </w:rPr>
        <w:t xml:space="preserve">This output was identified for 8 IPs; namely, the HoPR, EIO, EHRC, FEACC, MoP, NEBE; EBA/EMA and </w:t>
      </w:r>
      <w:r>
        <w:rPr>
          <w:rFonts w:eastAsia="Times New Roman" w:cstheme="minorHAnsi"/>
          <w:lang w:val="en-GB"/>
        </w:rPr>
        <w:t>CCI. Under this output, two sub-</w:t>
      </w:r>
      <w:r w:rsidRPr="00225401">
        <w:rPr>
          <w:rFonts w:eastAsia="Times New Roman" w:cstheme="minorHAnsi"/>
          <w:lang w:val="en-GB"/>
        </w:rPr>
        <w:t>outputs were iden</w:t>
      </w:r>
      <w:r>
        <w:rPr>
          <w:rFonts w:eastAsia="Times New Roman" w:cstheme="minorHAnsi"/>
          <w:lang w:val="en-GB"/>
        </w:rPr>
        <w:t>tified. The first sub-</w:t>
      </w:r>
      <w:r w:rsidRPr="00225401">
        <w:rPr>
          <w:rFonts w:eastAsia="Times New Roman" w:cstheme="minorHAnsi"/>
          <w:lang w:val="en-GB"/>
        </w:rPr>
        <w:t>output, strengthening policy, system, and institutional frameworks for citizens</w:t>
      </w:r>
      <w:r>
        <w:rPr>
          <w:rFonts w:eastAsia="Times New Roman" w:cstheme="minorHAnsi"/>
          <w:lang w:val="en-GB"/>
        </w:rPr>
        <w:t>’</w:t>
      </w:r>
      <w:r w:rsidRPr="00225401">
        <w:rPr>
          <w:rFonts w:eastAsia="Times New Roman" w:cstheme="minorHAnsi"/>
          <w:lang w:val="en-GB"/>
        </w:rPr>
        <w:t xml:space="preserve"> active participation, particularly women, youth and other marginalized groups in decision making processes at</w:t>
      </w:r>
      <w:r>
        <w:rPr>
          <w:rFonts w:eastAsia="Times New Roman" w:cstheme="minorHAnsi"/>
          <w:lang w:val="en-GB"/>
        </w:rPr>
        <w:t xml:space="preserve"> all levels, and the second sub-</w:t>
      </w:r>
      <w:r w:rsidRPr="00225401">
        <w:rPr>
          <w:rFonts w:eastAsia="Times New Roman" w:cstheme="minorHAnsi"/>
          <w:lang w:val="en-GB"/>
        </w:rPr>
        <w:t xml:space="preserve">output, raising awareness of citizens on the functions of legislative bodies, executive </w:t>
      </w:r>
      <w:proofErr w:type="gramStart"/>
      <w:r w:rsidRPr="00225401">
        <w:rPr>
          <w:rFonts w:eastAsia="Times New Roman" w:cstheme="minorHAnsi"/>
          <w:lang w:val="en-GB"/>
        </w:rPr>
        <w:t>organs</w:t>
      </w:r>
      <w:proofErr w:type="gramEnd"/>
      <w:r w:rsidRPr="00225401">
        <w:rPr>
          <w:rFonts w:eastAsia="Times New Roman" w:cstheme="minorHAnsi"/>
          <w:lang w:val="en-GB"/>
        </w:rPr>
        <w:t xml:space="preserve"> and democratic institutions. The GDPP achieve</w:t>
      </w:r>
      <w:r>
        <w:rPr>
          <w:rFonts w:eastAsia="Times New Roman" w:cstheme="minorHAnsi"/>
          <w:lang w:val="en-GB"/>
        </w:rPr>
        <w:t>d results on the target for sub-</w:t>
      </w:r>
      <w:r w:rsidRPr="00225401">
        <w:rPr>
          <w:rFonts w:eastAsia="Times New Roman" w:cstheme="minorHAnsi"/>
          <w:lang w:val="en-GB"/>
        </w:rPr>
        <w:t>output 3.1 and 3.2 as follows. Ou</w:t>
      </w:r>
      <w:r>
        <w:rPr>
          <w:rFonts w:eastAsia="Times New Roman" w:cstheme="minorHAnsi"/>
          <w:lang w:val="en-GB"/>
        </w:rPr>
        <w:t>t of 91 planned targets for sub-</w:t>
      </w:r>
      <w:r w:rsidRPr="00225401">
        <w:rPr>
          <w:rFonts w:eastAsia="Times New Roman" w:cstheme="minorHAnsi"/>
          <w:lang w:val="en-GB"/>
        </w:rPr>
        <w:t xml:space="preserve">output 3.1, 79 were accomplished; and the target is achieved by 86.8%; and the result </w:t>
      </w:r>
      <w:r>
        <w:rPr>
          <w:rFonts w:eastAsia="Times New Roman" w:cstheme="minorHAnsi"/>
          <w:lang w:val="en-GB"/>
        </w:rPr>
        <w:t>is close to the target. For sub-</w:t>
      </w:r>
      <w:r w:rsidRPr="00225401">
        <w:rPr>
          <w:rFonts w:eastAsia="Times New Roman" w:cstheme="minorHAnsi"/>
          <w:lang w:val="en-GB"/>
        </w:rPr>
        <w:t>output 3.2, 99 activities were accomplished while 97 activities were initially planned; and this target is achieved by 102%; which is above the target. In average, the achievement of this output is on the target, which is 94.7%.</w:t>
      </w:r>
    </w:p>
    <w:p w14:paraId="3997FA22" w14:textId="77777777" w:rsidR="00474D71" w:rsidRPr="000668FC" w:rsidRDefault="00474D71" w:rsidP="00787CBA">
      <w:pPr>
        <w:pStyle w:val="ListParagraph"/>
        <w:spacing w:line="240" w:lineRule="auto"/>
        <w:rPr>
          <w:rFonts w:eastAsia="Times New Roman" w:cstheme="minorHAnsi"/>
          <w:lang w:eastAsia="en-CA"/>
        </w:rPr>
      </w:pPr>
    </w:p>
    <w:p w14:paraId="1663C76A" w14:textId="18B4C787" w:rsidR="00474D71" w:rsidRDefault="00474D71" w:rsidP="00787CBA">
      <w:pPr>
        <w:pStyle w:val="ListParagraph"/>
        <w:numPr>
          <w:ilvl w:val="0"/>
          <w:numId w:val="17"/>
        </w:numPr>
        <w:spacing w:line="240" w:lineRule="auto"/>
        <w:ind w:left="360"/>
        <w:jc w:val="both"/>
        <w:rPr>
          <w:rFonts w:eastAsia="Times New Roman" w:cstheme="minorHAnsi"/>
          <w:lang w:val="en-GB"/>
        </w:rPr>
      </w:pPr>
      <w:r w:rsidRPr="005C23E4">
        <w:rPr>
          <w:rFonts w:eastAsia="Times New Roman" w:cstheme="minorHAnsi"/>
          <w:b/>
          <w:bCs/>
          <w:lang w:eastAsia="en-CA"/>
        </w:rPr>
        <w:t>Strengthen</w:t>
      </w:r>
      <w:r w:rsidRPr="000668FC">
        <w:rPr>
          <w:rFonts w:eastAsia="Times New Roman" w:cstheme="minorHAnsi"/>
          <w:b/>
          <w:bCs/>
          <w:lang w:val="en-GB"/>
        </w:rPr>
        <w:t xml:space="preserve"> institutional frameworks and capacity for conflict transformation: </w:t>
      </w:r>
      <w:r>
        <w:rPr>
          <w:rFonts w:eastAsia="Times New Roman" w:cstheme="minorHAnsi"/>
          <w:lang w:val="en-GB"/>
        </w:rPr>
        <w:t>The aim of this sub-</w:t>
      </w:r>
      <w:r w:rsidRPr="000668FC">
        <w:rPr>
          <w:rFonts w:eastAsia="Times New Roman" w:cstheme="minorHAnsi"/>
          <w:lang w:val="en-GB"/>
        </w:rPr>
        <w:t xml:space="preserve">output was to strengthen national and local institutional frameworks and capacity for conflict analysis, prevention, </w:t>
      </w:r>
      <w:proofErr w:type="gramStart"/>
      <w:r w:rsidRPr="000668FC">
        <w:rPr>
          <w:rFonts w:eastAsia="Times New Roman" w:cstheme="minorHAnsi"/>
          <w:lang w:val="en-GB"/>
        </w:rPr>
        <w:t>management</w:t>
      </w:r>
      <w:proofErr w:type="gramEnd"/>
      <w:r w:rsidRPr="000668FC">
        <w:rPr>
          <w:rFonts w:eastAsia="Times New Roman" w:cstheme="minorHAnsi"/>
          <w:lang w:val="en-GB"/>
        </w:rPr>
        <w:t xml:space="preserve"> and transformation strengthened but both baseline and target were not set. Peace structures were planned to be effective at federal, </w:t>
      </w:r>
      <w:proofErr w:type="gramStart"/>
      <w:r w:rsidRPr="000668FC">
        <w:rPr>
          <w:rFonts w:eastAsia="Times New Roman" w:cstheme="minorHAnsi"/>
          <w:lang w:val="en-GB"/>
        </w:rPr>
        <w:t>regional</w:t>
      </w:r>
      <w:proofErr w:type="gramEnd"/>
      <w:r w:rsidRPr="000668FC">
        <w:rPr>
          <w:rFonts w:eastAsia="Times New Roman" w:cstheme="minorHAnsi"/>
          <w:lang w:val="en-GB"/>
        </w:rPr>
        <w:t xml:space="preserve"> and local levels but both baseline and target were not set. The MoP planned 1 capacity development, 2 modules on federalism, 1 manual, 2 charters and 1 directive for functional </w:t>
      </w:r>
      <w:r w:rsidR="00C024A4">
        <w:rPr>
          <w:rFonts w:eastAsia="Times New Roman" w:cstheme="minorHAnsi"/>
          <w:lang w:val="en-GB"/>
        </w:rPr>
        <w:t>Inter-Governmental Relations (</w:t>
      </w:r>
      <w:r w:rsidRPr="000668FC">
        <w:rPr>
          <w:rFonts w:eastAsia="Times New Roman" w:cstheme="minorHAnsi"/>
          <w:lang w:val="en-GB"/>
        </w:rPr>
        <w:t>IGR</w:t>
      </w:r>
      <w:r w:rsidR="00C024A4">
        <w:rPr>
          <w:rFonts w:eastAsia="Times New Roman" w:cstheme="minorHAnsi"/>
          <w:lang w:val="en-GB"/>
        </w:rPr>
        <w:t>)</w:t>
      </w:r>
      <w:r w:rsidRPr="000668FC">
        <w:rPr>
          <w:rFonts w:eastAsia="Times New Roman" w:cstheme="minorHAnsi"/>
          <w:lang w:val="en-GB"/>
        </w:rPr>
        <w:t xml:space="preserve">. MoP conducted 1 IGR capacity gap &amp; response plan, </w:t>
      </w:r>
      <w:proofErr w:type="gramStart"/>
      <w:r w:rsidRPr="000668FC">
        <w:rPr>
          <w:rFonts w:eastAsia="Times New Roman" w:cstheme="minorHAnsi"/>
          <w:lang w:val="en-GB"/>
        </w:rPr>
        <w:t>assessed</w:t>
      </w:r>
      <w:proofErr w:type="gramEnd"/>
      <w:r w:rsidRPr="000668FC">
        <w:rPr>
          <w:rFonts w:eastAsia="Times New Roman" w:cstheme="minorHAnsi"/>
          <w:lang w:val="en-GB"/>
        </w:rPr>
        <w:t xml:space="preserve"> and designed 1 IGR institutional framework. MoP also developed 1 manual, 1 charter, 1 directive, 1 training modules on IGR, and organized 2 forums on IGR (1 high-level conference and 1 panel discussion for 180 representatives from institutions and staffs. MoP also conducted 2 training sessions for 92 participants. From what is planned, the performance (achievement) is 100% but since baseline and target was not set, the effectiveness cannot be evaluated. National situation assessment report on and a conflict resolution and peace building strategy </w:t>
      </w:r>
      <w:proofErr w:type="gramStart"/>
      <w:r w:rsidRPr="000668FC">
        <w:rPr>
          <w:rFonts w:eastAsia="Times New Roman" w:cstheme="minorHAnsi"/>
          <w:lang w:val="en-GB"/>
        </w:rPr>
        <w:t>was</w:t>
      </w:r>
      <w:proofErr w:type="gramEnd"/>
      <w:r w:rsidRPr="000668FC">
        <w:rPr>
          <w:rFonts w:eastAsia="Times New Roman" w:cstheme="minorHAnsi"/>
          <w:lang w:val="en-GB"/>
        </w:rPr>
        <w:t xml:space="preserve"> also planned to be adopted and implemented by MoP. The baseline none in 2017 and the target was the strategy designed, implemented and impact assessed. HoF planned conducting conflict and peace situation analysis, produce report, identify </w:t>
      </w:r>
      <w:proofErr w:type="gramStart"/>
      <w:r w:rsidRPr="000668FC">
        <w:rPr>
          <w:rFonts w:eastAsia="Times New Roman" w:cstheme="minorHAnsi"/>
          <w:lang w:val="en-GB"/>
        </w:rPr>
        <w:t>gaps</w:t>
      </w:r>
      <w:proofErr w:type="gramEnd"/>
      <w:r w:rsidRPr="000668FC">
        <w:rPr>
          <w:rFonts w:eastAsia="Times New Roman" w:cstheme="minorHAnsi"/>
          <w:lang w:val="en-GB"/>
        </w:rPr>
        <w:t xml:space="preserve"> and design and implement a national conflict prevention and transformation strategy. It implemented and accomplished the assessment, draft the </w:t>
      </w:r>
      <w:proofErr w:type="gramStart"/>
      <w:r w:rsidRPr="000668FC">
        <w:rPr>
          <w:rFonts w:eastAsia="Times New Roman" w:cstheme="minorHAnsi"/>
          <w:lang w:val="en-GB"/>
        </w:rPr>
        <w:t>strategy</w:t>
      </w:r>
      <w:proofErr w:type="gramEnd"/>
      <w:r w:rsidRPr="000668FC">
        <w:rPr>
          <w:rFonts w:eastAsia="Times New Roman" w:cstheme="minorHAnsi"/>
          <w:lang w:val="en-GB"/>
        </w:rPr>
        <w:t xml:space="preserve"> and submitted for validation. The consultative platform was </w:t>
      </w:r>
      <w:proofErr w:type="gramStart"/>
      <w:r w:rsidRPr="000668FC">
        <w:rPr>
          <w:rFonts w:eastAsia="Times New Roman" w:cstheme="minorHAnsi"/>
          <w:lang w:val="en-GB"/>
        </w:rPr>
        <w:t>conducted</w:t>
      </w:r>
      <w:proofErr w:type="gramEnd"/>
      <w:r w:rsidRPr="000668FC">
        <w:rPr>
          <w:rFonts w:eastAsia="Times New Roman" w:cstheme="minorHAnsi"/>
          <w:lang w:val="en-GB"/>
        </w:rPr>
        <w:t xml:space="preserve"> and the achievement is close to 75%. </w:t>
      </w:r>
      <w:r w:rsidR="00D3554B">
        <w:rPr>
          <w:rFonts w:eastAsia="Times New Roman" w:cstheme="minorHAnsi"/>
          <w:lang w:val="en-GB"/>
        </w:rPr>
        <w:t>F</w:t>
      </w:r>
      <w:r w:rsidRPr="000668FC">
        <w:rPr>
          <w:rFonts w:eastAsia="Times New Roman" w:cstheme="minorHAnsi"/>
          <w:lang w:val="en-GB"/>
        </w:rPr>
        <w:t xml:space="preserve">ully operational Peace Councils (PCs) at national and at 11 regional states was planned. The baseline was that there was no PCs in 2017 and the target was to institute PCs at federal &amp; 11 regional PCs in 2021. HoF and MoP planned systems on diversity management and social cohesion at all levels consultative forums and IGR structures; and planned to conduct 1 comprehensive assessment and structures (arrangements) in four regional locations. It was implemented and accomplished; the assessment was conducted and the four </w:t>
      </w:r>
      <w:r w:rsidRPr="000668FC">
        <w:rPr>
          <w:rFonts w:eastAsia="Times New Roman" w:cstheme="minorHAnsi"/>
          <w:lang w:val="en-GB"/>
        </w:rPr>
        <w:lastRenderedPageBreak/>
        <w:t>structures at four regional locations were instituted and operational. Therefore, the achievement was 100%. HoF and MoP also planned systems on diversity management and social cohesion at all levels but both baseline and target were not set. However, the Ho</w:t>
      </w:r>
      <w:r w:rsidR="00D3554B">
        <w:rPr>
          <w:rFonts w:eastAsia="Times New Roman" w:cstheme="minorHAnsi"/>
          <w:lang w:val="en-GB"/>
        </w:rPr>
        <w:t>F</w:t>
      </w:r>
      <w:r w:rsidRPr="000668FC">
        <w:rPr>
          <w:rFonts w:eastAsia="Times New Roman" w:cstheme="minorHAnsi"/>
          <w:lang w:val="en-GB"/>
        </w:rPr>
        <w:t xml:space="preserve"> planned 1 consultative platform/forum and MoP planned 4 awareness raising training, 3 panel discussion forums and 1 high level conference with 160 participants. The achievement is 100% but the effectiveness cannot be evaluated because baseline and target were not set.</w:t>
      </w:r>
    </w:p>
    <w:p w14:paraId="0CE5F7EA" w14:textId="4D3D6F4D" w:rsidR="00474D71" w:rsidRPr="00225401" w:rsidRDefault="00474D71" w:rsidP="00474D71">
      <w:pPr>
        <w:pStyle w:val="Caption"/>
        <w:rPr>
          <w:rFonts w:cstheme="minorHAnsi"/>
          <w:i w:val="0"/>
          <w:iCs w:val="0"/>
          <w:sz w:val="22"/>
          <w:szCs w:val="22"/>
        </w:rPr>
      </w:pPr>
      <w:r w:rsidRPr="00225401">
        <w:rPr>
          <w:rFonts w:cstheme="minorHAnsi"/>
          <w:i w:val="0"/>
          <w:iCs w:val="0"/>
          <w:sz w:val="22"/>
          <w:szCs w:val="22"/>
        </w:rPr>
        <w:t xml:space="preserve">Table </w:t>
      </w:r>
      <w:r w:rsidRPr="00225401">
        <w:rPr>
          <w:rFonts w:cstheme="minorHAnsi"/>
          <w:i w:val="0"/>
          <w:iCs w:val="0"/>
          <w:sz w:val="22"/>
          <w:szCs w:val="22"/>
        </w:rPr>
        <w:fldChar w:fldCharType="begin"/>
      </w:r>
      <w:r w:rsidRPr="00225401">
        <w:rPr>
          <w:rFonts w:cstheme="minorHAnsi"/>
          <w:i w:val="0"/>
          <w:iCs w:val="0"/>
          <w:sz w:val="22"/>
          <w:szCs w:val="22"/>
        </w:rPr>
        <w:instrText xml:space="preserve"> SEQ Table \* ARABIC </w:instrText>
      </w:r>
      <w:r w:rsidRPr="00225401">
        <w:rPr>
          <w:rFonts w:cstheme="minorHAnsi"/>
          <w:i w:val="0"/>
          <w:iCs w:val="0"/>
          <w:sz w:val="22"/>
          <w:szCs w:val="22"/>
        </w:rPr>
        <w:fldChar w:fldCharType="separate"/>
      </w:r>
      <w:r w:rsidR="006240B3">
        <w:rPr>
          <w:rFonts w:cstheme="minorHAnsi"/>
          <w:i w:val="0"/>
          <w:iCs w:val="0"/>
          <w:noProof/>
          <w:sz w:val="22"/>
          <w:szCs w:val="22"/>
        </w:rPr>
        <w:t>5</w:t>
      </w:r>
      <w:r w:rsidRPr="00225401">
        <w:rPr>
          <w:rFonts w:cstheme="minorHAnsi"/>
          <w:i w:val="0"/>
          <w:iCs w:val="0"/>
          <w:sz w:val="22"/>
          <w:szCs w:val="22"/>
        </w:rPr>
        <w:fldChar w:fldCharType="end"/>
      </w:r>
      <w:r w:rsidRPr="00225401">
        <w:rPr>
          <w:rFonts w:cstheme="minorHAnsi"/>
          <w:i w:val="0"/>
          <w:iCs w:val="0"/>
          <w:sz w:val="22"/>
          <w:szCs w:val="22"/>
        </w:rPr>
        <w:t xml:space="preserve"> – </w:t>
      </w:r>
      <w:r>
        <w:rPr>
          <w:rFonts w:cstheme="minorHAnsi"/>
          <w:i w:val="0"/>
          <w:iCs w:val="0"/>
          <w:sz w:val="22"/>
          <w:szCs w:val="22"/>
        </w:rPr>
        <w:t>Achievements of Sub-</w:t>
      </w:r>
      <w:r w:rsidRPr="00225401">
        <w:rPr>
          <w:rFonts w:cstheme="minorHAnsi"/>
          <w:i w:val="0"/>
          <w:iCs w:val="0"/>
          <w:sz w:val="22"/>
          <w:szCs w:val="22"/>
        </w:rPr>
        <w:t>Outputs 4.1, 4.2 and 4.3</w:t>
      </w:r>
    </w:p>
    <w:tbl>
      <w:tblPr>
        <w:tblStyle w:val="TableGrid"/>
        <w:tblW w:w="5000" w:type="pct"/>
        <w:tblLook w:val="04A0" w:firstRow="1" w:lastRow="0" w:firstColumn="1" w:lastColumn="0" w:noHBand="0" w:noVBand="1"/>
      </w:tblPr>
      <w:tblGrid>
        <w:gridCol w:w="4496"/>
        <w:gridCol w:w="1619"/>
        <w:gridCol w:w="1803"/>
        <w:gridCol w:w="1432"/>
      </w:tblGrid>
      <w:tr w:rsidR="00474D71" w:rsidRPr="005B2583" w14:paraId="7F30B18F" w14:textId="77777777" w:rsidTr="00085813">
        <w:tc>
          <w:tcPr>
            <w:tcW w:w="2404" w:type="pct"/>
            <w:shd w:val="clear" w:color="auto" w:fill="8EAADB" w:themeFill="accent5" w:themeFillTint="99"/>
          </w:tcPr>
          <w:p w14:paraId="6D648DA4" w14:textId="77777777" w:rsidR="00474D71" w:rsidRPr="00225401" w:rsidRDefault="00474D71" w:rsidP="00085813">
            <w:pPr>
              <w:rPr>
                <w:rFonts w:eastAsia="Times New Roman" w:cstheme="minorHAnsi"/>
              </w:rPr>
            </w:pPr>
            <w:r>
              <w:rPr>
                <w:rFonts w:eastAsia="Times New Roman" w:cstheme="minorHAnsi"/>
              </w:rPr>
              <w:t>Sub-</w:t>
            </w:r>
            <w:r w:rsidRPr="00225401">
              <w:rPr>
                <w:rFonts w:eastAsia="Times New Roman" w:cstheme="minorHAnsi"/>
              </w:rPr>
              <w:t>Outputs of Output 4</w:t>
            </w:r>
          </w:p>
        </w:tc>
        <w:tc>
          <w:tcPr>
            <w:tcW w:w="866" w:type="pct"/>
            <w:shd w:val="clear" w:color="auto" w:fill="8EAADB" w:themeFill="accent5" w:themeFillTint="99"/>
          </w:tcPr>
          <w:p w14:paraId="459AD147" w14:textId="77777777" w:rsidR="00474D71" w:rsidRPr="00225401" w:rsidRDefault="00474D71" w:rsidP="00085813">
            <w:pPr>
              <w:rPr>
                <w:rFonts w:eastAsia="Times New Roman" w:cstheme="minorHAnsi"/>
              </w:rPr>
            </w:pPr>
            <w:r w:rsidRPr="00225401">
              <w:rPr>
                <w:rFonts w:eastAsia="Times New Roman" w:cstheme="minorHAnsi"/>
                <w:b/>
                <w:bCs/>
              </w:rPr>
              <w:t>Target activities planned</w:t>
            </w:r>
          </w:p>
        </w:tc>
        <w:tc>
          <w:tcPr>
            <w:tcW w:w="964" w:type="pct"/>
            <w:shd w:val="clear" w:color="auto" w:fill="8EAADB" w:themeFill="accent5" w:themeFillTint="99"/>
          </w:tcPr>
          <w:p w14:paraId="5F5B5EA4" w14:textId="77777777" w:rsidR="00474D71" w:rsidRPr="00225401" w:rsidRDefault="00474D71" w:rsidP="00085813">
            <w:pPr>
              <w:rPr>
                <w:rFonts w:eastAsia="Times New Roman" w:cstheme="minorHAnsi"/>
              </w:rPr>
            </w:pPr>
            <w:r w:rsidRPr="00225401">
              <w:rPr>
                <w:rFonts w:eastAsia="Times New Roman" w:cstheme="minorHAnsi"/>
                <w:b/>
                <w:bCs/>
              </w:rPr>
              <w:t>Target activities accomplished</w:t>
            </w:r>
          </w:p>
        </w:tc>
        <w:tc>
          <w:tcPr>
            <w:tcW w:w="766" w:type="pct"/>
            <w:shd w:val="clear" w:color="auto" w:fill="8EAADB" w:themeFill="accent5" w:themeFillTint="99"/>
          </w:tcPr>
          <w:p w14:paraId="4F4AAF37" w14:textId="77777777" w:rsidR="00474D71" w:rsidRPr="00225401" w:rsidRDefault="00474D71" w:rsidP="00085813">
            <w:pPr>
              <w:rPr>
                <w:rFonts w:eastAsia="Times New Roman" w:cstheme="minorHAnsi"/>
              </w:rPr>
            </w:pPr>
            <w:r w:rsidRPr="00225401">
              <w:rPr>
                <w:rFonts w:eastAsia="Times New Roman" w:cstheme="minorHAnsi"/>
              </w:rPr>
              <w:t>Achievement Rating (%)</w:t>
            </w:r>
          </w:p>
        </w:tc>
      </w:tr>
      <w:tr w:rsidR="00474D71" w:rsidRPr="005B2583" w14:paraId="42C06A1E" w14:textId="77777777" w:rsidTr="00085813">
        <w:tc>
          <w:tcPr>
            <w:tcW w:w="2404" w:type="pct"/>
          </w:tcPr>
          <w:p w14:paraId="0A18C053" w14:textId="77777777" w:rsidR="00474D71" w:rsidRPr="00225401" w:rsidRDefault="00474D71" w:rsidP="00085813">
            <w:pPr>
              <w:rPr>
                <w:rFonts w:eastAsia="Times New Roman" w:cstheme="minorHAnsi"/>
              </w:rPr>
            </w:pPr>
            <w:r w:rsidRPr="00225401">
              <w:rPr>
                <w:rFonts w:eastAsia="Times New Roman" w:cstheme="minorHAnsi"/>
              </w:rPr>
              <w:t xml:space="preserve">4.1. Strengthen institutional frameworks and capacity for conflict transformation </w:t>
            </w:r>
          </w:p>
        </w:tc>
        <w:tc>
          <w:tcPr>
            <w:tcW w:w="866" w:type="pct"/>
          </w:tcPr>
          <w:p w14:paraId="7296EFEA" w14:textId="77777777" w:rsidR="00474D71" w:rsidRPr="00225401" w:rsidRDefault="00474D71" w:rsidP="00085813">
            <w:pPr>
              <w:rPr>
                <w:rFonts w:eastAsia="Times New Roman" w:cstheme="minorHAnsi"/>
                <w:b/>
                <w:bCs/>
              </w:rPr>
            </w:pPr>
            <w:r w:rsidRPr="00225401">
              <w:rPr>
                <w:rFonts w:eastAsia="Times New Roman" w:cstheme="minorHAnsi"/>
                <w:b/>
                <w:bCs/>
              </w:rPr>
              <w:t>17</w:t>
            </w:r>
          </w:p>
          <w:p w14:paraId="237ED3F4" w14:textId="77777777" w:rsidR="00474D71" w:rsidRPr="00225401" w:rsidRDefault="00474D71" w:rsidP="00085813">
            <w:pPr>
              <w:rPr>
                <w:rFonts w:eastAsia="Times New Roman" w:cstheme="minorHAnsi"/>
              </w:rPr>
            </w:pPr>
          </w:p>
        </w:tc>
        <w:tc>
          <w:tcPr>
            <w:tcW w:w="964" w:type="pct"/>
          </w:tcPr>
          <w:p w14:paraId="5395F980" w14:textId="77777777" w:rsidR="00474D71" w:rsidRPr="00225401" w:rsidRDefault="00474D71" w:rsidP="00085813">
            <w:pPr>
              <w:rPr>
                <w:rFonts w:eastAsia="Times New Roman" w:cstheme="minorHAnsi"/>
                <w:b/>
                <w:bCs/>
              </w:rPr>
            </w:pPr>
            <w:r w:rsidRPr="00225401">
              <w:rPr>
                <w:rFonts w:eastAsia="Times New Roman" w:cstheme="minorHAnsi"/>
                <w:b/>
                <w:bCs/>
              </w:rPr>
              <w:t>14</w:t>
            </w:r>
          </w:p>
          <w:p w14:paraId="3B9196BE" w14:textId="77777777" w:rsidR="00474D71" w:rsidRPr="00225401" w:rsidRDefault="00474D71" w:rsidP="00085813">
            <w:pPr>
              <w:rPr>
                <w:rFonts w:eastAsia="Times New Roman" w:cstheme="minorHAnsi"/>
              </w:rPr>
            </w:pPr>
            <w:r w:rsidRPr="00225401">
              <w:rPr>
                <w:rFonts w:eastAsia="Times New Roman" w:cstheme="minorHAnsi"/>
              </w:rPr>
              <w:t xml:space="preserve"> </w:t>
            </w:r>
          </w:p>
        </w:tc>
        <w:tc>
          <w:tcPr>
            <w:tcW w:w="766" w:type="pct"/>
            <w:shd w:val="clear" w:color="auto" w:fill="FFFF00"/>
          </w:tcPr>
          <w:p w14:paraId="5B50B86F" w14:textId="77777777" w:rsidR="00474D71" w:rsidRPr="00225401" w:rsidRDefault="00474D71" w:rsidP="00085813">
            <w:pPr>
              <w:rPr>
                <w:rFonts w:eastAsia="Times New Roman" w:cstheme="minorHAnsi"/>
                <w:b/>
                <w:bCs/>
              </w:rPr>
            </w:pPr>
            <w:r w:rsidRPr="00225401">
              <w:rPr>
                <w:rFonts w:eastAsia="Times New Roman" w:cstheme="minorHAnsi"/>
                <w:b/>
                <w:bCs/>
              </w:rPr>
              <w:t>82.2%</w:t>
            </w:r>
          </w:p>
        </w:tc>
      </w:tr>
      <w:tr w:rsidR="00474D71" w:rsidRPr="005B2583" w14:paraId="69136D9D" w14:textId="77777777" w:rsidTr="00085813">
        <w:tc>
          <w:tcPr>
            <w:tcW w:w="2404" w:type="pct"/>
          </w:tcPr>
          <w:p w14:paraId="6AB3DB09" w14:textId="77777777" w:rsidR="00474D71" w:rsidRPr="00B73877" w:rsidRDefault="00474D71" w:rsidP="00085813">
            <w:pPr>
              <w:rPr>
                <w:rFonts w:eastAsia="Times New Roman" w:cstheme="minorHAnsi"/>
              </w:rPr>
            </w:pPr>
            <w:r w:rsidRPr="00B73877">
              <w:rPr>
                <w:rFonts w:eastAsia="Times New Roman" w:cstheme="minorHAnsi"/>
              </w:rPr>
              <w:t xml:space="preserve">4.2. Promote dialogue, foster tolerance/ social </w:t>
            </w:r>
            <w:proofErr w:type="gramStart"/>
            <w:r w:rsidRPr="00B73877">
              <w:rPr>
                <w:rFonts w:eastAsia="Times New Roman" w:cstheme="minorHAnsi"/>
              </w:rPr>
              <w:t>cohesion</w:t>
            </w:r>
            <w:proofErr w:type="gramEnd"/>
            <w:r w:rsidRPr="00B73877">
              <w:rPr>
                <w:rFonts w:eastAsia="Times New Roman" w:cstheme="minorHAnsi"/>
              </w:rPr>
              <w:t xml:space="preserve"> and institutional capacity</w:t>
            </w:r>
          </w:p>
        </w:tc>
        <w:tc>
          <w:tcPr>
            <w:tcW w:w="866" w:type="pct"/>
          </w:tcPr>
          <w:p w14:paraId="10E6D5D1" w14:textId="77777777" w:rsidR="00474D71" w:rsidRPr="00B73877" w:rsidRDefault="00474D71" w:rsidP="00085813">
            <w:pPr>
              <w:rPr>
                <w:rFonts w:eastAsia="Times New Roman" w:cstheme="minorHAnsi"/>
                <w:b/>
                <w:bCs/>
              </w:rPr>
            </w:pPr>
            <w:r w:rsidRPr="00B73877">
              <w:rPr>
                <w:rFonts w:eastAsia="Times New Roman" w:cstheme="minorHAnsi"/>
                <w:b/>
                <w:bCs/>
              </w:rPr>
              <w:t>15</w:t>
            </w:r>
          </w:p>
          <w:p w14:paraId="02A57BD6" w14:textId="77777777" w:rsidR="00474D71" w:rsidRPr="00B73877" w:rsidRDefault="00474D71" w:rsidP="00085813">
            <w:pPr>
              <w:rPr>
                <w:rFonts w:eastAsia="Times New Roman" w:cstheme="minorHAnsi"/>
              </w:rPr>
            </w:pPr>
          </w:p>
        </w:tc>
        <w:tc>
          <w:tcPr>
            <w:tcW w:w="964" w:type="pct"/>
          </w:tcPr>
          <w:p w14:paraId="218C6A1B" w14:textId="77777777" w:rsidR="00474D71" w:rsidRPr="00B73877" w:rsidRDefault="00474D71" w:rsidP="00085813">
            <w:pPr>
              <w:rPr>
                <w:rFonts w:eastAsia="Times New Roman" w:cstheme="minorHAnsi"/>
                <w:b/>
                <w:bCs/>
              </w:rPr>
            </w:pPr>
            <w:r w:rsidRPr="00B73877">
              <w:rPr>
                <w:rFonts w:eastAsia="Times New Roman" w:cstheme="minorHAnsi"/>
                <w:b/>
                <w:bCs/>
              </w:rPr>
              <w:t>15</w:t>
            </w:r>
          </w:p>
          <w:p w14:paraId="22CF4B7B" w14:textId="77777777" w:rsidR="00474D71" w:rsidRPr="00B73877" w:rsidRDefault="00474D71" w:rsidP="00085813">
            <w:pPr>
              <w:rPr>
                <w:rFonts w:eastAsia="Times New Roman" w:cstheme="minorHAnsi"/>
              </w:rPr>
            </w:pPr>
          </w:p>
        </w:tc>
        <w:tc>
          <w:tcPr>
            <w:tcW w:w="766" w:type="pct"/>
            <w:shd w:val="clear" w:color="auto" w:fill="00B050"/>
          </w:tcPr>
          <w:p w14:paraId="058F649C" w14:textId="77777777" w:rsidR="00474D71" w:rsidRPr="00B73877" w:rsidRDefault="00474D71" w:rsidP="00085813">
            <w:pPr>
              <w:rPr>
                <w:rFonts w:eastAsia="Times New Roman" w:cstheme="minorHAnsi"/>
                <w:b/>
                <w:bCs/>
              </w:rPr>
            </w:pPr>
            <w:r w:rsidRPr="00B73877">
              <w:rPr>
                <w:rFonts w:eastAsia="Times New Roman" w:cstheme="minorHAnsi"/>
                <w:b/>
                <w:bCs/>
              </w:rPr>
              <w:t>100%</w:t>
            </w:r>
          </w:p>
        </w:tc>
      </w:tr>
      <w:tr w:rsidR="00474D71" w:rsidRPr="005B2583" w14:paraId="79CC5C5A" w14:textId="77777777" w:rsidTr="00085813">
        <w:tc>
          <w:tcPr>
            <w:tcW w:w="2404" w:type="pct"/>
          </w:tcPr>
          <w:p w14:paraId="2961220A" w14:textId="77777777" w:rsidR="00474D71" w:rsidRPr="00B73877" w:rsidRDefault="00474D71" w:rsidP="00085813">
            <w:pPr>
              <w:rPr>
                <w:rFonts w:eastAsia="Times New Roman" w:cstheme="minorHAnsi"/>
              </w:rPr>
            </w:pPr>
            <w:r w:rsidRPr="00B73877">
              <w:rPr>
                <w:rFonts w:eastAsia="Times New Roman" w:cstheme="minorHAnsi"/>
              </w:rPr>
              <w:t>4.3. strengthened constitutional interpretation system</w:t>
            </w:r>
          </w:p>
        </w:tc>
        <w:tc>
          <w:tcPr>
            <w:tcW w:w="866" w:type="pct"/>
          </w:tcPr>
          <w:p w14:paraId="0E6392BB" w14:textId="77777777" w:rsidR="00474D71" w:rsidRPr="00B73877" w:rsidRDefault="00474D71" w:rsidP="00085813">
            <w:pPr>
              <w:rPr>
                <w:rFonts w:eastAsia="Times New Roman" w:cstheme="minorHAnsi"/>
                <w:b/>
                <w:bCs/>
              </w:rPr>
            </w:pPr>
            <w:r w:rsidRPr="00B73877">
              <w:rPr>
                <w:rFonts w:eastAsia="Times New Roman" w:cstheme="minorHAnsi"/>
                <w:b/>
                <w:bCs/>
              </w:rPr>
              <w:t>36</w:t>
            </w:r>
          </w:p>
        </w:tc>
        <w:tc>
          <w:tcPr>
            <w:tcW w:w="964" w:type="pct"/>
          </w:tcPr>
          <w:p w14:paraId="1D00D326" w14:textId="77777777" w:rsidR="00474D71" w:rsidRPr="00B73877" w:rsidRDefault="00474D71" w:rsidP="00085813">
            <w:pPr>
              <w:rPr>
                <w:rFonts w:eastAsia="Times New Roman" w:cstheme="minorHAnsi"/>
                <w:b/>
                <w:bCs/>
              </w:rPr>
            </w:pPr>
            <w:r w:rsidRPr="00B73877">
              <w:rPr>
                <w:rFonts w:eastAsia="Times New Roman" w:cstheme="minorHAnsi"/>
                <w:b/>
                <w:bCs/>
              </w:rPr>
              <w:t>34</w:t>
            </w:r>
          </w:p>
        </w:tc>
        <w:tc>
          <w:tcPr>
            <w:tcW w:w="766" w:type="pct"/>
            <w:shd w:val="clear" w:color="auto" w:fill="00B050"/>
          </w:tcPr>
          <w:p w14:paraId="43B109A8" w14:textId="77777777" w:rsidR="00474D71" w:rsidRPr="00B73877" w:rsidRDefault="00474D71" w:rsidP="00085813">
            <w:pPr>
              <w:rPr>
                <w:rFonts w:eastAsia="Times New Roman" w:cstheme="minorHAnsi"/>
                <w:b/>
                <w:bCs/>
              </w:rPr>
            </w:pPr>
            <w:r w:rsidRPr="00B73877">
              <w:rPr>
                <w:rFonts w:eastAsia="Times New Roman" w:cstheme="minorHAnsi"/>
                <w:b/>
                <w:bCs/>
              </w:rPr>
              <w:t>94.4%</w:t>
            </w:r>
          </w:p>
        </w:tc>
      </w:tr>
      <w:tr w:rsidR="00474D71" w:rsidRPr="005B2583" w14:paraId="16421647" w14:textId="77777777" w:rsidTr="00085813">
        <w:tc>
          <w:tcPr>
            <w:tcW w:w="2404" w:type="pct"/>
          </w:tcPr>
          <w:p w14:paraId="2FFFDF3C" w14:textId="77777777" w:rsidR="00474D71" w:rsidRPr="00B73877" w:rsidRDefault="00474D71" w:rsidP="00085813">
            <w:pPr>
              <w:rPr>
                <w:rFonts w:eastAsia="Times New Roman" w:cstheme="minorHAnsi"/>
                <w:b/>
                <w:bCs/>
              </w:rPr>
            </w:pPr>
            <w:r w:rsidRPr="00B73877">
              <w:rPr>
                <w:rFonts w:eastAsia="Times New Roman" w:cstheme="minorHAnsi"/>
                <w:b/>
                <w:bCs/>
              </w:rPr>
              <w:t>Average</w:t>
            </w:r>
          </w:p>
        </w:tc>
        <w:tc>
          <w:tcPr>
            <w:tcW w:w="866" w:type="pct"/>
          </w:tcPr>
          <w:p w14:paraId="0623C210" w14:textId="77777777" w:rsidR="00474D71" w:rsidRPr="00B73877" w:rsidRDefault="00474D71" w:rsidP="00085813">
            <w:pPr>
              <w:rPr>
                <w:rFonts w:eastAsia="Times New Roman" w:cstheme="minorHAnsi"/>
                <w:b/>
                <w:bCs/>
              </w:rPr>
            </w:pPr>
            <w:r w:rsidRPr="00B73877">
              <w:rPr>
                <w:rFonts w:eastAsia="Times New Roman" w:cstheme="minorHAnsi"/>
                <w:b/>
                <w:bCs/>
              </w:rPr>
              <w:t>68</w:t>
            </w:r>
          </w:p>
        </w:tc>
        <w:tc>
          <w:tcPr>
            <w:tcW w:w="964" w:type="pct"/>
          </w:tcPr>
          <w:p w14:paraId="24D89B4F" w14:textId="77777777" w:rsidR="00474D71" w:rsidRPr="00B73877" w:rsidRDefault="00474D71" w:rsidP="00085813">
            <w:pPr>
              <w:rPr>
                <w:rFonts w:eastAsia="Times New Roman" w:cstheme="minorHAnsi"/>
                <w:b/>
                <w:bCs/>
              </w:rPr>
            </w:pPr>
            <w:r w:rsidRPr="00B73877">
              <w:rPr>
                <w:rFonts w:eastAsia="Times New Roman" w:cstheme="minorHAnsi"/>
                <w:b/>
                <w:bCs/>
              </w:rPr>
              <w:t>63</w:t>
            </w:r>
          </w:p>
        </w:tc>
        <w:tc>
          <w:tcPr>
            <w:tcW w:w="766" w:type="pct"/>
            <w:shd w:val="clear" w:color="auto" w:fill="00B050"/>
          </w:tcPr>
          <w:p w14:paraId="24CAE1B8" w14:textId="77777777" w:rsidR="00474D71" w:rsidRPr="00B73877" w:rsidRDefault="00474D71" w:rsidP="00085813">
            <w:pPr>
              <w:rPr>
                <w:rFonts w:eastAsia="Times New Roman" w:cstheme="minorHAnsi"/>
                <w:b/>
                <w:bCs/>
              </w:rPr>
            </w:pPr>
            <w:r w:rsidRPr="00B73877">
              <w:rPr>
                <w:rFonts w:eastAsia="Times New Roman" w:cstheme="minorHAnsi"/>
                <w:b/>
                <w:bCs/>
              </w:rPr>
              <w:t>92.7%</w:t>
            </w:r>
          </w:p>
        </w:tc>
      </w:tr>
    </w:tbl>
    <w:p w14:paraId="005D71BF" w14:textId="77777777" w:rsidR="00474D71" w:rsidRPr="00B73877" w:rsidRDefault="00474D71" w:rsidP="00474D71">
      <w:pPr>
        <w:pStyle w:val="ListParagraph"/>
        <w:spacing w:before="240" w:line="360" w:lineRule="auto"/>
        <w:ind w:left="90"/>
        <w:jc w:val="both"/>
        <w:rPr>
          <w:rFonts w:cstheme="minorHAnsi"/>
        </w:rPr>
      </w:pPr>
      <w:r w:rsidRPr="00B73877">
        <w:rPr>
          <w:rFonts w:cstheme="minorHAnsi"/>
        </w:rPr>
        <w:t>Note: Red (below 75</w:t>
      </w:r>
      <w:proofErr w:type="gramStart"/>
      <w:r w:rsidRPr="00B73877">
        <w:rPr>
          <w:rFonts w:cstheme="minorHAnsi"/>
        </w:rPr>
        <w:t xml:space="preserve">%)   </w:t>
      </w:r>
      <w:proofErr w:type="gramEnd"/>
      <w:r w:rsidRPr="00B73877">
        <w:rPr>
          <w:rFonts w:cstheme="minorHAnsi"/>
        </w:rPr>
        <w:t xml:space="preserve">  Yellow (75 - 89%) Green = Above 90%</w:t>
      </w:r>
    </w:p>
    <w:p w14:paraId="1BE15899" w14:textId="77777777" w:rsidR="00474D71" w:rsidRDefault="00474D71" w:rsidP="00474D71">
      <w:pPr>
        <w:pStyle w:val="ListParagraph"/>
        <w:spacing w:line="360" w:lineRule="auto"/>
        <w:ind w:left="360"/>
        <w:jc w:val="both"/>
        <w:rPr>
          <w:rFonts w:eastAsia="Times New Roman" w:cstheme="minorHAnsi"/>
          <w:lang w:val="en-GB"/>
        </w:rPr>
      </w:pPr>
    </w:p>
    <w:p w14:paraId="2F109F81" w14:textId="30C4A564" w:rsidR="00474D71" w:rsidRDefault="00474D71" w:rsidP="00787CBA">
      <w:pPr>
        <w:pStyle w:val="ListParagraph"/>
        <w:numPr>
          <w:ilvl w:val="0"/>
          <w:numId w:val="17"/>
        </w:numPr>
        <w:spacing w:after="0" w:line="240" w:lineRule="auto"/>
        <w:jc w:val="both"/>
        <w:rPr>
          <w:rFonts w:eastAsia="Times New Roman" w:cstheme="minorHAnsi"/>
          <w:lang w:val="en-GB"/>
        </w:rPr>
      </w:pPr>
      <w:r w:rsidRPr="005C23E4">
        <w:rPr>
          <w:rFonts w:eastAsia="Times New Roman" w:cstheme="minorHAnsi"/>
          <w:b/>
          <w:bCs/>
          <w:lang w:eastAsia="en-CA"/>
        </w:rPr>
        <w:t>Promote</w:t>
      </w:r>
      <w:r w:rsidRPr="00C024A4">
        <w:rPr>
          <w:rFonts w:eastAsia="Times New Roman" w:cstheme="minorHAnsi"/>
          <w:b/>
          <w:bCs/>
          <w:lang w:val="en-GB"/>
        </w:rPr>
        <w:t xml:space="preserve"> d</w:t>
      </w:r>
      <w:r w:rsidRPr="00B73877">
        <w:rPr>
          <w:rFonts w:eastAsia="Times New Roman" w:cstheme="minorHAnsi"/>
          <w:b/>
          <w:bCs/>
          <w:lang w:val="en-GB"/>
        </w:rPr>
        <w:t xml:space="preserve">ialogue, foster tolerance/ social </w:t>
      </w:r>
      <w:proofErr w:type="gramStart"/>
      <w:r w:rsidRPr="00B73877">
        <w:rPr>
          <w:rFonts w:eastAsia="Times New Roman" w:cstheme="minorHAnsi"/>
          <w:b/>
          <w:bCs/>
          <w:lang w:val="en-GB"/>
        </w:rPr>
        <w:t>cohesion</w:t>
      </w:r>
      <w:proofErr w:type="gramEnd"/>
      <w:r w:rsidRPr="00B73877">
        <w:rPr>
          <w:rFonts w:eastAsia="Times New Roman" w:cstheme="minorHAnsi"/>
          <w:b/>
          <w:bCs/>
          <w:lang w:val="en-GB"/>
        </w:rPr>
        <w:t xml:space="preserve"> and institutional capacity: </w:t>
      </w:r>
      <w:r>
        <w:rPr>
          <w:rFonts w:eastAsia="Times New Roman" w:cstheme="minorHAnsi"/>
          <w:lang w:val="en-GB"/>
        </w:rPr>
        <w:t>The objective of this sub-</w:t>
      </w:r>
      <w:r w:rsidRPr="00B73877">
        <w:rPr>
          <w:rFonts w:eastAsia="Times New Roman" w:cstheme="minorHAnsi"/>
          <w:lang w:val="en-GB"/>
        </w:rPr>
        <w:t xml:space="preserve">output was to promote dialogue, foster tolerance and social cohesion and strengthen institutional capacity but both baseline and target were not set. A decrease in </w:t>
      </w:r>
      <w:r w:rsidR="00C024A4">
        <w:rPr>
          <w:rFonts w:eastAsia="Times New Roman" w:cstheme="minorHAnsi"/>
          <w:lang w:val="en-GB"/>
        </w:rPr>
        <w:t>H</w:t>
      </w:r>
      <w:r w:rsidRPr="00B73877">
        <w:rPr>
          <w:rFonts w:eastAsia="Times New Roman" w:cstheme="minorHAnsi"/>
          <w:lang w:val="en-GB"/>
        </w:rPr>
        <w:t xml:space="preserve">igh </w:t>
      </w:r>
      <w:r w:rsidR="00C024A4">
        <w:rPr>
          <w:rFonts w:eastAsia="Times New Roman" w:cstheme="minorHAnsi"/>
          <w:lang w:val="en-GB"/>
        </w:rPr>
        <w:t>C</w:t>
      </w:r>
      <w:r w:rsidRPr="00B73877">
        <w:rPr>
          <w:rFonts w:eastAsia="Times New Roman" w:cstheme="minorHAnsi"/>
          <w:lang w:val="en-GB"/>
        </w:rPr>
        <w:t xml:space="preserve">onflict </w:t>
      </w:r>
      <w:r w:rsidR="00C024A4">
        <w:rPr>
          <w:rFonts w:eastAsia="Times New Roman" w:cstheme="minorHAnsi"/>
          <w:lang w:val="en-GB"/>
        </w:rPr>
        <w:t>P</w:t>
      </w:r>
      <w:r w:rsidRPr="00B73877">
        <w:rPr>
          <w:rFonts w:eastAsia="Times New Roman" w:cstheme="minorHAnsi"/>
          <w:lang w:val="en-GB"/>
        </w:rPr>
        <w:t xml:space="preserve">rone </w:t>
      </w:r>
      <w:r w:rsidR="00C024A4">
        <w:rPr>
          <w:rFonts w:eastAsia="Times New Roman" w:cstheme="minorHAnsi"/>
          <w:lang w:val="en-GB"/>
        </w:rPr>
        <w:t>W</w:t>
      </w:r>
      <w:r w:rsidRPr="00B73877">
        <w:rPr>
          <w:rFonts w:eastAsia="Times New Roman" w:cstheme="minorHAnsi"/>
          <w:lang w:val="en-GB"/>
        </w:rPr>
        <w:t xml:space="preserve">oredas was planned. The baseline was that 31 </w:t>
      </w:r>
      <w:bookmarkStart w:id="7" w:name="_Hlk102034567"/>
      <w:r w:rsidRPr="00B73877">
        <w:rPr>
          <w:rFonts w:eastAsia="Times New Roman" w:cstheme="minorHAnsi"/>
          <w:lang w:val="en-GB"/>
        </w:rPr>
        <w:t>HCPWs</w:t>
      </w:r>
      <w:bookmarkEnd w:id="7"/>
      <w:r w:rsidRPr="00B73877">
        <w:rPr>
          <w:rFonts w:eastAsia="Times New Roman" w:cstheme="minorHAnsi"/>
          <w:lang w:val="en-GB"/>
        </w:rPr>
        <w:t xml:space="preserve"> registered in 2016 and target was set to reduce the HCPWs by 50% in 2021. A national dialogue forum on national consensus and diversity management was planned. The baseline was none in 2017 and 1 national forum to be conducted in 2021. MoP conducted 2 national peace dialogue forums on diversity management and national consensus issues at national and regional levels and the performance was 100% and achieved the target by 100%. Awareness creation on school curriculums to address social cohesion, </w:t>
      </w:r>
      <w:proofErr w:type="gramStart"/>
      <w:r w:rsidRPr="00B73877">
        <w:rPr>
          <w:rFonts w:eastAsia="Times New Roman" w:cstheme="minorHAnsi"/>
          <w:lang w:val="en-GB"/>
        </w:rPr>
        <w:t>inclusion</w:t>
      </w:r>
      <w:proofErr w:type="gramEnd"/>
      <w:r w:rsidRPr="00B73877">
        <w:rPr>
          <w:rFonts w:eastAsia="Times New Roman" w:cstheme="minorHAnsi"/>
          <w:lang w:val="en-GB"/>
        </w:rPr>
        <w:t xml:space="preserve"> and conflict management issues, implanted and measured in Ethiopia. The baseline was not inadequate in 2017 and the target was very highly adequate in 2021. But how the scale was designed and for what it stands for is not presented. MoP planned 2 national dialogues and 1 Peace Day event and broadcast 10 TV and Radio programs. It also planned 1 national event. MoP organized 1 national Peace Day event for 200 community &amp; religious leaders, women &amp; youth </w:t>
      </w:r>
      <w:proofErr w:type="gramStart"/>
      <w:r w:rsidRPr="00B73877">
        <w:rPr>
          <w:rFonts w:eastAsia="Times New Roman" w:cstheme="minorHAnsi"/>
          <w:lang w:val="en-GB"/>
        </w:rPr>
        <w:t>representatives</w:t>
      </w:r>
      <w:proofErr w:type="gramEnd"/>
      <w:r w:rsidRPr="00B73877">
        <w:rPr>
          <w:rFonts w:eastAsia="Times New Roman" w:cstheme="minorHAnsi"/>
          <w:lang w:val="en-GB"/>
        </w:rPr>
        <w:t xml:space="preserve"> and public officials. It broadcast the national Peace Day event in 10 television and radio programs. The performance was 100% and since the baseline and target scale measures were abstract, it is not possible to evaluate the achievement and thus the effectiveness.</w:t>
      </w:r>
    </w:p>
    <w:p w14:paraId="2BC3E963" w14:textId="77777777" w:rsidR="00474D71" w:rsidRPr="00B73877" w:rsidRDefault="00474D71" w:rsidP="00787CBA">
      <w:pPr>
        <w:pStyle w:val="ListParagraph"/>
        <w:spacing w:after="0" w:line="240" w:lineRule="auto"/>
        <w:ind w:left="450"/>
        <w:jc w:val="both"/>
        <w:rPr>
          <w:rFonts w:eastAsia="Times New Roman" w:cstheme="minorHAnsi"/>
          <w:lang w:val="en-GB"/>
        </w:rPr>
      </w:pPr>
    </w:p>
    <w:p w14:paraId="15DD466C" w14:textId="77777777" w:rsidR="00474D71" w:rsidRDefault="00474D71" w:rsidP="00787CBA">
      <w:pPr>
        <w:pStyle w:val="ListParagraph"/>
        <w:numPr>
          <w:ilvl w:val="0"/>
          <w:numId w:val="17"/>
        </w:numPr>
        <w:spacing w:after="0" w:line="240" w:lineRule="auto"/>
        <w:jc w:val="both"/>
        <w:rPr>
          <w:rFonts w:eastAsia="Times New Roman" w:cstheme="minorHAnsi"/>
          <w:lang w:val="en-GB"/>
        </w:rPr>
      </w:pPr>
      <w:r w:rsidRPr="005C23E4">
        <w:rPr>
          <w:rFonts w:eastAsia="Times New Roman" w:cstheme="minorHAnsi"/>
          <w:b/>
          <w:bCs/>
          <w:lang w:eastAsia="en-CA"/>
        </w:rPr>
        <w:t>Strengthened</w:t>
      </w:r>
      <w:r w:rsidRPr="00C024A4">
        <w:rPr>
          <w:rFonts w:eastAsia="Times New Roman" w:cstheme="minorHAnsi"/>
          <w:b/>
          <w:bCs/>
          <w:lang w:val="en-GB"/>
        </w:rPr>
        <w:t xml:space="preserve"> c</w:t>
      </w:r>
      <w:r w:rsidRPr="00B73877">
        <w:rPr>
          <w:rFonts w:eastAsia="Times New Roman" w:cstheme="minorHAnsi"/>
          <w:b/>
          <w:bCs/>
          <w:lang w:val="en-GB"/>
        </w:rPr>
        <w:t xml:space="preserve">onstitutional interpretation system: </w:t>
      </w:r>
      <w:r>
        <w:rPr>
          <w:rFonts w:eastAsia="Times New Roman" w:cstheme="minorHAnsi"/>
          <w:lang w:val="en-GB"/>
        </w:rPr>
        <w:t>The aim of this sub-</w:t>
      </w:r>
      <w:r w:rsidRPr="00B73877">
        <w:rPr>
          <w:rFonts w:eastAsia="Times New Roman" w:cstheme="minorHAnsi"/>
          <w:lang w:val="en-GB"/>
        </w:rPr>
        <w:t xml:space="preserve">output was to strengthen constitutional interpretation </w:t>
      </w:r>
      <w:proofErr w:type="gramStart"/>
      <w:r w:rsidRPr="00B73877">
        <w:rPr>
          <w:rFonts w:eastAsia="Times New Roman" w:cstheme="minorHAnsi"/>
          <w:lang w:val="en-GB"/>
        </w:rPr>
        <w:t>system</w:t>
      </w:r>
      <w:proofErr w:type="gramEnd"/>
      <w:r w:rsidRPr="00B73877">
        <w:rPr>
          <w:rFonts w:eastAsia="Times New Roman" w:cstheme="minorHAnsi"/>
          <w:lang w:val="en-GB"/>
        </w:rPr>
        <w:t xml:space="preserve"> but both the baseline and target were not set. A familiarization and institutionalization of case management system was planned by CCI. The baseline was none in</w:t>
      </w:r>
      <w:r>
        <w:rPr>
          <w:rFonts w:eastAsia="Times New Roman" w:cstheme="minorHAnsi"/>
          <w:lang w:val="en-GB"/>
        </w:rPr>
        <w:t xml:space="preserve"> </w:t>
      </w:r>
      <w:r w:rsidRPr="00B73877">
        <w:rPr>
          <w:rFonts w:eastAsia="Times New Roman" w:cstheme="minorHAnsi"/>
          <w:lang w:val="en-GB"/>
        </w:rPr>
        <w:t xml:space="preserve">2017 and the target was set to put a system in place in 2021. Now case flow and management system are institutionalized and </w:t>
      </w:r>
      <w:proofErr w:type="gramStart"/>
      <w:r w:rsidRPr="00B73877">
        <w:rPr>
          <w:rFonts w:eastAsia="Times New Roman" w:cstheme="minorHAnsi"/>
          <w:lang w:val="en-GB"/>
        </w:rPr>
        <w:t>all of</w:t>
      </w:r>
      <w:proofErr w:type="gramEnd"/>
      <w:r w:rsidRPr="00B73877">
        <w:rPr>
          <w:rFonts w:eastAsia="Times New Roman" w:cstheme="minorHAnsi"/>
          <w:lang w:val="en-GB"/>
        </w:rPr>
        <w:t xml:space="preserve"> the outstanding and current cases were assessed (100%) and the achievement is 100%. MoP also targeted the establishment of 6 national, 10 regional dialogue forums and 2 assessments (1 situation and another 1 public &amp; private media). </w:t>
      </w:r>
      <w:r w:rsidRPr="00B73877">
        <w:rPr>
          <w:rFonts w:eastAsia="Times New Roman" w:cstheme="minorHAnsi"/>
          <w:lang w:val="en-GB"/>
        </w:rPr>
        <w:lastRenderedPageBreak/>
        <w:t>In line with this, 2 capacity building trainings, reached 1576 peace and religious actors, 3 training to 300 participants and conducted 2 assessment reports. The performance was 100% and the target achievement was also 100%. The MoP planned to establish 6 Peace Council Networks (2 national &amp; 4 regional); and 12 Independent Advisory Groups Networks. It now established 1 national-regional network, 2 peace forums, and organized 5 workshops/forums (1 national workshop, and 4 consultative &amp; discussion forums). The performance is 100% and the achievement is 100%.</w:t>
      </w:r>
    </w:p>
    <w:p w14:paraId="64E34D56" w14:textId="77777777" w:rsidR="00474D71" w:rsidRPr="00B73877" w:rsidRDefault="00474D71" w:rsidP="00787CBA">
      <w:pPr>
        <w:pStyle w:val="ListParagraph"/>
        <w:spacing w:after="0" w:line="240" w:lineRule="auto"/>
        <w:ind w:left="450"/>
        <w:jc w:val="both"/>
        <w:rPr>
          <w:rFonts w:eastAsia="Times New Roman" w:cstheme="minorHAnsi"/>
          <w:lang w:val="en-GB"/>
        </w:rPr>
      </w:pPr>
    </w:p>
    <w:p w14:paraId="7F1ACD9B" w14:textId="77777777" w:rsidR="00474D71" w:rsidRDefault="00474D71" w:rsidP="00787CBA">
      <w:pPr>
        <w:pStyle w:val="ListParagraph"/>
        <w:numPr>
          <w:ilvl w:val="0"/>
          <w:numId w:val="17"/>
        </w:numPr>
        <w:spacing w:line="240" w:lineRule="auto"/>
        <w:ind w:left="360"/>
        <w:jc w:val="both"/>
        <w:rPr>
          <w:rFonts w:eastAsia="Times New Roman" w:cstheme="minorHAnsi"/>
          <w:lang w:val="en-GB"/>
        </w:rPr>
      </w:pPr>
      <w:r w:rsidRPr="00B73877">
        <w:rPr>
          <w:rFonts w:eastAsia="Times New Roman" w:cstheme="minorHAnsi"/>
          <w:lang w:val="en-GB"/>
        </w:rPr>
        <w:t>This output was identified for 2 IPs; namely, HoF and the Mo</w:t>
      </w:r>
      <w:r>
        <w:rPr>
          <w:rFonts w:eastAsia="Times New Roman" w:cstheme="minorHAnsi"/>
          <w:lang w:val="en-GB"/>
        </w:rPr>
        <w:t>P. Under this output, three sub-</w:t>
      </w:r>
      <w:r w:rsidRPr="00B73877">
        <w:rPr>
          <w:rFonts w:eastAsia="Times New Roman" w:cstheme="minorHAnsi"/>
          <w:lang w:val="en-GB"/>
        </w:rPr>
        <w:t>outputs</w:t>
      </w:r>
      <w:r>
        <w:rPr>
          <w:rFonts w:eastAsia="Times New Roman" w:cstheme="minorHAnsi"/>
          <w:lang w:val="en-GB"/>
        </w:rPr>
        <w:t xml:space="preserve"> were identified. The first sub-</w:t>
      </w:r>
      <w:r w:rsidRPr="00B73877">
        <w:rPr>
          <w:rFonts w:eastAsia="Times New Roman" w:cstheme="minorHAnsi"/>
          <w:lang w:val="en-GB"/>
        </w:rPr>
        <w:t>output, developing and putting in place systems on diversity management and social cohesion</w:t>
      </w:r>
      <w:r>
        <w:rPr>
          <w:rFonts w:eastAsia="Times New Roman" w:cstheme="minorHAnsi"/>
          <w:lang w:val="en-GB"/>
        </w:rPr>
        <w:t>s at all levels, the second sub-</w:t>
      </w:r>
      <w:r w:rsidRPr="00B73877">
        <w:rPr>
          <w:rFonts w:eastAsia="Times New Roman" w:cstheme="minorHAnsi"/>
          <w:lang w:val="en-GB"/>
        </w:rPr>
        <w:t>output, establishing/strengthening policy/</w:t>
      </w:r>
      <w:proofErr w:type="gramStart"/>
      <w:r w:rsidRPr="00B73877">
        <w:rPr>
          <w:rFonts w:eastAsia="Times New Roman" w:cstheme="minorHAnsi"/>
          <w:lang w:val="en-GB"/>
        </w:rPr>
        <w:t>strategy</w:t>
      </w:r>
      <w:proofErr w:type="gramEnd"/>
      <w:r w:rsidRPr="00B73877">
        <w:rPr>
          <w:rFonts w:eastAsia="Times New Roman" w:cstheme="minorHAnsi"/>
          <w:lang w:val="en-GB"/>
        </w:rPr>
        <w:t xml:space="preserve"> and platforms for an effective peace architecture of conflict prevention and peace building at all levels o</w:t>
      </w:r>
      <w:r>
        <w:rPr>
          <w:rFonts w:eastAsia="Times New Roman" w:cstheme="minorHAnsi"/>
          <w:lang w:val="en-GB"/>
        </w:rPr>
        <w:t>f governance, and the third sub-</w:t>
      </w:r>
      <w:r w:rsidRPr="00B73877">
        <w:rPr>
          <w:rFonts w:eastAsia="Times New Roman" w:cstheme="minorHAnsi"/>
          <w:lang w:val="en-GB"/>
        </w:rPr>
        <w:t>output, developing/strengthening systems and mechanisms to promote national consensus and nation building at all levels. The GDPP achieve</w:t>
      </w:r>
      <w:r>
        <w:rPr>
          <w:rFonts w:eastAsia="Times New Roman" w:cstheme="minorHAnsi"/>
          <w:lang w:val="en-GB"/>
        </w:rPr>
        <w:t>d results on the target for sub-</w:t>
      </w:r>
      <w:r w:rsidRPr="00B73877">
        <w:rPr>
          <w:rFonts w:eastAsia="Times New Roman" w:cstheme="minorHAnsi"/>
          <w:lang w:val="en-GB"/>
        </w:rPr>
        <w:t>output 4.1, 2.2 and 4.3 as follows. Out of the 17 activities planned for 4.1, 14 of them were accomplished; the target achievement is 82.4%. Out of the 15 activities planned for 4.2, all of them accomplished; and the target is achieved by 100%. Out of 36 activities planned for 4.3, 34 accomplished; and the target achievement is 94.4%. In average, the achievement of output is 4 is 92.7%; and in overall the achievement of this output is on the target.</w:t>
      </w:r>
    </w:p>
    <w:p w14:paraId="424EACB1" w14:textId="77777777" w:rsidR="00474D71" w:rsidRPr="008C4BC4" w:rsidRDefault="00474D71" w:rsidP="00787CBA">
      <w:pPr>
        <w:pStyle w:val="ListParagraph"/>
        <w:spacing w:line="240" w:lineRule="auto"/>
        <w:rPr>
          <w:rFonts w:eastAsia="Times New Roman" w:cstheme="minorHAnsi"/>
          <w:lang w:val="en-GB"/>
        </w:rPr>
      </w:pPr>
    </w:p>
    <w:p w14:paraId="5F43E607" w14:textId="77777777" w:rsidR="00474D71" w:rsidRDefault="00474D71" w:rsidP="00787CBA">
      <w:pPr>
        <w:pStyle w:val="ListParagraph"/>
        <w:numPr>
          <w:ilvl w:val="0"/>
          <w:numId w:val="17"/>
        </w:numPr>
        <w:spacing w:line="240" w:lineRule="auto"/>
        <w:ind w:left="360"/>
        <w:jc w:val="both"/>
        <w:rPr>
          <w:rFonts w:eastAsia="Times New Roman" w:cstheme="minorHAnsi"/>
          <w:lang w:val="en-GB"/>
        </w:rPr>
      </w:pPr>
      <w:bookmarkStart w:id="8" w:name="_Hlk99928155"/>
      <w:r w:rsidRPr="00B73877">
        <w:rPr>
          <w:rFonts w:eastAsia="Times New Roman" w:cstheme="minorHAnsi"/>
          <w:b/>
          <w:bCs/>
          <w:lang w:val="en-GB"/>
        </w:rPr>
        <w:t>Enhance access to justice and promote and protect human rights in Ethiopia</w:t>
      </w:r>
      <w:bookmarkEnd w:id="8"/>
      <w:r w:rsidRPr="00B73877">
        <w:rPr>
          <w:rFonts w:eastAsia="Times New Roman" w:cstheme="minorHAnsi"/>
          <w:b/>
          <w:bCs/>
          <w:lang w:val="en-GB"/>
        </w:rPr>
        <w:t xml:space="preserve">: </w:t>
      </w:r>
      <w:r w:rsidRPr="00B73877">
        <w:rPr>
          <w:rFonts w:eastAsia="Times New Roman" w:cstheme="minorHAnsi"/>
          <w:lang w:val="en-GB"/>
        </w:rPr>
        <w:t xml:space="preserve">The fifth output is about access to justice and human rights promoted and protected across the Ethiopian society. The indicators for this output are number of beneficiaries/citizens who received legal aid services, disaggregated by gender, age and social status and availability of justice sector assessment report and signed program document for justice sector support (yes/no)) by OAG, National Human Rights Action Plan (NHRAP II) effectively implemented and monitored (extent to which NHRAP Coordination Offices have been effective in their coordination, monitoring of and reporting on implementation of the Action Plan (Inadequate, adequate and highly adequate) and Presence of a consolidated NHRAP II implementation report/published report and Percentage of the 2014 UPR recommendations (accepted by GoE) fully implemented by the Government of Ethiopia. </w:t>
      </w:r>
    </w:p>
    <w:p w14:paraId="4ADC91AE" w14:textId="77777777" w:rsidR="00474D71" w:rsidRPr="005D13B3" w:rsidRDefault="00474D71" w:rsidP="00787CBA">
      <w:pPr>
        <w:pStyle w:val="ListParagraph"/>
        <w:spacing w:line="240" w:lineRule="auto"/>
        <w:rPr>
          <w:rFonts w:eastAsia="Times New Roman" w:cstheme="minorHAnsi"/>
          <w:lang w:val="en-GB"/>
        </w:rPr>
      </w:pPr>
    </w:p>
    <w:p w14:paraId="0ACD92B6" w14:textId="3AD8FBCB" w:rsidR="00474D71" w:rsidRDefault="00474D71" w:rsidP="00787CBA">
      <w:pPr>
        <w:pStyle w:val="ListParagraph"/>
        <w:numPr>
          <w:ilvl w:val="0"/>
          <w:numId w:val="17"/>
        </w:numPr>
        <w:spacing w:line="240" w:lineRule="auto"/>
        <w:ind w:left="360"/>
        <w:jc w:val="both"/>
        <w:rPr>
          <w:rFonts w:eastAsia="Times New Roman" w:cstheme="minorHAnsi"/>
          <w:lang w:val="en-GB"/>
        </w:rPr>
      </w:pPr>
      <w:r w:rsidRPr="005C23E4">
        <w:rPr>
          <w:rFonts w:eastAsia="Times New Roman" w:cstheme="minorHAnsi"/>
          <w:b/>
          <w:bCs/>
          <w:lang w:eastAsia="en-CA"/>
        </w:rPr>
        <w:t>Strengthening</w:t>
      </w:r>
      <w:r w:rsidRPr="00C024A4">
        <w:rPr>
          <w:rFonts w:eastAsia="Meiryo" w:cstheme="minorHAnsi"/>
          <w:b/>
          <w:bCs/>
          <w:color w:val="000000" w:themeColor="text1"/>
          <w:lang w:val="en-US"/>
        </w:rPr>
        <w:t xml:space="preserve"> r</w:t>
      </w:r>
      <w:r w:rsidRPr="005A3057">
        <w:rPr>
          <w:rFonts w:eastAsia="Meiryo" w:cstheme="minorHAnsi"/>
          <w:b/>
          <w:bCs/>
          <w:color w:val="000000" w:themeColor="text1"/>
        </w:rPr>
        <w:t xml:space="preserve">regulatory and procedural systems: </w:t>
      </w:r>
      <w:r w:rsidRPr="005A3057">
        <w:rPr>
          <w:rFonts w:eastAsia="Times New Roman" w:cstheme="minorHAnsi"/>
          <w:lang w:val="en-GB"/>
        </w:rPr>
        <w:t>The aim o</w:t>
      </w:r>
      <w:r>
        <w:rPr>
          <w:rFonts w:eastAsia="Times New Roman" w:cstheme="minorHAnsi"/>
          <w:lang w:val="en-GB"/>
        </w:rPr>
        <w:t>f this sub-</w:t>
      </w:r>
      <w:r w:rsidRPr="005A3057">
        <w:rPr>
          <w:rFonts w:eastAsia="Times New Roman" w:cstheme="minorHAnsi"/>
          <w:lang w:val="en-GB"/>
        </w:rPr>
        <w:t>output was to strengthen the regulatory and procedural systems for effective access to justice and r</w:t>
      </w:r>
      <w:r>
        <w:rPr>
          <w:rFonts w:eastAsia="Times New Roman" w:cstheme="minorHAnsi"/>
          <w:lang w:val="en-GB"/>
        </w:rPr>
        <w:t>edress mechanisms. For this sub-</w:t>
      </w:r>
      <w:r w:rsidRPr="005A3057">
        <w:rPr>
          <w:rFonts w:eastAsia="Times New Roman" w:cstheme="minorHAnsi"/>
          <w:lang w:val="en-GB"/>
        </w:rPr>
        <w:t>output, both baseline and t</w:t>
      </w:r>
      <w:r>
        <w:rPr>
          <w:rFonts w:eastAsia="Times New Roman" w:cstheme="minorHAnsi"/>
          <w:lang w:val="en-GB"/>
        </w:rPr>
        <w:t>arget were not set for this sub-output. Under sub-</w:t>
      </w:r>
      <w:r w:rsidRPr="005A3057">
        <w:rPr>
          <w:rFonts w:eastAsia="Times New Roman" w:cstheme="minorHAnsi"/>
          <w:lang w:val="en-GB"/>
        </w:rPr>
        <w:t>output 5.1, a national legal aid and implementation strategy was planned. The baseline was none in 2017 and the target was to adopt, implement and asse</w:t>
      </w:r>
      <w:r w:rsidR="00C024A4">
        <w:rPr>
          <w:rFonts w:eastAsia="Times New Roman" w:cstheme="minorHAnsi"/>
          <w:lang w:val="en-GB"/>
        </w:rPr>
        <w:t>ss</w:t>
      </w:r>
      <w:r w:rsidRPr="005A3057">
        <w:rPr>
          <w:rFonts w:eastAsia="Times New Roman" w:cstheme="minorHAnsi"/>
          <w:lang w:val="en-GB"/>
        </w:rPr>
        <w:t xml:space="preserve"> impact in 2021. A plan to increase beneficiaries/citizens who received legal aid services. The baseline was 82,000 in 2017 and the target was to increase this by 100% from the baseline but there wasn’t evidence to evaluate this.  A justice sector assessment report and a signed program document was planned to be available. The baseline is none in 2017 and the target was to avail the sector assessment report and a si</w:t>
      </w:r>
      <w:r w:rsidR="00C024A4">
        <w:rPr>
          <w:rFonts w:eastAsia="Times New Roman" w:cstheme="minorHAnsi"/>
          <w:lang w:val="en-GB"/>
        </w:rPr>
        <w:t>gned</w:t>
      </w:r>
      <w:r w:rsidRPr="005A3057">
        <w:rPr>
          <w:rFonts w:eastAsia="Times New Roman" w:cstheme="minorHAnsi"/>
          <w:lang w:val="en-GB"/>
        </w:rPr>
        <w:t xml:space="preserve"> program in 2021. Under this, the EHRC planned to conduct 4 investigations on selected human rights violation</w:t>
      </w:r>
      <w:r w:rsidR="00C024A4">
        <w:rPr>
          <w:rFonts w:eastAsia="Times New Roman" w:cstheme="minorHAnsi"/>
          <w:lang w:val="en-GB"/>
        </w:rPr>
        <w:t>s</w:t>
      </w:r>
      <w:r w:rsidRPr="005A3057">
        <w:rPr>
          <w:rFonts w:eastAsia="Times New Roman" w:cstheme="minorHAnsi"/>
          <w:lang w:val="en-GB"/>
        </w:rPr>
        <w:t xml:space="preserve">, establish 2 platforms to promote and enhance information provision and conduct 2 research assignments on systemic human rights issues. It accomplished 8 investigations on </w:t>
      </w:r>
      <w:r w:rsidR="00C024A4">
        <w:rPr>
          <w:rFonts w:eastAsia="Times New Roman" w:cstheme="minorHAnsi"/>
          <w:lang w:val="en-GB"/>
        </w:rPr>
        <w:t>Internally Displaced Persons (</w:t>
      </w:r>
      <w:r w:rsidRPr="005A3057">
        <w:rPr>
          <w:rFonts w:eastAsia="Times New Roman" w:cstheme="minorHAnsi"/>
          <w:lang w:val="en-GB"/>
        </w:rPr>
        <w:t>IDPs</w:t>
      </w:r>
      <w:r w:rsidR="00C024A4">
        <w:rPr>
          <w:rFonts w:eastAsia="Times New Roman" w:cstheme="minorHAnsi"/>
          <w:lang w:val="en-GB"/>
        </w:rPr>
        <w:t>)</w:t>
      </w:r>
      <w:r w:rsidRPr="005A3057">
        <w:rPr>
          <w:rFonts w:eastAsia="Times New Roman" w:cstheme="minorHAnsi"/>
          <w:lang w:val="en-GB"/>
        </w:rPr>
        <w:t xml:space="preserve"> and the 2 platforms were not implemented. The plan was to accomplish 6 (4 investigations and 2 platforms) and the achievement was 8 investigations and 0 </w:t>
      </w:r>
      <w:proofErr w:type="gramStart"/>
      <w:r w:rsidRPr="005A3057">
        <w:rPr>
          <w:rFonts w:eastAsia="Times New Roman" w:cstheme="minorHAnsi"/>
          <w:lang w:val="en-GB"/>
        </w:rPr>
        <w:t>platforms;</w:t>
      </w:r>
      <w:proofErr w:type="gramEnd"/>
      <w:r w:rsidRPr="005A3057">
        <w:rPr>
          <w:rFonts w:eastAsia="Times New Roman" w:cstheme="minorHAnsi"/>
          <w:lang w:val="en-GB"/>
        </w:rPr>
        <w:t xml:space="preserve"> which is 133.3%. Though the signed program document was not in place, the investigation report was more than 100% achieved.</w:t>
      </w:r>
    </w:p>
    <w:p w14:paraId="072A5A5C" w14:textId="77777777" w:rsidR="00787CBA" w:rsidRDefault="00787CBA" w:rsidP="00474D71">
      <w:pPr>
        <w:pStyle w:val="Caption"/>
        <w:rPr>
          <w:rFonts w:cstheme="minorHAnsi"/>
          <w:i w:val="0"/>
          <w:iCs w:val="0"/>
          <w:sz w:val="22"/>
          <w:szCs w:val="22"/>
        </w:rPr>
      </w:pPr>
    </w:p>
    <w:p w14:paraId="0B820312" w14:textId="1854C586" w:rsidR="00474D71" w:rsidRPr="00B73877" w:rsidRDefault="00474D71" w:rsidP="00474D71">
      <w:pPr>
        <w:pStyle w:val="Caption"/>
        <w:rPr>
          <w:rFonts w:cstheme="minorHAnsi"/>
          <w:i w:val="0"/>
          <w:iCs w:val="0"/>
          <w:sz w:val="22"/>
          <w:szCs w:val="22"/>
        </w:rPr>
      </w:pPr>
      <w:r w:rsidRPr="00B73877">
        <w:rPr>
          <w:rFonts w:cstheme="minorHAnsi"/>
          <w:i w:val="0"/>
          <w:iCs w:val="0"/>
          <w:sz w:val="22"/>
          <w:szCs w:val="22"/>
        </w:rPr>
        <w:lastRenderedPageBreak/>
        <w:t xml:space="preserve">Table </w:t>
      </w:r>
      <w:r w:rsidRPr="00B73877">
        <w:rPr>
          <w:rFonts w:cstheme="minorHAnsi"/>
          <w:i w:val="0"/>
          <w:iCs w:val="0"/>
          <w:sz w:val="22"/>
          <w:szCs w:val="22"/>
        </w:rPr>
        <w:fldChar w:fldCharType="begin"/>
      </w:r>
      <w:r w:rsidRPr="00B73877">
        <w:rPr>
          <w:rFonts w:cstheme="minorHAnsi"/>
          <w:i w:val="0"/>
          <w:iCs w:val="0"/>
          <w:sz w:val="22"/>
          <w:szCs w:val="22"/>
        </w:rPr>
        <w:instrText xml:space="preserve"> SEQ Table \* ARABIC </w:instrText>
      </w:r>
      <w:r w:rsidRPr="00B73877">
        <w:rPr>
          <w:rFonts w:cstheme="minorHAnsi"/>
          <w:i w:val="0"/>
          <w:iCs w:val="0"/>
          <w:sz w:val="22"/>
          <w:szCs w:val="22"/>
        </w:rPr>
        <w:fldChar w:fldCharType="separate"/>
      </w:r>
      <w:r w:rsidR="006240B3">
        <w:rPr>
          <w:rFonts w:cstheme="minorHAnsi"/>
          <w:i w:val="0"/>
          <w:iCs w:val="0"/>
          <w:noProof/>
          <w:sz w:val="22"/>
          <w:szCs w:val="22"/>
        </w:rPr>
        <w:t>6</w:t>
      </w:r>
      <w:r w:rsidRPr="00B73877">
        <w:rPr>
          <w:rFonts w:cstheme="minorHAnsi"/>
          <w:i w:val="0"/>
          <w:iCs w:val="0"/>
          <w:sz w:val="22"/>
          <w:szCs w:val="22"/>
        </w:rPr>
        <w:fldChar w:fldCharType="end"/>
      </w:r>
      <w:r>
        <w:rPr>
          <w:rFonts w:cstheme="minorHAnsi"/>
          <w:i w:val="0"/>
          <w:iCs w:val="0"/>
          <w:sz w:val="22"/>
          <w:szCs w:val="22"/>
        </w:rPr>
        <w:t xml:space="preserve"> – Achievements of Sub-</w:t>
      </w:r>
      <w:r w:rsidRPr="00B73877">
        <w:rPr>
          <w:rFonts w:cstheme="minorHAnsi"/>
          <w:i w:val="0"/>
          <w:iCs w:val="0"/>
          <w:sz w:val="22"/>
          <w:szCs w:val="22"/>
        </w:rPr>
        <w:t>Outputs 5.1, 5.2 and 5.3</w:t>
      </w:r>
    </w:p>
    <w:tbl>
      <w:tblPr>
        <w:tblStyle w:val="TableGrid"/>
        <w:tblW w:w="5000" w:type="pct"/>
        <w:tblLook w:val="04A0" w:firstRow="1" w:lastRow="0" w:firstColumn="1" w:lastColumn="0" w:noHBand="0" w:noVBand="1"/>
      </w:tblPr>
      <w:tblGrid>
        <w:gridCol w:w="5215"/>
        <w:gridCol w:w="1259"/>
        <w:gridCol w:w="1479"/>
        <w:gridCol w:w="1397"/>
      </w:tblGrid>
      <w:tr w:rsidR="00474D71" w:rsidRPr="005B2583" w14:paraId="0DE3F441" w14:textId="77777777" w:rsidTr="00085813">
        <w:tc>
          <w:tcPr>
            <w:tcW w:w="2789" w:type="pct"/>
            <w:shd w:val="clear" w:color="auto" w:fill="8EAADB" w:themeFill="accent5" w:themeFillTint="99"/>
          </w:tcPr>
          <w:p w14:paraId="15BC90CC" w14:textId="77777777" w:rsidR="00474D71" w:rsidRPr="00B73877" w:rsidRDefault="00474D71" w:rsidP="00085813">
            <w:pPr>
              <w:spacing w:line="276" w:lineRule="auto"/>
              <w:rPr>
                <w:rFonts w:eastAsia="Times New Roman" w:cstheme="minorHAnsi"/>
              </w:rPr>
            </w:pPr>
            <w:r>
              <w:rPr>
                <w:rFonts w:eastAsia="Times New Roman" w:cstheme="minorHAnsi"/>
              </w:rPr>
              <w:t>Sub-</w:t>
            </w:r>
            <w:r w:rsidRPr="00B73877">
              <w:rPr>
                <w:rFonts w:eastAsia="Times New Roman" w:cstheme="minorHAnsi"/>
              </w:rPr>
              <w:t>Outputs of Output 5</w:t>
            </w:r>
          </w:p>
        </w:tc>
        <w:tc>
          <w:tcPr>
            <w:tcW w:w="673" w:type="pct"/>
            <w:shd w:val="clear" w:color="auto" w:fill="8EAADB" w:themeFill="accent5" w:themeFillTint="99"/>
          </w:tcPr>
          <w:p w14:paraId="7E0BB1FB" w14:textId="77777777" w:rsidR="00474D71" w:rsidRPr="00B73877" w:rsidRDefault="00474D71" w:rsidP="00085813">
            <w:pPr>
              <w:spacing w:line="276" w:lineRule="auto"/>
              <w:rPr>
                <w:rFonts w:eastAsia="Times New Roman" w:cstheme="minorHAnsi"/>
              </w:rPr>
            </w:pPr>
            <w:r w:rsidRPr="00B73877">
              <w:rPr>
                <w:rFonts w:eastAsia="Times New Roman" w:cstheme="minorHAnsi"/>
                <w:b/>
                <w:bCs/>
              </w:rPr>
              <w:t>Target activities planned</w:t>
            </w:r>
          </w:p>
        </w:tc>
        <w:tc>
          <w:tcPr>
            <w:tcW w:w="791" w:type="pct"/>
            <w:shd w:val="clear" w:color="auto" w:fill="8EAADB" w:themeFill="accent5" w:themeFillTint="99"/>
          </w:tcPr>
          <w:p w14:paraId="21B7DC27" w14:textId="77777777" w:rsidR="00474D71" w:rsidRPr="00B73877" w:rsidRDefault="00474D71" w:rsidP="00085813">
            <w:pPr>
              <w:spacing w:line="276" w:lineRule="auto"/>
              <w:rPr>
                <w:rFonts w:eastAsia="Times New Roman" w:cstheme="minorHAnsi"/>
              </w:rPr>
            </w:pPr>
            <w:r w:rsidRPr="00B73877">
              <w:rPr>
                <w:rFonts w:eastAsia="Times New Roman" w:cstheme="minorHAnsi"/>
                <w:b/>
                <w:bCs/>
              </w:rPr>
              <w:t>Target activities accomplished</w:t>
            </w:r>
          </w:p>
        </w:tc>
        <w:tc>
          <w:tcPr>
            <w:tcW w:w="747" w:type="pct"/>
            <w:shd w:val="clear" w:color="auto" w:fill="8EAADB" w:themeFill="accent5" w:themeFillTint="99"/>
          </w:tcPr>
          <w:p w14:paraId="25858249" w14:textId="77777777" w:rsidR="00474D71" w:rsidRPr="00B73877" w:rsidRDefault="00474D71" w:rsidP="00085813">
            <w:pPr>
              <w:spacing w:line="276" w:lineRule="auto"/>
              <w:rPr>
                <w:rFonts w:eastAsia="Times New Roman" w:cstheme="minorHAnsi"/>
              </w:rPr>
            </w:pPr>
            <w:r w:rsidRPr="00B73877">
              <w:rPr>
                <w:rFonts w:eastAsia="Times New Roman" w:cstheme="minorHAnsi"/>
              </w:rPr>
              <w:t>Achievement Rating (%)</w:t>
            </w:r>
          </w:p>
        </w:tc>
      </w:tr>
      <w:tr w:rsidR="00474D71" w:rsidRPr="005B2583" w14:paraId="0DDA3114" w14:textId="77777777" w:rsidTr="00085813">
        <w:tc>
          <w:tcPr>
            <w:tcW w:w="2789" w:type="pct"/>
          </w:tcPr>
          <w:p w14:paraId="7D1E0AE5" w14:textId="77777777" w:rsidR="00474D71" w:rsidRPr="00B73877" w:rsidRDefault="00474D71" w:rsidP="00085813">
            <w:pPr>
              <w:spacing w:line="276" w:lineRule="auto"/>
              <w:rPr>
                <w:rFonts w:eastAsia="Times New Roman" w:cstheme="minorHAnsi"/>
              </w:rPr>
            </w:pPr>
            <w:r>
              <w:rPr>
                <w:rFonts w:eastAsia="Times New Roman" w:cstheme="minorHAnsi"/>
              </w:rPr>
              <w:t xml:space="preserve">5.1. strengthening </w:t>
            </w:r>
            <w:r w:rsidRPr="00B73877">
              <w:rPr>
                <w:rFonts w:eastAsia="Times New Roman" w:cstheme="minorHAnsi"/>
              </w:rPr>
              <w:t>regulatory and procedural systems</w:t>
            </w:r>
          </w:p>
        </w:tc>
        <w:tc>
          <w:tcPr>
            <w:tcW w:w="673" w:type="pct"/>
          </w:tcPr>
          <w:p w14:paraId="0494F69F" w14:textId="77777777" w:rsidR="00474D71" w:rsidRPr="00B73877" w:rsidRDefault="00474D71" w:rsidP="00085813">
            <w:pPr>
              <w:spacing w:line="276" w:lineRule="auto"/>
              <w:jc w:val="center"/>
              <w:rPr>
                <w:rFonts w:eastAsia="Times New Roman" w:cstheme="minorHAnsi"/>
                <w:b/>
                <w:bCs/>
              </w:rPr>
            </w:pPr>
            <w:r w:rsidRPr="00B73877">
              <w:rPr>
                <w:rFonts w:eastAsia="Times New Roman" w:cstheme="minorHAnsi"/>
                <w:b/>
                <w:bCs/>
              </w:rPr>
              <w:t>8</w:t>
            </w:r>
          </w:p>
        </w:tc>
        <w:tc>
          <w:tcPr>
            <w:tcW w:w="791" w:type="pct"/>
          </w:tcPr>
          <w:p w14:paraId="61C5D5F3" w14:textId="77777777" w:rsidR="00474D71" w:rsidRPr="00B73877" w:rsidRDefault="00474D71" w:rsidP="00085813">
            <w:pPr>
              <w:spacing w:line="276" w:lineRule="auto"/>
              <w:jc w:val="center"/>
              <w:rPr>
                <w:rFonts w:eastAsia="Times New Roman" w:cstheme="minorHAnsi"/>
                <w:b/>
                <w:bCs/>
              </w:rPr>
            </w:pPr>
            <w:r w:rsidRPr="00B73877">
              <w:rPr>
                <w:rFonts w:eastAsia="Times New Roman" w:cstheme="minorHAnsi"/>
                <w:b/>
                <w:bCs/>
              </w:rPr>
              <w:t>10</w:t>
            </w:r>
          </w:p>
        </w:tc>
        <w:tc>
          <w:tcPr>
            <w:tcW w:w="747" w:type="pct"/>
            <w:shd w:val="clear" w:color="auto" w:fill="00B050"/>
          </w:tcPr>
          <w:p w14:paraId="7DADC136" w14:textId="77777777" w:rsidR="00474D71" w:rsidRPr="00B73877" w:rsidRDefault="00474D71" w:rsidP="00085813">
            <w:pPr>
              <w:spacing w:line="276" w:lineRule="auto"/>
              <w:jc w:val="center"/>
              <w:rPr>
                <w:rFonts w:eastAsia="Times New Roman" w:cstheme="minorHAnsi"/>
                <w:b/>
                <w:bCs/>
              </w:rPr>
            </w:pPr>
            <w:r w:rsidRPr="00B73877">
              <w:rPr>
                <w:rFonts w:eastAsia="Times New Roman" w:cstheme="minorHAnsi"/>
                <w:b/>
                <w:bCs/>
              </w:rPr>
              <w:t>125%</w:t>
            </w:r>
          </w:p>
        </w:tc>
      </w:tr>
      <w:tr w:rsidR="00474D71" w:rsidRPr="005B2583" w14:paraId="0A8CD978" w14:textId="77777777" w:rsidTr="00085813">
        <w:tc>
          <w:tcPr>
            <w:tcW w:w="2789" w:type="pct"/>
          </w:tcPr>
          <w:p w14:paraId="06997482" w14:textId="77777777" w:rsidR="00474D71" w:rsidRPr="00B73877" w:rsidRDefault="00474D71" w:rsidP="00085813">
            <w:pPr>
              <w:spacing w:line="276" w:lineRule="auto"/>
              <w:rPr>
                <w:rFonts w:eastAsia="Times New Roman" w:cstheme="minorHAnsi"/>
              </w:rPr>
            </w:pPr>
            <w:r w:rsidRPr="00B73877">
              <w:rPr>
                <w:rFonts w:eastAsia="Times New Roman" w:cstheme="minorHAnsi"/>
              </w:rPr>
              <w:t>5.2. capacity building of public/law enforcement bodies</w:t>
            </w:r>
          </w:p>
        </w:tc>
        <w:tc>
          <w:tcPr>
            <w:tcW w:w="673" w:type="pct"/>
          </w:tcPr>
          <w:p w14:paraId="48174118" w14:textId="77777777" w:rsidR="00474D71" w:rsidRPr="00B73877" w:rsidRDefault="00474D71" w:rsidP="00085813">
            <w:pPr>
              <w:spacing w:line="276" w:lineRule="auto"/>
              <w:jc w:val="center"/>
              <w:rPr>
                <w:rFonts w:eastAsia="Times New Roman" w:cstheme="minorHAnsi"/>
                <w:b/>
                <w:bCs/>
              </w:rPr>
            </w:pPr>
            <w:r w:rsidRPr="00B73877">
              <w:rPr>
                <w:rFonts w:eastAsia="Times New Roman" w:cstheme="minorHAnsi"/>
                <w:b/>
                <w:bCs/>
              </w:rPr>
              <w:t>6</w:t>
            </w:r>
          </w:p>
        </w:tc>
        <w:tc>
          <w:tcPr>
            <w:tcW w:w="791" w:type="pct"/>
          </w:tcPr>
          <w:p w14:paraId="3F291374" w14:textId="77777777" w:rsidR="00474D71" w:rsidRPr="00B73877" w:rsidRDefault="00474D71" w:rsidP="00085813">
            <w:pPr>
              <w:spacing w:line="276" w:lineRule="auto"/>
              <w:jc w:val="center"/>
              <w:rPr>
                <w:rFonts w:eastAsia="Times New Roman" w:cstheme="minorHAnsi"/>
                <w:b/>
                <w:bCs/>
              </w:rPr>
            </w:pPr>
            <w:r w:rsidRPr="00B73877">
              <w:rPr>
                <w:rFonts w:eastAsia="Times New Roman" w:cstheme="minorHAnsi"/>
                <w:b/>
                <w:bCs/>
              </w:rPr>
              <w:t>12</w:t>
            </w:r>
          </w:p>
        </w:tc>
        <w:tc>
          <w:tcPr>
            <w:tcW w:w="747" w:type="pct"/>
            <w:shd w:val="clear" w:color="auto" w:fill="00B050"/>
          </w:tcPr>
          <w:p w14:paraId="25DC2BE6" w14:textId="77777777" w:rsidR="00474D71" w:rsidRPr="00B73877" w:rsidRDefault="00474D71" w:rsidP="00085813">
            <w:pPr>
              <w:spacing w:line="276" w:lineRule="auto"/>
              <w:jc w:val="center"/>
              <w:rPr>
                <w:rFonts w:eastAsia="Times New Roman" w:cstheme="minorHAnsi"/>
                <w:b/>
                <w:bCs/>
              </w:rPr>
            </w:pPr>
            <w:r w:rsidRPr="00B73877">
              <w:rPr>
                <w:rFonts w:eastAsia="Times New Roman" w:cstheme="minorHAnsi"/>
                <w:b/>
                <w:bCs/>
              </w:rPr>
              <w:t>200%</w:t>
            </w:r>
          </w:p>
        </w:tc>
      </w:tr>
      <w:tr w:rsidR="00474D71" w:rsidRPr="005B2583" w14:paraId="7893E2D8" w14:textId="77777777" w:rsidTr="00085813">
        <w:tc>
          <w:tcPr>
            <w:tcW w:w="2789" w:type="pct"/>
          </w:tcPr>
          <w:p w14:paraId="587F8BF0" w14:textId="77777777" w:rsidR="00474D71" w:rsidRPr="00B73877" w:rsidRDefault="00474D71" w:rsidP="00085813">
            <w:pPr>
              <w:spacing w:line="276" w:lineRule="auto"/>
              <w:rPr>
                <w:rFonts w:eastAsia="Times New Roman" w:cstheme="minorHAnsi"/>
              </w:rPr>
            </w:pPr>
            <w:r w:rsidRPr="00B73877">
              <w:rPr>
                <w:rFonts w:eastAsia="Times New Roman" w:cstheme="minorHAnsi"/>
              </w:rPr>
              <w:t>5.3: mechanisms for monitoring and reporting of human rights violations</w:t>
            </w:r>
          </w:p>
        </w:tc>
        <w:tc>
          <w:tcPr>
            <w:tcW w:w="673" w:type="pct"/>
          </w:tcPr>
          <w:p w14:paraId="30284AA2" w14:textId="77777777" w:rsidR="00474D71" w:rsidRPr="00B73877" w:rsidRDefault="00474D71" w:rsidP="00085813">
            <w:pPr>
              <w:spacing w:line="276" w:lineRule="auto"/>
              <w:jc w:val="center"/>
              <w:rPr>
                <w:rFonts w:eastAsia="Times New Roman" w:cstheme="minorHAnsi"/>
                <w:b/>
                <w:bCs/>
              </w:rPr>
            </w:pPr>
            <w:r w:rsidRPr="00B73877">
              <w:rPr>
                <w:rFonts w:eastAsia="Times New Roman" w:cstheme="minorHAnsi"/>
                <w:b/>
                <w:bCs/>
              </w:rPr>
              <w:t>47</w:t>
            </w:r>
          </w:p>
        </w:tc>
        <w:tc>
          <w:tcPr>
            <w:tcW w:w="791" w:type="pct"/>
          </w:tcPr>
          <w:p w14:paraId="14C3F787" w14:textId="77777777" w:rsidR="00474D71" w:rsidRPr="00B73877" w:rsidRDefault="00474D71" w:rsidP="00085813">
            <w:pPr>
              <w:spacing w:line="276" w:lineRule="auto"/>
              <w:jc w:val="center"/>
              <w:rPr>
                <w:rFonts w:eastAsia="Times New Roman" w:cstheme="minorHAnsi"/>
                <w:b/>
                <w:bCs/>
              </w:rPr>
            </w:pPr>
            <w:r w:rsidRPr="00B73877">
              <w:rPr>
                <w:rFonts w:eastAsia="Times New Roman" w:cstheme="minorHAnsi"/>
                <w:b/>
                <w:bCs/>
              </w:rPr>
              <w:t>68</w:t>
            </w:r>
          </w:p>
        </w:tc>
        <w:tc>
          <w:tcPr>
            <w:tcW w:w="747" w:type="pct"/>
            <w:shd w:val="clear" w:color="auto" w:fill="00B050"/>
          </w:tcPr>
          <w:p w14:paraId="3CFBC53E" w14:textId="77777777" w:rsidR="00474D71" w:rsidRPr="00B73877" w:rsidRDefault="00474D71" w:rsidP="00085813">
            <w:pPr>
              <w:spacing w:line="276" w:lineRule="auto"/>
              <w:jc w:val="center"/>
              <w:rPr>
                <w:rFonts w:eastAsia="Times New Roman" w:cstheme="minorHAnsi"/>
                <w:b/>
                <w:bCs/>
              </w:rPr>
            </w:pPr>
            <w:r w:rsidRPr="00B73877">
              <w:rPr>
                <w:rFonts w:eastAsia="Times New Roman" w:cstheme="minorHAnsi"/>
                <w:b/>
                <w:bCs/>
              </w:rPr>
              <w:t>144.7%</w:t>
            </w:r>
          </w:p>
          <w:p w14:paraId="21CAB524" w14:textId="77777777" w:rsidR="00474D71" w:rsidRPr="00B73877" w:rsidRDefault="00474D71" w:rsidP="00085813">
            <w:pPr>
              <w:spacing w:line="276" w:lineRule="auto"/>
              <w:jc w:val="center"/>
              <w:rPr>
                <w:rFonts w:eastAsia="Times New Roman" w:cstheme="minorHAnsi"/>
                <w:b/>
                <w:bCs/>
              </w:rPr>
            </w:pPr>
          </w:p>
        </w:tc>
      </w:tr>
      <w:tr w:rsidR="00474D71" w:rsidRPr="005B2583" w14:paraId="16A5AE46" w14:textId="77777777" w:rsidTr="00085813">
        <w:tc>
          <w:tcPr>
            <w:tcW w:w="2789" w:type="pct"/>
          </w:tcPr>
          <w:p w14:paraId="5C725E38" w14:textId="77777777" w:rsidR="00474D71" w:rsidRPr="00B73877" w:rsidRDefault="00474D71" w:rsidP="00085813">
            <w:pPr>
              <w:spacing w:line="276" w:lineRule="auto"/>
              <w:rPr>
                <w:rFonts w:eastAsia="Times New Roman" w:cstheme="minorHAnsi"/>
              </w:rPr>
            </w:pPr>
            <w:r w:rsidRPr="00B73877">
              <w:rPr>
                <w:rFonts w:eastAsia="Times New Roman" w:cstheme="minorHAnsi"/>
              </w:rPr>
              <w:t>Average Achievement for the Output</w:t>
            </w:r>
          </w:p>
        </w:tc>
        <w:tc>
          <w:tcPr>
            <w:tcW w:w="673" w:type="pct"/>
          </w:tcPr>
          <w:p w14:paraId="2A957DF6" w14:textId="77777777" w:rsidR="00474D71" w:rsidRPr="00B73877" w:rsidRDefault="00474D71" w:rsidP="00085813">
            <w:pPr>
              <w:spacing w:line="276" w:lineRule="auto"/>
              <w:jc w:val="center"/>
              <w:rPr>
                <w:rFonts w:eastAsia="Times New Roman" w:cstheme="minorHAnsi"/>
                <w:b/>
                <w:bCs/>
              </w:rPr>
            </w:pPr>
            <w:r w:rsidRPr="00B73877">
              <w:rPr>
                <w:rFonts w:eastAsia="Times New Roman" w:cstheme="minorHAnsi"/>
                <w:b/>
                <w:bCs/>
              </w:rPr>
              <w:t>61</w:t>
            </w:r>
          </w:p>
        </w:tc>
        <w:tc>
          <w:tcPr>
            <w:tcW w:w="791" w:type="pct"/>
          </w:tcPr>
          <w:p w14:paraId="440E0442" w14:textId="77777777" w:rsidR="00474D71" w:rsidRPr="00B73877" w:rsidRDefault="00474D71" w:rsidP="00085813">
            <w:pPr>
              <w:spacing w:line="276" w:lineRule="auto"/>
              <w:jc w:val="center"/>
              <w:rPr>
                <w:rFonts w:eastAsia="Times New Roman" w:cstheme="minorHAnsi"/>
                <w:b/>
                <w:bCs/>
              </w:rPr>
            </w:pPr>
            <w:r w:rsidRPr="00B73877">
              <w:rPr>
                <w:rFonts w:eastAsia="Times New Roman" w:cstheme="minorHAnsi"/>
                <w:b/>
                <w:bCs/>
              </w:rPr>
              <w:t>90</w:t>
            </w:r>
          </w:p>
        </w:tc>
        <w:tc>
          <w:tcPr>
            <w:tcW w:w="747" w:type="pct"/>
            <w:shd w:val="clear" w:color="auto" w:fill="00B050"/>
          </w:tcPr>
          <w:p w14:paraId="68C6332A" w14:textId="77777777" w:rsidR="00474D71" w:rsidRPr="00B73877" w:rsidRDefault="00474D71" w:rsidP="00085813">
            <w:pPr>
              <w:spacing w:line="276" w:lineRule="auto"/>
              <w:jc w:val="center"/>
              <w:rPr>
                <w:rFonts w:eastAsia="Times New Roman" w:cstheme="minorHAnsi"/>
                <w:b/>
                <w:bCs/>
              </w:rPr>
            </w:pPr>
            <w:r w:rsidRPr="00B73877">
              <w:rPr>
                <w:rFonts w:eastAsia="Times New Roman" w:cstheme="minorHAnsi"/>
                <w:b/>
                <w:bCs/>
              </w:rPr>
              <w:t>147.5%</w:t>
            </w:r>
          </w:p>
        </w:tc>
      </w:tr>
    </w:tbl>
    <w:p w14:paraId="6D1B6900" w14:textId="77777777" w:rsidR="00474D71" w:rsidRPr="00B73877" w:rsidRDefault="00474D71" w:rsidP="00474D71">
      <w:pPr>
        <w:pStyle w:val="ListParagraph"/>
        <w:spacing w:before="240" w:line="360" w:lineRule="auto"/>
        <w:ind w:left="90"/>
        <w:jc w:val="both"/>
        <w:rPr>
          <w:rFonts w:cstheme="minorHAnsi"/>
        </w:rPr>
      </w:pPr>
      <w:r w:rsidRPr="00B73877">
        <w:rPr>
          <w:rFonts w:cstheme="minorHAnsi"/>
        </w:rPr>
        <w:t>Note: Red (below 75</w:t>
      </w:r>
      <w:proofErr w:type="gramStart"/>
      <w:r w:rsidRPr="00B73877">
        <w:rPr>
          <w:rFonts w:cstheme="minorHAnsi"/>
        </w:rPr>
        <w:t xml:space="preserve">%)   </w:t>
      </w:r>
      <w:proofErr w:type="gramEnd"/>
      <w:r w:rsidRPr="00B73877">
        <w:rPr>
          <w:rFonts w:cstheme="minorHAnsi"/>
        </w:rPr>
        <w:t xml:space="preserve">  Yellow (75 - 89%) Green = Above 90%</w:t>
      </w:r>
    </w:p>
    <w:p w14:paraId="4F982055" w14:textId="77777777" w:rsidR="00474D71" w:rsidRDefault="00474D71" w:rsidP="00474D71">
      <w:pPr>
        <w:pStyle w:val="ListParagraph"/>
        <w:spacing w:line="360" w:lineRule="auto"/>
        <w:ind w:left="360"/>
        <w:jc w:val="both"/>
        <w:rPr>
          <w:rFonts w:eastAsia="Times New Roman" w:cstheme="minorHAnsi"/>
          <w:lang w:val="en-GB"/>
        </w:rPr>
      </w:pPr>
    </w:p>
    <w:p w14:paraId="1A1D361F" w14:textId="438CF8AB" w:rsidR="00474D71" w:rsidRDefault="00474D71" w:rsidP="00787CBA">
      <w:pPr>
        <w:pStyle w:val="ListParagraph"/>
        <w:numPr>
          <w:ilvl w:val="0"/>
          <w:numId w:val="17"/>
        </w:numPr>
        <w:spacing w:after="0" w:line="240" w:lineRule="auto"/>
        <w:jc w:val="both"/>
        <w:rPr>
          <w:rFonts w:eastAsia="Times New Roman" w:cstheme="minorHAnsi"/>
          <w:lang w:val="en-GB"/>
        </w:rPr>
      </w:pPr>
      <w:r w:rsidRPr="005C23E4">
        <w:rPr>
          <w:rFonts w:eastAsia="Times New Roman" w:cstheme="minorHAnsi"/>
          <w:b/>
          <w:bCs/>
          <w:lang w:eastAsia="en-CA"/>
        </w:rPr>
        <w:t>Capacity</w:t>
      </w:r>
      <w:r w:rsidRPr="00C024A4">
        <w:rPr>
          <w:rFonts w:eastAsia="Meiryo" w:cstheme="minorHAnsi"/>
          <w:b/>
          <w:bCs/>
          <w:color w:val="000000" w:themeColor="text1"/>
        </w:rPr>
        <w:t xml:space="preserve"> building</w:t>
      </w:r>
      <w:r w:rsidRPr="00B73877">
        <w:rPr>
          <w:rFonts w:eastAsia="Meiryo" w:cstheme="minorHAnsi"/>
          <w:b/>
          <w:bCs/>
          <w:color w:val="000000" w:themeColor="text1"/>
        </w:rPr>
        <w:t xml:space="preserve"> of public and law enforcement bodies: </w:t>
      </w:r>
      <w:r w:rsidRPr="00B73877">
        <w:rPr>
          <w:rFonts w:eastAsia="Times New Roman" w:cstheme="minorHAnsi"/>
          <w:lang w:val="en-GB"/>
        </w:rPr>
        <w:t>The</w:t>
      </w:r>
      <w:r w:rsidRPr="00B73877">
        <w:rPr>
          <w:rFonts w:eastAsia="Meiryo" w:cstheme="minorHAnsi"/>
          <w:color w:val="000000" w:themeColor="text1"/>
        </w:rPr>
        <w:t xml:space="preserve"> objective </w:t>
      </w:r>
      <w:r>
        <w:rPr>
          <w:rFonts w:eastAsia="Times New Roman" w:cstheme="minorHAnsi"/>
          <w:lang w:val="en-GB"/>
        </w:rPr>
        <w:t>of this sub-</w:t>
      </w:r>
      <w:r w:rsidRPr="00B73877">
        <w:rPr>
          <w:rFonts w:eastAsia="Times New Roman" w:cstheme="minorHAnsi"/>
          <w:lang w:val="en-GB"/>
        </w:rPr>
        <w:t>output was to strengthen the capacity of public and law enforcement bodies to abide by human rights laws and regulations in Ethiopia. Both baseline and t</w:t>
      </w:r>
      <w:r>
        <w:rPr>
          <w:rFonts w:eastAsia="Times New Roman" w:cstheme="minorHAnsi"/>
          <w:lang w:val="en-GB"/>
        </w:rPr>
        <w:t>arget were not set for this sub-output. Under this sub-</w:t>
      </w:r>
      <w:r w:rsidRPr="00B73877">
        <w:rPr>
          <w:rFonts w:eastAsia="Times New Roman" w:cstheme="minorHAnsi"/>
          <w:lang w:val="en-GB"/>
        </w:rPr>
        <w:t xml:space="preserve">output, a </w:t>
      </w:r>
      <w:r w:rsidR="005C23E4" w:rsidRPr="00B73877">
        <w:rPr>
          <w:rFonts w:eastAsia="Times New Roman" w:cstheme="minorHAnsi"/>
          <w:lang w:val="en-GB"/>
        </w:rPr>
        <w:t>structure</w:t>
      </w:r>
      <w:r w:rsidRPr="00B73877">
        <w:rPr>
          <w:rFonts w:eastAsia="Times New Roman" w:cstheme="minorHAnsi"/>
          <w:lang w:val="en-GB"/>
        </w:rPr>
        <w:t xml:space="preserve"> </w:t>
      </w:r>
      <w:r w:rsidR="005C23E4">
        <w:rPr>
          <w:rFonts w:eastAsia="Times New Roman" w:cstheme="minorHAnsi"/>
          <w:lang w:val="en-GB"/>
        </w:rPr>
        <w:t>for</w:t>
      </w:r>
      <w:r w:rsidR="005C23E4" w:rsidRPr="00B73877">
        <w:rPr>
          <w:rFonts w:eastAsia="Times New Roman" w:cstheme="minorHAnsi"/>
          <w:lang w:val="en-GB"/>
        </w:rPr>
        <w:t xml:space="preserve"> establish</w:t>
      </w:r>
      <w:r w:rsidR="005C23E4">
        <w:rPr>
          <w:rFonts w:eastAsia="Times New Roman" w:cstheme="minorHAnsi"/>
          <w:lang w:val="en-GB"/>
        </w:rPr>
        <w:t>ing</w:t>
      </w:r>
      <w:r w:rsidR="005C23E4" w:rsidRPr="00B73877">
        <w:rPr>
          <w:rFonts w:eastAsia="Times New Roman" w:cstheme="minorHAnsi"/>
          <w:lang w:val="en-GB"/>
        </w:rPr>
        <w:t xml:space="preserve"> and</w:t>
      </w:r>
      <w:r w:rsidRPr="00B73877">
        <w:rPr>
          <w:rFonts w:eastAsia="Times New Roman" w:cstheme="minorHAnsi"/>
          <w:lang w:val="en-GB"/>
        </w:rPr>
        <w:t xml:space="preserve"> strengthen</w:t>
      </w:r>
      <w:r w:rsidR="005C23E4">
        <w:rPr>
          <w:rFonts w:eastAsia="Times New Roman" w:cstheme="minorHAnsi"/>
          <w:lang w:val="en-GB"/>
        </w:rPr>
        <w:t>ing</w:t>
      </w:r>
      <w:r w:rsidRPr="00B73877">
        <w:rPr>
          <w:rFonts w:eastAsia="Times New Roman" w:cstheme="minorHAnsi"/>
          <w:lang w:val="en-GB"/>
        </w:rPr>
        <w:t xml:space="preserve"> mechanisms </w:t>
      </w:r>
      <w:r w:rsidR="005C23E4">
        <w:rPr>
          <w:rFonts w:eastAsia="Times New Roman" w:cstheme="minorHAnsi"/>
          <w:lang w:val="en-GB"/>
        </w:rPr>
        <w:t>was</w:t>
      </w:r>
      <w:r w:rsidR="005C23E4" w:rsidRPr="00B73877">
        <w:rPr>
          <w:rFonts w:eastAsia="Times New Roman" w:cstheme="minorHAnsi"/>
          <w:lang w:val="en-GB"/>
        </w:rPr>
        <w:t xml:space="preserve"> </w:t>
      </w:r>
      <w:r w:rsidRPr="00B73877">
        <w:rPr>
          <w:rFonts w:eastAsia="Times New Roman" w:cstheme="minorHAnsi"/>
          <w:lang w:val="en-GB"/>
        </w:rPr>
        <w:t>planned. Both baseline and target</w:t>
      </w:r>
      <w:r>
        <w:rPr>
          <w:rFonts w:eastAsia="Times New Roman" w:cstheme="minorHAnsi"/>
          <w:lang w:val="en-GB"/>
        </w:rPr>
        <w:t xml:space="preserve"> were not set for this sub-</w:t>
      </w:r>
      <w:r w:rsidRPr="00B73877">
        <w:rPr>
          <w:rFonts w:eastAsia="Times New Roman" w:cstheme="minorHAnsi"/>
          <w:lang w:val="en-GB"/>
        </w:rPr>
        <w:t>output. An</w:t>
      </w:r>
      <w:r w:rsidR="00C024A4">
        <w:rPr>
          <w:rFonts w:eastAsia="Times New Roman" w:cstheme="minorHAnsi"/>
          <w:lang w:val="en-GB"/>
        </w:rPr>
        <w:t>d</w:t>
      </w:r>
      <w:r w:rsidRPr="00B73877">
        <w:rPr>
          <w:rFonts w:eastAsia="Times New Roman" w:cstheme="minorHAnsi"/>
          <w:lang w:val="en-GB"/>
        </w:rPr>
        <w:t xml:space="preserve"> NHRAP II recommendations were planned to be implemented and reported effectively. The baseline was not adequate in 2017 and the target was highly adequate in 2021 though the scale and for what it stands for was not clearly set. An effective and functional NHRAP coordination office was planned to be established and functionally effective. The baseline was not adequate in 2017 and the target was highly adequate in 2021 though the scale and for what it stands for was not clearly set. The NHRAP II implementation was planned to be measured and reported. The baseline was no report and measurement of the implementation in 2017 and the target was to measure and report mid and annual performance in 2021. Also, the GoE accepted 2014 </w:t>
      </w:r>
      <w:r w:rsidR="00682933">
        <w:rPr>
          <w:rFonts w:eastAsia="Times New Roman" w:cstheme="minorHAnsi"/>
          <w:lang w:val="en-GB"/>
        </w:rPr>
        <w:t>Universal Periodic Review (</w:t>
      </w:r>
      <w:r w:rsidRPr="00B73877">
        <w:rPr>
          <w:rFonts w:eastAsia="Times New Roman" w:cstheme="minorHAnsi"/>
          <w:lang w:val="en-GB"/>
        </w:rPr>
        <w:t>UPR</w:t>
      </w:r>
      <w:r w:rsidR="00682933">
        <w:rPr>
          <w:rFonts w:eastAsia="Times New Roman" w:cstheme="minorHAnsi"/>
          <w:lang w:val="en-GB"/>
        </w:rPr>
        <w:t>)</w:t>
      </w:r>
      <w:r w:rsidRPr="00B73877">
        <w:rPr>
          <w:rFonts w:eastAsia="Times New Roman" w:cstheme="minorHAnsi"/>
          <w:lang w:val="en-GB"/>
        </w:rPr>
        <w:t xml:space="preserve"> recommendations were planned to be fully implemented and the baseline was none in 2017 and to enhance the target to 80% of mid and annual reporting in 2021. Since the evidence on this was not available from reports, further evaluation of effectiveness was not possible. An awareness raising sessions was planned to be conducted to advocate or enhance awareness and knowledge of law enforcement organs on human rights promotion</w:t>
      </w:r>
      <w:r w:rsidR="00C024A4">
        <w:rPr>
          <w:rFonts w:eastAsia="Times New Roman" w:cstheme="minorHAnsi"/>
          <w:lang w:val="en-GB"/>
        </w:rPr>
        <w:t>.</w:t>
      </w:r>
      <w:r w:rsidRPr="00B73877">
        <w:rPr>
          <w:rFonts w:eastAsia="Times New Roman" w:cstheme="minorHAnsi"/>
          <w:lang w:val="en-GB"/>
        </w:rPr>
        <w:t xml:space="preserve"> Both baseline and t</w:t>
      </w:r>
      <w:r>
        <w:rPr>
          <w:rFonts w:eastAsia="Times New Roman" w:cstheme="minorHAnsi"/>
          <w:lang w:val="en-GB"/>
        </w:rPr>
        <w:t>arget were not set for this sub-</w:t>
      </w:r>
      <w:r w:rsidRPr="00B73877">
        <w:rPr>
          <w:rFonts w:eastAsia="Times New Roman" w:cstheme="minorHAnsi"/>
          <w:lang w:val="en-GB"/>
        </w:rPr>
        <w:t>output. The plan by EHRC was to organize 4 human rights education sessions and conducted (organized) organized 9 training to 449 sector officials. The performance was 225%. A familiarization forum was organized for stakeholders. Both baseline and t</w:t>
      </w:r>
      <w:r>
        <w:rPr>
          <w:rFonts w:eastAsia="Times New Roman" w:cstheme="minorHAnsi"/>
          <w:lang w:val="en-GB"/>
        </w:rPr>
        <w:t>arget were not set for this sub-</w:t>
      </w:r>
      <w:r w:rsidRPr="00B73877">
        <w:rPr>
          <w:rFonts w:eastAsia="Times New Roman" w:cstheme="minorHAnsi"/>
          <w:lang w:val="en-GB"/>
        </w:rPr>
        <w:t>output. The OAG also planned 2 awareness raising trainings (1 training on human rights-based investigation, and another 1 on prevention of violence against women &amp; children). The OAG conducted 3 training</w:t>
      </w:r>
      <w:r w:rsidR="00C024A4">
        <w:rPr>
          <w:rFonts w:eastAsia="Times New Roman" w:cstheme="minorHAnsi"/>
          <w:lang w:val="en-GB"/>
        </w:rPr>
        <w:t>s</w:t>
      </w:r>
      <w:r w:rsidRPr="00B73877">
        <w:rPr>
          <w:rFonts w:eastAsia="Times New Roman" w:cstheme="minorHAnsi"/>
          <w:lang w:val="en-GB"/>
        </w:rPr>
        <w:t xml:space="preserve"> to 423 justice sector officials and experts; OAG developed 3 training manuals. The performance was 150%.</w:t>
      </w:r>
    </w:p>
    <w:p w14:paraId="6DB2038C" w14:textId="77777777" w:rsidR="00474D71" w:rsidRPr="00B73877" w:rsidRDefault="00474D71" w:rsidP="00787CBA">
      <w:pPr>
        <w:pStyle w:val="ListParagraph"/>
        <w:spacing w:after="0" w:line="240" w:lineRule="auto"/>
        <w:ind w:left="450"/>
        <w:jc w:val="both"/>
        <w:rPr>
          <w:rFonts w:eastAsia="Times New Roman" w:cstheme="minorHAnsi"/>
          <w:lang w:val="en-GB"/>
        </w:rPr>
      </w:pPr>
    </w:p>
    <w:p w14:paraId="613F0C37" w14:textId="1FB7C1D3" w:rsidR="00474D71" w:rsidRDefault="00474D71" w:rsidP="00787CBA">
      <w:pPr>
        <w:pStyle w:val="ListParagraph"/>
        <w:numPr>
          <w:ilvl w:val="0"/>
          <w:numId w:val="17"/>
        </w:numPr>
        <w:spacing w:after="0" w:line="240" w:lineRule="auto"/>
        <w:jc w:val="both"/>
        <w:rPr>
          <w:rFonts w:eastAsia="Times New Roman" w:cstheme="minorHAnsi"/>
          <w:lang w:val="en-GB"/>
        </w:rPr>
      </w:pPr>
      <w:r w:rsidRPr="0094265B">
        <w:rPr>
          <w:rFonts w:eastAsia="Times New Roman" w:cstheme="minorHAnsi"/>
          <w:b/>
          <w:bCs/>
          <w:lang w:eastAsia="en-CA"/>
        </w:rPr>
        <w:t>Mechanisms</w:t>
      </w:r>
      <w:r w:rsidRPr="00C024A4">
        <w:rPr>
          <w:rFonts w:eastAsia="Times New Roman" w:cstheme="minorHAnsi"/>
          <w:b/>
          <w:bCs/>
          <w:lang w:val="en-GB"/>
        </w:rPr>
        <w:t xml:space="preserve"> f</w:t>
      </w:r>
      <w:r w:rsidRPr="00B73877">
        <w:rPr>
          <w:rFonts w:eastAsia="Times New Roman" w:cstheme="minorHAnsi"/>
          <w:b/>
          <w:bCs/>
          <w:lang w:val="en-GB"/>
        </w:rPr>
        <w:t xml:space="preserve">or monitoring and reporting of human rights violations: </w:t>
      </w:r>
      <w:r>
        <w:rPr>
          <w:rFonts w:eastAsia="Times New Roman" w:cstheme="minorHAnsi"/>
          <w:lang w:val="en-GB"/>
        </w:rPr>
        <w:t>The aim of this sub-</w:t>
      </w:r>
      <w:r w:rsidRPr="00B73877">
        <w:rPr>
          <w:rFonts w:eastAsia="Times New Roman" w:cstheme="minorHAnsi"/>
          <w:lang w:val="en-GB"/>
        </w:rPr>
        <w:t xml:space="preserve">output was to establish/strengthen mechanisms for monitoring, compiling, and reporting of human rights protection and violation in the country. Both baseline and target were not set. </w:t>
      </w:r>
      <w:proofErr w:type="gramStart"/>
      <w:r w:rsidR="00C024A4">
        <w:rPr>
          <w:rFonts w:eastAsia="Times New Roman" w:cstheme="minorHAnsi"/>
          <w:lang w:val="en-GB"/>
        </w:rPr>
        <w:t xml:space="preserve">The </w:t>
      </w:r>
      <w:r w:rsidRPr="00B73877">
        <w:rPr>
          <w:rFonts w:eastAsia="Times New Roman" w:cstheme="minorHAnsi"/>
          <w:lang w:val="en-GB"/>
        </w:rPr>
        <w:t xml:space="preserve"> establishment</w:t>
      </w:r>
      <w:proofErr w:type="gramEnd"/>
      <w:r w:rsidRPr="00B73877">
        <w:rPr>
          <w:rFonts w:eastAsia="Times New Roman" w:cstheme="minorHAnsi"/>
          <w:lang w:val="en-GB"/>
        </w:rPr>
        <w:t xml:space="preserve"> of mechanisms and strengthening for monitoring, compiling, and reporting of human rights protection and violations was planned. Both baseline and t</w:t>
      </w:r>
      <w:r>
        <w:rPr>
          <w:rFonts w:eastAsia="Times New Roman" w:cstheme="minorHAnsi"/>
          <w:lang w:val="en-GB"/>
        </w:rPr>
        <w:t>arget were not set for this sub-</w:t>
      </w:r>
      <w:r w:rsidRPr="00B73877">
        <w:rPr>
          <w:rFonts w:eastAsia="Times New Roman" w:cstheme="minorHAnsi"/>
          <w:lang w:val="en-GB"/>
        </w:rPr>
        <w:t>output. The EHRC planned the assessment of the effectiveness of 1 mechanism/case-flow management and establishing 1 electronic case management mechanism/</w:t>
      </w:r>
      <w:proofErr w:type="gramStart"/>
      <w:r w:rsidRPr="00B73877">
        <w:rPr>
          <w:rFonts w:eastAsia="Times New Roman" w:cstheme="minorHAnsi"/>
          <w:lang w:val="en-GB"/>
        </w:rPr>
        <w:t>system;</w:t>
      </w:r>
      <w:proofErr w:type="gramEnd"/>
      <w:r w:rsidRPr="00B73877">
        <w:rPr>
          <w:rFonts w:eastAsia="Times New Roman" w:cstheme="minorHAnsi"/>
          <w:lang w:val="en-GB"/>
        </w:rPr>
        <w:t xml:space="preserve"> and 4 </w:t>
      </w:r>
      <w:r w:rsidRPr="00B73877">
        <w:rPr>
          <w:rFonts w:eastAsia="Times New Roman" w:cstheme="minorHAnsi"/>
          <w:lang w:val="en-GB"/>
        </w:rPr>
        <w:lastRenderedPageBreak/>
        <w:t>monitoring/assessments on human rights situation. The EHRC assessed gaps in existing case management and complaint handling mechanism</w:t>
      </w:r>
      <w:r w:rsidR="00C024A4">
        <w:rPr>
          <w:rFonts w:eastAsia="Times New Roman" w:cstheme="minorHAnsi"/>
          <w:lang w:val="en-GB"/>
        </w:rPr>
        <w:t>s</w:t>
      </w:r>
      <w:r w:rsidRPr="00B73877">
        <w:rPr>
          <w:rFonts w:eastAsia="Times New Roman" w:cstheme="minorHAnsi"/>
          <w:lang w:val="en-GB"/>
        </w:rPr>
        <w:t xml:space="preserve">, human rights situation IDPs and validated together 8 studies. It also produced 3 monitoring reports on human rights issues of women, children &amp; vulnerable groups, 3 on status of GBV/ VAWCs and monitored 2 prisons and detention </w:t>
      </w:r>
      <w:r w:rsidR="0094265B" w:rsidRPr="00B73877">
        <w:rPr>
          <w:rFonts w:eastAsia="Times New Roman" w:cstheme="minorHAnsi"/>
          <w:lang w:val="en-GB"/>
        </w:rPr>
        <w:t>centres</w:t>
      </w:r>
      <w:r w:rsidRPr="00B73877">
        <w:rPr>
          <w:rFonts w:eastAsia="Times New Roman" w:cstheme="minorHAnsi"/>
          <w:lang w:val="en-GB"/>
        </w:rPr>
        <w:t>. Though there was not baseline and</w:t>
      </w:r>
      <w:r>
        <w:rPr>
          <w:rFonts w:eastAsia="Times New Roman" w:cstheme="minorHAnsi"/>
          <w:lang w:val="en-GB"/>
        </w:rPr>
        <w:t xml:space="preserve"> </w:t>
      </w:r>
      <w:r w:rsidRPr="00B73877">
        <w:rPr>
          <w:rFonts w:eastAsia="Times New Roman" w:cstheme="minorHAnsi"/>
          <w:lang w:val="en-GB"/>
        </w:rPr>
        <w:t>target, the performance against the plan was 266.7%. A consultation and launching session on National Human Rights Action Plan (NHRAP) was planned. Both baseline and t</w:t>
      </w:r>
      <w:r>
        <w:rPr>
          <w:rFonts w:eastAsia="Times New Roman" w:cstheme="minorHAnsi"/>
          <w:lang w:val="en-GB"/>
        </w:rPr>
        <w:t>arget were not set for this sub-</w:t>
      </w:r>
      <w:r w:rsidRPr="00B73877">
        <w:rPr>
          <w:rFonts w:eastAsia="Times New Roman" w:cstheme="minorHAnsi"/>
          <w:lang w:val="en-GB"/>
        </w:rPr>
        <w:t>output. The OAG planned 2 consultations and launching sessions on NHRAP. It conducted three consultative sessions for 247 participants. OAG also conducted jointly with MoP on monitoring of human rights situation in 28 police and 11 prison centres. The performance was 150%; though a baseline and target were not set to evaluate the achievement.</w:t>
      </w:r>
    </w:p>
    <w:p w14:paraId="4AC48BA5" w14:textId="77777777" w:rsidR="00474D71" w:rsidRPr="00B73877" w:rsidRDefault="00474D71" w:rsidP="00787CBA">
      <w:pPr>
        <w:pStyle w:val="ListParagraph"/>
        <w:spacing w:after="0" w:line="240" w:lineRule="auto"/>
        <w:ind w:left="450"/>
        <w:jc w:val="both"/>
        <w:rPr>
          <w:rFonts w:eastAsia="Times New Roman" w:cstheme="minorHAnsi"/>
          <w:lang w:val="en-GB"/>
        </w:rPr>
      </w:pPr>
    </w:p>
    <w:p w14:paraId="712E27D5" w14:textId="7A8F355B" w:rsidR="00474D71" w:rsidRDefault="00474D71" w:rsidP="00787CBA">
      <w:pPr>
        <w:pStyle w:val="ListParagraph"/>
        <w:numPr>
          <w:ilvl w:val="0"/>
          <w:numId w:val="17"/>
        </w:numPr>
        <w:spacing w:line="240" w:lineRule="auto"/>
        <w:ind w:left="360"/>
        <w:jc w:val="both"/>
        <w:rPr>
          <w:rFonts w:eastAsia="Times New Roman" w:cstheme="minorHAnsi"/>
          <w:lang w:val="en-GB"/>
        </w:rPr>
      </w:pPr>
      <w:r w:rsidRPr="00B73877">
        <w:rPr>
          <w:rFonts w:eastAsia="Times New Roman" w:cstheme="minorHAnsi"/>
          <w:lang w:val="en-GB"/>
        </w:rPr>
        <w:t>Stakeholders’ familiarization forums organized on the mechanisms for reporting of human rights protection and violations was planned. Both baseline and t</w:t>
      </w:r>
      <w:r>
        <w:rPr>
          <w:rFonts w:eastAsia="Times New Roman" w:cstheme="minorHAnsi"/>
          <w:lang w:val="en-GB"/>
        </w:rPr>
        <w:t>arget were not set for this sub-</w:t>
      </w:r>
      <w:r w:rsidRPr="00B73877">
        <w:rPr>
          <w:rFonts w:eastAsia="Times New Roman" w:cstheme="minorHAnsi"/>
          <w:lang w:val="en-GB"/>
        </w:rPr>
        <w:t>output. The OAG targeted 2 consultation sessions (CSOs engagement) and 11 training sessions (for awareness raising on the NHRAP); and 25 media programs on human rights issues. It also planned to produce 1 Communication Strategy. The 11 awareness raising training sessions on NHRAP was not conducted. However, the 25 media programs on human rights issues and 1 Communication Strategy were developed. Therefore, the performance was 70.1%. Since there was not baseline and target, the achievement cannot be evaluated. This output was identified for 2 IPs; namely, EHRC and the OA</w:t>
      </w:r>
      <w:r>
        <w:rPr>
          <w:rFonts w:eastAsia="Times New Roman" w:cstheme="minorHAnsi"/>
          <w:lang w:val="en-GB"/>
        </w:rPr>
        <w:t>G. Under this output, three sub-</w:t>
      </w:r>
      <w:r w:rsidRPr="00B73877">
        <w:rPr>
          <w:rFonts w:eastAsia="Times New Roman" w:cstheme="minorHAnsi"/>
          <w:lang w:val="en-GB"/>
        </w:rPr>
        <w:t>outputs</w:t>
      </w:r>
      <w:r>
        <w:rPr>
          <w:rFonts w:eastAsia="Times New Roman" w:cstheme="minorHAnsi"/>
          <w:lang w:val="en-GB"/>
        </w:rPr>
        <w:t xml:space="preserve"> were identified. The first sub-</w:t>
      </w:r>
      <w:r w:rsidRPr="00B73877">
        <w:rPr>
          <w:rFonts w:eastAsia="Times New Roman" w:cstheme="minorHAnsi"/>
          <w:lang w:val="en-GB"/>
        </w:rPr>
        <w:t>output, strengthening regulatory and procedural systems for effective access to justice and red</w:t>
      </w:r>
      <w:r>
        <w:rPr>
          <w:rFonts w:eastAsia="Times New Roman" w:cstheme="minorHAnsi"/>
          <w:lang w:val="en-GB"/>
        </w:rPr>
        <w:t>ress mechanisms, the second sub-</w:t>
      </w:r>
      <w:r w:rsidRPr="00B73877">
        <w:rPr>
          <w:rFonts w:eastAsia="Times New Roman" w:cstheme="minorHAnsi"/>
          <w:lang w:val="en-GB"/>
        </w:rPr>
        <w:t>output, promoting the awareness of public and law enforcement bodies on human rights laws and</w:t>
      </w:r>
      <w:r>
        <w:rPr>
          <w:rFonts w:eastAsia="Times New Roman" w:cstheme="minorHAnsi"/>
          <w:lang w:val="en-GB"/>
        </w:rPr>
        <w:t xml:space="preserve"> regulations, and the third sub-</w:t>
      </w:r>
      <w:r w:rsidRPr="00B73877">
        <w:rPr>
          <w:rFonts w:eastAsia="Times New Roman" w:cstheme="minorHAnsi"/>
          <w:lang w:val="en-GB"/>
        </w:rPr>
        <w:t>output, establishing/strengthening mechanisms for monitoring, compiling, and reporting of human rights protecti</w:t>
      </w:r>
      <w:r>
        <w:rPr>
          <w:rFonts w:eastAsia="Times New Roman" w:cstheme="minorHAnsi"/>
          <w:lang w:val="en-GB"/>
        </w:rPr>
        <w:t>on and violation. The three sub-</w:t>
      </w:r>
      <w:r w:rsidRPr="00B73877">
        <w:rPr>
          <w:rFonts w:eastAsia="Times New Roman" w:cstheme="minorHAnsi"/>
          <w:lang w:val="en-GB"/>
        </w:rPr>
        <w:t>outputs together comprise six indicators with their respective targets; and the results are presented. The GDPP achieve</w:t>
      </w:r>
      <w:r>
        <w:rPr>
          <w:rFonts w:eastAsia="Times New Roman" w:cstheme="minorHAnsi"/>
          <w:lang w:val="en-GB"/>
        </w:rPr>
        <w:t>d results on the target for sub-</w:t>
      </w:r>
      <w:r w:rsidRPr="00B73877">
        <w:rPr>
          <w:rFonts w:eastAsia="Times New Roman" w:cstheme="minorHAnsi"/>
          <w:lang w:val="en-GB"/>
        </w:rPr>
        <w:t xml:space="preserve">output 5.1, </w:t>
      </w:r>
      <w:r>
        <w:rPr>
          <w:rFonts w:eastAsia="Times New Roman" w:cstheme="minorHAnsi"/>
          <w:lang w:val="en-GB"/>
        </w:rPr>
        <w:t>5.2 and 5.3 as follows. For sub-</w:t>
      </w:r>
      <w:r w:rsidRPr="00B73877">
        <w:rPr>
          <w:rFonts w:eastAsia="Times New Roman" w:cstheme="minorHAnsi"/>
          <w:lang w:val="en-GB"/>
        </w:rPr>
        <w:t xml:space="preserve">output 5.1, out of the 8 targets planned 10 activities were </w:t>
      </w:r>
      <w:proofErr w:type="gramStart"/>
      <w:r w:rsidRPr="00B73877">
        <w:rPr>
          <w:rFonts w:eastAsia="Times New Roman" w:cstheme="minorHAnsi"/>
          <w:lang w:val="en-GB"/>
        </w:rPr>
        <w:t>accomplished;</w:t>
      </w:r>
      <w:proofErr w:type="gramEnd"/>
      <w:r w:rsidRPr="00B73877">
        <w:rPr>
          <w:rFonts w:eastAsia="Times New Roman" w:cstheme="minorHAnsi"/>
          <w:lang w:val="en-GB"/>
        </w:rPr>
        <w:t xml:space="preserve"> which is above the p</w:t>
      </w:r>
      <w:r>
        <w:rPr>
          <w:rFonts w:eastAsia="Times New Roman" w:cstheme="minorHAnsi"/>
          <w:lang w:val="en-GB"/>
        </w:rPr>
        <w:t>lanned target (125%). Under sub-</w:t>
      </w:r>
      <w:r w:rsidRPr="00B73877">
        <w:rPr>
          <w:rFonts w:eastAsia="Times New Roman" w:cstheme="minorHAnsi"/>
          <w:lang w:val="en-GB"/>
        </w:rPr>
        <w:t xml:space="preserve">output 5.2, 6 activities were planned but 12 activities were </w:t>
      </w:r>
      <w:proofErr w:type="gramStart"/>
      <w:r w:rsidRPr="00B73877">
        <w:rPr>
          <w:rFonts w:eastAsia="Times New Roman" w:cstheme="minorHAnsi"/>
          <w:lang w:val="en-GB"/>
        </w:rPr>
        <w:t>accomplished;</w:t>
      </w:r>
      <w:proofErr w:type="gramEnd"/>
      <w:r w:rsidRPr="00B73877">
        <w:rPr>
          <w:rFonts w:eastAsia="Times New Roman" w:cstheme="minorHAnsi"/>
          <w:lang w:val="en-GB"/>
        </w:rPr>
        <w:t xml:space="preserve"> which is above the p</w:t>
      </w:r>
      <w:r>
        <w:rPr>
          <w:rFonts w:eastAsia="Times New Roman" w:cstheme="minorHAnsi"/>
          <w:lang w:val="en-GB"/>
        </w:rPr>
        <w:t>lanned target (200%). Under sub-</w:t>
      </w:r>
      <w:r w:rsidRPr="00B73877">
        <w:rPr>
          <w:rFonts w:eastAsia="Times New Roman" w:cstheme="minorHAnsi"/>
          <w:lang w:val="en-GB"/>
        </w:rPr>
        <w:t xml:space="preserve">output 5.3, 47 activities were planned but 68 activities were accomplished. The target achievement of this specific output is 144.7% which also above </w:t>
      </w:r>
      <w:r>
        <w:rPr>
          <w:rFonts w:eastAsia="Times New Roman" w:cstheme="minorHAnsi"/>
          <w:lang w:val="en-GB"/>
        </w:rPr>
        <w:t xml:space="preserve">the target. In average, the </w:t>
      </w:r>
      <w:r w:rsidRPr="00B73877">
        <w:rPr>
          <w:rFonts w:eastAsia="Times New Roman" w:cstheme="minorHAnsi"/>
          <w:lang w:val="en-GB"/>
        </w:rPr>
        <w:t xml:space="preserve">achievement of output 5 is </w:t>
      </w:r>
      <w:proofErr w:type="gramStart"/>
      <w:r w:rsidRPr="00B73877">
        <w:rPr>
          <w:rFonts w:eastAsia="Times New Roman" w:cstheme="minorHAnsi"/>
          <w:lang w:val="en-GB"/>
        </w:rPr>
        <w:t>147.5%;</w:t>
      </w:r>
      <w:proofErr w:type="gramEnd"/>
      <w:r w:rsidRPr="00B73877">
        <w:rPr>
          <w:rFonts w:eastAsia="Times New Roman" w:cstheme="minorHAnsi"/>
          <w:lang w:val="en-GB"/>
        </w:rPr>
        <w:t xml:space="preserve"> which is thus above the target.</w:t>
      </w:r>
    </w:p>
    <w:p w14:paraId="0419FDE7" w14:textId="77777777" w:rsidR="00E70BD0" w:rsidRDefault="00E70BD0" w:rsidP="005070CA">
      <w:pPr>
        <w:outlineLvl w:val="0"/>
        <w:rPr>
          <w:rFonts w:eastAsia="Times New Roman" w:cstheme="minorHAnsi"/>
          <w:lang w:eastAsia="en-CA"/>
        </w:rPr>
        <w:sectPr w:rsidR="00E70BD0" w:rsidSect="00E168AE">
          <w:pgSz w:w="12240" w:h="15840"/>
          <w:pgMar w:top="1440" w:right="1440" w:bottom="1440" w:left="1440" w:header="720" w:footer="720" w:gutter="0"/>
          <w:pgNumType w:start="1"/>
          <w:cols w:space="720"/>
          <w:docGrid w:linePitch="360"/>
        </w:sectPr>
      </w:pPr>
    </w:p>
    <w:p w14:paraId="2BF686EB" w14:textId="3240FE9C" w:rsidR="00E70BD0" w:rsidRDefault="00E70BD0" w:rsidP="005070CA">
      <w:pPr>
        <w:outlineLvl w:val="0"/>
        <w:rPr>
          <w:rFonts w:eastAsia="Times New Roman" w:cstheme="minorHAnsi"/>
          <w:b/>
          <w:lang w:eastAsia="en-CA"/>
        </w:rPr>
      </w:pPr>
      <w:r w:rsidRPr="00E70BD0">
        <w:rPr>
          <w:rFonts w:eastAsia="Times New Roman" w:cstheme="minorHAnsi"/>
          <w:b/>
          <w:lang w:eastAsia="en-CA"/>
        </w:rPr>
        <w:lastRenderedPageBreak/>
        <w:t>ANNEX 2</w:t>
      </w:r>
    </w:p>
    <w:p w14:paraId="027485AF" w14:textId="40DB12B3" w:rsidR="00E70BD0" w:rsidRDefault="00E70BD0" w:rsidP="005070CA">
      <w:pPr>
        <w:outlineLvl w:val="0"/>
        <w:rPr>
          <w:rFonts w:eastAsia="Times New Roman" w:cstheme="minorHAnsi"/>
          <w:b/>
          <w:lang w:eastAsia="en-CA"/>
        </w:rPr>
      </w:pPr>
      <w:r>
        <w:rPr>
          <w:rFonts w:eastAsia="Times New Roman" w:cstheme="minorHAnsi"/>
          <w:b/>
          <w:lang w:eastAsia="en-CA"/>
        </w:rPr>
        <w:t>LIST OF INTERVIEWEES</w:t>
      </w:r>
    </w:p>
    <w:p w14:paraId="2420F397" w14:textId="027343BA" w:rsidR="00232514" w:rsidRPr="00936C44" w:rsidRDefault="00232514" w:rsidP="00232514">
      <w:pPr>
        <w:rPr>
          <w:rFonts w:ascii="Arial" w:eastAsia="SimSun" w:hAnsi="Arial" w:cs="Arial"/>
          <w:b/>
          <w:color w:val="00000A"/>
          <w:sz w:val="18"/>
          <w:szCs w:val="18"/>
          <w:lang w:val="en-GB" w:eastAsia="zh-CN" w:bidi="hi-IN"/>
        </w:rPr>
      </w:pPr>
      <w:r w:rsidRPr="00936C44">
        <w:rPr>
          <w:rFonts w:ascii="Arial" w:eastAsia="SimSun" w:hAnsi="Arial" w:cs="Arial"/>
          <w:b/>
          <w:color w:val="00000A"/>
          <w:sz w:val="18"/>
          <w:szCs w:val="18"/>
          <w:lang w:val="en-GB" w:eastAsia="zh-CN" w:bidi="hi-IN"/>
        </w:rPr>
        <w:t xml:space="preserve">KIIs and FGDs Participants </w:t>
      </w:r>
    </w:p>
    <w:tbl>
      <w:tblPr>
        <w:tblStyle w:val="TableGrid"/>
        <w:tblW w:w="5436" w:type="pct"/>
        <w:tblLook w:val="04A0" w:firstRow="1" w:lastRow="0" w:firstColumn="1" w:lastColumn="0" w:noHBand="0" w:noVBand="1"/>
      </w:tblPr>
      <w:tblGrid>
        <w:gridCol w:w="677"/>
        <w:gridCol w:w="2108"/>
        <w:gridCol w:w="901"/>
        <w:gridCol w:w="6479"/>
      </w:tblGrid>
      <w:tr w:rsidR="00232514" w:rsidRPr="000F542E" w14:paraId="397BA8D3" w14:textId="77777777" w:rsidTr="00DC1475">
        <w:tc>
          <w:tcPr>
            <w:tcW w:w="333" w:type="pct"/>
            <w:shd w:val="clear" w:color="auto" w:fill="B4C6E7" w:themeFill="accent5" w:themeFillTint="66"/>
          </w:tcPr>
          <w:p w14:paraId="1F2DB615" w14:textId="77777777" w:rsidR="00232514" w:rsidRPr="00352701" w:rsidRDefault="00232514" w:rsidP="00DC1475">
            <w:pPr>
              <w:jc w:val="both"/>
              <w:rPr>
                <w:rFonts w:ascii="Arial" w:hAnsi="Arial" w:cs="Arial"/>
                <w:sz w:val="18"/>
                <w:szCs w:val="18"/>
              </w:rPr>
            </w:pPr>
            <w:r w:rsidRPr="00352701">
              <w:rPr>
                <w:rFonts w:eastAsia="Times New Roman"/>
                <w:b/>
                <w:bCs/>
                <w:color w:val="222222"/>
                <w:sz w:val="18"/>
                <w:szCs w:val="18"/>
              </w:rPr>
              <w:t>No.</w:t>
            </w:r>
          </w:p>
        </w:tc>
        <w:tc>
          <w:tcPr>
            <w:tcW w:w="1037" w:type="pct"/>
            <w:shd w:val="clear" w:color="auto" w:fill="B4C6E7" w:themeFill="accent5" w:themeFillTint="66"/>
          </w:tcPr>
          <w:p w14:paraId="37AF0F62" w14:textId="77777777" w:rsidR="00232514" w:rsidRPr="00352701" w:rsidRDefault="00232514" w:rsidP="00DC1475">
            <w:pPr>
              <w:jc w:val="both"/>
              <w:rPr>
                <w:rFonts w:ascii="Arial" w:hAnsi="Arial" w:cs="Arial"/>
                <w:sz w:val="18"/>
                <w:szCs w:val="18"/>
              </w:rPr>
            </w:pPr>
            <w:r w:rsidRPr="00352701">
              <w:rPr>
                <w:rFonts w:eastAsia="Times New Roman"/>
                <w:b/>
                <w:bCs/>
                <w:color w:val="000000"/>
                <w:sz w:val="18"/>
                <w:szCs w:val="18"/>
              </w:rPr>
              <w:t xml:space="preserve">Name </w:t>
            </w:r>
          </w:p>
        </w:tc>
        <w:tc>
          <w:tcPr>
            <w:tcW w:w="443" w:type="pct"/>
            <w:shd w:val="clear" w:color="auto" w:fill="B4C6E7" w:themeFill="accent5" w:themeFillTint="66"/>
          </w:tcPr>
          <w:p w14:paraId="51EDEE94" w14:textId="77777777" w:rsidR="00232514" w:rsidRPr="00352701" w:rsidRDefault="00232514" w:rsidP="00DC1475">
            <w:pPr>
              <w:jc w:val="both"/>
              <w:rPr>
                <w:rFonts w:ascii="Arial" w:hAnsi="Arial" w:cs="Arial"/>
                <w:sz w:val="18"/>
                <w:szCs w:val="18"/>
              </w:rPr>
            </w:pPr>
            <w:r w:rsidRPr="00352701">
              <w:rPr>
                <w:rFonts w:eastAsia="Times New Roman"/>
                <w:b/>
                <w:bCs/>
                <w:color w:val="000000"/>
                <w:sz w:val="18"/>
                <w:szCs w:val="18"/>
              </w:rPr>
              <w:t>Gender</w:t>
            </w:r>
          </w:p>
        </w:tc>
        <w:tc>
          <w:tcPr>
            <w:tcW w:w="3187" w:type="pct"/>
            <w:shd w:val="clear" w:color="auto" w:fill="B4C6E7" w:themeFill="accent5" w:themeFillTint="66"/>
          </w:tcPr>
          <w:p w14:paraId="2FE684A6" w14:textId="77777777" w:rsidR="00232514" w:rsidRPr="00352701" w:rsidRDefault="00232514" w:rsidP="00DC1475">
            <w:pPr>
              <w:jc w:val="both"/>
              <w:rPr>
                <w:rFonts w:ascii="Arial" w:hAnsi="Arial" w:cs="Arial"/>
                <w:sz w:val="18"/>
                <w:szCs w:val="18"/>
              </w:rPr>
            </w:pPr>
            <w:r w:rsidRPr="00352701">
              <w:rPr>
                <w:rFonts w:eastAsia="Times New Roman"/>
                <w:b/>
                <w:bCs/>
                <w:color w:val="000000"/>
                <w:sz w:val="18"/>
                <w:szCs w:val="18"/>
              </w:rPr>
              <w:t xml:space="preserve">Organization </w:t>
            </w:r>
            <w:r>
              <w:rPr>
                <w:rFonts w:eastAsia="Times New Roman"/>
                <w:b/>
                <w:bCs/>
                <w:color w:val="000000"/>
                <w:sz w:val="18"/>
                <w:szCs w:val="18"/>
              </w:rPr>
              <w:t xml:space="preserve">and </w:t>
            </w:r>
            <w:r w:rsidRPr="00352701">
              <w:rPr>
                <w:rFonts w:eastAsia="Times New Roman"/>
                <w:b/>
                <w:bCs/>
                <w:color w:val="000000"/>
                <w:sz w:val="18"/>
                <w:szCs w:val="18"/>
              </w:rPr>
              <w:t>Position</w:t>
            </w:r>
          </w:p>
        </w:tc>
      </w:tr>
      <w:tr w:rsidR="00232514" w:rsidRPr="000F542E" w14:paraId="1688CAE7" w14:textId="77777777" w:rsidTr="00DC1475">
        <w:tc>
          <w:tcPr>
            <w:tcW w:w="333" w:type="pct"/>
          </w:tcPr>
          <w:p w14:paraId="58087C4B"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1</w:t>
            </w:r>
          </w:p>
        </w:tc>
        <w:tc>
          <w:tcPr>
            <w:tcW w:w="1037" w:type="pct"/>
          </w:tcPr>
          <w:p w14:paraId="58953AB0"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Eyasu Yimer</w:t>
            </w:r>
          </w:p>
        </w:tc>
        <w:tc>
          <w:tcPr>
            <w:tcW w:w="443" w:type="pct"/>
          </w:tcPr>
          <w:p w14:paraId="6FF94BEC"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49E2A2B5"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UNDP</w:t>
            </w:r>
            <w:r>
              <w:rPr>
                <w:rFonts w:ascii="Arial" w:hAnsi="Arial" w:cs="Arial"/>
                <w:sz w:val="18"/>
                <w:szCs w:val="18"/>
              </w:rPr>
              <w:t>,</w:t>
            </w:r>
            <w:r w:rsidRPr="00352701">
              <w:rPr>
                <w:rFonts w:ascii="Arial" w:hAnsi="Arial" w:cs="Arial"/>
                <w:sz w:val="18"/>
                <w:szCs w:val="18"/>
              </w:rPr>
              <w:t xml:space="preserve"> Programme Officer-HoPR</w:t>
            </w:r>
          </w:p>
        </w:tc>
      </w:tr>
      <w:tr w:rsidR="00232514" w:rsidRPr="000F542E" w14:paraId="50652793" w14:textId="77777777" w:rsidTr="00DC1475">
        <w:tc>
          <w:tcPr>
            <w:tcW w:w="333" w:type="pct"/>
          </w:tcPr>
          <w:p w14:paraId="18DCCEE5"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2</w:t>
            </w:r>
          </w:p>
        </w:tc>
        <w:tc>
          <w:tcPr>
            <w:tcW w:w="1037" w:type="pct"/>
          </w:tcPr>
          <w:p w14:paraId="69F9EBE6"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Belay Legesse</w:t>
            </w:r>
          </w:p>
        </w:tc>
        <w:tc>
          <w:tcPr>
            <w:tcW w:w="443" w:type="pct"/>
          </w:tcPr>
          <w:p w14:paraId="33DBC60D"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11499EFE"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HoPR</w:t>
            </w:r>
            <w:r>
              <w:rPr>
                <w:rFonts w:ascii="Arial" w:hAnsi="Arial" w:cs="Arial"/>
                <w:sz w:val="18"/>
                <w:szCs w:val="18"/>
              </w:rPr>
              <w:t>,</w:t>
            </w:r>
            <w:r w:rsidRPr="00352701">
              <w:rPr>
                <w:rFonts w:ascii="Arial" w:hAnsi="Arial" w:cs="Arial"/>
                <w:sz w:val="18"/>
                <w:szCs w:val="18"/>
              </w:rPr>
              <w:t xml:space="preserve"> Directorate Director: Research, Library &amp; Documentation</w:t>
            </w:r>
          </w:p>
        </w:tc>
      </w:tr>
      <w:tr w:rsidR="00232514" w:rsidRPr="000F542E" w14:paraId="0297079F" w14:textId="77777777" w:rsidTr="00DC1475">
        <w:tc>
          <w:tcPr>
            <w:tcW w:w="333" w:type="pct"/>
          </w:tcPr>
          <w:p w14:paraId="53AC202C"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3</w:t>
            </w:r>
          </w:p>
        </w:tc>
        <w:tc>
          <w:tcPr>
            <w:tcW w:w="1037" w:type="pct"/>
          </w:tcPr>
          <w:p w14:paraId="0D5B15CC" w14:textId="77777777" w:rsidR="00232514" w:rsidRPr="000F542E" w:rsidRDefault="00232514" w:rsidP="00DC1475">
            <w:pPr>
              <w:jc w:val="both"/>
              <w:rPr>
                <w:rFonts w:ascii="Arial" w:hAnsi="Arial" w:cs="Arial"/>
                <w:sz w:val="18"/>
                <w:szCs w:val="18"/>
              </w:rPr>
            </w:pPr>
            <w:proofErr w:type="spellStart"/>
            <w:r w:rsidRPr="00352701">
              <w:rPr>
                <w:rFonts w:ascii="Arial" w:hAnsi="Arial" w:cs="Arial"/>
                <w:sz w:val="18"/>
                <w:szCs w:val="18"/>
              </w:rPr>
              <w:t>Nechitef</w:t>
            </w:r>
            <w:proofErr w:type="spellEnd"/>
            <w:r w:rsidRPr="00352701">
              <w:rPr>
                <w:rFonts w:ascii="Arial" w:hAnsi="Arial" w:cs="Arial"/>
                <w:sz w:val="18"/>
                <w:szCs w:val="18"/>
              </w:rPr>
              <w:t xml:space="preserve"> </w:t>
            </w:r>
            <w:proofErr w:type="spellStart"/>
            <w:r w:rsidRPr="00352701">
              <w:rPr>
                <w:rFonts w:ascii="Arial" w:hAnsi="Arial" w:cs="Arial"/>
                <w:sz w:val="18"/>
                <w:szCs w:val="18"/>
              </w:rPr>
              <w:t>Filatie</w:t>
            </w:r>
            <w:proofErr w:type="spellEnd"/>
          </w:p>
        </w:tc>
        <w:tc>
          <w:tcPr>
            <w:tcW w:w="443" w:type="pct"/>
          </w:tcPr>
          <w:p w14:paraId="7A5FF677"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F</w:t>
            </w:r>
            <w:r>
              <w:rPr>
                <w:rFonts w:ascii="Arial" w:hAnsi="Arial" w:cs="Arial"/>
                <w:sz w:val="18"/>
                <w:szCs w:val="18"/>
              </w:rPr>
              <w:t>emale</w:t>
            </w:r>
          </w:p>
        </w:tc>
        <w:tc>
          <w:tcPr>
            <w:tcW w:w="3187" w:type="pct"/>
          </w:tcPr>
          <w:p w14:paraId="4E7F3EBF"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HoPR</w:t>
            </w:r>
            <w:r>
              <w:rPr>
                <w:rFonts w:ascii="Arial" w:hAnsi="Arial" w:cs="Arial"/>
                <w:sz w:val="18"/>
                <w:szCs w:val="18"/>
              </w:rPr>
              <w:t>,</w:t>
            </w:r>
            <w:r w:rsidRPr="00352701">
              <w:rPr>
                <w:rFonts w:ascii="Arial" w:hAnsi="Arial" w:cs="Arial"/>
                <w:sz w:val="18"/>
                <w:szCs w:val="18"/>
              </w:rPr>
              <w:t xml:space="preserve"> Directorate Director: Women, Child, and Youth Affairs</w:t>
            </w:r>
          </w:p>
        </w:tc>
      </w:tr>
      <w:tr w:rsidR="00232514" w:rsidRPr="000F542E" w14:paraId="452F17A8" w14:textId="77777777" w:rsidTr="00DC1475">
        <w:tc>
          <w:tcPr>
            <w:tcW w:w="333" w:type="pct"/>
          </w:tcPr>
          <w:p w14:paraId="770C1741"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4</w:t>
            </w:r>
          </w:p>
        </w:tc>
        <w:tc>
          <w:tcPr>
            <w:tcW w:w="1037" w:type="pct"/>
          </w:tcPr>
          <w:p w14:paraId="25E5172C"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 xml:space="preserve">Imad </w:t>
            </w:r>
            <w:proofErr w:type="spellStart"/>
            <w:r w:rsidRPr="00352701">
              <w:rPr>
                <w:rFonts w:ascii="Arial" w:hAnsi="Arial" w:cs="Arial"/>
                <w:sz w:val="18"/>
                <w:szCs w:val="18"/>
              </w:rPr>
              <w:t>Abdulfetah</w:t>
            </w:r>
            <w:proofErr w:type="spellEnd"/>
          </w:p>
        </w:tc>
        <w:tc>
          <w:tcPr>
            <w:tcW w:w="443" w:type="pct"/>
          </w:tcPr>
          <w:p w14:paraId="60B6B572"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5C5BB4AC" w14:textId="7EF859BA" w:rsidR="00232514" w:rsidRPr="000F542E" w:rsidRDefault="00232514" w:rsidP="003354EE">
            <w:pPr>
              <w:jc w:val="both"/>
              <w:rPr>
                <w:rFonts w:ascii="Arial" w:hAnsi="Arial" w:cs="Arial"/>
                <w:sz w:val="18"/>
                <w:szCs w:val="18"/>
              </w:rPr>
            </w:pPr>
            <w:r w:rsidRPr="00352701">
              <w:rPr>
                <w:rFonts w:ascii="Arial" w:hAnsi="Arial" w:cs="Arial"/>
                <w:sz w:val="18"/>
                <w:szCs w:val="18"/>
              </w:rPr>
              <w:t>EHRC</w:t>
            </w:r>
            <w:r>
              <w:rPr>
                <w:rFonts w:ascii="Arial" w:hAnsi="Arial" w:cs="Arial"/>
                <w:sz w:val="18"/>
                <w:szCs w:val="18"/>
              </w:rPr>
              <w:t>,</w:t>
            </w:r>
            <w:r w:rsidRPr="00352701">
              <w:rPr>
                <w:rFonts w:ascii="Arial" w:hAnsi="Arial" w:cs="Arial"/>
                <w:sz w:val="18"/>
                <w:szCs w:val="18"/>
              </w:rPr>
              <w:t xml:space="preserve"> Regional Director, Human Rights </w:t>
            </w:r>
            <w:proofErr w:type="gramStart"/>
            <w:r w:rsidRPr="00352701">
              <w:rPr>
                <w:rFonts w:ascii="Arial" w:hAnsi="Arial" w:cs="Arial"/>
                <w:sz w:val="18"/>
                <w:szCs w:val="18"/>
              </w:rPr>
              <w:t>Monitoring</w:t>
            </w:r>
            <w:proofErr w:type="gramEnd"/>
            <w:r w:rsidRPr="00352701">
              <w:rPr>
                <w:rFonts w:ascii="Arial" w:hAnsi="Arial" w:cs="Arial"/>
                <w:sz w:val="18"/>
                <w:szCs w:val="18"/>
              </w:rPr>
              <w:t xml:space="preserve"> and Investigation</w:t>
            </w:r>
          </w:p>
        </w:tc>
      </w:tr>
      <w:tr w:rsidR="00232514" w:rsidRPr="000F542E" w14:paraId="6B8957B4" w14:textId="77777777" w:rsidTr="00DC1475">
        <w:tc>
          <w:tcPr>
            <w:tcW w:w="333" w:type="pct"/>
          </w:tcPr>
          <w:p w14:paraId="3AAB5475"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5</w:t>
            </w:r>
          </w:p>
        </w:tc>
        <w:tc>
          <w:tcPr>
            <w:tcW w:w="1037" w:type="pct"/>
          </w:tcPr>
          <w:p w14:paraId="59D3F0D5"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 xml:space="preserve">Rakeb </w:t>
            </w:r>
            <w:proofErr w:type="spellStart"/>
            <w:r w:rsidRPr="00352701">
              <w:rPr>
                <w:rFonts w:ascii="Arial" w:hAnsi="Arial" w:cs="Arial"/>
                <w:sz w:val="18"/>
                <w:szCs w:val="18"/>
              </w:rPr>
              <w:t>Messele</w:t>
            </w:r>
            <w:proofErr w:type="spellEnd"/>
          </w:p>
        </w:tc>
        <w:tc>
          <w:tcPr>
            <w:tcW w:w="443" w:type="pct"/>
          </w:tcPr>
          <w:p w14:paraId="32CAFD89"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F</w:t>
            </w:r>
            <w:r>
              <w:rPr>
                <w:rFonts w:ascii="Arial" w:hAnsi="Arial" w:cs="Arial"/>
                <w:sz w:val="18"/>
                <w:szCs w:val="18"/>
              </w:rPr>
              <w:t>emale</w:t>
            </w:r>
          </w:p>
        </w:tc>
        <w:tc>
          <w:tcPr>
            <w:tcW w:w="3187" w:type="pct"/>
          </w:tcPr>
          <w:p w14:paraId="306D48A9" w14:textId="3BDBD347" w:rsidR="00232514" w:rsidRPr="000F542E" w:rsidRDefault="00232514" w:rsidP="00DC1475">
            <w:pPr>
              <w:jc w:val="both"/>
              <w:rPr>
                <w:rFonts w:ascii="Arial" w:hAnsi="Arial" w:cs="Arial"/>
                <w:sz w:val="18"/>
                <w:szCs w:val="18"/>
              </w:rPr>
            </w:pPr>
            <w:r w:rsidRPr="00352701">
              <w:rPr>
                <w:rFonts w:ascii="Arial" w:hAnsi="Arial" w:cs="Arial"/>
                <w:sz w:val="18"/>
                <w:szCs w:val="18"/>
              </w:rPr>
              <w:t>EHRC</w:t>
            </w:r>
            <w:r>
              <w:rPr>
                <w:rFonts w:ascii="Arial" w:hAnsi="Arial" w:cs="Arial"/>
                <w:sz w:val="18"/>
                <w:szCs w:val="18"/>
              </w:rPr>
              <w:t>,</w:t>
            </w:r>
            <w:r w:rsidRPr="00352701">
              <w:rPr>
                <w:rFonts w:ascii="Arial" w:hAnsi="Arial" w:cs="Arial"/>
                <w:sz w:val="18"/>
                <w:szCs w:val="18"/>
              </w:rPr>
              <w:t xml:space="preserve"> Deputy </w:t>
            </w:r>
            <w:r w:rsidR="00E3648E">
              <w:rPr>
                <w:rFonts w:ascii="Arial" w:hAnsi="Arial" w:cs="Arial"/>
                <w:sz w:val="18"/>
                <w:szCs w:val="18"/>
              </w:rPr>
              <w:t xml:space="preserve">Chief </w:t>
            </w:r>
            <w:r w:rsidRPr="00352701">
              <w:rPr>
                <w:rFonts w:ascii="Arial" w:hAnsi="Arial" w:cs="Arial"/>
                <w:sz w:val="18"/>
                <w:szCs w:val="18"/>
              </w:rPr>
              <w:t>Commissioner</w:t>
            </w:r>
          </w:p>
        </w:tc>
      </w:tr>
      <w:tr w:rsidR="00232514" w:rsidRPr="000F542E" w14:paraId="495ADDAB" w14:textId="77777777" w:rsidTr="00DC1475">
        <w:tc>
          <w:tcPr>
            <w:tcW w:w="333" w:type="pct"/>
          </w:tcPr>
          <w:p w14:paraId="0EF68C34" w14:textId="77777777" w:rsidR="00232514" w:rsidRPr="00352701" w:rsidRDefault="00232514" w:rsidP="00DC1475">
            <w:pPr>
              <w:jc w:val="both"/>
              <w:rPr>
                <w:rFonts w:ascii="Arial" w:hAnsi="Arial" w:cs="Arial"/>
                <w:sz w:val="18"/>
                <w:szCs w:val="18"/>
              </w:rPr>
            </w:pPr>
            <w:r>
              <w:rPr>
                <w:rFonts w:ascii="Arial" w:hAnsi="Arial" w:cs="Arial"/>
                <w:sz w:val="18"/>
                <w:szCs w:val="18"/>
              </w:rPr>
              <w:t>6</w:t>
            </w:r>
          </w:p>
        </w:tc>
        <w:tc>
          <w:tcPr>
            <w:tcW w:w="1037" w:type="pct"/>
          </w:tcPr>
          <w:p w14:paraId="236D6B74" w14:textId="77777777" w:rsidR="00232514" w:rsidRPr="00352701" w:rsidRDefault="00232514" w:rsidP="00DC1475">
            <w:pPr>
              <w:jc w:val="both"/>
              <w:rPr>
                <w:rFonts w:ascii="Arial" w:hAnsi="Arial" w:cs="Arial"/>
                <w:sz w:val="18"/>
                <w:szCs w:val="18"/>
              </w:rPr>
            </w:pPr>
            <w:r>
              <w:rPr>
                <w:rFonts w:ascii="Arial" w:hAnsi="Arial" w:cs="Arial"/>
                <w:sz w:val="18"/>
                <w:szCs w:val="18"/>
              </w:rPr>
              <w:t>Dr. Emezat Hailu</w:t>
            </w:r>
          </w:p>
        </w:tc>
        <w:tc>
          <w:tcPr>
            <w:tcW w:w="443" w:type="pct"/>
          </w:tcPr>
          <w:p w14:paraId="37BFFC56" w14:textId="77777777" w:rsidR="00232514" w:rsidRPr="00352701" w:rsidRDefault="00232514" w:rsidP="00DC1475">
            <w:pPr>
              <w:jc w:val="both"/>
              <w:rPr>
                <w:rFonts w:ascii="Arial" w:hAnsi="Arial" w:cs="Arial"/>
                <w:sz w:val="18"/>
                <w:szCs w:val="18"/>
              </w:rPr>
            </w:pPr>
            <w:r>
              <w:rPr>
                <w:rFonts w:ascii="Arial" w:hAnsi="Arial" w:cs="Arial"/>
                <w:sz w:val="18"/>
                <w:szCs w:val="18"/>
              </w:rPr>
              <w:t>Female</w:t>
            </w:r>
          </w:p>
        </w:tc>
        <w:tc>
          <w:tcPr>
            <w:tcW w:w="3187" w:type="pct"/>
          </w:tcPr>
          <w:p w14:paraId="5B4035C0" w14:textId="77777777" w:rsidR="00232514" w:rsidRPr="00352701" w:rsidRDefault="00232514" w:rsidP="00DC1475">
            <w:pPr>
              <w:jc w:val="both"/>
              <w:rPr>
                <w:rFonts w:ascii="Arial" w:hAnsi="Arial" w:cs="Arial"/>
                <w:sz w:val="18"/>
                <w:szCs w:val="18"/>
              </w:rPr>
            </w:pPr>
            <w:r>
              <w:rPr>
                <w:rFonts w:ascii="Arial" w:hAnsi="Arial" w:cs="Arial"/>
                <w:sz w:val="18"/>
                <w:szCs w:val="18"/>
              </w:rPr>
              <w:t>UNDP, GESI Consultant</w:t>
            </w:r>
          </w:p>
        </w:tc>
      </w:tr>
      <w:tr w:rsidR="00232514" w:rsidRPr="000F542E" w14:paraId="797A9371" w14:textId="77777777" w:rsidTr="00DC1475">
        <w:tc>
          <w:tcPr>
            <w:tcW w:w="333" w:type="pct"/>
          </w:tcPr>
          <w:p w14:paraId="3DF6B792"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7</w:t>
            </w:r>
          </w:p>
        </w:tc>
        <w:tc>
          <w:tcPr>
            <w:tcW w:w="1037" w:type="pct"/>
          </w:tcPr>
          <w:p w14:paraId="3CED3CB2"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Afework Fekadu</w:t>
            </w:r>
          </w:p>
        </w:tc>
        <w:tc>
          <w:tcPr>
            <w:tcW w:w="443" w:type="pct"/>
          </w:tcPr>
          <w:p w14:paraId="743E5EA3"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17C19B96"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UNDP</w:t>
            </w:r>
            <w:r>
              <w:rPr>
                <w:rFonts w:ascii="Arial" w:hAnsi="Arial" w:cs="Arial"/>
                <w:sz w:val="18"/>
                <w:szCs w:val="18"/>
              </w:rPr>
              <w:t>,</w:t>
            </w:r>
            <w:r w:rsidRPr="00352701">
              <w:rPr>
                <w:rFonts w:ascii="Arial" w:hAnsi="Arial" w:cs="Arial"/>
                <w:sz w:val="18"/>
                <w:szCs w:val="18"/>
              </w:rPr>
              <w:t xml:space="preserve"> Programme Specialist</w:t>
            </w:r>
          </w:p>
        </w:tc>
      </w:tr>
      <w:tr w:rsidR="00232514" w:rsidRPr="000F542E" w14:paraId="7CD018B2" w14:textId="77777777" w:rsidTr="00DC1475">
        <w:tc>
          <w:tcPr>
            <w:tcW w:w="333" w:type="pct"/>
          </w:tcPr>
          <w:p w14:paraId="6E7760F7"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8</w:t>
            </w:r>
          </w:p>
        </w:tc>
        <w:tc>
          <w:tcPr>
            <w:tcW w:w="1037" w:type="pct"/>
          </w:tcPr>
          <w:p w14:paraId="74CFDAF0"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Senait Mulugeta</w:t>
            </w:r>
          </w:p>
        </w:tc>
        <w:tc>
          <w:tcPr>
            <w:tcW w:w="443" w:type="pct"/>
          </w:tcPr>
          <w:p w14:paraId="650F2917"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F</w:t>
            </w:r>
            <w:r>
              <w:rPr>
                <w:rFonts w:ascii="Arial" w:hAnsi="Arial" w:cs="Arial"/>
                <w:sz w:val="18"/>
                <w:szCs w:val="18"/>
              </w:rPr>
              <w:t>emale</w:t>
            </w:r>
          </w:p>
        </w:tc>
        <w:tc>
          <w:tcPr>
            <w:tcW w:w="3187" w:type="pct"/>
          </w:tcPr>
          <w:p w14:paraId="11A83398"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UNDP</w:t>
            </w:r>
            <w:r>
              <w:rPr>
                <w:rFonts w:ascii="Arial" w:hAnsi="Arial" w:cs="Arial"/>
                <w:sz w:val="18"/>
                <w:szCs w:val="18"/>
              </w:rPr>
              <w:t>,</w:t>
            </w:r>
            <w:r w:rsidRPr="00352701">
              <w:rPr>
                <w:rFonts w:ascii="Arial" w:hAnsi="Arial" w:cs="Arial"/>
                <w:sz w:val="18"/>
                <w:szCs w:val="18"/>
              </w:rPr>
              <w:t xml:space="preserve"> Programme Associate</w:t>
            </w:r>
          </w:p>
        </w:tc>
      </w:tr>
      <w:tr w:rsidR="00232514" w:rsidRPr="000F542E" w14:paraId="5A16CB59" w14:textId="77777777" w:rsidTr="00DC1475">
        <w:tc>
          <w:tcPr>
            <w:tcW w:w="333" w:type="pct"/>
          </w:tcPr>
          <w:p w14:paraId="565053A2"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9</w:t>
            </w:r>
          </w:p>
        </w:tc>
        <w:tc>
          <w:tcPr>
            <w:tcW w:w="1037" w:type="pct"/>
          </w:tcPr>
          <w:p w14:paraId="62A54823"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Noah Takale</w:t>
            </w:r>
          </w:p>
        </w:tc>
        <w:tc>
          <w:tcPr>
            <w:tcW w:w="443" w:type="pct"/>
          </w:tcPr>
          <w:p w14:paraId="79CD6232"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573CFF30" w14:textId="77777777" w:rsidR="00232514" w:rsidRPr="00352701" w:rsidRDefault="00232514" w:rsidP="00DC1475">
            <w:pPr>
              <w:jc w:val="both"/>
              <w:rPr>
                <w:rFonts w:ascii="Arial" w:hAnsi="Arial" w:cs="Arial"/>
                <w:sz w:val="18"/>
                <w:szCs w:val="18"/>
              </w:rPr>
            </w:pPr>
            <w:r w:rsidRPr="00352701">
              <w:rPr>
                <w:rFonts w:ascii="Arial" w:hAnsi="Arial" w:cs="Arial"/>
                <w:sz w:val="18"/>
                <w:szCs w:val="18"/>
              </w:rPr>
              <w:t xml:space="preserve">OAG/MoJ, Director, Justice System Reform </w:t>
            </w:r>
            <w:r>
              <w:rPr>
                <w:rFonts w:ascii="Arial" w:hAnsi="Arial" w:cs="Arial"/>
                <w:sz w:val="18"/>
                <w:szCs w:val="18"/>
              </w:rPr>
              <w:t>&amp;</w:t>
            </w:r>
            <w:r w:rsidRPr="00352701">
              <w:rPr>
                <w:rFonts w:ascii="Arial" w:hAnsi="Arial" w:cs="Arial"/>
                <w:sz w:val="18"/>
                <w:szCs w:val="18"/>
              </w:rPr>
              <w:t xml:space="preserve"> Project Coordination Directorate</w:t>
            </w:r>
          </w:p>
        </w:tc>
      </w:tr>
      <w:tr w:rsidR="00232514" w:rsidRPr="000F542E" w14:paraId="2296D870" w14:textId="77777777" w:rsidTr="00DC1475">
        <w:tc>
          <w:tcPr>
            <w:tcW w:w="333" w:type="pct"/>
          </w:tcPr>
          <w:p w14:paraId="3783F94A"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10</w:t>
            </w:r>
          </w:p>
        </w:tc>
        <w:tc>
          <w:tcPr>
            <w:tcW w:w="1037" w:type="pct"/>
          </w:tcPr>
          <w:p w14:paraId="5CFF4B32"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Mahlet Tiruneh</w:t>
            </w:r>
          </w:p>
        </w:tc>
        <w:tc>
          <w:tcPr>
            <w:tcW w:w="443" w:type="pct"/>
          </w:tcPr>
          <w:p w14:paraId="48F4A9A9"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F</w:t>
            </w:r>
            <w:r>
              <w:rPr>
                <w:rFonts w:ascii="Arial" w:hAnsi="Arial" w:cs="Arial"/>
                <w:sz w:val="18"/>
                <w:szCs w:val="18"/>
              </w:rPr>
              <w:t>emale</w:t>
            </w:r>
          </w:p>
        </w:tc>
        <w:tc>
          <w:tcPr>
            <w:tcW w:w="3187" w:type="pct"/>
          </w:tcPr>
          <w:p w14:paraId="6D1D92D5"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NEBE</w:t>
            </w:r>
            <w:r>
              <w:rPr>
                <w:rFonts w:ascii="Arial" w:hAnsi="Arial" w:cs="Arial"/>
                <w:sz w:val="18"/>
                <w:szCs w:val="18"/>
              </w:rPr>
              <w:t>,</w:t>
            </w:r>
            <w:r w:rsidRPr="00352701">
              <w:rPr>
                <w:rFonts w:ascii="Arial" w:hAnsi="Arial" w:cs="Arial"/>
                <w:sz w:val="18"/>
                <w:szCs w:val="18"/>
              </w:rPr>
              <w:t xml:space="preserve"> External Relation Expert</w:t>
            </w:r>
          </w:p>
        </w:tc>
      </w:tr>
      <w:tr w:rsidR="00232514" w:rsidRPr="000F542E" w14:paraId="099AC015" w14:textId="77777777" w:rsidTr="00DC1475">
        <w:tc>
          <w:tcPr>
            <w:tcW w:w="333" w:type="pct"/>
          </w:tcPr>
          <w:p w14:paraId="0FF9F943"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11</w:t>
            </w:r>
          </w:p>
        </w:tc>
        <w:tc>
          <w:tcPr>
            <w:tcW w:w="1037" w:type="pct"/>
          </w:tcPr>
          <w:p w14:paraId="03DC3824"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Bizuwork Ketete</w:t>
            </w:r>
          </w:p>
        </w:tc>
        <w:tc>
          <w:tcPr>
            <w:tcW w:w="443" w:type="pct"/>
          </w:tcPr>
          <w:p w14:paraId="3262646B"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F</w:t>
            </w:r>
            <w:r>
              <w:rPr>
                <w:rFonts w:ascii="Arial" w:hAnsi="Arial" w:cs="Arial"/>
                <w:sz w:val="18"/>
                <w:szCs w:val="18"/>
              </w:rPr>
              <w:t>emale</w:t>
            </w:r>
          </w:p>
        </w:tc>
        <w:tc>
          <w:tcPr>
            <w:tcW w:w="3187" w:type="pct"/>
          </w:tcPr>
          <w:p w14:paraId="03B31E36"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NEBE</w:t>
            </w:r>
            <w:r>
              <w:rPr>
                <w:rFonts w:ascii="Arial" w:hAnsi="Arial" w:cs="Arial"/>
                <w:sz w:val="18"/>
                <w:szCs w:val="18"/>
              </w:rPr>
              <w:t>,</w:t>
            </w:r>
            <w:r w:rsidRPr="00352701">
              <w:rPr>
                <w:rFonts w:ascii="Arial" w:hAnsi="Arial" w:cs="Arial"/>
                <w:sz w:val="18"/>
                <w:szCs w:val="18"/>
              </w:rPr>
              <w:t xml:space="preserve"> Board Member</w:t>
            </w:r>
          </w:p>
        </w:tc>
      </w:tr>
      <w:tr w:rsidR="00232514" w:rsidRPr="000F542E" w14:paraId="61D3CD83" w14:textId="77777777" w:rsidTr="00DC1475">
        <w:tc>
          <w:tcPr>
            <w:tcW w:w="333" w:type="pct"/>
          </w:tcPr>
          <w:p w14:paraId="10C79D87"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12</w:t>
            </w:r>
          </w:p>
        </w:tc>
        <w:tc>
          <w:tcPr>
            <w:tcW w:w="1037" w:type="pct"/>
          </w:tcPr>
          <w:p w14:paraId="54F30AD9"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Meron Dessie</w:t>
            </w:r>
          </w:p>
        </w:tc>
        <w:tc>
          <w:tcPr>
            <w:tcW w:w="443" w:type="pct"/>
          </w:tcPr>
          <w:p w14:paraId="0AF419A0"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F</w:t>
            </w:r>
            <w:r>
              <w:rPr>
                <w:rFonts w:ascii="Arial" w:hAnsi="Arial" w:cs="Arial"/>
                <w:sz w:val="18"/>
                <w:szCs w:val="18"/>
              </w:rPr>
              <w:t>emale</w:t>
            </w:r>
          </w:p>
        </w:tc>
        <w:tc>
          <w:tcPr>
            <w:tcW w:w="3187" w:type="pct"/>
          </w:tcPr>
          <w:p w14:paraId="5187CD17"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NEBE</w:t>
            </w:r>
            <w:r>
              <w:rPr>
                <w:rFonts w:ascii="Arial" w:hAnsi="Arial" w:cs="Arial"/>
                <w:sz w:val="18"/>
                <w:szCs w:val="18"/>
              </w:rPr>
              <w:t>,</w:t>
            </w:r>
            <w:r w:rsidRPr="00352701">
              <w:rPr>
                <w:rFonts w:ascii="Arial" w:hAnsi="Arial" w:cs="Arial"/>
                <w:sz w:val="18"/>
                <w:szCs w:val="18"/>
              </w:rPr>
              <w:t xml:space="preserve"> Grant Budget Inspection and Monitoring Manager</w:t>
            </w:r>
          </w:p>
        </w:tc>
      </w:tr>
      <w:tr w:rsidR="00232514" w:rsidRPr="000F542E" w14:paraId="118D3F10" w14:textId="77777777" w:rsidTr="00DC1475">
        <w:tc>
          <w:tcPr>
            <w:tcW w:w="333" w:type="pct"/>
          </w:tcPr>
          <w:p w14:paraId="157FF27C"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13</w:t>
            </w:r>
          </w:p>
        </w:tc>
        <w:tc>
          <w:tcPr>
            <w:tcW w:w="1037" w:type="pct"/>
          </w:tcPr>
          <w:p w14:paraId="688634FE" w14:textId="77777777" w:rsidR="00232514" w:rsidRPr="000F542E" w:rsidRDefault="00232514" w:rsidP="00DC1475">
            <w:pPr>
              <w:jc w:val="both"/>
              <w:rPr>
                <w:rFonts w:ascii="Arial" w:hAnsi="Arial" w:cs="Arial"/>
                <w:sz w:val="18"/>
                <w:szCs w:val="18"/>
              </w:rPr>
            </w:pPr>
            <w:proofErr w:type="spellStart"/>
            <w:r w:rsidRPr="00352701">
              <w:rPr>
                <w:rFonts w:ascii="Arial" w:hAnsi="Arial" w:cs="Arial"/>
                <w:sz w:val="18"/>
                <w:szCs w:val="18"/>
              </w:rPr>
              <w:t>Melake</w:t>
            </w:r>
            <w:proofErr w:type="spellEnd"/>
            <w:r w:rsidRPr="00352701">
              <w:rPr>
                <w:rFonts w:ascii="Arial" w:hAnsi="Arial" w:cs="Arial"/>
                <w:sz w:val="18"/>
                <w:szCs w:val="18"/>
              </w:rPr>
              <w:t xml:space="preserve"> Alula</w:t>
            </w:r>
          </w:p>
        </w:tc>
        <w:tc>
          <w:tcPr>
            <w:tcW w:w="443" w:type="pct"/>
          </w:tcPr>
          <w:p w14:paraId="7FABEC15"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018CCC7B"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NEBE</w:t>
            </w:r>
            <w:r>
              <w:rPr>
                <w:rFonts w:ascii="Arial" w:hAnsi="Arial" w:cs="Arial"/>
                <w:sz w:val="18"/>
                <w:szCs w:val="18"/>
              </w:rPr>
              <w:t>,</w:t>
            </w:r>
            <w:r w:rsidRPr="00352701">
              <w:rPr>
                <w:rFonts w:ascii="Arial" w:hAnsi="Arial" w:cs="Arial"/>
                <w:sz w:val="18"/>
                <w:szCs w:val="18"/>
              </w:rPr>
              <w:t xml:space="preserve"> Procurement Manager</w:t>
            </w:r>
          </w:p>
        </w:tc>
      </w:tr>
      <w:tr w:rsidR="00232514" w:rsidRPr="000F542E" w14:paraId="441975CD" w14:textId="77777777" w:rsidTr="00DC1475">
        <w:tc>
          <w:tcPr>
            <w:tcW w:w="333" w:type="pct"/>
          </w:tcPr>
          <w:p w14:paraId="72B8FB03"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14</w:t>
            </w:r>
          </w:p>
        </w:tc>
        <w:tc>
          <w:tcPr>
            <w:tcW w:w="1037" w:type="pct"/>
          </w:tcPr>
          <w:p w14:paraId="3D82A241" w14:textId="77777777" w:rsidR="00232514" w:rsidRPr="000F542E" w:rsidRDefault="00232514" w:rsidP="00DC1475">
            <w:pPr>
              <w:jc w:val="both"/>
              <w:rPr>
                <w:rFonts w:ascii="Arial" w:hAnsi="Arial" w:cs="Arial"/>
                <w:sz w:val="18"/>
                <w:szCs w:val="18"/>
              </w:rPr>
            </w:pPr>
            <w:proofErr w:type="spellStart"/>
            <w:r w:rsidRPr="00352701">
              <w:rPr>
                <w:rFonts w:ascii="Arial" w:hAnsi="Arial" w:cs="Arial"/>
                <w:sz w:val="18"/>
                <w:szCs w:val="18"/>
              </w:rPr>
              <w:t>Tamrat</w:t>
            </w:r>
            <w:proofErr w:type="spellEnd"/>
            <w:r w:rsidRPr="00352701">
              <w:rPr>
                <w:rFonts w:ascii="Arial" w:hAnsi="Arial" w:cs="Arial"/>
                <w:sz w:val="18"/>
                <w:szCs w:val="18"/>
              </w:rPr>
              <w:t xml:space="preserve"> Dejene</w:t>
            </w:r>
          </w:p>
        </w:tc>
        <w:tc>
          <w:tcPr>
            <w:tcW w:w="443" w:type="pct"/>
          </w:tcPr>
          <w:p w14:paraId="57977918"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690D739E"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EBA</w:t>
            </w:r>
            <w:r>
              <w:rPr>
                <w:rFonts w:ascii="Arial" w:hAnsi="Arial" w:cs="Arial"/>
                <w:sz w:val="18"/>
                <w:szCs w:val="18"/>
              </w:rPr>
              <w:t>,</w:t>
            </w:r>
            <w:r w:rsidRPr="00352701">
              <w:rPr>
                <w:rFonts w:ascii="Arial" w:hAnsi="Arial" w:cs="Arial"/>
                <w:sz w:val="18"/>
                <w:szCs w:val="18"/>
              </w:rPr>
              <w:t xml:space="preserve"> UNDP Focal Person and Director</w:t>
            </w:r>
          </w:p>
        </w:tc>
      </w:tr>
      <w:tr w:rsidR="00232514" w:rsidRPr="000F542E" w14:paraId="7B9E2E13" w14:textId="77777777" w:rsidTr="00DC1475">
        <w:tc>
          <w:tcPr>
            <w:tcW w:w="333" w:type="pct"/>
          </w:tcPr>
          <w:p w14:paraId="1FC9078D"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15</w:t>
            </w:r>
          </w:p>
        </w:tc>
        <w:tc>
          <w:tcPr>
            <w:tcW w:w="1037" w:type="pct"/>
          </w:tcPr>
          <w:p w14:paraId="7E336A09" w14:textId="77777777" w:rsidR="00232514" w:rsidRPr="000F542E" w:rsidRDefault="00232514" w:rsidP="00DC1475">
            <w:pPr>
              <w:jc w:val="both"/>
              <w:rPr>
                <w:rFonts w:ascii="Arial" w:hAnsi="Arial" w:cs="Arial"/>
                <w:sz w:val="18"/>
                <w:szCs w:val="18"/>
              </w:rPr>
            </w:pPr>
            <w:proofErr w:type="spellStart"/>
            <w:r w:rsidRPr="00352701">
              <w:rPr>
                <w:rFonts w:ascii="Arial" w:hAnsi="Arial" w:cs="Arial"/>
                <w:sz w:val="18"/>
                <w:szCs w:val="18"/>
              </w:rPr>
              <w:t>Nebiyu</w:t>
            </w:r>
            <w:proofErr w:type="spellEnd"/>
            <w:r w:rsidRPr="00352701">
              <w:rPr>
                <w:rFonts w:ascii="Arial" w:hAnsi="Arial" w:cs="Arial"/>
                <w:sz w:val="18"/>
                <w:szCs w:val="18"/>
              </w:rPr>
              <w:t xml:space="preserve"> Mehari</w:t>
            </w:r>
          </w:p>
        </w:tc>
        <w:tc>
          <w:tcPr>
            <w:tcW w:w="443" w:type="pct"/>
          </w:tcPr>
          <w:p w14:paraId="1577D5DB"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3153EC54"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UNDP</w:t>
            </w:r>
            <w:r>
              <w:rPr>
                <w:rFonts w:ascii="Arial" w:hAnsi="Arial" w:cs="Arial"/>
                <w:sz w:val="18"/>
                <w:szCs w:val="18"/>
              </w:rPr>
              <w:t>,</w:t>
            </w:r>
            <w:r w:rsidRPr="00352701">
              <w:rPr>
                <w:rFonts w:ascii="Arial" w:hAnsi="Arial" w:cs="Arial"/>
                <w:sz w:val="18"/>
                <w:szCs w:val="18"/>
              </w:rPr>
              <w:t xml:space="preserve"> Portfolio Manager</w:t>
            </w:r>
          </w:p>
        </w:tc>
      </w:tr>
      <w:tr w:rsidR="00232514" w:rsidRPr="000F542E" w14:paraId="2AFD7624" w14:textId="77777777" w:rsidTr="00DC1475">
        <w:tc>
          <w:tcPr>
            <w:tcW w:w="333" w:type="pct"/>
          </w:tcPr>
          <w:p w14:paraId="7E5A8DC1"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16</w:t>
            </w:r>
          </w:p>
        </w:tc>
        <w:tc>
          <w:tcPr>
            <w:tcW w:w="1037" w:type="pct"/>
          </w:tcPr>
          <w:p w14:paraId="72FD12E1" w14:textId="77777777" w:rsidR="00232514" w:rsidRPr="0094265B" w:rsidRDefault="00232514" w:rsidP="00DC1475">
            <w:pPr>
              <w:jc w:val="both"/>
              <w:rPr>
                <w:rFonts w:ascii="Arial" w:hAnsi="Arial" w:cs="Arial"/>
                <w:sz w:val="18"/>
                <w:szCs w:val="18"/>
              </w:rPr>
            </w:pPr>
            <w:r w:rsidRPr="0094265B">
              <w:rPr>
                <w:rFonts w:ascii="Arial" w:hAnsi="Arial" w:cs="Arial"/>
                <w:sz w:val="18"/>
                <w:szCs w:val="18"/>
              </w:rPr>
              <w:t>Berhanu Alemu</w:t>
            </w:r>
          </w:p>
        </w:tc>
        <w:tc>
          <w:tcPr>
            <w:tcW w:w="443" w:type="pct"/>
          </w:tcPr>
          <w:p w14:paraId="71CA45FC" w14:textId="77777777" w:rsidR="00232514" w:rsidRPr="0094265B" w:rsidRDefault="00232514" w:rsidP="00DC1475">
            <w:pPr>
              <w:jc w:val="both"/>
              <w:rPr>
                <w:rFonts w:ascii="Arial" w:hAnsi="Arial" w:cs="Arial"/>
                <w:sz w:val="18"/>
                <w:szCs w:val="18"/>
              </w:rPr>
            </w:pPr>
            <w:r w:rsidRPr="0094265B">
              <w:rPr>
                <w:rFonts w:ascii="Arial" w:hAnsi="Arial" w:cs="Arial"/>
                <w:sz w:val="18"/>
                <w:szCs w:val="18"/>
              </w:rPr>
              <w:t>Male</w:t>
            </w:r>
          </w:p>
        </w:tc>
        <w:tc>
          <w:tcPr>
            <w:tcW w:w="3187" w:type="pct"/>
          </w:tcPr>
          <w:p w14:paraId="77EBC550" w14:textId="77777777" w:rsidR="00232514" w:rsidRPr="0094265B" w:rsidRDefault="00232514" w:rsidP="00DC1475">
            <w:pPr>
              <w:jc w:val="both"/>
              <w:rPr>
                <w:rFonts w:ascii="Arial" w:hAnsi="Arial" w:cs="Arial"/>
                <w:sz w:val="18"/>
                <w:szCs w:val="18"/>
              </w:rPr>
            </w:pPr>
            <w:r w:rsidRPr="0094265B">
              <w:rPr>
                <w:rFonts w:ascii="Arial" w:hAnsi="Arial" w:cs="Arial"/>
                <w:sz w:val="18"/>
                <w:szCs w:val="18"/>
              </w:rPr>
              <w:t>UNDP, M&amp;E Specialist</w:t>
            </w:r>
          </w:p>
        </w:tc>
      </w:tr>
      <w:tr w:rsidR="00232514" w:rsidRPr="000F542E" w14:paraId="4ACB499A" w14:textId="77777777" w:rsidTr="00DC1475">
        <w:tc>
          <w:tcPr>
            <w:tcW w:w="333" w:type="pct"/>
          </w:tcPr>
          <w:p w14:paraId="58AA0217"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17</w:t>
            </w:r>
          </w:p>
        </w:tc>
        <w:tc>
          <w:tcPr>
            <w:tcW w:w="1037" w:type="pct"/>
          </w:tcPr>
          <w:p w14:paraId="0D1F2358" w14:textId="427E996F" w:rsidR="00232514" w:rsidRPr="000F542E" w:rsidRDefault="00232514" w:rsidP="00DC1475">
            <w:pPr>
              <w:jc w:val="both"/>
              <w:rPr>
                <w:rFonts w:ascii="Arial" w:hAnsi="Arial" w:cs="Arial"/>
                <w:sz w:val="18"/>
                <w:szCs w:val="18"/>
              </w:rPr>
            </w:pPr>
            <w:r w:rsidRPr="00352701">
              <w:rPr>
                <w:rFonts w:ascii="Arial" w:hAnsi="Arial" w:cs="Arial"/>
                <w:sz w:val="18"/>
                <w:szCs w:val="18"/>
              </w:rPr>
              <w:t xml:space="preserve">Habtamu </w:t>
            </w:r>
            <w:proofErr w:type="spellStart"/>
            <w:r w:rsidRPr="00352701">
              <w:rPr>
                <w:rFonts w:ascii="Arial" w:hAnsi="Arial" w:cs="Arial"/>
                <w:sz w:val="18"/>
                <w:szCs w:val="18"/>
              </w:rPr>
              <w:t>Shewalema</w:t>
            </w:r>
            <w:proofErr w:type="spellEnd"/>
          </w:p>
        </w:tc>
        <w:tc>
          <w:tcPr>
            <w:tcW w:w="443" w:type="pct"/>
          </w:tcPr>
          <w:p w14:paraId="7E9BAB86"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35103B9A"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MoF</w:t>
            </w:r>
            <w:r>
              <w:rPr>
                <w:rFonts w:ascii="Arial" w:hAnsi="Arial" w:cs="Arial"/>
                <w:sz w:val="18"/>
                <w:szCs w:val="18"/>
              </w:rPr>
              <w:t>,</w:t>
            </w:r>
            <w:r w:rsidRPr="00352701">
              <w:rPr>
                <w:rFonts w:ascii="Arial" w:hAnsi="Arial" w:cs="Arial"/>
                <w:sz w:val="18"/>
                <w:szCs w:val="18"/>
              </w:rPr>
              <w:t xml:space="preserve"> Team Leader, UN Agencies, CRGE Facility &amp; Reg. Econ Coop Directorate</w:t>
            </w:r>
          </w:p>
        </w:tc>
      </w:tr>
      <w:tr w:rsidR="00232514" w:rsidRPr="000F542E" w14:paraId="1565F8EE" w14:textId="77777777" w:rsidTr="00DC1475">
        <w:tc>
          <w:tcPr>
            <w:tcW w:w="333" w:type="pct"/>
          </w:tcPr>
          <w:p w14:paraId="73D37DCC"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18</w:t>
            </w:r>
          </w:p>
        </w:tc>
        <w:tc>
          <w:tcPr>
            <w:tcW w:w="1037" w:type="pct"/>
          </w:tcPr>
          <w:p w14:paraId="138DE7AF" w14:textId="77777777" w:rsidR="00232514" w:rsidRPr="000F542E" w:rsidRDefault="00232514" w:rsidP="00DC1475">
            <w:pPr>
              <w:jc w:val="both"/>
              <w:rPr>
                <w:rFonts w:ascii="Arial" w:hAnsi="Arial" w:cs="Arial"/>
                <w:sz w:val="18"/>
                <w:szCs w:val="18"/>
              </w:rPr>
            </w:pPr>
            <w:proofErr w:type="spellStart"/>
            <w:r w:rsidRPr="00352701">
              <w:rPr>
                <w:rFonts w:ascii="Arial" w:hAnsi="Arial" w:cs="Arial"/>
                <w:sz w:val="18"/>
                <w:szCs w:val="18"/>
              </w:rPr>
              <w:t>Yesuf</w:t>
            </w:r>
            <w:proofErr w:type="spellEnd"/>
            <w:r w:rsidRPr="00352701">
              <w:rPr>
                <w:rFonts w:ascii="Arial" w:hAnsi="Arial" w:cs="Arial"/>
                <w:sz w:val="18"/>
                <w:szCs w:val="18"/>
              </w:rPr>
              <w:t xml:space="preserve"> </w:t>
            </w:r>
            <w:proofErr w:type="spellStart"/>
            <w:r w:rsidRPr="00352701">
              <w:rPr>
                <w:rFonts w:ascii="Arial" w:hAnsi="Arial" w:cs="Arial"/>
                <w:sz w:val="18"/>
                <w:szCs w:val="18"/>
              </w:rPr>
              <w:t>Bitew</w:t>
            </w:r>
            <w:proofErr w:type="spellEnd"/>
          </w:p>
        </w:tc>
        <w:tc>
          <w:tcPr>
            <w:tcW w:w="443" w:type="pct"/>
          </w:tcPr>
          <w:p w14:paraId="45FDDFB1"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377B6F34"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Amhara Region</w:t>
            </w:r>
            <w:r>
              <w:rPr>
                <w:rFonts w:ascii="Arial" w:hAnsi="Arial" w:cs="Arial"/>
                <w:sz w:val="18"/>
                <w:szCs w:val="18"/>
              </w:rPr>
              <w:t xml:space="preserve">, </w:t>
            </w:r>
            <w:r w:rsidRPr="00352701">
              <w:rPr>
                <w:rFonts w:ascii="Arial" w:hAnsi="Arial" w:cs="Arial"/>
                <w:sz w:val="18"/>
                <w:szCs w:val="18"/>
              </w:rPr>
              <w:t>Branch office: Head of the secretariat</w:t>
            </w:r>
          </w:p>
        </w:tc>
      </w:tr>
      <w:tr w:rsidR="00232514" w:rsidRPr="000F542E" w14:paraId="712DCFA0" w14:textId="77777777" w:rsidTr="00DC1475">
        <w:tc>
          <w:tcPr>
            <w:tcW w:w="333" w:type="pct"/>
          </w:tcPr>
          <w:p w14:paraId="040B908A"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19</w:t>
            </w:r>
          </w:p>
        </w:tc>
        <w:tc>
          <w:tcPr>
            <w:tcW w:w="1037" w:type="pct"/>
          </w:tcPr>
          <w:p w14:paraId="4AB4BBF3" w14:textId="77777777" w:rsidR="00232514" w:rsidRPr="000F542E" w:rsidRDefault="00232514" w:rsidP="00DC1475">
            <w:pPr>
              <w:jc w:val="both"/>
              <w:rPr>
                <w:rFonts w:ascii="Arial" w:hAnsi="Arial" w:cs="Arial"/>
                <w:sz w:val="18"/>
                <w:szCs w:val="18"/>
              </w:rPr>
            </w:pPr>
            <w:proofErr w:type="spellStart"/>
            <w:r w:rsidRPr="00352701">
              <w:rPr>
                <w:rFonts w:ascii="Arial" w:hAnsi="Arial" w:cs="Arial"/>
                <w:sz w:val="18"/>
                <w:szCs w:val="18"/>
              </w:rPr>
              <w:t>Gashanew</w:t>
            </w:r>
            <w:proofErr w:type="spellEnd"/>
            <w:r w:rsidRPr="00352701">
              <w:rPr>
                <w:rFonts w:ascii="Arial" w:hAnsi="Arial" w:cs="Arial"/>
                <w:sz w:val="18"/>
                <w:szCs w:val="18"/>
              </w:rPr>
              <w:t xml:space="preserve"> Dessie</w:t>
            </w:r>
          </w:p>
        </w:tc>
        <w:tc>
          <w:tcPr>
            <w:tcW w:w="443" w:type="pct"/>
          </w:tcPr>
          <w:p w14:paraId="129B2D80"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662D4145"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Amhara Region</w:t>
            </w:r>
            <w:r>
              <w:rPr>
                <w:rFonts w:ascii="Arial" w:hAnsi="Arial" w:cs="Arial"/>
                <w:sz w:val="18"/>
                <w:szCs w:val="18"/>
              </w:rPr>
              <w:t xml:space="preserve">, </w:t>
            </w:r>
            <w:r w:rsidRPr="00352701">
              <w:rPr>
                <w:rFonts w:ascii="Arial" w:hAnsi="Arial" w:cs="Arial"/>
                <w:sz w:val="18"/>
                <w:szCs w:val="18"/>
              </w:rPr>
              <w:t>EIO</w:t>
            </w:r>
            <w:r>
              <w:rPr>
                <w:rFonts w:ascii="Arial" w:hAnsi="Arial" w:cs="Arial"/>
                <w:sz w:val="18"/>
                <w:szCs w:val="18"/>
              </w:rPr>
              <w:t>,</w:t>
            </w:r>
            <w:r w:rsidRPr="00352701">
              <w:rPr>
                <w:rFonts w:ascii="Arial" w:hAnsi="Arial" w:cs="Arial"/>
                <w:sz w:val="18"/>
                <w:szCs w:val="18"/>
              </w:rPr>
              <w:t xml:space="preserve"> Legal and mal-administration investigation director</w:t>
            </w:r>
          </w:p>
        </w:tc>
      </w:tr>
      <w:tr w:rsidR="00232514" w:rsidRPr="000F542E" w14:paraId="282647D7" w14:textId="77777777" w:rsidTr="00DC1475">
        <w:tc>
          <w:tcPr>
            <w:tcW w:w="333" w:type="pct"/>
          </w:tcPr>
          <w:p w14:paraId="05832BFC"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20</w:t>
            </w:r>
          </w:p>
        </w:tc>
        <w:tc>
          <w:tcPr>
            <w:tcW w:w="1037" w:type="pct"/>
          </w:tcPr>
          <w:p w14:paraId="143B0398" w14:textId="2B646B39" w:rsidR="00232514" w:rsidRPr="000F542E" w:rsidRDefault="00232514" w:rsidP="00DC1475">
            <w:pPr>
              <w:jc w:val="both"/>
              <w:rPr>
                <w:rFonts w:ascii="Arial" w:hAnsi="Arial" w:cs="Arial"/>
                <w:sz w:val="18"/>
                <w:szCs w:val="18"/>
              </w:rPr>
            </w:pPr>
            <w:proofErr w:type="spellStart"/>
            <w:r w:rsidRPr="00352701">
              <w:rPr>
                <w:rFonts w:ascii="Arial" w:hAnsi="Arial" w:cs="Arial"/>
                <w:sz w:val="18"/>
                <w:szCs w:val="18"/>
              </w:rPr>
              <w:t>Edmealem</w:t>
            </w:r>
            <w:proofErr w:type="spellEnd"/>
            <w:r w:rsidRPr="00352701">
              <w:rPr>
                <w:rFonts w:ascii="Arial" w:hAnsi="Arial" w:cs="Arial"/>
                <w:sz w:val="18"/>
                <w:szCs w:val="18"/>
              </w:rPr>
              <w:t xml:space="preserve"> Awoke</w:t>
            </w:r>
          </w:p>
        </w:tc>
        <w:tc>
          <w:tcPr>
            <w:tcW w:w="443" w:type="pct"/>
          </w:tcPr>
          <w:p w14:paraId="370595AB"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6C4B847B"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Amhara Region</w:t>
            </w:r>
            <w:r>
              <w:rPr>
                <w:rFonts w:ascii="Arial" w:hAnsi="Arial" w:cs="Arial"/>
                <w:sz w:val="18"/>
                <w:szCs w:val="18"/>
              </w:rPr>
              <w:t xml:space="preserve">, </w:t>
            </w:r>
            <w:r w:rsidRPr="00352701">
              <w:rPr>
                <w:rFonts w:ascii="Arial" w:hAnsi="Arial" w:cs="Arial"/>
                <w:sz w:val="18"/>
                <w:szCs w:val="18"/>
              </w:rPr>
              <w:t>EIO</w:t>
            </w:r>
            <w:r>
              <w:rPr>
                <w:rFonts w:ascii="Arial" w:hAnsi="Arial" w:cs="Arial"/>
                <w:sz w:val="18"/>
                <w:szCs w:val="18"/>
              </w:rPr>
              <w:t>,</w:t>
            </w:r>
            <w:r w:rsidRPr="00352701">
              <w:rPr>
                <w:rFonts w:ascii="Arial" w:hAnsi="Arial" w:cs="Arial"/>
                <w:sz w:val="18"/>
                <w:szCs w:val="18"/>
              </w:rPr>
              <w:t xml:space="preserve"> Legal and mal-administration investigation director</w:t>
            </w:r>
          </w:p>
        </w:tc>
      </w:tr>
      <w:tr w:rsidR="00232514" w:rsidRPr="000F542E" w14:paraId="07DB8AAC" w14:textId="77777777" w:rsidTr="00DC1475">
        <w:tc>
          <w:tcPr>
            <w:tcW w:w="333" w:type="pct"/>
          </w:tcPr>
          <w:p w14:paraId="5F9EBEF9"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21</w:t>
            </w:r>
          </w:p>
        </w:tc>
        <w:tc>
          <w:tcPr>
            <w:tcW w:w="1037" w:type="pct"/>
          </w:tcPr>
          <w:p w14:paraId="68113550" w14:textId="77777777" w:rsidR="00232514" w:rsidRPr="000F542E" w:rsidRDefault="00232514" w:rsidP="00DC1475">
            <w:pPr>
              <w:jc w:val="both"/>
              <w:rPr>
                <w:rFonts w:ascii="Arial" w:hAnsi="Arial" w:cs="Arial"/>
                <w:sz w:val="18"/>
                <w:szCs w:val="18"/>
              </w:rPr>
            </w:pPr>
            <w:proofErr w:type="spellStart"/>
            <w:r w:rsidRPr="00352701">
              <w:rPr>
                <w:rFonts w:ascii="Arial" w:hAnsi="Arial" w:cs="Arial"/>
                <w:sz w:val="18"/>
                <w:szCs w:val="18"/>
              </w:rPr>
              <w:t>Seblework</w:t>
            </w:r>
            <w:proofErr w:type="spellEnd"/>
            <w:r w:rsidRPr="00352701">
              <w:rPr>
                <w:rFonts w:ascii="Arial" w:hAnsi="Arial" w:cs="Arial"/>
                <w:sz w:val="18"/>
                <w:szCs w:val="18"/>
              </w:rPr>
              <w:t xml:space="preserve"> </w:t>
            </w:r>
            <w:proofErr w:type="spellStart"/>
            <w:r w:rsidRPr="00352701">
              <w:rPr>
                <w:rFonts w:ascii="Arial" w:hAnsi="Arial" w:cs="Arial"/>
                <w:sz w:val="18"/>
                <w:szCs w:val="18"/>
              </w:rPr>
              <w:t>Asmamaw</w:t>
            </w:r>
            <w:proofErr w:type="spellEnd"/>
          </w:p>
        </w:tc>
        <w:tc>
          <w:tcPr>
            <w:tcW w:w="443" w:type="pct"/>
          </w:tcPr>
          <w:p w14:paraId="77373C9D"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F</w:t>
            </w:r>
            <w:r>
              <w:rPr>
                <w:rFonts w:ascii="Arial" w:hAnsi="Arial" w:cs="Arial"/>
                <w:sz w:val="18"/>
                <w:szCs w:val="18"/>
              </w:rPr>
              <w:t>emale</w:t>
            </w:r>
          </w:p>
        </w:tc>
        <w:tc>
          <w:tcPr>
            <w:tcW w:w="3187" w:type="pct"/>
          </w:tcPr>
          <w:p w14:paraId="1D1D4B39"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Amhara Region</w:t>
            </w:r>
            <w:r>
              <w:rPr>
                <w:rFonts w:ascii="Arial" w:hAnsi="Arial" w:cs="Arial"/>
                <w:sz w:val="18"/>
                <w:szCs w:val="18"/>
              </w:rPr>
              <w:t xml:space="preserve">, </w:t>
            </w:r>
            <w:r w:rsidRPr="00352701">
              <w:rPr>
                <w:rFonts w:ascii="Arial" w:hAnsi="Arial" w:cs="Arial"/>
                <w:sz w:val="18"/>
                <w:szCs w:val="18"/>
              </w:rPr>
              <w:t>Regional Council</w:t>
            </w:r>
            <w:r>
              <w:rPr>
                <w:rFonts w:ascii="Arial" w:hAnsi="Arial" w:cs="Arial"/>
                <w:sz w:val="18"/>
                <w:szCs w:val="18"/>
              </w:rPr>
              <w:t>,</w:t>
            </w:r>
            <w:r w:rsidRPr="00352701">
              <w:rPr>
                <w:rFonts w:ascii="Arial" w:hAnsi="Arial" w:cs="Arial"/>
                <w:sz w:val="18"/>
                <w:szCs w:val="18"/>
              </w:rPr>
              <w:t xml:space="preserve"> Regional C</w:t>
            </w:r>
            <w:r>
              <w:rPr>
                <w:rFonts w:ascii="Arial" w:hAnsi="Arial" w:cs="Arial"/>
                <w:sz w:val="18"/>
                <w:szCs w:val="18"/>
              </w:rPr>
              <w:t>.</w:t>
            </w:r>
            <w:r w:rsidRPr="00352701">
              <w:rPr>
                <w:rFonts w:ascii="Arial" w:hAnsi="Arial" w:cs="Arial"/>
                <w:sz w:val="18"/>
                <w:szCs w:val="18"/>
              </w:rPr>
              <w:t xml:space="preserve"> O</w:t>
            </w:r>
            <w:r>
              <w:rPr>
                <w:rFonts w:ascii="Arial" w:hAnsi="Arial" w:cs="Arial"/>
                <w:sz w:val="18"/>
                <w:szCs w:val="18"/>
              </w:rPr>
              <w:t>.</w:t>
            </w:r>
            <w:r w:rsidRPr="00352701">
              <w:rPr>
                <w:rFonts w:ascii="Arial" w:hAnsi="Arial" w:cs="Arial"/>
                <w:sz w:val="18"/>
                <w:szCs w:val="18"/>
              </w:rPr>
              <w:t xml:space="preserve"> Head</w:t>
            </w:r>
          </w:p>
        </w:tc>
      </w:tr>
      <w:tr w:rsidR="00232514" w:rsidRPr="000F542E" w14:paraId="405668AD" w14:textId="77777777" w:rsidTr="00DC1475">
        <w:tc>
          <w:tcPr>
            <w:tcW w:w="333" w:type="pct"/>
          </w:tcPr>
          <w:p w14:paraId="0C63AE79"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22</w:t>
            </w:r>
          </w:p>
        </w:tc>
        <w:tc>
          <w:tcPr>
            <w:tcW w:w="1037" w:type="pct"/>
          </w:tcPr>
          <w:p w14:paraId="6728FE18" w14:textId="77777777" w:rsidR="00232514" w:rsidRPr="000F542E" w:rsidRDefault="00232514" w:rsidP="00DC1475">
            <w:pPr>
              <w:jc w:val="both"/>
              <w:rPr>
                <w:rFonts w:ascii="Arial" w:hAnsi="Arial" w:cs="Arial"/>
                <w:sz w:val="18"/>
                <w:szCs w:val="18"/>
              </w:rPr>
            </w:pPr>
            <w:proofErr w:type="spellStart"/>
            <w:r w:rsidRPr="00352701">
              <w:rPr>
                <w:rFonts w:ascii="Arial" w:hAnsi="Arial" w:cs="Arial"/>
                <w:sz w:val="18"/>
                <w:szCs w:val="18"/>
              </w:rPr>
              <w:t>Gashaw</w:t>
            </w:r>
            <w:proofErr w:type="spellEnd"/>
            <w:r w:rsidRPr="00352701">
              <w:rPr>
                <w:rFonts w:ascii="Arial" w:hAnsi="Arial" w:cs="Arial"/>
                <w:sz w:val="18"/>
                <w:szCs w:val="18"/>
              </w:rPr>
              <w:t xml:space="preserve"> Admasu</w:t>
            </w:r>
          </w:p>
        </w:tc>
        <w:tc>
          <w:tcPr>
            <w:tcW w:w="443" w:type="pct"/>
          </w:tcPr>
          <w:p w14:paraId="2AA8CA05"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285AD97D"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Amhara Region,</w:t>
            </w:r>
            <w:r>
              <w:rPr>
                <w:rFonts w:ascii="Arial" w:hAnsi="Arial" w:cs="Arial"/>
                <w:sz w:val="18"/>
                <w:szCs w:val="18"/>
              </w:rPr>
              <w:t xml:space="preserve"> </w:t>
            </w:r>
            <w:r w:rsidRPr="00352701">
              <w:rPr>
                <w:rFonts w:ascii="Arial" w:hAnsi="Arial" w:cs="Arial"/>
                <w:sz w:val="18"/>
                <w:szCs w:val="18"/>
              </w:rPr>
              <w:t>Regional Council</w:t>
            </w:r>
            <w:r>
              <w:rPr>
                <w:rFonts w:ascii="Arial" w:hAnsi="Arial" w:cs="Arial"/>
                <w:sz w:val="18"/>
                <w:szCs w:val="18"/>
              </w:rPr>
              <w:t>,</w:t>
            </w:r>
            <w:r w:rsidRPr="00352701">
              <w:rPr>
                <w:rFonts w:ascii="Arial" w:hAnsi="Arial" w:cs="Arial"/>
                <w:sz w:val="18"/>
                <w:szCs w:val="18"/>
              </w:rPr>
              <w:t xml:space="preserve"> Program Office</w:t>
            </w:r>
          </w:p>
        </w:tc>
      </w:tr>
      <w:tr w:rsidR="00232514" w:rsidRPr="000F542E" w14:paraId="6A7FD538" w14:textId="77777777" w:rsidTr="00DC1475">
        <w:tc>
          <w:tcPr>
            <w:tcW w:w="333" w:type="pct"/>
          </w:tcPr>
          <w:p w14:paraId="4DFA8DA3"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23</w:t>
            </w:r>
          </w:p>
        </w:tc>
        <w:tc>
          <w:tcPr>
            <w:tcW w:w="1037" w:type="pct"/>
          </w:tcPr>
          <w:p w14:paraId="2018896C"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Maru Chekole</w:t>
            </w:r>
          </w:p>
        </w:tc>
        <w:tc>
          <w:tcPr>
            <w:tcW w:w="443" w:type="pct"/>
          </w:tcPr>
          <w:p w14:paraId="685CBA97"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M</w:t>
            </w:r>
            <w:r>
              <w:rPr>
                <w:rFonts w:ascii="Arial" w:hAnsi="Arial" w:cs="Arial"/>
                <w:sz w:val="18"/>
                <w:szCs w:val="18"/>
              </w:rPr>
              <w:t>ale</w:t>
            </w:r>
          </w:p>
        </w:tc>
        <w:tc>
          <w:tcPr>
            <w:tcW w:w="3187" w:type="pct"/>
          </w:tcPr>
          <w:p w14:paraId="486F2233" w14:textId="77777777" w:rsidR="00232514" w:rsidRPr="000F542E" w:rsidRDefault="00232514" w:rsidP="00DC1475">
            <w:pPr>
              <w:jc w:val="both"/>
              <w:rPr>
                <w:rFonts w:ascii="Arial" w:hAnsi="Arial" w:cs="Arial"/>
                <w:sz w:val="18"/>
                <w:szCs w:val="18"/>
              </w:rPr>
            </w:pPr>
            <w:r w:rsidRPr="00352701">
              <w:rPr>
                <w:rFonts w:ascii="Arial" w:hAnsi="Arial" w:cs="Arial"/>
                <w:sz w:val="18"/>
                <w:szCs w:val="18"/>
              </w:rPr>
              <w:t>Amhara Region</w:t>
            </w:r>
            <w:r>
              <w:rPr>
                <w:rFonts w:ascii="Arial" w:hAnsi="Arial" w:cs="Arial"/>
                <w:sz w:val="18"/>
                <w:szCs w:val="18"/>
              </w:rPr>
              <w:t xml:space="preserve">, </w:t>
            </w:r>
            <w:r w:rsidRPr="00352701">
              <w:rPr>
                <w:rFonts w:ascii="Arial" w:hAnsi="Arial" w:cs="Arial"/>
                <w:sz w:val="18"/>
                <w:szCs w:val="18"/>
              </w:rPr>
              <w:t>REACC</w:t>
            </w:r>
            <w:r>
              <w:rPr>
                <w:rFonts w:ascii="Arial" w:hAnsi="Arial" w:cs="Arial"/>
                <w:sz w:val="18"/>
                <w:szCs w:val="18"/>
              </w:rPr>
              <w:t>,</w:t>
            </w:r>
            <w:r w:rsidRPr="00352701">
              <w:rPr>
                <w:rFonts w:ascii="Arial" w:hAnsi="Arial" w:cs="Arial"/>
                <w:sz w:val="18"/>
                <w:szCs w:val="18"/>
              </w:rPr>
              <w:t xml:space="preserve"> Deputy Commissionaire</w:t>
            </w:r>
          </w:p>
        </w:tc>
      </w:tr>
      <w:tr w:rsidR="00232514" w:rsidRPr="000F542E" w14:paraId="65B95208" w14:textId="77777777" w:rsidTr="00DC1475">
        <w:tc>
          <w:tcPr>
            <w:tcW w:w="333" w:type="pct"/>
          </w:tcPr>
          <w:p w14:paraId="4523A541"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24</w:t>
            </w:r>
          </w:p>
        </w:tc>
        <w:tc>
          <w:tcPr>
            <w:tcW w:w="1037" w:type="pct"/>
          </w:tcPr>
          <w:p w14:paraId="03877546"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Dr. Samuel </w:t>
            </w:r>
            <w:proofErr w:type="spellStart"/>
            <w:r w:rsidRPr="000F542E">
              <w:rPr>
                <w:rFonts w:ascii="Arial" w:hAnsi="Arial" w:cs="Arial"/>
                <w:sz w:val="18"/>
                <w:szCs w:val="18"/>
              </w:rPr>
              <w:t>Urkato</w:t>
            </w:r>
            <w:proofErr w:type="spellEnd"/>
          </w:p>
        </w:tc>
        <w:tc>
          <w:tcPr>
            <w:tcW w:w="443" w:type="pct"/>
          </w:tcPr>
          <w:p w14:paraId="7EAABCEB"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771E6FF0"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FEACC Commissioner</w:t>
            </w:r>
          </w:p>
        </w:tc>
      </w:tr>
      <w:tr w:rsidR="00232514" w:rsidRPr="000F542E" w14:paraId="6FDEC368" w14:textId="77777777" w:rsidTr="00DC1475">
        <w:tc>
          <w:tcPr>
            <w:tcW w:w="333" w:type="pct"/>
          </w:tcPr>
          <w:p w14:paraId="118CE2E3"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25</w:t>
            </w:r>
          </w:p>
        </w:tc>
        <w:tc>
          <w:tcPr>
            <w:tcW w:w="1037" w:type="pct"/>
          </w:tcPr>
          <w:p w14:paraId="64E8DA1B"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Retta </w:t>
            </w:r>
            <w:proofErr w:type="spellStart"/>
            <w:r w:rsidRPr="000F542E">
              <w:rPr>
                <w:rFonts w:ascii="Arial" w:hAnsi="Arial" w:cs="Arial"/>
                <w:sz w:val="18"/>
                <w:szCs w:val="18"/>
              </w:rPr>
              <w:t>Gerra</w:t>
            </w:r>
            <w:proofErr w:type="spellEnd"/>
          </w:p>
        </w:tc>
        <w:tc>
          <w:tcPr>
            <w:tcW w:w="443" w:type="pct"/>
          </w:tcPr>
          <w:p w14:paraId="54042E20"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3F6A662E" w14:textId="58D96C80" w:rsidR="00232514" w:rsidRPr="000F542E" w:rsidRDefault="00682933" w:rsidP="00DC1475">
            <w:pPr>
              <w:jc w:val="both"/>
              <w:rPr>
                <w:rFonts w:ascii="Arial" w:hAnsi="Arial" w:cs="Arial"/>
                <w:sz w:val="18"/>
                <w:szCs w:val="18"/>
              </w:rPr>
            </w:pPr>
            <w:r w:rsidRPr="00682933">
              <w:rPr>
                <w:rFonts w:ascii="Arial" w:hAnsi="Arial" w:cs="Arial"/>
                <w:sz w:val="18"/>
                <w:szCs w:val="18"/>
              </w:rPr>
              <w:t>UNDP, Programme Officer</w:t>
            </w:r>
            <w:proofErr w:type="gramStart"/>
            <w:r>
              <w:rPr>
                <w:rFonts w:ascii="Arial" w:hAnsi="Arial" w:cs="Arial"/>
                <w:sz w:val="18"/>
                <w:szCs w:val="18"/>
              </w:rPr>
              <w:t xml:space="preserve">- </w:t>
            </w:r>
            <w:r w:rsidRPr="00682933">
              <w:rPr>
                <w:rFonts w:ascii="Arial" w:hAnsi="Arial" w:cs="Arial"/>
                <w:sz w:val="18"/>
                <w:szCs w:val="18"/>
              </w:rPr>
              <w:t xml:space="preserve"> </w:t>
            </w:r>
            <w:r w:rsidR="00232514" w:rsidRPr="000F542E">
              <w:rPr>
                <w:rFonts w:ascii="Arial" w:hAnsi="Arial" w:cs="Arial"/>
                <w:sz w:val="18"/>
                <w:szCs w:val="18"/>
              </w:rPr>
              <w:t>FEACC</w:t>
            </w:r>
            <w:proofErr w:type="gramEnd"/>
            <w:r w:rsidR="00232514" w:rsidRPr="000F542E">
              <w:rPr>
                <w:rFonts w:ascii="Arial" w:hAnsi="Arial" w:cs="Arial"/>
                <w:sz w:val="18"/>
                <w:szCs w:val="18"/>
              </w:rPr>
              <w:t xml:space="preserve"> </w:t>
            </w:r>
          </w:p>
        </w:tc>
      </w:tr>
      <w:tr w:rsidR="00232514" w:rsidRPr="000F542E" w14:paraId="60F6BCB2" w14:textId="77777777" w:rsidTr="00DC1475">
        <w:trPr>
          <w:trHeight w:val="233"/>
        </w:trPr>
        <w:tc>
          <w:tcPr>
            <w:tcW w:w="333" w:type="pct"/>
          </w:tcPr>
          <w:p w14:paraId="4FFB5EAC"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26</w:t>
            </w:r>
          </w:p>
        </w:tc>
        <w:tc>
          <w:tcPr>
            <w:tcW w:w="1037" w:type="pct"/>
          </w:tcPr>
          <w:p w14:paraId="796BC9EB"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Mesfin </w:t>
            </w:r>
            <w:proofErr w:type="spellStart"/>
            <w:r w:rsidRPr="000F542E">
              <w:rPr>
                <w:rFonts w:ascii="Arial" w:hAnsi="Arial" w:cs="Arial"/>
                <w:sz w:val="18"/>
                <w:szCs w:val="18"/>
              </w:rPr>
              <w:t>Belayneh</w:t>
            </w:r>
            <w:proofErr w:type="spellEnd"/>
          </w:p>
        </w:tc>
        <w:tc>
          <w:tcPr>
            <w:tcW w:w="443" w:type="pct"/>
          </w:tcPr>
          <w:p w14:paraId="372E299E"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00FF65F3"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FEACC DARS directorate director</w:t>
            </w:r>
          </w:p>
        </w:tc>
      </w:tr>
      <w:tr w:rsidR="00232514" w:rsidRPr="000F542E" w14:paraId="287A7625" w14:textId="77777777" w:rsidTr="00DC1475">
        <w:tc>
          <w:tcPr>
            <w:tcW w:w="333" w:type="pct"/>
          </w:tcPr>
          <w:p w14:paraId="74B1D2F3"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27</w:t>
            </w:r>
          </w:p>
        </w:tc>
        <w:tc>
          <w:tcPr>
            <w:tcW w:w="1037" w:type="pct"/>
          </w:tcPr>
          <w:p w14:paraId="64F6BB39"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Mrs. Sara Habte</w:t>
            </w:r>
          </w:p>
        </w:tc>
        <w:tc>
          <w:tcPr>
            <w:tcW w:w="443" w:type="pct"/>
          </w:tcPr>
          <w:p w14:paraId="687958CA"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Female</w:t>
            </w:r>
          </w:p>
        </w:tc>
        <w:tc>
          <w:tcPr>
            <w:tcW w:w="3187" w:type="pct"/>
          </w:tcPr>
          <w:p w14:paraId="12502A7B"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FEACC Regional &amp; Stakeholders D. director</w:t>
            </w:r>
          </w:p>
        </w:tc>
      </w:tr>
      <w:tr w:rsidR="00232514" w:rsidRPr="000F542E" w14:paraId="033BEE67" w14:textId="77777777" w:rsidTr="00DC1475">
        <w:tc>
          <w:tcPr>
            <w:tcW w:w="333" w:type="pct"/>
          </w:tcPr>
          <w:p w14:paraId="7D132B86"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28</w:t>
            </w:r>
          </w:p>
        </w:tc>
        <w:tc>
          <w:tcPr>
            <w:tcW w:w="1037" w:type="pct"/>
          </w:tcPr>
          <w:p w14:paraId="6379BBD3"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Mrs. </w:t>
            </w:r>
            <w:proofErr w:type="spellStart"/>
            <w:r w:rsidRPr="000F542E">
              <w:rPr>
                <w:rFonts w:ascii="Arial" w:hAnsi="Arial" w:cs="Arial"/>
                <w:sz w:val="18"/>
                <w:szCs w:val="18"/>
              </w:rPr>
              <w:t>Kalkidan</w:t>
            </w:r>
            <w:proofErr w:type="spellEnd"/>
            <w:r w:rsidRPr="000F542E">
              <w:rPr>
                <w:rFonts w:ascii="Arial" w:hAnsi="Arial" w:cs="Arial"/>
                <w:sz w:val="18"/>
                <w:szCs w:val="18"/>
              </w:rPr>
              <w:t xml:space="preserve"> Admasu</w:t>
            </w:r>
          </w:p>
        </w:tc>
        <w:tc>
          <w:tcPr>
            <w:tcW w:w="443" w:type="pct"/>
          </w:tcPr>
          <w:p w14:paraId="50276924"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Female</w:t>
            </w:r>
          </w:p>
        </w:tc>
        <w:tc>
          <w:tcPr>
            <w:tcW w:w="3187" w:type="pct"/>
          </w:tcPr>
          <w:p w14:paraId="12F95B9A"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FEACC Plan, Project, Budget, M&amp;E D. director</w:t>
            </w:r>
          </w:p>
        </w:tc>
      </w:tr>
      <w:tr w:rsidR="00232514" w:rsidRPr="000F542E" w14:paraId="34E8455B" w14:textId="77777777" w:rsidTr="00DC1475">
        <w:tc>
          <w:tcPr>
            <w:tcW w:w="333" w:type="pct"/>
          </w:tcPr>
          <w:p w14:paraId="2D359586"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29</w:t>
            </w:r>
          </w:p>
        </w:tc>
        <w:tc>
          <w:tcPr>
            <w:tcW w:w="1037" w:type="pct"/>
          </w:tcPr>
          <w:p w14:paraId="7BB600AF"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 Aklilu Mulugeta</w:t>
            </w:r>
          </w:p>
        </w:tc>
        <w:tc>
          <w:tcPr>
            <w:tcW w:w="443" w:type="pct"/>
          </w:tcPr>
          <w:p w14:paraId="1045239A"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47737F52"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FEACC Ethics capacity building coordinator</w:t>
            </w:r>
          </w:p>
        </w:tc>
      </w:tr>
      <w:tr w:rsidR="00232514" w:rsidRPr="000F542E" w14:paraId="7FE722A4" w14:textId="77777777" w:rsidTr="00DC1475">
        <w:tc>
          <w:tcPr>
            <w:tcW w:w="333" w:type="pct"/>
          </w:tcPr>
          <w:p w14:paraId="4DB9825C"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30</w:t>
            </w:r>
          </w:p>
        </w:tc>
        <w:tc>
          <w:tcPr>
            <w:tcW w:w="1037" w:type="pct"/>
          </w:tcPr>
          <w:p w14:paraId="60CAD624"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w:t>
            </w:r>
            <w:proofErr w:type="spellStart"/>
            <w:r w:rsidRPr="000F542E">
              <w:rPr>
                <w:rFonts w:ascii="Arial" w:hAnsi="Arial" w:cs="Arial"/>
                <w:sz w:val="18"/>
                <w:szCs w:val="18"/>
              </w:rPr>
              <w:t>Haregot</w:t>
            </w:r>
            <w:proofErr w:type="spellEnd"/>
            <w:r w:rsidRPr="000F542E">
              <w:rPr>
                <w:rFonts w:ascii="Arial" w:hAnsi="Arial" w:cs="Arial"/>
                <w:sz w:val="18"/>
                <w:szCs w:val="18"/>
              </w:rPr>
              <w:t xml:space="preserve"> Abraha</w:t>
            </w:r>
          </w:p>
        </w:tc>
        <w:tc>
          <w:tcPr>
            <w:tcW w:w="443" w:type="pct"/>
          </w:tcPr>
          <w:p w14:paraId="6086114C"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125271DF"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FEACC Ethics capacity building D. director</w:t>
            </w:r>
          </w:p>
        </w:tc>
      </w:tr>
      <w:tr w:rsidR="00232514" w:rsidRPr="000F542E" w14:paraId="7727EC81" w14:textId="77777777" w:rsidTr="00DC1475">
        <w:tc>
          <w:tcPr>
            <w:tcW w:w="333" w:type="pct"/>
          </w:tcPr>
          <w:p w14:paraId="6128FB57"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31</w:t>
            </w:r>
          </w:p>
        </w:tc>
        <w:tc>
          <w:tcPr>
            <w:tcW w:w="1037" w:type="pct"/>
          </w:tcPr>
          <w:p w14:paraId="7C3F2BEB"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Mrs. Fasika Ayalew</w:t>
            </w:r>
          </w:p>
        </w:tc>
        <w:tc>
          <w:tcPr>
            <w:tcW w:w="443" w:type="pct"/>
          </w:tcPr>
          <w:p w14:paraId="1E84C51E"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Female</w:t>
            </w:r>
          </w:p>
        </w:tc>
        <w:tc>
          <w:tcPr>
            <w:tcW w:w="3187" w:type="pct"/>
          </w:tcPr>
          <w:p w14:paraId="668AD55B"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FEACC Finance and procurement D. director</w:t>
            </w:r>
          </w:p>
        </w:tc>
      </w:tr>
      <w:tr w:rsidR="00232514" w:rsidRPr="000F542E" w14:paraId="55BE91F8" w14:textId="77777777" w:rsidTr="00DC1475">
        <w:tc>
          <w:tcPr>
            <w:tcW w:w="333" w:type="pct"/>
          </w:tcPr>
          <w:p w14:paraId="51A91902"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32</w:t>
            </w:r>
          </w:p>
        </w:tc>
        <w:tc>
          <w:tcPr>
            <w:tcW w:w="1037" w:type="pct"/>
          </w:tcPr>
          <w:p w14:paraId="5F313D36"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w:t>
            </w:r>
            <w:proofErr w:type="spellStart"/>
            <w:r w:rsidRPr="000F542E">
              <w:rPr>
                <w:rFonts w:ascii="Arial" w:hAnsi="Arial" w:cs="Arial"/>
                <w:sz w:val="18"/>
                <w:szCs w:val="18"/>
              </w:rPr>
              <w:t>Mustefa</w:t>
            </w:r>
            <w:proofErr w:type="spellEnd"/>
            <w:r w:rsidRPr="000F542E">
              <w:rPr>
                <w:rFonts w:ascii="Arial" w:hAnsi="Arial" w:cs="Arial"/>
                <w:sz w:val="18"/>
                <w:szCs w:val="18"/>
              </w:rPr>
              <w:t xml:space="preserve"> Nasir</w:t>
            </w:r>
          </w:p>
        </w:tc>
        <w:tc>
          <w:tcPr>
            <w:tcW w:w="443" w:type="pct"/>
          </w:tcPr>
          <w:p w14:paraId="7F063880"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2CB27851"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HoF Sec., ex-</w:t>
            </w:r>
            <w:proofErr w:type="gramStart"/>
            <w:r w:rsidRPr="000F542E">
              <w:rPr>
                <w:rFonts w:ascii="Arial" w:hAnsi="Arial" w:cs="Arial"/>
                <w:sz w:val="18"/>
                <w:szCs w:val="18"/>
              </w:rPr>
              <w:t>governance</w:t>
            </w:r>
            <w:proofErr w:type="gramEnd"/>
            <w:r w:rsidRPr="000F542E">
              <w:rPr>
                <w:rFonts w:ascii="Arial" w:hAnsi="Arial" w:cs="Arial"/>
                <w:sz w:val="18"/>
                <w:szCs w:val="18"/>
              </w:rPr>
              <w:t xml:space="preserve"> and peace D. director</w:t>
            </w:r>
          </w:p>
        </w:tc>
      </w:tr>
      <w:tr w:rsidR="00232514" w:rsidRPr="000F542E" w14:paraId="7B0E9512" w14:textId="77777777" w:rsidTr="00DC1475">
        <w:tc>
          <w:tcPr>
            <w:tcW w:w="333" w:type="pct"/>
          </w:tcPr>
          <w:p w14:paraId="0AF2A912"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33</w:t>
            </w:r>
          </w:p>
        </w:tc>
        <w:tc>
          <w:tcPr>
            <w:tcW w:w="1037" w:type="pct"/>
          </w:tcPr>
          <w:p w14:paraId="1A4CC014"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 Bizuneh Assefa</w:t>
            </w:r>
          </w:p>
        </w:tc>
        <w:tc>
          <w:tcPr>
            <w:tcW w:w="443" w:type="pct"/>
          </w:tcPr>
          <w:p w14:paraId="0D717D03"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55D582FA" w14:textId="05D18D25" w:rsidR="00232514" w:rsidRPr="000F542E" w:rsidRDefault="00682933" w:rsidP="00DC1475">
            <w:pPr>
              <w:jc w:val="both"/>
              <w:rPr>
                <w:rFonts w:ascii="Arial" w:hAnsi="Arial" w:cs="Arial"/>
                <w:sz w:val="18"/>
                <w:szCs w:val="18"/>
              </w:rPr>
            </w:pPr>
            <w:r w:rsidRPr="00682933">
              <w:rPr>
                <w:rFonts w:ascii="Arial" w:hAnsi="Arial" w:cs="Arial"/>
                <w:sz w:val="18"/>
                <w:szCs w:val="18"/>
              </w:rPr>
              <w:t xml:space="preserve">UNDP, Programme Officer </w:t>
            </w:r>
            <w:r>
              <w:rPr>
                <w:rFonts w:ascii="Arial" w:hAnsi="Arial" w:cs="Arial"/>
                <w:sz w:val="18"/>
                <w:szCs w:val="18"/>
              </w:rPr>
              <w:t xml:space="preserve">- </w:t>
            </w:r>
            <w:r w:rsidR="00232514" w:rsidRPr="000F542E">
              <w:rPr>
                <w:rFonts w:ascii="Arial" w:hAnsi="Arial" w:cs="Arial"/>
                <w:sz w:val="18"/>
                <w:szCs w:val="18"/>
              </w:rPr>
              <w:t xml:space="preserve">HoF </w:t>
            </w:r>
          </w:p>
        </w:tc>
      </w:tr>
      <w:tr w:rsidR="00232514" w:rsidRPr="000F542E" w14:paraId="609D7D8C" w14:textId="77777777" w:rsidTr="00DC1475">
        <w:tc>
          <w:tcPr>
            <w:tcW w:w="333" w:type="pct"/>
          </w:tcPr>
          <w:p w14:paraId="7979D516"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34</w:t>
            </w:r>
          </w:p>
        </w:tc>
        <w:tc>
          <w:tcPr>
            <w:tcW w:w="1037" w:type="pct"/>
          </w:tcPr>
          <w:p w14:paraId="51F0AF71"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w:t>
            </w:r>
            <w:proofErr w:type="spellStart"/>
            <w:r w:rsidRPr="000F542E">
              <w:rPr>
                <w:rFonts w:ascii="Arial" w:hAnsi="Arial" w:cs="Arial"/>
                <w:sz w:val="18"/>
                <w:szCs w:val="18"/>
              </w:rPr>
              <w:t>Anteneh</w:t>
            </w:r>
            <w:proofErr w:type="spellEnd"/>
            <w:r w:rsidRPr="000F542E">
              <w:rPr>
                <w:rFonts w:ascii="Arial" w:hAnsi="Arial" w:cs="Arial"/>
                <w:sz w:val="18"/>
                <w:szCs w:val="18"/>
              </w:rPr>
              <w:t xml:space="preserve"> Tamirat</w:t>
            </w:r>
          </w:p>
        </w:tc>
        <w:tc>
          <w:tcPr>
            <w:tcW w:w="443" w:type="pct"/>
          </w:tcPr>
          <w:p w14:paraId="19876509"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7A3BBBB8" w14:textId="063F23B0" w:rsidR="00232514" w:rsidRPr="000F542E" w:rsidRDefault="00524C7D" w:rsidP="00DC1475">
            <w:pPr>
              <w:jc w:val="both"/>
              <w:rPr>
                <w:rFonts w:ascii="Arial" w:hAnsi="Arial" w:cs="Arial"/>
                <w:sz w:val="18"/>
                <w:szCs w:val="18"/>
              </w:rPr>
            </w:pPr>
            <w:r>
              <w:rPr>
                <w:rFonts w:ascii="Arial" w:hAnsi="Arial" w:cs="Arial"/>
                <w:sz w:val="18"/>
                <w:szCs w:val="18"/>
              </w:rPr>
              <w:t xml:space="preserve">HoF </w:t>
            </w:r>
            <w:r w:rsidR="00232514" w:rsidRPr="000F542E">
              <w:rPr>
                <w:rFonts w:ascii="Arial" w:hAnsi="Arial" w:cs="Arial"/>
                <w:sz w:val="18"/>
                <w:szCs w:val="18"/>
              </w:rPr>
              <w:t>Finance directorate director</w:t>
            </w:r>
          </w:p>
        </w:tc>
      </w:tr>
      <w:tr w:rsidR="00232514" w:rsidRPr="000F542E" w14:paraId="797F5318" w14:textId="77777777" w:rsidTr="00DC1475">
        <w:tc>
          <w:tcPr>
            <w:tcW w:w="333" w:type="pct"/>
          </w:tcPr>
          <w:p w14:paraId="14E65FDE"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35</w:t>
            </w:r>
          </w:p>
        </w:tc>
        <w:tc>
          <w:tcPr>
            <w:tcW w:w="1037" w:type="pct"/>
          </w:tcPr>
          <w:p w14:paraId="64F892BA"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 Nur Abdi</w:t>
            </w:r>
          </w:p>
        </w:tc>
        <w:tc>
          <w:tcPr>
            <w:tcW w:w="443" w:type="pct"/>
          </w:tcPr>
          <w:p w14:paraId="2F21C38F"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3D58248F" w14:textId="664672F7" w:rsidR="00232514" w:rsidRPr="000F542E" w:rsidRDefault="00524C7D" w:rsidP="00DC1475">
            <w:pPr>
              <w:jc w:val="both"/>
              <w:rPr>
                <w:rFonts w:ascii="Arial" w:hAnsi="Arial" w:cs="Arial"/>
                <w:sz w:val="18"/>
                <w:szCs w:val="18"/>
              </w:rPr>
            </w:pPr>
            <w:r>
              <w:rPr>
                <w:rFonts w:ascii="Arial" w:hAnsi="Arial" w:cs="Arial"/>
                <w:sz w:val="18"/>
                <w:szCs w:val="18"/>
              </w:rPr>
              <w:t xml:space="preserve">HoF </w:t>
            </w:r>
            <w:r w:rsidR="00232514" w:rsidRPr="000F542E">
              <w:rPr>
                <w:rFonts w:ascii="Arial" w:hAnsi="Arial" w:cs="Arial"/>
                <w:sz w:val="18"/>
                <w:szCs w:val="18"/>
              </w:rPr>
              <w:t>SP &amp; change management directorate director</w:t>
            </w:r>
          </w:p>
        </w:tc>
      </w:tr>
      <w:tr w:rsidR="00232514" w:rsidRPr="000F542E" w14:paraId="453A9645" w14:textId="77777777" w:rsidTr="00DC1475">
        <w:tc>
          <w:tcPr>
            <w:tcW w:w="333" w:type="pct"/>
          </w:tcPr>
          <w:p w14:paraId="24A3B50F"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36</w:t>
            </w:r>
          </w:p>
        </w:tc>
        <w:tc>
          <w:tcPr>
            <w:tcW w:w="1037" w:type="pct"/>
          </w:tcPr>
          <w:p w14:paraId="3765C54F"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Dr. </w:t>
            </w:r>
            <w:proofErr w:type="spellStart"/>
            <w:r w:rsidRPr="000F542E">
              <w:rPr>
                <w:rFonts w:ascii="Arial" w:hAnsi="Arial" w:cs="Arial"/>
                <w:sz w:val="18"/>
                <w:szCs w:val="18"/>
              </w:rPr>
              <w:t>Waktole</w:t>
            </w:r>
            <w:proofErr w:type="spellEnd"/>
            <w:r w:rsidRPr="000F542E">
              <w:rPr>
                <w:rFonts w:ascii="Arial" w:hAnsi="Arial" w:cs="Arial"/>
                <w:sz w:val="18"/>
                <w:szCs w:val="18"/>
              </w:rPr>
              <w:t xml:space="preserve"> Dadi</w:t>
            </w:r>
          </w:p>
        </w:tc>
        <w:tc>
          <w:tcPr>
            <w:tcW w:w="443" w:type="pct"/>
          </w:tcPr>
          <w:p w14:paraId="564F3EC4"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3927C197"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HoF Research Center Director</w:t>
            </w:r>
          </w:p>
        </w:tc>
      </w:tr>
      <w:tr w:rsidR="00232514" w:rsidRPr="000F542E" w14:paraId="45F5D939" w14:textId="77777777" w:rsidTr="00DC1475">
        <w:tc>
          <w:tcPr>
            <w:tcW w:w="333" w:type="pct"/>
          </w:tcPr>
          <w:p w14:paraId="73A3BBCA"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37</w:t>
            </w:r>
          </w:p>
        </w:tc>
        <w:tc>
          <w:tcPr>
            <w:tcW w:w="1037" w:type="pct"/>
          </w:tcPr>
          <w:p w14:paraId="6B6835B5" w14:textId="77777777" w:rsidR="00232514" w:rsidRPr="00352701" w:rsidRDefault="00232514" w:rsidP="00DC1475">
            <w:pPr>
              <w:jc w:val="both"/>
              <w:rPr>
                <w:rFonts w:ascii="Arial" w:hAnsi="Arial" w:cs="Arial"/>
                <w:sz w:val="18"/>
                <w:szCs w:val="18"/>
              </w:rPr>
            </w:pPr>
            <w:r>
              <w:rPr>
                <w:rFonts w:ascii="Arial" w:hAnsi="Arial" w:cs="Arial"/>
                <w:sz w:val="18"/>
                <w:szCs w:val="18"/>
              </w:rPr>
              <w:t xml:space="preserve">Dr. </w:t>
            </w:r>
            <w:r w:rsidRPr="00352701">
              <w:rPr>
                <w:rFonts w:ascii="Arial" w:hAnsi="Arial" w:cs="Arial"/>
                <w:sz w:val="18"/>
                <w:szCs w:val="18"/>
              </w:rPr>
              <w:t>Endale N. G.</w:t>
            </w:r>
          </w:p>
        </w:tc>
        <w:tc>
          <w:tcPr>
            <w:tcW w:w="443" w:type="pct"/>
          </w:tcPr>
          <w:p w14:paraId="17E14E60" w14:textId="77777777" w:rsidR="00232514" w:rsidRPr="00352701" w:rsidRDefault="00232514" w:rsidP="00DC1475">
            <w:pPr>
              <w:jc w:val="both"/>
              <w:rPr>
                <w:rFonts w:ascii="Arial" w:hAnsi="Arial" w:cs="Arial"/>
                <w:sz w:val="18"/>
                <w:szCs w:val="18"/>
              </w:rPr>
            </w:pPr>
            <w:r w:rsidRPr="00352701">
              <w:rPr>
                <w:rFonts w:ascii="Arial" w:hAnsi="Arial" w:cs="Arial"/>
                <w:sz w:val="18"/>
                <w:szCs w:val="18"/>
              </w:rPr>
              <w:t>Male</w:t>
            </w:r>
          </w:p>
        </w:tc>
        <w:tc>
          <w:tcPr>
            <w:tcW w:w="3187" w:type="pct"/>
          </w:tcPr>
          <w:p w14:paraId="398888D3" w14:textId="77777777" w:rsidR="00232514" w:rsidRPr="00352701" w:rsidRDefault="00232514" w:rsidP="00DC1475">
            <w:pPr>
              <w:jc w:val="both"/>
              <w:rPr>
                <w:rFonts w:ascii="Arial" w:hAnsi="Arial" w:cs="Arial"/>
                <w:sz w:val="18"/>
                <w:szCs w:val="18"/>
              </w:rPr>
            </w:pPr>
            <w:r w:rsidRPr="00352701">
              <w:rPr>
                <w:rFonts w:ascii="Arial" w:hAnsi="Arial" w:cs="Arial"/>
                <w:sz w:val="18"/>
                <w:szCs w:val="18"/>
              </w:rPr>
              <w:t>EIO, Chief Ombudsman</w:t>
            </w:r>
          </w:p>
        </w:tc>
      </w:tr>
      <w:tr w:rsidR="00232514" w:rsidRPr="000F542E" w14:paraId="57C0D7AC" w14:textId="77777777" w:rsidTr="00DC1475">
        <w:tc>
          <w:tcPr>
            <w:tcW w:w="333" w:type="pct"/>
          </w:tcPr>
          <w:p w14:paraId="039B3FFE"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3</w:t>
            </w:r>
            <w:r>
              <w:rPr>
                <w:rFonts w:ascii="Arial" w:hAnsi="Arial" w:cs="Arial"/>
                <w:sz w:val="18"/>
                <w:szCs w:val="18"/>
              </w:rPr>
              <w:t>8</w:t>
            </w:r>
          </w:p>
        </w:tc>
        <w:tc>
          <w:tcPr>
            <w:tcW w:w="1037" w:type="pct"/>
          </w:tcPr>
          <w:p w14:paraId="75F2B668"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 Tadesse Gezu</w:t>
            </w:r>
          </w:p>
        </w:tc>
        <w:tc>
          <w:tcPr>
            <w:tcW w:w="443" w:type="pct"/>
          </w:tcPr>
          <w:p w14:paraId="7B4CAA64"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w:t>
            </w:r>
          </w:p>
        </w:tc>
        <w:tc>
          <w:tcPr>
            <w:tcW w:w="3187" w:type="pct"/>
          </w:tcPr>
          <w:p w14:paraId="4731ACD9" w14:textId="040FB056" w:rsidR="00232514" w:rsidRPr="000F542E" w:rsidRDefault="00682933" w:rsidP="00DC1475">
            <w:pPr>
              <w:jc w:val="both"/>
              <w:rPr>
                <w:rFonts w:ascii="Arial" w:hAnsi="Arial" w:cs="Arial"/>
                <w:sz w:val="18"/>
                <w:szCs w:val="18"/>
              </w:rPr>
            </w:pPr>
            <w:r w:rsidRPr="00682933">
              <w:rPr>
                <w:rFonts w:ascii="Arial" w:hAnsi="Arial" w:cs="Arial"/>
                <w:sz w:val="18"/>
                <w:szCs w:val="18"/>
              </w:rPr>
              <w:t xml:space="preserve">UNDP, Programme Officer </w:t>
            </w:r>
            <w:r>
              <w:rPr>
                <w:rFonts w:ascii="Arial" w:hAnsi="Arial" w:cs="Arial"/>
                <w:sz w:val="18"/>
                <w:szCs w:val="18"/>
              </w:rPr>
              <w:t xml:space="preserve">- </w:t>
            </w:r>
            <w:r w:rsidR="00232514" w:rsidRPr="000F542E">
              <w:rPr>
                <w:rFonts w:ascii="Arial" w:hAnsi="Arial" w:cs="Arial"/>
                <w:sz w:val="18"/>
                <w:szCs w:val="18"/>
              </w:rPr>
              <w:t>EIO</w:t>
            </w:r>
          </w:p>
        </w:tc>
      </w:tr>
      <w:tr w:rsidR="00232514" w:rsidRPr="000F542E" w14:paraId="386A420F" w14:textId="77777777" w:rsidTr="00DC1475">
        <w:tc>
          <w:tcPr>
            <w:tcW w:w="333" w:type="pct"/>
          </w:tcPr>
          <w:p w14:paraId="1C1ECF55"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39</w:t>
            </w:r>
          </w:p>
        </w:tc>
        <w:tc>
          <w:tcPr>
            <w:tcW w:w="1037" w:type="pct"/>
          </w:tcPr>
          <w:p w14:paraId="6504AE4B"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Abera </w:t>
            </w:r>
            <w:proofErr w:type="spellStart"/>
            <w:r w:rsidRPr="000F542E">
              <w:rPr>
                <w:rFonts w:ascii="Arial" w:hAnsi="Arial" w:cs="Arial"/>
                <w:sz w:val="18"/>
                <w:szCs w:val="18"/>
              </w:rPr>
              <w:t>Hirqata</w:t>
            </w:r>
            <w:proofErr w:type="spellEnd"/>
          </w:p>
        </w:tc>
        <w:tc>
          <w:tcPr>
            <w:tcW w:w="443" w:type="pct"/>
          </w:tcPr>
          <w:p w14:paraId="7F9F58D8"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1F20625D"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EIO GG and change management D. director</w:t>
            </w:r>
          </w:p>
        </w:tc>
      </w:tr>
      <w:tr w:rsidR="00232514" w:rsidRPr="000F542E" w14:paraId="5CCE9A0B" w14:textId="77777777" w:rsidTr="00DC1475">
        <w:tc>
          <w:tcPr>
            <w:tcW w:w="333" w:type="pct"/>
          </w:tcPr>
          <w:p w14:paraId="5F74FCBC"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40</w:t>
            </w:r>
          </w:p>
        </w:tc>
        <w:tc>
          <w:tcPr>
            <w:tcW w:w="1037" w:type="pct"/>
          </w:tcPr>
          <w:p w14:paraId="2610967C" w14:textId="77777777" w:rsidR="00232514" w:rsidRPr="00352701" w:rsidRDefault="00232514" w:rsidP="00DC1475">
            <w:pPr>
              <w:jc w:val="both"/>
              <w:rPr>
                <w:rFonts w:ascii="Arial" w:hAnsi="Arial" w:cs="Arial"/>
                <w:sz w:val="18"/>
                <w:szCs w:val="18"/>
              </w:rPr>
            </w:pPr>
            <w:r w:rsidRPr="00352701">
              <w:rPr>
                <w:rFonts w:ascii="Arial" w:hAnsi="Arial" w:cs="Arial"/>
                <w:sz w:val="18"/>
                <w:szCs w:val="18"/>
              </w:rPr>
              <w:t xml:space="preserve">Mr. </w:t>
            </w:r>
            <w:proofErr w:type="spellStart"/>
            <w:r w:rsidRPr="00352701">
              <w:rPr>
                <w:rFonts w:ascii="Arial" w:hAnsi="Arial" w:cs="Arial"/>
                <w:sz w:val="18"/>
                <w:szCs w:val="18"/>
              </w:rPr>
              <w:t>Manaye</w:t>
            </w:r>
            <w:proofErr w:type="spellEnd"/>
            <w:r w:rsidRPr="00352701">
              <w:rPr>
                <w:rFonts w:ascii="Arial" w:hAnsi="Arial" w:cs="Arial"/>
                <w:sz w:val="18"/>
                <w:szCs w:val="18"/>
              </w:rPr>
              <w:t xml:space="preserve"> T.</w:t>
            </w:r>
          </w:p>
        </w:tc>
        <w:tc>
          <w:tcPr>
            <w:tcW w:w="443" w:type="pct"/>
          </w:tcPr>
          <w:p w14:paraId="6569D2E2" w14:textId="77777777" w:rsidR="00232514" w:rsidRPr="00352701" w:rsidRDefault="00232514" w:rsidP="00DC1475">
            <w:pPr>
              <w:jc w:val="both"/>
              <w:rPr>
                <w:rFonts w:ascii="Arial" w:hAnsi="Arial" w:cs="Arial"/>
                <w:sz w:val="18"/>
                <w:szCs w:val="18"/>
              </w:rPr>
            </w:pPr>
            <w:r w:rsidRPr="00352701">
              <w:rPr>
                <w:rFonts w:ascii="Arial" w:hAnsi="Arial" w:cs="Arial"/>
                <w:sz w:val="18"/>
                <w:szCs w:val="18"/>
              </w:rPr>
              <w:t>Male</w:t>
            </w:r>
          </w:p>
        </w:tc>
        <w:tc>
          <w:tcPr>
            <w:tcW w:w="3187" w:type="pct"/>
          </w:tcPr>
          <w:p w14:paraId="27CC1F04" w14:textId="77777777" w:rsidR="00232514" w:rsidRPr="00352701" w:rsidRDefault="00232514" w:rsidP="00DC1475">
            <w:pPr>
              <w:jc w:val="both"/>
              <w:rPr>
                <w:rFonts w:ascii="Arial" w:hAnsi="Arial" w:cs="Arial"/>
                <w:sz w:val="18"/>
                <w:szCs w:val="18"/>
              </w:rPr>
            </w:pPr>
            <w:r w:rsidRPr="00352701">
              <w:rPr>
                <w:rFonts w:ascii="Arial" w:hAnsi="Arial" w:cs="Arial"/>
                <w:sz w:val="18"/>
                <w:szCs w:val="18"/>
              </w:rPr>
              <w:t>EIO Freedom for Information D director</w:t>
            </w:r>
          </w:p>
        </w:tc>
      </w:tr>
      <w:tr w:rsidR="00232514" w:rsidRPr="000F542E" w14:paraId="69FB44B5" w14:textId="77777777" w:rsidTr="00DC1475">
        <w:tc>
          <w:tcPr>
            <w:tcW w:w="333" w:type="pct"/>
          </w:tcPr>
          <w:p w14:paraId="7CF87DAC"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41</w:t>
            </w:r>
          </w:p>
        </w:tc>
        <w:tc>
          <w:tcPr>
            <w:tcW w:w="1037" w:type="pct"/>
          </w:tcPr>
          <w:p w14:paraId="63FA1BFB"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w:t>
            </w:r>
            <w:proofErr w:type="spellStart"/>
            <w:r w:rsidRPr="000F542E">
              <w:rPr>
                <w:rFonts w:ascii="Arial" w:hAnsi="Arial" w:cs="Arial"/>
                <w:sz w:val="18"/>
                <w:szCs w:val="18"/>
              </w:rPr>
              <w:t>Fite</w:t>
            </w:r>
            <w:proofErr w:type="spellEnd"/>
            <w:r w:rsidRPr="000F542E">
              <w:rPr>
                <w:rFonts w:ascii="Arial" w:hAnsi="Arial" w:cs="Arial"/>
                <w:sz w:val="18"/>
                <w:szCs w:val="18"/>
              </w:rPr>
              <w:t xml:space="preserve"> Terefe</w:t>
            </w:r>
          </w:p>
        </w:tc>
        <w:tc>
          <w:tcPr>
            <w:tcW w:w="443" w:type="pct"/>
          </w:tcPr>
          <w:p w14:paraId="0D1046A0"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447224D1"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EIO ICT directorate director</w:t>
            </w:r>
          </w:p>
        </w:tc>
      </w:tr>
      <w:tr w:rsidR="00232514" w:rsidRPr="000F542E" w14:paraId="435F2D48" w14:textId="77777777" w:rsidTr="00DC1475">
        <w:tc>
          <w:tcPr>
            <w:tcW w:w="333" w:type="pct"/>
          </w:tcPr>
          <w:p w14:paraId="6787CB56"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42</w:t>
            </w:r>
          </w:p>
        </w:tc>
        <w:tc>
          <w:tcPr>
            <w:tcW w:w="1037" w:type="pct"/>
          </w:tcPr>
          <w:p w14:paraId="5F909E8C"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Zewdu </w:t>
            </w:r>
            <w:proofErr w:type="spellStart"/>
            <w:r w:rsidRPr="000F542E">
              <w:rPr>
                <w:rFonts w:ascii="Arial" w:hAnsi="Arial" w:cs="Arial"/>
                <w:sz w:val="18"/>
                <w:szCs w:val="18"/>
              </w:rPr>
              <w:t>Wondim</w:t>
            </w:r>
            <w:proofErr w:type="spellEnd"/>
          </w:p>
        </w:tc>
        <w:tc>
          <w:tcPr>
            <w:tcW w:w="443" w:type="pct"/>
          </w:tcPr>
          <w:p w14:paraId="4A1F47D0"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2D12C012"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EIO Communications directorate director</w:t>
            </w:r>
          </w:p>
        </w:tc>
      </w:tr>
      <w:tr w:rsidR="00232514" w:rsidRPr="000F542E" w14:paraId="65D470A1" w14:textId="77777777" w:rsidTr="00DC1475">
        <w:tc>
          <w:tcPr>
            <w:tcW w:w="333" w:type="pct"/>
          </w:tcPr>
          <w:p w14:paraId="35590C95"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43</w:t>
            </w:r>
          </w:p>
        </w:tc>
        <w:tc>
          <w:tcPr>
            <w:tcW w:w="1037" w:type="pct"/>
          </w:tcPr>
          <w:p w14:paraId="34447969"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w:t>
            </w:r>
            <w:proofErr w:type="spellStart"/>
            <w:r w:rsidRPr="000F542E">
              <w:rPr>
                <w:rFonts w:ascii="Arial" w:hAnsi="Arial" w:cs="Arial"/>
                <w:sz w:val="18"/>
                <w:szCs w:val="18"/>
              </w:rPr>
              <w:t>Mengisty</w:t>
            </w:r>
            <w:proofErr w:type="spellEnd"/>
            <w:r w:rsidRPr="000F542E">
              <w:rPr>
                <w:rFonts w:ascii="Arial" w:hAnsi="Arial" w:cs="Arial"/>
                <w:sz w:val="18"/>
                <w:szCs w:val="18"/>
              </w:rPr>
              <w:t xml:space="preserve"> </w:t>
            </w:r>
            <w:proofErr w:type="spellStart"/>
            <w:r w:rsidRPr="000F542E">
              <w:rPr>
                <w:rFonts w:ascii="Arial" w:hAnsi="Arial" w:cs="Arial"/>
                <w:sz w:val="18"/>
                <w:szCs w:val="18"/>
              </w:rPr>
              <w:t>Kegne</w:t>
            </w:r>
            <w:proofErr w:type="spellEnd"/>
          </w:p>
        </w:tc>
        <w:tc>
          <w:tcPr>
            <w:tcW w:w="443" w:type="pct"/>
          </w:tcPr>
          <w:p w14:paraId="41F27D59"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0EBF8EC2" w14:textId="64FA0CAC"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EIO </w:t>
            </w:r>
            <w:r w:rsidR="00682933">
              <w:rPr>
                <w:rFonts w:ascii="Arial" w:hAnsi="Arial" w:cs="Arial"/>
                <w:sz w:val="18"/>
                <w:szCs w:val="18"/>
              </w:rPr>
              <w:t xml:space="preserve">IP </w:t>
            </w:r>
            <w:r w:rsidRPr="000F542E">
              <w:rPr>
                <w:rFonts w:ascii="Arial" w:hAnsi="Arial" w:cs="Arial"/>
                <w:sz w:val="18"/>
                <w:szCs w:val="18"/>
              </w:rPr>
              <w:t xml:space="preserve">GDPP </w:t>
            </w:r>
            <w:r w:rsidR="00682933">
              <w:rPr>
                <w:rFonts w:ascii="Arial" w:hAnsi="Arial" w:cs="Arial"/>
                <w:sz w:val="18"/>
                <w:szCs w:val="18"/>
              </w:rPr>
              <w:t xml:space="preserve">assigned </w:t>
            </w:r>
            <w:r w:rsidRPr="000F542E">
              <w:rPr>
                <w:rFonts w:ascii="Arial" w:hAnsi="Arial" w:cs="Arial"/>
                <w:sz w:val="18"/>
                <w:szCs w:val="18"/>
              </w:rPr>
              <w:t>program</w:t>
            </w:r>
            <w:r w:rsidR="0094265B">
              <w:rPr>
                <w:rFonts w:ascii="Arial" w:hAnsi="Arial" w:cs="Arial"/>
                <w:sz w:val="18"/>
                <w:szCs w:val="18"/>
              </w:rPr>
              <w:t>me</w:t>
            </w:r>
            <w:r w:rsidRPr="000F542E">
              <w:rPr>
                <w:rFonts w:ascii="Arial" w:hAnsi="Arial" w:cs="Arial"/>
                <w:sz w:val="18"/>
                <w:szCs w:val="18"/>
              </w:rPr>
              <w:t xml:space="preserve"> officer</w:t>
            </w:r>
          </w:p>
        </w:tc>
      </w:tr>
      <w:tr w:rsidR="00232514" w:rsidRPr="000F542E" w14:paraId="18946813" w14:textId="77777777" w:rsidTr="00DC1475">
        <w:tc>
          <w:tcPr>
            <w:tcW w:w="333" w:type="pct"/>
          </w:tcPr>
          <w:p w14:paraId="21F1CD9F"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44</w:t>
            </w:r>
          </w:p>
        </w:tc>
        <w:tc>
          <w:tcPr>
            <w:tcW w:w="1037" w:type="pct"/>
          </w:tcPr>
          <w:p w14:paraId="546A0D46"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 Dessalegn W</w:t>
            </w:r>
            <w:r>
              <w:rPr>
                <w:rFonts w:ascii="Arial" w:hAnsi="Arial" w:cs="Arial"/>
                <w:sz w:val="18"/>
                <w:szCs w:val="18"/>
              </w:rPr>
              <w:t>.</w:t>
            </w:r>
          </w:p>
        </w:tc>
        <w:tc>
          <w:tcPr>
            <w:tcW w:w="443" w:type="pct"/>
          </w:tcPr>
          <w:p w14:paraId="038C1F55"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319ABEBF"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CCI Office Head and CCI Council Secretariat</w:t>
            </w:r>
          </w:p>
        </w:tc>
      </w:tr>
      <w:tr w:rsidR="00232514" w:rsidRPr="000F542E" w14:paraId="7C4193C2" w14:textId="77777777" w:rsidTr="00DC1475">
        <w:tc>
          <w:tcPr>
            <w:tcW w:w="333" w:type="pct"/>
          </w:tcPr>
          <w:p w14:paraId="10696DB5"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45</w:t>
            </w:r>
          </w:p>
        </w:tc>
        <w:tc>
          <w:tcPr>
            <w:tcW w:w="1037" w:type="pct"/>
          </w:tcPr>
          <w:p w14:paraId="37A27333"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 Dawit Ayalew</w:t>
            </w:r>
          </w:p>
        </w:tc>
        <w:tc>
          <w:tcPr>
            <w:tcW w:w="443" w:type="pct"/>
          </w:tcPr>
          <w:p w14:paraId="6E2A3913"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64DC8E07"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CCI GDPP focal person</w:t>
            </w:r>
            <w:r>
              <w:rPr>
                <w:rFonts w:ascii="Arial" w:hAnsi="Arial" w:cs="Arial"/>
                <w:sz w:val="18"/>
                <w:szCs w:val="18"/>
              </w:rPr>
              <w:t>,</w:t>
            </w:r>
            <w:r w:rsidRPr="000F542E">
              <w:rPr>
                <w:rFonts w:ascii="Arial" w:hAnsi="Arial" w:cs="Arial"/>
                <w:sz w:val="18"/>
                <w:szCs w:val="18"/>
              </w:rPr>
              <w:t xml:space="preserve"> and planning directorate director</w:t>
            </w:r>
          </w:p>
        </w:tc>
      </w:tr>
      <w:tr w:rsidR="00232514" w:rsidRPr="000F542E" w14:paraId="1B70A8D7" w14:textId="77777777" w:rsidTr="00DC1475">
        <w:tc>
          <w:tcPr>
            <w:tcW w:w="333" w:type="pct"/>
          </w:tcPr>
          <w:p w14:paraId="7ACE64EC"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46</w:t>
            </w:r>
          </w:p>
        </w:tc>
        <w:tc>
          <w:tcPr>
            <w:tcW w:w="1037" w:type="pct"/>
          </w:tcPr>
          <w:p w14:paraId="5B029DDB"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 Kebede Tadesse</w:t>
            </w:r>
          </w:p>
        </w:tc>
        <w:tc>
          <w:tcPr>
            <w:tcW w:w="443" w:type="pct"/>
          </w:tcPr>
          <w:p w14:paraId="0E6EB899"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48AC777C"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CCI Special assistant to the CCI office head </w:t>
            </w:r>
          </w:p>
        </w:tc>
      </w:tr>
      <w:tr w:rsidR="00232514" w:rsidRPr="000F542E" w14:paraId="271E4778" w14:textId="77777777" w:rsidTr="00DC1475">
        <w:tc>
          <w:tcPr>
            <w:tcW w:w="333" w:type="pct"/>
          </w:tcPr>
          <w:p w14:paraId="4C09FCF2"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47</w:t>
            </w:r>
          </w:p>
        </w:tc>
        <w:tc>
          <w:tcPr>
            <w:tcW w:w="1037" w:type="pct"/>
          </w:tcPr>
          <w:p w14:paraId="3639BCA3"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Getachew </w:t>
            </w:r>
            <w:proofErr w:type="spellStart"/>
            <w:r w:rsidRPr="000F542E">
              <w:rPr>
                <w:rFonts w:ascii="Arial" w:hAnsi="Arial" w:cs="Arial"/>
                <w:sz w:val="18"/>
                <w:szCs w:val="18"/>
              </w:rPr>
              <w:t>Gudina</w:t>
            </w:r>
            <w:proofErr w:type="spellEnd"/>
          </w:p>
        </w:tc>
        <w:tc>
          <w:tcPr>
            <w:tcW w:w="443" w:type="pct"/>
          </w:tcPr>
          <w:p w14:paraId="60068232"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74BD8EDA"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CCI Research directorate director</w:t>
            </w:r>
          </w:p>
        </w:tc>
      </w:tr>
      <w:tr w:rsidR="00232514" w:rsidRPr="000F542E" w14:paraId="0E1493DC" w14:textId="77777777" w:rsidTr="00DC1475">
        <w:tc>
          <w:tcPr>
            <w:tcW w:w="333" w:type="pct"/>
          </w:tcPr>
          <w:p w14:paraId="4FA88D40"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48</w:t>
            </w:r>
          </w:p>
        </w:tc>
        <w:tc>
          <w:tcPr>
            <w:tcW w:w="1037" w:type="pct"/>
          </w:tcPr>
          <w:p w14:paraId="103FB51B"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Mrs. Rahel Berhanu</w:t>
            </w:r>
          </w:p>
        </w:tc>
        <w:tc>
          <w:tcPr>
            <w:tcW w:w="443" w:type="pct"/>
          </w:tcPr>
          <w:p w14:paraId="77139303"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Female</w:t>
            </w:r>
          </w:p>
        </w:tc>
        <w:tc>
          <w:tcPr>
            <w:tcW w:w="3187" w:type="pct"/>
          </w:tcPr>
          <w:p w14:paraId="44FBE1DC"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Case Flow Management directorate director</w:t>
            </w:r>
          </w:p>
        </w:tc>
      </w:tr>
      <w:tr w:rsidR="00232514" w:rsidRPr="000F542E" w14:paraId="45EF192B" w14:textId="77777777" w:rsidTr="00DC1475">
        <w:tc>
          <w:tcPr>
            <w:tcW w:w="333" w:type="pct"/>
          </w:tcPr>
          <w:p w14:paraId="467917B8" w14:textId="77777777" w:rsidR="00232514" w:rsidRPr="000F542E" w:rsidRDefault="00232514" w:rsidP="00DC1475">
            <w:pPr>
              <w:jc w:val="both"/>
              <w:rPr>
                <w:rFonts w:ascii="Arial" w:hAnsi="Arial" w:cs="Arial"/>
                <w:sz w:val="18"/>
                <w:szCs w:val="18"/>
              </w:rPr>
            </w:pPr>
            <w:r>
              <w:rPr>
                <w:rFonts w:ascii="Arial" w:hAnsi="Arial" w:cs="Arial"/>
                <w:sz w:val="18"/>
                <w:szCs w:val="18"/>
              </w:rPr>
              <w:t>49</w:t>
            </w:r>
          </w:p>
        </w:tc>
        <w:tc>
          <w:tcPr>
            <w:tcW w:w="1037" w:type="pct"/>
          </w:tcPr>
          <w:p w14:paraId="2E8FBB8C"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 Tekola W/</w:t>
            </w:r>
            <w:r>
              <w:rPr>
                <w:rFonts w:ascii="Arial" w:hAnsi="Arial" w:cs="Arial"/>
                <w:sz w:val="18"/>
                <w:szCs w:val="18"/>
              </w:rPr>
              <w:t>Y</w:t>
            </w:r>
          </w:p>
        </w:tc>
        <w:tc>
          <w:tcPr>
            <w:tcW w:w="443" w:type="pct"/>
          </w:tcPr>
          <w:p w14:paraId="5B1AAB32"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292685FE"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Finance, </w:t>
            </w:r>
            <w:proofErr w:type="gramStart"/>
            <w:r w:rsidRPr="000F542E">
              <w:rPr>
                <w:rFonts w:ascii="Arial" w:hAnsi="Arial" w:cs="Arial"/>
                <w:sz w:val="18"/>
                <w:szCs w:val="18"/>
              </w:rPr>
              <w:t>procurement</w:t>
            </w:r>
            <w:proofErr w:type="gramEnd"/>
            <w:r w:rsidRPr="000F542E">
              <w:rPr>
                <w:rFonts w:ascii="Arial" w:hAnsi="Arial" w:cs="Arial"/>
                <w:sz w:val="18"/>
                <w:szCs w:val="18"/>
              </w:rPr>
              <w:t xml:space="preserve"> and property D. director</w:t>
            </w:r>
          </w:p>
        </w:tc>
      </w:tr>
      <w:tr w:rsidR="00232514" w:rsidRPr="000F542E" w14:paraId="3AB86273" w14:textId="77777777" w:rsidTr="00DC1475">
        <w:tc>
          <w:tcPr>
            <w:tcW w:w="333" w:type="pct"/>
          </w:tcPr>
          <w:p w14:paraId="00A573CC" w14:textId="77777777" w:rsidR="00232514" w:rsidRPr="000F542E" w:rsidRDefault="00232514" w:rsidP="00DC1475">
            <w:pPr>
              <w:jc w:val="both"/>
              <w:rPr>
                <w:rFonts w:ascii="Arial" w:hAnsi="Arial" w:cs="Arial"/>
                <w:sz w:val="18"/>
                <w:szCs w:val="18"/>
              </w:rPr>
            </w:pPr>
            <w:r>
              <w:rPr>
                <w:rFonts w:ascii="Arial" w:hAnsi="Arial" w:cs="Arial"/>
                <w:sz w:val="18"/>
                <w:szCs w:val="18"/>
              </w:rPr>
              <w:t>50</w:t>
            </w:r>
          </w:p>
        </w:tc>
        <w:tc>
          <w:tcPr>
            <w:tcW w:w="1037" w:type="pct"/>
          </w:tcPr>
          <w:p w14:paraId="6657FF2C"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w:t>
            </w:r>
            <w:proofErr w:type="spellStart"/>
            <w:r w:rsidRPr="000F542E">
              <w:rPr>
                <w:rFonts w:ascii="Arial" w:hAnsi="Arial" w:cs="Arial"/>
                <w:sz w:val="18"/>
                <w:szCs w:val="18"/>
              </w:rPr>
              <w:t>Jenberu</w:t>
            </w:r>
            <w:proofErr w:type="spellEnd"/>
            <w:r w:rsidRPr="000F542E">
              <w:rPr>
                <w:rFonts w:ascii="Arial" w:hAnsi="Arial" w:cs="Arial"/>
                <w:sz w:val="18"/>
                <w:szCs w:val="18"/>
              </w:rPr>
              <w:t xml:space="preserve"> Nigatu</w:t>
            </w:r>
          </w:p>
        </w:tc>
        <w:tc>
          <w:tcPr>
            <w:tcW w:w="443" w:type="pct"/>
          </w:tcPr>
          <w:p w14:paraId="58E51F50"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68EF2DAE"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CCI ethical officer</w:t>
            </w:r>
          </w:p>
        </w:tc>
      </w:tr>
      <w:tr w:rsidR="00232514" w:rsidRPr="000F542E" w14:paraId="26A16895" w14:textId="77777777" w:rsidTr="00DC1475">
        <w:tc>
          <w:tcPr>
            <w:tcW w:w="333" w:type="pct"/>
          </w:tcPr>
          <w:p w14:paraId="4EA5A161" w14:textId="77777777" w:rsidR="00232514" w:rsidRPr="000F542E" w:rsidRDefault="00232514" w:rsidP="00DC1475">
            <w:pPr>
              <w:jc w:val="both"/>
              <w:rPr>
                <w:rFonts w:ascii="Arial" w:hAnsi="Arial" w:cs="Arial"/>
                <w:sz w:val="18"/>
                <w:szCs w:val="18"/>
              </w:rPr>
            </w:pPr>
            <w:r>
              <w:rPr>
                <w:rFonts w:ascii="Arial" w:hAnsi="Arial" w:cs="Arial"/>
                <w:sz w:val="18"/>
                <w:szCs w:val="18"/>
              </w:rPr>
              <w:t>51</w:t>
            </w:r>
          </w:p>
        </w:tc>
        <w:tc>
          <w:tcPr>
            <w:tcW w:w="1037" w:type="pct"/>
          </w:tcPr>
          <w:p w14:paraId="432CEAA4"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Mrs. Aster </w:t>
            </w:r>
            <w:proofErr w:type="spellStart"/>
            <w:r w:rsidRPr="000F542E">
              <w:rPr>
                <w:rFonts w:ascii="Arial" w:hAnsi="Arial" w:cs="Arial"/>
                <w:sz w:val="18"/>
                <w:szCs w:val="18"/>
              </w:rPr>
              <w:t>Tesema</w:t>
            </w:r>
            <w:proofErr w:type="spellEnd"/>
          </w:p>
        </w:tc>
        <w:tc>
          <w:tcPr>
            <w:tcW w:w="443" w:type="pct"/>
          </w:tcPr>
          <w:p w14:paraId="2D327EB4"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Female</w:t>
            </w:r>
          </w:p>
        </w:tc>
        <w:tc>
          <w:tcPr>
            <w:tcW w:w="3187" w:type="pct"/>
          </w:tcPr>
          <w:p w14:paraId="0533932A"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CCI WYCA Team Leader</w:t>
            </w:r>
          </w:p>
        </w:tc>
      </w:tr>
      <w:tr w:rsidR="00232514" w:rsidRPr="000F542E" w14:paraId="4873227F" w14:textId="77777777" w:rsidTr="00DC1475">
        <w:tc>
          <w:tcPr>
            <w:tcW w:w="333" w:type="pct"/>
          </w:tcPr>
          <w:p w14:paraId="1935EA0F" w14:textId="77777777" w:rsidR="00232514" w:rsidRPr="000F542E" w:rsidRDefault="00232514" w:rsidP="00DC1475">
            <w:pPr>
              <w:jc w:val="both"/>
              <w:rPr>
                <w:rFonts w:ascii="Arial" w:hAnsi="Arial" w:cs="Arial"/>
                <w:sz w:val="18"/>
                <w:szCs w:val="18"/>
              </w:rPr>
            </w:pPr>
            <w:r>
              <w:rPr>
                <w:rFonts w:ascii="Arial" w:hAnsi="Arial" w:cs="Arial"/>
                <w:sz w:val="18"/>
                <w:szCs w:val="18"/>
              </w:rPr>
              <w:t>52</w:t>
            </w:r>
          </w:p>
        </w:tc>
        <w:tc>
          <w:tcPr>
            <w:tcW w:w="1037" w:type="pct"/>
          </w:tcPr>
          <w:p w14:paraId="4460F154"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Mrs. </w:t>
            </w:r>
            <w:proofErr w:type="spellStart"/>
            <w:r w:rsidRPr="000F542E">
              <w:rPr>
                <w:rFonts w:ascii="Arial" w:hAnsi="Arial" w:cs="Arial"/>
                <w:sz w:val="18"/>
                <w:szCs w:val="18"/>
              </w:rPr>
              <w:t>Tifchew</w:t>
            </w:r>
            <w:proofErr w:type="spellEnd"/>
            <w:r w:rsidRPr="000F542E">
              <w:rPr>
                <w:rFonts w:ascii="Arial" w:hAnsi="Arial" w:cs="Arial"/>
                <w:sz w:val="18"/>
                <w:szCs w:val="18"/>
              </w:rPr>
              <w:t xml:space="preserve"> </w:t>
            </w:r>
            <w:proofErr w:type="spellStart"/>
            <w:r w:rsidRPr="000F542E">
              <w:rPr>
                <w:rFonts w:ascii="Arial" w:hAnsi="Arial" w:cs="Arial"/>
                <w:sz w:val="18"/>
                <w:szCs w:val="18"/>
              </w:rPr>
              <w:t>Bete</w:t>
            </w:r>
            <w:proofErr w:type="spellEnd"/>
          </w:p>
        </w:tc>
        <w:tc>
          <w:tcPr>
            <w:tcW w:w="443" w:type="pct"/>
          </w:tcPr>
          <w:p w14:paraId="5616FFFA"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Female</w:t>
            </w:r>
          </w:p>
        </w:tc>
        <w:tc>
          <w:tcPr>
            <w:tcW w:w="3187" w:type="pct"/>
          </w:tcPr>
          <w:p w14:paraId="4B66F934"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CCI Senior Accountant</w:t>
            </w:r>
          </w:p>
        </w:tc>
      </w:tr>
      <w:tr w:rsidR="00232514" w:rsidRPr="000F542E" w14:paraId="05A98F0E" w14:textId="77777777" w:rsidTr="00DC1475">
        <w:tc>
          <w:tcPr>
            <w:tcW w:w="333" w:type="pct"/>
          </w:tcPr>
          <w:p w14:paraId="03FF3D7A" w14:textId="77777777" w:rsidR="00232514" w:rsidRPr="000F542E" w:rsidRDefault="00232514" w:rsidP="00DC1475">
            <w:pPr>
              <w:jc w:val="both"/>
              <w:rPr>
                <w:rFonts w:ascii="Arial" w:hAnsi="Arial" w:cs="Arial"/>
                <w:sz w:val="18"/>
                <w:szCs w:val="18"/>
              </w:rPr>
            </w:pPr>
            <w:r>
              <w:rPr>
                <w:rFonts w:ascii="Arial" w:hAnsi="Arial" w:cs="Arial"/>
                <w:sz w:val="18"/>
                <w:szCs w:val="18"/>
              </w:rPr>
              <w:lastRenderedPageBreak/>
              <w:t>53</w:t>
            </w:r>
          </w:p>
        </w:tc>
        <w:tc>
          <w:tcPr>
            <w:tcW w:w="1037" w:type="pct"/>
          </w:tcPr>
          <w:p w14:paraId="71E634E7"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w:t>
            </w:r>
            <w:proofErr w:type="spellStart"/>
            <w:r w:rsidRPr="000F542E">
              <w:rPr>
                <w:rFonts w:ascii="Arial" w:hAnsi="Arial" w:cs="Arial"/>
                <w:sz w:val="18"/>
                <w:szCs w:val="18"/>
              </w:rPr>
              <w:t>Aweke</w:t>
            </w:r>
            <w:proofErr w:type="spellEnd"/>
            <w:r w:rsidRPr="000F542E">
              <w:rPr>
                <w:rFonts w:ascii="Arial" w:hAnsi="Arial" w:cs="Arial"/>
                <w:sz w:val="18"/>
                <w:szCs w:val="18"/>
              </w:rPr>
              <w:t xml:space="preserve"> </w:t>
            </w:r>
            <w:proofErr w:type="spellStart"/>
            <w:r w:rsidRPr="000F542E">
              <w:rPr>
                <w:rFonts w:ascii="Arial" w:hAnsi="Arial" w:cs="Arial"/>
                <w:sz w:val="18"/>
                <w:szCs w:val="18"/>
              </w:rPr>
              <w:t>Tenaw</w:t>
            </w:r>
            <w:proofErr w:type="spellEnd"/>
          </w:p>
        </w:tc>
        <w:tc>
          <w:tcPr>
            <w:tcW w:w="443" w:type="pct"/>
          </w:tcPr>
          <w:p w14:paraId="27887BFA"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3A08FB9D"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OFAG office head and assistant to acting OG</w:t>
            </w:r>
          </w:p>
        </w:tc>
      </w:tr>
      <w:tr w:rsidR="00232514" w:rsidRPr="000F542E" w14:paraId="2EDCA748" w14:textId="77777777" w:rsidTr="00DC1475">
        <w:tc>
          <w:tcPr>
            <w:tcW w:w="333" w:type="pct"/>
          </w:tcPr>
          <w:p w14:paraId="54E1B778" w14:textId="77777777" w:rsidR="00232514" w:rsidRPr="000F542E" w:rsidRDefault="00232514" w:rsidP="00DC1475">
            <w:pPr>
              <w:jc w:val="both"/>
              <w:rPr>
                <w:rFonts w:ascii="Arial" w:hAnsi="Arial" w:cs="Arial"/>
                <w:sz w:val="18"/>
                <w:szCs w:val="18"/>
              </w:rPr>
            </w:pPr>
            <w:r>
              <w:rPr>
                <w:rFonts w:ascii="Arial" w:hAnsi="Arial" w:cs="Arial"/>
                <w:sz w:val="18"/>
                <w:szCs w:val="18"/>
              </w:rPr>
              <w:t>54</w:t>
            </w:r>
          </w:p>
        </w:tc>
        <w:tc>
          <w:tcPr>
            <w:tcW w:w="1037" w:type="pct"/>
          </w:tcPr>
          <w:p w14:paraId="724856F3"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 Dejene Mokoro</w:t>
            </w:r>
          </w:p>
        </w:tc>
        <w:tc>
          <w:tcPr>
            <w:tcW w:w="443" w:type="pct"/>
          </w:tcPr>
          <w:p w14:paraId="5C3C98BE"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1BBCA397" w14:textId="44B6ECD0"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OFAG </w:t>
            </w:r>
            <w:r w:rsidR="00682933">
              <w:rPr>
                <w:rFonts w:ascii="Arial" w:hAnsi="Arial" w:cs="Arial"/>
                <w:sz w:val="18"/>
                <w:szCs w:val="18"/>
              </w:rPr>
              <w:t xml:space="preserve">IP assigned </w:t>
            </w:r>
            <w:r w:rsidRPr="000F542E">
              <w:rPr>
                <w:rFonts w:ascii="Arial" w:hAnsi="Arial" w:cs="Arial"/>
                <w:sz w:val="18"/>
                <w:szCs w:val="18"/>
              </w:rPr>
              <w:t>GDPP Focal Person</w:t>
            </w:r>
          </w:p>
        </w:tc>
      </w:tr>
      <w:tr w:rsidR="00232514" w:rsidRPr="000F542E" w14:paraId="7BA0DACC" w14:textId="77777777" w:rsidTr="00DC1475">
        <w:tc>
          <w:tcPr>
            <w:tcW w:w="333" w:type="pct"/>
          </w:tcPr>
          <w:p w14:paraId="620A3D4F" w14:textId="77777777" w:rsidR="00232514" w:rsidRPr="000F542E" w:rsidRDefault="00232514" w:rsidP="00DC1475">
            <w:pPr>
              <w:jc w:val="both"/>
              <w:rPr>
                <w:rFonts w:ascii="Arial" w:hAnsi="Arial" w:cs="Arial"/>
                <w:sz w:val="18"/>
                <w:szCs w:val="18"/>
              </w:rPr>
            </w:pPr>
            <w:r>
              <w:rPr>
                <w:rFonts w:ascii="Arial" w:hAnsi="Arial" w:cs="Arial"/>
                <w:sz w:val="18"/>
                <w:szCs w:val="18"/>
              </w:rPr>
              <w:t>55</w:t>
            </w:r>
          </w:p>
        </w:tc>
        <w:tc>
          <w:tcPr>
            <w:tcW w:w="1037" w:type="pct"/>
          </w:tcPr>
          <w:p w14:paraId="3DDEFCD4"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w:t>
            </w:r>
            <w:proofErr w:type="spellStart"/>
            <w:r w:rsidRPr="000F542E">
              <w:rPr>
                <w:rFonts w:ascii="Arial" w:hAnsi="Arial" w:cs="Arial"/>
                <w:sz w:val="18"/>
                <w:szCs w:val="18"/>
              </w:rPr>
              <w:t>Egram</w:t>
            </w:r>
            <w:proofErr w:type="spellEnd"/>
            <w:r w:rsidRPr="000F542E">
              <w:rPr>
                <w:rFonts w:ascii="Arial" w:hAnsi="Arial" w:cs="Arial"/>
                <w:sz w:val="18"/>
                <w:szCs w:val="18"/>
              </w:rPr>
              <w:t xml:space="preserve"> Mengesha</w:t>
            </w:r>
          </w:p>
        </w:tc>
        <w:tc>
          <w:tcPr>
            <w:tcW w:w="443" w:type="pct"/>
          </w:tcPr>
          <w:p w14:paraId="2E9637E5"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53EB0EBA"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OFAG ISS D. director</w:t>
            </w:r>
          </w:p>
        </w:tc>
      </w:tr>
      <w:tr w:rsidR="00232514" w:rsidRPr="000F542E" w14:paraId="0F3B6F66" w14:textId="77777777" w:rsidTr="00DC1475">
        <w:tc>
          <w:tcPr>
            <w:tcW w:w="333" w:type="pct"/>
          </w:tcPr>
          <w:p w14:paraId="64F6AD28" w14:textId="77777777" w:rsidR="00232514" w:rsidRPr="000F542E" w:rsidRDefault="00232514" w:rsidP="00DC1475">
            <w:pPr>
              <w:jc w:val="both"/>
              <w:rPr>
                <w:rFonts w:ascii="Arial" w:hAnsi="Arial" w:cs="Arial"/>
                <w:sz w:val="18"/>
                <w:szCs w:val="18"/>
              </w:rPr>
            </w:pPr>
            <w:r>
              <w:rPr>
                <w:rFonts w:ascii="Arial" w:hAnsi="Arial" w:cs="Arial"/>
                <w:sz w:val="18"/>
                <w:szCs w:val="18"/>
              </w:rPr>
              <w:t>56</w:t>
            </w:r>
          </w:p>
        </w:tc>
        <w:tc>
          <w:tcPr>
            <w:tcW w:w="1037" w:type="pct"/>
          </w:tcPr>
          <w:p w14:paraId="665DCAD8"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Berhanu </w:t>
            </w:r>
            <w:proofErr w:type="spellStart"/>
            <w:r w:rsidRPr="000F542E">
              <w:rPr>
                <w:rFonts w:ascii="Arial" w:hAnsi="Arial" w:cs="Arial"/>
                <w:sz w:val="18"/>
                <w:szCs w:val="18"/>
              </w:rPr>
              <w:t>Asaye</w:t>
            </w:r>
            <w:proofErr w:type="spellEnd"/>
          </w:p>
        </w:tc>
        <w:tc>
          <w:tcPr>
            <w:tcW w:w="443" w:type="pct"/>
          </w:tcPr>
          <w:p w14:paraId="373BAF37"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07BD964B"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OFAG FPPA Directorate Director</w:t>
            </w:r>
          </w:p>
        </w:tc>
      </w:tr>
      <w:tr w:rsidR="00232514" w:rsidRPr="000F542E" w14:paraId="3F948037" w14:textId="77777777" w:rsidTr="00DC1475">
        <w:tc>
          <w:tcPr>
            <w:tcW w:w="333" w:type="pct"/>
          </w:tcPr>
          <w:p w14:paraId="762D5FB6" w14:textId="77777777" w:rsidR="00232514" w:rsidRPr="000F542E" w:rsidRDefault="00232514" w:rsidP="00DC1475">
            <w:pPr>
              <w:jc w:val="both"/>
              <w:rPr>
                <w:rFonts w:ascii="Arial" w:hAnsi="Arial" w:cs="Arial"/>
                <w:sz w:val="18"/>
                <w:szCs w:val="18"/>
              </w:rPr>
            </w:pPr>
            <w:r>
              <w:rPr>
                <w:rFonts w:ascii="Arial" w:hAnsi="Arial" w:cs="Arial"/>
                <w:sz w:val="18"/>
                <w:szCs w:val="18"/>
              </w:rPr>
              <w:t>57</w:t>
            </w:r>
          </w:p>
        </w:tc>
        <w:tc>
          <w:tcPr>
            <w:tcW w:w="1037" w:type="pct"/>
          </w:tcPr>
          <w:p w14:paraId="45BDCA25"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Mrs. Meseret Tsegaye</w:t>
            </w:r>
          </w:p>
        </w:tc>
        <w:tc>
          <w:tcPr>
            <w:tcW w:w="443" w:type="pct"/>
          </w:tcPr>
          <w:p w14:paraId="1D00BF31"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Female</w:t>
            </w:r>
          </w:p>
        </w:tc>
        <w:tc>
          <w:tcPr>
            <w:tcW w:w="3187" w:type="pct"/>
          </w:tcPr>
          <w:p w14:paraId="40B374CC"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OFAG Senior Finance Officer</w:t>
            </w:r>
          </w:p>
        </w:tc>
      </w:tr>
      <w:tr w:rsidR="00232514" w:rsidRPr="000F542E" w14:paraId="79E2CAB0" w14:textId="77777777" w:rsidTr="00DC1475">
        <w:tc>
          <w:tcPr>
            <w:tcW w:w="333" w:type="pct"/>
          </w:tcPr>
          <w:p w14:paraId="3F078A1C" w14:textId="77777777" w:rsidR="00232514" w:rsidRPr="000F542E" w:rsidRDefault="00232514" w:rsidP="00DC1475">
            <w:pPr>
              <w:jc w:val="both"/>
              <w:rPr>
                <w:rFonts w:ascii="Arial" w:hAnsi="Arial" w:cs="Arial"/>
                <w:sz w:val="18"/>
                <w:szCs w:val="18"/>
              </w:rPr>
            </w:pPr>
            <w:r>
              <w:rPr>
                <w:rFonts w:ascii="Arial" w:hAnsi="Arial" w:cs="Arial"/>
                <w:sz w:val="18"/>
                <w:szCs w:val="18"/>
              </w:rPr>
              <w:t>58</w:t>
            </w:r>
          </w:p>
        </w:tc>
        <w:tc>
          <w:tcPr>
            <w:tcW w:w="1037" w:type="pct"/>
          </w:tcPr>
          <w:p w14:paraId="1F4A1CA1"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Mrs. Asma Redi</w:t>
            </w:r>
          </w:p>
        </w:tc>
        <w:tc>
          <w:tcPr>
            <w:tcW w:w="443" w:type="pct"/>
          </w:tcPr>
          <w:p w14:paraId="793918C3"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Female</w:t>
            </w:r>
          </w:p>
        </w:tc>
        <w:tc>
          <w:tcPr>
            <w:tcW w:w="3187" w:type="pct"/>
          </w:tcPr>
          <w:p w14:paraId="1E77ED99" w14:textId="6154D68F"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GDPP </w:t>
            </w:r>
            <w:r w:rsidR="00682933">
              <w:rPr>
                <w:rFonts w:ascii="Arial" w:hAnsi="Arial" w:cs="Arial"/>
                <w:sz w:val="18"/>
                <w:szCs w:val="18"/>
              </w:rPr>
              <w:t xml:space="preserve">IP assigned </w:t>
            </w:r>
            <w:r w:rsidRPr="000F542E">
              <w:rPr>
                <w:rFonts w:ascii="Arial" w:hAnsi="Arial" w:cs="Arial"/>
                <w:sz w:val="18"/>
                <w:szCs w:val="18"/>
              </w:rPr>
              <w:t>Focal Person</w:t>
            </w:r>
            <w:r>
              <w:rPr>
                <w:rFonts w:ascii="Arial" w:hAnsi="Arial" w:cs="Arial"/>
                <w:sz w:val="18"/>
                <w:szCs w:val="18"/>
              </w:rPr>
              <w:t>;</w:t>
            </w:r>
            <w:r w:rsidRPr="000F542E">
              <w:rPr>
                <w:rFonts w:ascii="Arial" w:hAnsi="Arial" w:cs="Arial"/>
                <w:sz w:val="18"/>
                <w:szCs w:val="18"/>
              </w:rPr>
              <w:t xml:space="preserve"> and </w:t>
            </w:r>
            <w:r>
              <w:rPr>
                <w:rFonts w:ascii="Arial" w:hAnsi="Arial" w:cs="Arial"/>
                <w:sz w:val="18"/>
                <w:szCs w:val="18"/>
              </w:rPr>
              <w:t>PB</w:t>
            </w:r>
            <w:r w:rsidRPr="000F542E">
              <w:rPr>
                <w:rFonts w:ascii="Arial" w:hAnsi="Arial" w:cs="Arial"/>
                <w:sz w:val="18"/>
                <w:szCs w:val="18"/>
              </w:rPr>
              <w:t xml:space="preserve"> directorate director general</w:t>
            </w:r>
          </w:p>
        </w:tc>
      </w:tr>
      <w:tr w:rsidR="00232514" w:rsidRPr="000F542E" w14:paraId="42C53E1F" w14:textId="77777777" w:rsidTr="00DC1475">
        <w:tc>
          <w:tcPr>
            <w:tcW w:w="333" w:type="pct"/>
          </w:tcPr>
          <w:p w14:paraId="0C86C66A" w14:textId="77777777" w:rsidR="00232514" w:rsidRPr="000F542E" w:rsidRDefault="00232514" w:rsidP="00DC1475">
            <w:pPr>
              <w:jc w:val="both"/>
              <w:rPr>
                <w:rFonts w:ascii="Arial" w:hAnsi="Arial" w:cs="Arial"/>
                <w:sz w:val="18"/>
                <w:szCs w:val="18"/>
              </w:rPr>
            </w:pPr>
            <w:r>
              <w:rPr>
                <w:rFonts w:ascii="Arial" w:hAnsi="Arial" w:cs="Arial"/>
                <w:sz w:val="18"/>
                <w:szCs w:val="18"/>
              </w:rPr>
              <w:t>59</w:t>
            </w:r>
          </w:p>
        </w:tc>
        <w:tc>
          <w:tcPr>
            <w:tcW w:w="1037" w:type="pct"/>
          </w:tcPr>
          <w:p w14:paraId="29768961"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Taye </w:t>
            </w:r>
            <w:proofErr w:type="spellStart"/>
            <w:r w:rsidRPr="000F542E">
              <w:rPr>
                <w:rFonts w:ascii="Arial" w:hAnsi="Arial" w:cs="Arial"/>
                <w:sz w:val="18"/>
                <w:szCs w:val="18"/>
              </w:rPr>
              <w:t>Dandaea</w:t>
            </w:r>
            <w:proofErr w:type="spellEnd"/>
          </w:p>
        </w:tc>
        <w:tc>
          <w:tcPr>
            <w:tcW w:w="443" w:type="pct"/>
          </w:tcPr>
          <w:p w14:paraId="438122E8"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4C2501DC" w14:textId="03CDEFEB" w:rsidR="00232514" w:rsidRPr="000F542E" w:rsidRDefault="00682933" w:rsidP="00DC1475">
            <w:pPr>
              <w:jc w:val="both"/>
              <w:rPr>
                <w:rFonts w:ascii="Arial" w:hAnsi="Arial" w:cs="Arial"/>
                <w:sz w:val="18"/>
                <w:szCs w:val="18"/>
              </w:rPr>
            </w:pPr>
            <w:r>
              <w:rPr>
                <w:rFonts w:ascii="Arial" w:hAnsi="Arial" w:cs="Arial"/>
                <w:sz w:val="18"/>
                <w:szCs w:val="18"/>
              </w:rPr>
              <w:t>S</w:t>
            </w:r>
            <w:r w:rsidR="00232514" w:rsidRPr="000F542E">
              <w:rPr>
                <w:rFonts w:ascii="Arial" w:hAnsi="Arial" w:cs="Arial"/>
                <w:sz w:val="18"/>
                <w:szCs w:val="18"/>
              </w:rPr>
              <w:t xml:space="preserve">tate </w:t>
            </w:r>
            <w:r>
              <w:rPr>
                <w:rFonts w:ascii="Arial" w:hAnsi="Arial" w:cs="Arial"/>
                <w:sz w:val="18"/>
                <w:szCs w:val="18"/>
              </w:rPr>
              <w:t>M</w:t>
            </w:r>
            <w:r w:rsidR="00232514" w:rsidRPr="000F542E">
              <w:rPr>
                <w:rFonts w:ascii="Arial" w:hAnsi="Arial" w:cs="Arial"/>
                <w:sz w:val="18"/>
                <w:szCs w:val="18"/>
              </w:rPr>
              <w:t>inister, PB and National Consensus</w:t>
            </w:r>
          </w:p>
        </w:tc>
      </w:tr>
      <w:tr w:rsidR="00232514" w:rsidRPr="000F542E" w14:paraId="41AD075A" w14:textId="77777777" w:rsidTr="00DC1475">
        <w:tc>
          <w:tcPr>
            <w:tcW w:w="333" w:type="pct"/>
          </w:tcPr>
          <w:p w14:paraId="23ED0600" w14:textId="77777777" w:rsidR="00232514" w:rsidRPr="000F542E" w:rsidRDefault="00232514" w:rsidP="00DC1475">
            <w:pPr>
              <w:jc w:val="both"/>
              <w:rPr>
                <w:rFonts w:ascii="Arial" w:hAnsi="Arial" w:cs="Arial"/>
                <w:sz w:val="18"/>
                <w:szCs w:val="18"/>
              </w:rPr>
            </w:pPr>
            <w:r>
              <w:rPr>
                <w:rFonts w:ascii="Arial" w:hAnsi="Arial" w:cs="Arial"/>
                <w:sz w:val="18"/>
                <w:szCs w:val="18"/>
              </w:rPr>
              <w:t>60</w:t>
            </w:r>
          </w:p>
        </w:tc>
        <w:tc>
          <w:tcPr>
            <w:tcW w:w="1037" w:type="pct"/>
          </w:tcPr>
          <w:p w14:paraId="570C0690"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w:t>
            </w:r>
            <w:proofErr w:type="spellStart"/>
            <w:r w:rsidRPr="000F542E">
              <w:rPr>
                <w:rFonts w:ascii="Arial" w:hAnsi="Arial" w:cs="Arial"/>
                <w:sz w:val="18"/>
                <w:szCs w:val="18"/>
              </w:rPr>
              <w:t>Lema</w:t>
            </w:r>
            <w:proofErr w:type="spellEnd"/>
            <w:r w:rsidRPr="000F542E">
              <w:rPr>
                <w:rFonts w:ascii="Arial" w:hAnsi="Arial" w:cs="Arial"/>
                <w:sz w:val="18"/>
                <w:szCs w:val="18"/>
              </w:rPr>
              <w:t xml:space="preserve"> </w:t>
            </w:r>
            <w:proofErr w:type="spellStart"/>
            <w:r w:rsidRPr="000F542E">
              <w:rPr>
                <w:rFonts w:ascii="Arial" w:hAnsi="Arial" w:cs="Arial"/>
                <w:sz w:val="18"/>
                <w:szCs w:val="18"/>
              </w:rPr>
              <w:t>Gezume</w:t>
            </w:r>
            <w:proofErr w:type="spellEnd"/>
            <w:r w:rsidRPr="000F542E">
              <w:rPr>
                <w:rFonts w:ascii="Arial" w:hAnsi="Arial" w:cs="Arial"/>
                <w:sz w:val="18"/>
                <w:szCs w:val="18"/>
              </w:rPr>
              <w:t>, HE</w:t>
            </w:r>
          </w:p>
        </w:tc>
        <w:tc>
          <w:tcPr>
            <w:tcW w:w="443" w:type="pct"/>
          </w:tcPr>
          <w:p w14:paraId="0364B6FB"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49CC678A"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SNNPR, </w:t>
            </w:r>
            <w:proofErr w:type="spellStart"/>
            <w:r w:rsidRPr="000F542E">
              <w:rPr>
                <w:rFonts w:ascii="Arial" w:hAnsi="Arial" w:cs="Arial"/>
                <w:sz w:val="18"/>
                <w:szCs w:val="18"/>
              </w:rPr>
              <w:t>CoNN</w:t>
            </w:r>
            <w:proofErr w:type="spellEnd"/>
            <w:r w:rsidRPr="000F542E">
              <w:rPr>
                <w:rFonts w:ascii="Arial" w:hAnsi="Arial" w:cs="Arial"/>
                <w:sz w:val="18"/>
                <w:szCs w:val="18"/>
              </w:rPr>
              <w:t>, Speaker</w:t>
            </w:r>
          </w:p>
        </w:tc>
      </w:tr>
      <w:tr w:rsidR="00232514" w:rsidRPr="000F542E" w14:paraId="77CCD813" w14:textId="77777777" w:rsidTr="00DC1475">
        <w:tc>
          <w:tcPr>
            <w:tcW w:w="333" w:type="pct"/>
          </w:tcPr>
          <w:p w14:paraId="25FFE8F4" w14:textId="77777777" w:rsidR="00232514" w:rsidRPr="000F542E" w:rsidRDefault="00232514" w:rsidP="00DC1475">
            <w:pPr>
              <w:jc w:val="both"/>
              <w:rPr>
                <w:rFonts w:ascii="Arial" w:hAnsi="Arial" w:cs="Arial"/>
                <w:sz w:val="18"/>
                <w:szCs w:val="18"/>
              </w:rPr>
            </w:pPr>
            <w:r>
              <w:rPr>
                <w:rFonts w:ascii="Arial" w:hAnsi="Arial" w:cs="Arial"/>
                <w:sz w:val="18"/>
                <w:szCs w:val="18"/>
              </w:rPr>
              <w:t>61</w:t>
            </w:r>
          </w:p>
        </w:tc>
        <w:tc>
          <w:tcPr>
            <w:tcW w:w="1037" w:type="pct"/>
          </w:tcPr>
          <w:p w14:paraId="6598A9A3"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Zeleke </w:t>
            </w:r>
            <w:proofErr w:type="spellStart"/>
            <w:r w:rsidRPr="000F542E">
              <w:rPr>
                <w:rFonts w:ascii="Arial" w:hAnsi="Arial" w:cs="Arial"/>
                <w:sz w:val="18"/>
                <w:szCs w:val="18"/>
              </w:rPr>
              <w:t>Belayneh</w:t>
            </w:r>
            <w:proofErr w:type="spellEnd"/>
          </w:p>
        </w:tc>
        <w:tc>
          <w:tcPr>
            <w:tcW w:w="443" w:type="pct"/>
          </w:tcPr>
          <w:p w14:paraId="2CB0B99E"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12CDAF5A"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SNNPR, Former </w:t>
            </w:r>
            <w:proofErr w:type="spellStart"/>
            <w:r w:rsidRPr="000F542E">
              <w:rPr>
                <w:rFonts w:ascii="Arial" w:hAnsi="Arial" w:cs="Arial"/>
                <w:sz w:val="18"/>
                <w:szCs w:val="18"/>
              </w:rPr>
              <w:t>CoNN</w:t>
            </w:r>
            <w:proofErr w:type="spellEnd"/>
            <w:r w:rsidRPr="000F542E">
              <w:rPr>
                <w:rFonts w:ascii="Arial" w:hAnsi="Arial" w:cs="Arial"/>
                <w:sz w:val="18"/>
                <w:szCs w:val="18"/>
              </w:rPr>
              <w:t xml:space="preserve"> PB&amp;CR Director</w:t>
            </w:r>
          </w:p>
        </w:tc>
      </w:tr>
      <w:tr w:rsidR="00232514" w:rsidRPr="000F542E" w14:paraId="63E82FD6" w14:textId="77777777" w:rsidTr="00DC1475">
        <w:tc>
          <w:tcPr>
            <w:tcW w:w="333" w:type="pct"/>
          </w:tcPr>
          <w:p w14:paraId="088A3C94" w14:textId="77777777" w:rsidR="00232514" w:rsidRPr="000F542E" w:rsidRDefault="00232514" w:rsidP="00DC1475">
            <w:pPr>
              <w:jc w:val="both"/>
              <w:rPr>
                <w:rFonts w:ascii="Arial" w:hAnsi="Arial" w:cs="Arial"/>
                <w:sz w:val="18"/>
                <w:szCs w:val="18"/>
              </w:rPr>
            </w:pPr>
            <w:r>
              <w:rPr>
                <w:rFonts w:ascii="Arial" w:hAnsi="Arial" w:cs="Arial"/>
                <w:sz w:val="18"/>
                <w:szCs w:val="18"/>
              </w:rPr>
              <w:t>62</w:t>
            </w:r>
          </w:p>
        </w:tc>
        <w:tc>
          <w:tcPr>
            <w:tcW w:w="1037" w:type="pct"/>
          </w:tcPr>
          <w:p w14:paraId="3A42ADFE"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Alemu </w:t>
            </w:r>
            <w:proofErr w:type="spellStart"/>
            <w:r w:rsidRPr="000F542E">
              <w:rPr>
                <w:rFonts w:ascii="Arial" w:hAnsi="Arial" w:cs="Arial"/>
                <w:sz w:val="18"/>
                <w:szCs w:val="18"/>
              </w:rPr>
              <w:t>Marlos</w:t>
            </w:r>
            <w:proofErr w:type="spellEnd"/>
          </w:p>
        </w:tc>
        <w:tc>
          <w:tcPr>
            <w:tcW w:w="443" w:type="pct"/>
          </w:tcPr>
          <w:p w14:paraId="2B19B3E7"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14177B77"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SNNPR, </w:t>
            </w:r>
            <w:proofErr w:type="spellStart"/>
            <w:r w:rsidRPr="000F542E">
              <w:rPr>
                <w:rFonts w:ascii="Arial" w:hAnsi="Arial" w:cs="Arial"/>
                <w:sz w:val="18"/>
                <w:szCs w:val="18"/>
              </w:rPr>
              <w:t>CoNN</w:t>
            </w:r>
            <w:proofErr w:type="spellEnd"/>
            <w:r w:rsidRPr="000F542E">
              <w:rPr>
                <w:rFonts w:ascii="Arial" w:hAnsi="Arial" w:cs="Arial"/>
                <w:sz w:val="18"/>
                <w:szCs w:val="18"/>
              </w:rPr>
              <w:t xml:space="preserve"> PB&amp;CR Director</w:t>
            </w:r>
          </w:p>
        </w:tc>
      </w:tr>
      <w:tr w:rsidR="00232514" w:rsidRPr="000F542E" w14:paraId="04550266" w14:textId="77777777" w:rsidTr="00DC1475">
        <w:tc>
          <w:tcPr>
            <w:tcW w:w="333" w:type="pct"/>
          </w:tcPr>
          <w:p w14:paraId="5D801A01" w14:textId="77777777" w:rsidR="00232514" w:rsidRPr="000F542E" w:rsidRDefault="00232514" w:rsidP="00DC1475">
            <w:pPr>
              <w:jc w:val="both"/>
              <w:rPr>
                <w:rFonts w:ascii="Arial" w:hAnsi="Arial" w:cs="Arial"/>
                <w:sz w:val="18"/>
                <w:szCs w:val="18"/>
              </w:rPr>
            </w:pPr>
            <w:r>
              <w:rPr>
                <w:rFonts w:ascii="Arial" w:hAnsi="Arial" w:cs="Arial"/>
                <w:sz w:val="18"/>
                <w:szCs w:val="18"/>
              </w:rPr>
              <w:t>63</w:t>
            </w:r>
          </w:p>
        </w:tc>
        <w:tc>
          <w:tcPr>
            <w:tcW w:w="1037" w:type="pct"/>
          </w:tcPr>
          <w:p w14:paraId="16727C78"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w:t>
            </w:r>
            <w:proofErr w:type="spellStart"/>
            <w:r w:rsidRPr="000F542E">
              <w:rPr>
                <w:rFonts w:ascii="Arial" w:hAnsi="Arial" w:cs="Arial"/>
                <w:sz w:val="18"/>
                <w:szCs w:val="18"/>
              </w:rPr>
              <w:t>Firew</w:t>
            </w:r>
            <w:proofErr w:type="spellEnd"/>
            <w:r w:rsidRPr="000F542E">
              <w:rPr>
                <w:rFonts w:ascii="Arial" w:hAnsi="Arial" w:cs="Arial"/>
                <w:sz w:val="18"/>
                <w:szCs w:val="18"/>
              </w:rPr>
              <w:t xml:space="preserve"> Bekele</w:t>
            </w:r>
          </w:p>
        </w:tc>
        <w:tc>
          <w:tcPr>
            <w:tcW w:w="443" w:type="pct"/>
          </w:tcPr>
          <w:p w14:paraId="411DD4D8"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307B46B9"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SNNPR NEBE Branch Head</w:t>
            </w:r>
          </w:p>
        </w:tc>
      </w:tr>
      <w:tr w:rsidR="00232514" w:rsidRPr="000F542E" w14:paraId="262B7182" w14:textId="77777777" w:rsidTr="00DC1475">
        <w:tc>
          <w:tcPr>
            <w:tcW w:w="333" w:type="pct"/>
          </w:tcPr>
          <w:p w14:paraId="4C49B8B4" w14:textId="77777777" w:rsidR="00232514" w:rsidRPr="000F542E" w:rsidRDefault="00232514" w:rsidP="00DC1475">
            <w:pPr>
              <w:jc w:val="both"/>
              <w:rPr>
                <w:rFonts w:ascii="Arial" w:hAnsi="Arial" w:cs="Arial"/>
                <w:sz w:val="18"/>
                <w:szCs w:val="18"/>
              </w:rPr>
            </w:pPr>
            <w:r>
              <w:rPr>
                <w:rFonts w:ascii="Arial" w:hAnsi="Arial" w:cs="Arial"/>
                <w:sz w:val="18"/>
                <w:szCs w:val="18"/>
              </w:rPr>
              <w:t>64</w:t>
            </w:r>
          </w:p>
        </w:tc>
        <w:tc>
          <w:tcPr>
            <w:tcW w:w="1037" w:type="pct"/>
          </w:tcPr>
          <w:p w14:paraId="433FAD54"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 Solomon Tsegaye</w:t>
            </w:r>
          </w:p>
        </w:tc>
        <w:tc>
          <w:tcPr>
            <w:tcW w:w="443" w:type="pct"/>
          </w:tcPr>
          <w:p w14:paraId="7CE9447B"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1BF52224"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SNNPR NEBE Branch Proc. &amp; Property Head</w:t>
            </w:r>
          </w:p>
        </w:tc>
      </w:tr>
      <w:tr w:rsidR="00232514" w:rsidRPr="000F542E" w14:paraId="7EE80BD0" w14:textId="77777777" w:rsidTr="00DC1475">
        <w:tc>
          <w:tcPr>
            <w:tcW w:w="333" w:type="pct"/>
          </w:tcPr>
          <w:p w14:paraId="6BAE4511" w14:textId="77777777" w:rsidR="00232514" w:rsidRPr="000F542E" w:rsidRDefault="00232514" w:rsidP="00DC1475">
            <w:pPr>
              <w:jc w:val="both"/>
              <w:rPr>
                <w:rFonts w:ascii="Arial" w:hAnsi="Arial" w:cs="Arial"/>
                <w:sz w:val="18"/>
                <w:szCs w:val="18"/>
              </w:rPr>
            </w:pPr>
            <w:r>
              <w:rPr>
                <w:rFonts w:ascii="Arial" w:hAnsi="Arial" w:cs="Arial"/>
                <w:sz w:val="18"/>
                <w:szCs w:val="18"/>
              </w:rPr>
              <w:t>65</w:t>
            </w:r>
          </w:p>
        </w:tc>
        <w:tc>
          <w:tcPr>
            <w:tcW w:w="1037" w:type="pct"/>
          </w:tcPr>
          <w:p w14:paraId="179C89E6"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Getahun </w:t>
            </w:r>
            <w:proofErr w:type="spellStart"/>
            <w:r w:rsidRPr="000F542E">
              <w:rPr>
                <w:rFonts w:ascii="Arial" w:hAnsi="Arial" w:cs="Arial"/>
                <w:sz w:val="18"/>
                <w:szCs w:val="18"/>
              </w:rPr>
              <w:t>Lakew</w:t>
            </w:r>
            <w:proofErr w:type="spellEnd"/>
          </w:p>
        </w:tc>
        <w:tc>
          <w:tcPr>
            <w:tcW w:w="443" w:type="pct"/>
          </w:tcPr>
          <w:p w14:paraId="6B63059C"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50DB0F55"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SNNPR NEBE Branch Finance Head</w:t>
            </w:r>
          </w:p>
        </w:tc>
      </w:tr>
      <w:tr w:rsidR="00232514" w:rsidRPr="000F542E" w14:paraId="06280623" w14:textId="77777777" w:rsidTr="00DC1475">
        <w:tc>
          <w:tcPr>
            <w:tcW w:w="333" w:type="pct"/>
          </w:tcPr>
          <w:p w14:paraId="271A25E5" w14:textId="77777777" w:rsidR="00232514" w:rsidRPr="000F542E" w:rsidRDefault="00232514" w:rsidP="00DC1475">
            <w:pPr>
              <w:jc w:val="both"/>
              <w:rPr>
                <w:rFonts w:ascii="Arial" w:hAnsi="Arial" w:cs="Arial"/>
                <w:sz w:val="18"/>
                <w:szCs w:val="18"/>
              </w:rPr>
            </w:pPr>
            <w:r>
              <w:rPr>
                <w:rFonts w:ascii="Arial" w:hAnsi="Arial" w:cs="Arial"/>
                <w:sz w:val="18"/>
                <w:szCs w:val="18"/>
              </w:rPr>
              <w:t>66</w:t>
            </w:r>
          </w:p>
        </w:tc>
        <w:tc>
          <w:tcPr>
            <w:tcW w:w="1037" w:type="pct"/>
          </w:tcPr>
          <w:p w14:paraId="312C9B6F"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Samuel </w:t>
            </w:r>
            <w:proofErr w:type="spellStart"/>
            <w:r w:rsidRPr="000F542E">
              <w:rPr>
                <w:rFonts w:ascii="Arial" w:hAnsi="Arial" w:cs="Arial"/>
                <w:sz w:val="18"/>
                <w:szCs w:val="18"/>
              </w:rPr>
              <w:t>Kukisa</w:t>
            </w:r>
            <w:proofErr w:type="spellEnd"/>
          </w:p>
        </w:tc>
        <w:tc>
          <w:tcPr>
            <w:tcW w:w="443" w:type="pct"/>
          </w:tcPr>
          <w:p w14:paraId="1753B19E"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00D1A809"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SNNPR EIO Branch Finance Head</w:t>
            </w:r>
          </w:p>
        </w:tc>
      </w:tr>
      <w:tr w:rsidR="00232514" w:rsidRPr="000F542E" w14:paraId="6726AA25" w14:textId="77777777" w:rsidTr="00DC1475">
        <w:tc>
          <w:tcPr>
            <w:tcW w:w="333" w:type="pct"/>
          </w:tcPr>
          <w:p w14:paraId="48802E47" w14:textId="77777777" w:rsidR="00232514" w:rsidRPr="000F542E" w:rsidRDefault="00232514" w:rsidP="00DC1475">
            <w:pPr>
              <w:jc w:val="both"/>
              <w:rPr>
                <w:rFonts w:ascii="Arial" w:hAnsi="Arial" w:cs="Arial"/>
                <w:sz w:val="18"/>
                <w:szCs w:val="18"/>
              </w:rPr>
            </w:pPr>
            <w:r>
              <w:rPr>
                <w:rFonts w:ascii="Arial" w:hAnsi="Arial" w:cs="Arial"/>
                <w:sz w:val="18"/>
                <w:szCs w:val="18"/>
              </w:rPr>
              <w:t>67</w:t>
            </w:r>
          </w:p>
        </w:tc>
        <w:tc>
          <w:tcPr>
            <w:tcW w:w="1037" w:type="pct"/>
          </w:tcPr>
          <w:p w14:paraId="787C3CA7"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 Habtamu Korma</w:t>
            </w:r>
          </w:p>
        </w:tc>
        <w:tc>
          <w:tcPr>
            <w:tcW w:w="443" w:type="pct"/>
          </w:tcPr>
          <w:p w14:paraId="512FD1F8"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32970850"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SNNP RC PB &amp; CR Directorate Director</w:t>
            </w:r>
          </w:p>
        </w:tc>
      </w:tr>
      <w:tr w:rsidR="00232514" w:rsidRPr="000F542E" w14:paraId="61C7EFC6" w14:textId="77777777" w:rsidTr="00DC1475">
        <w:tc>
          <w:tcPr>
            <w:tcW w:w="333" w:type="pct"/>
          </w:tcPr>
          <w:p w14:paraId="515A396A" w14:textId="77777777" w:rsidR="00232514" w:rsidRPr="000F542E" w:rsidRDefault="00232514" w:rsidP="00DC1475">
            <w:pPr>
              <w:jc w:val="both"/>
              <w:rPr>
                <w:rFonts w:ascii="Arial" w:hAnsi="Arial" w:cs="Arial"/>
                <w:sz w:val="18"/>
                <w:szCs w:val="18"/>
              </w:rPr>
            </w:pPr>
            <w:r>
              <w:rPr>
                <w:rFonts w:ascii="Arial" w:hAnsi="Arial" w:cs="Arial"/>
                <w:sz w:val="18"/>
                <w:szCs w:val="18"/>
              </w:rPr>
              <w:t>68</w:t>
            </w:r>
          </w:p>
        </w:tc>
        <w:tc>
          <w:tcPr>
            <w:tcW w:w="1037" w:type="pct"/>
          </w:tcPr>
          <w:p w14:paraId="0D596789"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w:t>
            </w:r>
            <w:proofErr w:type="spellStart"/>
            <w:r w:rsidRPr="000F542E">
              <w:rPr>
                <w:rFonts w:ascii="Arial" w:hAnsi="Arial" w:cs="Arial"/>
                <w:sz w:val="18"/>
                <w:szCs w:val="18"/>
              </w:rPr>
              <w:t>Sofonias</w:t>
            </w:r>
            <w:proofErr w:type="spellEnd"/>
            <w:r w:rsidRPr="000F542E">
              <w:rPr>
                <w:rFonts w:ascii="Arial" w:hAnsi="Arial" w:cs="Arial"/>
                <w:sz w:val="18"/>
                <w:szCs w:val="18"/>
              </w:rPr>
              <w:t xml:space="preserve"> Desta</w:t>
            </w:r>
          </w:p>
        </w:tc>
        <w:tc>
          <w:tcPr>
            <w:tcW w:w="443" w:type="pct"/>
          </w:tcPr>
          <w:p w14:paraId="39E5A5F2"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3A1C1114"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SNNPR Deputy Attorney General</w:t>
            </w:r>
          </w:p>
        </w:tc>
      </w:tr>
      <w:tr w:rsidR="00232514" w:rsidRPr="000F542E" w14:paraId="025B4DB4" w14:textId="77777777" w:rsidTr="00DC1475">
        <w:tc>
          <w:tcPr>
            <w:tcW w:w="333" w:type="pct"/>
          </w:tcPr>
          <w:p w14:paraId="4E467205" w14:textId="77777777" w:rsidR="00232514" w:rsidRPr="000F542E" w:rsidRDefault="00232514" w:rsidP="00DC1475">
            <w:pPr>
              <w:jc w:val="both"/>
              <w:rPr>
                <w:rFonts w:ascii="Arial" w:hAnsi="Arial" w:cs="Arial"/>
                <w:sz w:val="18"/>
                <w:szCs w:val="18"/>
              </w:rPr>
            </w:pPr>
            <w:r>
              <w:rPr>
                <w:rFonts w:ascii="Arial" w:hAnsi="Arial" w:cs="Arial"/>
                <w:sz w:val="18"/>
                <w:szCs w:val="18"/>
              </w:rPr>
              <w:t>69</w:t>
            </w:r>
          </w:p>
        </w:tc>
        <w:tc>
          <w:tcPr>
            <w:tcW w:w="1037" w:type="pct"/>
          </w:tcPr>
          <w:p w14:paraId="7F9103A7"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Mr. </w:t>
            </w:r>
            <w:proofErr w:type="spellStart"/>
            <w:r w:rsidRPr="000F542E">
              <w:rPr>
                <w:rFonts w:ascii="Arial" w:hAnsi="Arial" w:cs="Arial"/>
                <w:sz w:val="18"/>
                <w:szCs w:val="18"/>
              </w:rPr>
              <w:t>Abaineh</w:t>
            </w:r>
            <w:proofErr w:type="spellEnd"/>
            <w:r w:rsidRPr="000F542E">
              <w:rPr>
                <w:rFonts w:ascii="Arial" w:hAnsi="Arial" w:cs="Arial"/>
                <w:sz w:val="18"/>
                <w:szCs w:val="18"/>
              </w:rPr>
              <w:t xml:space="preserve"> </w:t>
            </w:r>
            <w:proofErr w:type="spellStart"/>
            <w:r w:rsidRPr="000F542E">
              <w:rPr>
                <w:rFonts w:ascii="Arial" w:hAnsi="Arial" w:cs="Arial"/>
                <w:sz w:val="18"/>
                <w:szCs w:val="18"/>
              </w:rPr>
              <w:t>Achula</w:t>
            </w:r>
            <w:proofErr w:type="spellEnd"/>
          </w:p>
        </w:tc>
        <w:tc>
          <w:tcPr>
            <w:tcW w:w="443" w:type="pct"/>
          </w:tcPr>
          <w:p w14:paraId="794615B3"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10BB73EF"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SNNPR Deputy Auditor General</w:t>
            </w:r>
          </w:p>
        </w:tc>
      </w:tr>
      <w:tr w:rsidR="00232514" w:rsidRPr="000F542E" w14:paraId="0FF41F85" w14:textId="77777777" w:rsidTr="00DC1475">
        <w:tc>
          <w:tcPr>
            <w:tcW w:w="333" w:type="pct"/>
          </w:tcPr>
          <w:p w14:paraId="03C09683" w14:textId="77777777" w:rsidR="00232514" w:rsidRPr="000F542E" w:rsidRDefault="00232514" w:rsidP="00DC1475">
            <w:pPr>
              <w:jc w:val="both"/>
              <w:rPr>
                <w:rFonts w:ascii="Arial" w:hAnsi="Arial" w:cs="Arial"/>
                <w:sz w:val="18"/>
                <w:szCs w:val="18"/>
              </w:rPr>
            </w:pPr>
            <w:r>
              <w:rPr>
                <w:rFonts w:ascii="Arial" w:hAnsi="Arial" w:cs="Arial"/>
                <w:sz w:val="18"/>
                <w:szCs w:val="18"/>
              </w:rPr>
              <w:t>70</w:t>
            </w:r>
          </w:p>
        </w:tc>
        <w:tc>
          <w:tcPr>
            <w:tcW w:w="1037" w:type="pct"/>
          </w:tcPr>
          <w:p w14:paraId="0E5AC1D6" w14:textId="77777777" w:rsidR="00232514" w:rsidRPr="00352701" w:rsidRDefault="00232514" w:rsidP="00DC1475">
            <w:pPr>
              <w:jc w:val="both"/>
              <w:rPr>
                <w:rFonts w:ascii="Arial" w:hAnsi="Arial" w:cs="Arial"/>
                <w:sz w:val="18"/>
                <w:szCs w:val="18"/>
              </w:rPr>
            </w:pPr>
            <w:r w:rsidRPr="00352701">
              <w:rPr>
                <w:rFonts w:ascii="Arial" w:hAnsi="Arial" w:cs="Arial"/>
                <w:sz w:val="18"/>
                <w:szCs w:val="18"/>
              </w:rPr>
              <w:t>Mr. Fasika Getachew</w:t>
            </w:r>
          </w:p>
        </w:tc>
        <w:tc>
          <w:tcPr>
            <w:tcW w:w="443" w:type="pct"/>
          </w:tcPr>
          <w:p w14:paraId="4ACAF996" w14:textId="77777777" w:rsidR="00232514" w:rsidRPr="00352701" w:rsidRDefault="00232514" w:rsidP="00DC1475">
            <w:pPr>
              <w:jc w:val="both"/>
              <w:rPr>
                <w:rFonts w:ascii="Arial" w:hAnsi="Arial" w:cs="Arial"/>
                <w:sz w:val="18"/>
                <w:szCs w:val="18"/>
              </w:rPr>
            </w:pPr>
            <w:r w:rsidRPr="00352701">
              <w:rPr>
                <w:rFonts w:ascii="Arial" w:hAnsi="Arial" w:cs="Arial"/>
                <w:sz w:val="18"/>
                <w:szCs w:val="18"/>
              </w:rPr>
              <w:t>Male</w:t>
            </w:r>
          </w:p>
        </w:tc>
        <w:tc>
          <w:tcPr>
            <w:tcW w:w="3187" w:type="pct"/>
          </w:tcPr>
          <w:p w14:paraId="67D5CBB0" w14:textId="77777777" w:rsidR="00232514" w:rsidRPr="00352701" w:rsidRDefault="00232514" w:rsidP="00DC1475">
            <w:pPr>
              <w:jc w:val="both"/>
              <w:rPr>
                <w:rFonts w:ascii="Arial" w:hAnsi="Arial" w:cs="Arial"/>
                <w:sz w:val="18"/>
                <w:szCs w:val="18"/>
              </w:rPr>
            </w:pPr>
            <w:r w:rsidRPr="00352701">
              <w:rPr>
                <w:rFonts w:ascii="Arial" w:hAnsi="Arial" w:cs="Arial"/>
                <w:sz w:val="18"/>
                <w:szCs w:val="18"/>
              </w:rPr>
              <w:t>SNNP REACC, Commissioner</w:t>
            </w:r>
          </w:p>
        </w:tc>
      </w:tr>
      <w:tr w:rsidR="00232514" w:rsidRPr="000F542E" w14:paraId="21B287DE" w14:textId="77777777" w:rsidTr="00DC1475">
        <w:tc>
          <w:tcPr>
            <w:tcW w:w="333" w:type="pct"/>
          </w:tcPr>
          <w:p w14:paraId="2369D91B" w14:textId="77777777" w:rsidR="00232514" w:rsidRPr="000F542E" w:rsidRDefault="00232514" w:rsidP="00DC1475">
            <w:pPr>
              <w:jc w:val="both"/>
              <w:rPr>
                <w:rFonts w:ascii="Arial" w:hAnsi="Arial" w:cs="Arial"/>
                <w:sz w:val="18"/>
                <w:szCs w:val="18"/>
              </w:rPr>
            </w:pPr>
            <w:r>
              <w:rPr>
                <w:rFonts w:ascii="Arial" w:hAnsi="Arial" w:cs="Arial"/>
                <w:sz w:val="18"/>
                <w:szCs w:val="18"/>
              </w:rPr>
              <w:t>71</w:t>
            </w:r>
          </w:p>
        </w:tc>
        <w:tc>
          <w:tcPr>
            <w:tcW w:w="1037" w:type="pct"/>
          </w:tcPr>
          <w:p w14:paraId="2EBAA598"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Mr. Asegid Hamza</w:t>
            </w:r>
          </w:p>
        </w:tc>
        <w:tc>
          <w:tcPr>
            <w:tcW w:w="443" w:type="pct"/>
          </w:tcPr>
          <w:p w14:paraId="496F8851"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Male</w:t>
            </w:r>
          </w:p>
        </w:tc>
        <w:tc>
          <w:tcPr>
            <w:tcW w:w="3187" w:type="pct"/>
          </w:tcPr>
          <w:p w14:paraId="56CD6BEF" w14:textId="77777777" w:rsidR="00232514" w:rsidRPr="000F542E" w:rsidRDefault="00232514" w:rsidP="00DC1475">
            <w:pPr>
              <w:jc w:val="both"/>
              <w:rPr>
                <w:rFonts w:ascii="Arial" w:hAnsi="Arial" w:cs="Arial"/>
                <w:sz w:val="18"/>
                <w:szCs w:val="18"/>
              </w:rPr>
            </w:pPr>
            <w:r w:rsidRPr="000F542E">
              <w:rPr>
                <w:rFonts w:ascii="Arial" w:hAnsi="Arial" w:cs="Arial"/>
                <w:sz w:val="18"/>
                <w:szCs w:val="18"/>
              </w:rPr>
              <w:t xml:space="preserve">HU, </w:t>
            </w:r>
            <w:proofErr w:type="gramStart"/>
            <w:r w:rsidRPr="000F542E">
              <w:rPr>
                <w:rFonts w:ascii="Arial" w:hAnsi="Arial" w:cs="Arial"/>
                <w:sz w:val="18"/>
                <w:szCs w:val="18"/>
              </w:rPr>
              <w:t>Journalist</w:t>
            </w:r>
            <w:proofErr w:type="gramEnd"/>
            <w:r w:rsidRPr="000F542E">
              <w:rPr>
                <w:rFonts w:ascii="Arial" w:hAnsi="Arial" w:cs="Arial"/>
                <w:sz w:val="18"/>
                <w:szCs w:val="18"/>
              </w:rPr>
              <w:t xml:space="preserve"> and Information Rights Advocate</w:t>
            </w:r>
          </w:p>
        </w:tc>
      </w:tr>
      <w:tr w:rsidR="00232514" w:rsidRPr="000F542E" w14:paraId="1EB3F9A3" w14:textId="77777777" w:rsidTr="00DC1475">
        <w:tc>
          <w:tcPr>
            <w:tcW w:w="333" w:type="pct"/>
            <w:shd w:val="clear" w:color="auto" w:fill="auto"/>
          </w:tcPr>
          <w:p w14:paraId="59131388"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72</w:t>
            </w:r>
          </w:p>
        </w:tc>
        <w:tc>
          <w:tcPr>
            <w:tcW w:w="1037" w:type="pct"/>
            <w:shd w:val="clear" w:color="auto" w:fill="auto"/>
          </w:tcPr>
          <w:p w14:paraId="4BE137F9"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Afework Fekadu</w:t>
            </w:r>
          </w:p>
        </w:tc>
        <w:tc>
          <w:tcPr>
            <w:tcW w:w="443" w:type="pct"/>
          </w:tcPr>
          <w:p w14:paraId="1A2D370F"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Male</w:t>
            </w:r>
          </w:p>
        </w:tc>
        <w:tc>
          <w:tcPr>
            <w:tcW w:w="3187" w:type="pct"/>
          </w:tcPr>
          <w:p w14:paraId="53A5E7A1"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UNDP, Governance Programme Specialist</w:t>
            </w:r>
          </w:p>
        </w:tc>
      </w:tr>
      <w:tr w:rsidR="00232514" w:rsidRPr="000F542E" w14:paraId="3DA9C791" w14:textId="77777777" w:rsidTr="00DC1475">
        <w:tc>
          <w:tcPr>
            <w:tcW w:w="333" w:type="pct"/>
          </w:tcPr>
          <w:p w14:paraId="797C9623"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73</w:t>
            </w:r>
          </w:p>
        </w:tc>
        <w:tc>
          <w:tcPr>
            <w:tcW w:w="1037" w:type="pct"/>
          </w:tcPr>
          <w:p w14:paraId="3B98B832"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Christophoros Politis</w:t>
            </w:r>
          </w:p>
        </w:tc>
        <w:tc>
          <w:tcPr>
            <w:tcW w:w="443" w:type="pct"/>
          </w:tcPr>
          <w:p w14:paraId="6CDF3D30" w14:textId="77777777" w:rsidR="00232514" w:rsidRPr="00936C44" w:rsidRDefault="00232514" w:rsidP="00DC1475">
            <w:pPr>
              <w:jc w:val="both"/>
              <w:rPr>
                <w:rFonts w:ascii="Arial" w:hAnsi="Arial" w:cs="Arial"/>
                <w:sz w:val="18"/>
                <w:szCs w:val="18"/>
              </w:rPr>
            </w:pPr>
            <w:r>
              <w:rPr>
                <w:rFonts w:ascii="Arial" w:hAnsi="Arial" w:cs="Arial"/>
                <w:sz w:val="18"/>
                <w:szCs w:val="18"/>
              </w:rPr>
              <w:t>Male</w:t>
            </w:r>
          </w:p>
        </w:tc>
        <w:tc>
          <w:tcPr>
            <w:tcW w:w="3187" w:type="pct"/>
          </w:tcPr>
          <w:p w14:paraId="4B3B5146"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UNDP, Former CTA GDPP</w:t>
            </w:r>
          </w:p>
        </w:tc>
      </w:tr>
      <w:tr w:rsidR="00232514" w:rsidRPr="000F542E" w14:paraId="7D22D4C3" w14:textId="77777777" w:rsidTr="00DC1475">
        <w:tc>
          <w:tcPr>
            <w:tcW w:w="333" w:type="pct"/>
          </w:tcPr>
          <w:p w14:paraId="3559D70D"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74</w:t>
            </w:r>
          </w:p>
        </w:tc>
        <w:tc>
          <w:tcPr>
            <w:tcW w:w="1037" w:type="pct"/>
          </w:tcPr>
          <w:p w14:paraId="529BCB3D"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Cleophas Torori</w:t>
            </w:r>
          </w:p>
        </w:tc>
        <w:tc>
          <w:tcPr>
            <w:tcW w:w="443" w:type="pct"/>
          </w:tcPr>
          <w:p w14:paraId="3DD0C1DF" w14:textId="77777777" w:rsidR="00232514" w:rsidRPr="00936C44" w:rsidRDefault="00232514" w:rsidP="00DC1475">
            <w:pPr>
              <w:jc w:val="both"/>
              <w:rPr>
                <w:rFonts w:ascii="Arial" w:hAnsi="Arial" w:cs="Arial"/>
                <w:sz w:val="18"/>
                <w:szCs w:val="18"/>
              </w:rPr>
            </w:pPr>
            <w:r>
              <w:rPr>
                <w:rFonts w:ascii="Arial" w:hAnsi="Arial" w:cs="Arial"/>
                <w:sz w:val="18"/>
                <w:szCs w:val="18"/>
              </w:rPr>
              <w:t>Male</w:t>
            </w:r>
          </w:p>
        </w:tc>
        <w:tc>
          <w:tcPr>
            <w:tcW w:w="3187" w:type="pct"/>
          </w:tcPr>
          <w:p w14:paraId="0CAA5245"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UNDP, DRR Programmes</w:t>
            </w:r>
          </w:p>
        </w:tc>
      </w:tr>
      <w:tr w:rsidR="00232514" w:rsidRPr="000F542E" w14:paraId="68A9E69C" w14:textId="77777777" w:rsidTr="00DC1475">
        <w:tc>
          <w:tcPr>
            <w:tcW w:w="333" w:type="pct"/>
          </w:tcPr>
          <w:p w14:paraId="3C4949C8"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75</w:t>
            </w:r>
          </w:p>
        </w:tc>
        <w:tc>
          <w:tcPr>
            <w:tcW w:w="1037" w:type="pct"/>
          </w:tcPr>
          <w:p w14:paraId="62A04AC1"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Shimels Assefa</w:t>
            </w:r>
          </w:p>
        </w:tc>
        <w:tc>
          <w:tcPr>
            <w:tcW w:w="443" w:type="pct"/>
          </w:tcPr>
          <w:p w14:paraId="3A60CACB"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Male</w:t>
            </w:r>
          </w:p>
        </w:tc>
        <w:tc>
          <w:tcPr>
            <w:tcW w:w="3187" w:type="pct"/>
          </w:tcPr>
          <w:p w14:paraId="2E50B12D" w14:textId="68141130"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 xml:space="preserve">UNDP, Governance and </w:t>
            </w:r>
            <w:r w:rsidR="00682933">
              <w:rPr>
                <w:rFonts w:ascii="Arial" w:hAnsi="Arial" w:cs="Arial"/>
                <w:color w:val="00000A"/>
                <w:sz w:val="18"/>
                <w:szCs w:val="18"/>
                <w:lang w:eastAsia="zh-CN" w:bidi="hi-IN"/>
              </w:rPr>
              <w:t xml:space="preserve">Peacebuilding </w:t>
            </w:r>
            <w:proofErr w:type="gramStart"/>
            <w:r w:rsidR="00682933">
              <w:rPr>
                <w:rFonts w:ascii="Arial" w:hAnsi="Arial" w:cs="Arial"/>
                <w:color w:val="00000A"/>
                <w:sz w:val="18"/>
                <w:szCs w:val="18"/>
                <w:lang w:eastAsia="zh-CN" w:bidi="hi-IN"/>
              </w:rPr>
              <w:t xml:space="preserve">Unit </w:t>
            </w:r>
            <w:r w:rsidRPr="00936C44">
              <w:rPr>
                <w:rFonts w:ascii="Arial" w:hAnsi="Arial" w:cs="Arial"/>
                <w:color w:val="00000A"/>
                <w:sz w:val="18"/>
                <w:szCs w:val="18"/>
                <w:lang w:eastAsia="zh-CN" w:bidi="hi-IN"/>
              </w:rPr>
              <w:t xml:space="preserve"> Team</w:t>
            </w:r>
            <w:proofErr w:type="gramEnd"/>
            <w:r w:rsidRPr="00936C44">
              <w:rPr>
                <w:rFonts w:ascii="Arial" w:hAnsi="Arial" w:cs="Arial"/>
                <w:color w:val="00000A"/>
                <w:sz w:val="18"/>
                <w:szCs w:val="18"/>
                <w:lang w:eastAsia="zh-CN" w:bidi="hi-IN"/>
              </w:rPr>
              <w:t xml:space="preserve"> Leader</w:t>
            </w:r>
          </w:p>
        </w:tc>
      </w:tr>
      <w:tr w:rsidR="00232514" w:rsidRPr="000F542E" w14:paraId="5D2B59AA" w14:textId="77777777" w:rsidTr="00DC1475">
        <w:tc>
          <w:tcPr>
            <w:tcW w:w="333" w:type="pct"/>
          </w:tcPr>
          <w:p w14:paraId="5900D1A7"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76</w:t>
            </w:r>
          </w:p>
        </w:tc>
        <w:tc>
          <w:tcPr>
            <w:tcW w:w="1037" w:type="pct"/>
          </w:tcPr>
          <w:p w14:paraId="0F77CB7D"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 xml:space="preserve">Desset Abebe </w:t>
            </w:r>
            <w:proofErr w:type="spellStart"/>
            <w:r w:rsidRPr="00936C44">
              <w:rPr>
                <w:rFonts w:ascii="Arial" w:hAnsi="Arial" w:cs="Arial"/>
                <w:color w:val="00000A"/>
                <w:sz w:val="18"/>
                <w:szCs w:val="18"/>
                <w:lang w:eastAsia="zh-CN" w:bidi="hi-IN"/>
              </w:rPr>
              <w:t>Tefari</w:t>
            </w:r>
            <w:proofErr w:type="spellEnd"/>
          </w:p>
        </w:tc>
        <w:tc>
          <w:tcPr>
            <w:tcW w:w="443" w:type="pct"/>
          </w:tcPr>
          <w:p w14:paraId="01C62965"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Female</w:t>
            </w:r>
          </w:p>
        </w:tc>
        <w:tc>
          <w:tcPr>
            <w:tcW w:w="3187" w:type="pct"/>
          </w:tcPr>
          <w:p w14:paraId="2A2EB6E6" w14:textId="496C8D44" w:rsidR="00232514" w:rsidRPr="00936C44" w:rsidRDefault="00682933" w:rsidP="00DC1475">
            <w:pPr>
              <w:jc w:val="both"/>
              <w:rPr>
                <w:rFonts w:ascii="Arial" w:hAnsi="Arial" w:cs="Arial"/>
                <w:sz w:val="18"/>
                <w:szCs w:val="18"/>
              </w:rPr>
            </w:pPr>
            <w:r w:rsidRPr="00936C44">
              <w:rPr>
                <w:rFonts w:ascii="Arial" w:hAnsi="Arial" w:cs="Arial"/>
                <w:color w:val="00000A"/>
                <w:sz w:val="18"/>
                <w:szCs w:val="18"/>
                <w:lang w:eastAsia="zh-CN" w:bidi="hi-IN"/>
              </w:rPr>
              <w:t xml:space="preserve">UN Women </w:t>
            </w:r>
            <w:r w:rsidR="00232514" w:rsidRPr="00936C44">
              <w:rPr>
                <w:rFonts w:ascii="Arial" w:hAnsi="Arial" w:cs="Arial"/>
                <w:color w:val="00000A"/>
                <w:sz w:val="18"/>
                <w:szCs w:val="18"/>
                <w:lang w:eastAsia="zh-CN" w:bidi="hi-IN"/>
              </w:rPr>
              <w:t xml:space="preserve">Programme Office, </w:t>
            </w:r>
          </w:p>
        </w:tc>
      </w:tr>
      <w:tr w:rsidR="00232514" w:rsidRPr="000F542E" w14:paraId="4F10BCEC" w14:textId="77777777" w:rsidTr="00DC1475">
        <w:tc>
          <w:tcPr>
            <w:tcW w:w="333" w:type="pct"/>
          </w:tcPr>
          <w:p w14:paraId="631BC3DE"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77</w:t>
            </w:r>
          </w:p>
        </w:tc>
        <w:tc>
          <w:tcPr>
            <w:tcW w:w="1037" w:type="pct"/>
          </w:tcPr>
          <w:p w14:paraId="3B36182E"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Tsega Gebremeskel</w:t>
            </w:r>
          </w:p>
        </w:tc>
        <w:tc>
          <w:tcPr>
            <w:tcW w:w="443" w:type="pct"/>
          </w:tcPr>
          <w:p w14:paraId="254A7235"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Female</w:t>
            </w:r>
          </w:p>
        </w:tc>
        <w:tc>
          <w:tcPr>
            <w:tcW w:w="3187" w:type="pct"/>
          </w:tcPr>
          <w:p w14:paraId="340C1865"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Programme Analyst, Leadership and Governance, UN Women</w:t>
            </w:r>
          </w:p>
        </w:tc>
      </w:tr>
      <w:tr w:rsidR="00232514" w:rsidRPr="000F542E" w14:paraId="3D943C6F" w14:textId="77777777" w:rsidTr="00DC1475">
        <w:tc>
          <w:tcPr>
            <w:tcW w:w="333" w:type="pct"/>
          </w:tcPr>
          <w:p w14:paraId="502C8898"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78</w:t>
            </w:r>
          </w:p>
        </w:tc>
        <w:tc>
          <w:tcPr>
            <w:tcW w:w="1037" w:type="pct"/>
          </w:tcPr>
          <w:p w14:paraId="57810769"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Donna Bugby-Smith</w:t>
            </w:r>
          </w:p>
        </w:tc>
        <w:tc>
          <w:tcPr>
            <w:tcW w:w="443" w:type="pct"/>
          </w:tcPr>
          <w:p w14:paraId="0C0618F8" w14:textId="77777777" w:rsidR="00232514" w:rsidRPr="00936C44" w:rsidRDefault="00232514" w:rsidP="00DC1475">
            <w:pPr>
              <w:jc w:val="both"/>
              <w:rPr>
                <w:rFonts w:ascii="Arial" w:hAnsi="Arial" w:cs="Arial"/>
                <w:sz w:val="18"/>
                <w:szCs w:val="18"/>
              </w:rPr>
            </w:pPr>
            <w:r>
              <w:rPr>
                <w:rFonts w:ascii="Arial" w:hAnsi="Arial" w:cs="Arial"/>
                <w:sz w:val="18"/>
                <w:szCs w:val="18"/>
              </w:rPr>
              <w:t>Female</w:t>
            </w:r>
          </w:p>
        </w:tc>
        <w:tc>
          <w:tcPr>
            <w:tcW w:w="3187" w:type="pct"/>
          </w:tcPr>
          <w:p w14:paraId="60F8A30E" w14:textId="3D5D7CFE" w:rsidR="00232514" w:rsidRPr="00936C44" w:rsidRDefault="00682933" w:rsidP="00DC1475">
            <w:pPr>
              <w:jc w:val="both"/>
              <w:rPr>
                <w:rFonts w:ascii="Arial" w:hAnsi="Arial" w:cs="Arial"/>
                <w:sz w:val="18"/>
                <w:szCs w:val="18"/>
              </w:rPr>
            </w:pPr>
            <w:r>
              <w:rPr>
                <w:rFonts w:ascii="Arial" w:hAnsi="Arial" w:cs="Arial"/>
                <w:color w:val="00000A"/>
                <w:sz w:val="18"/>
                <w:szCs w:val="18"/>
                <w:lang w:eastAsia="zh-CN" w:bidi="hi-IN"/>
              </w:rPr>
              <w:t>UNDP</w:t>
            </w:r>
            <w:r w:rsidRPr="00936C44">
              <w:rPr>
                <w:rFonts w:ascii="Arial" w:hAnsi="Arial" w:cs="Arial"/>
                <w:color w:val="00000A"/>
                <w:sz w:val="18"/>
                <w:szCs w:val="18"/>
                <w:lang w:eastAsia="zh-CN" w:bidi="hi-IN"/>
              </w:rPr>
              <w:t xml:space="preserve"> </w:t>
            </w:r>
            <w:r w:rsidR="00232514" w:rsidRPr="00936C44">
              <w:rPr>
                <w:rFonts w:ascii="Arial" w:hAnsi="Arial" w:cs="Arial"/>
                <w:color w:val="00000A"/>
                <w:sz w:val="18"/>
                <w:szCs w:val="18"/>
                <w:lang w:eastAsia="zh-CN" w:bidi="hi-IN"/>
              </w:rPr>
              <w:t>Senior Governance Advisor</w:t>
            </w:r>
            <w:r w:rsidR="00232514">
              <w:rPr>
                <w:rFonts w:ascii="Arial" w:hAnsi="Arial" w:cs="Arial"/>
                <w:color w:val="00000A"/>
                <w:sz w:val="18"/>
                <w:szCs w:val="18"/>
                <w:lang w:eastAsia="zh-CN" w:bidi="hi-IN"/>
              </w:rPr>
              <w:t xml:space="preserve"> </w:t>
            </w:r>
          </w:p>
        </w:tc>
      </w:tr>
      <w:tr w:rsidR="00232514" w:rsidRPr="000F542E" w14:paraId="35115F4F" w14:textId="77777777" w:rsidTr="00DC1475">
        <w:tc>
          <w:tcPr>
            <w:tcW w:w="333" w:type="pct"/>
          </w:tcPr>
          <w:p w14:paraId="7ADF3AD3" w14:textId="77777777" w:rsidR="00232514" w:rsidRPr="00936C44" w:rsidRDefault="00232514" w:rsidP="00DC1475">
            <w:pPr>
              <w:jc w:val="both"/>
              <w:rPr>
                <w:rFonts w:ascii="Arial" w:hAnsi="Arial" w:cs="Arial"/>
                <w:sz w:val="18"/>
                <w:szCs w:val="18"/>
              </w:rPr>
            </w:pPr>
            <w:r>
              <w:rPr>
                <w:rFonts w:ascii="Arial" w:hAnsi="Arial" w:cs="Arial"/>
                <w:sz w:val="18"/>
                <w:szCs w:val="18"/>
              </w:rPr>
              <w:t>79</w:t>
            </w:r>
          </w:p>
        </w:tc>
        <w:tc>
          <w:tcPr>
            <w:tcW w:w="1037" w:type="pct"/>
          </w:tcPr>
          <w:p w14:paraId="60E09BF3"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Isheba Tafari</w:t>
            </w:r>
          </w:p>
        </w:tc>
        <w:tc>
          <w:tcPr>
            <w:tcW w:w="443" w:type="pct"/>
          </w:tcPr>
          <w:p w14:paraId="23CB9750" w14:textId="77777777" w:rsidR="00232514" w:rsidRPr="00936C44" w:rsidRDefault="00232514" w:rsidP="00DC1475">
            <w:pPr>
              <w:jc w:val="both"/>
              <w:rPr>
                <w:rFonts w:ascii="Arial" w:hAnsi="Arial" w:cs="Arial"/>
                <w:sz w:val="18"/>
                <w:szCs w:val="18"/>
              </w:rPr>
            </w:pPr>
            <w:r>
              <w:rPr>
                <w:rFonts w:ascii="Arial" w:hAnsi="Arial" w:cs="Arial"/>
                <w:sz w:val="18"/>
                <w:szCs w:val="18"/>
              </w:rPr>
              <w:t>Female</w:t>
            </w:r>
          </w:p>
        </w:tc>
        <w:tc>
          <w:tcPr>
            <w:tcW w:w="3187" w:type="pct"/>
          </w:tcPr>
          <w:p w14:paraId="5478B054"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Programme Manager, Gender and Governance, Austrian Embassy</w:t>
            </w:r>
          </w:p>
        </w:tc>
      </w:tr>
      <w:tr w:rsidR="00232514" w:rsidRPr="000F542E" w14:paraId="52C09E65" w14:textId="77777777" w:rsidTr="00DC1475">
        <w:tc>
          <w:tcPr>
            <w:tcW w:w="333" w:type="pct"/>
          </w:tcPr>
          <w:p w14:paraId="7682168A" w14:textId="77777777" w:rsidR="00232514" w:rsidRPr="00936C44" w:rsidRDefault="00232514" w:rsidP="00DC1475">
            <w:pPr>
              <w:jc w:val="both"/>
              <w:rPr>
                <w:rFonts w:ascii="Arial" w:hAnsi="Arial" w:cs="Arial"/>
                <w:sz w:val="18"/>
                <w:szCs w:val="18"/>
              </w:rPr>
            </w:pPr>
            <w:r>
              <w:rPr>
                <w:rFonts w:ascii="Arial" w:hAnsi="Arial" w:cs="Arial"/>
                <w:sz w:val="18"/>
                <w:szCs w:val="18"/>
              </w:rPr>
              <w:t>80</w:t>
            </w:r>
          </w:p>
        </w:tc>
        <w:tc>
          <w:tcPr>
            <w:tcW w:w="1037" w:type="pct"/>
          </w:tcPr>
          <w:p w14:paraId="77A798DA"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Doris Gebru-Zeilermayr</w:t>
            </w:r>
          </w:p>
        </w:tc>
        <w:tc>
          <w:tcPr>
            <w:tcW w:w="443" w:type="pct"/>
          </w:tcPr>
          <w:p w14:paraId="739FD29C" w14:textId="77777777" w:rsidR="00232514" w:rsidRPr="00936C44" w:rsidRDefault="00232514" w:rsidP="00DC1475">
            <w:pPr>
              <w:jc w:val="both"/>
              <w:rPr>
                <w:rFonts w:ascii="Arial" w:hAnsi="Arial" w:cs="Arial"/>
                <w:sz w:val="18"/>
                <w:szCs w:val="18"/>
              </w:rPr>
            </w:pPr>
            <w:r>
              <w:rPr>
                <w:rFonts w:ascii="Arial" w:hAnsi="Arial" w:cs="Arial"/>
                <w:sz w:val="18"/>
                <w:szCs w:val="18"/>
              </w:rPr>
              <w:t>Female</w:t>
            </w:r>
          </w:p>
        </w:tc>
        <w:tc>
          <w:tcPr>
            <w:tcW w:w="3187" w:type="pct"/>
          </w:tcPr>
          <w:p w14:paraId="555FAEC5" w14:textId="77777777" w:rsidR="00232514" w:rsidRPr="00936C44" w:rsidRDefault="00232514" w:rsidP="00DC1475">
            <w:pPr>
              <w:jc w:val="both"/>
              <w:rPr>
                <w:rFonts w:ascii="Arial" w:hAnsi="Arial" w:cs="Arial"/>
                <w:sz w:val="18"/>
                <w:szCs w:val="18"/>
              </w:rPr>
            </w:pPr>
            <w:r w:rsidRPr="00936C44">
              <w:rPr>
                <w:rFonts w:ascii="Arial" w:hAnsi="Arial" w:cs="Arial"/>
                <w:color w:val="00000A"/>
                <w:sz w:val="18"/>
                <w:szCs w:val="18"/>
                <w:lang w:eastAsia="zh-CN" w:bidi="hi-IN"/>
              </w:rPr>
              <w:t>Head of Office, Austrian Embassy</w:t>
            </w:r>
          </w:p>
        </w:tc>
      </w:tr>
      <w:tr w:rsidR="00232514" w:rsidRPr="000F542E" w14:paraId="4BFE0322" w14:textId="77777777" w:rsidTr="00DC1475">
        <w:tc>
          <w:tcPr>
            <w:tcW w:w="333" w:type="pct"/>
          </w:tcPr>
          <w:p w14:paraId="428978EF"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8</w:t>
            </w:r>
            <w:r>
              <w:rPr>
                <w:rFonts w:ascii="Arial" w:hAnsi="Arial" w:cs="Arial"/>
                <w:sz w:val="18"/>
                <w:szCs w:val="18"/>
              </w:rPr>
              <w:t>1</w:t>
            </w:r>
          </w:p>
        </w:tc>
        <w:tc>
          <w:tcPr>
            <w:tcW w:w="1037" w:type="pct"/>
          </w:tcPr>
          <w:p w14:paraId="2EF14669" w14:textId="77777777" w:rsidR="00232514" w:rsidRPr="00936C44" w:rsidRDefault="00232514" w:rsidP="00DC1475">
            <w:pPr>
              <w:jc w:val="both"/>
              <w:rPr>
                <w:rFonts w:ascii="Arial" w:hAnsi="Arial" w:cs="Arial"/>
                <w:color w:val="00000A"/>
                <w:sz w:val="18"/>
                <w:szCs w:val="18"/>
                <w:lang w:eastAsia="zh-CN" w:bidi="hi-IN"/>
              </w:rPr>
            </w:pPr>
            <w:r w:rsidRPr="00936C44">
              <w:rPr>
                <w:rFonts w:ascii="Arial" w:hAnsi="Arial" w:cs="Arial"/>
                <w:color w:val="00000A"/>
                <w:sz w:val="18"/>
                <w:szCs w:val="18"/>
                <w:lang w:eastAsia="zh-CN" w:bidi="hi-IN"/>
              </w:rPr>
              <w:t>Karin Borovic</w:t>
            </w:r>
          </w:p>
        </w:tc>
        <w:tc>
          <w:tcPr>
            <w:tcW w:w="443" w:type="pct"/>
          </w:tcPr>
          <w:p w14:paraId="7926FEF6" w14:textId="77777777" w:rsidR="00232514" w:rsidRPr="00936C44" w:rsidRDefault="00232514" w:rsidP="00DC1475">
            <w:pPr>
              <w:jc w:val="both"/>
              <w:rPr>
                <w:rFonts w:ascii="Arial" w:hAnsi="Arial" w:cs="Arial"/>
                <w:sz w:val="18"/>
                <w:szCs w:val="18"/>
              </w:rPr>
            </w:pPr>
            <w:r>
              <w:rPr>
                <w:rFonts w:ascii="Arial" w:hAnsi="Arial" w:cs="Arial"/>
                <w:sz w:val="18"/>
                <w:szCs w:val="18"/>
              </w:rPr>
              <w:t>Female</w:t>
            </w:r>
          </w:p>
        </w:tc>
        <w:tc>
          <w:tcPr>
            <w:tcW w:w="3187" w:type="pct"/>
          </w:tcPr>
          <w:p w14:paraId="681014E2" w14:textId="77777777" w:rsidR="00232514" w:rsidRPr="00936C44" w:rsidRDefault="00232514" w:rsidP="00DC1475">
            <w:pPr>
              <w:jc w:val="both"/>
              <w:rPr>
                <w:rFonts w:ascii="Arial" w:hAnsi="Arial" w:cs="Arial"/>
                <w:color w:val="00000A"/>
                <w:sz w:val="18"/>
                <w:szCs w:val="18"/>
                <w:lang w:eastAsia="zh-CN" w:bidi="hi-IN"/>
              </w:rPr>
            </w:pPr>
            <w:r w:rsidRPr="00936C44">
              <w:rPr>
                <w:rFonts w:ascii="Arial" w:hAnsi="Arial" w:cs="Arial"/>
                <w:color w:val="00000A"/>
                <w:sz w:val="18"/>
                <w:szCs w:val="18"/>
                <w:lang w:eastAsia="zh-CN" w:bidi="hi-IN"/>
              </w:rPr>
              <w:t xml:space="preserve">Sweden, Embassy </w:t>
            </w:r>
          </w:p>
        </w:tc>
      </w:tr>
      <w:tr w:rsidR="00232514" w:rsidRPr="000F542E" w14:paraId="3FF0B007" w14:textId="77777777" w:rsidTr="00DC1475">
        <w:tc>
          <w:tcPr>
            <w:tcW w:w="333" w:type="pct"/>
          </w:tcPr>
          <w:p w14:paraId="6ACB11CE"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8</w:t>
            </w:r>
            <w:r>
              <w:rPr>
                <w:rFonts w:ascii="Arial" w:hAnsi="Arial" w:cs="Arial"/>
                <w:sz w:val="18"/>
                <w:szCs w:val="18"/>
              </w:rPr>
              <w:t>2</w:t>
            </w:r>
          </w:p>
        </w:tc>
        <w:tc>
          <w:tcPr>
            <w:tcW w:w="1037" w:type="pct"/>
          </w:tcPr>
          <w:p w14:paraId="0B76FF9B" w14:textId="77777777" w:rsidR="00232514" w:rsidRPr="00936C44" w:rsidRDefault="00232514" w:rsidP="00DC1475">
            <w:pPr>
              <w:jc w:val="both"/>
              <w:rPr>
                <w:rFonts w:ascii="Arial" w:hAnsi="Arial" w:cs="Arial"/>
                <w:color w:val="00000A"/>
                <w:sz w:val="18"/>
                <w:szCs w:val="18"/>
                <w:lang w:eastAsia="zh-CN" w:bidi="hi-IN"/>
              </w:rPr>
            </w:pPr>
            <w:r w:rsidRPr="00936C44">
              <w:rPr>
                <w:rFonts w:ascii="Arial" w:hAnsi="Arial" w:cs="Arial"/>
                <w:color w:val="00000A"/>
                <w:sz w:val="18"/>
                <w:szCs w:val="18"/>
                <w:lang w:eastAsia="zh-CN" w:bidi="hi-IN"/>
              </w:rPr>
              <w:t>Nebyu Mehary</w:t>
            </w:r>
          </w:p>
        </w:tc>
        <w:tc>
          <w:tcPr>
            <w:tcW w:w="443" w:type="pct"/>
          </w:tcPr>
          <w:p w14:paraId="6F3882D8"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Male</w:t>
            </w:r>
          </w:p>
        </w:tc>
        <w:tc>
          <w:tcPr>
            <w:tcW w:w="3187" w:type="pct"/>
          </w:tcPr>
          <w:p w14:paraId="660098BE" w14:textId="77777777" w:rsidR="00232514" w:rsidRPr="00936C44" w:rsidRDefault="00232514" w:rsidP="00DC1475">
            <w:pPr>
              <w:jc w:val="both"/>
              <w:rPr>
                <w:rFonts w:ascii="Arial" w:hAnsi="Arial" w:cs="Arial"/>
                <w:color w:val="00000A"/>
                <w:sz w:val="18"/>
                <w:szCs w:val="18"/>
                <w:lang w:eastAsia="zh-CN" w:bidi="hi-IN"/>
              </w:rPr>
            </w:pPr>
            <w:r w:rsidRPr="00936C44">
              <w:rPr>
                <w:rFonts w:ascii="Arial" w:hAnsi="Arial" w:cs="Arial"/>
                <w:color w:val="00000A"/>
                <w:sz w:val="18"/>
                <w:szCs w:val="18"/>
                <w:lang w:eastAsia="zh-CN" w:bidi="hi-IN"/>
              </w:rPr>
              <w:t>Portfolio Manager, CO, GDPP Implementation and Monitoring, Gender Focal Point (former CO Policy Specialist)</w:t>
            </w:r>
          </w:p>
        </w:tc>
      </w:tr>
      <w:tr w:rsidR="00232514" w:rsidRPr="000F542E" w14:paraId="5C5E7877" w14:textId="77777777" w:rsidTr="00DC1475">
        <w:tc>
          <w:tcPr>
            <w:tcW w:w="333" w:type="pct"/>
          </w:tcPr>
          <w:p w14:paraId="14297497" w14:textId="5A35B738" w:rsidR="00232514" w:rsidRPr="00936C44" w:rsidRDefault="0094265B" w:rsidP="0094265B">
            <w:pPr>
              <w:jc w:val="both"/>
              <w:rPr>
                <w:rFonts w:ascii="Arial" w:hAnsi="Arial" w:cs="Arial"/>
                <w:sz w:val="18"/>
                <w:szCs w:val="18"/>
              </w:rPr>
            </w:pPr>
            <w:r w:rsidRPr="00936C44">
              <w:rPr>
                <w:rFonts w:ascii="Arial" w:hAnsi="Arial" w:cs="Arial"/>
                <w:sz w:val="18"/>
                <w:szCs w:val="18"/>
              </w:rPr>
              <w:t>8</w:t>
            </w:r>
            <w:r>
              <w:rPr>
                <w:rFonts w:ascii="Arial" w:hAnsi="Arial" w:cs="Arial"/>
                <w:sz w:val="18"/>
                <w:szCs w:val="18"/>
              </w:rPr>
              <w:t>3</w:t>
            </w:r>
          </w:p>
        </w:tc>
        <w:tc>
          <w:tcPr>
            <w:tcW w:w="1037" w:type="pct"/>
          </w:tcPr>
          <w:p w14:paraId="156A8E37" w14:textId="77777777" w:rsidR="00232514" w:rsidRPr="00936C44" w:rsidRDefault="00232514" w:rsidP="00DC1475">
            <w:pPr>
              <w:jc w:val="both"/>
              <w:rPr>
                <w:rFonts w:ascii="Arial" w:hAnsi="Arial" w:cs="Arial"/>
                <w:color w:val="00000A"/>
                <w:sz w:val="18"/>
                <w:szCs w:val="18"/>
                <w:lang w:eastAsia="zh-CN" w:bidi="hi-IN"/>
              </w:rPr>
            </w:pPr>
            <w:r w:rsidRPr="00936C44">
              <w:rPr>
                <w:rFonts w:ascii="Arial" w:hAnsi="Arial" w:cs="Arial"/>
                <w:color w:val="00000A"/>
                <w:sz w:val="18"/>
                <w:szCs w:val="18"/>
                <w:lang w:eastAsia="zh-CN" w:bidi="hi-IN"/>
              </w:rPr>
              <w:t xml:space="preserve">Per </w:t>
            </w:r>
            <w:proofErr w:type="spellStart"/>
            <w:r w:rsidRPr="00936C44">
              <w:rPr>
                <w:rFonts w:ascii="Arial" w:hAnsi="Arial" w:cs="Arial"/>
                <w:color w:val="00000A"/>
                <w:sz w:val="18"/>
                <w:szCs w:val="18"/>
                <w:lang w:eastAsia="zh-CN" w:bidi="hi-IN"/>
              </w:rPr>
              <w:t>Mogstad</w:t>
            </w:r>
            <w:proofErr w:type="spellEnd"/>
          </w:p>
        </w:tc>
        <w:tc>
          <w:tcPr>
            <w:tcW w:w="443" w:type="pct"/>
          </w:tcPr>
          <w:p w14:paraId="33DE80CA" w14:textId="77777777" w:rsidR="00232514" w:rsidRPr="00936C44" w:rsidRDefault="00232514" w:rsidP="00DC1475">
            <w:pPr>
              <w:jc w:val="both"/>
              <w:rPr>
                <w:rFonts w:ascii="Arial" w:hAnsi="Arial" w:cs="Arial"/>
                <w:sz w:val="18"/>
                <w:szCs w:val="18"/>
              </w:rPr>
            </w:pPr>
            <w:r>
              <w:rPr>
                <w:rFonts w:ascii="Arial" w:hAnsi="Arial" w:cs="Arial"/>
                <w:sz w:val="18"/>
                <w:szCs w:val="18"/>
              </w:rPr>
              <w:t>Male</w:t>
            </w:r>
          </w:p>
        </w:tc>
        <w:tc>
          <w:tcPr>
            <w:tcW w:w="3187" w:type="pct"/>
          </w:tcPr>
          <w:p w14:paraId="79FF90AF" w14:textId="77777777" w:rsidR="00232514" w:rsidRPr="00936C44" w:rsidRDefault="00232514" w:rsidP="00DC1475">
            <w:pPr>
              <w:jc w:val="both"/>
              <w:rPr>
                <w:rFonts w:ascii="Arial" w:hAnsi="Arial" w:cs="Arial"/>
                <w:color w:val="00000A"/>
                <w:sz w:val="18"/>
                <w:szCs w:val="18"/>
                <w:lang w:eastAsia="zh-CN" w:bidi="hi-IN"/>
              </w:rPr>
            </w:pPr>
            <w:r w:rsidRPr="00936C44">
              <w:rPr>
                <w:rFonts w:ascii="Arial" w:hAnsi="Arial" w:cs="Arial"/>
                <w:color w:val="00000A"/>
                <w:sz w:val="18"/>
                <w:szCs w:val="18"/>
                <w:lang w:eastAsia="zh-CN" w:bidi="hi-IN"/>
              </w:rPr>
              <w:t>Head of Cooperation, Norwegian Embassy</w:t>
            </w:r>
          </w:p>
        </w:tc>
      </w:tr>
      <w:tr w:rsidR="00232514" w:rsidRPr="000F542E" w14:paraId="260B46D9" w14:textId="77777777" w:rsidTr="00DC1475">
        <w:tc>
          <w:tcPr>
            <w:tcW w:w="333" w:type="pct"/>
          </w:tcPr>
          <w:p w14:paraId="2F4066D7" w14:textId="17FFE722" w:rsidR="00232514" w:rsidRPr="00936C44" w:rsidRDefault="0094265B" w:rsidP="0094265B">
            <w:pPr>
              <w:jc w:val="both"/>
              <w:rPr>
                <w:rFonts w:ascii="Arial" w:hAnsi="Arial" w:cs="Arial"/>
                <w:sz w:val="18"/>
                <w:szCs w:val="18"/>
              </w:rPr>
            </w:pPr>
            <w:r w:rsidRPr="00936C44">
              <w:rPr>
                <w:rFonts w:ascii="Arial" w:hAnsi="Arial" w:cs="Arial"/>
                <w:sz w:val="18"/>
                <w:szCs w:val="18"/>
              </w:rPr>
              <w:t>8</w:t>
            </w:r>
            <w:r>
              <w:rPr>
                <w:rFonts w:ascii="Arial" w:hAnsi="Arial" w:cs="Arial"/>
                <w:sz w:val="18"/>
                <w:szCs w:val="18"/>
              </w:rPr>
              <w:t>4</w:t>
            </w:r>
          </w:p>
        </w:tc>
        <w:tc>
          <w:tcPr>
            <w:tcW w:w="1037" w:type="pct"/>
          </w:tcPr>
          <w:p w14:paraId="54B61860" w14:textId="77777777" w:rsidR="00232514" w:rsidRPr="00936C44" w:rsidRDefault="00232514" w:rsidP="00DC1475">
            <w:pPr>
              <w:jc w:val="both"/>
              <w:rPr>
                <w:rFonts w:ascii="Arial" w:hAnsi="Arial" w:cs="Arial"/>
                <w:color w:val="00000A"/>
                <w:sz w:val="18"/>
                <w:szCs w:val="18"/>
                <w:lang w:eastAsia="zh-CN" w:bidi="hi-IN"/>
              </w:rPr>
            </w:pPr>
            <w:r w:rsidRPr="00936C44">
              <w:rPr>
                <w:rFonts w:ascii="Arial" w:hAnsi="Arial" w:cs="Arial"/>
                <w:color w:val="00000A"/>
                <w:sz w:val="18"/>
                <w:szCs w:val="18"/>
                <w:lang w:eastAsia="zh-CN" w:bidi="hi-IN"/>
              </w:rPr>
              <w:t>Lamrot Gebrechristose</w:t>
            </w:r>
          </w:p>
        </w:tc>
        <w:tc>
          <w:tcPr>
            <w:tcW w:w="443" w:type="pct"/>
          </w:tcPr>
          <w:p w14:paraId="68D205A5" w14:textId="77777777" w:rsidR="00232514" w:rsidRPr="00936C44" w:rsidRDefault="00232514" w:rsidP="00DC1475">
            <w:pPr>
              <w:jc w:val="both"/>
              <w:rPr>
                <w:rFonts w:ascii="Arial" w:hAnsi="Arial" w:cs="Arial"/>
                <w:sz w:val="18"/>
                <w:szCs w:val="18"/>
              </w:rPr>
            </w:pPr>
            <w:r>
              <w:rPr>
                <w:rFonts w:ascii="Arial" w:hAnsi="Arial" w:cs="Arial"/>
                <w:sz w:val="18"/>
                <w:szCs w:val="18"/>
              </w:rPr>
              <w:t>Female</w:t>
            </w:r>
          </w:p>
        </w:tc>
        <w:tc>
          <w:tcPr>
            <w:tcW w:w="3187" w:type="pct"/>
          </w:tcPr>
          <w:p w14:paraId="5C2F84EC" w14:textId="77777777" w:rsidR="00232514" w:rsidRPr="00936C44" w:rsidRDefault="00232514" w:rsidP="00DC1475">
            <w:pPr>
              <w:jc w:val="both"/>
              <w:rPr>
                <w:rFonts w:ascii="Arial" w:hAnsi="Arial" w:cs="Arial"/>
                <w:color w:val="00000A"/>
                <w:sz w:val="18"/>
                <w:szCs w:val="18"/>
                <w:lang w:eastAsia="zh-CN" w:bidi="hi-IN"/>
              </w:rPr>
            </w:pPr>
            <w:r w:rsidRPr="00936C44">
              <w:rPr>
                <w:rFonts w:ascii="Arial" w:hAnsi="Arial" w:cs="Arial"/>
                <w:color w:val="00000A"/>
                <w:sz w:val="18"/>
                <w:szCs w:val="18"/>
                <w:lang w:eastAsia="zh-CN" w:bidi="hi-IN"/>
              </w:rPr>
              <w:t>Political Officer, Norwegian Embassy</w:t>
            </w:r>
          </w:p>
        </w:tc>
      </w:tr>
      <w:tr w:rsidR="00232514" w:rsidRPr="000F542E" w14:paraId="2C04620A" w14:textId="77777777" w:rsidTr="00DC1475">
        <w:tc>
          <w:tcPr>
            <w:tcW w:w="333" w:type="pct"/>
          </w:tcPr>
          <w:p w14:paraId="19A9C901" w14:textId="76B6224B" w:rsidR="00232514" w:rsidRPr="00936C44" w:rsidRDefault="00232514" w:rsidP="0094265B">
            <w:pPr>
              <w:jc w:val="both"/>
              <w:rPr>
                <w:rFonts w:ascii="Arial" w:hAnsi="Arial" w:cs="Arial"/>
                <w:sz w:val="18"/>
                <w:szCs w:val="18"/>
              </w:rPr>
            </w:pPr>
            <w:r w:rsidRPr="00936C44">
              <w:rPr>
                <w:rFonts w:ascii="Arial" w:hAnsi="Arial" w:cs="Arial"/>
                <w:sz w:val="18"/>
                <w:szCs w:val="18"/>
              </w:rPr>
              <w:t>8</w:t>
            </w:r>
            <w:r w:rsidR="0094265B">
              <w:rPr>
                <w:rFonts w:ascii="Arial" w:hAnsi="Arial" w:cs="Arial"/>
                <w:sz w:val="18"/>
                <w:szCs w:val="18"/>
              </w:rPr>
              <w:t>5</w:t>
            </w:r>
          </w:p>
        </w:tc>
        <w:tc>
          <w:tcPr>
            <w:tcW w:w="1037" w:type="pct"/>
          </w:tcPr>
          <w:p w14:paraId="2190DA7F" w14:textId="77777777" w:rsidR="00232514" w:rsidRPr="00936C44" w:rsidRDefault="00232514" w:rsidP="00DC1475">
            <w:pPr>
              <w:jc w:val="both"/>
              <w:rPr>
                <w:rFonts w:ascii="Arial" w:hAnsi="Arial" w:cs="Arial"/>
                <w:color w:val="00000A"/>
                <w:sz w:val="18"/>
                <w:szCs w:val="18"/>
                <w:lang w:eastAsia="zh-CN" w:bidi="hi-IN"/>
              </w:rPr>
            </w:pPr>
            <w:r w:rsidRPr="00936C44">
              <w:rPr>
                <w:rFonts w:ascii="Arial" w:hAnsi="Arial" w:cs="Arial"/>
                <w:color w:val="00000A"/>
                <w:sz w:val="18"/>
                <w:szCs w:val="18"/>
                <w:lang w:eastAsia="zh-CN" w:bidi="hi-IN"/>
              </w:rPr>
              <w:t>Teweldebirhan Girma</w:t>
            </w:r>
          </w:p>
        </w:tc>
        <w:tc>
          <w:tcPr>
            <w:tcW w:w="443" w:type="pct"/>
          </w:tcPr>
          <w:p w14:paraId="4D1AF747" w14:textId="77777777" w:rsidR="00232514" w:rsidRPr="00936C44" w:rsidRDefault="00232514" w:rsidP="00DC1475">
            <w:pPr>
              <w:jc w:val="both"/>
              <w:rPr>
                <w:rFonts w:ascii="Arial" w:hAnsi="Arial" w:cs="Arial"/>
                <w:sz w:val="18"/>
                <w:szCs w:val="18"/>
              </w:rPr>
            </w:pPr>
            <w:r w:rsidRPr="00936C44">
              <w:rPr>
                <w:rFonts w:ascii="Arial" w:hAnsi="Arial" w:cs="Arial"/>
                <w:sz w:val="18"/>
                <w:szCs w:val="18"/>
              </w:rPr>
              <w:t>Male</w:t>
            </w:r>
          </w:p>
        </w:tc>
        <w:tc>
          <w:tcPr>
            <w:tcW w:w="3187" w:type="pct"/>
          </w:tcPr>
          <w:p w14:paraId="1E8D4107" w14:textId="77777777" w:rsidR="00232514" w:rsidRPr="00936C44" w:rsidRDefault="00232514" w:rsidP="00DC1475">
            <w:pPr>
              <w:jc w:val="both"/>
              <w:rPr>
                <w:rFonts w:ascii="Arial" w:hAnsi="Arial" w:cs="Arial"/>
                <w:color w:val="00000A"/>
                <w:sz w:val="18"/>
                <w:szCs w:val="18"/>
                <w:lang w:eastAsia="zh-CN" w:bidi="hi-IN"/>
              </w:rPr>
            </w:pPr>
            <w:r w:rsidRPr="00936C44">
              <w:rPr>
                <w:rFonts w:ascii="Arial" w:hAnsi="Arial" w:cs="Arial"/>
                <w:color w:val="00000A"/>
                <w:sz w:val="18"/>
                <w:szCs w:val="18"/>
                <w:lang w:eastAsia="zh-CN" w:bidi="hi-IN"/>
              </w:rPr>
              <w:t>M&amp;E Specialist</w:t>
            </w:r>
            <w:r>
              <w:rPr>
                <w:rFonts w:ascii="Arial" w:hAnsi="Arial" w:cs="Arial"/>
                <w:color w:val="00000A"/>
                <w:sz w:val="18"/>
                <w:szCs w:val="18"/>
                <w:lang w:eastAsia="zh-CN" w:bidi="hi-IN"/>
              </w:rPr>
              <w:t xml:space="preserve"> UNDP</w:t>
            </w:r>
          </w:p>
        </w:tc>
      </w:tr>
      <w:tr w:rsidR="00232514" w:rsidRPr="000F542E" w14:paraId="42E2213C" w14:textId="77777777" w:rsidTr="00DC1475">
        <w:tc>
          <w:tcPr>
            <w:tcW w:w="333" w:type="pct"/>
          </w:tcPr>
          <w:p w14:paraId="3F31F1D3" w14:textId="1C33E297" w:rsidR="00232514" w:rsidRPr="00936C44" w:rsidRDefault="00232514" w:rsidP="0094265B">
            <w:pPr>
              <w:jc w:val="both"/>
              <w:rPr>
                <w:rFonts w:ascii="Arial" w:hAnsi="Arial" w:cs="Arial"/>
                <w:sz w:val="18"/>
                <w:szCs w:val="18"/>
              </w:rPr>
            </w:pPr>
            <w:r w:rsidRPr="00936C44">
              <w:rPr>
                <w:rFonts w:ascii="Arial" w:hAnsi="Arial" w:cs="Arial"/>
                <w:sz w:val="18"/>
                <w:szCs w:val="18"/>
              </w:rPr>
              <w:t>8</w:t>
            </w:r>
            <w:r w:rsidR="0094265B">
              <w:rPr>
                <w:rFonts w:ascii="Arial" w:hAnsi="Arial" w:cs="Arial"/>
                <w:sz w:val="18"/>
                <w:szCs w:val="18"/>
              </w:rPr>
              <w:t>6</w:t>
            </w:r>
          </w:p>
        </w:tc>
        <w:tc>
          <w:tcPr>
            <w:tcW w:w="1037" w:type="pct"/>
          </w:tcPr>
          <w:p w14:paraId="7A16FD79" w14:textId="77777777" w:rsidR="00232514" w:rsidRPr="00936C44" w:rsidRDefault="00232514" w:rsidP="00DC1475">
            <w:pPr>
              <w:jc w:val="both"/>
              <w:rPr>
                <w:rFonts w:ascii="Arial" w:hAnsi="Arial" w:cs="Arial"/>
                <w:color w:val="00000A"/>
                <w:sz w:val="18"/>
                <w:szCs w:val="18"/>
                <w:lang w:eastAsia="zh-CN" w:bidi="hi-IN"/>
              </w:rPr>
            </w:pPr>
            <w:r w:rsidRPr="00936C44">
              <w:rPr>
                <w:rFonts w:ascii="Arial" w:hAnsi="Arial" w:cs="Arial"/>
                <w:color w:val="00000A"/>
                <w:sz w:val="18"/>
                <w:szCs w:val="18"/>
                <w:lang w:eastAsia="zh-CN" w:bidi="hi-IN"/>
              </w:rPr>
              <w:t>Trine Louise Hansen</w:t>
            </w:r>
          </w:p>
        </w:tc>
        <w:tc>
          <w:tcPr>
            <w:tcW w:w="443" w:type="pct"/>
          </w:tcPr>
          <w:p w14:paraId="5F06F248" w14:textId="77777777" w:rsidR="00232514" w:rsidRPr="00936C44" w:rsidRDefault="00232514" w:rsidP="00DC1475">
            <w:pPr>
              <w:jc w:val="both"/>
              <w:rPr>
                <w:rFonts w:ascii="Arial" w:hAnsi="Arial" w:cs="Arial"/>
                <w:sz w:val="18"/>
                <w:szCs w:val="18"/>
              </w:rPr>
            </w:pPr>
            <w:r>
              <w:rPr>
                <w:rFonts w:ascii="Arial" w:hAnsi="Arial" w:cs="Arial"/>
                <w:sz w:val="18"/>
                <w:szCs w:val="18"/>
              </w:rPr>
              <w:t>Female</w:t>
            </w:r>
          </w:p>
        </w:tc>
        <w:tc>
          <w:tcPr>
            <w:tcW w:w="3187" w:type="pct"/>
          </w:tcPr>
          <w:p w14:paraId="2889A094" w14:textId="77777777" w:rsidR="00232514" w:rsidRPr="00936C44" w:rsidRDefault="00232514" w:rsidP="00DC1475">
            <w:pPr>
              <w:jc w:val="both"/>
              <w:rPr>
                <w:rFonts w:ascii="Arial" w:hAnsi="Arial" w:cs="Arial"/>
                <w:color w:val="00000A"/>
                <w:sz w:val="18"/>
                <w:szCs w:val="18"/>
                <w:lang w:eastAsia="zh-CN" w:bidi="hi-IN"/>
              </w:rPr>
            </w:pPr>
            <w:r w:rsidRPr="00936C44">
              <w:rPr>
                <w:rFonts w:ascii="Arial" w:hAnsi="Arial" w:cs="Arial"/>
                <w:color w:val="00000A"/>
                <w:sz w:val="18"/>
                <w:szCs w:val="18"/>
                <w:lang w:eastAsia="zh-CN" w:bidi="hi-IN"/>
              </w:rPr>
              <w:t>Team Leader, Danish Embassy</w:t>
            </w:r>
          </w:p>
        </w:tc>
      </w:tr>
    </w:tbl>
    <w:p w14:paraId="2F6930B9" w14:textId="7EE75E14" w:rsidR="004612E5" w:rsidRDefault="004612E5" w:rsidP="005070CA">
      <w:pPr>
        <w:outlineLvl w:val="0"/>
        <w:rPr>
          <w:rFonts w:eastAsia="Times New Roman" w:cstheme="minorHAnsi"/>
          <w:b/>
          <w:lang w:eastAsia="en-CA"/>
        </w:rPr>
      </w:pPr>
    </w:p>
    <w:p w14:paraId="48F28734" w14:textId="77777777" w:rsidR="00464B9E" w:rsidRDefault="00464B9E" w:rsidP="005070CA">
      <w:pPr>
        <w:outlineLvl w:val="0"/>
        <w:rPr>
          <w:rFonts w:eastAsia="Times New Roman" w:cstheme="minorHAnsi"/>
          <w:b/>
          <w:lang w:eastAsia="en-CA"/>
        </w:rPr>
        <w:sectPr w:rsidR="00464B9E" w:rsidSect="00E168AE">
          <w:pgSz w:w="12240" w:h="15840"/>
          <w:pgMar w:top="1440" w:right="1440" w:bottom="1440" w:left="1440" w:header="720" w:footer="720" w:gutter="0"/>
          <w:pgNumType w:start="1"/>
          <w:cols w:space="720"/>
          <w:docGrid w:linePitch="360"/>
        </w:sectPr>
      </w:pPr>
    </w:p>
    <w:p w14:paraId="0D112A44" w14:textId="1578F718" w:rsidR="00464B9E" w:rsidRDefault="00464B9E" w:rsidP="005070CA">
      <w:pPr>
        <w:outlineLvl w:val="0"/>
        <w:rPr>
          <w:rFonts w:eastAsia="Times New Roman" w:cstheme="minorHAnsi"/>
          <w:b/>
          <w:lang w:eastAsia="en-CA"/>
        </w:rPr>
      </w:pPr>
      <w:r>
        <w:rPr>
          <w:rFonts w:eastAsia="Times New Roman" w:cstheme="minorHAnsi"/>
          <w:b/>
          <w:lang w:eastAsia="en-CA"/>
        </w:rPr>
        <w:lastRenderedPageBreak/>
        <w:t>ANNEX 3</w:t>
      </w:r>
    </w:p>
    <w:p w14:paraId="5CAC15E1" w14:textId="102A9003" w:rsidR="00464B9E" w:rsidRDefault="00464B9E" w:rsidP="005070CA">
      <w:pPr>
        <w:outlineLvl w:val="0"/>
        <w:rPr>
          <w:rFonts w:eastAsia="Times New Roman" w:cstheme="minorHAnsi"/>
          <w:b/>
          <w:lang w:eastAsia="en-CA"/>
        </w:rPr>
      </w:pPr>
      <w:r>
        <w:rPr>
          <w:rFonts w:eastAsia="Times New Roman" w:cstheme="minorHAnsi"/>
          <w:b/>
          <w:lang w:eastAsia="en-CA"/>
        </w:rPr>
        <w:t>EVALUATION MATRIX</w:t>
      </w:r>
    </w:p>
    <w:p w14:paraId="7B2867CA" w14:textId="4F9CF744" w:rsidR="00C55E36" w:rsidRDefault="00C55E36" w:rsidP="00C55E36">
      <w:pPr>
        <w:rPr>
          <w:b/>
        </w:rPr>
      </w:pPr>
    </w:p>
    <w:tbl>
      <w:tblPr>
        <w:tblStyle w:val="TableGrid"/>
        <w:tblW w:w="5000" w:type="pct"/>
        <w:tblLook w:val="04A0" w:firstRow="1" w:lastRow="0" w:firstColumn="1" w:lastColumn="0" w:noHBand="0" w:noVBand="1"/>
      </w:tblPr>
      <w:tblGrid>
        <w:gridCol w:w="2478"/>
        <w:gridCol w:w="18"/>
        <w:gridCol w:w="1870"/>
        <w:gridCol w:w="1950"/>
        <w:gridCol w:w="1204"/>
        <w:gridCol w:w="1830"/>
      </w:tblGrid>
      <w:tr w:rsidR="00C55E36" w14:paraId="4A862F55" w14:textId="77777777" w:rsidTr="00DC1475">
        <w:tc>
          <w:tcPr>
            <w:tcW w:w="1257" w:type="pct"/>
            <w:gridSpan w:val="2"/>
          </w:tcPr>
          <w:p w14:paraId="5822B23B" w14:textId="77777777" w:rsidR="00C55E36" w:rsidRDefault="00C55E36" w:rsidP="00DC1475">
            <w:pPr>
              <w:rPr>
                <w:rFonts w:cstheme="minorHAnsi"/>
                <w:b/>
              </w:rPr>
            </w:pPr>
            <w:r>
              <w:rPr>
                <w:rFonts w:cstheme="minorHAnsi"/>
                <w:b/>
              </w:rPr>
              <w:t>Evaluation Criteria and Questions</w:t>
            </w:r>
          </w:p>
        </w:tc>
        <w:tc>
          <w:tcPr>
            <w:tcW w:w="1068" w:type="pct"/>
          </w:tcPr>
          <w:p w14:paraId="5D96BDA3" w14:textId="77777777" w:rsidR="004352B4" w:rsidRDefault="00C55E36" w:rsidP="00DC1475">
            <w:pPr>
              <w:rPr>
                <w:rFonts w:cstheme="minorHAnsi"/>
                <w:b/>
              </w:rPr>
            </w:pPr>
            <w:r>
              <w:rPr>
                <w:rFonts w:cstheme="minorHAnsi"/>
                <w:b/>
              </w:rPr>
              <w:t>Indicators</w:t>
            </w:r>
            <w:r w:rsidR="004352B4">
              <w:rPr>
                <w:rFonts w:cstheme="minorHAnsi"/>
                <w:b/>
              </w:rPr>
              <w:t>/</w:t>
            </w:r>
          </w:p>
          <w:p w14:paraId="461C7965" w14:textId="46081774" w:rsidR="00C55E36" w:rsidRDefault="004352B4" w:rsidP="00DC1475">
            <w:pPr>
              <w:rPr>
                <w:rFonts w:cstheme="minorHAnsi"/>
                <w:b/>
              </w:rPr>
            </w:pPr>
            <w:r>
              <w:rPr>
                <w:rFonts w:cstheme="minorHAnsi"/>
                <w:b/>
              </w:rPr>
              <w:t>Judgment Criteria</w:t>
            </w:r>
          </w:p>
        </w:tc>
        <w:tc>
          <w:tcPr>
            <w:tcW w:w="1090" w:type="pct"/>
          </w:tcPr>
          <w:p w14:paraId="4D69EA1D" w14:textId="77777777" w:rsidR="00C55E36" w:rsidRDefault="00C55E36" w:rsidP="00DC1475">
            <w:pPr>
              <w:rPr>
                <w:rFonts w:cstheme="minorHAnsi"/>
                <w:b/>
              </w:rPr>
            </w:pPr>
            <w:r>
              <w:rPr>
                <w:rFonts w:cstheme="minorHAnsi"/>
                <w:b/>
              </w:rPr>
              <w:t xml:space="preserve">Data Sources </w:t>
            </w:r>
          </w:p>
        </w:tc>
        <w:tc>
          <w:tcPr>
            <w:tcW w:w="658" w:type="pct"/>
          </w:tcPr>
          <w:p w14:paraId="73472CE1" w14:textId="77777777" w:rsidR="00C55E36" w:rsidRDefault="00C55E36" w:rsidP="00DC1475">
            <w:pPr>
              <w:rPr>
                <w:rFonts w:cstheme="minorHAnsi"/>
                <w:b/>
              </w:rPr>
            </w:pPr>
            <w:r>
              <w:rPr>
                <w:rFonts w:cstheme="minorHAnsi"/>
                <w:b/>
              </w:rPr>
              <w:t>Method of data collection</w:t>
            </w:r>
          </w:p>
        </w:tc>
        <w:tc>
          <w:tcPr>
            <w:tcW w:w="926" w:type="pct"/>
          </w:tcPr>
          <w:p w14:paraId="0C91A57C" w14:textId="77777777" w:rsidR="00C55E36" w:rsidRDefault="00C55E36" w:rsidP="00DC1475">
            <w:pPr>
              <w:rPr>
                <w:rFonts w:cstheme="minorHAnsi"/>
                <w:b/>
              </w:rPr>
            </w:pPr>
            <w:r>
              <w:rPr>
                <w:rFonts w:cstheme="minorHAnsi"/>
                <w:b/>
              </w:rPr>
              <w:t>Data analysis method</w:t>
            </w:r>
          </w:p>
        </w:tc>
      </w:tr>
      <w:tr w:rsidR="00C55E36" w14:paraId="654163F4" w14:textId="77777777" w:rsidTr="00DC1475">
        <w:tc>
          <w:tcPr>
            <w:tcW w:w="5000" w:type="pct"/>
            <w:gridSpan w:val="6"/>
          </w:tcPr>
          <w:p w14:paraId="18D2ACF1" w14:textId="77777777" w:rsidR="00C55E36" w:rsidRDefault="00C55E36" w:rsidP="00DC1475">
            <w:pPr>
              <w:rPr>
                <w:rFonts w:cstheme="minorHAnsi"/>
                <w:b/>
              </w:rPr>
            </w:pPr>
            <w:r>
              <w:rPr>
                <w:rFonts w:cstheme="minorHAnsi"/>
                <w:b/>
              </w:rPr>
              <w:t>Relevance: The extent to which the intervention objectives and design respond to GoE/UNDP policies and priorities</w:t>
            </w:r>
          </w:p>
        </w:tc>
      </w:tr>
      <w:tr w:rsidR="00C55E36" w14:paraId="01D57AB4" w14:textId="77777777" w:rsidTr="00DC1475">
        <w:tc>
          <w:tcPr>
            <w:tcW w:w="1257" w:type="pct"/>
            <w:gridSpan w:val="2"/>
          </w:tcPr>
          <w:p w14:paraId="18A46FA5" w14:textId="77777777" w:rsidR="00C55E36" w:rsidRDefault="00C55E36" w:rsidP="00DC1475">
            <w:pPr>
              <w:rPr>
                <w:rFonts w:cstheme="minorHAnsi"/>
              </w:rPr>
            </w:pPr>
            <w:r>
              <w:rPr>
                <w:rFonts w:eastAsia="Times New Roman" w:cstheme="minorHAnsi"/>
                <w:lang w:eastAsia="en-CA"/>
              </w:rPr>
              <w:t>1.</w:t>
            </w:r>
            <w:r>
              <w:t xml:space="preserve"> To what extent the objectives and operations of the GDPP programme were consistent with the need of beneficiaries of the partner democratic institutions, the need of implementing partners, current country needs, and donors’ policies and expectations?</w:t>
            </w:r>
          </w:p>
        </w:tc>
        <w:tc>
          <w:tcPr>
            <w:tcW w:w="1068" w:type="pct"/>
          </w:tcPr>
          <w:p w14:paraId="775BC4E9" w14:textId="77777777" w:rsidR="00C55E36" w:rsidRDefault="00C55E36" w:rsidP="00DC1475">
            <w:pPr>
              <w:rPr>
                <w:rFonts w:cstheme="minorHAnsi"/>
              </w:rPr>
            </w:pPr>
            <w:r>
              <w:t xml:space="preserve">Relevant involvement of stakeholders in planning, designing and consulting at national and district levels to improve capacities to plan, implement and monitor </w:t>
            </w:r>
            <w:proofErr w:type="gramStart"/>
            <w:r>
              <w:t>the  GDPP</w:t>
            </w:r>
            <w:proofErr w:type="gramEnd"/>
            <w:r>
              <w:t>.</w:t>
            </w:r>
          </w:p>
        </w:tc>
        <w:tc>
          <w:tcPr>
            <w:tcW w:w="1090" w:type="pct"/>
          </w:tcPr>
          <w:p w14:paraId="169E12C9" w14:textId="77777777" w:rsidR="00C55E36" w:rsidRDefault="00C55E36" w:rsidP="00DC1475">
            <w:r>
              <w:t>Prodoc</w:t>
            </w:r>
          </w:p>
          <w:p w14:paraId="4943717A" w14:textId="77777777" w:rsidR="00C55E36" w:rsidRDefault="00C55E36" w:rsidP="00DC1475">
            <w:r>
              <w:t xml:space="preserve">Annual reports </w:t>
            </w:r>
          </w:p>
          <w:p w14:paraId="3B652199" w14:textId="77777777" w:rsidR="00C55E36" w:rsidRDefault="00C55E36" w:rsidP="00DC1475">
            <w:pPr>
              <w:rPr>
                <w:rFonts w:cstheme="minorHAnsi"/>
              </w:rPr>
            </w:pPr>
            <w:r>
              <w:t>MTR</w:t>
            </w:r>
          </w:p>
        </w:tc>
        <w:tc>
          <w:tcPr>
            <w:tcW w:w="658" w:type="pct"/>
          </w:tcPr>
          <w:p w14:paraId="31C6C0FA" w14:textId="77777777" w:rsidR="00C55E36" w:rsidRDefault="00C55E36" w:rsidP="00DC1475">
            <w:pPr>
              <w:rPr>
                <w:rFonts w:cstheme="minorHAnsi"/>
              </w:rPr>
            </w:pPr>
            <w:r>
              <w:rPr>
                <w:rFonts w:cstheme="minorHAnsi"/>
              </w:rPr>
              <w:t>Desk review; key informant interviews (KII)</w:t>
            </w:r>
          </w:p>
        </w:tc>
        <w:tc>
          <w:tcPr>
            <w:tcW w:w="926" w:type="pct"/>
          </w:tcPr>
          <w:p w14:paraId="30E5FADB" w14:textId="77777777" w:rsidR="00C55E36" w:rsidRDefault="00C55E36" w:rsidP="00DC1475">
            <w:pPr>
              <w:rPr>
                <w:rFonts w:cstheme="minorHAnsi"/>
              </w:rPr>
            </w:pPr>
            <w:r>
              <w:t>Multi-source evidence assessment (MEA); ToC analysis</w:t>
            </w:r>
          </w:p>
        </w:tc>
      </w:tr>
      <w:tr w:rsidR="00C55E36" w14:paraId="516CB9C9" w14:textId="77777777" w:rsidTr="00DC1475">
        <w:tc>
          <w:tcPr>
            <w:tcW w:w="1257" w:type="pct"/>
            <w:gridSpan w:val="2"/>
          </w:tcPr>
          <w:p w14:paraId="75D10861" w14:textId="77777777" w:rsidR="00C55E36" w:rsidRDefault="00C55E36" w:rsidP="00DC1475">
            <w:pPr>
              <w:shd w:val="clear" w:color="auto" w:fill="FFFFFF"/>
              <w:textAlignment w:val="baseline"/>
              <w:rPr>
                <w:rFonts w:cstheme="minorHAnsi"/>
              </w:rPr>
            </w:pPr>
            <w:r>
              <w:rPr>
                <w:rFonts w:eastAsia="Times New Roman" w:cs="Segoe UI"/>
                <w:lang w:eastAsia="en-CA"/>
              </w:rPr>
              <w:t>2.To what extent were the interventions aligned with the needs of other key stakeholders, particularly government and other actors in the sectors relevant to governance, democratic participation, and transparency?</w:t>
            </w:r>
          </w:p>
        </w:tc>
        <w:tc>
          <w:tcPr>
            <w:tcW w:w="1068" w:type="pct"/>
          </w:tcPr>
          <w:p w14:paraId="6F3B6BE5" w14:textId="77777777" w:rsidR="00C55E36" w:rsidRDefault="00C55E36" w:rsidP="00DC1475">
            <w:pPr>
              <w:rPr>
                <w:rFonts w:cstheme="minorHAnsi"/>
              </w:rPr>
            </w:pPr>
            <w:r>
              <w:t>Relevant support at national and provincial levels to improve capacities to plan, monitor and implement the GDPP.</w:t>
            </w:r>
          </w:p>
        </w:tc>
        <w:tc>
          <w:tcPr>
            <w:tcW w:w="1090" w:type="pct"/>
          </w:tcPr>
          <w:p w14:paraId="55A72E4B" w14:textId="77777777" w:rsidR="00C55E36" w:rsidRDefault="00C55E36" w:rsidP="00DC1475">
            <w:pPr>
              <w:rPr>
                <w:rFonts w:cstheme="minorHAnsi"/>
              </w:rPr>
            </w:pPr>
            <w:r>
              <w:rPr>
                <w:rFonts w:cstheme="minorHAnsi"/>
              </w:rPr>
              <w:t>UNDP staff, donors, IP agencies</w:t>
            </w:r>
          </w:p>
        </w:tc>
        <w:tc>
          <w:tcPr>
            <w:tcW w:w="658" w:type="pct"/>
          </w:tcPr>
          <w:p w14:paraId="09A7E810" w14:textId="77777777" w:rsidR="00C55E36" w:rsidRDefault="00C55E36" w:rsidP="00DC1475">
            <w:pPr>
              <w:rPr>
                <w:rFonts w:cstheme="minorHAnsi"/>
              </w:rPr>
            </w:pPr>
            <w:r>
              <w:rPr>
                <w:rFonts w:cstheme="minorHAnsi"/>
              </w:rPr>
              <w:t>Desk review; KII</w:t>
            </w:r>
          </w:p>
        </w:tc>
        <w:tc>
          <w:tcPr>
            <w:tcW w:w="926" w:type="pct"/>
          </w:tcPr>
          <w:p w14:paraId="097E681C" w14:textId="77777777" w:rsidR="00C55E36" w:rsidRDefault="00C55E36" w:rsidP="00DC1475">
            <w:pPr>
              <w:rPr>
                <w:rFonts w:cstheme="minorHAnsi"/>
              </w:rPr>
            </w:pPr>
            <w:r>
              <w:rPr>
                <w:rFonts w:cstheme="minorHAnsi"/>
              </w:rPr>
              <w:t>MEA</w:t>
            </w:r>
          </w:p>
        </w:tc>
      </w:tr>
      <w:tr w:rsidR="00C55E36" w14:paraId="4EE6767A" w14:textId="77777777" w:rsidTr="00DC1475">
        <w:tc>
          <w:tcPr>
            <w:tcW w:w="1257" w:type="pct"/>
            <w:gridSpan w:val="2"/>
          </w:tcPr>
          <w:p w14:paraId="53203606" w14:textId="77777777" w:rsidR="00C55E36" w:rsidRDefault="00C55E36" w:rsidP="00DC1475">
            <w:pPr>
              <w:shd w:val="clear" w:color="auto" w:fill="FFFFFF"/>
              <w:textAlignment w:val="baseline"/>
              <w:rPr>
                <w:rFonts w:cstheme="minorHAnsi"/>
              </w:rPr>
            </w:pPr>
            <w:r>
              <w:rPr>
                <w:rFonts w:eastAsia="Times New Roman" w:cs="Segoe UI"/>
                <w:lang w:eastAsia="en-CA"/>
              </w:rPr>
              <w:t>3.Were the approaches and strategies/arrangements used relevant to achieve intended sub-outputs, outputs, and outcomes of the programme/intervention? To what extent the thematic focus and institutional scope of the Programme were appropriate to achieve intended results?</w:t>
            </w:r>
          </w:p>
        </w:tc>
        <w:tc>
          <w:tcPr>
            <w:tcW w:w="1068" w:type="pct"/>
          </w:tcPr>
          <w:p w14:paraId="15C57480" w14:textId="77777777" w:rsidR="00C55E36" w:rsidRDefault="00C55E36" w:rsidP="00DC1475">
            <w:pPr>
              <w:rPr>
                <w:rFonts w:cstheme="minorHAnsi"/>
              </w:rPr>
            </w:pPr>
            <w:r>
              <w:rPr>
                <w:rFonts w:cstheme="minorHAnsi"/>
              </w:rPr>
              <w:t>Key indicators for all outputs; key drivers of change; assessment of the planning/designing initiatives.</w:t>
            </w:r>
          </w:p>
        </w:tc>
        <w:tc>
          <w:tcPr>
            <w:tcW w:w="1090" w:type="pct"/>
          </w:tcPr>
          <w:p w14:paraId="531310B1" w14:textId="77777777" w:rsidR="00C55E36" w:rsidRDefault="00C55E36" w:rsidP="00DC1475">
            <w:pPr>
              <w:rPr>
                <w:rFonts w:cstheme="minorHAnsi"/>
              </w:rPr>
            </w:pPr>
            <w:r>
              <w:rPr>
                <w:rFonts w:cstheme="minorHAnsi"/>
              </w:rPr>
              <w:t>UNDP staff, Prodoc review; annual reports, MTR</w:t>
            </w:r>
          </w:p>
        </w:tc>
        <w:tc>
          <w:tcPr>
            <w:tcW w:w="658" w:type="pct"/>
          </w:tcPr>
          <w:p w14:paraId="1D742700" w14:textId="77777777" w:rsidR="00C55E36" w:rsidRDefault="00C55E36" w:rsidP="00DC1475">
            <w:pPr>
              <w:rPr>
                <w:rFonts w:cstheme="minorHAnsi"/>
              </w:rPr>
            </w:pPr>
            <w:r>
              <w:rPr>
                <w:rFonts w:cstheme="minorHAnsi"/>
              </w:rPr>
              <w:t>Desk review; KII</w:t>
            </w:r>
          </w:p>
        </w:tc>
        <w:tc>
          <w:tcPr>
            <w:tcW w:w="926" w:type="pct"/>
          </w:tcPr>
          <w:p w14:paraId="0C08F688" w14:textId="77777777" w:rsidR="00C55E36" w:rsidRDefault="00C55E36" w:rsidP="00DC1475">
            <w:pPr>
              <w:rPr>
                <w:rFonts w:cstheme="minorHAnsi"/>
              </w:rPr>
            </w:pPr>
            <w:r>
              <w:rPr>
                <w:rFonts w:cstheme="minorHAnsi"/>
              </w:rPr>
              <w:t>MEA</w:t>
            </w:r>
          </w:p>
        </w:tc>
      </w:tr>
      <w:tr w:rsidR="00C55E36" w14:paraId="2BADC3F2" w14:textId="77777777" w:rsidTr="00DC1475">
        <w:tc>
          <w:tcPr>
            <w:tcW w:w="1257" w:type="pct"/>
            <w:gridSpan w:val="2"/>
          </w:tcPr>
          <w:p w14:paraId="7A5C1390" w14:textId="77777777" w:rsidR="00C55E36" w:rsidRDefault="00C55E36" w:rsidP="00DC1475">
            <w:pPr>
              <w:shd w:val="clear" w:color="auto" w:fill="FFFFFF"/>
              <w:textAlignment w:val="baseline"/>
              <w:rPr>
                <w:rFonts w:eastAsia="Times New Roman" w:cs="Segoe UI"/>
                <w:lang w:eastAsia="en-CA"/>
              </w:rPr>
            </w:pPr>
            <w:r>
              <w:rPr>
                <w:rFonts w:eastAsia="Times New Roman" w:cstheme="minorHAnsi"/>
                <w:lang w:eastAsia="en-CA"/>
              </w:rPr>
              <w:lastRenderedPageBreak/>
              <w:t xml:space="preserve">4. </w:t>
            </w:r>
            <w:r>
              <w:rPr>
                <w:rFonts w:eastAsia="Times New Roman" w:cs="Segoe UI"/>
                <w:lang w:eastAsia="en-CA"/>
              </w:rPr>
              <w:t>To what extent did the interventions respond to the needs of vulnerable groups and women?</w:t>
            </w:r>
          </w:p>
          <w:p w14:paraId="39677512" w14:textId="77777777" w:rsidR="00C55E36" w:rsidRDefault="00C55E36" w:rsidP="00DC1475">
            <w:pPr>
              <w:textAlignment w:val="baseline"/>
              <w:rPr>
                <w:rFonts w:eastAsia="Times New Roman" w:cstheme="minorHAnsi"/>
                <w:lang w:eastAsia="en-CA"/>
              </w:rPr>
            </w:pPr>
          </w:p>
        </w:tc>
        <w:tc>
          <w:tcPr>
            <w:tcW w:w="1068" w:type="pct"/>
          </w:tcPr>
          <w:p w14:paraId="510313D2" w14:textId="77777777" w:rsidR="00C55E36" w:rsidRDefault="00C55E36" w:rsidP="00DC1475">
            <w:pPr>
              <w:rPr>
                <w:rFonts w:cstheme="minorHAnsi"/>
              </w:rPr>
            </w:pPr>
            <w:r>
              <w:rPr>
                <w:rFonts w:cstheme="minorHAnsi"/>
              </w:rPr>
              <w:t>Prodoc demonstrates gendered analysis of vulnerability; progress reports disaggregate gender; Rigorous use of Gender marker.</w:t>
            </w:r>
          </w:p>
        </w:tc>
        <w:tc>
          <w:tcPr>
            <w:tcW w:w="1090" w:type="pct"/>
          </w:tcPr>
          <w:p w14:paraId="7E1C48C9" w14:textId="77777777" w:rsidR="00C55E36" w:rsidRDefault="00C55E36" w:rsidP="00DC1475">
            <w:pPr>
              <w:rPr>
                <w:rFonts w:cstheme="minorHAnsi"/>
              </w:rPr>
            </w:pPr>
            <w:r>
              <w:rPr>
                <w:rFonts w:cstheme="minorHAnsi"/>
              </w:rPr>
              <w:t xml:space="preserve">Prodoc review, Progress reports, </w:t>
            </w:r>
          </w:p>
          <w:p w14:paraId="1E213DA2" w14:textId="77777777" w:rsidR="00C55E36" w:rsidRDefault="00C55E36" w:rsidP="00DC1475">
            <w:pPr>
              <w:rPr>
                <w:rFonts w:cstheme="minorHAnsi"/>
              </w:rPr>
            </w:pPr>
            <w:r>
              <w:rPr>
                <w:rFonts w:cstheme="minorHAnsi"/>
              </w:rPr>
              <w:t xml:space="preserve">IPs, Project staff, </w:t>
            </w:r>
          </w:p>
          <w:p w14:paraId="7C463801" w14:textId="77777777" w:rsidR="00C55E36" w:rsidRDefault="00C55E36" w:rsidP="00DC1475">
            <w:pPr>
              <w:rPr>
                <w:rFonts w:cstheme="minorHAnsi"/>
              </w:rPr>
            </w:pPr>
          </w:p>
        </w:tc>
        <w:tc>
          <w:tcPr>
            <w:tcW w:w="658" w:type="pct"/>
          </w:tcPr>
          <w:p w14:paraId="2CDF7B7F" w14:textId="77777777" w:rsidR="00C55E36" w:rsidRDefault="00C55E36" w:rsidP="00DC1475">
            <w:pPr>
              <w:rPr>
                <w:rFonts w:cstheme="minorHAnsi"/>
              </w:rPr>
            </w:pPr>
            <w:r>
              <w:rPr>
                <w:rFonts w:cstheme="minorHAnsi"/>
              </w:rPr>
              <w:t>Desk review, KII</w:t>
            </w:r>
          </w:p>
        </w:tc>
        <w:tc>
          <w:tcPr>
            <w:tcW w:w="926" w:type="pct"/>
          </w:tcPr>
          <w:p w14:paraId="149177CE" w14:textId="77777777" w:rsidR="00C55E36" w:rsidRDefault="00C55E36" w:rsidP="00DC1475">
            <w:pPr>
              <w:rPr>
                <w:rFonts w:cstheme="minorHAnsi"/>
              </w:rPr>
            </w:pPr>
            <w:r>
              <w:rPr>
                <w:rFonts w:cstheme="minorHAnsi"/>
              </w:rPr>
              <w:t>Qualitative analysis</w:t>
            </w:r>
          </w:p>
        </w:tc>
      </w:tr>
      <w:tr w:rsidR="00C55E36" w14:paraId="780B41BF" w14:textId="77777777" w:rsidTr="00DC1475">
        <w:tc>
          <w:tcPr>
            <w:tcW w:w="1257" w:type="pct"/>
            <w:gridSpan w:val="2"/>
          </w:tcPr>
          <w:p w14:paraId="4442F7E6" w14:textId="77777777" w:rsidR="00C55E36" w:rsidRDefault="00C55E36" w:rsidP="00DC1475">
            <w:pPr>
              <w:shd w:val="clear" w:color="auto" w:fill="FFFFFF"/>
              <w:textAlignment w:val="baseline"/>
              <w:rPr>
                <w:rFonts w:eastAsia="Times New Roman" w:cstheme="minorHAnsi"/>
                <w:lang w:eastAsia="en-CA"/>
              </w:rPr>
            </w:pPr>
            <w:r>
              <w:rPr>
                <w:rFonts w:eastAsia="Times New Roman" w:cs="Segoe UI"/>
                <w:lang w:eastAsia="en-CA"/>
              </w:rPr>
              <w:t>5.To what extent the Programme was aligned to the SDGs, GTP II, Home-grown Economic Reform Programme, Ten Years Development Perspective Plan, UNDAF (now superseded by the UNSDCF but the Evaluation will focus on the UNDAF), the New Horizon of Hope in Africa, and other relevant national policies?</w:t>
            </w:r>
          </w:p>
        </w:tc>
        <w:tc>
          <w:tcPr>
            <w:tcW w:w="1068" w:type="pct"/>
          </w:tcPr>
          <w:p w14:paraId="582D1C5A" w14:textId="77777777" w:rsidR="00C55E36" w:rsidRDefault="00C55E36" w:rsidP="00DC1475">
            <w:pPr>
              <w:rPr>
                <w:rFonts w:cstheme="minorHAnsi"/>
              </w:rPr>
            </w:pPr>
            <w:r>
              <w:rPr>
                <w:rFonts w:cstheme="minorHAnsi"/>
              </w:rPr>
              <w:t>Clear diagnostic of institutional capacity weaknesses. Activities follow a clear pathway to capacity development; evidence of outcome monitoring</w:t>
            </w:r>
          </w:p>
        </w:tc>
        <w:tc>
          <w:tcPr>
            <w:tcW w:w="1090" w:type="pct"/>
          </w:tcPr>
          <w:p w14:paraId="55A594D1" w14:textId="77777777" w:rsidR="00C55E36" w:rsidRDefault="00C55E36" w:rsidP="00DC1475">
            <w:pPr>
              <w:rPr>
                <w:rFonts w:cstheme="minorHAnsi"/>
              </w:rPr>
            </w:pPr>
            <w:r>
              <w:rPr>
                <w:rFonts w:cstheme="minorHAnsi"/>
              </w:rPr>
              <w:t>UNDP staff, development partners, IPs.</w:t>
            </w:r>
          </w:p>
        </w:tc>
        <w:tc>
          <w:tcPr>
            <w:tcW w:w="658" w:type="pct"/>
          </w:tcPr>
          <w:p w14:paraId="4C4AF3E3" w14:textId="77777777" w:rsidR="00C55E36" w:rsidRDefault="00C55E36" w:rsidP="00DC1475">
            <w:pPr>
              <w:rPr>
                <w:rFonts w:cstheme="minorHAnsi"/>
              </w:rPr>
            </w:pPr>
            <w:r>
              <w:rPr>
                <w:rFonts w:cstheme="minorHAnsi"/>
              </w:rPr>
              <w:t>KII, desk review</w:t>
            </w:r>
          </w:p>
        </w:tc>
        <w:tc>
          <w:tcPr>
            <w:tcW w:w="926" w:type="pct"/>
          </w:tcPr>
          <w:p w14:paraId="727B1CC2" w14:textId="77777777" w:rsidR="00C55E36" w:rsidRDefault="00C55E36" w:rsidP="00DC1475">
            <w:pPr>
              <w:rPr>
                <w:rFonts w:cstheme="minorHAnsi"/>
              </w:rPr>
            </w:pPr>
            <w:r>
              <w:rPr>
                <w:rFonts w:cstheme="minorHAnsi"/>
              </w:rPr>
              <w:t>MEA</w:t>
            </w:r>
          </w:p>
        </w:tc>
      </w:tr>
      <w:tr w:rsidR="00C55E36" w14:paraId="7D3324F0" w14:textId="77777777" w:rsidTr="00DC1475">
        <w:tc>
          <w:tcPr>
            <w:tcW w:w="1257" w:type="pct"/>
            <w:gridSpan w:val="2"/>
          </w:tcPr>
          <w:p w14:paraId="62E64594" w14:textId="77777777" w:rsidR="00C55E36" w:rsidRDefault="00C55E36" w:rsidP="00DC1475">
            <w:pPr>
              <w:shd w:val="clear" w:color="auto" w:fill="FFFFFF"/>
              <w:textAlignment w:val="baseline"/>
              <w:rPr>
                <w:rFonts w:eastAsia="Times New Roman" w:cs="Segoe UI"/>
                <w:color w:val="4B4F58"/>
                <w:lang w:eastAsia="en-CA"/>
              </w:rPr>
            </w:pPr>
            <w:r>
              <w:rPr>
                <w:rFonts w:eastAsia="Times New Roman" w:cs="Segoe UI"/>
                <w:lang w:eastAsia="en-CA"/>
              </w:rPr>
              <w:t>6.To what extent were the Programme’s interventions coherent with UNDP’s policies, strategies, and normative guidance?</w:t>
            </w:r>
          </w:p>
        </w:tc>
        <w:tc>
          <w:tcPr>
            <w:tcW w:w="1068" w:type="pct"/>
          </w:tcPr>
          <w:p w14:paraId="37082F16" w14:textId="77777777" w:rsidR="00C55E36" w:rsidRDefault="00C55E36" w:rsidP="00DC1475">
            <w:pPr>
              <w:rPr>
                <w:rFonts w:cstheme="minorHAnsi"/>
              </w:rPr>
            </w:pPr>
            <w:r>
              <w:rPr>
                <w:rFonts w:cstheme="minorHAnsi"/>
              </w:rPr>
              <w:t>Overlaps with Qs. 1 &amp; 5</w:t>
            </w:r>
          </w:p>
        </w:tc>
        <w:tc>
          <w:tcPr>
            <w:tcW w:w="1090" w:type="pct"/>
          </w:tcPr>
          <w:p w14:paraId="50031D2F" w14:textId="77777777" w:rsidR="00C55E36" w:rsidRDefault="00C55E36" w:rsidP="00DC1475">
            <w:pPr>
              <w:rPr>
                <w:rFonts w:cstheme="minorHAnsi"/>
              </w:rPr>
            </w:pPr>
            <w:r>
              <w:rPr>
                <w:rFonts w:cstheme="minorHAnsi"/>
              </w:rPr>
              <w:t>UNDP staff; progress reports.</w:t>
            </w:r>
          </w:p>
        </w:tc>
        <w:tc>
          <w:tcPr>
            <w:tcW w:w="658" w:type="pct"/>
          </w:tcPr>
          <w:p w14:paraId="228364C6" w14:textId="77777777" w:rsidR="00C55E36" w:rsidRDefault="00C55E36" w:rsidP="00DC1475">
            <w:pPr>
              <w:rPr>
                <w:rFonts w:cstheme="minorHAnsi"/>
              </w:rPr>
            </w:pPr>
            <w:r>
              <w:rPr>
                <w:rFonts w:cstheme="minorHAnsi"/>
              </w:rPr>
              <w:t>KII, desk review</w:t>
            </w:r>
          </w:p>
        </w:tc>
        <w:tc>
          <w:tcPr>
            <w:tcW w:w="926" w:type="pct"/>
          </w:tcPr>
          <w:p w14:paraId="25BDCB76" w14:textId="77777777" w:rsidR="00C55E36" w:rsidRDefault="00C55E36" w:rsidP="00DC1475">
            <w:pPr>
              <w:rPr>
                <w:rFonts w:cstheme="minorHAnsi"/>
              </w:rPr>
            </w:pPr>
            <w:r>
              <w:rPr>
                <w:rFonts w:cstheme="minorHAnsi"/>
              </w:rPr>
              <w:t>MEA</w:t>
            </w:r>
          </w:p>
        </w:tc>
      </w:tr>
      <w:tr w:rsidR="00C55E36" w14:paraId="19CDE394" w14:textId="77777777" w:rsidTr="00DC1475">
        <w:tc>
          <w:tcPr>
            <w:tcW w:w="1257" w:type="pct"/>
            <w:gridSpan w:val="2"/>
          </w:tcPr>
          <w:p w14:paraId="2E1CF86F" w14:textId="77777777" w:rsidR="00C55E36" w:rsidRDefault="00C55E36" w:rsidP="00DC1475">
            <w:pPr>
              <w:shd w:val="clear" w:color="auto" w:fill="FFFFFF"/>
              <w:textAlignment w:val="baseline"/>
              <w:rPr>
                <w:rFonts w:eastAsia="Times New Roman" w:cs="Segoe UI"/>
                <w:color w:val="4B4F58"/>
                <w:lang w:eastAsia="en-CA"/>
              </w:rPr>
            </w:pPr>
            <w:r>
              <w:rPr>
                <w:rFonts w:eastAsia="Times New Roman" w:cs="Segoe UI"/>
                <w:lang w:eastAsia="en-CA"/>
              </w:rPr>
              <w:t>7.To what extent were the key stakeholders of the Programme, including downstream stakeholders, engaged in the design, implementation and monitoring of the Programme? To what extent is the national ownership and leadership on the planning, implementation, and monitoring of the Programme?</w:t>
            </w:r>
          </w:p>
        </w:tc>
        <w:tc>
          <w:tcPr>
            <w:tcW w:w="1068" w:type="pct"/>
          </w:tcPr>
          <w:p w14:paraId="28738DDF" w14:textId="77777777" w:rsidR="00C55E36" w:rsidRDefault="00C55E36" w:rsidP="00DC1475">
            <w:pPr>
              <w:rPr>
                <w:rFonts w:cstheme="minorHAnsi"/>
              </w:rPr>
            </w:pPr>
            <w:r>
              <w:rPr>
                <w:rFonts w:cstheme="minorHAnsi"/>
              </w:rPr>
              <w:t>Overlaps with Q. 1</w:t>
            </w:r>
          </w:p>
        </w:tc>
        <w:tc>
          <w:tcPr>
            <w:tcW w:w="1090" w:type="pct"/>
          </w:tcPr>
          <w:p w14:paraId="74166BCA" w14:textId="77777777" w:rsidR="00C55E36" w:rsidRDefault="00C55E36" w:rsidP="00DC1475">
            <w:r>
              <w:t>Prodoc</w:t>
            </w:r>
          </w:p>
          <w:p w14:paraId="1B32250A" w14:textId="77777777" w:rsidR="00C55E36" w:rsidRDefault="00C55E36" w:rsidP="00DC1475">
            <w:r>
              <w:t xml:space="preserve">Annual reports </w:t>
            </w:r>
          </w:p>
          <w:p w14:paraId="6DC39F76" w14:textId="77777777" w:rsidR="00C55E36" w:rsidRDefault="00C55E36" w:rsidP="00DC1475">
            <w:pPr>
              <w:rPr>
                <w:rFonts w:cstheme="minorHAnsi"/>
              </w:rPr>
            </w:pPr>
            <w:r>
              <w:t>MTR, IPs</w:t>
            </w:r>
          </w:p>
        </w:tc>
        <w:tc>
          <w:tcPr>
            <w:tcW w:w="658" w:type="pct"/>
          </w:tcPr>
          <w:p w14:paraId="04C95FDE" w14:textId="77777777" w:rsidR="00C55E36" w:rsidRDefault="00C55E36" w:rsidP="00DC1475">
            <w:pPr>
              <w:rPr>
                <w:rFonts w:cstheme="minorHAnsi"/>
              </w:rPr>
            </w:pPr>
            <w:r>
              <w:rPr>
                <w:rFonts w:cstheme="minorHAnsi"/>
              </w:rPr>
              <w:t>KII, desk review</w:t>
            </w:r>
          </w:p>
        </w:tc>
        <w:tc>
          <w:tcPr>
            <w:tcW w:w="926" w:type="pct"/>
          </w:tcPr>
          <w:p w14:paraId="3C6F6DA3" w14:textId="77777777" w:rsidR="00C55E36" w:rsidRDefault="00C55E36" w:rsidP="00DC1475">
            <w:pPr>
              <w:rPr>
                <w:rFonts w:cstheme="minorHAnsi"/>
              </w:rPr>
            </w:pPr>
            <w:r>
              <w:rPr>
                <w:rFonts w:cstheme="minorHAnsi"/>
              </w:rPr>
              <w:t>MEA</w:t>
            </w:r>
          </w:p>
        </w:tc>
      </w:tr>
      <w:tr w:rsidR="00C55E36" w14:paraId="1F0E90E0" w14:textId="77777777" w:rsidTr="00DC1475">
        <w:tc>
          <w:tcPr>
            <w:tcW w:w="1257" w:type="pct"/>
            <w:gridSpan w:val="2"/>
          </w:tcPr>
          <w:p w14:paraId="0AA064AF" w14:textId="77777777" w:rsidR="00C55E36" w:rsidRDefault="00C55E36" w:rsidP="00DC1475">
            <w:pPr>
              <w:shd w:val="clear" w:color="auto" w:fill="FFFFFF"/>
              <w:textAlignment w:val="baseline"/>
              <w:rPr>
                <w:rFonts w:eastAsia="Times New Roman" w:cs="Segoe UI"/>
                <w:color w:val="4B4F58"/>
                <w:lang w:eastAsia="en-CA"/>
              </w:rPr>
            </w:pPr>
            <w:r>
              <w:rPr>
                <w:rFonts w:eastAsia="Times New Roman" w:cs="Segoe UI"/>
                <w:lang w:eastAsia="en-CA"/>
              </w:rPr>
              <w:lastRenderedPageBreak/>
              <w:t>8.Did the assumptions and the Theory of Change hold true? If not, why and recommend ToC and results pathways of the 2</w:t>
            </w:r>
            <w:r>
              <w:rPr>
                <w:rFonts w:eastAsia="Times New Roman" w:cs="Segoe UI"/>
                <w:vertAlign w:val="superscript"/>
                <w:lang w:eastAsia="en-CA"/>
              </w:rPr>
              <w:t>nd</w:t>
            </w:r>
            <w:r>
              <w:rPr>
                <w:rFonts w:eastAsia="Times New Roman" w:cs="Segoe UI"/>
                <w:lang w:eastAsia="en-CA"/>
              </w:rPr>
              <w:t xml:space="preserve"> programme cycle of the GDPP?</w:t>
            </w:r>
          </w:p>
        </w:tc>
        <w:tc>
          <w:tcPr>
            <w:tcW w:w="1068" w:type="pct"/>
          </w:tcPr>
          <w:p w14:paraId="46433EBA" w14:textId="77777777" w:rsidR="00C55E36" w:rsidRDefault="00C55E36" w:rsidP="00DC1475">
            <w:pPr>
              <w:rPr>
                <w:rFonts w:cstheme="minorHAnsi"/>
              </w:rPr>
            </w:pPr>
            <w:r>
              <w:rPr>
                <w:rFonts w:cstheme="minorHAnsi"/>
              </w:rPr>
              <w:t>Key indicators for all outputs. Key elements of ToC are coherent; evidence of ToC parameters reflected in monitoring and reporting.</w:t>
            </w:r>
          </w:p>
        </w:tc>
        <w:tc>
          <w:tcPr>
            <w:tcW w:w="1090" w:type="pct"/>
          </w:tcPr>
          <w:p w14:paraId="1CCA4568" w14:textId="77777777" w:rsidR="00C55E36" w:rsidRDefault="00C55E36" w:rsidP="00DC1475">
            <w:r>
              <w:rPr>
                <w:rFonts w:cstheme="minorHAnsi"/>
              </w:rPr>
              <w:t>UNDP staff, development partners, IPs.</w:t>
            </w:r>
          </w:p>
        </w:tc>
        <w:tc>
          <w:tcPr>
            <w:tcW w:w="658" w:type="pct"/>
          </w:tcPr>
          <w:p w14:paraId="16D56679" w14:textId="77777777" w:rsidR="00C55E36" w:rsidRDefault="00C55E36" w:rsidP="00DC1475">
            <w:pPr>
              <w:rPr>
                <w:rFonts w:cstheme="minorHAnsi"/>
              </w:rPr>
            </w:pPr>
            <w:r>
              <w:rPr>
                <w:rFonts w:cstheme="minorHAnsi"/>
              </w:rPr>
              <w:t>KII, desk review, MTR, Annual reports.</w:t>
            </w:r>
          </w:p>
        </w:tc>
        <w:tc>
          <w:tcPr>
            <w:tcW w:w="926" w:type="pct"/>
          </w:tcPr>
          <w:p w14:paraId="13C8F292" w14:textId="77777777" w:rsidR="00C55E36" w:rsidRDefault="00C55E36" w:rsidP="00DC1475">
            <w:pPr>
              <w:rPr>
                <w:rFonts w:cstheme="minorHAnsi"/>
              </w:rPr>
            </w:pPr>
            <w:r>
              <w:rPr>
                <w:rFonts w:cstheme="minorHAnsi"/>
              </w:rPr>
              <w:t>MEA, ToC analysis.</w:t>
            </w:r>
          </w:p>
        </w:tc>
      </w:tr>
      <w:tr w:rsidR="00C55E36" w14:paraId="6D7CADB9" w14:textId="77777777" w:rsidTr="00DC1475">
        <w:tc>
          <w:tcPr>
            <w:tcW w:w="5000" w:type="pct"/>
            <w:gridSpan w:val="6"/>
          </w:tcPr>
          <w:p w14:paraId="0CD89FF2" w14:textId="77777777" w:rsidR="00C55E36" w:rsidRDefault="00C55E36" w:rsidP="00DC1475">
            <w:pPr>
              <w:rPr>
                <w:rFonts w:cstheme="minorHAnsi"/>
              </w:rPr>
            </w:pPr>
            <w:r>
              <w:rPr>
                <w:rFonts w:eastAsia="Times New Roman" w:cstheme="minorHAnsi"/>
                <w:b/>
                <w:bCs/>
                <w:iCs/>
                <w:lang w:eastAsia="en-CA"/>
              </w:rPr>
              <w:t>Effectiveness: The extent to which the interventions achieved, or is expected to achieve, its objectives and its results.</w:t>
            </w:r>
          </w:p>
        </w:tc>
      </w:tr>
      <w:tr w:rsidR="00C55E36" w14:paraId="00547948" w14:textId="77777777" w:rsidTr="00DC1475">
        <w:tc>
          <w:tcPr>
            <w:tcW w:w="1257" w:type="pct"/>
            <w:gridSpan w:val="2"/>
          </w:tcPr>
          <w:p w14:paraId="632195DB" w14:textId="77777777" w:rsidR="00C55E36" w:rsidRDefault="00C55E36" w:rsidP="00DC1475">
            <w:pPr>
              <w:rPr>
                <w:rFonts w:eastAsia="Times New Roman" w:cstheme="minorHAnsi"/>
                <w:lang w:eastAsia="en-CA"/>
              </w:rPr>
            </w:pPr>
            <w:r>
              <w:t>9.To what extent did this programme achieve its planned sub-outputs, outputs, immediate outcomes, and objectives?</w:t>
            </w:r>
          </w:p>
        </w:tc>
        <w:tc>
          <w:tcPr>
            <w:tcW w:w="1068" w:type="pct"/>
          </w:tcPr>
          <w:p w14:paraId="1A7ED1F2" w14:textId="77777777" w:rsidR="00C55E36" w:rsidRDefault="00C55E36" w:rsidP="00DC1475">
            <w:pPr>
              <w:rPr>
                <w:rFonts w:cstheme="minorHAnsi"/>
              </w:rPr>
            </w:pPr>
            <w:r>
              <w:rPr>
                <w:rFonts w:cstheme="minorHAnsi"/>
              </w:rPr>
              <w:t>Overlaps with Qs 1, 2, 3</w:t>
            </w:r>
          </w:p>
        </w:tc>
        <w:tc>
          <w:tcPr>
            <w:tcW w:w="1090" w:type="pct"/>
          </w:tcPr>
          <w:p w14:paraId="0E48ED29" w14:textId="77777777" w:rsidR="00C55E36" w:rsidRDefault="00C55E36" w:rsidP="00DC1475">
            <w:pPr>
              <w:rPr>
                <w:rFonts w:cstheme="minorHAnsi"/>
              </w:rPr>
            </w:pPr>
            <w:r>
              <w:rPr>
                <w:rFonts w:cstheme="minorHAnsi"/>
              </w:rPr>
              <w:t>UNDP staff, development partners, IPs.</w:t>
            </w:r>
          </w:p>
        </w:tc>
        <w:tc>
          <w:tcPr>
            <w:tcW w:w="658" w:type="pct"/>
          </w:tcPr>
          <w:p w14:paraId="1EBEF2DF" w14:textId="77777777" w:rsidR="00C55E36" w:rsidRDefault="00C55E36" w:rsidP="00DC1475">
            <w:pPr>
              <w:rPr>
                <w:rFonts w:cstheme="minorHAnsi"/>
              </w:rPr>
            </w:pPr>
            <w:r>
              <w:rPr>
                <w:rFonts w:cstheme="minorHAnsi"/>
              </w:rPr>
              <w:t>KII, desk review</w:t>
            </w:r>
          </w:p>
        </w:tc>
        <w:tc>
          <w:tcPr>
            <w:tcW w:w="926" w:type="pct"/>
          </w:tcPr>
          <w:p w14:paraId="1E781899" w14:textId="77777777" w:rsidR="00C55E36" w:rsidRDefault="00C55E36" w:rsidP="00DC1475">
            <w:pPr>
              <w:rPr>
                <w:rFonts w:cstheme="minorHAnsi"/>
              </w:rPr>
            </w:pPr>
            <w:r>
              <w:rPr>
                <w:rFonts w:cstheme="minorHAnsi"/>
              </w:rPr>
              <w:t>MEA</w:t>
            </w:r>
          </w:p>
        </w:tc>
      </w:tr>
      <w:tr w:rsidR="00C55E36" w14:paraId="63CD186B" w14:textId="77777777" w:rsidTr="00DC1475">
        <w:tc>
          <w:tcPr>
            <w:tcW w:w="1257" w:type="pct"/>
            <w:gridSpan w:val="2"/>
          </w:tcPr>
          <w:p w14:paraId="43BD6E83" w14:textId="77777777" w:rsidR="00C55E36" w:rsidRDefault="00C55E36" w:rsidP="00DC1475">
            <w:pPr>
              <w:rPr>
                <w:rFonts w:cstheme="minorHAnsi"/>
              </w:rPr>
            </w:pPr>
            <w:r>
              <w:t>10.What were the main expected and unexpected results of the programme?</w:t>
            </w:r>
          </w:p>
        </w:tc>
        <w:tc>
          <w:tcPr>
            <w:tcW w:w="1068" w:type="pct"/>
          </w:tcPr>
          <w:p w14:paraId="554569A3" w14:textId="77777777" w:rsidR="00C55E36" w:rsidRDefault="00C55E36" w:rsidP="00DC1475">
            <w:pPr>
              <w:rPr>
                <w:rFonts w:cstheme="minorHAnsi"/>
              </w:rPr>
            </w:pPr>
            <w:r>
              <w:rPr>
                <w:rFonts w:cstheme="minorHAnsi"/>
              </w:rPr>
              <w:t>Key indicators for all outputs; key drivers of change/outcomes</w:t>
            </w:r>
          </w:p>
        </w:tc>
        <w:tc>
          <w:tcPr>
            <w:tcW w:w="1090" w:type="pct"/>
          </w:tcPr>
          <w:p w14:paraId="62F27678" w14:textId="77777777" w:rsidR="00C55E36" w:rsidRDefault="00C55E36" w:rsidP="00DC1475">
            <w:pPr>
              <w:rPr>
                <w:rFonts w:cstheme="minorHAnsi"/>
              </w:rPr>
            </w:pPr>
            <w:r>
              <w:rPr>
                <w:rFonts w:cstheme="minorHAnsi"/>
              </w:rPr>
              <w:t>UNDP staff, IPs &amp; progress reports; MTR reports.</w:t>
            </w:r>
          </w:p>
        </w:tc>
        <w:tc>
          <w:tcPr>
            <w:tcW w:w="658" w:type="pct"/>
          </w:tcPr>
          <w:p w14:paraId="0AB7B4C9" w14:textId="77777777" w:rsidR="00C55E36" w:rsidRDefault="00C55E36" w:rsidP="00DC1475">
            <w:pPr>
              <w:rPr>
                <w:rFonts w:cstheme="minorHAnsi"/>
              </w:rPr>
            </w:pPr>
            <w:r>
              <w:rPr>
                <w:rFonts w:cstheme="minorHAnsi"/>
              </w:rPr>
              <w:t>KII, Focus Group Discussions (FGD), site visits, desk review.</w:t>
            </w:r>
          </w:p>
        </w:tc>
        <w:tc>
          <w:tcPr>
            <w:tcW w:w="926" w:type="pct"/>
          </w:tcPr>
          <w:p w14:paraId="449F38AB" w14:textId="77777777" w:rsidR="00C55E36" w:rsidRDefault="00C55E36" w:rsidP="00DC1475">
            <w:pPr>
              <w:rPr>
                <w:rFonts w:cstheme="minorHAnsi"/>
                <w:lang w:val="fr-FR"/>
              </w:rPr>
            </w:pPr>
            <w:r>
              <w:rPr>
                <w:rFonts w:cstheme="minorHAnsi"/>
                <w:lang w:val="fr-FR"/>
              </w:rPr>
              <w:t xml:space="preserve">Contribution </w:t>
            </w:r>
            <w:proofErr w:type="spellStart"/>
            <w:r>
              <w:rPr>
                <w:rFonts w:cstheme="minorHAnsi"/>
                <w:lang w:val="fr-FR"/>
              </w:rPr>
              <w:t>analysis</w:t>
            </w:r>
            <w:proofErr w:type="spellEnd"/>
            <w:r>
              <w:rPr>
                <w:rFonts w:cstheme="minorHAnsi"/>
                <w:lang w:val="fr-FR"/>
              </w:rPr>
              <w:t xml:space="preserve"> ; </w:t>
            </w:r>
          </w:p>
          <w:p w14:paraId="2B4DD40F" w14:textId="77777777" w:rsidR="00C55E36" w:rsidRDefault="00C55E36" w:rsidP="00DC1475">
            <w:pPr>
              <w:rPr>
                <w:rFonts w:cstheme="minorHAnsi"/>
              </w:rPr>
            </w:pPr>
            <w:r>
              <w:rPr>
                <w:rFonts w:cstheme="minorHAnsi"/>
                <w:lang w:val="fr-FR"/>
              </w:rPr>
              <w:t xml:space="preserve">Qualitative </w:t>
            </w:r>
            <w:proofErr w:type="spellStart"/>
            <w:r>
              <w:rPr>
                <w:rFonts w:cstheme="minorHAnsi"/>
                <w:lang w:val="fr-FR"/>
              </w:rPr>
              <w:t>analysis</w:t>
            </w:r>
            <w:proofErr w:type="spellEnd"/>
          </w:p>
        </w:tc>
      </w:tr>
      <w:tr w:rsidR="00C55E36" w14:paraId="701AA452" w14:textId="77777777" w:rsidTr="00DC1475">
        <w:tc>
          <w:tcPr>
            <w:tcW w:w="1251" w:type="pct"/>
          </w:tcPr>
          <w:p w14:paraId="4E2E99F6" w14:textId="77777777" w:rsidR="00C55E36" w:rsidRDefault="00C55E36" w:rsidP="00DC1475">
            <w:pPr>
              <w:rPr>
                <w:rFonts w:eastAsia="Times New Roman" w:cstheme="minorHAnsi"/>
                <w:lang w:eastAsia="en-CA"/>
              </w:rPr>
            </w:pPr>
            <w:r>
              <w:rPr>
                <w:rFonts w:eastAsia="Times New Roman" w:cstheme="minorHAnsi"/>
                <w:lang w:eastAsia="en-CA"/>
              </w:rPr>
              <w:t xml:space="preserve">11. </w:t>
            </w:r>
            <w:r>
              <w:t>To what extent did the strategic revision for repositioning of the programme led to achievement (or lack of achievement) of the sub-outputs, outputs, and objectives of the programme?</w:t>
            </w:r>
          </w:p>
        </w:tc>
        <w:tc>
          <w:tcPr>
            <w:tcW w:w="1074" w:type="pct"/>
            <w:gridSpan w:val="2"/>
          </w:tcPr>
          <w:p w14:paraId="6CD54B14" w14:textId="77777777" w:rsidR="00C55E36" w:rsidRDefault="00C55E36" w:rsidP="00DC1475">
            <w:pPr>
              <w:rPr>
                <w:rFonts w:cstheme="minorHAnsi"/>
              </w:rPr>
            </w:pPr>
            <w:r>
              <w:rPr>
                <w:rFonts w:cstheme="minorHAnsi"/>
              </w:rPr>
              <w:t>Overlaps with Qs. 3, 6.</w:t>
            </w:r>
          </w:p>
        </w:tc>
        <w:tc>
          <w:tcPr>
            <w:tcW w:w="1090" w:type="pct"/>
          </w:tcPr>
          <w:p w14:paraId="4DAE40DD" w14:textId="77777777" w:rsidR="00C55E36" w:rsidRDefault="00C55E36" w:rsidP="00DC1475">
            <w:pPr>
              <w:rPr>
                <w:rFonts w:cstheme="minorHAnsi"/>
              </w:rPr>
            </w:pPr>
            <w:r>
              <w:rPr>
                <w:rFonts w:cstheme="minorHAnsi"/>
              </w:rPr>
              <w:t>UNDP staff, IPs &amp; progress reports; MTR.</w:t>
            </w:r>
          </w:p>
        </w:tc>
        <w:tc>
          <w:tcPr>
            <w:tcW w:w="658" w:type="pct"/>
          </w:tcPr>
          <w:p w14:paraId="30FB4F34" w14:textId="77777777" w:rsidR="00C55E36" w:rsidRDefault="00C55E36" w:rsidP="00DC1475">
            <w:pPr>
              <w:rPr>
                <w:rFonts w:cstheme="minorHAnsi"/>
              </w:rPr>
            </w:pPr>
            <w:r>
              <w:rPr>
                <w:rFonts w:cstheme="minorHAnsi"/>
              </w:rPr>
              <w:t>KII, Focus Group Discussions (FGD), site visits, desk review.</w:t>
            </w:r>
          </w:p>
        </w:tc>
        <w:tc>
          <w:tcPr>
            <w:tcW w:w="926" w:type="pct"/>
          </w:tcPr>
          <w:p w14:paraId="341A4D77" w14:textId="77777777" w:rsidR="00C55E36" w:rsidRDefault="00C55E36" w:rsidP="00DC1475">
            <w:pPr>
              <w:rPr>
                <w:rFonts w:cstheme="minorHAnsi"/>
              </w:rPr>
            </w:pPr>
            <w:r>
              <w:rPr>
                <w:rFonts w:cstheme="minorHAnsi"/>
              </w:rPr>
              <w:t>MEA</w:t>
            </w:r>
          </w:p>
        </w:tc>
      </w:tr>
      <w:tr w:rsidR="00C55E36" w14:paraId="46BAC5DA" w14:textId="77777777" w:rsidTr="00DC1475">
        <w:tc>
          <w:tcPr>
            <w:tcW w:w="1251" w:type="pct"/>
          </w:tcPr>
          <w:p w14:paraId="491ED2AD" w14:textId="77777777" w:rsidR="00C55E36" w:rsidRDefault="00C55E36" w:rsidP="00DC1475">
            <w:pPr>
              <w:rPr>
                <w:rFonts w:eastAsia="Times New Roman" w:cstheme="minorHAnsi"/>
                <w:lang w:eastAsia="en-CA"/>
              </w:rPr>
            </w:pPr>
            <w:r>
              <w:t>12.What were the major factors influenced implementation and operations of the programme for achievement or non-achievement of results? What was the quality of implementation of the programme?</w:t>
            </w:r>
          </w:p>
        </w:tc>
        <w:tc>
          <w:tcPr>
            <w:tcW w:w="1074" w:type="pct"/>
            <w:gridSpan w:val="2"/>
          </w:tcPr>
          <w:p w14:paraId="3E851E79" w14:textId="77777777" w:rsidR="00C55E36" w:rsidRDefault="00C55E36" w:rsidP="00DC1475">
            <w:pPr>
              <w:pStyle w:val="Default"/>
              <w:spacing w:line="240" w:lineRule="auto"/>
              <w:rPr>
                <w:sz w:val="20"/>
                <w:szCs w:val="20"/>
              </w:rPr>
            </w:pPr>
            <w:r>
              <w:rPr>
                <w:sz w:val="20"/>
                <w:szCs w:val="20"/>
              </w:rPr>
              <w:t>Overlaps with Q. 11</w:t>
            </w:r>
          </w:p>
          <w:p w14:paraId="13EEE9D1" w14:textId="77777777" w:rsidR="00C55E36" w:rsidRDefault="00C55E36" w:rsidP="00DC1475">
            <w:pPr>
              <w:pStyle w:val="Default"/>
              <w:spacing w:line="240" w:lineRule="auto"/>
              <w:rPr>
                <w:rFonts w:cstheme="minorHAnsi"/>
                <w:sz w:val="20"/>
                <w:szCs w:val="20"/>
              </w:rPr>
            </w:pPr>
            <w:r>
              <w:rPr>
                <w:rFonts w:cstheme="minorHAnsi"/>
                <w:sz w:val="20"/>
                <w:szCs w:val="20"/>
              </w:rPr>
              <w:t>Clear diagnostic of institutional capacity weaknesses. Activities follow a clear pathway to capacity development; evidence of outcome monitoring.</w:t>
            </w:r>
          </w:p>
        </w:tc>
        <w:tc>
          <w:tcPr>
            <w:tcW w:w="1090" w:type="pct"/>
          </w:tcPr>
          <w:p w14:paraId="4F8CB2F1" w14:textId="77777777" w:rsidR="00C55E36" w:rsidRDefault="00C55E36" w:rsidP="00DC1475">
            <w:r>
              <w:t xml:space="preserve">UNDP staff; Frontline staff of </w:t>
            </w:r>
            <w:proofErr w:type="gramStart"/>
            <w:r>
              <w:t>IPs;</w:t>
            </w:r>
            <w:proofErr w:type="gramEnd"/>
          </w:p>
          <w:p w14:paraId="63B9B458" w14:textId="77777777" w:rsidR="00C55E36" w:rsidRDefault="00C55E36" w:rsidP="00DC1475">
            <w:pPr>
              <w:rPr>
                <w:rFonts w:cstheme="minorHAnsi"/>
              </w:rPr>
            </w:pPr>
            <w:r>
              <w:t>MTR/progress reports</w:t>
            </w:r>
          </w:p>
        </w:tc>
        <w:tc>
          <w:tcPr>
            <w:tcW w:w="658" w:type="pct"/>
          </w:tcPr>
          <w:p w14:paraId="66488A47" w14:textId="77777777" w:rsidR="00C55E36" w:rsidRDefault="00C55E36" w:rsidP="00DC1475">
            <w:pPr>
              <w:rPr>
                <w:rFonts w:cstheme="minorHAnsi"/>
              </w:rPr>
            </w:pPr>
            <w:r>
              <w:t>KII; FGDs; site visits; Desk review</w:t>
            </w:r>
          </w:p>
        </w:tc>
        <w:tc>
          <w:tcPr>
            <w:tcW w:w="926" w:type="pct"/>
          </w:tcPr>
          <w:p w14:paraId="07EDBEBB" w14:textId="77777777" w:rsidR="00C55E36" w:rsidRDefault="00C55E36" w:rsidP="00DC1475">
            <w:pPr>
              <w:rPr>
                <w:rFonts w:cstheme="minorHAnsi"/>
              </w:rPr>
            </w:pPr>
            <w:r>
              <w:rPr>
                <w:rFonts w:cstheme="minorHAnsi"/>
              </w:rPr>
              <w:t>MEA</w:t>
            </w:r>
          </w:p>
        </w:tc>
      </w:tr>
      <w:tr w:rsidR="00C55E36" w14:paraId="461A96C8" w14:textId="77777777" w:rsidTr="00DC1475">
        <w:tc>
          <w:tcPr>
            <w:tcW w:w="1251" w:type="pct"/>
          </w:tcPr>
          <w:p w14:paraId="064525B3" w14:textId="77777777" w:rsidR="00C55E36" w:rsidRDefault="00C55E36" w:rsidP="00DC1475">
            <w:pPr>
              <w:rPr>
                <w:rFonts w:eastAsia="Times New Roman" w:cstheme="minorHAnsi"/>
                <w:lang w:eastAsia="en-CA"/>
              </w:rPr>
            </w:pPr>
            <w:r>
              <w:rPr>
                <w:rFonts w:eastAsia="Times New Roman" w:cstheme="minorHAnsi"/>
                <w:lang w:eastAsia="en-CA"/>
              </w:rPr>
              <w:t>13.</w:t>
            </w:r>
            <w:r>
              <w:t xml:space="preserve"> What were the unintended results of the changes in political landscape and the </w:t>
            </w:r>
            <w:r>
              <w:lastRenderedPageBreak/>
              <w:t>reforms underway in the country to the programme implementation and achievement of results?</w:t>
            </w:r>
          </w:p>
        </w:tc>
        <w:tc>
          <w:tcPr>
            <w:tcW w:w="1074" w:type="pct"/>
            <w:gridSpan w:val="2"/>
          </w:tcPr>
          <w:p w14:paraId="25C3EDEA" w14:textId="77777777" w:rsidR="00C55E36" w:rsidRDefault="00C55E36" w:rsidP="00DC1475">
            <w:pPr>
              <w:rPr>
                <w:rFonts w:cstheme="minorHAnsi"/>
              </w:rPr>
            </w:pPr>
            <w:r>
              <w:rPr>
                <w:rFonts w:cstheme="minorHAnsi"/>
              </w:rPr>
              <w:lastRenderedPageBreak/>
              <w:t xml:space="preserve">Positive: stability; strong engaged IPs; Negative: Insecurity, </w:t>
            </w:r>
            <w:r>
              <w:rPr>
                <w:rFonts w:cstheme="minorHAnsi"/>
              </w:rPr>
              <w:lastRenderedPageBreak/>
              <w:t>infrequent or weak monitoring.</w:t>
            </w:r>
          </w:p>
        </w:tc>
        <w:tc>
          <w:tcPr>
            <w:tcW w:w="1090" w:type="pct"/>
          </w:tcPr>
          <w:p w14:paraId="688AF216" w14:textId="77777777" w:rsidR="00C55E36" w:rsidRDefault="00C55E36" w:rsidP="00DC1475">
            <w:pPr>
              <w:rPr>
                <w:rFonts w:cstheme="minorHAnsi"/>
              </w:rPr>
            </w:pPr>
            <w:r>
              <w:rPr>
                <w:rFonts w:cstheme="minorHAnsi"/>
              </w:rPr>
              <w:lastRenderedPageBreak/>
              <w:t xml:space="preserve">IP staff, UNDP staff, other development </w:t>
            </w:r>
            <w:r>
              <w:rPr>
                <w:rFonts w:cstheme="minorHAnsi"/>
              </w:rPr>
              <w:lastRenderedPageBreak/>
              <w:t>partners, progress reports; ToC</w:t>
            </w:r>
          </w:p>
        </w:tc>
        <w:tc>
          <w:tcPr>
            <w:tcW w:w="658" w:type="pct"/>
          </w:tcPr>
          <w:p w14:paraId="35762C28" w14:textId="77777777" w:rsidR="00C55E36" w:rsidRDefault="00C55E36" w:rsidP="00DC1475">
            <w:pPr>
              <w:rPr>
                <w:rFonts w:cstheme="minorHAnsi"/>
              </w:rPr>
            </w:pPr>
            <w:r>
              <w:rPr>
                <w:rFonts w:cstheme="minorHAnsi"/>
              </w:rPr>
              <w:lastRenderedPageBreak/>
              <w:t>KII, desk review</w:t>
            </w:r>
          </w:p>
        </w:tc>
        <w:tc>
          <w:tcPr>
            <w:tcW w:w="926" w:type="pct"/>
          </w:tcPr>
          <w:p w14:paraId="1188BF2B" w14:textId="77777777" w:rsidR="00C55E36" w:rsidRDefault="00C55E36" w:rsidP="00DC1475">
            <w:pPr>
              <w:rPr>
                <w:rFonts w:cstheme="minorHAnsi"/>
              </w:rPr>
            </w:pPr>
            <w:r>
              <w:rPr>
                <w:rFonts w:cstheme="minorHAnsi"/>
              </w:rPr>
              <w:t>Contribution and ToC analysis</w:t>
            </w:r>
          </w:p>
        </w:tc>
      </w:tr>
      <w:tr w:rsidR="00C55E36" w14:paraId="1AFD2E11" w14:textId="77777777" w:rsidTr="00DC1475">
        <w:tc>
          <w:tcPr>
            <w:tcW w:w="1251" w:type="pct"/>
          </w:tcPr>
          <w:p w14:paraId="05175F69" w14:textId="77777777" w:rsidR="00C55E36" w:rsidRDefault="00C55E36" w:rsidP="00DC1475">
            <w:r>
              <w:rPr>
                <w:rFonts w:cstheme="minorHAnsi"/>
              </w:rPr>
              <w:br w:type="page"/>
            </w:r>
            <w:r>
              <w:rPr>
                <w:rFonts w:cstheme="minorHAnsi"/>
              </w:rPr>
              <w:br w:type="page"/>
            </w:r>
            <w:r>
              <w:rPr>
                <w:rFonts w:eastAsia="Times New Roman" w:cstheme="minorHAnsi"/>
                <w:lang w:eastAsia="en-CA"/>
              </w:rPr>
              <w:t>14.</w:t>
            </w:r>
            <w:r>
              <w:t xml:space="preserve"> What are lessons learned and good practices to take up for future in designing and implementing a new second phase of the programme?</w:t>
            </w:r>
          </w:p>
          <w:p w14:paraId="6CB3F012" w14:textId="77777777" w:rsidR="00C55E36" w:rsidRDefault="00C55E36" w:rsidP="00DC1475">
            <w:pPr>
              <w:textAlignment w:val="baseline"/>
              <w:rPr>
                <w:rFonts w:eastAsia="Times New Roman" w:cstheme="minorHAnsi"/>
                <w:lang w:eastAsia="en-CA"/>
              </w:rPr>
            </w:pPr>
          </w:p>
        </w:tc>
        <w:tc>
          <w:tcPr>
            <w:tcW w:w="1074" w:type="pct"/>
            <w:gridSpan w:val="2"/>
          </w:tcPr>
          <w:p w14:paraId="4E0DD3D5" w14:textId="77777777" w:rsidR="00C55E36" w:rsidRDefault="00C55E36" w:rsidP="00DC1475">
            <w:pPr>
              <w:rPr>
                <w:rFonts w:cstheme="minorHAnsi"/>
              </w:rPr>
            </w:pPr>
            <w:r>
              <w:rPr>
                <w:rFonts w:cstheme="minorHAnsi"/>
              </w:rPr>
              <w:t>Key indicators for all outputs; clear diagnostic of institutional capacity; adaptability of UNDP to continue programme; active support for IPs</w:t>
            </w:r>
          </w:p>
        </w:tc>
        <w:tc>
          <w:tcPr>
            <w:tcW w:w="1090" w:type="pct"/>
          </w:tcPr>
          <w:p w14:paraId="03845E6F" w14:textId="77777777" w:rsidR="00C55E36" w:rsidRDefault="00C55E36" w:rsidP="00DC1475">
            <w:pPr>
              <w:rPr>
                <w:rFonts w:cstheme="minorHAnsi"/>
              </w:rPr>
            </w:pPr>
            <w:r>
              <w:rPr>
                <w:rFonts w:cstheme="minorHAnsi"/>
              </w:rPr>
              <w:t xml:space="preserve">Prodoc, Progress reports, </w:t>
            </w:r>
          </w:p>
          <w:p w14:paraId="082789D1" w14:textId="77777777" w:rsidR="00C55E36" w:rsidRDefault="00C55E36" w:rsidP="00DC1475">
            <w:pPr>
              <w:rPr>
                <w:rFonts w:cstheme="minorHAnsi"/>
              </w:rPr>
            </w:pPr>
            <w:r>
              <w:rPr>
                <w:rFonts w:cstheme="minorHAnsi"/>
              </w:rPr>
              <w:t xml:space="preserve">MTR, IPs, Project staff. </w:t>
            </w:r>
          </w:p>
          <w:p w14:paraId="6FDEC0F5" w14:textId="77777777" w:rsidR="00C55E36" w:rsidRDefault="00C55E36" w:rsidP="00DC1475">
            <w:pPr>
              <w:rPr>
                <w:rFonts w:cstheme="minorHAnsi"/>
              </w:rPr>
            </w:pPr>
          </w:p>
        </w:tc>
        <w:tc>
          <w:tcPr>
            <w:tcW w:w="658" w:type="pct"/>
          </w:tcPr>
          <w:p w14:paraId="4F9D7362" w14:textId="77777777" w:rsidR="00C55E36" w:rsidRDefault="00C55E36" w:rsidP="00DC1475">
            <w:pPr>
              <w:rPr>
                <w:rFonts w:cstheme="minorHAnsi"/>
              </w:rPr>
            </w:pPr>
            <w:r>
              <w:rPr>
                <w:rFonts w:cstheme="minorHAnsi"/>
              </w:rPr>
              <w:t>Desk review, KII</w:t>
            </w:r>
          </w:p>
        </w:tc>
        <w:tc>
          <w:tcPr>
            <w:tcW w:w="926" w:type="pct"/>
          </w:tcPr>
          <w:p w14:paraId="66606485" w14:textId="77777777" w:rsidR="00C55E36" w:rsidRDefault="00C55E36" w:rsidP="00DC1475">
            <w:pPr>
              <w:rPr>
                <w:rFonts w:cstheme="minorHAnsi"/>
              </w:rPr>
            </w:pPr>
            <w:r>
              <w:rPr>
                <w:rFonts w:cstheme="minorHAnsi"/>
              </w:rPr>
              <w:t>Qualitative analysis.</w:t>
            </w:r>
          </w:p>
        </w:tc>
      </w:tr>
      <w:tr w:rsidR="00C55E36" w14:paraId="21EE0C27" w14:textId="77777777" w:rsidTr="00DC1475">
        <w:tc>
          <w:tcPr>
            <w:tcW w:w="5000" w:type="pct"/>
            <w:gridSpan w:val="6"/>
          </w:tcPr>
          <w:p w14:paraId="7DDCFD4A" w14:textId="77777777" w:rsidR="00C55E36" w:rsidRDefault="00C55E36" w:rsidP="00DC1475">
            <w:pPr>
              <w:spacing w:line="293" w:lineRule="atLeast"/>
              <w:textAlignment w:val="baseline"/>
              <w:rPr>
                <w:rFonts w:cstheme="minorHAnsi"/>
              </w:rPr>
            </w:pPr>
            <w:r>
              <w:rPr>
                <w:rFonts w:eastAsia="Times New Roman" w:cstheme="minorHAnsi"/>
                <w:b/>
                <w:bCs/>
                <w:iCs/>
                <w:lang w:eastAsia="en-CA"/>
              </w:rPr>
              <w:t>Efficiency: The extent to which the intervention delivers, or is likely to deliver, results in an economic and timely way.</w:t>
            </w:r>
          </w:p>
        </w:tc>
      </w:tr>
      <w:tr w:rsidR="00C55E36" w14:paraId="579DC343" w14:textId="77777777" w:rsidTr="00DC1475">
        <w:tc>
          <w:tcPr>
            <w:tcW w:w="1251" w:type="pct"/>
          </w:tcPr>
          <w:p w14:paraId="4454E8D8" w14:textId="77777777" w:rsidR="00C55E36" w:rsidRDefault="00C55E36" w:rsidP="00DC1475">
            <w:pPr>
              <w:rPr>
                <w:rFonts w:eastAsia="Times New Roman" w:cstheme="minorHAnsi"/>
                <w:lang w:eastAsia="en-CA"/>
              </w:rPr>
            </w:pPr>
            <w:r>
              <w:t xml:space="preserve">15.Did the Project’s implementation mechanisms -including institutional arrangements, partnership, support services, etc., permit utilization of resources in efficient way, </w:t>
            </w:r>
            <w:proofErr w:type="gramStart"/>
            <w:r>
              <w:t>and also</w:t>
            </w:r>
            <w:proofErr w:type="gramEnd"/>
            <w:r>
              <w:t xml:space="preserve"> delivery of services and achievement of results in timely manner?</w:t>
            </w:r>
          </w:p>
        </w:tc>
        <w:tc>
          <w:tcPr>
            <w:tcW w:w="1074" w:type="pct"/>
            <w:gridSpan w:val="2"/>
          </w:tcPr>
          <w:p w14:paraId="0875748C" w14:textId="77777777" w:rsidR="00C55E36" w:rsidRDefault="00C55E36" w:rsidP="00DC1475">
            <w:pPr>
              <w:rPr>
                <w:rFonts w:cstheme="minorHAnsi"/>
              </w:rPr>
            </w:pPr>
            <w:r>
              <w:rPr>
                <w:rFonts w:cstheme="minorHAnsi"/>
              </w:rPr>
              <w:t>All activities demonstrate Cost, Quality, Timeliness (CQT) factors taken into consideration throughout the implementation cycle.</w:t>
            </w:r>
          </w:p>
        </w:tc>
        <w:tc>
          <w:tcPr>
            <w:tcW w:w="1090" w:type="pct"/>
          </w:tcPr>
          <w:p w14:paraId="1D04DCAD" w14:textId="77777777" w:rsidR="00C55E36" w:rsidRDefault="00C55E36" w:rsidP="00DC1475">
            <w:pPr>
              <w:rPr>
                <w:rFonts w:cstheme="minorHAnsi"/>
              </w:rPr>
            </w:pPr>
            <w:r>
              <w:rPr>
                <w:rFonts w:cstheme="minorHAnsi"/>
              </w:rPr>
              <w:t>Finance and operations data on funds disbursement, major cost drivers, contract management and major decision timelines; MTR; progress reports; UNDP staff; IP staff</w:t>
            </w:r>
          </w:p>
        </w:tc>
        <w:tc>
          <w:tcPr>
            <w:tcW w:w="658" w:type="pct"/>
          </w:tcPr>
          <w:p w14:paraId="5E92AD11" w14:textId="77777777" w:rsidR="00C55E36" w:rsidRDefault="00C55E36" w:rsidP="00DC1475">
            <w:pPr>
              <w:rPr>
                <w:rFonts w:cstheme="minorHAnsi"/>
              </w:rPr>
            </w:pPr>
            <w:r>
              <w:rPr>
                <w:rFonts w:cstheme="minorHAnsi"/>
              </w:rPr>
              <w:t>Desk review, KII</w:t>
            </w:r>
          </w:p>
        </w:tc>
        <w:tc>
          <w:tcPr>
            <w:tcW w:w="926" w:type="pct"/>
          </w:tcPr>
          <w:p w14:paraId="3C06454F" w14:textId="77777777" w:rsidR="00C55E36" w:rsidRDefault="00C55E36" w:rsidP="00DC1475">
            <w:pPr>
              <w:rPr>
                <w:rFonts w:cstheme="minorHAnsi"/>
              </w:rPr>
            </w:pPr>
            <w:r>
              <w:rPr>
                <w:rFonts w:cstheme="minorHAnsi"/>
              </w:rPr>
              <w:t>Progress &amp; monitoring reports assessed against ToC and CPD outputs/outcomes</w:t>
            </w:r>
          </w:p>
        </w:tc>
      </w:tr>
      <w:tr w:rsidR="00C55E36" w14:paraId="7B0A5245" w14:textId="77777777" w:rsidTr="00DC1475">
        <w:tc>
          <w:tcPr>
            <w:tcW w:w="1251" w:type="pct"/>
          </w:tcPr>
          <w:p w14:paraId="5A58B9D4" w14:textId="77777777" w:rsidR="00C55E36" w:rsidRDefault="00C55E36" w:rsidP="00DC1475">
            <w:pPr>
              <w:rPr>
                <w:rFonts w:eastAsia="Times New Roman" w:cstheme="minorHAnsi"/>
                <w:lang w:eastAsia="en-CA"/>
              </w:rPr>
            </w:pPr>
            <w:r>
              <w:t>16.Were the programme resources efficiently used? Was the cost per output/sub-output used in the most cost-effective way or were there areas where savings ought to be made to reduce costs?</w:t>
            </w:r>
          </w:p>
        </w:tc>
        <w:tc>
          <w:tcPr>
            <w:tcW w:w="1074" w:type="pct"/>
            <w:gridSpan w:val="2"/>
          </w:tcPr>
          <w:p w14:paraId="18DDE7B7" w14:textId="77777777" w:rsidR="00C55E36" w:rsidRDefault="00C55E36" w:rsidP="00DC1475">
            <w:pPr>
              <w:rPr>
                <w:rFonts w:cstheme="minorHAnsi"/>
              </w:rPr>
            </w:pPr>
            <w:r>
              <w:rPr>
                <w:rFonts w:cstheme="minorHAnsi"/>
              </w:rPr>
              <w:t>Linked to question 15.</w:t>
            </w:r>
          </w:p>
        </w:tc>
        <w:tc>
          <w:tcPr>
            <w:tcW w:w="1090" w:type="pct"/>
          </w:tcPr>
          <w:p w14:paraId="140F07F6" w14:textId="77777777" w:rsidR="00C55E36" w:rsidRDefault="00C55E36" w:rsidP="00DC1475">
            <w:r>
              <w:t>Donors’ reviews, UNDP staff, MTR</w:t>
            </w:r>
          </w:p>
        </w:tc>
        <w:tc>
          <w:tcPr>
            <w:tcW w:w="658" w:type="pct"/>
          </w:tcPr>
          <w:p w14:paraId="1FB12FDA" w14:textId="77777777" w:rsidR="00C55E36" w:rsidRDefault="00C55E36" w:rsidP="00DC1475">
            <w:pPr>
              <w:rPr>
                <w:rFonts w:cstheme="minorHAnsi"/>
              </w:rPr>
            </w:pPr>
            <w:r>
              <w:rPr>
                <w:rFonts w:cstheme="minorHAnsi"/>
              </w:rPr>
              <w:t>Desk review, KII</w:t>
            </w:r>
          </w:p>
        </w:tc>
        <w:tc>
          <w:tcPr>
            <w:tcW w:w="926" w:type="pct"/>
          </w:tcPr>
          <w:p w14:paraId="6B857C9C" w14:textId="77777777" w:rsidR="00C55E36" w:rsidRDefault="00C55E36" w:rsidP="00DC1475">
            <w:pPr>
              <w:rPr>
                <w:rFonts w:cstheme="minorHAnsi"/>
              </w:rPr>
            </w:pPr>
            <w:r>
              <w:rPr>
                <w:rFonts w:cstheme="minorHAnsi"/>
              </w:rPr>
              <w:t>MEA</w:t>
            </w:r>
          </w:p>
        </w:tc>
      </w:tr>
      <w:tr w:rsidR="00C55E36" w14:paraId="2B0DB310" w14:textId="77777777" w:rsidTr="00DC1475">
        <w:tc>
          <w:tcPr>
            <w:tcW w:w="1257" w:type="pct"/>
            <w:gridSpan w:val="2"/>
          </w:tcPr>
          <w:p w14:paraId="56032CF5" w14:textId="77777777" w:rsidR="00C55E36" w:rsidRDefault="00C55E36" w:rsidP="00DC1475">
            <w:pPr>
              <w:rPr>
                <w:b/>
              </w:rPr>
            </w:pPr>
            <w:r>
              <w:t>17.To what extent were project management practices and tools adequate to timely and effectively implement the programme?</w:t>
            </w:r>
          </w:p>
          <w:p w14:paraId="52E091A3" w14:textId="77777777" w:rsidR="00C55E36" w:rsidRDefault="00C55E36" w:rsidP="00DC1475">
            <w:pPr>
              <w:textAlignment w:val="baseline"/>
              <w:rPr>
                <w:rFonts w:eastAsia="Times New Roman" w:cstheme="minorHAnsi"/>
                <w:lang w:eastAsia="en-CA"/>
              </w:rPr>
            </w:pPr>
          </w:p>
        </w:tc>
        <w:tc>
          <w:tcPr>
            <w:tcW w:w="1068" w:type="pct"/>
          </w:tcPr>
          <w:p w14:paraId="0C4003DE" w14:textId="77777777" w:rsidR="00C55E36" w:rsidRDefault="00C55E36" w:rsidP="00DC1475">
            <w:pPr>
              <w:rPr>
                <w:rFonts w:cstheme="minorHAnsi"/>
              </w:rPr>
            </w:pPr>
            <w:r>
              <w:rPr>
                <w:rFonts w:cstheme="minorHAnsi"/>
              </w:rPr>
              <w:t xml:space="preserve">UNDP’s distinctive competence and strategic positioning within the development landscape in the country. Strong knowledge-sharing </w:t>
            </w:r>
            <w:r>
              <w:rPr>
                <w:rFonts w:cstheme="minorHAnsi"/>
              </w:rPr>
              <w:lastRenderedPageBreak/>
              <w:t>partnerships developed with donors, IPs, CSOs</w:t>
            </w:r>
          </w:p>
        </w:tc>
        <w:tc>
          <w:tcPr>
            <w:tcW w:w="1090" w:type="pct"/>
          </w:tcPr>
          <w:p w14:paraId="0EE11379" w14:textId="77777777" w:rsidR="00C55E36" w:rsidRDefault="00C55E36" w:rsidP="00DC1475">
            <w:pPr>
              <w:rPr>
                <w:rFonts w:cstheme="minorHAnsi"/>
              </w:rPr>
            </w:pPr>
            <w:r>
              <w:rPr>
                <w:rFonts w:cstheme="minorHAnsi"/>
              </w:rPr>
              <w:lastRenderedPageBreak/>
              <w:t>MTR; UNDP staff; IP staff</w:t>
            </w:r>
          </w:p>
        </w:tc>
        <w:tc>
          <w:tcPr>
            <w:tcW w:w="658" w:type="pct"/>
          </w:tcPr>
          <w:p w14:paraId="6BB4C8CB" w14:textId="77777777" w:rsidR="00C55E36" w:rsidRDefault="00C55E36" w:rsidP="00DC1475">
            <w:pPr>
              <w:rPr>
                <w:rFonts w:cstheme="minorHAnsi"/>
              </w:rPr>
            </w:pPr>
            <w:r>
              <w:rPr>
                <w:rFonts w:cstheme="minorHAnsi"/>
              </w:rPr>
              <w:t>Desk review, KII</w:t>
            </w:r>
          </w:p>
        </w:tc>
        <w:tc>
          <w:tcPr>
            <w:tcW w:w="926" w:type="pct"/>
          </w:tcPr>
          <w:p w14:paraId="11880AA9" w14:textId="77777777" w:rsidR="00C55E36" w:rsidRDefault="00C55E36" w:rsidP="00DC1475">
            <w:pPr>
              <w:rPr>
                <w:rFonts w:cstheme="minorHAnsi"/>
              </w:rPr>
            </w:pPr>
            <w:r>
              <w:rPr>
                <w:rFonts w:cstheme="minorHAnsi"/>
              </w:rPr>
              <w:t>MEA</w:t>
            </w:r>
          </w:p>
        </w:tc>
      </w:tr>
      <w:tr w:rsidR="00C55E36" w14:paraId="1FFFB63E" w14:textId="77777777" w:rsidTr="00DC1475">
        <w:tc>
          <w:tcPr>
            <w:tcW w:w="1257" w:type="pct"/>
            <w:gridSpan w:val="2"/>
          </w:tcPr>
          <w:p w14:paraId="479B3318" w14:textId="77777777" w:rsidR="00C55E36" w:rsidRDefault="00C55E36" w:rsidP="00DC1475">
            <w:pPr>
              <w:rPr>
                <w:b/>
              </w:rPr>
            </w:pPr>
            <w:r>
              <w:t>18.Are project resources adequate and available on time to implement the activities as planned?</w:t>
            </w:r>
          </w:p>
          <w:p w14:paraId="28040818" w14:textId="77777777" w:rsidR="00C55E36" w:rsidRDefault="00C55E36" w:rsidP="00DC1475">
            <w:pPr>
              <w:textAlignment w:val="baseline"/>
              <w:rPr>
                <w:rFonts w:eastAsia="Times New Roman" w:cstheme="minorHAnsi"/>
                <w:lang w:eastAsia="en-CA"/>
              </w:rPr>
            </w:pPr>
          </w:p>
        </w:tc>
        <w:tc>
          <w:tcPr>
            <w:tcW w:w="1068" w:type="pct"/>
          </w:tcPr>
          <w:p w14:paraId="3DB75B88" w14:textId="77777777" w:rsidR="00C55E36" w:rsidRDefault="00C55E36" w:rsidP="00DC1475">
            <w:pPr>
              <w:rPr>
                <w:rFonts w:cstheme="minorHAnsi"/>
              </w:rPr>
            </w:pPr>
            <w:r>
              <w:rPr>
                <w:rFonts w:cstheme="minorHAnsi"/>
              </w:rPr>
              <w:t>All activities demonstrate Cost, Quality, Timeliness (CQT) factors taken into consideration throughout the implementation cycle.</w:t>
            </w:r>
          </w:p>
        </w:tc>
        <w:tc>
          <w:tcPr>
            <w:tcW w:w="1090" w:type="pct"/>
          </w:tcPr>
          <w:p w14:paraId="3E3F4FF1" w14:textId="77777777" w:rsidR="00C55E36" w:rsidRDefault="00C55E36" w:rsidP="00DC1475">
            <w:r>
              <w:t>Finance and operations data on funds disbursement, major cost drivers, contract management and major decision timelines.</w:t>
            </w:r>
          </w:p>
        </w:tc>
        <w:tc>
          <w:tcPr>
            <w:tcW w:w="658" w:type="pct"/>
          </w:tcPr>
          <w:p w14:paraId="1DEA9ABB" w14:textId="77777777" w:rsidR="00C55E36" w:rsidRDefault="00C55E36" w:rsidP="00DC1475">
            <w:pPr>
              <w:rPr>
                <w:rFonts w:cstheme="minorHAnsi"/>
              </w:rPr>
            </w:pPr>
            <w:r>
              <w:rPr>
                <w:rFonts w:cstheme="minorHAnsi"/>
              </w:rPr>
              <w:t>Desk review, KII</w:t>
            </w:r>
          </w:p>
        </w:tc>
        <w:tc>
          <w:tcPr>
            <w:tcW w:w="926" w:type="pct"/>
          </w:tcPr>
          <w:p w14:paraId="4C3ECB07" w14:textId="77777777" w:rsidR="00C55E36" w:rsidRDefault="00C55E36" w:rsidP="00DC1475">
            <w:pPr>
              <w:rPr>
                <w:rFonts w:cstheme="minorHAnsi"/>
              </w:rPr>
            </w:pPr>
            <w:r>
              <w:rPr>
                <w:rFonts w:cstheme="minorHAnsi"/>
              </w:rPr>
              <w:t>MEA</w:t>
            </w:r>
          </w:p>
        </w:tc>
      </w:tr>
      <w:tr w:rsidR="00C55E36" w14:paraId="6CA7D237" w14:textId="77777777" w:rsidTr="00DC1475">
        <w:tc>
          <w:tcPr>
            <w:tcW w:w="5000" w:type="pct"/>
            <w:gridSpan w:val="6"/>
          </w:tcPr>
          <w:p w14:paraId="2FFF352D" w14:textId="77777777" w:rsidR="00C55E36" w:rsidRDefault="00C55E36" w:rsidP="00DC1475">
            <w:pPr>
              <w:rPr>
                <w:rFonts w:cstheme="minorHAnsi"/>
              </w:rPr>
            </w:pPr>
            <w:r>
              <w:rPr>
                <w:b/>
              </w:rPr>
              <w:t>Impact: The long-term effects/outcomes of the programme.</w:t>
            </w:r>
          </w:p>
        </w:tc>
      </w:tr>
      <w:tr w:rsidR="00C55E36" w14:paraId="00480109" w14:textId="77777777" w:rsidTr="00DC1475">
        <w:tc>
          <w:tcPr>
            <w:tcW w:w="1257" w:type="pct"/>
            <w:gridSpan w:val="2"/>
          </w:tcPr>
          <w:p w14:paraId="7D388422" w14:textId="77777777" w:rsidR="00C55E36" w:rsidRDefault="00C55E36" w:rsidP="00DC1475">
            <w:r>
              <w:t>19.What were the long-term effects/outcomes of the programme on the target beneficiaries/institutions and citizens? To what extent were the programme objectives met? What are indications of success?</w:t>
            </w:r>
          </w:p>
        </w:tc>
        <w:tc>
          <w:tcPr>
            <w:tcW w:w="1068" w:type="pct"/>
          </w:tcPr>
          <w:p w14:paraId="7C320BCD" w14:textId="77777777" w:rsidR="00C55E36" w:rsidRDefault="00C55E36" w:rsidP="00DC1475">
            <w:pPr>
              <w:rPr>
                <w:rFonts w:cstheme="minorHAnsi"/>
              </w:rPr>
            </w:pPr>
            <w:r>
              <w:rPr>
                <w:rFonts w:cstheme="minorHAnsi"/>
              </w:rPr>
              <w:t>Key indicators for all outputs; key drivers of change/outcomes; assessment of the planning and designing of initiatives</w:t>
            </w:r>
          </w:p>
        </w:tc>
        <w:tc>
          <w:tcPr>
            <w:tcW w:w="1090" w:type="pct"/>
          </w:tcPr>
          <w:p w14:paraId="26FBB6A1" w14:textId="77777777" w:rsidR="00C55E36" w:rsidRDefault="00C55E36" w:rsidP="00DC1475">
            <w:r>
              <w:rPr>
                <w:rFonts w:cstheme="minorHAnsi"/>
              </w:rPr>
              <w:t>MTR; UNDP staff; IP staff</w:t>
            </w:r>
          </w:p>
        </w:tc>
        <w:tc>
          <w:tcPr>
            <w:tcW w:w="658" w:type="pct"/>
          </w:tcPr>
          <w:p w14:paraId="2199FB68" w14:textId="77777777" w:rsidR="00C55E36" w:rsidRDefault="00C55E36" w:rsidP="00DC1475">
            <w:pPr>
              <w:rPr>
                <w:rFonts w:cstheme="minorHAnsi"/>
              </w:rPr>
            </w:pPr>
            <w:r>
              <w:rPr>
                <w:rFonts w:cstheme="minorHAnsi"/>
              </w:rPr>
              <w:t>Desk review, KII</w:t>
            </w:r>
          </w:p>
        </w:tc>
        <w:tc>
          <w:tcPr>
            <w:tcW w:w="926" w:type="pct"/>
          </w:tcPr>
          <w:p w14:paraId="2B4E921C" w14:textId="77777777" w:rsidR="00C55E36" w:rsidRDefault="00C55E36" w:rsidP="00DC1475">
            <w:pPr>
              <w:rPr>
                <w:rFonts w:cstheme="minorHAnsi"/>
              </w:rPr>
            </w:pPr>
            <w:r>
              <w:rPr>
                <w:rFonts w:cstheme="minorHAnsi"/>
              </w:rPr>
              <w:t>MEA</w:t>
            </w:r>
          </w:p>
        </w:tc>
      </w:tr>
      <w:tr w:rsidR="00C55E36" w14:paraId="72D89A38" w14:textId="77777777" w:rsidTr="00DC1475">
        <w:tc>
          <w:tcPr>
            <w:tcW w:w="1257" w:type="pct"/>
            <w:gridSpan w:val="2"/>
          </w:tcPr>
          <w:p w14:paraId="655C66F9" w14:textId="77777777" w:rsidR="00C55E36" w:rsidRDefault="00C55E36" w:rsidP="00DC1475">
            <w:r>
              <w:t>20.Did the interventions of the programme bring about any unintended (both negative or positive) effects on the target beneficiaries/institutions, citizens and/or operational environment?</w:t>
            </w:r>
          </w:p>
        </w:tc>
        <w:tc>
          <w:tcPr>
            <w:tcW w:w="1068" w:type="pct"/>
          </w:tcPr>
          <w:p w14:paraId="24E73AD9" w14:textId="77777777" w:rsidR="00C55E36" w:rsidRDefault="00C55E36" w:rsidP="00DC1475">
            <w:pPr>
              <w:rPr>
                <w:rFonts w:cstheme="minorHAnsi"/>
              </w:rPr>
            </w:pPr>
            <w:r>
              <w:rPr>
                <w:rFonts w:cstheme="minorHAnsi"/>
              </w:rPr>
              <w:t>Overlaps with Qs 10, 12</w:t>
            </w:r>
          </w:p>
        </w:tc>
        <w:tc>
          <w:tcPr>
            <w:tcW w:w="1090" w:type="pct"/>
          </w:tcPr>
          <w:p w14:paraId="55C95745" w14:textId="77777777" w:rsidR="00C55E36" w:rsidRDefault="00C55E36" w:rsidP="00DC1475">
            <w:pPr>
              <w:rPr>
                <w:rFonts w:cstheme="minorHAnsi"/>
              </w:rPr>
            </w:pPr>
            <w:r>
              <w:rPr>
                <w:rFonts w:cstheme="minorHAnsi"/>
              </w:rPr>
              <w:t>MTR; progress reports; UNDP staff; IP staff</w:t>
            </w:r>
          </w:p>
        </w:tc>
        <w:tc>
          <w:tcPr>
            <w:tcW w:w="658" w:type="pct"/>
          </w:tcPr>
          <w:p w14:paraId="2825D400" w14:textId="77777777" w:rsidR="00C55E36" w:rsidRDefault="00C55E36" w:rsidP="00DC1475">
            <w:pPr>
              <w:rPr>
                <w:rFonts w:cstheme="minorHAnsi"/>
              </w:rPr>
            </w:pPr>
            <w:r>
              <w:t>KII; FGDs; site visits; Desk review</w:t>
            </w:r>
          </w:p>
        </w:tc>
        <w:tc>
          <w:tcPr>
            <w:tcW w:w="926" w:type="pct"/>
          </w:tcPr>
          <w:p w14:paraId="4E42C6FC" w14:textId="77777777" w:rsidR="00C55E36" w:rsidRDefault="00C55E36" w:rsidP="00DC1475">
            <w:pPr>
              <w:rPr>
                <w:rFonts w:cstheme="minorHAnsi"/>
              </w:rPr>
            </w:pPr>
            <w:r>
              <w:rPr>
                <w:rFonts w:cstheme="minorHAnsi"/>
              </w:rPr>
              <w:t>MEA</w:t>
            </w:r>
          </w:p>
        </w:tc>
      </w:tr>
      <w:tr w:rsidR="00C55E36" w14:paraId="7080F48F" w14:textId="77777777" w:rsidTr="00DC1475">
        <w:tc>
          <w:tcPr>
            <w:tcW w:w="1257" w:type="pct"/>
            <w:gridSpan w:val="2"/>
          </w:tcPr>
          <w:p w14:paraId="7AA14D07" w14:textId="77777777" w:rsidR="00C55E36" w:rsidRDefault="00C55E36" w:rsidP="00DC1475">
            <w:r>
              <w:t>21.What were the gender-specific impacts, especially regarding women’s empowerment?</w:t>
            </w:r>
          </w:p>
        </w:tc>
        <w:tc>
          <w:tcPr>
            <w:tcW w:w="1068" w:type="pct"/>
          </w:tcPr>
          <w:p w14:paraId="1914FAF5" w14:textId="77777777" w:rsidR="00C55E36" w:rsidRDefault="00C55E36" w:rsidP="00DC1475">
            <w:pPr>
              <w:rPr>
                <w:rFonts w:cstheme="minorHAnsi"/>
              </w:rPr>
            </w:pPr>
            <w:r>
              <w:rPr>
                <w:rFonts w:cstheme="minorHAnsi"/>
              </w:rPr>
              <w:t>Overlaps with Q. 4</w:t>
            </w:r>
          </w:p>
          <w:p w14:paraId="54EC54C1" w14:textId="77777777" w:rsidR="00C55E36" w:rsidRDefault="00C55E36" w:rsidP="00DC1475">
            <w:pPr>
              <w:rPr>
                <w:rFonts w:cstheme="minorHAnsi"/>
              </w:rPr>
            </w:pPr>
            <w:r>
              <w:rPr>
                <w:rFonts w:cstheme="minorHAnsi"/>
              </w:rPr>
              <w:t>Prodoc demonstrates gendered analysis of vulnerability; progress reports disaggregate gender; Rigorous use of Gender marker</w:t>
            </w:r>
          </w:p>
        </w:tc>
        <w:tc>
          <w:tcPr>
            <w:tcW w:w="1090" w:type="pct"/>
          </w:tcPr>
          <w:p w14:paraId="097C6275" w14:textId="77777777" w:rsidR="00C55E36" w:rsidRDefault="00C55E36" w:rsidP="00DC1475">
            <w:pPr>
              <w:rPr>
                <w:rFonts w:cstheme="minorHAnsi"/>
              </w:rPr>
            </w:pPr>
            <w:r>
              <w:rPr>
                <w:rFonts w:cstheme="minorHAnsi"/>
              </w:rPr>
              <w:t xml:space="preserve">Prodoc review, Progress reports, </w:t>
            </w:r>
          </w:p>
          <w:p w14:paraId="03D9DD07" w14:textId="77777777" w:rsidR="00C55E36" w:rsidRDefault="00C55E36" w:rsidP="00DC1475">
            <w:pPr>
              <w:rPr>
                <w:rFonts w:cstheme="minorHAnsi"/>
              </w:rPr>
            </w:pPr>
            <w:r>
              <w:rPr>
                <w:rFonts w:cstheme="minorHAnsi"/>
              </w:rPr>
              <w:t>IPs, Project staff</w:t>
            </w:r>
          </w:p>
        </w:tc>
        <w:tc>
          <w:tcPr>
            <w:tcW w:w="658" w:type="pct"/>
          </w:tcPr>
          <w:p w14:paraId="580103B3" w14:textId="77777777" w:rsidR="00C55E36" w:rsidRDefault="00C55E36" w:rsidP="00DC1475">
            <w:pPr>
              <w:rPr>
                <w:rFonts w:cstheme="minorHAnsi"/>
              </w:rPr>
            </w:pPr>
            <w:r>
              <w:t>KII; FGDs; site visits; Desk review</w:t>
            </w:r>
          </w:p>
        </w:tc>
        <w:tc>
          <w:tcPr>
            <w:tcW w:w="926" w:type="pct"/>
          </w:tcPr>
          <w:p w14:paraId="39F7BFAC" w14:textId="77777777" w:rsidR="00C55E36" w:rsidRDefault="00C55E36" w:rsidP="00DC1475">
            <w:pPr>
              <w:rPr>
                <w:rFonts w:cstheme="minorHAnsi"/>
              </w:rPr>
            </w:pPr>
            <w:r>
              <w:rPr>
                <w:rFonts w:cstheme="minorHAnsi"/>
              </w:rPr>
              <w:t>MEA</w:t>
            </w:r>
          </w:p>
        </w:tc>
      </w:tr>
      <w:tr w:rsidR="00C55E36" w14:paraId="28EAA42A" w14:textId="77777777" w:rsidTr="00DC1475">
        <w:tc>
          <w:tcPr>
            <w:tcW w:w="1257" w:type="pct"/>
            <w:gridSpan w:val="2"/>
          </w:tcPr>
          <w:p w14:paraId="1E33124E" w14:textId="77777777" w:rsidR="00C55E36" w:rsidRDefault="00C55E36" w:rsidP="00DC1475">
            <w:r>
              <w:t xml:space="preserve">22.How could the programme be improved in its design, implementation and </w:t>
            </w:r>
            <w:r>
              <w:lastRenderedPageBreak/>
              <w:t>monitoring to have long-term effect/impact?</w:t>
            </w:r>
          </w:p>
        </w:tc>
        <w:tc>
          <w:tcPr>
            <w:tcW w:w="1068" w:type="pct"/>
          </w:tcPr>
          <w:p w14:paraId="2851F3A8" w14:textId="77777777" w:rsidR="00C55E36" w:rsidRDefault="00C55E36" w:rsidP="00DC1475">
            <w:pPr>
              <w:rPr>
                <w:rFonts w:cstheme="minorHAnsi"/>
              </w:rPr>
            </w:pPr>
            <w:r>
              <w:rPr>
                <w:rFonts w:cstheme="minorHAnsi"/>
              </w:rPr>
              <w:lastRenderedPageBreak/>
              <w:t xml:space="preserve">Key indicators for all outputs; clear diagnostic of institutional </w:t>
            </w:r>
            <w:r>
              <w:rPr>
                <w:rFonts w:cstheme="minorHAnsi"/>
              </w:rPr>
              <w:lastRenderedPageBreak/>
              <w:t>capacity; adaptability of UNDP to continue programming; active support for IPs</w:t>
            </w:r>
          </w:p>
        </w:tc>
        <w:tc>
          <w:tcPr>
            <w:tcW w:w="1090" w:type="pct"/>
          </w:tcPr>
          <w:p w14:paraId="6AFD4C25" w14:textId="77777777" w:rsidR="00C55E36" w:rsidRDefault="00C55E36" w:rsidP="00DC1475">
            <w:pPr>
              <w:rPr>
                <w:rFonts w:cstheme="minorHAnsi"/>
              </w:rPr>
            </w:pPr>
            <w:r>
              <w:rPr>
                <w:rFonts w:cstheme="minorHAnsi"/>
              </w:rPr>
              <w:lastRenderedPageBreak/>
              <w:t>MTR; progress reports; UNDP staff; IP staff</w:t>
            </w:r>
          </w:p>
        </w:tc>
        <w:tc>
          <w:tcPr>
            <w:tcW w:w="658" w:type="pct"/>
          </w:tcPr>
          <w:p w14:paraId="125F18A9" w14:textId="77777777" w:rsidR="00C55E36" w:rsidRDefault="00C55E36" w:rsidP="00DC1475">
            <w:pPr>
              <w:rPr>
                <w:rFonts w:cstheme="minorHAnsi"/>
              </w:rPr>
            </w:pPr>
            <w:r>
              <w:t>KII; FGDs; site visits; Desk review</w:t>
            </w:r>
          </w:p>
        </w:tc>
        <w:tc>
          <w:tcPr>
            <w:tcW w:w="926" w:type="pct"/>
          </w:tcPr>
          <w:p w14:paraId="6541D08D" w14:textId="77777777" w:rsidR="00C55E36" w:rsidRDefault="00C55E36" w:rsidP="00DC1475">
            <w:pPr>
              <w:rPr>
                <w:rFonts w:cstheme="minorHAnsi"/>
              </w:rPr>
            </w:pPr>
            <w:r>
              <w:rPr>
                <w:rFonts w:cstheme="minorHAnsi"/>
              </w:rPr>
              <w:t>MEA</w:t>
            </w:r>
          </w:p>
        </w:tc>
      </w:tr>
      <w:tr w:rsidR="00C55E36" w14:paraId="7DBB1DCE" w14:textId="77777777" w:rsidTr="00DC1475">
        <w:tc>
          <w:tcPr>
            <w:tcW w:w="5000" w:type="pct"/>
            <w:gridSpan w:val="6"/>
          </w:tcPr>
          <w:p w14:paraId="4CA8AB29" w14:textId="77777777" w:rsidR="00C55E36" w:rsidRDefault="00C55E36" w:rsidP="00DC1475">
            <w:pPr>
              <w:textAlignment w:val="baseline"/>
              <w:rPr>
                <w:rFonts w:cstheme="minorHAnsi"/>
              </w:rPr>
            </w:pPr>
            <w:r>
              <w:rPr>
                <w:rFonts w:eastAsia="Times New Roman" w:cstheme="minorHAnsi"/>
                <w:b/>
                <w:bCs/>
                <w:iCs/>
                <w:lang w:eastAsia="en-CA"/>
              </w:rPr>
              <w:t>Sustainability: The extent to which the net benefits of the intervention continue, or are likely to continue, beyond the life of a project/programme.</w:t>
            </w:r>
          </w:p>
        </w:tc>
      </w:tr>
      <w:tr w:rsidR="00C55E36" w14:paraId="1CE14C39" w14:textId="77777777" w:rsidTr="00DC1475">
        <w:tc>
          <w:tcPr>
            <w:tcW w:w="1257" w:type="pct"/>
            <w:gridSpan w:val="2"/>
          </w:tcPr>
          <w:p w14:paraId="0E7366D8" w14:textId="77777777" w:rsidR="00C55E36" w:rsidRDefault="00C55E36" w:rsidP="00DC1475">
            <w:r>
              <w:t>23.To what extent are the results and positive changes from the programme implementation up to this point in time likely to continue after end of the current phase of the programme?</w:t>
            </w:r>
          </w:p>
          <w:p w14:paraId="7C3D1B72" w14:textId="77777777" w:rsidR="00C55E36" w:rsidRDefault="00C55E36" w:rsidP="00DC1475">
            <w:pPr>
              <w:textAlignment w:val="baseline"/>
              <w:rPr>
                <w:rFonts w:eastAsia="Times New Roman" w:cstheme="minorHAnsi"/>
                <w:lang w:eastAsia="en-CA"/>
              </w:rPr>
            </w:pPr>
          </w:p>
        </w:tc>
        <w:tc>
          <w:tcPr>
            <w:tcW w:w="1068" w:type="pct"/>
          </w:tcPr>
          <w:p w14:paraId="4F52E058" w14:textId="77777777" w:rsidR="00C55E36" w:rsidRDefault="00C55E36" w:rsidP="00DC1475">
            <w:pPr>
              <w:rPr>
                <w:rFonts w:cstheme="minorHAnsi"/>
              </w:rPr>
            </w:pPr>
            <w:r>
              <w:rPr>
                <w:rFonts w:cstheme="minorHAnsi"/>
              </w:rPr>
              <w:t>Alternative resources (funds, policies, regulatory framework, budgetary support, partnerships) for continuation of relevant outputs and outcomes identified and agreed.</w:t>
            </w:r>
          </w:p>
        </w:tc>
        <w:tc>
          <w:tcPr>
            <w:tcW w:w="1090" w:type="pct"/>
          </w:tcPr>
          <w:p w14:paraId="39757A98" w14:textId="77777777" w:rsidR="00C55E36" w:rsidRDefault="00C55E36" w:rsidP="00DC1475">
            <w:r>
              <w:t>IPs, UNDP staff; multi-year resourcing plans of IPs.</w:t>
            </w:r>
          </w:p>
          <w:p w14:paraId="6AECDEE6" w14:textId="77777777" w:rsidR="00C55E36" w:rsidRDefault="00C55E36" w:rsidP="00DC1475">
            <w:pPr>
              <w:rPr>
                <w:rFonts w:cstheme="minorHAnsi"/>
              </w:rPr>
            </w:pPr>
          </w:p>
        </w:tc>
        <w:tc>
          <w:tcPr>
            <w:tcW w:w="658" w:type="pct"/>
          </w:tcPr>
          <w:p w14:paraId="1C301AEA" w14:textId="77777777" w:rsidR="00C55E36" w:rsidRDefault="00C55E36" w:rsidP="00DC1475">
            <w:pPr>
              <w:rPr>
                <w:rFonts w:cstheme="minorHAnsi"/>
              </w:rPr>
            </w:pPr>
            <w:r>
              <w:rPr>
                <w:rFonts w:cstheme="minorHAnsi"/>
              </w:rPr>
              <w:t>KII, desk review</w:t>
            </w:r>
          </w:p>
        </w:tc>
        <w:tc>
          <w:tcPr>
            <w:tcW w:w="926" w:type="pct"/>
          </w:tcPr>
          <w:p w14:paraId="7C853222" w14:textId="77777777" w:rsidR="00C55E36" w:rsidRDefault="00C55E36" w:rsidP="00DC1475">
            <w:pPr>
              <w:rPr>
                <w:rFonts w:cstheme="minorHAnsi"/>
              </w:rPr>
            </w:pPr>
            <w:r>
              <w:rPr>
                <w:rFonts w:cstheme="minorHAnsi"/>
              </w:rPr>
              <w:t>Analysis and assessment of drivers of sustainability.</w:t>
            </w:r>
          </w:p>
        </w:tc>
      </w:tr>
      <w:tr w:rsidR="00C55E36" w14:paraId="440B3BA6" w14:textId="77777777" w:rsidTr="00DC1475">
        <w:tc>
          <w:tcPr>
            <w:tcW w:w="1257" w:type="pct"/>
            <w:gridSpan w:val="2"/>
          </w:tcPr>
          <w:p w14:paraId="0A35E294" w14:textId="77777777" w:rsidR="00C55E36" w:rsidRDefault="00C55E36" w:rsidP="00DC1475">
            <w:r>
              <w:t>24.To what extent did the shift in the governance landscape and political arena of the country would affect continuity and sustainability of results achieved?</w:t>
            </w:r>
          </w:p>
          <w:p w14:paraId="50420043" w14:textId="77777777" w:rsidR="00C55E36" w:rsidRDefault="00C55E36" w:rsidP="00DC1475">
            <w:pPr>
              <w:textAlignment w:val="baseline"/>
              <w:rPr>
                <w:rFonts w:eastAsia="Times New Roman" w:cstheme="minorHAnsi"/>
                <w:lang w:eastAsia="en-CA"/>
              </w:rPr>
            </w:pPr>
          </w:p>
        </w:tc>
        <w:tc>
          <w:tcPr>
            <w:tcW w:w="1068" w:type="pct"/>
          </w:tcPr>
          <w:p w14:paraId="0F10E289" w14:textId="77777777" w:rsidR="00C55E36" w:rsidRDefault="00C55E36" w:rsidP="00DC1475">
            <w:pPr>
              <w:rPr>
                <w:rFonts w:cstheme="minorHAnsi"/>
              </w:rPr>
            </w:pPr>
            <w:r>
              <w:rPr>
                <w:rFonts w:cstheme="minorHAnsi"/>
              </w:rPr>
              <w:t>Resilience and capacity at national and local level; local institutions at the frontline of delivery of services have planning capacity to continue services.</w:t>
            </w:r>
          </w:p>
        </w:tc>
        <w:tc>
          <w:tcPr>
            <w:tcW w:w="1090" w:type="pct"/>
          </w:tcPr>
          <w:p w14:paraId="15CF4D3B" w14:textId="77777777" w:rsidR="00C55E36" w:rsidRDefault="00C55E36" w:rsidP="00DC1475">
            <w:pPr>
              <w:rPr>
                <w:rFonts w:cstheme="minorHAnsi"/>
              </w:rPr>
            </w:pPr>
            <w:r>
              <w:rPr>
                <w:rFonts w:cstheme="minorHAnsi"/>
              </w:rPr>
              <w:t>National and local authorities who are currently involved in implementing UNDP-supported activities.</w:t>
            </w:r>
          </w:p>
          <w:p w14:paraId="4CD29165" w14:textId="77777777" w:rsidR="00C55E36" w:rsidRDefault="00C55E36" w:rsidP="00DC1475">
            <w:pPr>
              <w:rPr>
                <w:rFonts w:cstheme="minorHAnsi"/>
              </w:rPr>
            </w:pPr>
          </w:p>
        </w:tc>
        <w:tc>
          <w:tcPr>
            <w:tcW w:w="658" w:type="pct"/>
          </w:tcPr>
          <w:p w14:paraId="4520BC0A" w14:textId="77777777" w:rsidR="00C55E36" w:rsidRDefault="00C55E36" w:rsidP="00DC1475">
            <w:pPr>
              <w:rPr>
                <w:rFonts w:cstheme="minorHAnsi"/>
              </w:rPr>
            </w:pPr>
            <w:r>
              <w:rPr>
                <w:rFonts w:cstheme="minorHAnsi"/>
              </w:rPr>
              <w:t>KII, FGD</w:t>
            </w:r>
          </w:p>
        </w:tc>
        <w:tc>
          <w:tcPr>
            <w:tcW w:w="926" w:type="pct"/>
          </w:tcPr>
          <w:p w14:paraId="13DA9823" w14:textId="77777777" w:rsidR="00C55E36" w:rsidRDefault="00C55E36" w:rsidP="00DC1475">
            <w:pPr>
              <w:rPr>
                <w:rFonts w:cstheme="minorHAnsi"/>
              </w:rPr>
            </w:pPr>
            <w:r>
              <w:rPr>
                <w:rFonts w:cstheme="minorHAnsi"/>
              </w:rPr>
              <w:t>Qualitative analysis</w:t>
            </w:r>
          </w:p>
        </w:tc>
      </w:tr>
      <w:tr w:rsidR="00C55E36" w14:paraId="0D72A82E" w14:textId="77777777" w:rsidTr="00DC1475">
        <w:tc>
          <w:tcPr>
            <w:tcW w:w="1257" w:type="pct"/>
            <w:gridSpan w:val="2"/>
          </w:tcPr>
          <w:p w14:paraId="7DFC2D56" w14:textId="77777777" w:rsidR="00C55E36" w:rsidRDefault="00C55E36" w:rsidP="00DC1475">
            <w:r>
              <w:t>25.To what extent were the implementing partners showed ownership of the programme, results, and lessons learned and their ability to continue with the programme with limited or without intervention from UNDP?</w:t>
            </w:r>
          </w:p>
          <w:p w14:paraId="4E643ADF" w14:textId="77777777" w:rsidR="00C55E36" w:rsidRDefault="00C55E36" w:rsidP="00DC1475">
            <w:pPr>
              <w:textAlignment w:val="baseline"/>
              <w:rPr>
                <w:rFonts w:eastAsia="Times New Roman" w:cstheme="minorHAnsi"/>
                <w:lang w:eastAsia="en-CA"/>
              </w:rPr>
            </w:pPr>
          </w:p>
        </w:tc>
        <w:tc>
          <w:tcPr>
            <w:tcW w:w="1068" w:type="pct"/>
          </w:tcPr>
          <w:p w14:paraId="763355F3" w14:textId="77777777" w:rsidR="00C55E36" w:rsidRDefault="00C55E36" w:rsidP="00DC1475">
            <w:pPr>
              <w:rPr>
                <w:rFonts w:cstheme="minorHAnsi"/>
              </w:rPr>
            </w:pPr>
            <w:r>
              <w:rPr>
                <w:rFonts w:cstheme="minorHAnsi"/>
              </w:rPr>
              <w:t xml:space="preserve">Adaptability of IPs to continue programming, </w:t>
            </w:r>
            <w:proofErr w:type="gramStart"/>
            <w:r>
              <w:rPr>
                <w:rFonts w:cstheme="minorHAnsi"/>
              </w:rPr>
              <w:t>e.g.</w:t>
            </w:r>
            <w:proofErr w:type="gramEnd"/>
            <w:r>
              <w:rPr>
                <w:rFonts w:cstheme="minorHAnsi"/>
              </w:rPr>
              <w:t xml:space="preserve"> in the COVID scenario and/or in the event of major security challenges. Proactive support for relevant institutions to ensure that vital activities are delivered. </w:t>
            </w:r>
          </w:p>
        </w:tc>
        <w:tc>
          <w:tcPr>
            <w:tcW w:w="1090" w:type="pct"/>
          </w:tcPr>
          <w:p w14:paraId="2A753C6C" w14:textId="77777777" w:rsidR="00C55E36" w:rsidRDefault="00C55E36" w:rsidP="00DC1475">
            <w:r>
              <w:t>UNDP staff, IPs; COVID and/or security mitigation strategies/briefings.</w:t>
            </w:r>
          </w:p>
        </w:tc>
        <w:tc>
          <w:tcPr>
            <w:tcW w:w="658" w:type="pct"/>
          </w:tcPr>
          <w:p w14:paraId="6E9BB97F" w14:textId="77777777" w:rsidR="00C55E36" w:rsidRDefault="00C55E36" w:rsidP="00DC1475">
            <w:pPr>
              <w:rPr>
                <w:rFonts w:cstheme="minorHAnsi"/>
              </w:rPr>
            </w:pPr>
            <w:r>
              <w:rPr>
                <w:rFonts w:cstheme="minorHAnsi"/>
              </w:rPr>
              <w:t>KII</w:t>
            </w:r>
          </w:p>
        </w:tc>
        <w:tc>
          <w:tcPr>
            <w:tcW w:w="926" w:type="pct"/>
          </w:tcPr>
          <w:p w14:paraId="67283B2A" w14:textId="77777777" w:rsidR="00C55E36" w:rsidRDefault="00C55E36" w:rsidP="00DC1475">
            <w:pPr>
              <w:rPr>
                <w:rFonts w:cstheme="minorHAnsi"/>
              </w:rPr>
            </w:pPr>
            <w:r>
              <w:rPr>
                <w:sz w:val="21"/>
                <w:szCs w:val="21"/>
              </w:rPr>
              <w:t>Descriptive data analysis.</w:t>
            </w:r>
          </w:p>
        </w:tc>
      </w:tr>
      <w:tr w:rsidR="00C55E36" w14:paraId="66774018" w14:textId="77777777" w:rsidTr="00DC1475">
        <w:tc>
          <w:tcPr>
            <w:tcW w:w="1257" w:type="pct"/>
            <w:gridSpan w:val="2"/>
          </w:tcPr>
          <w:p w14:paraId="02AAB219" w14:textId="77777777" w:rsidR="00C55E36" w:rsidRDefault="00C55E36" w:rsidP="00DC1475">
            <w:pPr>
              <w:rPr>
                <w:rFonts w:eastAsia="Times New Roman" w:cstheme="minorHAnsi"/>
                <w:lang w:eastAsia="en-CA"/>
              </w:rPr>
            </w:pPr>
            <w:r>
              <w:lastRenderedPageBreak/>
              <w:t>26.To what extent the programme established and maintained effective partnership with development partners, government, Civil Society Organizations (CSOs), etc.?</w:t>
            </w:r>
          </w:p>
        </w:tc>
        <w:tc>
          <w:tcPr>
            <w:tcW w:w="1068" w:type="pct"/>
          </w:tcPr>
          <w:p w14:paraId="697F2433" w14:textId="77777777" w:rsidR="00C55E36" w:rsidRDefault="00C55E36" w:rsidP="00DC1475">
            <w:pPr>
              <w:rPr>
                <w:rFonts w:cstheme="minorHAnsi"/>
              </w:rPr>
            </w:pPr>
            <w:r>
              <w:t xml:space="preserve">Strong knowledge-sharing partnerships developed with donors, IPs, UN agencies, private </w:t>
            </w:r>
            <w:proofErr w:type="gramStart"/>
            <w:r>
              <w:t>sector</w:t>
            </w:r>
            <w:proofErr w:type="gramEnd"/>
            <w:r>
              <w:t xml:space="preserve"> and civil society.</w:t>
            </w:r>
          </w:p>
        </w:tc>
        <w:tc>
          <w:tcPr>
            <w:tcW w:w="1090" w:type="pct"/>
          </w:tcPr>
          <w:p w14:paraId="4D9C9E6F" w14:textId="77777777" w:rsidR="00C55E36" w:rsidRDefault="00C55E36" w:rsidP="00DC1475">
            <w:pPr>
              <w:rPr>
                <w:rFonts w:cstheme="minorHAnsi"/>
              </w:rPr>
            </w:pPr>
            <w:r>
              <w:t>MTR, donor reporting; UNDP staff</w:t>
            </w:r>
          </w:p>
        </w:tc>
        <w:tc>
          <w:tcPr>
            <w:tcW w:w="658" w:type="pct"/>
          </w:tcPr>
          <w:p w14:paraId="0C76D401" w14:textId="77777777" w:rsidR="00C55E36" w:rsidRDefault="00C55E36" w:rsidP="00DC1475">
            <w:r>
              <w:t>Desk review</w:t>
            </w:r>
          </w:p>
          <w:p w14:paraId="45AFEF5F" w14:textId="77777777" w:rsidR="00C55E36" w:rsidRDefault="00C55E36" w:rsidP="00DC1475">
            <w:pPr>
              <w:rPr>
                <w:rFonts w:cstheme="minorHAnsi"/>
              </w:rPr>
            </w:pPr>
            <w:r>
              <w:t>KII</w:t>
            </w:r>
          </w:p>
        </w:tc>
        <w:tc>
          <w:tcPr>
            <w:tcW w:w="926" w:type="pct"/>
          </w:tcPr>
          <w:p w14:paraId="097EF485" w14:textId="77777777" w:rsidR="00C55E36" w:rsidRDefault="00C55E36" w:rsidP="00DC1475">
            <w:pPr>
              <w:rPr>
                <w:rFonts w:cstheme="minorHAnsi"/>
              </w:rPr>
            </w:pPr>
            <w:r>
              <w:rPr>
                <w:rFonts w:cstheme="minorHAnsi"/>
              </w:rPr>
              <w:t>MEA</w:t>
            </w:r>
          </w:p>
        </w:tc>
      </w:tr>
      <w:tr w:rsidR="00C55E36" w14:paraId="127BBD7C" w14:textId="77777777" w:rsidTr="00DC1475">
        <w:tc>
          <w:tcPr>
            <w:tcW w:w="1257" w:type="pct"/>
            <w:gridSpan w:val="2"/>
          </w:tcPr>
          <w:p w14:paraId="07E2D840" w14:textId="77777777" w:rsidR="00C55E36" w:rsidRDefault="00C55E36" w:rsidP="00DC1475">
            <w:pPr>
              <w:rPr>
                <w:rFonts w:eastAsia="Times New Roman" w:cstheme="minorHAnsi"/>
                <w:lang w:eastAsia="en-CA"/>
              </w:rPr>
            </w:pPr>
            <w:r>
              <w:t>27.To what extent were the participation and ownership of the programme by the IPs and other key stakeholders for ensuring sustainability of achieved results &amp; lessons learned after end of the current programme?</w:t>
            </w:r>
          </w:p>
        </w:tc>
        <w:tc>
          <w:tcPr>
            <w:tcW w:w="1068" w:type="pct"/>
          </w:tcPr>
          <w:p w14:paraId="248EC892" w14:textId="77777777" w:rsidR="00C55E36" w:rsidRDefault="00C55E36" w:rsidP="00DC1475">
            <w:pPr>
              <w:rPr>
                <w:rFonts w:cstheme="minorHAnsi"/>
              </w:rPr>
            </w:pPr>
            <w:r>
              <w:rPr>
                <w:rFonts w:cstheme="minorHAnsi"/>
              </w:rPr>
              <w:t>Prodoc and progress reports demonstrate planned phase out of UNDP’s role and support for relevant techniques and strategies to ensure that vital activities can continue under local ownership.</w:t>
            </w:r>
          </w:p>
        </w:tc>
        <w:tc>
          <w:tcPr>
            <w:tcW w:w="1090" w:type="pct"/>
          </w:tcPr>
          <w:p w14:paraId="14B16128" w14:textId="77777777" w:rsidR="00C55E36" w:rsidRDefault="00C55E36" w:rsidP="00DC1475">
            <w:pPr>
              <w:rPr>
                <w:rFonts w:cstheme="minorHAnsi"/>
              </w:rPr>
            </w:pPr>
            <w:r>
              <w:rPr>
                <w:rFonts w:cstheme="minorHAnsi"/>
              </w:rPr>
              <w:t>Prodoc; progress reports, UNDP staff, IPs</w:t>
            </w:r>
          </w:p>
        </w:tc>
        <w:tc>
          <w:tcPr>
            <w:tcW w:w="658" w:type="pct"/>
          </w:tcPr>
          <w:p w14:paraId="73E90662" w14:textId="77777777" w:rsidR="00C55E36" w:rsidRDefault="00C55E36" w:rsidP="00DC1475">
            <w:pPr>
              <w:rPr>
                <w:rFonts w:cstheme="minorHAnsi"/>
              </w:rPr>
            </w:pPr>
            <w:r>
              <w:t>KII; Desk review</w:t>
            </w:r>
          </w:p>
        </w:tc>
        <w:tc>
          <w:tcPr>
            <w:tcW w:w="926" w:type="pct"/>
          </w:tcPr>
          <w:p w14:paraId="4DA6C90C" w14:textId="77777777" w:rsidR="00C55E36" w:rsidRDefault="00C55E36" w:rsidP="00DC1475">
            <w:pPr>
              <w:rPr>
                <w:rFonts w:cstheme="minorHAnsi"/>
              </w:rPr>
            </w:pPr>
            <w:r>
              <w:rPr>
                <w:rFonts w:cstheme="minorHAnsi"/>
              </w:rPr>
              <w:t>MEA</w:t>
            </w:r>
          </w:p>
        </w:tc>
      </w:tr>
      <w:tr w:rsidR="00C55E36" w14:paraId="7B7C8C3C" w14:textId="77777777" w:rsidTr="00DC1475">
        <w:tc>
          <w:tcPr>
            <w:tcW w:w="5000" w:type="pct"/>
            <w:gridSpan w:val="6"/>
          </w:tcPr>
          <w:p w14:paraId="3020F5A5" w14:textId="77777777" w:rsidR="00C55E36" w:rsidRDefault="00C55E36" w:rsidP="00DC1475">
            <w:pPr>
              <w:rPr>
                <w:rFonts w:cstheme="minorHAnsi"/>
              </w:rPr>
            </w:pPr>
            <w:r>
              <w:rPr>
                <w:rFonts w:eastAsia="Times New Roman" w:cstheme="minorHAnsi"/>
                <w:b/>
                <w:bCs/>
                <w:iCs/>
                <w:lang w:eastAsia="en-CA"/>
              </w:rPr>
              <w:t>Gender: The extent to which the GDPP addressed gender issues.</w:t>
            </w:r>
          </w:p>
        </w:tc>
      </w:tr>
      <w:tr w:rsidR="00C55E36" w14:paraId="78156C70" w14:textId="77777777" w:rsidTr="00DC1475">
        <w:tc>
          <w:tcPr>
            <w:tcW w:w="1257" w:type="pct"/>
            <w:gridSpan w:val="2"/>
          </w:tcPr>
          <w:p w14:paraId="741CDD12" w14:textId="77777777" w:rsidR="00C55E36" w:rsidRDefault="00C55E36" w:rsidP="00DC1475">
            <w:r>
              <w:t>28.To what extent have gender considerations mainstreamed and had been addressed in the design, implementation, and monitoring of the project?</w:t>
            </w:r>
          </w:p>
          <w:p w14:paraId="1259DE5F" w14:textId="77777777" w:rsidR="00C55E36" w:rsidRDefault="00C55E36" w:rsidP="00DC1475">
            <w:pPr>
              <w:textAlignment w:val="baseline"/>
              <w:rPr>
                <w:rFonts w:eastAsia="Times New Roman" w:cstheme="minorHAnsi"/>
                <w:lang w:eastAsia="en-CA"/>
              </w:rPr>
            </w:pPr>
          </w:p>
        </w:tc>
        <w:tc>
          <w:tcPr>
            <w:tcW w:w="1068" w:type="pct"/>
          </w:tcPr>
          <w:p w14:paraId="1CB4AC78" w14:textId="77777777" w:rsidR="00C55E36" w:rsidRDefault="00C55E36" w:rsidP="00DC1475">
            <w:pPr>
              <w:rPr>
                <w:rFonts w:cstheme="minorHAnsi"/>
              </w:rPr>
            </w:pPr>
            <w:r>
              <w:rPr>
                <w:rFonts w:cstheme="minorHAnsi"/>
              </w:rPr>
              <w:t>Prodoc demonstrates gendered analysis of poverty and vulnerability; progress reports disaggregate gender; Rigorous use of Gender marker.</w:t>
            </w:r>
          </w:p>
        </w:tc>
        <w:tc>
          <w:tcPr>
            <w:tcW w:w="1090" w:type="pct"/>
          </w:tcPr>
          <w:p w14:paraId="5A4935C8" w14:textId="77777777" w:rsidR="00C55E36" w:rsidRDefault="00C55E36" w:rsidP="00DC1475">
            <w:pPr>
              <w:rPr>
                <w:rFonts w:cstheme="minorHAnsi"/>
              </w:rPr>
            </w:pPr>
            <w:r>
              <w:rPr>
                <w:rFonts w:cstheme="minorHAnsi"/>
              </w:rPr>
              <w:t>Prodoc, Progress reports, Beneficiary data; MTR; IPs, Project staff.</w:t>
            </w:r>
          </w:p>
          <w:p w14:paraId="45A130B8" w14:textId="77777777" w:rsidR="00C55E36" w:rsidRDefault="00C55E36" w:rsidP="00DC1475">
            <w:pPr>
              <w:rPr>
                <w:rFonts w:cstheme="minorHAnsi"/>
              </w:rPr>
            </w:pPr>
          </w:p>
          <w:p w14:paraId="53D6CE5F" w14:textId="77777777" w:rsidR="00C55E36" w:rsidRDefault="00C55E36" w:rsidP="00DC1475">
            <w:pPr>
              <w:rPr>
                <w:rFonts w:cstheme="minorHAnsi"/>
              </w:rPr>
            </w:pPr>
          </w:p>
        </w:tc>
        <w:tc>
          <w:tcPr>
            <w:tcW w:w="658" w:type="pct"/>
          </w:tcPr>
          <w:p w14:paraId="72B7EFF2" w14:textId="77777777" w:rsidR="00C55E36" w:rsidRDefault="00C55E36" w:rsidP="00DC1475">
            <w:pPr>
              <w:rPr>
                <w:rFonts w:cstheme="minorHAnsi"/>
              </w:rPr>
            </w:pPr>
            <w:r>
              <w:rPr>
                <w:rFonts w:cstheme="minorHAnsi"/>
              </w:rPr>
              <w:t>Desk review, KII</w:t>
            </w:r>
          </w:p>
        </w:tc>
        <w:tc>
          <w:tcPr>
            <w:tcW w:w="926" w:type="pct"/>
          </w:tcPr>
          <w:p w14:paraId="157D042A" w14:textId="77777777" w:rsidR="00C55E36" w:rsidRDefault="00C55E36" w:rsidP="00DC1475">
            <w:pPr>
              <w:rPr>
                <w:rFonts w:cstheme="minorHAnsi"/>
              </w:rPr>
            </w:pPr>
            <w:r>
              <w:rPr>
                <w:rFonts w:cstheme="minorHAnsi"/>
              </w:rPr>
              <w:t>Quantitative &amp; qualitative analysis</w:t>
            </w:r>
          </w:p>
        </w:tc>
      </w:tr>
      <w:tr w:rsidR="00C55E36" w14:paraId="2B60A5F4" w14:textId="77777777" w:rsidTr="00DC1475">
        <w:tc>
          <w:tcPr>
            <w:tcW w:w="1257" w:type="pct"/>
            <w:gridSpan w:val="2"/>
          </w:tcPr>
          <w:p w14:paraId="68EDF2D4" w14:textId="77777777" w:rsidR="00C55E36" w:rsidRDefault="00C55E36" w:rsidP="00DC1475">
            <w:r>
              <w:t>29.Is the gender marker data assigned to this project representative of reality?</w:t>
            </w:r>
          </w:p>
          <w:p w14:paraId="0B89AFD2" w14:textId="77777777" w:rsidR="00C55E36" w:rsidRDefault="00C55E36" w:rsidP="00DC1475">
            <w:pPr>
              <w:textAlignment w:val="baseline"/>
              <w:rPr>
                <w:rFonts w:eastAsia="Times New Roman" w:cstheme="minorHAnsi"/>
                <w:lang w:eastAsia="en-CA"/>
              </w:rPr>
            </w:pPr>
          </w:p>
        </w:tc>
        <w:tc>
          <w:tcPr>
            <w:tcW w:w="1068" w:type="pct"/>
          </w:tcPr>
          <w:p w14:paraId="3C2AC7FB" w14:textId="77777777" w:rsidR="00C55E36" w:rsidRDefault="00C55E36" w:rsidP="00DC1475">
            <w:pPr>
              <w:rPr>
                <w:rFonts w:cstheme="minorHAnsi"/>
              </w:rPr>
            </w:pPr>
            <w:r>
              <w:rPr>
                <w:rFonts w:cstheme="minorHAnsi"/>
              </w:rPr>
              <w:t>Linked to Q. 28. All activities which have any direct interface with communities must demonstrate that gender is directly addressed.</w:t>
            </w:r>
          </w:p>
        </w:tc>
        <w:tc>
          <w:tcPr>
            <w:tcW w:w="1090" w:type="pct"/>
          </w:tcPr>
          <w:p w14:paraId="5046C6F8" w14:textId="77777777" w:rsidR="00C55E36" w:rsidRDefault="00C55E36" w:rsidP="00DC1475">
            <w:pPr>
              <w:rPr>
                <w:rFonts w:cstheme="minorHAnsi"/>
              </w:rPr>
            </w:pPr>
            <w:r>
              <w:rPr>
                <w:rFonts w:cstheme="minorHAnsi"/>
              </w:rPr>
              <w:t>Gender assessment reports; Beneficiary selection criteria; Cross-section of beneficiaries/target communities.</w:t>
            </w:r>
          </w:p>
        </w:tc>
        <w:tc>
          <w:tcPr>
            <w:tcW w:w="658" w:type="pct"/>
          </w:tcPr>
          <w:p w14:paraId="464BE951" w14:textId="77777777" w:rsidR="00C55E36" w:rsidRDefault="00C55E36" w:rsidP="00DC1475">
            <w:pPr>
              <w:rPr>
                <w:rFonts w:cstheme="minorHAnsi"/>
              </w:rPr>
            </w:pPr>
            <w:r>
              <w:rPr>
                <w:rFonts w:cstheme="minorHAnsi"/>
              </w:rPr>
              <w:t>Desk research, KII, FGD.</w:t>
            </w:r>
          </w:p>
          <w:p w14:paraId="69429E5E" w14:textId="77777777" w:rsidR="00C55E36" w:rsidRDefault="00C55E36" w:rsidP="00DC1475">
            <w:pPr>
              <w:rPr>
                <w:rFonts w:cstheme="minorHAnsi"/>
              </w:rPr>
            </w:pPr>
          </w:p>
        </w:tc>
        <w:tc>
          <w:tcPr>
            <w:tcW w:w="926" w:type="pct"/>
          </w:tcPr>
          <w:p w14:paraId="3BC2631A" w14:textId="77777777" w:rsidR="00C55E36" w:rsidRDefault="00C55E36" w:rsidP="00DC1475">
            <w:pPr>
              <w:rPr>
                <w:rFonts w:cstheme="minorHAnsi"/>
              </w:rPr>
            </w:pPr>
            <w:r>
              <w:rPr>
                <w:rFonts w:cstheme="minorHAnsi"/>
              </w:rPr>
              <w:t>Qualitative analysis.</w:t>
            </w:r>
          </w:p>
        </w:tc>
      </w:tr>
      <w:tr w:rsidR="00C55E36" w14:paraId="0C498EAF" w14:textId="77777777" w:rsidTr="00DC1475">
        <w:tc>
          <w:tcPr>
            <w:tcW w:w="1257" w:type="pct"/>
            <w:gridSpan w:val="2"/>
          </w:tcPr>
          <w:p w14:paraId="35CB3C63" w14:textId="77777777" w:rsidR="00C55E36" w:rsidRDefault="00C55E36" w:rsidP="00DC1475">
            <w:r>
              <w:t xml:space="preserve">30.To what extent has the project promoted positive changes in women participation in the forest conservation </w:t>
            </w:r>
            <w:r>
              <w:lastRenderedPageBreak/>
              <w:t>and development activities? To what extent women benefitted from this project?</w:t>
            </w:r>
          </w:p>
          <w:p w14:paraId="50D86506" w14:textId="77777777" w:rsidR="00C55E36" w:rsidRDefault="00C55E36" w:rsidP="00DC1475"/>
        </w:tc>
        <w:tc>
          <w:tcPr>
            <w:tcW w:w="1068" w:type="pct"/>
          </w:tcPr>
          <w:p w14:paraId="18A886D3" w14:textId="77777777" w:rsidR="00C55E36" w:rsidRDefault="00C55E36" w:rsidP="00DC1475">
            <w:pPr>
              <w:rPr>
                <w:rFonts w:cstheme="minorHAnsi"/>
              </w:rPr>
            </w:pPr>
            <w:r>
              <w:rPr>
                <w:rFonts w:cstheme="minorHAnsi"/>
              </w:rPr>
              <w:lastRenderedPageBreak/>
              <w:t xml:space="preserve">Linked to Qs. 28, 29. All activities which have any direct interface with conservation </w:t>
            </w:r>
            <w:r>
              <w:rPr>
                <w:rFonts w:cstheme="minorHAnsi"/>
              </w:rPr>
              <w:lastRenderedPageBreak/>
              <w:t>and development activities must demonstrate that gender is directly addressed.</w:t>
            </w:r>
          </w:p>
        </w:tc>
        <w:tc>
          <w:tcPr>
            <w:tcW w:w="1090" w:type="pct"/>
          </w:tcPr>
          <w:p w14:paraId="144918DB" w14:textId="77777777" w:rsidR="00C55E36" w:rsidRDefault="00C55E36" w:rsidP="00DC1475">
            <w:pPr>
              <w:rPr>
                <w:rFonts w:cstheme="minorHAnsi"/>
              </w:rPr>
            </w:pPr>
            <w:r>
              <w:rPr>
                <w:rFonts w:cstheme="minorHAnsi"/>
              </w:rPr>
              <w:lastRenderedPageBreak/>
              <w:t xml:space="preserve">Gender assessment reports; Beneficiary selection criteria; </w:t>
            </w:r>
            <w:r>
              <w:rPr>
                <w:rFonts w:cstheme="minorHAnsi"/>
              </w:rPr>
              <w:lastRenderedPageBreak/>
              <w:t>Cross-section of beneficiaries/target communities.</w:t>
            </w:r>
          </w:p>
        </w:tc>
        <w:tc>
          <w:tcPr>
            <w:tcW w:w="658" w:type="pct"/>
          </w:tcPr>
          <w:p w14:paraId="534B58FB" w14:textId="77777777" w:rsidR="00C55E36" w:rsidRDefault="00C55E36" w:rsidP="00DC1475">
            <w:pPr>
              <w:rPr>
                <w:rFonts w:cstheme="minorHAnsi"/>
              </w:rPr>
            </w:pPr>
            <w:r>
              <w:rPr>
                <w:rFonts w:cstheme="minorHAnsi"/>
              </w:rPr>
              <w:lastRenderedPageBreak/>
              <w:t>Prodoc, Progress reports, Beneficiary data</w:t>
            </w:r>
          </w:p>
          <w:p w14:paraId="0CA183B5" w14:textId="77777777" w:rsidR="00C55E36" w:rsidRDefault="00C55E36" w:rsidP="00DC1475">
            <w:pPr>
              <w:rPr>
                <w:rFonts w:cstheme="minorHAnsi"/>
              </w:rPr>
            </w:pPr>
            <w:r>
              <w:rPr>
                <w:rFonts w:cstheme="minorHAnsi"/>
              </w:rPr>
              <w:lastRenderedPageBreak/>
              <w:t xml:space="preserve">MTR, IPs, Project staff, </w:t>
            </w:r>
          </w:p>
          <w:p w14:paraId="2B466729" w14:textId="77777777" w:rsidR="00C55E36" w:rsidRDefault="00C55E36" w:rsidP="00DC1475">
            <w:pPr>
              <w:rPr>
                <w:rFonts w:cstheme="minorHAnsi"/>
              </w:rPr>
            </w:pPr>
          </w:p>
        </w:tc>
        <w:tc>
          <w:tcPr>
            <w:tcW w:w="926" w:type="pct"/>
          </w:tcPr>
          <w:p w14:paraId="46F05068" w14:textId="77777777" w:rsidR="00C55E36" w:rsidRDefault="00C55E36" w:rsidP="00DC1475">
            <w:pPr>
              <w:rPr>
                <w:rFonts w:cstheme="minorHAnsi"/>
              </w:rPr>
            </w:pPr>
            <w:r>
              <w:rPr>
                <w:rFonts w:cstheme="minorHAnsi"/>
              </w:rPr>
              <w:lastRenderedPageBreak/>
              <w:t>Qualitative analysis</w:t>
            </w:r>
          </w:p>
        </w:tc>
      </w:tr>
      <w:tr w:rsidR="00C55E36" w14:paraId="26AC47BD" w14:textId="77777777" w:rsidTr="00DC1475">
        <w:tc>
          <w:tcPr>
            <w:tcW w:w="5000" w:type="pct"/>
            <w:gridSpan w:val="6"/>
          </w:tcPr>
          <w:p w14:paraId="7CF38E70" w14:textId="77777777" w:rsidR="00C55E36" w:rsidRDefault="00C55E36" w:rsidP="00DC1475">
            <w:pPr>
              <w:spacing w:line="293" w:lineRule="atLeast"/>
              <w:textAlignment w:val="baseline"/>
              <w:rPr>
                <w:rFonts w:cstheme="minorHAnsi"/>
              </w:rPr>
            </w:pPr>
            <w:r>
              <w:rPr>
                <w:rFonts w:eastAsia="Times New Roman" w:cstheme="minorHAnsi"/>
                <w:b/>
                <w:bCs/>
                <w:iCs/>
                <w:lang w:eastAsia="en-CA"/>
              </w:rPr>
              <w:t>Human Rights: The extent to which the GDPP addressed human rights issues.</w:t>
            </w:r>
          </w:p>
        </w:tc>
      </w:tr>
      <w:tr w:rsidR="00C55E36" w14:paraId="099A192F" w14:textId="77777777" w:rsidTr="00DC1475">
        <w:tc>
          <w:tcPr>
            <w:tcW w:w="1257" w:type="pct"/>
            <w:gridSpan w:val="2"/>
          </w:tcPr>
          <w:p w14:paraId="3A48EA9D" w14:textId="77777777" w:rsidR="00C55E36" w:rsidRDefault="00C55E36" w:rsidP="00DC1475">
            <w:pPr>
              <w:rPr>
                <w:rFonts w:eastAsia="Times New Roman" w:cstheme="minorHAnsi"/>
                <w:lang w:eastAsia="en-CA"/>
              </w:rPr>
            </w:pPr>
            <w:r>
              <w:t>31.To what extent have poor, indigenous and physically challenged, women and other disadvantaged &amp; marginalized groups benefited from the work of this programme?</w:t>
            </w:r>
          </w:p>
        </w:tc>
        <w:tc>
          <w:tcPr>
            <w:tcW w:w="1068" w:type="pct"/>
          </w:tcPr>
          <w:p w14:paraId="1A5D516B" w14:textId="77777777" w:rsidR="00C55E36" w:rsidRDefault="00C55E36" w:rsidP="00DC1475">
            <w:pPr>
              <w:rPr>
                <w:rFonts w:cstheme="minorHAnsi"/>
              </w:rPr>
            </w:pPr>
            <w:r>
              <w:rPr>
                <w:rFonts w:cstheme="minorHAnsi"/>
              </w:rPr>
              <w:t>All activities/projects which have any direct interface with communities must demonstrate directly addressing the needs of the most vulnerable.</w:t>
            </w:r>
          </w:p>
        </w:tc>
        <w:tc>
          <w:tcPr>
            <w:tcW w:w="1090" w:type="pct"/>
          </w:tcPr>
          <w:p w14:paraId="09093B2F" w14:textId="77777777" w:rsidR="00C55E36" w:rsidRDefault="00C55E36" w:rsidP="00DC1475">
            <w:pPr>
              <w:rPr>
                <w:rFonts w:cstheme="minorHAnsi"/>
              </w:rPr>
            </w:pPr>
            <w:r>
              <w:rPr>
                <w:rFonts w:cstheme="minorHAnsi"/>
              </w:rPr>
              <w:t xml:space="preserve">Prodoc, Progress reports, Beneficiary data; MTR; IPs, Project staff. </w:t>
            </w:r>
          </w:p>
          <w:p w14:paraId="42302E39" w14:textId="77777777" w:rsidR="00C55E36" w:rsidRDefault="00C55E36" w:rsidP="00DC1475">
            <w:pPr>
              <w:rPr>
                <w:rFonts w:cstheme="minorHAnsi"/>
              </w:rPr>
            </w:pPr>
          </w:p>
        </w:tc>
        <w:tc>
          <w:tcPr>
            <w:tcW w:w="658" w:type="pct"/>
          </w:tcPr>
          <w:p w14:paraId="4D6A2ABB" w14:textId="77777777" w:rsidR="00C55E36" w:rsidRDefault="00C55E36" w:rsidP="00DC1475">
            <w:pPr>
              <w:rPr>
                <w:rFonts w:cstheme="minorHAnsi"/>
              </w:rPr>
            </w:pPr>
            <w:r>
              <w:rPr>
                <w:rFonts w:cstheme="minorHAnsi"/>
              </w:rPr>
              <w:t>Desk review, KII</w:t>
            </w:r>
          </w:p>
        </w:tc>
        <w:tc>
          <w:tcPr>
            <w:tcW w:w="926" w:type="pct"/>
          </w:tcPr>
          <w:p w14:paraId="7CF62298" w14:textId="77777777" w:rsidR="00C55E36" w:rsidRDefault="00C55E36" w:rsidP="00DC1475">
            <w:pPr>
              <w:rPr>
                <w:rFonts w:cstheme="minorHAnsi"/>
              </w:rPr>
            </w:pPr>
            <w:r>
              <w:rPr>
                <w:rFonts w:cstheme="minorHAnsi"/>
              </w:rPr>
              <w:t>Quantitative &amp; qualitative analysis.</w:t>
            </w:r>
          </w:p>
        </w:tc>
      </w:tr>
    </w:tbl>
    <w:p w14:paraId="77C4CC34" w14:textId="77777777" w:rsidR="00C55E36" w:rsidRDefault="00C55E36" w:rsidP="00C55E36"/>
    <w:p w14:paraId="76AE3811" w14:textId="77777777" w:rsidR="00C55E36" w:rsidRDefault="00C55E36" w:rsidP="005070CA">
      <w:pPr>
        <w:outlineLvl w:val="0"/>
        <w:rPr>
          <w:rFonts w:eastAsia="Times New Roman" w:cstheme="minorHAnsi"/>
          <w:b/>
          <w:lang w:eastAsia="en-CA"/>
        </w:rPr>
        <w:sectPr w:rsidR="00C55E36" w:rsidSect="00E168AE">
          <w:pgSz w:w="12240" w:h="15840"/>
          <w:pgMar w:top="1440" w:right="1440" w:bottom="1440" w:left="1440" w:header="720" w:footer="720" w:gutter="0"/>
          <w:pgNumType w:start="1"/>
          <w:cols w:space="720"/>
          <w:docGrid w:linePitch="360"/>
        </w:sectPr>
      </w:pPr>
    </w:p>
    <w:p w14:paraId="21E3C90A" w14:textId="77777777" w:rsidR="00B62737" w:rsidRDefault="00C55E36" w:rsidP="00B62737">
      <w:pPr>
        <w:outlineLvl w:val="0"/>
        <w:rPr>
          <w:b/>
        </w:rPr>
      </w:pPr>
      <w:r>
        <w:rPr>
          <w:b/>
        </w:rPr>
        <w:lastRenderedPageBreak/>
        <w:t xml:space="preserve">Annex 4 </w:t>
      </w:r>
    </w:p>
    <w:p w14:paraId="511A18D9" w14:textId="2561893D" w:rsidR="00B62737" w:rsidRDefault="00B62737" w:rsidP="00B62737">
      <w:pPr>
        <w:outlineLvl w:val="0"/>
      </w:pPr>
      <w:r w:rsidRPr="00260D7C">
        <w:rPr>
          <w:b/>
          <w:caps/>
        </w:rPr>
        <w:t>Terms of Reference Terminal Evaluation of the Governance and Democratic Participation Programme (GDPP) – June 2017 – December 2021</w:t>
      </w:r>
      <w:r w:rsidRPr="00260D7C">
        <w:rPr>
          <w:caps/>
        </w:rPr>
        <w:t>.</w:t>
      </w:r>
      <w:r>
        <w:t xml:space="preserve"> </w:t>
      </w:r>
      <w:r w:rsidR="00EB453B">
        <w:t>ABRIDGED VERSION</w:t>
      </w:r>
      <w:r w:rsidR="00EB453B">
        <w:rPr>
          <w:rStyle w:val="FootnoteReference"/>
        </w:rPr>
        <w:footnoteReference w:id="55"/>
      </w:r>
    </w:p>
    <w:p w14:paraId="42F10B2B" w14:textId="4319BC72" w:rsidR="0091792B" w:rsidRDefault="0091792B" w:rsidP="00C55E36">
      <w:pPr>
        <w:outlineLvl w:val="0"/>
        <w:rPr>
          <w:rFonts w:eastAsia="Times New Roman" w:cstheme="minorHAnsi"/>
          <w:b/>
          <w:lang w:eastAsia="en-CA"/>
        </w:rPr>
      </w:pPr>
    </w:p>
    <w:p w14:paraId="2A13CF3D" w14:textId="77777777" w:rsidR="006C66C6" w:rsidRDefault="00B62737" w:rsidP="006C66C6">
      <w:pPr>
        <w:jc w:val="both"/>
        <w:outlineLvl w:val="0"/>
      </w:pPr>
      <w:r>
        <w:t xml:space="preserve">BACKGROUND AND CONTEXT The Government of Ethiopia has over the last two decades shown great commitment to implement policies and programmes aimed at stimulating rapid development transformation largely by prioritizing investments to build and operate social and economic infrastructure, improving capacities within government to broaden access to basic social services such as education, health and water and sanitation, and prioritizing public investments in pro-poor economic sectors such as agriculture and food security. On top of the economic and social transformation, stride has been made in the governance side like ratifying largely progressive constitution, efforts to address inequalities, policies that promote gender equality, establishment of democratic institutions, etc. The policy orientation and commitment has resulted in significant improvements in Ethiopia’s human development indicators. In view of the county’s context and bold development transformation vision, it has been found important to make deliberate efforts to further broaden space for citizen engagement and participation in the development process to create a sense of shared prosperity, strengthen social cohesion and sustain peace and stability. Despite these positive developments, the country still faced several setbacks. Prior to 2018 the country had been characterized with instability and growing dissatisfaction of large groups of the population, primarily the youth segment with the Government. Widespread and protracted public protests and growing street and youth dissatisfaction forced the way for a series of reforms to be launched under PM Haliemariam Desalegn. Growing dissatisfaction and popular demands for change and reform ultimately resulted in a change in government in February 2018. Therefore 2018 marked a pivotal year in the history of Ethiopia with a wide-ranging introduction of transformational reforms in the political, democracy and socio-economic landscape all launched. With the election of Dr. Abiy Ahmed as the new PM by the ruling Ethiopian People’s Revolutionary Democratic Front (EPRDF) coalition, a raft of Proclamations followed including promising announcements to </w:t>
      </w:r>
      <w:proofErr w:type="gramStart"/>
      <w:r>
        <w:t>open up</w:t>
      </w:r>
      <w:proofErr w:type="gramEnd"/>
      <w:r>
        <w:t xml:space="preserve"> the political space, free political dissidents and engage in comprehensive institutional reforms of the public sector, including announcements to privatize public enterprises. In his inaugural speech, the new PM highlighted the need for what he termed as ‘an inclusive political process’ with the opposition playing a more active role. The PM urged all Ethiopians to put their differences aside as they worked together to forge a solid democratization process. He identified civil rights and freedom of movement and organization, the right to political participation and DocuSign Envelope ID: 12F5BEB0-77B5-4C29-83BF-6134BFD97183 2 representation and the right to freedom of expression as key in this process. He also reaffirmed his government’s commitment to ensure the full participation of women in public life and his personal commitment to advancing the equality agenda forward. However, what has emerged recently is that the country has </w:t>
      </w:r>
      <w:proofErr w:type="gramStart"/>
      <w:r>
        <w:t>entered into</w:t>
      </w:r>
      <w:proofErr w:type="gramEnd"/>
      <w:r>
        <w:t xml:space="preserve"> a serious problem of political instability and armed conflicts in various regions of the country. Most notably the conflicts in the Tigray, Amhara and Afar region following the Law Enforcement Operation of the Government in Tigray region in November 2020 has resulted in the displacement of millions of people, and has also created a humanitarian, social and economic crisis. However, despite these conflicts and unrest in various parts of the country, the nation conducted fair and peaceful national election with the highest turnout of voters during 2021. The GoE-UNDP Governance and </w:t>
      </w:r>
      <w:r>
        <w:lastRenderedPageBreak/>
        <w:t xml:space="preserve">Democratic Participation Programme (GDPP), a five-year </w:t>
      </w:r>
      <w:proofErr w:type="spellStart"/>
      <w:r>
        <w:t>multistakeholder’s</w:t>
      </w:r>
      <w:proofErr w:type="spellEnd"/>
      <w:r>
        <w:t xml:space="preserve"> programme (June 2017 to December 2021), has as a main objective of supporting the country sustain efforts towards enhancing institutional capacities and frameworks for strengthening good governance and deepening democratic participation in accordance with the Constitution and International Human Rights Conventions to which Ethiopia is a signatory. Progress in these areas is critical and believed to enable the country to deliver on the Sustainable Development Goals (SDGs) and the Growth and Transformation Plan (GTP II). The programme on governance and democratic participation was designed based on progress made and lessons learned from the former Democratic Participation Programme (DIP) and other interventions to support initiatives aimed at addressing governance bottlenecks, issues of inclusivity, </w:t>
      </w:r>
      <w:proofErr w:type="gramStart"/>
      <w:r>
        <w:t>transparency</w:t>
      </w:r>
      <w:proofErr w:type="gramEnd"/>
      <w:r>
        <w:t xml:space="preserve"> and accountability, and to nurture the development of a more responsive system of governance and peaceful coexistence. The launch in 2017 was against a very different back drop where there were significant risks attached to a governance programme being launched at a time where the enabling environment was </w:t>
      </w:r>
      <w:proofErr w:type="gramStart"/>
      <w:r>
        <w:t>fairly restricted</w:t>
      </w:r>
      <w:proofErr w:type="gramEnd"/>
      <w:r>
        <w:t xml:space="preserve">. But the changes ushered in 2018 demonstrate that provision of democratic governance support needs to be adaptive to changes in the political landscape </w:t>
      </w:r>
      <w:proofErr w:type="gramStart"/>
      <w:r>
        <w:t>in order to</w:t>
      </w:r>
      <w:proofErr w:type="gramEnd"/>
      <w:r>
        <w:t xml:space="preserve"> capitalize on emerging opportunities. GDPP was designed to deliver on the following five inter-related and complementary outputs: 1) Political processes of federal and regional state legislative bodies are more inclusive and effectively delivering on their constitutional mandates; 2) Federal and regional state systems of governance are more accountable, transparent and are delivering public services in more inclusive and responsive ways; 3) Citizens are more empowered to voice their concern and actively participate in decision-making processes at all levels of the development, governance and political processes and systems; 4) Systems and mechanisms for promoting social cohesion, managing diversity, preventing and managing conflicts, fostering dialogues and building peace are further strengthened at national and sub-national levels; and 5) Access to justice enhanced and human rights promoted and protected across Ethiopia. The implementation of the GDPP commenced in July 2017 based on the initial visioning and workplan of the programme. The programme was implemented through the National Execution (NEX) modality DocuSign Envelope ID: 12F5BEB0-77B5-4C29-83BF-6134BFD97183 3 supporting x11 Implementing Partners towards enhancing the democratization process and good governance in the country. The Mid Term Review in 2020 which formed part of the monitoring of the implementation of the programme revealed that the programme is relevant with the value addition to enhance democratic transformation and political participation. GDPP has reconfirmed as a strong enabling platform for the supporting the realization of the transformational democratization agenda through the various achievements recorded by the participating Democratic Institutions. Moreover, the new governance arrangements and policy priorities have been reinforced and include emphasizing Human Rights, Rule of Law, accountability, </w:t>
      </w:r>
      <w:proofErr w:type="gramStart"/>
      <w:r>
        <w:t>peace</w:t>
      </w:r>
      <w:proofErr w:type="gramEnd"/>
      <w:r>
        <w:t xml:space="preserve"> and stability. GDPP has also enabled the democratic and accountability institutions to strengthen their mandate through direct and clear investments associated with institutional and human capacity development. Building on these positive developments, the dramatic shifts witnessed in the political and governance space and the resulting policy priorities expressed by the political leadership have prompted the Government of Ethiopia and UNDP to ‘refocus’ the GDPP and ‘reposition’ it to more effectively address transformational and transitional needs. UNDP in close coordination with the GoE engaged in a ‘repositioning’ exercise of the programme following the changes in the political landscape and the shift of policy priorities of the Government. The Repositioning Paper, which was launched in December 2018 allowed all Institutions contributing to the programme and UNDP to reconfirm relevance of the programme to the current policy priorities and to ensure identified activities are addressing transformational issues. The results framework of the programme had undergone a review </w:t>
      </w:r>
      <w:r>
        <w:lastRenderedPageBreak/>
        <w:t xml:space="preserve">and expansion with new sub-outputs included. The repositioning of the programme in 2018/2019 saw GDPP take actions to target the support towards helping to create an enabling environment for citizens and media engagement in the political and governance reforms. The results yielded with the support of the programme included the development of the civic engagement policy framework, the new media law </w:t>
      </w:r>
      <w:proofErr w:type="gramStart"/>
      <w:r>
        <w:t>and also</w:t>
      </w:r>
      <w:proofErr w:type="gramEnd"/>
      <w:r>
        <w:t xml:space="preserve"> approval of the Inter-Governmental Relations Policy. An independent mid-term review of the programme was undertaken in 2020 to assess if GDPP remained relevant and responsive to the needs of the country as well as to draw lessons that might be needed to inform any necessary adjustments to the Programme in the remaining cycle of the programme. The MTR which was finalized in August 2020 with the validation and dissemination of the findings and recommendations that were presented to the GDPP Programme Management Board (PMB) judged that the programme was broadly on track. Moreover, the Mid-Term Review (MTR) provided valuable evidence and suggestions about how to enhance the impact of the programmme which indicated the value of allowing more time for the programmatic interventions to mature and thus be capable of providing solid evidence that GDPP support was yielding positive results. The implication was that to end GDPP as scheduled in December 2021 would be a lost opportunity in the context of institutional development. DocuSign Envelope ID: 12F5BEB0-77B5-4C29-83BF-6134BFD97183 4 Among the ten recommendations of the MTR, the one which boldly came out was the need for ‘revisiting the thematic focus and institutional scope of the GDPP’. The recommendations of the MTR together with the Management Responses (MRs) were presented and discussed at the GDPP Programme Management Board (PMB) held in November 2020. The PMB instructed UNDP to prepare an Options Paper that would look the issues associated with the proposed narrowing down of the thematic focus and institutional scope of GDPP as the means to better maximize results. That Options Paper was presented and discussed in the June 2021 PMB meeting. The Board made the decision that the institutional scope and thematic focus of GDPP should be narrowed and that would result in the number of Implementing Partners being reduced from 11 to 6. Similarly, the thematic focus of the programme was agreed to be narrowed by focusing on social cohesion &amp; reconciliation; stronger institutions of representation (legislatures); more effective, efficient, transparent &amp; inclusive public administration; ethics &amp; integrity; and civic &amp; media space. The proposed thematic focus would be further discussed and analyzed during a design phase of a new GDPP II. A six-month cost extension bridging period (January – June 2022) was also approved by PMB during which time working closely with the 6 remaining Implementing Partners HoPR, HoF, EHRC, FEACC, EMA and EIO work should be undertaken to devise a new iteration of democratic governance support which would go-live in July 2022. Therefore, this independent terminal evaluation of the programme will also help to inform the likely design and content of the new iteration of democratic governance support capitalizing on the achievements, </w:t>
      </w:r>
      <w:proofErr w:type="gramStart"/>
      <w:r>
        <w:t>lessons</w:t>
      </w:r>
      <w:proofErr w:type="gramEnd"/>
      <w:r>
        <w:t xml:space="preserve"> and best practices of GDPP. </w:t>
      </w:r>
    </w:p>
    <w:p w14:paraId="4B221F00" w14:textId="770C332A" w:rsidR="006C66C6" w:rsidRDefault="00B62737" w:rsidP="006C66C6">
      <w:pPr>
        <w:jc w:val="both"/>
        <w:outlineLvl w:val="0"/>
      </w:pPr>
      <w:r>
        <w:t xml:space="preserve">2. </w:t>
      </w:r>
      <w:r w:rsidRPr="00260D7C">
        <w:rPr>
          <w:b/>
          <w:bCs/>
        </w:rPr>
        <w:t>EVALUATION PURPOSE</w:t>
      </w:r>
      <w:r>
        <w:t xml:space="preserve"> This terminal evaluation will be a formative evaluation exercise, with a dual purpose of learning and accountability. This terminal evaluation will assess the achievement of project results against what was expected to be achieved and draw lessons that can both improve the sustainability of benefits from this project, and aid in the overall enhancement of UNDP programming. The terminal evaluation promotes accountability and transparency and assesses the extent of project accomplishments. The evaluation is expected to provide concrete evidence on the relevance, effectiveness, adaptability, results/impact, </w:t>
      </w:r>
      <w:proofErr w:type="gramStart"/>
      <w:r>
        <w:t>efficiency</w:t>
      </w:r>
      <w:proofErr w:type="gramEnd"/>
      <w:r>
        <w:t xml:space="preserve"> and sustainability of processes &amp; operationalization of the programme. This evaluation will also assess and analyze the appropriateness, weaknesses and strength of the programme’s design, scope, and implementation strategies/arrangements for achieving programme results </w:t>
      </w:r>
      <w:proofErr w:type="gramStart"/>
      <w:r>
        <w:t>and also</w:t>
      </w:r>
      <w:proofErr w:type="gramEnd"/>
      <w:r>
        <w:t xml:space="preserve"> the sustainability of program outcomes. Evidence and lessons from the terminal evaluation will feed into the design of the new iteration of democratic governance support. The </w:t>
      </w:r>
      <w:r>
        <w:lastRenderedPageBreak/>
        <w:t xml:space="preserve">findings, judgements and recommendations from this terminal evaluation must be based on concrete, verifiable &amp; credible evidence that will support UNDP for shaping its strategic thinking in a design of a new programme of governance support. The evidence should enable to identify the key priorities of the Programme in supporting Ethiopia </w:t>
      </w:r>
      <w:proofErr w:type="gramStart"/>
      <w:r>
        <w:t>in the area of</w:t>
      </w:r>
      <w:proofErr w:type="gramEnd"/>
      <w:r>
        <w:t xml:space="preserve"> inclusive governance. </w:t>
      </w:r>
    </w:p>
    <w:p w14:paraId="4FFC2039" w14:textId="77777777" w:rsidR="006C66C6" w:rsidRDefault="00B62737" w:rsidP="006C66C6">
      <w:pPr>
        <w:jc w:val="both"/>
        <w:outlineLvl w:val="0"/>
      </w:pPr>
      <w:r>
        <w:t xml:space="preserve">3. </w:t>
      </w:r>
      <w:r w:rsidRPr="00260D7C">
        <w:rPr>
          <w:b/>
          <w:bCs/>
        </w:rPr>
        <w:t>EVALUATION SCOPE AND OBJECTIVES</w:t>
      </w:r>
      <w:r>
        <w:t xml:space="preserve"> This terminal evaluation will cover the whole implementation period of the programme (from July 2017 to December 2021). The evaluation will cover all the eleven Implementing Partners with field visits to the selected IPs (at least 50%) by prioritizing IPs that have regional branches or regional DocuSign Envelope ID: 12F5BEB0-77B5-4C29-83BF-6134BFD97183 5 counterparts. For selecting the sample IPs that will be visited during field data collection, the complexity of operations, level of achievements of targets, criticality of the role/mandate of the IP towards the reform process and volume of interventions are considered as criteria for stratification. Assessment on all the five outputs, and corresponding sub-outputs as well as indications/contributions towards achievement of intended outcomes of the programme will be in the scope of the terminal evaluation. The evaluation will emphasize the operational/implementation mechanisms and arrangements practiced at the programme level and in the respective Implementing Partners (IPs) and their relevance, effectiveness &amp; efficiency, perceptions towards the programme/how UNDP operates, the ownership/commitment level by the IPs, etc. The analyses in the evaluation need to be gender focused/sensitive with sex disaggregation of </w:t>
      </w:r>
      <w:proofErr w:type="spellStart"/>
      <w:r>
        <w:t>resultsto</w:t>
      </w:r>
      <w:proofErr w:type="spellEnd"/>
      <w:r>
        <w:t xml:space="preserve"> clearly reflect on different factors affecting or affected by gender dynamics. In addition, the evidence of efforts to enhance social inclusion by for example engagement with citizens or Civil Society will need to be brought out clearly in the evaluation. This terminal evaluation will have the specific objectives of: </w:t>
      </w:r>
      <w:r>
        <w:sym w:font="Symbol" w:char="F0B7"/>
      </w:r>
      <w:r>
        <w:t xml:space="preserve"> Review validity of programme assumptions and the theory of change of the programme to map the results pathways </w:t>
      </w:r>
      <w:proofErr w:type="gramStart"/>
      <w:r>
        <w:t>and also</w:t>
      </w:r>
      <w:proofErr w:type="gramEnd"/>
      <w:r>
        <w:t xml:space="preserve"> assess cause - effect relationships for highlighting, based on lessons learned, how should the theory of change and results’ pathways of a second programme cycle of GDPP be defined. </w:t>
      </w:r>
      <w:r>
        <w:sym w:font="Symbol" w:char="F0B7"/>
      </w:r>
      <w:r>
        <w:t xml:space="preserve"> Assess the design, relevance, effectiveness, efficiency, impact, and sustainability of the programme interventions. </w:t>
      </w:r>
      <w:r>
        <w:sym w:font="Symbol" w:char="F0B7"/>
      </w:r>
      <w:r>
        <w:t xml:space="preserve"> Identify implementation issues and challenges/bottlenecks which constrain programme and financial delivery. </w:t>
      </w:r>
      <w:r>
        <w:sym w:font="Symbol" w:char="F0B7"/>
      </w:r>
      <w:r>
        <w:t xml:space="preserve"> Provide evidence whether the programme has been able to accomplish the intended results/outputs and identify attributed factors. </w:t>
      </w:r>
      <w:r>
        <w:sym w:font="Symbol" w:char="F0B7"/>
      </w:r>
      <w:r>
        <w:t xml:space="preserve"> Identify lessons learned, best practices &amp; recommendations, and document knowledge basis from the programme design &amp; implementation, based on evidence and reliable information, </w:t>
      </w:r>
      <w:proofErr w:type="gramStart"/>
      <w:r>
        <w:t>so as to</w:t>
      </w:r>
      <w:proofErr w:type="gramEnd"/>
      <w:r>
        <w:t xml:space="preserve"> improve a design, scope, and implementation strategies/arrangements of a new iteration of democratic governance support which will be formulated in early 2022. </w:t>
      </w:r>
      <w:r>
        <w:sym w:font="Symbol" w:char="F0B7"/>
      </w:r>
      <w:r>
        <w:t xml:space="preserve"> Identify strengths and weaknesses of the programme in the application of rights-based approaches, gender mainstreaming and social inclusion plus clearly identify recommendations to be applied in any future iteration of democratic governance support. </w:t>
      </w:r>
      <w:r>
        <w:sym w:font="Symbol" w:char="F0B7"/>
      </w:r>
      <w:r>
        <w:t xml:space="preserve"> Review risk assessment &amp; mitigation measures taken for ensuring progress on implementing the programme’s interventions. Also comment on their effectiveness and identify lessons learned about the adaptability/flexibility exhibited by the Programme. </w:t>
      </w:r>
    </w:p>
    <w:p w14:paraId="394B3745" w14:textId="78835084" w:rsidR="006C66C6" w:rsidRDefault="00B62737" w:rsidP="006C66C6">
      <w:pPr>
        <w:jc w:val="both"/>
        <w:outlineLvl w:val="0"/>
      </w:pPr>
      <w:r>
        <w:t xml:space="preserve">4. </w:t>
      </w:r>
      <w:r w:rsidRPr="00260D7C">
        <w:rPr>
          <w:b/>
          <w:bCs/>
        </w:rPr>
        <w:t>EVALUATION CRITERIA AND QUESTIONS</w:t>
      </w:r>
      <w:r>
        <w:t xml:space="preserve"> The evaluation is expected to apply the internationally accepted evaluation criteria of relevance, effectiveness, efficiency, </w:t>
      </w:r>
      <w:proofErr w:type="gramStart"/>
      <w:r>
        <w:t>impact</w:t>
      </w:r>
      <w:proofErr w:type="gramEnd"/>
      <w:r>
        <w:t xml:space="preserve"> and sustainability. It will also assess adaptability, responsiveness, coherence and women equality and gender mainstreaming. Aligning to the evaluation criteria, the evaluation may need to include and address the following key evaluation questions, among others: </w:t>
      </w:r>
    </w:p>
    <w:p w14:paraId="2F2EDFC5" w14:textId="77777777" w:rsidR="00251333" w:rsidRDefault="00251333" w:rsidP="006C66C6">
      <w:pPr>
        <w:jc w:val="both"/>
        <w:outlineLvl w:val="0"/>
      </w:pPr>
    </w:p>
    <w:p w14:paraId="0E8A10B8" w14:textId="3ABAE6A3" w:rsidR="006C66C6" w:rsidRDefault="00B62737" w:rsidP="006C66C6">
      <w:pPr>
        <w:jc w:val="both"/>
        <w:outlineLvl w:val="0"/>
      </w:pPr>
      <w:r>
        <w:lastRenderedPageBreak/>
        <w:t>Relevance:</w:t>
      </w:r>
    </w:p>
    <w:p w14:paraId="70E3AF43" w14:textId="7DE81293" w:rsidR="006C66C6" w:rsidRDefault="00B62737" w:rsidP="006C66C6">
      <w:pPr>
        <w:jc w:val="both"/>
        <w:outlineLvl w:val="0"/>
      </w:pPr>
      <w:r>
        <w:sym w:font="Symbol" w:char="F0B7"/>
      </w:r>
      <w:r>
        <w:t xml:space="preserve"> To what extent the objectives and operations of the GDPP programme were consistent with the need of beneficiaries of the partner democratic intuitions, need of implementing partners, current country need, and donors’ policies and expectations? </w:t>
      </w:r>
      <w:r>
        <w:sym w:font="Symbol" w:char="F0B7"/>
      </w:r>
      <w:r>
        <w:t xml:space="preserve"> To what extent were the interventions aligned with the needs of other key stakeholders particularly government and other actors in the sectors relevant to governance, democratic participation, and transparency? </w:t>
      </w:r>
    </w:p>
    <w:p w14:paraId="25B52021" w14:textId="6780831F" w:rsidR="006C66C6" w:rsidRDefault="00B62737" w:rsidP="006C66C6">
      <w:pPr>
        <w:jc w:val="both"/>
        <w:outlineLvl w:val="0"/>
      </w:pPr>
      <w:r>
        <w:sym w:font="Symbol" w:char="F0B7"/>
      </w:r>
      <w:r>
        <w:t xml:space="preserve"> Were the approaches and strategies/arrangements used relevant to achieve intended sub</w:t>
      </w:r>
      <w:r w:rsidR="00251333">
        <w:t>-</w:t>
      </w:r>
      <w:r>
        <w:t xml:space="preserve">outputs, </w:t>
      </w:r>
      <w:proofErr w:type="gramStart"/>
      <w:r>
        <w:t>outputs</w:t>
      </w:r>
      <w:proofErr w:type="gramEnd"/>
      <w:r>
        <w:t xml:space="preserve"> and outcomes of the programme/intervention? To what extent the thematic focus and institutional scope of the programme were appropriate to achieve intended results? </w:t>
      </w:r>
    </w:p>
    <w:p w14:paraId="4750E48F" w14:textId="77777777" w:rsidR="006C66C6" w:rsidRDefault="00B62737" w:rsidP="006C66C6">
      <w:pPr>
        <w:jc w:val="both"/>
        <w:outlineLvl w:val="0"/>
      </w:pPr>
      <w:r>
        <w:sym w:font="Symbol" w:char="F0B7"/>
      </w:r>
      <w:r>
        <w:t xml:space="preserve"> To what extent did the interventions respond to the needs of vulnerable groups and women? </w:t>
      </w:r>
    </w:p>
    <w:p w14:paraId="61F6EF6C" w14:textId="77777777" w:rsidR="006C66C6" w:rsidRDefault="00B62737" w:rsidP="006C66C6">
      <w:pPr>
        <w:jc w:val="both"/>
        <w:outlineLvl w:val="0"/>
      </w:pPr>
      <w:r>
        <w:sym w:font="Symbol" w:char="F0B7"/>
      </w:r>
      <w:r>
        <w:t xml:space="preserve"> To what extent the programme was aligned to the SDGs, GTP II, Home-grown Economic Reform Programme, Ten Years Development Perspective Plan, UNDAF (now superseded by the UNSDCF but the evaluation will focus on the UNDAF), the New Horizon of Hope in Africa, and other relevant national policies?</w:t>
      </w:r>
    </w:p>
    <w:p w14:paraId="4F5D6A07" w14:textId="77777777" w:rsidR="006C66C6" w:rsidRDefault="00B62737" w:rsidP="006C66C6">
      <w:pPr>
        <w:jc w:val="both"/>
        <w:outlineLvl w:val="0"/>
      </w:pPr>
      <w:r>
        <w:t xml:space="preserve"> </w:t>
      </w:r>
      <w:r>
        <w:sym w:font="Symbol" w:char="F0B7"/>
      </w:r>
      <w:r>
        <w:t xml:space="preserve"> To what extent were programme’s interventions coherent with UNDP’s policies, </w:t>
      </w:r>
      <w:proofErr w:type="gramStart"/>
      <w:r>
        <w:t>strategies</w:t>
      </w:r>
      <w:proofErr w:type="gramEnd"/>
      <w:r>
        <w:t xml:space="preserve"> and normative guidance? </w:t>
      </w:r>
    </w:p>
    <w:p w14:paraId="602AC3A3" w14:textId="77777777" w:rsidR="006C66C6" w:rsidRDefault="00B62737" w:rsidP="006C66C6">
      <w:pPr>
        <w:jc w:val="both"/>
        <w:outlineLvl w:val="0"/>
      </w:pPr>
      <w:r>
        <w:sym w:font="Symbol" w:char="F0B7"/>
      </w:r>
      <w:r>
        <w:t xml:space="preserve"> To what extent were the key stakeholders of the programme including downstream stakeholders engaged in the design, implementation and monitoring of the programme? To what extent is the national ownership and leadership on the planning, implementation and monitoring of the programme? </w:t>
      </w:r>
    </w:p>
    <w:p w14:paraId="17803ED8" w14:textId="77777777" w:rsidR="006C66C6" w:rsidRDefault="00B62737" w:rsidP="006C66C6">
      <w:pPr>
        <w:jc w:val="both"/>
        <w:outlineLvl w:val="0"/>
      </w:pPr>
      <w:r>
        <w:sym w:font="Symbol" w:char="F0B7"/>
      </w:r>
      <w:r>
        <w:t xml:space="preserve"> Did the assumptions and the Theory of Change hold true? If not, why? </w:t>
      </w:r>
    </w:p>
    <w:p w14:paraId="14DE0086" w14:textId="53524DD1" w:rsidR="006C66C6" w:rsidRDefault="00B62737" w:rsidP="006C66C6">
      <w:pPr>
        <w:jc w:val="both"/>
        <w:outlineLvl w:val="0"/>
      </w:pPr>
      <w:r>
        <w:t xml:space="preserve">Effectiveness: </w:t>
      </w:r>
    </w:p>
    <w:p w14:paraId="272D8C12" w14:textId="77777777" w:rsidR="006C66C6" w:rsidRDefault="00B62737" w:rsidP="006C66C6">
      <w:pPr>
        <w:jc w:val="both"/>
        <w:outlineLvl w:val="0"/>
      </w:pPr>
      <w:r>
        <w:sym w:font="Symbol" w:char="F0B7"/>
      </w:r>
      <w:r>
        <w:t xml:space="preserve"> To what extent did this programme achieve its planned sub-outputs, outputs, immediate outcomes, and objectives? </w:t>
      </w:r>
    </w:p>
    <w:p w14:paraId="1B839D82" w14:textId="233E46C4" w:rsidR="006C66C6" w:rsidRDefault="00B62737" w:rsidP="006C66C6">
      <w:pPr>
        <w:jc w:val="both"/>
        <w:outlineLvl w:val="0"/>
      </w:pPr>
      <w:r>
        <w:sym w:font="Symbol" w:char="F0B7"/>
      </w:r>
      <w:r>
        <w:t xml:space="preserve"> What were the main expected and unexpected results of the programme? </w:t>
      </w:r>
    </w:p>
    <w:p w14:paraId="122FEAE0" w14:textId="77777777" w:rsidR="006C66C6" w:rsidRDefault="00B62737" w:rsidP="006C66C6">
      <w:pPr>
        <w:jc w:val="both"/>
        <w:outlineLvl w:val="0"/>
      </w:pPr>
      <w:r>
        <w:sym w:font="Symbol" w:char="F0B7"/>
      </w:r>
      <w:r>
        <w:t xml:space="preserve"> To what extent did the strategic revision for repositioning of the programme led to achievement (or lack of achievement) of the sub-outputs, outputs, and objectives of the programme? </w:t>
      </w:r>
    </w:p>
    <w:p w14:paraId="69A26199" w14:textId="77777777" w:rsidR="00251333" w:rsidRDefault="00B62737" w:rsidP="006C66C6">
      <w:pPr>
        <w:jc w:val="both"/>
        <w:outlineLvl w:val="0"/>
      </w:pPr>
      <w:r>
        <w:sym w:font="Symbol" w:char="F0B7"/>
      </w:r>
      <w:r>
        <w:t xml:space="preserve"> What were the major factors influenced implementation and operations of the programme for achievement or non-achievement of results? What was the quality of implementation of the programme? </w:t>
      </w:r>
    </w:p>
    <w:p w14:paraId="6638E1E6" w14:textId="405DCD86" w:rsidR="006C66C6" w:rsidRDefault="00B62737" w:rsidP="006C66C6">
      <w:pPr>
        <w:jc w:val="both"/>
        <w:outlineLvl w:val="0"/>
      </w:pPr>
      <w:r>
        <w:sym w:font="Symbol" w:char="F0B7"/>
      </w:r>
      <w:r>
        <w:t xml:space="preserve"> What were the unintended results of the changes in political landscape and the reforms underway in the country to the programme implementation and achievement of results? </w:t>
      </w:r>
    </w:p>
    <w:p w14:paraId="7928F22C" w14:textId="3DEFCF38" w:rsidR="006C66C6" w:rsidRDefault="00B62737" w:rsidP="006C66C6">
      <w:pPr>
        <w:jc w:val="both"/>
        <w:outlineLvl w:val="0"/>
      </w:pPr>
      <w:r>
        <w:sym w:font="Symbol" w:char="F0B7"/>
      </w:r>
      <w:r>
        <w:t xml:space="preserve"> What are lessons learned and good practices to take up for future in designing and implementing a new second phase of the programme?</w:t>
      </w:r>
    </w:p>
    <w:p w14:paraId="221ABEBA" w14:textId="1CFEE1CB" w:rsidR="006C66C6" w:rsidRDefault="00B62737" w:rsidP="006C66C6">
      <w:pPr>
        <w:jc w:val="both"/>
        <w:outlineLvl w:val="0"/>
      </w:pPr>
      <w:r>
        <w:t xml:space="preserve">Efficiency: </w:t>
      </w:r>
    </w:p>
    <w:p w14:paraId="47BA9DD2" w14:textId="3EDBE50C" w:rsidR="006C66C6" w:rsidRDefault="00B62737" w:rsidP="006C66C6">
      <w:pPr>
        <w:jc w:val="both"/>
        <w:outlineLvl w:val="0"/>
      </w:pPr>
      <w:r>
        <w:lastRenderedPageBreak/>
        <w:sym w:font="Symbol" w:char="F0B7"/>
      </w:r>
      <w:r>
        <w:t xml:space="preserve"> Did the Project’s implementation mechanisms -including institutional arrangements, partnership, support services, etc., permit utilization of resources in efficient way, </w:t>
      </w:r>
      <w:proofErr w:type="gramStart"/>
      <w:r>
        <w:t>and also</w:t>
      </w:r>
      <w:proofErr w:type="gramEnd"/>
      <w:r>
        <w:t xml:space="preserve"> delivery of services and achievement of results in timely manner? </w:t>
      </w:r>
    </w:p>
    <w:p w14:paraId="439DBCAB" w14:textId="659A9D1F" w:rsidR="006C66C6" w:rsidRDefault="00B62737" w:rsidP="006C66C6">
      <w:pPr>
        <w:jc w:val="both"/>
        <w:outlineLvl w:val="0"/>
      </w:pPr>
      <w:r>
        <w:sym w:font="Symbol" w:char="F0B7"/>
      </w:r>
      <w:r>
        <w:t xml:space="preserve"> </w:t>
      </w:r>
      <w:r w:rsidR="00251333">
        <w:t xml:space="preserve">Were </w:t>
      </w:r>
      <w:r>
        <w:t xml:space="preserve">the programme resources efficiently used? Was the cost per output/sub-output used in the most cost-effective way or were there areas where savings ought to be made to reduce costs? </w:t>
      </w:r>
    </w:p>
    <w:p w14:paraId="7B47F13C" w14:textId="77777777" w:rsidR="006C66C6" w:rsidRDefault="00B62737" w:rsidP="006C66C6">
      <w:pPr>
        <w:jc w:val="both"/>
        <w:outlineLvl w:val="0"/>
      </w:pPr>
      <w:r>
        <w:sym w:font="Symbol" w:char="F0B7"/>
      </w:r>
      <w:r>
        <w:t xml:space="preserve"> To what extent were project management practices and tools adequate to timely and effectively implement the programme? </w:t>
      </w:r>
    </w:p>
    <w:p w14:paraId="2AF651BF" w14:textId="77777777" w:rsidR="006C66C6" w:rsidRDefault="00B62737" w:rsidP="006C66C6">
      <w:pPr>
        <w:jc w:val="both"/>
        <w:outlineLvl w:val="0"/>
      </w:pPr>
      <w:r>
        <w:sym w:font="Symbol" w:char="F0B7"/>
      </w:r>
      <w:r>
        <w:t xml:space="preserve"> Are project resources adequate and available on time to implement the activities as planned? </w:t>
      </w:r>
    </w:p>
    <w:p w14:paraId="6EBC9E6F" w14:textId="41AD2878" w:rsidR="006C66C6" w:rsidRDefault="00B62737" w:rsidP="006C66C6">
      <w:pPr>
        <w:jc w:val="both"/>
        <w:outlineLvl w:val="0"/>
      </w:pPr>
      <w:r>
        <w:t>Impact:</w:t>
      </w:r>
    </w:p>
    <w:p w14:paraId="6EC61F56" w14:textId="77777777" w:rsidR="006C66C6" w:rsidRDefault="00B62737" w:rsidP="006C66C6">
      <w:pPr>
        <w:jc w:val="both"/>
        <w:outlineLvl w:val="0"/>
      </w:pPr>
      <w:r>
        <w:t xml:space="preserve"> </w:t>
      </w:r>
      <w:r>
        <w:sym w:font="Symbol" w:char="F0B7"/>
      </w:r>
      <w:r>
        <w:t xml:space="preserve"> What were the long-term effects/outcomes of the programme on the target beneficiaries/institutions and citizens? To what extent were the programme objectives met? What are indications of success? </w:t>
      </w:r>
    </w:p>
    <w:p w14:paraId="22275516" w14:textId="77777777" w:rsidR="006C66C6" w:rsidRDefault="00B62737" w:rsidP="006C66C6">
      <w:pPr>
        <w:jc w:val="both"/>
        <w:outlineLvl w:val="0"/>
      </w:pPr>
      <w:r>
        <w:sym w:font="Symbol" w:char="F0B7"/>
      </w:r>
      <w:r>
        <w:t xml:space="preserve"> Did the interventions of the programme bring about any unintended (both negative or positive) effects on the target beneficiaries/institutions, citizens and/or operational environment? </w:t>
      </w:r>
    </w:p>
    <w:p w14:paraId="166B01C2" w14:textId="77777777" w:rsidR="006C66C6" w:rsidRDefault="00B62737" w:rsidP="006C66C6">
      <w:pPr>
        <w:jc w:val="both"/>
        <w:outlineLvl w:val="0"/>
      </w:pPr>
      <w:r>
        <w:sym w:font="Symbol" w:char="F0B7"/>
      </w:r>
      <w:r>
        <w:t xml:space="preserve"> What were the gender-specific impacts, especially regarding women’s empowerment? </w:t>
      </w:r>
    </w:p>
    <w:p w14:paraId="5173E0E1" w14:textId="77777777" w:rsidR="006C66C6" w:rsidRDefault="00B62737" w:rsidP="006C66C6">
      <w:pPr>
        <w:jc w:val="both"/>
        <w:outlineLvl w:val="0"/>
      </w:pPr>
      <w:r>
        <w:sym w:font="Symbol" w:char="F0B7"/>
      </w:r>
      <w:r>
        <w:t xml:space="preserve"> How could the programme be improved in its design, implementation and monitoring to have long-term effect/impact? </w:t>
      </w:r>
    </w:p>
    <w:p w14:paraId="07D23FFE" w14:textId="55F92100" w:rsidR="006C66C6" w:rsidRDefault="00B62737" w:rsidP="006C66C6">
      <w:pPr>
        <w:jc w:val="both"/>
        <w:outlineLvl w:val="0"/>
      </w:pPr>
      <w:r>
        <w:t xml:space="preserve">Sustainability: </w:t>
      </w:r>
    </w:p>
    <w:p w14:paraId="65CC26C5" w14:textId="77777777" w:rsidR="006C66C6" w:rsidRDefault="00B62737" w:rsidP="006C66C6">
      <w:pPr>
        <w:jc w:val="both"/>
        <w:outlineLvl w:val="0"/>
      </w:pPr>
      <w:r>
        <w:sym w:font="Symbol" w:char="F0B7"/>
      </w:r>
      <w:r>
        <w:t xml:space="preserve"> To what extent are the results and positive changes from the programme implementation up to this point in time likely to continue after end of the current phase of the programme? </w:t>
      </w:r>
    </w:p>
    <w:p w14:paraId="45FDBD68" w14:textId="77777777" w:rsidR="006C66C6" w:rsidRDefault="00B62737" w:rsidP="006C66C6">
      <w:pPr>
        <w:jc w:val="both"/>
        <w:outlineLvl w:val="0"/>
      </w:pPr>
      <w:r>
        <w:sym w:font="Symbol" w:char="F0B7"/>
      </w:r>
      <w:r>
        <w:t xml:space="preserve"> To what extent did the shift in the governance landscape and political arena of the country would affect continuity and sustainability of results achieved? </w:t>
      </w:r>
    </w:p>
    <w:p w14:paraId="78004594" w14:textId="77777777" w:rsidR="006C66C6" w:rsidRDefault="00B62737" w:rsidP="006C66C6">
      <w:pPr>
        <w:jc w:val="both"/>
        <w:outlineLvl w:val="0"/>
      </w:pPr>
      <w:r>
        <w:sym w:font="Symbol" w:char="F0B7"/>
      </w:r>
      <w:r>
        <w:t xml:space="preserve"> To what extent were the implementing partners showed ownership of the programme, results, and lessons learned and their ability to continue with the programme with limited or without intervention from UNDP? </w:t>
      </w:r>
    </w:p>
    <w:p w14:paraId="14673216" w14:textId="77777777" w:rsidR="006C66C6" w:rsidRDefault="00B62737" w:rsidP="006C66C6">
      <w:pPr>
        <w:jc w:val="both"/>
        <w:outlineLvl w:val="0"/>
      </w:pPr>
      <w:r>
        <w:sym w:font="Symbol" w:char="F0B7"/>
      </w:r>
      <w:r>
        <w:t xml:space="preserve"> To what extent the programme established and maintained effective partnership with development partners, government, Civil Society Organizations (CSOs), etc.? </w:t>
      </w:r>
    </w:p>
    <w:p w14:paraId="02FBCE50" w14:textId="77777777" w:rsidR="00251333" w:rsidRDefault="00B62737" w:rsidP="006C66C6">
      <w:pPr>
        <w:jc w:val="both"/>
        <w:outlineLvl w:val="0"/>
      </w:pPr>
      <w:r>
        <w:sym w:font="Symbol" w:char="F0B7"/>
      </w:r>
      <w:r>
        <w:t xml:space="preserve"> To what extent were the participation and ownership of the programme by the IPs and other key stakeholders for ensuring sustainability of achieved results &amp; lessons learned after end of the current programme? </w:t>
      </w:r>
    </w:p>
    <w:p w14:paraId="05A96409" w14:textId="7DE2DB16" w:rsidR="006C66C6" w:rsidRDefault="00B62737" w:rsidP="006C66C6">
      <w:pPr>
        <w:jc w:val="both"/>
        <w:outlineLvl w:val="0"/>
      </w:pPr>
      <w:r>
        <w:t xml:space="preserve">Gender: </w:t>
      </w:r>
    </w:p>
    <w:p w14:paraId="21E7F0AC" w14:textId="77777777" w:rsidR="006C66C6" w:rsidRDefault="00B62737" w:rsidP="006C66C6">
      <w:pPr>
        <w:jc w:val="both"/>
        <w:outlineLvl w:val="0"/>
      </w:pPr>
      <w:r>
        <w:t xml:space="preserve">• To what extent have gender considerations mainstreamed and had been addressed in the design, implementation, and monitoring of the project? </w:t>
      </w:r>
    </w:p>
    <w:p w14:paraId="1D4147F1" w14:textId="77777777" w:rsidR="006C66C6" w:rsidRDefault="00B62737" w:rsidP="006C66C6">
      <w:pPr>
        <w:jc w:val="both"/>
        <w:outlineLvl w:val="0"/>
      </w:pPr>
      <w:r>
        <w:t xml:space="preserve">• Is the gender marker data assigned to this project representative of reality? </w:t>
      </w:r>
    </w:p>
    <w:p w14:paraId="7F9FF4B6" w14:textId="77777777" w:rsidR="006C66C6" w:rsidRDefault="00B62737" w:rsidP="006C66C6">
      <w:pPr>
        <w:jc w:val="both"/>
        <w:outlineLvl w:val="0"/>
      </w:pPr>
      <w:r>
        <w:lastRenderedPageBreak/>
        <w:t xml:space="preserve">• To what extent has the project promoted positive changes in women participation in the forest conservation and development activities? To what extent women benefitted from this project? </w:t>
      </w:r>
    </w:p>
    <w:p w14:paraId="5F89928C" w14:textId="3BC7EB70" w:rsidR="006C66C6" w:rsidRDefault="00B62737" w:rsidP="006C66C6">
      <w:pPr>
        <w:jc w:val="both"/>
        <w:outlineLvl w:val="0"/>
      </w:pPr>
      <w:r>
        <w:t xml:space="preserve">Human rights: </w:t>
      </w:r>
    </w:p>
    <w:p w14:paraId="4FC96CB4" w14:textId="77777777" w:rsidR="006C66C6" w:rsidRDefault="00B62737" w:rsidP="006C66C6">
      <w:pPr>
        <w:jc w:val="both"/>
        <w:outlineLvl w:val="0"/>
      </w:pPr>
      <w:r>
        <w:sym w:font="Symbol" w:char="F0B7"/>
      </w:r>
      <w:r>
        <w:t xml:space="preserve"> To what extent have poor, indigenous and physically challenged, women and other disadvantaged &amp; marginalized groups benefited from the work of this programme? </w:t>
      </w:r>
    </w:p>
    <w:p w14:paraId="4946AFA4" w14:textId="57B44E2D" w:rsidR="006C66C6" w:rsidRDefault="00B62737" w:rsidP="006C66C6">
      <w:pPr>
        <w:jc w:val="both"/>
        <w:outlineLvl w:val="0"/>
      </w:pPr>
      <w:r>
        <w:t xml:space="preserve">The above listed evaluation questions are not to be considered as exhaustive to address the evaluation purpose and objectives in comprehensive manner. So, the evaluation questions will be further discussed and elaborated in collaboration with the evaluation team, stakeholders (implementing partners) and UNDP during the inception phase to refine and accept. </w:t>
      </w:r>
    </w:p>
    <w:p w14:paraId="39F6B79D" w14:textId="77777777" w:rsidR="006C66C6" w:rsidRDefault="00B62737" w:rsidP="006C66C6">
      <w:pPr>
        <w:jc w:val="both"/>
        <w:outlineLvl w:val="0"/>
      </w:pPr>
      <w:r w:rsidRPr="00251333">
        <w:rPr>
          <w:b/>
          <w:bCs/>
        </w:rPr>
        <w:t>5. APPROACH AND METHODOLOGY</w:t>
      </w:r>
      <w:r>
        <w:t xml:space="preserve"> The methodology for this terminal evaluation will be designed by the selected evaluation team/consultant in consultation with UNDP during the inception phase. However, the Terminal Evaluation team is expected to follow a participatory and consultative approach ensuring close engagement with the Project Team, government counterparts/Implementing Partners, the UNDP Country Office(s), and other stakeholders. The methodology to be designed by the Evaluation Team will include but not limited to the following: </w:t>
      </w:r>
    </w:p>
    <w:p w14:paraId="11855FD6" w14:textId="77777777" w:rsidR="00251333" w:rsidRDefault="00B62737" w:rsidP="006C66C6">
      <w:pPr>
        <w:jc w:val="both"/>
        <w:outlineLvl w:val="0"/>
      </w:pPr>
      <w:r>
        <w:sym w:font="Symbol" w:char="F0B7"/>
      </w:r>
      <w:r>
        <w:t xml:space="preserve"> Participatory mixed methods (quantitative and qualitative) of data gathering and analysis. </w:t>
      </w:r>
    </w:p>
    <w:p w14:paraId="2B8E4AE6" w14:textId="4C1B35F0" w:rsidR="006C66C6" w:rsidRDefault="00B62737" w:rsidP="006C66C6">
      <w:pPr>
        <w:jc w:val="both"/>
        <w:outlineLvl w:val="0"/>
      </w:pPr>
      <w:r>
        <w:t xml:space="preserve">The Evaluation Team may also need to triangulate information from different sources and methods </w:t>
      </w:r>
      <w:proofErr w:type="gramStart"/>
      <w:r>
        <w:t>so as to</w:t>
      </w:r>
      <w:proofErr w:type="gramEnd"/>
      <w:r>
        <w:t xml:space="preserve"> ensure reliability and validity of data and findings. </w:t>
      </w:r>
    </w:p>
    <w:p w14:paraId="6A474FAF" w14:textId="6752A70B" w:rsidR="006C66C6" w:rsidRDefault="00B62737" w:rsidP="006C66C6">
      <w:pPr>
        <w:jc w:val="both"/>
        <w:outlineLvl w:val="0"/>
      </w:pPr>
      <w:r>
        <w:t xml:space="preserve">In the inception phase, the selected Evaluation Team will develop an elaborated evaluation matrix that clearly links the evaluation questions with data sources and collection methods. The proposed methods for data collection and analysis should be discussed and agreed by UNDP and other stakeholders before their application throughout the evaluation processes. The mixed methods that will be applying for the evaluation should ensure that women and men from different stakeholders’ groups participate and that their different voices are heard and used. Furthermore, the proposed methods should also clearly outline how Gender Equality and Women’s Empowerment (GEWE) principles have been integrated and addressed in the design, planning and implementation, as well as what results have been achieved so far. The identified evaluation team also needs to expand clearly and in detail the criteria and approach to be used to select representative sample Implementing Partners and stakeholders that will be consulted for data collection at regional and branch offices levels. Generally, the quantitative and qualitative data to be used for this terminal evaluation will be collected from both secondary and primary sources. The desk level review of available relevant documents at different levels will be main source of secondary data and information for the evaluation. </w:t>
      </w:r>
    </w:p>
    <w:p w14:paraId="50FBDA59" w14:textId="77777777" w:rsidR="006C66C6" w:rsidRDefault="00B62737" w:rsidP="006C66C6">
      <w:pPr>
        <w:jc w:val="both"/>
        <w:outlineLvl w:val="0"/>
      </w:pPr>
      <w:r>
        <w:t>The Evaluation Team during the desk level review should be able to develop Indicators’ Summary Matrix as key deliverable of the desk review. The primary data from representative sample institutions and individuals will be collected through qualitative and quantitative interviews. The data generating through qualitative and quantitative interviews with the help of customized qualitative interview tools and structured quantitative survey questionnaires will be the sources of primary data. The focus group discussions and key informant interviews/individual in-depth interviews that will be conducted with knowledgeable informants from the Implementing Institutions</w:t>
      </w:r>
      <w:r w:rsidR="006C66C6">
        <w:t xml:space="preserve"> </w:t>
      </w:r>
      <w:r>
        <w:t xml:space="preserve">(including regional counterparts or branch </w:t>
      </w:r>
      <w:r>
        <w:lastRenderedPageBreak/>
        <w:t xml:space="preserve">offices), UNDP, Development Partners (DPs), and other stakeholders are the prime qualitative methods to be employed for primary qualitative data collection. </w:t>
      </w:r>
    </w:p>
    <w:p w14:paraId="259CF38C" w14:textId="7F6B47BA" w:rsidR="006C66C6" w:rsidRDefault="00B62737" w:rsidP="006C66C6">
      <w:pPr>
        <w:jc w:val="both"/>
        <w:outlineLvl w:val="0"/>
      </w:pPr>
      <w:r>
        <w:t xml:space="preserve">The structured quantitative survey that will be carried out with randomly sampled individuals from the Implementing Institutions and/or beneficiaries is the quantitative tool to be used for primary quantitative data gathering. The feasibility of conducting mini-structured quantitative survey will be discussed and agreed during the Inception Phase. It is critical to include respondent end-users </w:t>
      </w:r>
      <w:proofErr w:type="gramStart"/>
      <w:r>
        <w:t>in order to</w:t>
      </w:r>
      <w:proofErr w:type="gramEnd"/>
      <w:r>
        <w:t xml:space="preserve"> ensure effective triangulation of data and receive feedback from citizens/users of the services on their quality, adaptability, responsiveness and on how they are advancing a normative agenda in the country. The evaluation team’s own observation with the help of observation checklists will also complement the data that will be collected through focus group discussions and key informant interviews/individual in-depth interviews, </w:t>
      </w:r>
      <w:proofErr w:type="gramStart"/>
      <w:r>
        <w:t>and also</w:t>
      </w:r>
      <w:proofErr w:type="gramEnd"/>
      <w:r>
        <w:t xml:space="preserve"> be used for data triangulation. In fact, the evaluation team is expected to propose, during the inception phase, how many qualitative interviews of each type will be conducted by considering the reliability and validity of findings, </w:t>
      </w:r>
      <w:proofErr w:type="gramStart"/>
      <w:r>
        <w:t>and also</w:t>
      </w:r>
      <w:proofErr w:type="gramEnd"/>
      <w:r>
        <w:t xml:space="preserve"> cost and time requirements. </w:t>
      </w:r>
    </w:p>
    <w:p w14:paraId="2BA922F6" w14:textId="77777777" w:rsidR="006C66C6" w:rsidRDefault="00B62737" w:rsidP="006C66C6">
      <w:pPr>
        <w:jc w:val="both"/>
        <w:outlineLvl w:val="0"/>
      </w:pPr>
      <w:r>
        <w:t xml:space="preserve">The evaluators should also follow participatory and consultative approaches throughout the evaluation processes </w:t>
      </w:r>
      <w:proofErr w:type="gramStart"/>
      <w:r>
        <w:t>so as to</w:t>
      </w:r>
      <w:proofErr w:type="gramEnd"/>
      <w:r>
        <w:t xml:space="preserve"> ensure active engagement of the Evaluation Manager/Focal Person, Programme Manager, Democratic Governance &amp; Peacebuilding (DGP) Unit, Implementing Partners, Development Partners, Programme’s beneficiaries, and other key stakeholders. The Terminal Evaluation will be conducted in accordance with the UNDP evaluation guidelines, </w:t>
      </w:r>
      <w:proofErr w:type="gramStart"/>
      <w:r>
        <w:t>norms</w:t>
      </w:r>
      <w:proofErr w:type="gramEnd"/>
      <w:r>
        <w:t xml:space="preserve"> and policies/procedures. The evaluation team will be responsible for revising the approach as necessary and present its methodological proposal as part of the inception report. Hybrid approaches which </w:t>
      </w:r>
      <w:proofErr w:type="gramStart"/>
      <w:r>
        <w:t>combines</w:t>
      </w:r>
      <w:proofErr w:type="gramEnd"/>
      <w:r>
        <w:t xml:space="preserve"> both physical and virtual meetings for consultations and interviews could be considered in the era of the COVID-19 pandemic. Due to the COVID-19 situation the international consultant is expected to work from home/virtually through phone or virtual communication platforms and sending out questionnaires, whereas the local consultants will engage in field work and field level data collection in regional and branch offices. The International consultant will serve as Team leader for the Terminal Evaluation. </w:t>
      </w:r>
    </w:p>
    <w:p w14:paraId="5E375253" w14:textId="77777777" w:rsidR="006C66C6" w:rsidRDefault="00B62737" w:rsidP="006C66C6">
      <w:pPr>
        <w:jc w:val="both"/>
        <w:outlineLvl w:val="0"/>
      </w:pPr>
      <w:r w:rsidRPr="00251333">
        <w:rPr>
          <w:b/>
          <w:bCs/>
        </w:rPr>
        <w:t>6. EVALUATION PRODUCTS (DELIVERABLES)</w:t>
      </w:r>
      <w:r>
        <w:t xml:space="preserve"> The evaluation team will be accountable for producing and delivering the following products/deliverables. The key deliverables for this terminal evaluation are as described below; with the milestones to be specified in the section for timeframe for the evaluation. </w:t>
      </w:r>
    </w:p>
    <w:p w14:paraId="26D649F6" w14:textId="3D8E552E" w:rsidR="006C66C6" w:rsidRDefault="00B62737" w:rsidP="006C66C6">
      <w:pPr>
        <w:jc w:val="both"/>
        <w:outlineLvl w:val="0"/>
      </w:pPr>
      <w:r>
        <w:sym w:font="Symbol" w:char="F0B7"/>
      </w:r>
      <w:r>
        <w:t xml:space="preserve"> Evaluation Inception Report—Evaluators are responsible for preparing an Inception Report (10 – 15 pages - not counting annexes) with guidance from the Evaluation Focal Person, Programme Manager, and Partnership Development and Results Management (PDRM) Unit. An inception report will be prepared by the evaluators before going into the full-fledged data collection exercise. An inception report should detail how the team intends to conduct the evaluation with an emphasis on methodological and planning aspects. The clear and detail evaluation matrix which details the evaluation questions is one of the deliverables as part of the inception report. An inception report should also include a proposed schedule of tasks, activities and deliverables, designated team members with the lead responsibility for each task or product. An inception phase, which concludes with an inception report, is believed to give an opportunity to DGP Unit/UNDP and the Evaluators for verification and shared understanding of the evaluation </w:t>
      </w:r>
      <w:proofErr w:type="gramStart"/>
      <w:r>
        <w:t>and also</w:t>
      </w:r>
      <w:proofErr w:type="gramEnd"/>
      <w:r>
        <w:t xml:space="preserve"> clarifying any misunderstanding about the evaluation approach, methodology and processes. An inception report/package is the product to be delivered by the evaluators. The Inception Report will be presented to the UNDP and Evaluation Reference Group (ERG) for review and endorsement. </w:t>
      </w:r>
      <w:r>
        <w:sym w:font="Symbol" w:char="F0B7"/>
      </w:r>
      <w:r>
        <w:t xml:space="preserve"> Debriefing on preliminary findings or Aide-memoire – once the inception phase is completed with </w:t>
      </w:r>
      <w:r>
        <w:lastRenderedPageBreak/>
        <w:t xml:space="preserve">endorsement of the Inception Report/Package, the evaluators will embark on data collection and analysis exercise - this covers data collection and analysis activities, including field work. The evaluation team will conclude the data collection and preliminary analysis phase with a presentation of the early findings of the evaluation to DGPU, PDRM Unit, </w:t>
      </w:r>
      <w:proofErr w:type="gramStart"/>
      <w:r>
        <w:t>ERG</w:t>
      </w:r>
      <w:proofErr w:type="gramEnd"/>
      <w:r>
        <w:t xml:space="preserve"> and other stakeholders during the data collection exit debriefing session. The debriefing session will be conducted immediately upon completion of the data collection; and the preliminary report/raw data is the product that the Evaluation Team should deliver to UNDP. </w:t>
      </w:r>
    </w:p>
    <w:p w14:paraId="01D24436" w14:textId="77777777" w:rsidR="006C66C6" w:rsidRDefault="00B62737" w:rsidP="006C66C6">
      <w:pPr>
        <w:jc w:val="both"/>
        <w:outlineLvl w:val="0"/>
      </w:pPr>
      <w:r>
        <w:sym w:font="Symbol" w:char="F0B7"/>
      </w:r>
      <w:r>
        <w:t xml:space="preserve"> Draft evaluation report— the evaluation team will analyse the data collected during the desk review and field work, </w:t>
      </w:r>
      <w:proofErr w:type="gramStart"/>
      <w:r>
        <w:t>and also</w:t>
      </w:r>
      <w:proofErr w:type="gramEnd"/>
      <w:r>
        <w:t xml:space="preserve"> conduct additional consultations with stakeholders for filling data gaps and triangulation to eventually draft an evaluation report. The draft evaluation report will present the findings, conclusions, lessons learned and recommendations of the evidence-based evaluation. Findings should be evidence-based and relevant to answer the evaluation questions and meet the evaluation objectives. Data will need to be disaggregated by sex &amp; other relevant characteristics; </w:t>
      </w:r>
      <w:proofErr w:type="gramStart"/>
      <w:r>
        <w:t>and also</w:t>
      </w:r>
      <w:proofErr w:type="gramEnd"/>
      <w:r>
        <w:t xml:space="preserve">, the evaluation findings and conclusions will require to highlight differences in results by Implementing Partners. There should be a logical flow from findings to conclusions and from conclusions to recommendations &amp; lessons learned. Recommendations will be limited in number, actionable and targeted to the relevant users. The proposed specific recommendations will form the basis of the management responses to the evaluation. The management responses will clearly indicate the responses of the management on the recommendations </w:t>
      </w:r>
      <w:proofErr w:type="gramStart"/>
      <w:r>
        <w:t>and also</w:t>
      </w:r>
      <w:proofErr w:type="gramEnd"/>
      <w:r>
        <w:t xml:space="preserve"> what actions to be taken in defined timer period. The recommendations which will come out from the evaluation should enable UNDP to differently design, implement and monitor a second phase of the current programme. </w:t>
      </w:r>
    </w:p>
    <w:p w14:paraId="6F75BD18" w14:textId="77777777" w:rsidR="006C66C6" w:rsidRDefault="00B62737" w:rsidP="006C66C6">
      <w:pPr>
        <w:jc w:val="both"/>
        <w:outlineLvl w:val="0"/>
      </w:pPr>
      <w:r>
        <w:t xml:space="preserve">The draft evaluation report will be reviewed by DGPU/UNDP, Evaluation Reference Group (ERG), Independent Evaluation Quality Assurance Team, and other stakeholders (as deem necessary) to provide comments to address factual errors as well as improve the quality of the evaluation </w:t>
      </w:r>
      <w:proofErr w:type="gramStart"/>
      <w:r>
        <w:t>so as to</w:t>
      </w:r>
      <w:proofErr w:type="gramEnd"/>
      <w:r>
        <w:t xml:space="preserve"> ensure independency, credibility and usability. The evaluation team will incorporate inputs, obtaining from independent review of the draft report as well as a validation session, into a final evaluation report to ensure that the evaluation meets the required quality criteria. The draft evaluation report is the product that the evaluation team submits to DGP Unit/UNDP just following the data analysis and interpretation of analytical results. </w:t>
      </w:r>
    </w:p>
    <w:p w14:paraId="5A1248DC" w14:textId="77777777" w:rsidR="006C66C6" w:rsidRDefault="00B62737" w:rsidP="006C66C6">
      <w:pPr>
        <w:jc w:val="both"/>
        <w:outlineLvl w:val="0"/>
      </w:pPr>
      <w:r>
        <w:sym w:font="Symbol" w:char="F0B7"/>
      </w:r>
      <w:r>
        <w:t xml:space="preserve"> Validation Workshop – a validation workshop with UNDP, Implementing Partners, Development </w:t>
      </w:r>
      <w:proofErr w:type="gramStart"/>
      <w:r>
        <w:t>Partners</w:t>
      </w:r>
      <w:proofErr w:type="gramEnd"/>
      <w:r>
        <w:t xml:space="preserve"> and other pertinent stakeholders will be conducted for discussing and verifying the findings, conclusions, lessons learned and recommendations. In the session, inputs will be solicited to fill data gaps, capture perspectives, as well as refine findings and recommendations. The Evaluation Team Leader will be responsible to lead the session, while UNDP be responsible for all logistical arrangements. The proceedings of the validation workshop will be the product to be delivered. </w:t>
      </w:r>
    </w:p>
    <w:p w14:paraId="274E753D" w14:textId="7D5C5B9F" w:rsidR="006C66C6" w:rsidRDefault="00B62737" w:rsidP="006C66C6">
      <w:pPr>
        <w:jc w:val="both"/>
        <w:outlineLvl w:val="0"/>
      </w:pPr>
      <w:r>
        <w:sym w:font="Symbol" w:char="F0B7"/>
      </w:r>
      <w:r>
        <w:t xml:space="preserve"> Final evaluation report – the evaluation team should properly and adequately address the comments provided on the draft evaluation report at different stages to produce the final evaluation report. The final evaluation report that the evaluation team submits to DGPU/UNDP should meet the required quality criteria for ensuring independency, </w:t>
      </w:r>
      <w:proofErr w:type="gramStart"/>
      <w:r>
        <w:t>credibility</w:t>
      </w:r>
      <w:proofErr w:type="gramEnd"/>
      <w:r>
        <w:t xml:space="preserve"> and usability. It should include clear, crisp findings and recommendations that will assist UNDP in the programme formulation for a new iteration of democratic governance support. </w:t>
      </w:r>
    </w:p>
    <w:p w14:paraId="2D1E6485" w14:textId="4BB22BB9" w:rsidR="00B62737" w:rsidRDefault="00B62737" w:rsidP="00251333">
      <w:pPr>
        <w:jc w:val="both"/>
        <w:outlineLvl w:val="0"/>
      </w:pPr>
      <w:r>
        <w:t xml:space="preserve"> </w:t>
      </w:r>
    </w:p>
    <w:p w14:paraId="4D5F2C6B" w14:textId="77777777" w:rsidR="00B62737" w:rsidRDefault="00B62737" w:rsidP="00C55E36">
      <w:pPr>
        <w:outlineLvl w:val="0"/>
        <w:rPr>
          <w:rFonts w:eastAsia="Times New Roman" w:cstheme="minorHAnsi"/>
          <w:b/>
          <w:lang w:eastAsia="en-CA"/>
        </w:rPr>
        <w:sectPr w:rsidR="00B62737" w:rsidSect="00E168AE">
          <w:pgSz w:w="12240" w:h="15840"/>
          <w:pgMar w:top="1440" w:right="1440" w:bottom="1440" w:left="1440" w:header="720" w:footer="720" w:gutter="0"/>
          <w:pgNumType w:start="1"/>
          <w:cols w:space="720"/>
          <w:docGrid w:linePitch="360"/>
        </w:sectPr>
      </w:pPr>
    </w:p>
    <w:p w14:paraId="721CE5E3" w14:textId="77777777" w:rsidR="0091792B" w:rsidRDefault="0091792B" w:rsidP="0091792B">
      <w:pPr>
        <w:rPr>
          <w:rFonts w:eastAsia="SimSun" w:cstheme="minorHAnsi"/>
          <w:b/>
          <w:color w:val="00000A"/>
          <w:lang w:val="en-GB" w:eastAsia="zh-CN" w:bidi="hi-IN"/>
        </w:rPr>
      </w:pPr>
      <w:r>
        <w:rPr>
          <w:rFonts w:eastAsia="SimSun" w:cstheme="minorHAnsi"/>
          <w:b/>
          <w:color w:val="00000A"/>
          <w:lang w:val="en-GB" w:eastAsia="zh-CN" w:bidi="hi-IN"/>
        </w:rPr>
        <w:lastRenderedPageBreak/>
        <w:t>ANNEX 5</w:t>
      </w:r>
    </w:p>
    <w:p w14:paraId="4EDD620D" w14:textId="4FB51CC1" w:rsidR="0091792B" w:rsidRPr="0091792B" w:rsidRDefault="0091792B" w:rsidP="0091792B">
      <w:pPr>
        <w:rPr>
          <w:rFonts w:eastAsia="SimSun" w:cstheme="minorHAnsi"/>
          <w:b/>
          <w:color w:val="00000A"/>
          <w:lang w:val="en-GB" w:eastAsia="zh-CN" w:bidi="hi-IN"/>
        </w:rPr>
      </w:pPr>
      <w:r w:rsidRPr="0091792B">
        <w:rPr>
          <w:rFonts w:eastAsia="SimSun" w:cstheme="minorHAnsi"/>
          <w:b/>
          <w:color w:val="00000A"/>
          <w:lang w:val="en-GB" w:eastAsia="zh-CN" w:bidi="hi-IN"/>
        </w:rPr>
        <w:t>References</w:t>
      </w:r>
    </w:p>
    <w:p w14:paraId="1E07660A"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“Ethiopia 2030: The Pathway to Prosperity Ten Years Perspective Development Plan (2021 – 2030),” ATA (2020).  </w:t>
      </w:r>
    </w:p>
    <w:p w14:paraId="1CE254E4"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“Bridge, Gender and Election Workshop,” Addis Ababa, December 2020.</w:t>
      </w:r>
    </w:p>
    <w:p w14:paraId="31DF7EB4"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“Civil Society Dialogue Forum, Summary Report,” 21 </w:t>
      </w:r>
      <w:proofErr w:type="gramStart"/>
      <w:r w:rsidRPr="0091792B">
        <w:rPr>
          <w:rFonts w:eastAsia="SimSun" w:cstheme="minorHAnsi"/>
          <w:color w:val="00000A"/>
          <w:kern w:val="2"/>
          <w:lang w:val="en-US" w:eastAsia="zh-CN" w:bidi="hi-IN"/>
        </w:rPr>
        <w:t>April,</w:t>
      </w:r>
      <w:proofErr w:type="gramEnd"/>
      <w:r w:rsidRPr="0091792B">
        <w:rPr>
          <w:rFonts w:eastAsia="SimSun" w:cstheme="minorHAnsi"/>
          <w:color w:val="00000A"/>
          <w:kern w:val="2"/>
          <w:lang w:val="en-US" w:eastAsia="zh-CN" w:bidi="hi-IN"/>
        </w:rPr>
        <w:t xml:space="preserve"> 2017.</w:t>
      </w:r>
    </w:p>
    <w:p w14:paraId="660C8AFE"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“Conference on Violence Against Women in Election in Ethiopia,” 10 December 2020.</w:t>
      </w:r>
    </w:p>
    <w:p w14:paraId="0A3D16AE"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“Country programme document for Ethiopia (2020-2025), Annual Session 2020,” June 2020.</w:t>
      </w:r>
    </w:p>
    <w:p w14:paraId="649BD3F8"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“Ethiopian National Volunteer Community Service Programme, Progress Report,” August 2021.</w:t>
      </w:r>
    </w:p>
    <w:p w14:paraId="491FCB3A"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“FAO Assessment (</w:t>
      </w:r>
      <w:proofErr w:type="spellStart"/>
      <w:r w:rsidRPr="0091792B">
        <w:rPr>
          <w:rFonts w:eastAsia="SimSun" w:cstheme="minorHAnsi"/>
          <w:color w:val="00000A"/>
          <w:kern w:val="2"/>
          <w:lang w:val="en-US" w:eastAsia="zh-CN" w:bidi="hi-IN"/>
        </w:rPr>
        <w:t>Borena</w:t>
      </w:r>
      <w:proofErr w:type="spellEnd"/>
      <w:r w:rsidRPr="0091792B">
        <w:rPr>
          <w:rFonts w:eastAsia="SimSun" w:cstheme="minorHAnsi"/>
          <w:color w:val="00000A"/>
          <w:kern w:val="2"/>
          <w:lang w:val="en-US" w:eastAsia="zh-CN" w:bidi="hi-IN"/>
        </w:rPr>
        <w:t xml:space="preserve"> &amp; Dawa) - Oct/Nov 2021/22: Drought Ethiopia (and the region),” FAO (2021).</w:t>
      </w:r>
    </w:p>
    <w:p w14:paraId="63C44CC1"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“Drought in the Horn of Africa - Rapid response and mitigation plan to avert a humanitarian catastrophe January–June 2022,” FAO (2022). </w:t>
      </w:r>
    </w:p>
    <w:p w14:paraId="7CC17C66"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Federal Ethics and Anti-Corruption Commission (FEACC), “Bi-annual Progress Narrative Report, </w:t>
      </w:r>
      <w:proofErr w:type="gramStart"/>
      <w:r w:rsidRPr="0091792B">
        <w:rPr>
          <w:rFonts w:eastAsia="SimSun" w:cstheme="minorHAnsi"/>
          <w:color w:val="00000A"/>
          <w:kern w:val="2"/>
          <w:lang w:val="en-US" w:eastAsia="zh-CN" w:bidi="hi-IN"/>
        </w:rPr>
        <w:t>January,</w:t>
      </w:r>
      <w:proofErr w:type="gramEnd"/>
      <w:r w:rsidRPr="0091792B">
        <w:rPr>
          <w:rFonts w:eastAsia="SimSun" w:cstheme="minorHAnsi"/>
          <w:color w:val="00000A"/>
          <w:kern w:val="2"/>
          <w:lang w:val="en-US" w:eastAsia="zh-CN" w:bidi="hi-IN"/>
        </w:rPr>
        <w:t xml:space="preserve"> 2021.”</w:t>
      </w:r>
    </w:p>
    <w:p w14:paraId="25CE51AA"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Federal Ethics and Anti-Corruption Commission (FEACC), “GDPP Year End Report, July-Dec 31/2021,” (Draft)</w:t>
      </w:r>
    </w:p>
    <w:p w14:paraId="771F9CEE" w14:textId="77777777" w:rsidR="0091792B" w:rsidRPr="0091792B" w:rsidRDefault="0091792B" w:rsidP="0091792B">
      <w:pPr>
        <w:numPr>
          <w:ilvl w:val="0"/>
          <w:numId w:val="18"/>
        </w:numPr>
        <w:spacing w:before="100" w:beforeAutospacing="1" w:after="0" w:line="276" w:lineRule="auto"/>
        <w:contextualSpacing/>
        <w:jc w:val="both"/>
        <w:rPr>
          <w:rFonts w:ascii="Calibri" w:eastAsia="SimSun" w:hAnsi="Calibri" w:cstheme="minorHAnsi"/>
          <w:kern w:val="2"/>
          <w:sz w:val="21"/>
          <w:szCs w:val="21"/>
          <w:lang w:val="en-US"/>
        </w:rPr>
      </w:pPr>
      <w:r w:rsidRPr="0091792B">
        <w:rPr>
          <w:rFonts w:ascii="Calibri" w:eastAsia="SimSun" w:hAnsi="Calibri" w:cstheme="minorHAnsi"/>
          <w:kern w:val="2"/>
          <w:sz w:val="21"/>
          <w:szCs w:val="21"/>
          <w:lang w:val="en-US"/>
        </w:rPr>
        <w:t>Federal Ethics and Anti-Corruption Commission, “Ethiopia National Corruption Perception Survey, Third Report,” July 2021.</w:t>
      </w:r>
    </w:p>
    <w:p w14:paraId="12D43CD1"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Federal Ethics and Anti-Corruption Commission (FEACC), “GDPP Mid-Year Progress Report (Jan-Jun 30/2021.”</w:t>
      </w:r>
    </w:p>
    <w:p w14:paraId="732DD632"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“Ethiopian National Anti-Corruption Perception Survey report, July 2020,” FEACC.</w:t>
      </w:r>
    </w:p>
    <w:p w14:paraId="407F25D0" w14:textId="77777777" w:rsidR="0091792B" w:rsidRPr="0091792B" w:rsidRDefault="0091792B" w:rsidP="0091792B">
      <w:pPr>
        <w:numPr>
          <w:ilvl w:val="0"/>
          <w:numId w:val="18"/>
        </w:numPr>
        <w:spacing w:after="0" w:line="240" w:lineRule="auto"/>
        <w:contextualSpacing/>
        <w:jc w:val="both"/>
        <w:rPr>
          <w:rFonts w:ascii="Calibri" w:eastAsia="SimSun" w:hAnsi="Calibri" w:cs="Calibri"/>
          <w:bCs/>
          <w:kern w:val="2"/>
          <w:sz w:val="21"/>
          <w:szCs w:val="21"/>
          <w:lang w:val="en-US"/>
        </w:rPr>
      </w:pPr>
      <w:r w:rsidRPr="0091792B">
        <w:rPr>
          <w:rFonts w:ascii="Calibri" w:eastAsia="SimSun" w:hAnsi="Calibri" w:cs="Calibri"/>
          <w:kern w:val="2"/>
          <w:sz w:val="21"/>
          <w:szCs w:val="21"/>
          <w:lang w:val="en-US"/>
        </w:rPr>
        <w:t xml:space="preserve">Federal Democratic Republic of Ethiopia, National Planning Commission. “Growth and Transformation Plan </w:t>
      </w:r>
      <w:proofErr w:type="spellStart"/>
      <w:r w:rsidRPr="0091792B">
        <w:rPr>
          <w:rFonts w:ascii="Calibri" w:eastAsia="SimSun" w:hAnsi="Calibri" w:cs="Calibri"/>
          <w:kern w:val="2"/>
          <w:sz w:val="21"/>
          <w:szCs w:val="21"/>
          <w:lang w:val="en-US"/>
        </w:rPr>
        <w:t>ll</w:t>
      </w:r>
      <w:proofErr w:type="spellEnd"/>
      <w:r w:rsidRPr="0091792B">
        <w:rPr>
          <w:rFonts w:ascii="Calibri" w:eastAsia="SimSun" w:hAnsi="Calibri" w:cs="Calibri"/>
          <w:kern w:val="2"/>
          <w:sz w:val="21"/>
          <w:szCs w:val="21"/>
          <w:lang w:val="en-US"/>
        </w:rPr>
        <w:t xml:space="preserve"> (GTP </w:t>
      </w:r>
      <w:proofErr w:type="spellStart"/>
      <w:r w:rsidRPr="0091792B">
        <w:rPr>
          <w:rFonts w:ascii="Calibri" w:eastAsia="SimSun" w:hAnsi="Calibri" w:cs="Calibri"/>
          <w:kern w:val="2"/>
          <w:sz w:val="21"/>
          <w:szCs w:val="21"/>
          <w:lang w:val="en-US"/>
        </w:rPr>
        <w:t>ll</w:t>
      </w:r>
      <w:proofErr w:type="spellEnd"/>
      <w:r w:rsidRPr="0091792B">
        <w:rPr>
          <w:rFonts w:ascii="Calibri" w:eastAsia="SimSun" w:hAnsi="Calibri" w:cs="Calibri"/>
          <w:kern w:val="2"/>
          <w:sz w:val="21"/>
          <w:szCs w:val="21"/>
          <w:lang w:val="en-US"/>
        </w:rPr>
        <w:t>) 2015/16-2019/20”, May 2016.</w:t>
      </w:r>
    </w:p>
    <w:p w14:paraId="68DA7AE5"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Federal </w:t>
      </w:r>
      <w:proofErr w:type="spellStart"/>
      <w:r w:rsidRPr="0091792B">
        <w:rPr>
          <w:rFonts w:eastAsia="SimSun" w:cstheme="minorHAnsi"/>
          <w:color w:val="00000A"/>
          <w:kern w:val="2"/>
          <w:lang w:val="en-US" w:eastAsia="zh-CN" w:bidi="hi-IN"/>
        </w:rPr>
        <w:t>Negarit</w:t>
      </w:r>
      <w:proofErr w:type="spellEnd"/>
      <w:r w:rsidRPr="0091792B">
        <w:rPr>
          <w:rFonts w:eastAsia="SimSun" w:cstheme="minorHAnsi"/>
          <w:color w:val="00000A"/>
          <w:kern w:val="2"/>
          <w:lang w:val="en-US" w:eastAsia="zh-CN" w:bidi="hi-IN"/>
        </w:rPr>
        <w:t xml:space="preserve"> Gazette, “Ethiopian Broadcasting Proclamation No. 1238/2021, 27th Year No. 22,” Addis Ababa, 5 </w:t>
      </w:r>
      <w:proofErr w:type="gramStart"/>
      <w:r w:rsidRPr="0091792B">
        <w:rPr>
          <w:rFonts w:eastAsia="SimSun" w:cstheme="minorHAnsi"/>
          <w:color w:val="00000A"/>
          <w:kern w:val="2"/>
          <w:lang w:val="en-US" w:eastAsia="zh-CN" w:bidi="hi-IN"/>
        </w:rPr>
        <w:t>April,</w:t>
      </w:r>
      <w:proofErr w:type="gramEnd"/>
      <w:r w:rsidRPr="0091792B">
        <w:rPr>
          <w:rFonts w:eastAsia="SimSun" w:cstheme="minorHAnsi"/>
          <w:color w:val="00000A"/>
          <w:kern w:val="2"/>
          <w:lang w:val="en-US" w:eastAsia="zh-CN" w:bidi="hi-IN"/>
        </w:rPr>
        <w:t xml:space="preserve"> 2021.</w:t>
      </w:r>
    </w:p>
    <w:p w14:paraId="20A99755"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“Rapid Assessment on Violence Against Women in Elections (VAWE) Campaign Action Plan Development, Procurement,” Reference Number: EHRC/CS/03/2020, Final Report March 2021.</w:t>
      </w:r>
    </w:p>
    <w:p w14:paraId="251F6030"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“Ethiopia Support for gender responsive parliament and promotion of women’s engagement in electoral processes,” Final Report, UN Women30 April 2021.</w:t>
      </w:r>
    </w:p>
    <w:p w14:paraId="3FB9CFC7"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GDDP “CCI Bi-annual Progress Report, August 2021.” </w:t>
      </w:r>
    </w:p>
    <w:p w14:paraId="5664E3ED"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GDPP, Media Authority, “First Half Fiscal Year (</w:t>
      </w:r>
      <w:proofErr w:type="spellStart"/>
      <w:r w:rsidRPr="0091792B">
        <w:rPr>
          <w:rFonts w:eastAsia="SimSun" w:cstheme="minorHAnsi"/>
          <w:color w:val="00000A"/>
          <w:kern w:val="2"/>
          <w:lang w:val="en-US" w:eastAsia="zh-CN" w:bidi="hi-IN"/>
        </w:rPr>
        <w:t>Hamle</w:t>
      </w:r>
      <w:proofErr w:type="spellEnd"/>
      <w:r w:rsidRPr="0091792B">
        <w:rPr>
          <w:rFonts w:eastAsia="SimSun" w:cstheme="minorHAnsi"/>
          <w:color w:val="00000A"/>
          <w:kern w:val="2"/>
          <w:lang w:val="en-US" w:eastAsia="zh-CN" w:bidi="hi-IN"/>
        </w:rPr>
        <w:t xml:space="preserve"> 2013-Tahsas 2014 E.C.) Report.”</w:t>
      </w:r>
    </w:p>
    <w:p w14:paraId="7788E4BE"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GDDP “EHRC Mid-Year 2013 EFY (July- December 2020) Project Progress Report,” Jan 2021.</w:t>
      </w:r>
    </w:p>
    <w:p w14:paraId="59BC5192"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GDPP “EHRC Bi-Annual Report: July-December 2021.”</w:t>
      </w:r>
    </w:p>
    <w:p w14:paraId="28923451"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GDDP “Quarter: Mid-year report (January-June 2021),” Ethiopian Media Authority (EMA).</w:t>
      </w:r>
    </w:p>
    <w:p w14:paraId="0BEDDEF2"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GDPP “Annual Report July 2019 - June 2020.”</w:t>
      </w:r>
    </w:p>
    <w:p w14:paraId="3F8EA362"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GDPP “HoPR Bi-Annual Progress Report, Jan–June 2021.”</w:t>
      </w:r>
    </w:p>
    <w:p w14:paraId="5E1ECCA7"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GDPP “MoP Bi-Annual Narrative Progress Report, Jan-June 2021.”</w:t>
      </w:r>
    </w:p>
    <w:p w14:paraId="5E9E0BA4"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GDPP “EIO Six Months Consolidated Progress Report, (January-June 2021).</w:t>
      </w:r>
    </w:p>
    <w:p w14:paraId="70317EC6"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GDPP “PMB Meeting Note, November 2020.”</w:t>
      </w:r>
    </w:p>
    <w:p w14:paraId="35D956DC"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GDPP “PMB Meeting Note, November 2019.”</w:t>
      </w:r>
    </w:p>
    <w:p w14:paraId="6DE6032C"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GDPP “Risk Matrix, May 2020.”</w:t>
      </w:r>
    </w:p>
    <w:p w14:paraId="2C14933D" w14:textId="77777777" w:rsidR="0091792B" w:rsidRPr="0091792B" w:rsidRDefault="0091792B" w:rsidP="0091792B">
      <w:pPr>
        <w:numPr>
          <w:ilvl w:val="0"/>
          <w:numId w:val="18"/>
        </w:numPr>
        <w:spacing w:after="0" w:line="240" w:lineRule="auto"/>
        <w:contextualSpacing/>
        <w:jc w:val="both"/>
        <w:rPr>
          <w:rFonts w:ascii="Calibri" w:eastAsia="SimSun" w:hAnsi="Calibri" w:cstheme="minorHAnsi"/>
          <w:bCs/>
          <w:kern w:val="2"/>
          <w:sz w:val="21"/>
          <w:szCs w:val="21"/>
          <w:lang w:val="en-GB"/>
        </w:rPr>
      </w:pPr>
      <w:r w:rsidRPr="0091792B">
        <w:rPr>
          <w:rFonts w:ascii="Calibri" w:eastAsia="SimSun" w:hAnsi="Calibri" w:cstheme="minorHAnsi"/>
          <w:bCs/>
          <w:kern w:val="2"/>
          <w:sz w:val="21"/>
          <w:szCs w:val="21"/>
          <w:lang w:val="en-GB"/>
        </w:rPr>
        <w:t>GDPP, “Repositioning Paper,” November 2018.</w:t>
      </w:r>
    </w:p>
    <w:p w14:paraId="2C616680" w14:textId="77777777" w:rsidR="0091792B" w:rsidRPr="0091792B" w:rsidRDefault="0091792B" w:rsidP="0091792B">
      <w:pPr>
        <w:numPr>
          <w:ilvl w:val="0"/>
          <w:numId w:val="18"/>
        </w:numPr>
        <w:spacing w:after="0" w:line="240" w:lineRule="auto"/>
        <w:contextualSpacing/>
        <w:jc w:val="both"/>
        <w:rPr>
          <w:rFonts w:ascii="Calibri" w:eastAsia="SimSun" w:hAnsi="Calibri" w:cstheme="minorHAnsi"/>
          <w:bCs/>
          <w:kern w:val="2"/>
          <w:sz w:val="21"/>
          <w:szCs w:val="21"/>
          <w:lang w:val="en-GB"/>
        </w:rPr>
      </w:pPr>
      <w:r w:rsidRPr="0091792B">
        <w:rPr>
          <w:rFonts w:ascii="Calibri" w:eastAsia="SimSun" w:hAnsi="Calibri" w:cstheme="minorHAnsi"/>
          <w:bCs/>
          <w:kern w:val="2"/>
          <w:sz w:val="21"/>
          <w:szCs w:val="21"/>
          <w:lang w:val="en-GB"/>
        </w:rPr>
        <w:t>GDPP, “Annual Report,” October 2018-June 2019.</w:t>
      </w:r>
    </w:p>
    <w:p w14:paraId="2FA60016" w14:textId="77777777" w:rsidR="0091792B" w:rsidRPr="0091792B" w:rsidRDefault="0091792B" w:rsidP="0091792B">
      <w:pPr>
        <w:numPr>
          <w:ilvl w:val="0"/>
          <w:numId w:val="18"/>
        </w:numPr>
        <w:spacing w:line="240" w:lineRule="auto"/>
        <w:contextualSpacing/>
        <w:rPr>
          <w:rFonts w:ascii="Calibri" w:eastAsia="SimSun" w:hAnsi="Calibri" w:cstheme="minorHAnsi"/>
          <w:bCs/>
          <w:kern w:val="2"/>
          <w:sz w:val="21"/>
          <w:szCs w:val="21"/>
          <w:lang w:val="en-GB"/>
        </w:rPr>
      </w:pPr>
      <w:r w:rsidRPr="0091792B">
        <w:rPr>
          <w:rFonts w:ascii="Calibri" w:eastAsia="SimSun" w:hAnsi="Calibri" w:cstheme="minorHAnsi"/>
          <w:bCs/>
          <w:kern w:val="2"/>
          <w:sz w:val="21"/>
          <w:szCs w:val="21"/>
          <w:lang w:val="en-GB"/>
        </w:rPr>
        <w:t>GDPP, “</w:t>
      </w:r>
      <w:r w:rsidRPr="0091792B">
        <w:rPr>
          <w:rFonts w:eastAsia="SimSun" w:cstheme="minorHAnsi"/>
          <w:color w:val="00000A"/>
          <w:kern w:val="2"/>
          <w:lang w:val="en-US" w:eastAsia="zh-CN" w:bidi="hi-IN"/>
        </w:rPr>
        <w:t>Mid-Year Report, (July 2020-December 2020).”</w:t>
      </w:r>
    </w:p>
    <w:p w14:paraId="0E5E1FB1"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lastRenderedPageBreak/>
        <w:t>GDPP, First Programme Management Board Meeting Minutes, September 2017.”</w:t>
      </w:r>
    </w:p>
    <w:p w14:paraId="4BF278A8"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GDPP, Programme Management Board (PMB) Minutes of Meeting, 04 December 2018.”</w:t>
      </w:r>
    </w:p>
    <w:p w14:paraId="300B9714"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GDPP Programme Management Board (PMB) “Meeting Notes (30 June 2021).” </w:t>
      </w:r>
    </w:p>
    <w:p w14:paraId="47AFB022"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GDPP Monitoring Visit Report Number 2: FEACC, 12 July 2021.</w:t>
      </w:r>
    </w:p>
    <w:p w14:paraId="3A04E856"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GDPP Monitoring Visit Report HoPR, 13 </w:t>
      </w:r>
      <w:proofErr w:type="gramStart"/>
      <w:r w:rsidRPr="0091792B">
        <w:rPr>
          <w:rFonts w:eastAsia="SimSun" w:cstheme="minorHAnsi"/>
          <w:color w:val="00000A"/>
          <w:kern w:val="2"/>
          <w:lang w:val="en-US" w:eastAsia="zh-CN" w:bidi="hi-IN"/>
        </w:rPr>
        <w:t>July,</w:t>
      </w:r>
      <w:proofErr w:type="gramEnd"/>
      <w:r w:rsidRPr="0091792B">
        <w:rPr>
          <w:rFonts w:eastAsia="SimSun" w:cstheme="minorHAnsi"/>
          <w:color w:val="00000A"/>
          <w:kern w:val="2"/>
          <w:lang w:val="en-US" w:eastAsia="zh-CN" w:bidi="hi-IN"/>
        </w:rPr>
        <w:t xml:space="preserve"> 2021.</w:t>
      </w:r>
    </w:p>
    <w:p w14:paraId="6951F8DE"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GDPP Monitoring Visit Report, OFAG, 19 </w:t>
      </w:r>
      <w:proofErr w:type="gramStart"/>
      <w:r w:rsidRPr="0091792B">
        <w:rPr>
          <w:rFonts w:eastAsia="SimSun" w:cstheme="minorHAnsi"/>
          <w:color w:val="00000A"/>
          <w:kern w:val="2"/>
          <w:lang w:val="en-US" w:eastAsia="zh-CN" w:bidi="hi-IN"/>
        </w:rPr>
        <w:t>August,</w:t>
      </w:r>
      <w:proofErr w:type="gramEnd"/>
      <w:r w:rsidRPr="0091792B">
        <w:rPr>
          <w:rFonts w:eastAsia="SimSun" w:cstheme="minorHAnsi"/>
          <w:color w:val="00000A"/>
          <w:kern w:val="2"/>
          <w:lang w:val="en-US" w:eastAsia="zh-CN" w:bidi="hi-IN"/>
        </w:rPr>
        <w:t xml:space="preserve"> 2021.</w:t>
      </w:r>
    </w:p>
    <w:p w14:paraId="08C53D62"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GDPP Monitoring Visit Report, NEBE, 13 </w:t>
      </w:r>
      <w:proofErr w:type="gramStart"/>
      <w:r w:rsidRPr="0091792B">
        <w:rPr>
          <w:rFonts w:eastAsia="SimSun" w:cstheme="minorHAnsi"/>
          <w:color w:val="00000A"/>
          <w:kern w:val="2"/>
          <w:lang w:val="en-US" w:eastAsia="zh-CN" w:bidi="hi-IN"/>
        </w:rPr>
        <w:t>July,</w:t>
      </w:r>
      <w:proofErr w:type="gramEnd"/>
      <w:r w:rsidRPr="0091792B">
        <w:rPr>
          <w:rFonts w:eastAsia="SimSun" w:cstheme="minorHAnsi"/>
          <w:color w:val="00000A"/>
          <w:kern w:val="2"/>
          <w:lang w:val="en-US" w:eastAsia="zh-CN" w:bidi="hi-IN"/>
        </w:rPr>
        <w:t xml:space="preserve"> 2021.</w:t>
      </w:r>
    </w:p>
    <w:p w14:paraId="11D09F30"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GDPP Monitoring Visit Report, ENVCSP, July 2021.</w:t>
      </w:r>
    </w:p>
    <w:p w14:paraId="0B77ABF7"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“Gender Analysis of the Draft Electoral and Political Parties’ Law, July 2019.”</w:t>
      </w:r>
    </w:p>
    <w:p w14:paraId="090CC6B3"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“HoF GDPP Mid-Year Report, December 2020.”</w:t>
      </w:r>
    </w:p>
    <w:p w14:paraId="4A2F7BB2"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“HoPR, Bi-Annual Progress Update, July – December 2020.”</w:t>
      </w:r>
    </w:p>
    <w:p w14:paraId="1AA93E1F"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“Major activities to be included in the transition phase of UNDP (2022).” </w:t>
      </w:r>
    </w:p>
    <w:p w14:paraId="69C0F8A9"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National Election Board of Ethiopia (NEBE) “Mid-Year Programme/Project Progress Report, January to June 2021.”</w:t>
      </w:r>
    </w:p>
    <w:p w14:paraId="2B105D96"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National Election Board of Ethiopia (NEBE) “Mid-Year Programme/Project Progress Report, July to December 2021.”</w:t>
      </w:r>
    </w:p>
    <w:p w14:paraId="2DE31670"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“Mid-year Programme/ Project Progress Report, NEBE, December 2020.”</w:t>
      </w:r>
    </w:p>
    <w:p w14:paraId="7BE0A372"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“National Anti-Corruption Policy and Strategy (Final Report) August 2021.”</w:t>
      </w:r>
    </w:p>
    <w:p w14:paraId="73EB47AB"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“Ethiopia - Northern Ethiopia Humanitarian Update, Situation Report Last updated: 20 Jan 2022,” OCHA (2022). </w:t>
      </w:r>
    </w:p>
    <w:p w14:paraId="242963AF"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“Office of the Federal Auditor General (OFAG) UNDP Project Progress Report, July–December 2020.”</w:t>
      </w:r>
    </w:p>
    <w:p w14:paraId="62E1EE17"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OFAG UNDP: “Mid-year Programme (Project Progress Report) (July-December 2013).”</w:t>
      </w:r>
    </w:p>
    <w:p w14:paraId="1077C711"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OFAG UNDP: Project Progress Report, January June 2021.”  </w:t>
      </w:r>
    </w:p>
    <w:p w14:paraId="5E1CA16E"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“Building National Consensus for Sustainable Peace and Development,” National Dialogue Series, Theme 1: Promoting Unity within Diversity, Forum Proceedings, Democratic Systems Building Center, 17th May 2018, Sheraton Hotel, Addis Ababa.</w:t>
      </w:r>
    </w:p>
    <w:p w14:paraId="0B69D307"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“Political Leadership and Campaign Training of Trainers Report,” UN Women - Ethiopia, December 3 to 6, 2019 Pyramid Hotels and Resorts, Bishoftu. </w:t>
      </w:r>
    </w:p>
    <w:p w14:paraId="75D173C1"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UN</w:t>
      </w:r>
      <w:r w:rsidRPr="0091792B">
        <w:rPr>
          <w:rFonts w:eastAsia="SimSun" w:cstheme="minorHAnsi"/>
          <w:b/>
          <w:color w:val="00000A"/>
          <w:kern w:val="2"/>
          <w:lang w:val="en-US" w:eastAsia="zh-CN" w:bidi="hi-IN"/>
        </w:rPr>
        <w:t xml:space="preserve"> </w:t>
      </w:r>
      <w:r w:rsidRPr="0091792B">
        <w:rPr>
          <w:rFonts w:eastAsia="SimSun" w:cstheme="minorHAnsi"/>
          <w:color w:val="00000A"/>
          <w:kern w:val="2"/>
          <w:lang w:val="en-US" w:eastAsia="zh-CN" w:bidi="hi-IN"/>
        </w:rPr>
        <w:t>Women,</w:t>
      </w:r>
      <w:r w:rsidRPr="0091792B">
        <w:rPr>
          <w:rFonts w:eastAsia="SimSun" w:cstheme="minorHAnsi"/>
          <w:b/>
          <w:color w:val="00000A"/>
          <w:kern w:val="2"/>
          <w:lang w:val="en-US" w:eastAsia="zh-CN" w:bidi="hi-IN"/>
        </w:rPr>
        <w:t xml:space="preserve"> </w:t>
      </w:r>
      <w:r w:rsidRPr="0091792B">
        <w:rPr>
          <w:rFonts w:eastAsia="SimSun" w:cstheme="minorHAnsi"/>
          <w:color w:val="00000A"/>
          <w:kern w:val="2"/>
          <w:lang w:val="en-US" w:eastAsia="zh-CN" w:bidi="hi-IN"/>
        </w:rPr>
        <w:t>“Training on Gender Responsive Parliamentary Oversight Function,” Training Report 02-04, June 2019.</w:t>
      </w:r>
    </w:p>
    <w:p w14:paraId="7F52A680"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UN Women, “Informal Update to UNDP: Support for Gender Responsive Parliament and Promotion of Women’s Engagement in Electoral Process Project”, June 2020.</w:t>
      </w:r>
    </w:p>
    <w:p w14:paraId="20CA7237"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UN Women, “Support for Gender Responsive Parliament and Promotion of Women’s Engagement in Electoral Process, Quarterly Programme/Project Progress Report,” January-June 2020.</w:t>
      </w:r>
    </w:p>
    <w:p w14:paraId="118C693F"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Report: “Training for Ethiopian Media Women and Men on Gender Sensitive/Responsive Election Reporting,” October 21 to 23, 2019, Addis Ababa.</w:t>
      </w:r>
    </w:p>
    <w:p w14:paraId="52AE5161"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“Risk Assessment and Mitigation Measures,” Governance and Democratic Participation Programme, AWP 2020/21.</w:t>
      </w:r>
    </w:p>
    <w:p w14:paraId="0474D8A0"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Report: Secretariat of Council of Constitutional Inquiry, Governance and Democratic Participation Program, (January 2021-June 2021).</w:t>
      </w:r>
    </w:p>
    <w:p w14:paraId="11A71233"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UNDP Results Oriented Annual Reports, 2018-2021.</w:t>
      </w:r>
    </w:p>
    <w:p w14:paraId="5171D81D"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UNDP (2019). United Nations Sustainable Development Cooperation Framework, (2020 – 2025).” </w:t>
      </w:r>
    </w:p>
    <w:p w14:paraId="177CA31C"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UNDP (2020). Management responses for GDPP MTR’s recommendations, Mid-term Review/Evaluation (June 2017 – July 2020), December 2020.</w:t>
      </w:r>
    </w:p>
    <w:p w14:paraId="238A2318"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UNDP (2021). “GDPP Annual Report, July 2020–June 2021.”</w:t>
      </w:r>
    </w:p>
    <w:p w14:paraId="057112DC"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UNDP (2021). “UNDP Strategic Plan, 2022-2025.”</w:t>
      </w:r>
    </w:p>
    <w:p w14:paraId="5DED2BCE" w14:textId="77777777" w:rsidR="0091792B" w:rsidRPr="0091792B" w:rsidRDefault="0091792B" w:rsidP="0091792B">
      <w:pPr>
        <w:numPr>
          <w:ilvl w:val="0"/>
          <w:numId w:val="18"/>
        </w:numPr>
        <w:spacing w:after="0" w:line="240" w:lineRule="auto"/>
        <w:contextualSpacing/>
        <w:jc w:val="both"/>
        <w:rPr>
          <w:rFonts w:ascii="Calibri" w:eastAsia="SimSun" w:hAnsi="Calibri" w:cstheme="minorHAnsi"/>
          <w:bCs/>
          <w:kern w:val="2"/>
          <w:sz w:val="21"/>
          <w:szCs w:val="21"/>
          <w:lang w:val="en-GB"/>
        </w:rPr>
      </w:pPr>
      <w:r w:rsidRPr="0091792B">
        <w:rPr>
          <w:rFonts w:ascii="Calibri" w:eastAsia="SimSun" w:hAnsi="Calibri" w:cstheme="minorHAnsi"/>
          <w:bCs/>
          <w:kern w:val="2"/>
          <w:sz w:val="21"/>
          <w:szCs w:val="21"/>
          <w:lang w:val="en-GB"/>
        </w:rPr>
        <w:lastRenderedPageBreak/>
        <w:t>UNDP. “Country Programme Document for Ethiopia (2016-2020).”</w:t>
      </w:r>
    </w:p>
    <w:p w14:paraId="6EB66C47" w14:textId="77777777" w:rsidR="0091792B" w:rsidRPr="0091792B" w:rsidRDefault="0091792B" w:rsidP="0091792B">
      <w:pPr>
        <w:numPr>
          <w:ilvl w:val="0"/>
          <w:numId w:val="18"/>
        </w:numPr>
        <w:spacing w:after="0" w:line="240" w:lineRule="auto"/>
        <w:contextualSpacing/>
        <w:jc w:val="both"/>
        <w:rPr>
          <w:rFonts w:ascii="Calibri" w:eastAsia="SimSun" w:hAnsi="Calibri" w:cstheme="minorHAnsi"/>
          <w:bCs/>
          <w:kern w:val="2"/>
          <w:sz w:val="21"/>
          <w:szCs w:val="21"/>
          <w:lang w:val="en-GB"/>
        </w:rPr>
      </w:pPr>
      <w:r w:rsidRPr="0091792B">
        <w:rPr>
          <w:rFonts w:ascii="Calibri" w:eastAsia="SimSun" w:hAnsi="Calibri" w:cstheme="minorHAnsi"/>
          <w:bCs/>
          <w:kern w:val="2"/>
          <w:sz w:val="21"/>
          <w:szCs w:val="21"/>
          <w:lang w:val="en-GB"/>
        </w:rPr>
        <w:t>UNDP. “Country Programme Document for Ethiopia (2020-2025)”</w:t>
      </w:r>
    </w:p>
    <w:p w14:paraId="6764D5F4" w14:textId="77777777" w:rsidR="0091792B" w:rsidRPr="0091792B" w:rsidRDefault="0091792B" w:rsidP="0091792B">
      <w:pPr>
        <w:numPr>
          <w:ilvl w:val="0"/>
          <w:numId w:val="18"/>
        </w:numPr>
        <w:spacing w:after="0" w:line="240" w:lineRule="auto"/>
        <w:contextualSpacing/>
        <w:jc w:val="both"/>
        <w:rPr>
          <w:rFonts w:ascii="Calibri" w:eastAsia="SimSun" w:hAnsi="Calibri" w:cstheme="minorHAnsi"/>
          <w:bCs/>
          <w:kern w:val="2"/>
          <w:sz w:val="21"/>
          <w:szCs w:val="21"/>
          <w:lang w:val="en-GB"/>
        </w:rPr>
      </w:pPr>
      <w:r w:rsidRPr="0091792B">
        <w:rPr>
          <w:rFonts w:ascii="Calibri" w:eastAsia="SimSun" w:hAnsi="Calibri" w:cstheme="minorHAnsi"/>
          <w:bCs/>
          <w:kern w:val="2"/>
          <w:sz w:val="21"/>
          <w:szCs w:val="21"/>
          <w:lang w:val="en-GB"/>
        </w:rPr>
        <w:t>UNDP. “Regional Programme Document for Africa, 2014-2017.”</w:t>
      </w:r>
    </w:p>
    <w:p w14:paraId="2270DCB7" w14:textId="77777777" w:rsidR="0091792B" w:rsidRPr="0091792B" w:rsidRDefault="0091792B" w:rsidP="0091792B">
      <w:pPr>
        <w:numPr>
          <w:ilvl w:val="0"/>
          <w:numId w:val="18"/>
        </w:numPr>
        <w:spacing w:after="0" w:line="240" w:lineRule="auto"/>
        <w:contextualSpacing/>
        <w:jc w:val="both"/>
        <w:rPr>
          <w:rFonts w:ascii="Calibri" w:eastAsia="SimSun" w:hAnsi="Calibri" w:cstheme="minorHAnsi"/>
          <w:bCs/>
          <w:kern w:val="2"/>
          <w:sz w:val="21"/>
          <w:szCs w:val="21"/>
          <w:lang w:val="en-GB"/>
        </w:rPr>
      </w:pPr>
      <w:r w:rsidRPr="0091792B">
        <w:rPr>
          <w:rFonts w:ascii="Calibri" w:eastAsia="SimSun" w:hAnsi="Calibri" w:cstheme="minorHAnsi"/>
          <w:bCs/>
          <w:kern w:val="2"/>
          <w:sz w:val="21"/>
          <w:szCs w:val="21"/>
          <w:lang w:val="en-GB"/>
        </w:rPr>
        <w:t>UNDP. “Strategic Plan,” 2018-2021.</w:t>
      </w:r>
    </w:p>
    <w:p w14:paraId="5ED0219C" w14:textId="77777777" w:rsidR="0091792B" w:rsidRPr="0091792B" w:rsidRDefault="0091792B" w:rsidP="0091792B">
      <w:pPr>
        <w:numPr>
          <w:ilvl w:val="0"/>
          <w:numId w:val="18"/>
        </w:numPr>
        <w:spacing w:after="0" w:line="240" w:lineRule="auto"/>
        <w:contextualSpacing/>
        <w:jc w:val="both"/>
        <w:rPr>
          <w:rFonts w:ascii="Calibri" w:eastAsia="SimSun" w:hAnsi="Calibri" w:cstheme="minorHAnsi"/>
          <w:bCs/>
          <w:kern w:val="2"/>
          <w:sz w:val="21"/>
          <w:szCs w:val="21"/>
          <w:lang w:val="en-GB"/>
        </w:rPr>
      </w:pPr>
      <w:r w:rsidRPr="0091792B">
        <w:rPr>
          <w:rFonts w:ascii="Calibri" w:eastAsia="SimSun" w:hAnsi="Calibri" w:cstheme="minorHAnsi"/>
          <w:bCs/>
          <w:kern w:val="2"/>
          <w:sz w:val="21"/>
          <w:szCs w:val="21"/>
          <w:lang w:val="en-GB"/>
        </w:rPr>
        <w:t>“United Nations Development Assistance Framework for Ethiopia, 2016-2020.”</w:t>
      </w:r>
    </w:p>
    <w:p w14:paraId="71A6424C" w14:textId="77777777" w:rsidR="0091792B" w:rsidRPr="0091792B" w:rsidRDefault="0091792B" w:rsidP="0091792B">
      <w:pPr>
        <w:numPr>
          <w:ilvl w:val="0"/>
          <w:numId w:val="18"/>
        </w:numPr>
        <w:spacing w:after="0" w:line="240" w:lineRule="auto"/>
        <w:contextualSpacing/>
        <w:jc w:val="both"/>
        <w:rPr>
          <w:rFonts w:ascii="Calibri" w:eastAsia="SimSun" w:hAnsi="Calibri" w:cstheme="minorHAnsi"/>
          <w:bCs/>
          <w:kern w:val="2"/>
          <w:sz w:val="21"/>
          <w:szCs w:val="21"/>
          <w:lang w:val="en-GB"/>
        </w:rPr>
      </w:pPr>
      <w:r w:rsidRPr="0091792B">
        <w:rPr>
          <w:rFonts w:ascii="Calibri" w:eastAsia="SimSun" w:hAnsi="Calibri" w:cstheme="minorHAnsi"/>
          <w:bCs/>
          <w:kern w:val="2"/>
          <w:sz w:val="21"/>
          <w:szCs w:val="21"/>
          <w:lang w:val="en-GB"/>
        </w:rPr>
        <w:t>UNDP. “Governance and Democratic Participation Programme (GDPP), Programme Document, June 2017.”</w:t>
      </w:r>
    </w:p>
    <w:p w14:paraId="124A5BA4"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UNDP GDPP Programme Technical Committee Meeting, 09 November 2017, HoPR Meeting Hall</w:t>
      </w:r>
    </w:p>
    <w:p w14:paraId="49AA6A22"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UNDP GDPP Programme Technical Committee Meeting, 15 November 2018, UNFPA Hall.</w:t>
      </w:r>
    </w:p>
    <w:p w14:paraId="29B6861A"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UNDP GDPP “Programme Technical Committee (PTC), Minutes of Meeting, Oct 2019.</w:t>
      </w:r>
    </w:p>
    <w:p w14:paraId="5A434E90" w14:textId="77777777" w:rsidR="0091792B" w:rsidRPr="0091792B" w:rsidRDefault="0091792B" w:rsidP="0091792B">
      <w:pPr>
        <w:numPr>
          <w:ilvl w:val="0"/>
          <w:numId w:val="18"/>
        </w:numPr>
        <w:spacing w:after="0" w:line="240" w:lineRule="auto"/>
        <w:contextualSpacing/>
        <w:jc w:val="both"/>
        <w:rPr>
          <w:rFonts w:ascii="Calibri" w:eastAsia="SimSun" w:hAnsi="Calibri" w:cstheme="minorHAnsi"/>
          <w:bCs/>
          <w:kern w:val="2"/>
          <w:sz w:val="21"/>
          <w:szCs w:val="21"/>
          <w:lang w:val="en-GB"/>
        </w:rPr>
      </w:pPr>
      <w:r w:rsidRPr="0091792B">
        <w:rPr>
          <w:rFonts w:ascii="Calibri" w:eastAsia="SimSun" w:hAnsi="Calibri" w:cstheme="minorHAnsi"/>
          <w:bCs/>
          <w:kern w:val="2"/>
          <w:sz w:val="21"/>
          <w:szCs w:val="21"/>
          <w:lang w:val="en-GB"/>
        </w:rPr>
        <w:t>UNDP. GDPP Programme Management Board, “Future of GDPP – Options Paper, June 2021”</w:t>
      </w:r>
    </w:p>
    <w:p w14:paraId="6329D037" w14:textId="77777777" w:rsidR="0091792B" w:rsidRPr="0091792B" w:rsidRDefault="0091792B" w:rsidP="0091792B">
      <w:pPr>
        <w:numPr>
          <w:ilvl w:val="0"/>
          <w:numId w:val="18"/>
        </w:numPr>
        <w:spacing w:after="0" w:line="240" w:lineRule="auto"/>
        <w:contextualSpacing/>
        <w:jc w:val="both"/>
        <w:rPr>
          <w:rFonts w:ascii="Calibri" w:eastAsia="SimSun" w:hAnsi="Calibri" w:cstheme="minorHAnsi"/>
          <w:bCs/>
          <w:kern w:val="2"/>
          <w:sz w:val="21"/>
          <w:szCs w:val="21"/>
          <w:lang w:val="en-GB"/>
        </w:rPr>
      </w:pPr>
      <w:r w:rsidRPr="0091792B">
        <w:rPr>
          <w:rFonts w:ascii="Calibri" w:eastAsia="SimSun" w:hAnsi="Calibri" w:cstheme="minorHAnsi"/>
          <w:bCs/>
          <w:kern w:val="2"/>
          <w:sz w:val="21"/>
          <w:szCs w:val="21"/>
          <w:lang w:val="en-GB"/>
        </w:rPr>
        <w:t>UNDP/GoE. “Multi-Donor Support for Democratic Institutions Programme,” August 2017.</w:t>
      </w:r>
    </w:p>
    <w:p w14:paraId="5625A904"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UNDP: “Africa’s Promise: The UNDP Renewed Strategic Offer in Africa,” RBA (2020).</w:t>
      </w:r>
    </w:p>
    <w:p w14:paraId="7DD1F2E3"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Zachary </w:t>
      </w:r>
      <w:proofErr w:type="spellStart"/>
      <w:r w:rsidRPr="0091792B">
        <w:rPr>
          <w:rFonts w:eastAsia="SimSun" w:cstheme="minorHAnsi"/>
          <w:color w:val="00000A"/>
          <w:kern w:val="2"/>
          <w:lang w:val="en-US" w:eastAsia="zh-CN" w:bidi="hi-IN"/>
        </w:rPr>
        <w:t>Donnenfeld</w:t>
      </w:r>
      <w:proofErr w:type="spellEnd"/>
      <w:r w:rsidRPr="0091792B">
        <w:rPr>
          <w:rFonts w:eastAsia="SimSun" w:cstheme="minorHAnsi"/>
          <w:color w:val="00000A"/>
          <w:kern w:val="2"/>
          <w:lang w:val="en-US" w:eastAsia="zh-CN" w:bidi="hi-IN"/>
        </w:rPr>
        <w:t xml:space="preserve">, Jakkie Cilliers, </w:t>
      </w:r>
      <w:proofErr w:type="spellStart"/>
      <w:r w:rsidRPr="0091792B">
        <w:rPr>
          <w:rFonts w:eastAsia="SimSun" w:cstheme="minorHAnsi"/>
          <w:color w:val="00000A"/>
          <w:kern w:val="2"/>
          <w:lang w:val="en-US" w:eastAsia="zh-CN" w:bidi="hi-IN"/>
        </w:rPr>
        <w:t>Stellah</w:t>
      </w:r>
      <w:proofErr w:type="spellEnd"/>
      <w:r w:rsidRPr="0091792B">
        <w:rPr>
          <w:rFonts w:eastAsia="SimSun" w:cstheme="minorHAnsi"/>
          <w:color w:val="00000A"/>
          <w:kern w:val="2"/>
          <w:lang w:val="en-US" w:eastAsia="zh-CN" w:bidi="hi-IN"/>
        </w:rPr>
        <w:t xml:space="preserve"> Kwasi and Lily Welborn (2019). “Emerging Giant: Potential Pathways for Ethiopia to 2040,” Institute for Security Studies, East Africa Report 25, September 2019</w:t>
      </w:r>
    </w:p>
    <w:p w14:paraId="7A5FF901" w14:textId="77777777" w:rsidR="0091792B" w:rsidRPr="0091792B" w:rsidRDefault="0091792B" w:rsidP="0091792B">
      <w:pPr>
        <w:numPr>
          <w:ilvl w:val="0"/>
          <w:numId w:val="18"/>
        </w:numPr>
        <w:spacing w:line="240" w:lineRule="auto"/>
        <w:contextualSpacing/>
        <w:jc w:val="both"/>
        <w:rPr>
          <w:rFonts w:ascii="Calibri" w:eastAsia="SimSun" w:hAnsi="Calibri" w:cs="Calibri"/>
          <w:kern w:val="2"/>
          <w:lang w:val="en-US"/>
        </w:rPr>
      </w:pPr>
      <w:r w:rsidRPr="0091792B">
        <w:rPr>
          <w:rFonts w:eastAsia="SimSun" w:cstheme="minorHAnsi"/>
          <w:color w:val="00000A"/>
          <w:kern w:val="2"/>
          <w:lang w:val="en-US" w:eastAsia="zh-CN" w:bidi="hi-IN"/>
        </w:rPr>
        <w:t xml:space="preserve">Dr. Victoria Stewart-Jolley Ms. Blen Fitsum, Report: “Gender Responsive Electoral Monitoring and Observation Training,” 04-27 March and 19-21 </w:t>
      </w:r>
      <w:proofErr w:type="gramStart"/>
      <w:r w:rsidRPr="0091792B">
        <w:rPr>
          <w:rFonts w:eastAsia="SimSun" w:cstheme="minorHAnsi"/>
          <w:color w:val="00000A"/>
          <w:kern w:val="2"/>
          <w:lang w:val="en-US" w:eastAsia="zh-CN" w:bidi="hi-IN"/>
        </w:rPr>
        <w:t>April,</w:t>
      </w:r>
      <w:proofErr w:type="gramEnd"/>
      <w:r w:rsidRPr="0091792B">
        <w:rPr>
          <w:rFonts w:eastAsia="SimSun" w:cstheme="minorHAnsi"/>
          <w:color w:val="00000A"/>
          <w:kern w:val="2"/>
          <w:lang w:val="en-US" w:eastAsia="zh-CN" w:bidi="hi-IN"/>
        </w:rPr>
        <w:t xml:space="preserve"> 2021, Addis Ababa, </w:t>
      </w:r>
      <w:proofErr w:type="spellStart"/>
      <w:r w:rsidRPr="0091792B">
        <w:rPr>
          <w:rFonts w:eastAsia="SimSun" w:cstheme="minorHAnsi"/>
          <w:color w:val="00000A"/>
          <w:kern w:val="2"/>
          <w:lang w:val="en-US" w:eastAsia="zh-CN" w:bidi="hi-IN"/>
        </w:rPr>
        <w:t>Ethiopia.</w:t>
      </w:r>
      <w:r w:rsidRPr="0091792B">
        <w:rPr>
          <w:rFonts w:ascii="Calibri" w:eastAsia="SimSun" w:hAnsi="Calibri" w:cs="Calibri"/>
          <w:kern w:val="2"/>
          <w:lang w:val="en-US"/>
        </w:rPr>
        <w:t>Abriham</w:t>
      </w:r>
      <w:proofErr w:type="spellEnd"/>
      <w:r w:rsidRPr="0091792B">
        <w:rPr>
          <w:rFonts w:ascii="Calibri" w:eastAsia="SimSun" w:hAnsi="Calibri" w:cs="Calibri"/>
          <w:kern w:val="2"/>
          <w:lang w:val="en-US"/>
        </w:rPr>
        <w:t xml:space="preserve"> </w:t>
      </w:r>
      <w:proofErr w:type="spellStart"/>
      <w:r w:rsidRPr="0091792B">
        <w:rPr>
          <w:rFonts w:ascii="Calibri" w:eastAsia="SimSun" w:hAnsi="Calibri" w:cs="Calibri"/>
          <w:kern w:val="2"/>
          <w:lang w:val="en-US"/>
        </w:rPr>
        <w:t>Ebabu</w:t>
      </w:r>
      <w:proofErr w:type="spellEnd"/>
      <w:r w:rsidRPr="0091792B">
        <w:rPr>
          <w:rFonts w:ascii="Calibri" w:eastAsia="SimSun" w:hAnsi="Calibri" w:cs="Calibri"/>
          <w:kern w:val="2"/>
          <w:lang w:val="en-US"/>
        </w:rPr>
        <w:t xml:space="preserve"> </w:t>
      </w:r>
      <w:proofErr w:type="spellStart"/>
      <w:r w:rsidRPr="0091792B">
        <w:rPr>
          <w:rFonts w:ascii="Calibri" w:eastAsia="SimSun" w:hAnsi="Calibri" w:cs="Calibri"/>
          <w:kern w:val="2"/>
          <w:lang w:val="en-US"/>
        </w:rPr>
        <w:t>Engidaw</w:t>
      </w:r>
      <w:proofErr w:type="spellEnd"/>
      <w:r w:rsidRPr="0091792B">
        <w:rPr>
          <w:rFonts w:ascii="Calibri" w:eastAsia="SimSun" w:hAnsi="Calibri" w:cs="Calibri"/>
          <w:kern w:val="2"/>
          <w:lang w:val="en-US"/>
        </w:rPr>
        <w:t>, “Youth and Unemployment in Ethiopia”, Journal of Organizational Culture Communications and Conflict, Volume 25, Issue 1, 2021, p. 1.</w:t>
      </w:r>
    </w:p>
    <w:p w14:paraId="4EE09605"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Jules Leichter, “Macroeconomic Update Ethiopia,” IMF Resident Representative, Ethiopia, January 2022.</w:t>
      </w:r>
    </w:p>
    <w:p w14:paraId="18E824FF" w14:textId="77777777" w:rsidR="0091792B" w:rsidRPr="0091792B" w:rsidRDefault="0091792B" w:rsidP="0091792B">
      <w:pPr>
        <w:numPr>
          <w:ilvl w:val="0"/>
          <w:numId w:val="18"/>
        </w:numPr>
        <w:spacing w:before="100" w:beforeAutospacing="1" w:after="0" w:line="276" w:lineRule="auto"/>
        <w:contextualSpacing/>
        <w:jc w:val="both"/>
        <w:rPr>
          <w:rFonts w:ascii="Calibri" w:eastAsia="SimSun" w:hAnsi="Calibri" w:cstheme="minorHAnsi"/>
          <w:kern w:val="2"/>
          <w:sz w:val="21"/>
          <w:szCs w:val="21"/>
          <w:lang w:val="en-US"/>
        </w:rPr>
      </w:pPr>
      <w:r w:rsidRPr="0091792B">
        <w:rPr>
          <w:rFonts w:ascii="Calibri" w:eastAsia="SimSun" w:hAnsi="Calibri" w:cstheme="minorHAnsi"/>
          <w:kern w:val="2"/>
          <w:sz w:val="21"/>
          <w:szCs w:val="21"/>
          <w:lang w:val="en-US"/>
        </w:rPr>
        <w:t xml:space="preserve">Emezat H. Mengesha and Lealem </w:t>
      </w:r>
      <w:proofErr w:type="spellStart"/>
      <w:r w:rsidRPr="0091792B">
        <w:rPr>
          <w:rFonts w:ascii="Calibri" w:eastAsia="SimSun" w:hAnsi="Calibri" w:cstheme="minorHAnsi"/>
          <w:kern w:val="2"/>
          <w:sz w:val="21"/>
          <w:szCs w:val="21"/>
          <w:lang w:val="en-US"/>
        </w:rPr>
        <w:t>Mersha</w:t>
      </w:r>
      <w:proofErr w:type="spellEnd"/>
      <w:r w:rsidRPr="0091792B">
        <w:rPr>
          <w:rFonts w:ascii="Calibri" w:eastAsia="SimSun" w:hAnsi="Calibri" w:cstheme="minorHAnsi"/>
          <w:kern w:val="2"/>
          <w:sz w:val="21"/>
          <w:szCs w:val="21"/>
          <w:lang w:val="en-US"/>
        </w:rPr>
        <w:t>. Gender Analysis for the Governance and Democratic Participation Program (GDPP) Final Report (Undated)</w:t>
      </w:r>
    </w:p>
    <w:p w14:paraId="1CE002B0"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proofErr w:type="spellStart"/>
      <w:r w:rsidRPr="0091792B">
        <w:rPr>
          <w:rFonts w:eastAsia="SimSun" w:cstheme="minorHAnsi"/>
          <w:color w:val="00000A"/>
          <w:kern w:val="2"/>
          <w:lang w:val="en-US" w:eastAsia="zh-CN" w:bidi="hi-IN"/>
        </w:rPr>
        <w:t>Nemata</w:t>
      </w:r>
      <w:proofErr w:type="spellEnd"/>
      <w:r w:rsidRPr="0091792B">
        <w:rPr>
          <w:rFonts w:eastAsia="SimSun" w:cstheme="minorHAnsi"/>
          <w:color w:val="00000A"/>
          <w:kern w:val="2"/>
          <w:lang w:val="en-US" w:eastAsia="zh-CN" w:bidi="hi-IN"/>
        </w:rPr>
        <w:t xml:space="preserve"> </w:t>
      </w:r>
      <w:proofErr w:type="spellStart"/>
      <w:r w:rsidRPr="0091792B">
        <w:rPr>
          <w:rFonts w:eastAsia="SimSun" w:cstheme="minorHAnsi"/>
          <w:color w:val="00000A"/>
          <w:kern w:val="2"/>
          <w:lang w:val="en-US" w:eastAsia="zh-CN" w:bidi="hi-IN"/>
        </w:rPr>
        <w:t>Majeks</w:t>
      </w:r>
      <w:proofErr w:type="spellEnd"/>
      <w:r w:rsidRPr="0091792B">
        <w:rPr>
          <w:rFonts w:eastAsia="SimSun" w:cstheme="minorHAnsi"/>
          <w:color w:val="00000A"/>
          <w:kern w:val="2"/>
          <w:lang w:val="en-US" w:eastAsia="zh-CN" w:bidi="hi-IN"/>
        </w:rPr>
        <w:t>-Walker and Blen Fitsum, “Manual for Trainers Gender-Responsive Election Observation and Monitoring,” March 2021.</w:t>
      </w:r>
    </w:p>
    <w:p w14:paraId="58D3C851"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 “Webinar on Women’s and Political Participation During COVID-19 in Ethiopia,” Outcome document, 12 </w:t>
      </w:r>
      <w:proofErr w:type="gramStart"/>
      <w:r w:rsidRPr="0091792B">
        <w:rPr>
          <w:rFonts w:eastAsia="SimSun" w:cstheme="minorHAnsi"/>
          <w:color w:val="00000A"/>
          <w:kern w:val="2"/>
          <w:lang w:val="en-US" w:eastAsia="zh-CN" w:bidi="hi-IN"/>
        </w:rPr>
        <w:t>October,</w:t>
      </w:r>
      <w:proofErr w:type="gramEnd"/>
      <w:r w:rsidRPr="0091792B">
        <w:rPr>
          <w:rFonts w:eastAsia="SimSun" w:cstheme="minorHAnsi"/>
          <w:color w:val="00000A"/>
          <w:kern w:val="2"/>
          <w:lang w:val="en-US" w:eastAsia="zh-CN" w:bidi="hi-IN"/>
        </w:rPr>
        <w:t xml:space="preserve"> 2020.</w:t>
      </w:r>
    </w:p>
    <w:p w14:paraId="4FB8B5F9"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 xml:space="preserve">Pappa, S., A. </w:t>
      </w:r>
      <w:proofErr w:type="spellStart"/>
      <w:r w:rsidRPr="0091792B">
        <w:rPr>
          <w:rFonts w:eastAsia="SimSun" w:cstheme="minorHAnsi"/>
          <w:color w:val="00000A"/>
          <w:kern w:val="2"/>
          <w:lang w:val="en-US" w:eastAsia="zh-CN" w:bidi="hi-IN"/>
        </w:rPr>
        <w:t>Muralidharan</w:t>
      </w:r>
      <w:proofErr w:type="spellEnd"/>
      <w:r w:rsidRPr="0091792B">
        <w:rPr>
          <w:rFonts w:eastAsia="SimSun" w:cstheme="minorHAnsi"/>
          <w:color w:val="00000A"/>
          <w:kern w:val="2"/>
          <w:lang w:val="en-US" w:eastAsia="zh-CN" w:bidi="hi-IN"/>
        </w:rPr>
        <w:t xml:space="preserve">, R. </w:t>
      </w:r>
      <w:proofErr w:type="spellStart"/>
      <w:r w:rsidRPr="0091792B">
        <w:rPr>
          <w:rFonts w:eastAsia="SimSun" w:cstheme="minorHAnsi"/>
          <w:color w:val="00000A"/>
          <w:kern w:val="2"/>
          <w:lang w:val="en-US" w:eastAsia="zh-CN" w:bidi="hi-IN"/>
        </w:rPr>
        <w:t>Dayal</w:t>
      </w:r>
      <w:proofErr w:type="spellEnd"/>
      <w:r w:rsidRPr="0091792B">
        <w:rPr>
          <w:rFonts w:eastAsia="SimSun" w:cstheme="minorHAnsi"/>
          <w:color w:val="00000A"/>
          <w:kern w:val="2"/>
          <w:lang w:val="en-US" w:eastAsia="zh-CN" w:bidi="hi-IN"/>
        </w:rPr>
        <w:t>, and M. Das. (August 2015). Promoting Gender Equality in India: Three Approaches to Scale-up. Washington, DC: Futures Group: Health Policy Project</w:t>
      </w:r>
    </w:p>
    <w:p w14:paraId="7C29F688" w14:textId="77777777" w:rsidR="0091792B" w:rsidRPr="0091792B" w:rsidRDefault="0091792B" w:rsidP="0091792B">
      <w:pPr>
        <w:numPr>
          <w:ilvl w:val="0"/>
          <w:numId w:val="18"/>
        </w:numPr>
        <w:spacing w:line="240" w:lineRule="auto"/>
        <w:contextualSpacing/>
        <w:rPr>
          <w:rFonts w:eastAsia="SimSun" w:cstheme="minorHAnsi"/>
          <w:color w:val="00000A"/>
          <w:kern w:val="2"/>
          <w:lang w:val="en-US" w:eastAsia="zh-CN" w:bidi="hi-IN"/>
        </w:rPr>
      </w:pPr>
      <w:r w:rsidRPr="0091792B">
        <w:rPr>
          <w:rFonts w:eastAsia="SimSun" w:cstheme="minorHAnsi"/>
          <w:color w:val="00000A"/>
          <w:kern w:val="2"/>
          <w:lang w:val="en-US" w:eastAsia="zh-CN" w:bidi="hi-IN"/>
        </w:rPr>
        <w:t>“Gender and Gender Mainstreaming, Training for Secretariat of the House of People’s Representatives,” Workshop Report: August 26-31, 2019.</w:t>
      </w:r>
    </w:p>
    <w:p w14:paraId="70E3C0E1" w14:textId="77777777" w:rsidR="0091792B" w:rsidRPr="0091792B" w:rsidRDefault="0091792B" w:rsidP="0091792B">
      <w:pPr>
        <w:numPr>
          <w:ilvl w:val="0"/>
          <w:numId w:val="18"/>
        </w:numPr>
        <w:spacing w:after="0" w:line="240" w:lineRule="auto"/>
        <w:contextualSpacing/>
        <w:jc w:val="both"/>
        <w:rPr>
          <w:rFonts w:ascii="Calibri" w:eastAsia="SimSun" w:hAnsi="Calibri" w:cstheme="minorHAnsi"/>
          <w:bCs/>
          <w:kern w:val="2"/>
          <w:sz w:val="21"/>
          <w:szCs w:val="21"/>
          <w:lang w:val="en-GB"/>
        </w:rPr>
      </w:pPr>
      <w:r w:rsidRPr="0091792B">
        <w:rPr>
          <w:rFonts w:ascii="Calibri" w:eastAsia="SimSun" w:hAnsi="Calibri" w:cstheme="minorHAnsi"/>
          <w:bCs/>
          <w:kern w:val="2"/>
          <w:sz w:val="21"/>
          <w:szCs w:val="21"/>
          <w:lang w:val="en-GB"/>
        </w:rPr>
        <w:t>Austrian Development Corporation. “Ethiopia Country Strategy, 2019-2025.”</w:t>
      </w:r>
    </w:p>
    <w:p w14:paraId="6C6B7325" w14:textId="77777777" w:rsidR="0091792B" w:rsidRPr="0091792B" w:rsidRDefault="0091792B" w:rsidP="0091792B">
      <w:pPr>
        <w:numPr>
          <w:ilvl w:val="0"/>
          <w:numId w:val="18"/>
        </w:numPr>
        <w:spacing w:after="0" w:line="240" w:lineRule="auto"/>
        <w:contextualSpacing/>
        <w:jc w:val="both"/>
        <w:rPr>
          <w:rFonts w:ascii="Calibri" w:eastAsia="SimSun" w:hAnsi="Calibri" w:cstheme="minorHAnsi"/>
          <w:bCs/>
          <w:kern w:val="2"/>
          <w:sz w:val="21"/>
          <w:szCs w:val="21"/>
          <w:lang w:val="en-GB"/>
        </w:rPr>
      </w:pPr>
      <w:r w:rsidRPr="0091792B">
        <w:rPr>
          <w:rFonts w:ascii="Calibri" w:eastAsia="SimSun" w:hAnsi="Calibri" w:cstheme="minorHAnsi"/>
          <w:bCs/>
          <w:kern w:val="2"/>
          <w:sz w:val="21"/>
          <w:szCs w:val="21"/>
          <w:lang w:val="en-GB"/>
        </w:rPr>
        <w:t>DANIDA. “Danish Country Programme for Ethiopia, 2018-2022.”</w:t>
      </w:r>
    </w:p>
    <w:p w14:paraId="4BE3713F" w14:textId="49AB127C" w:rsidR="00C55E36" w:rsidRPr="00E70BD0" w:rsidRDefault="00C55E36" w:rsidP="00C55E36">
      <w:pPr>
        <w:outlineLvl w:val="0"/>
        <w:rPr>
          <w:rFonts w:eastAsia="Times New Roman" w:cstheme="minorHAnsi"/>
          <w:b/>
          <w:lang w:eastAsia="en-CA"/>
        </w:rPr>
      </w:pPr>
    </w:p>
    <w:sectPr w:rsidR="00C55E36" w:rsidRPr="00E70BD0" w:rsidSect="00E168A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C747" w14:textId="77777777" w:rsidR="00AA40BC" w:rsidRDefault="00AA40BC" w:rsidP="00BD096C">
      <w:pPr>
        <w:spacing w:after="0" w:line="240" w:lineRule="auto"/>
      </w:pPr>
      <w:r>
        <w:separator/>
      </w:r>
    </w:p>
  </w:endnote>
  <w:endnote w:type="continuationSeparator" w:id="0">
    <w:p w14:paraId="11323E25" w14:textId="77777777" w:rsidR="00AA40BC" w:rsidRDefault="00AA40BC" w:rsidP="00BD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eiryo">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F9F3" w14:textId="77777777" w:rsidR="00E7275A" w:rsidRDefault="00E7275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686066"/>
      <w:docPartObj>
        <w:docPartGallery w:val="Page Numbers (Bottom of Page)"/>
        <w:docPartUnique/>
      </w:docPartObj>
    </w:sdtPr>
    <w:sdtEndPr>
      <w:rPr>
        <w:noProof/>
      </w:rPr>
    </w:sdtEndPr>
    <w:sdtContent>
      <w:p w14:paraId="5C7454F6" w14:textId="17384973" w:rsidR="00E7275A" w:rsidRDefault="00E7275A">
        <w:pPr>
          <w:pStyle w:val="Footer"/>
          <w:jc w:val="right"/>
        </w:pPr>
        <w:r>
          <w:fldChar w:fldCharType="begin"/>
        </w:r>
        <w:r>
          <w:instrText xml:space="preserve"> PAGE   \* MERGEFORMAT </w:instrText>
        </w:r>
        <w:r>
          <w:fldChar w:fldCharType="separate"/>
        </w:r>
        <w:r w:rsidR="00C4203C">
          <w:rPr>
            <w:noProof/>
          </w:rPr>
          <w:t>vi</w:t>
        </w:r>
        <w:r>
          <w:rPr>
            <w:noProof/>
          </w:rPr>
          <w:fldChar w:fldCharType="end"/>
        </w:r>
      </w:p>
    </w:sdtContent>
  </w:sdt>
  <w:p w14:paraId="75EC46AB" w14:textId="77777777" w:rsidR="00E7275A" w:rsidRDefault="00E72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727202"/>
      <w:docPartObj>
        <w:docPartGallery w:val="Page Numbers (Bottom of Page)"/>
        <w:docPartUnique/>
      </w:docPartObj>
    </w:sdtPr>
    <w:sdtEndPr>
      <w:rPr>
        <w:noProof/>
      </w:rPr>
    </w:sdtEndPr>
    <w:sdtContent>
      <w:p w14:paraId="10488857" w14:textId="1CAD9C31" w:rsidR="00E7275A" w:rsidRDefault="00E7275A">
        <w:pPr>
          <w:pStyle w:val="Footer"/>
          <w:jc w:val="right"/>
        </w:pPr>
        <w:r>
          <w:fldChar w:fldCharType="begin"/>
        </w:r>
        <w:r>
          <w:instrText xml:space="preserve"> PAGE   \* MERGEFORMAT </w:instrText>
        </w:r>
        <w:r>
          <w:fldChar w:fldCharType="separate"/>
        </w:r>
        <w:r w:rsidR="00C4203C">
          <w:rPr>
            <w:noProof/>
          </w:rPr>
          <w:t>35</w:t>
        </w:r>
        <w:r>
          <w:rPr>
            <w:noProof/>
          </w:rPr>
          <w:fldChar w:fldCharType="end"/>
        </w:r>
      </w:p>
    </w:sdtContent>
  </w:sdt>
  <w:p w14:paraId="49A3260E" w14:textId="77777777" w:rsidR="00E7275A" w:rsidRDefault="00E72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D602" w14:textId="77777777" w:rsidR="00AA40BC" w:rsidRDefault="00AA40BC" w:rsidP="00BD096C">
      <w:pPr>
        <w:spacing w:after="0" w:line="240" w:lineRule="auto"/>
      </w:pPr>
      <w:r>
        <w:separator/>
      </w:r>
    </w:p>
  </w:footnote>
  <w:footnote w:type="continuationSeparator" w:id="0">
    <w:p w14:paraId="5FBFBF96" w14:textId="77777777" w:rsidR="00AA40BC" w:rsidRDefault="00AA40BC" w:rsidP="00BD096C">
      <w:pPr>
        <w:spacing w:after="0" w:line="240" w:lineRule="auto"/>
      </w:pPr>
      <w:r>
        <w:continuationSeparator/>
      </w:r>
    </w:p>
  </w:footnote>
  <w:footnote w:id="1">
    <w:p w14:paraId="3A651F80" w14:textId="77777777" w:rsidR="00E7275A" w:rsidRPr="004F27CE" w:rsidRDefault="00E7275A" w:rsidP="00C12C91">
      <w:pPr>
        <w:pStyle w:val="FootnoteText"/>
        <w:rPr>
          <w:sz w:val="16"/>
          <w:szCs w:val="16"/>
          <w:lang w:val="en-US"/>
        </w:rPr>
      </w:pPr>
      <w:r>
        <w:rPr>
          <w:rStyle w:val="FootnoteReference"/>
        </w:rPr>
        <w:footnoteRef/>
      </w:r>
      <w:r>
        <w:t xml:space="preserve"> </w:t>
      </w:r>
      <w:r w:rsidRPr="004F27CE">
        <w:rPr>
          <w:sz w:val="16"/>
          <w:szCs w:val="16"/>
          <w:lang w:val="en-US"/>
        </w:rPr>
        <w:t>Programme Document, June 2017, p.12.</w:t>
      </w:r>
    </w:p>
  </w:footnote>
  <w:footnote w:id="2">
    <w:p w14:paraId="54765694" w14:textId="77777777" w:rsidR="00E7275A" w:rsidRPr="004F27CE" w:rsidRDefault="00E7275A" w:rsidP="00C12C91">
      <w:pPr>
        <w:pStyle w:val="FootnoteText"/>
        <w:rPr>
          <w:sz w:val="16"/>
          <w:szCs w:val="16"/>
          <w:lang w:val="en-US"/>
        </w:rPr>
      </w:pPr>
      <w:r w:rsidRPr="004F27CE">
        <w:rPr>
          <w:rStyle w:val="FootnoteReference"/>
          <w:sz w:val="16"/>
          <w:szCs w:val="16"/>
        </w:rPr>
        <w:footnoteRef/>
      </w:r>
      <w:r w:rsidRPr="004F27CE">
        <w:rPr>
          <w:sz w:val="16"/>
          <w:szCs w:val="16"/>
        </w:rPr>
        <w:t xml:space="preserve"> </w:t>
      </w:r>
      <w:r w:rsidRPr="004F27CE">
        <w:rPr>
          <w:sz w:val="16"/>
          <w:szCs w:val="16"/>
          <w:lang w:val="en-US"/>
        </w:rPr>
        <w:t>Ibid.</w:t>
      </w:r>
    </w:p>
  </w:footnote>
  <w:footnote w:id="3">
    <w:p w14:paraId="5AE446E1" w14:textId="77777777" w:rsidR="00E7275A" w:rsidRPr="004F27CE" w:rsidRDefault="00E7275A" w:rsidP="00C12C91">
      <w:pPr>
        <w:pStyle w:val="FootnoteText"/>
        <w:rPr>
          <w:sz w:val="16"/>
          <w:szCs w:val="16"/>
          <w:lang w:val="en-US"/>
        </w:rPr>
      </w:pPr>
      <w:r w:rsidRPr="004F27CE">
        <w:rPr>
          <w:rStyle w:val="FootnoteReference"/>
          <w:sz w:val="16"/>
          <w:szCs w:val="16"/>
        </w:rPr>
        <w:footnoteRef/>
      </w:r>
      <w:r w:rsidRPr="004F27CE">
        <w:rPr>
          <w:sz w:val="16"/>
          <w:szCs w:val="16"/>
        </w:rPr>
        <w:t xml:space="preserve"> </w:t>
      </w:r>
      <w:r w:rsidRPr="004F27CE">
        <w:rPr>
          <w:sz w:val="16"/>
          <w:szCs w:val="16"/>
          <w:lang w:val="en-US"/>
        </w:rPr>
        <w:t>The GDPP had been granted a 6-month extension, to June 2022, at the time of the evaluation.</w:t>
      </w:r>
    </w:p>
  </w:footnote>
  <w:footnote w:id="4">
    <w:p w14:paraId="027FFAC9" w14:textId="77777777" w:rsidR="00E7275A" w:rsidRPr="004F27CE" w:rsidRDefault="00E7275A" w:rsidP="00C12C91">
      <w:pPr>
        <w:pStyle w:val="FootnoteText"/>
        <w:rPr>
          <w:sz w:val="16"/>
          <w:szCs w:val="16"/>
          <w:lang w:val="en-US"/>
        </w:rPr>
      </w:pPr>
      <w:r>
        <w:rPr>
          <w:rStyle w:val="FootnoteReference"/>
        </w:rPr>
        <w:footnoteRef/>
      </w:r>
      <w:r>
        <w:t xml:space="preserve"> </w:t>
      </w:r>
      <w:r w:rsidRPr="004F27CE">
        <w:rPr>
          <w:sz w:val="16"/>
          <w:szCs w:val="16"/>
          <w:lang w:val="en-US"/>
        </w:rPr>
        <w:t>ToR, p.5.</w:t>
      </w:r>
    </w:p>
  </w:footnote>
  <w:footnote w:id="5">
    <w:p w14:paraId="02C4AAB8" w14:textId="77777777" w:rsidR="00E7275A" w:rsidRPr="004F27CE" w:rsidRDefault="00E7275A" w:rsidP="00C12C91">
      <w:pPr>
        <w:spacing w:after="0" w:line="240" w:lineRule="auto"/>
        <w:jc w:val="both"/>
        <w:rPr>
          <w:sz w:val="16"/>
          <w:szCs w:val="16"/>
          <w:lang w:val="en-US"/>
        </w:rPr>
      </w:pPr>
      <w:r w:rsidRPr="004F27CE">
        <w:rPr>
          <w:rStyle w:val="FootnoteReference"/>
          <w:sz w:val="16"/>
          <w:szCs w:val="16"/>
        </w:rPr>
        <w:footnoteRef/>
      </w:r>
      <w:r w:rsidRPr="004F27CE">
        <w:rPr>
          <w:sz w:val="16"/>
          <w:szCs w:val="16"/>
        </w:rPr>
        <w:t xml:space="preserve"> </w:t>
      </w:r>
      <w:r w:rsidRPr="004F27CE">
        <w:rPr>
          <w:rFonts w:cstheme="minorHAnsi"/>
          <w:sz w:val="16"/>
          <w:szCs w:val="16"/>
          <w:shd w:val="clear" w:color="auto" w:fill="FFFFFF"/>
        </w:rPr>
        <w:t>In September 2015, UN member states adopted the 2030 Agenda for Sustainable Development, a 15-year global framework centred on an ambitious set of 17 Sustainable Development Goals (SDGs), 169 targets and over 230 indicators. The 2030 Agenda envisions a secure world free of poverty and hunger, with full and productive employment, access to quality education and universal health coverage, the achievement of gender equality and the empowerment of all women and girls, and an end to environmental degradation.</w:t>
      </w:r>
    </w:p>
  </w:footnote>
  <w:footnote w:id="6">
    <w:p w14:paraId="4DD60314" w14:textId="77777777" w:rsidR="00E7275A" w:rsidRPr="004F27CE" w:rsidRDefault="00E7275A" w:rsidP="00C12C91">
      <w:pPr>
        <w:pStyle w:val="FootnoteText"/>
        <w:jc w:val="both"/>
        <w:rPr>
          <w:sz w:val="16"/>
          <w:szCs w:val="16"/>
          <w:lang w:val="en-US"/>
        </w:rPr>
      </w:pPr>
      <w:r>
        <w:rPr>
          <w:rStyle w:val="FootnoteReference"/>
        </w:rPr>
        <w:footnoteRef/>
      </w:r>
      <w:r>
        <w:t xml:space="preserve"> </w:t>
      </w:r>
      <w:r w:rsidRPr="004F27CE">
        <w:rPr>
          <w:sz w:val="16"/>
          <w:szCs w:val="16"/>
          <w:lang w:val="en-US"/>
        </w:rPr>
        <w:t xml:space="preserve">The FGDs and KIIs were selected to provide comprehensive coverage of GDPP activities, including gender, institutional memory (related to the design of the programme), and the relationship to the IPs in terms of their collaboration with important </w:t>
      </w:r>
      <w:proofErr w:type="spellStart"/>
      <w:r w:rsidRPr="004F27CE">
        <w:rPr>
          <w:sz w:val="16"/>
          <w:szCs w:val="16"/>
          <w:lang w:val="en-US"/>
        </w:rPr>
        <w:t>actors</w:t>
      </w:r>
      <w:proofErr w:type="spellEnd"/>
      <w:r w:rsidRPr="004F27CE">
        <w:rPr>
          <w:sz w:val="16"/>
          <w:szCs w:val="16"/>
          <w:lang w:val="en-US"/>
        </w:rPr>
        <w:t xml:space="preserve"> such as journalists and CSOs. All IPs were represented and the activities in the regions studied were based on the scope of GDPP outreach and active engagement as agreed with the UNDP/GDPP experts assigned to support the evaluation.</w:t>
      </w:r>
    </w:p>
  </w:footnote>
  <w:footnote w:id="7">
    <w:p w14:paraId="2640E384" w14:textId="77777777" w:rsidR="00E7275A" w:rsidRPr="004F27CE" w:rsidRDefault="00E7275A" w:rsidP="00C12C91">
      <w:pPr>
        <w:pStyle w:val="FootnoteText"/>
        <w:rPr>
          <w:sz w:val="16"/>
          <w:szCs w:val="16"/>
          <w:lang w:val="en-US"/>
        </w:rPr>
      </w:pPr>
      <w:r>
        <w:rPr>
          <w:rStyle w:val="FootnoteReference"/>
        </w:rPr>
        <w:footnoteRef/>
      </w:r>
      <w:r>
        <w:t xml:space="preserve"> </w:t>
      </w:r>
      <w:r w:rsidRPr="004F27CE">
        <w:rPr>
          <w:sz w:val="16"/>
          <w:szCs w:val="16"/>
        </w:rPr>
        <w:t>UN Evaluation Group (2008). UNEG Ethical Guidelines for Evaluation.</w:t>
      </w:r>
    </w:p>
  </w:footnote>
  <w:footnote w:id="8">
    <w:p w14:paraId="2264F534" w14:textId="77777777" w:rsidR="00E7275A" w:rsidRPr="004F27CE" w:rsidRDefault="00E7275A" w:rsidP="00C12C91">
      <w:pPr>
        <w:spacing w:after="0" w:line="240" w:lineRule="auto"/>
        <w:jc w:val="both"/>
        <w:rPr>
          <w:sz w:val="16"/>
          <w:szCs w:val="16"/>
          <w:lang w:val="en-US"/>
        </w:rPr>
      </w:pPr>
      <w:r w:rsidRPr="004F27CE">
        <w:rPr>
          <w:rStyle w:val="FootnoteReference"/>
          <w:sz w:val="16"/>
          <w:szCs w:val="16"/>
        </w:rPr>
        <w:footnoteRef/>
      </w:r>
      <w:r w:rsidRPr="004F27CE">
        <w:rPr>
          <w:sz w:val="16"/>
          <w:szCs w:val="16"/>
        </w:rPr>
        <w:t xml:space="preserve"> The MTR noted that the major gap in the programme design lies in its weak monitoring and evaluation framework that is anchored on an incomplete results framework. The document used as a results framework does not have indicators and besides, the baseline values for all indicators are not indicated. “Governance and Democratic Participation Programme (GDPP) Ethiopia: Mid-term review, February - July 2020,” p. 74. Since the MTR, some joint monitoring visits with donors to IPs were undertaken but the COVID-19 pandemic effectively ended these.</w:t>
      </w:r>
    </w:p>
  </w:footnote>
  <w:footnote w:id="9">
    <w:p w14:paraId="161F92DA" w14:textId="77777777" w:rsidR="00E7275A" w:rsidRPr="004F27CE" w:rsidRDefault="00E7275A" w:rsidP="00C12C91">
      <w:pPr>
        <w:pStyle w:val="FootnoteText"/>
        <w:jc w:val="both"/>
        <w:rPr>
          <w:sz w:val="16"/>
          <w:szCs w:val="16"/>
          <w:lang w:val="en-US"/>
        </w:rPr>
      </w:pPr>
      <w:r>
        <w:rPr>
          <w:rStyle w:val="FootnoteReference"/>
        </w:rPr>
        <w:footnoteRef/>
      </w:r>
      <w:r>
        <w:t xml:space="preserve"> </w:t>
      </w:r>
      <w:r>
        <w:rPr>
          <w:rFonts w:eastAsia="Times New Roman" w:cstheme="minorHAnsi"/>
          <w:lang w:val="en-GB" w:eastAsia="en-CA"/>
        </w:rPr>
        <w:t>For example, a review of the Ethiopian National Volunteers Community Service Programme (under the Ministry of Peace) highlighted a couple of instances where the IP claimed that certain activities had been completed but “</w:t>
      </w:r>
      <w:r w:rsidRPr="004F27CE">
        <w:rPr>
          <w:rFonts w:eastAsia="Times New Roman" w:cstheme="minorHAnsi"/>
          <w:sz w:val="16"/>
          <w:szCs w:val="16"/>
          <w:lang w:val="en-GB" w:eastAsia="en-CA"/>
        </w:rPr>
        <w:t>detailed information was not shared with UNDP.” In another instance, when the NEBE initiative was monitored, the staff “supposed to be in front line in the implementation and reporting of the programme were not appeared (sic) for the joint monitoring of the programme’s implementation.”</w:t>
      </w:r>
    </w:p>
  </w:footnote>
  <w:footnote w:id="10">
    <w:p w14:paraId="54516932" w14:textId="77777777" w:rsidR="00E7275A" w:rsidRPr="00FA242D" w:rsidRDefault="00E7275A" w:rsidP="00C12C91">
      <w:pPr>
        <w:pStyle w:val="FootnoteText"/>
        <w:rPr>
          <w:lang w:val="en-US"/>
        </w:rPr>
      </w:pPr>
      <w:r>
        <w:rPr>
          <w:rStyle w:val="FootnoteReference"/>
        </w:rPr>
        <w:footnoteRef/>
      </w:r>
      <w:r>
        <w:t xml:space="preserve"> The World Bank in Ethiopia, </w:t>
      </w:r>
      <w:r>
        <w:rPr>
          <w:lang w:val="en-US"/>
        </w:rPr>
        <w:t>October 13, 2021</w:t>
      </w:r>
    </w:p>
  </w:footnote>
  <w:footnote w:id="11">
    <w:p w14:paraId="523D7F40" w14:textId="77777777" w:rsidR="00E7275A" w:rsidRPr="004F27CE" w:rsidRDefault="00E7275A" w:rsidP="00C12C91">
      <w:pPr>
        <w:pStyle w:val="FootnoteText"/>
        <w:rPr>
          <w:sz w:val="16"/>
          <w:szCs w:val="16"/>
          <w:lang w:val="en-US"/>
        </w:rPr>
      </w:pPr>
      <w:r>
        <w:rPr>
          <w:rStyle w:val="FootnoteReference"/>
        </w:rPr>
        <w:footnoteRef/>
      </w:r>
      <w:r>
        <w:t xml:space="preserve"> </w:t>
      </w:r>
      <w:r w:rsidRPr="004F27CE">
        <w:rPr>
          <w:sz w:val="16"/>
          <w:szCs w:val="16"/>
          <w:lang w:val="en-US"/>
        </w:rPr>
        <w:t>https://countrymeters.info/en/Ethiopia#age_structure</w:t>
      </w:r>
    </w:p>
  </w:footnote>
  <w:footnote w:id="12">
    <w:p w14:paraId="1C479D28" w14:textId="77777777" w:rsidR="00E7275A" w:rsidRPr="004F27CE" w:rsidRDefault="00E7275A" w:rsidP="00C12C91">
      <w:pPr>
        <w:pStyle w:val="FootnoteText"/>
        <w:jc w:val="both"/>
        <w:rPr>
          <w:sz w:val="16"/>
          <w:szCs w:val="16"/>
          <w:lang w:val="en-US"/>
        </w:rPr>
      </w:pPr>
      <w:r w:rsidRPr="004F27CE">
        <w:rPr>
          <w:rStyle w:val="FootnoteReference"/>
          <w:sz w:val="16"/>
          <w:szCs w:val="16"/>
        </w:rPr>
        <w:footnoteRef/>
      </w:r>
      <w:r w:rsidRPr="004F27CE">
        <w:rPr>
          <w:sz w:val="16"/>
          <w:szCs w:val="16"/>
        </w:rPr>
        <w:t xml:space="preserve"> </w:t>
      </w:r>
      <w:proofErr w:type="spellStart"/>
      <w:r w:rsidRPr="004F27CE">
        <w:rPr>
          <w:sz w:val="16"/>
          <w:szCs w:val="16"/>
        </w:rPr>
        <w:t>Abriham</w:t>
      </w:r>
      <w:proofErr w:type="spellEnd"/>
      <w:r w:rsidRPr="004F27CE">
        <w:rPr>
          <w:sz w:val="16"/>
          <w:szCs w:val="16"/>
        </w:rPr>
        <w:t xml:space="preserve"> </w:t>
      </w:r>
      <w:proofErr w:type="spellStart"/>
      <w:r w:rsidRPr="004F27CE">
        <w:rPr>
          <w:sz w:val="16"/>
          <w:szCs w:val="16"/>
        </w:rPr>
        <w:t>Ebabu</w:t>
      </w:r>
      <w:proofErr w:type="spellEnd"/>
      <w:r w:rsidRPr="004F27CE">
        <w:rPr>
          <w:sz w:val="16"/>
          <w:szCs w:val="16"/>
        </w:rPr>
        <w:t xml:space="preserve"> </w:t>
      </w:r>
      <w:proofErr w:type="spellStart"/>
      <w:r w:rsidRPr="004F27CE">
        <w:rPr>
          <w:sz w:val="16"/>
          <w:szCs w:val="16"/>
        </w:rPr>
        <w:t>Engidaw</w:t>
      </w:r>
      <w:proofErr w:type="spellEnd"/>
      <w:r w:rsidRPr="004F27CE">
        <w:rPr>
          <w:sz w:val="16"/>
          <w:szCs w:val="16"/>
        </w:rPr>
        <w:t>, “Youth and Unemployment in Ethiopia”, Journal of Organizational Culture Communications and Conflict, Volume 25, Issue 1, 2021, p. 1.</w:t>
      </w:r>
    </w:p>
  </w:footnote>
  <w:footnote w:id="13">
    <w:p w14:paraId="0264D862" w14:textId="77777777" w:rsidR="00E7275A" w:rsidRPr="004F27CE" w:rsidRDefault="00E7275A" w:rsidP="00C12C91">
      <w:pPr>
        <w:pStyle w:val="FootnoteText"/>
        <w:rPr>
          <w:sz w:val="16"/>
          <w:szCs w:val="16"/>
          <w:lang w:val="en-US"/>
        </w:rPr>
      </w:pPr>
      <w:r w:rsidRPr="004F27CE">
        <w:rPr>
          <w:rStyle w:val="FootnoteReference"/>
          <w:sz w:val="16"/>
          <w:szCs w:val="16"/>
        </w:rPr>
        <w:footnoteRef/>
      </w:r>
      <w:r w:rsidRPr="004F27CE">
        <w:rPr>
          <w:sz w:val="16"/>
          <w:szCs w:val="16"/>
        </w:rPr>
        <w:t xml:space="preserve"> The World Bank in Ethiopia, </w:t>
      </w:r>
      <w:r w:rsidRPr="004F27CE">
        <w:rPr>
          <w:sz w:val="16"/>
          <w:szCs w:val="16"/>
          <w:lang w:val="en-US"/>
        </w:rPr>
        <w:t>October 13, 2021.</w:t>
      </w:r>
    </w:p>
  </w:footnote>
  <w:footnote w:id="14">
    <w:p w14:paraId="71CDDAB3" w14:textId="77777777" w:rsidR="00E7275A" w:rsidRPr="004F27CE" w:rsidRDefault="00E7275A" w:rsidP="00C12C91">
      <w:pPr>
        <w:pStyle w:val="FootnoteText"/>
        <w:jc w:val="both"/>
        <w:rPr>
          <w:rFonts w:cstheme="minorHAnsi"/>
          <w:bCs/>
          <w:kern w:val="14"/>
          <w:sz w:val="16"/>
          <w:szCs w:val="16"/>
          <w:lang w:val="en-AU"/>
        </w:rPr>
      </w:pPr>
      <w:r w:rsidRPr="004F27CE">
        <w:rPr>
          <w:rStyle w:val="FootnoteReference"/>
          <w:sz w:val="16"/>
          <w:szCs w:val="16"/>
        </w:rPr>
        <w:footnoteRef/>
      </w:r>
      <w:r w:rsidRPr="004F27CE">
        <w:rPr>
          <w:sz w:val="16"/>
          <w:szCs w:val="16"/>
        </w:rPr>
        <w:t xml:space="preserve"> </w:t>
      </w:r>
      <w:proofErr w:type="spellStart"/>
      <w:r w:rsidRPr="004F27CE">
        <w:rPr>
          <w:rFonts w:cstheme="minorHAnsi"/>
          <w:bCs/>
          <w:kern w:val="14"/>
          <w:sz w:val="16"/>
          <w:szCs w:val="16"/>
          <w:lang w:val="en-AU"/>
        </w:rPr>
        <w:t>Mokaddem</w:t>
      </w:r>
      <w:proofErr w:type="spellEnd"/>
      <w:r w:rsidRPr="004F27CE">
        <w:rPr>
          <w:rFonts w:cstheme="minorHAnsi"/>
          <w:bCs/>
          <w:kern w:val="14"/>
          <w:sz w:val="16"/>
          <w:szCs w:val="16"/>
          <w:lang w:val="en-AU"/>
        </w:rPr>
        <w:t>, Sara (2019). Abiy Ahmed’s ‘</w:t>
      </w:r>
      <w:proofErr w:type="spellStart"/>
      <w:r w:rsidRPr="004F27CE">
        <w:rPr>
          <w:rFonts w:cstheme="minorHAnsi"/>
          <w:bCs/>
          <w:kern w:val="14"/>
          <w:sz w:val="16"/>
          <w:szCs w:val="16"/>
          <w:lang w:val="en-AU"/>
        </w:rPr>
        <w:t>Medemer</w:t>
      </w:r>
      <w:proofErr w:type="spellEnd"/>
      <w:r w:rsidRPr="004F27CE">
        <w:rPr>
          <w:rFonts w:cstheme="minorHAnsi"/>
          <w:bCs/>
          <w:kern w:val="14"/>
          <w:sz w:val="16"/>
          <w:szCs w:val="16"/>
          <w:lang w:val="en-AU"/>
        </w:rPr>
        <w:t xml:space="preserve">’ reforms: Can it ensure sustainable growth for Ethiopia and what are the challenges facing the new government? </w:t>
      </w:r>
      <w:r w:rsidRPr="004F27CE">
        <w:rPr>
          <w:rFonts w:cstheme="minorHAnsi"/>
          <w:kern w:val="14"/>
          <w:sz w:val="16"/>
          <w:szCs w:val="16"/>
          <w:lang w:val="en-AU"/>
        </w:rPr>
        <w:t xml:space="preserve">Policy </w:t>
      </w:r>
      <w:proofErr w:type="spellStart"/>
      <w:r w:rsidRPr="004F27CE">
        <w:rPr>
          <w:rFonts w:cstheme="minorHAnsi"/>
          <w:kern w:val="14"/>
          <w:sz w:val="16"/>
          <w:szCs w:val="16"/>
          <w:lang w:val="en-AU"/>
        </w:rPr>
        <w:t>Center</w:t>
      </w:r>
      <w:proofErr w:type="spellEnd"/>
      <w:r w:rsidRPr="004F27CE">
        <w:rPr>
          <w:rFonts w:cstheme="minorHAnsi"/>
          <w:kern w:val="14"/>
          <w:sz w:val="16"/>
          <w:szCs w:val="16"/>
          <w:lang w:val="en-AU"/>
        </w:rPr>
        <w:t xml:space="preserve"> for the New South, Policy Brief PB-19/08</w:t>
      </w:r>
      <w:r w:rsidRPr="004F27CE">
        <w:rPr>
          <w:rFonts w:cstheme="minorHAnsi"/>
          <w:bCs/>
          <w:kern w:val="14"/>
          <w:sz w:val="16"/>
          <w:szCs w:val="16"/>
          <w:lang w:val="en-AU"/>
        </w:rPr>
        <w:t>, March 2019.</w:t>
      </w:r>
    </w:p>
  </w:footnote>
  <w:footnote w:id="15">
    <w:p w14:paraId="014C0097" w14:textId="77777777" w:rsidR="00E7275A" w:rsidRPr="004F27CE" w:rsidRDefault="00E7275A" w:rsidP="00C12C91">
      <w:pPr>
        <w:pStyle w:val="FootnoteText"/>
        <w:jc w:val="both"/>
        <w:rPr>
          <w:rFonts w:cstheme="minorHAnsi"/>
          <w:sz w:val="16"/>
          <w:szCs w:val="16"/>
        </w:rPr>
      </w:pPr>
      <w:r w:rsidRPr="004F27CE">
        <w:rPr>
          <w:rStyle w:val="FootnoteReference"/>
          <w:rFonts w:cstheme="minorHAnsi"/>
          <w:sz w:val="16"/>
          <w:szCs w:val="16"/>
        </w:rPr>
        <w:footnoteRef/>
      </w:r>
      <w:r w:rsidRPr="004F27CE">
        <w:rPr>
          <w:rFonts w:cstheme="minorHAnsi"/>
          <w:sz w:val="16"/>
          <w:szCs w:val="16"/>
        </w:rPr>
        <w:t xml:space="preserve"> </w:t>
      </w:r>
      <w:r w:rsidRPr="004F27CE">
        <w:rPr>
          <w:rFonts w:cstheme="minorHAnsi"/>
          <w:bCs/>
          <w:kern w:val="14"/>
          <w:sz w:val="16"/>
          <w:szCs w:val="16"/>
          <w:lang w:val="en-AU"/>
        </w:rPr>
        <w:t>Verjee, Aly (</w:t>
      </w:r>
      <w:proofErr w:type="gramStart"/>
      <w:r w:rsidRPr="004F27CE">
        <w:rPr>
          <w:rFonts w:cstheme="minorHAnsi"/>
          <w:bCs/>
          <w:kern w:val="14"/>
          <w:sz w:val="16"/>
          <w:szCs w:val="16"/>
          <w:lang w:val="en-AU"/>
        </w:rPr>
        <w:t>April,</w:t>
      </w:r>
      <w:proofErr w:type="gramEnd"/>
      <w:r w:rsidRPr="004F27CE">
        <w:rPr>
          <w:rFonts w:cstheme="minorHAnsi"/>
          <w:bCs/>
          <w:kern w:val="14"/>
          <w:sz w:val="16"/>
          <w:szCs w:val="16"/>
          <w:lang w:val="en-AU"/>
        </w:rPr>
        <w:t xml:space="preserve"> 2019). Year of Change in Ethiopia, </w:t>
      </w:r>
      <w:r w:rsidRPr="004F27CE">
        <w:rPr>
          <w:rFonts w:cstheme="minorHAnsi"/>
          <w:kern w:val="14"/>
          <w:sz w:val="16"/>
          <w:szCs w:val="16"/>
          <w:lang w:val="en-AU"/>
        </w:rPr>
        <w:t>United States Institute of Peace Blog</w:t>
      </w:r>
      <w:r w:rsidRPr="004F27CE">
        <w:rPr>
          <w:rFonts w:cstheme="minorHAnsi"/>
          <w:bCs/>
          <w:kern w:val="14"/>
          <w:sz w:val="16"/>
          <w:szCs w:val="16"/>
          <w:lang w:val="en-AU"/>
        </w:rPr>
        <w:t xml:space="preserve">, </w:t>
      </w:r>
      <w:hyperlink r:id="rId1" w:history="1">
        <w:r w:rsidRPr="004F27CE">
          <w:rPr>
            <w:rStyle w:val="Hyperlink"/>
            <w:rFonts w:cstheme="minorHAnsi"/>
            <w:bCs/>
            <w:kern w:val="14"/>
            <w:sz w:val="16"/>
            <w:szCs w:val="16"/>
            <w:lang w:val="en-AU"/>
          </w:rPr>
          <w:t>https://www.usip.org</w:t>
        </w:r>
      </w:hyperlink>
      <w:r w:rsidRPr="004F27CE">
        <w:rPr>
          <w:rFonts w:cstheme="minorHAnsi"/>
          <w:bCs/>
          <w:kern w:val="14"/>
          <w:sz w:val="16"/>
          <w:szCs w:val="16"/>
          <w:lang w:val="en-AU"/>
        </w:rPr>
        <w:t>,  April 2, 2019.</w:t>
      </w:r>
    </w:p>
  </w:footnote>
  <w:footnote w:id="16">
    <w:p w14:paraId="5BBF5920" w14:textId="77777777" w:rsidR="00E7275A" w:rsidRPr="004F27CE" w:rsidRDefault="00E7275A" w:rsidP="00C12C91">
      <w:pPr>
        <w:pStyle w:val="FootnoteText"/>
        <w:jc w:val="both"/>
        <w:rPr>
          <w:rFonts w:cstheme="minorHAnsi"/>
          <w:sz w:val="16"/>
          <w:szCs w:val="16"/>
        </w:rPr>
      </w:pPr>
      <w:r w:rsidRPr="004F27CE">
        <w:rPr>
          <w:rStyle w:val="FootnoteReference"/>
          <w:sz w:val="16"/>
          <w:szCs w:val="16"/>
        </w:rPr>
        <w:footnoteRef/>
      </w:r>
      <w:r w:rsidRPr="004F27CE">
        <w:rPr>
          <w:sz w:val="16"/>
          <w:szCs w:val="16"/>
        </w:rPr>
        <w:t xml:space="preserve"> </w:t>
      </w:r>
      <w:proofErr w:type="spellStart"/>
      <w:r w:rsidRPr="004F27CE">
        <w:rPr>
          <w:rFonts w:cstheme="minorHAnsi"/>
          <w:bCs/>
          <w:kern w:val="14"/>
          <w:sz w:val="16"/>
          <w:szCs w:val="16"/>
          <w:lang w:val="en-AU"/>
        </w:rPr>
        <w:t>Tokuori</w:t>
      </w:r>
      <w:proofErr w:type="spellEnd"/>
      <w:r w:rsidRPr="004F27CE">
        <w:rPr>
          <w:rFonts w:cstheme="minorHAnsi"/>
          <w:bCs/>
          <w:kern w:val="14"/>
          <w:sz w:val="16"/>
          <w:szCs w:val="16"/>
          <w:lang w:val="en-AU"/>
        </w:rPr>
        <w:t>, Tomomi (</w:t>
      </w:r>
      <w:proofErr w:type="gramStart"/>
      <w:r w:rsidRPr="004F27CE">
        <w:rPr>
          <w:rFonts w:cstheme="minorHAnsi"/>
          <w:bCs/>
          <w:kern w:val="14"/>
          <w:sz w:val="16"/>
          <w:szCs w:val="16"/>
          <w:lang w:val="en-AU"/>
        </w:rPr>
        <w:t>December,</w:t>
      </w:r>
      <w:proofErr w:type="gramEnd"/>
      <w:r w:rsidRPr="004F27CE">
        <w:rPr>
          <w:rFonts w:cstheme="minorHAnsi"/>
          <w:bCs/>
          <w:kern w:val="14"/>
          <w:sz w:val="16"/>
          <w:szCs w:val="16"/>
          <w:lang w:val="en-AU"/>
        </w:rPr>
        <w:t xml:space="preserve"> 2019). How Prime Minister of Ethiopia Envision “NEW ETHIOPIA”: Moving Towards People’s Reconciliation and Sustainable Economic Development, </w:t>
      </w:r>
      <w:r w:rsidRPr="004F27CE">
        <w:rPr>
          <w:rFonts w:cstheme="minorHAnsi"/>
          <w:kern w:val="14"/>
          <w:sz w:val="16"/>
          <w:szCs w:val="16"/>
          <w:lang w:val="en-AU"/>
        </w:rPr>
        <w:t>Mitsui &amp; Co. Global Strategic Studies Institute Monthly Report,</w:t>
      </w:r>
      <w:r w:rsidRPr="004F27CE">
        <w:rPr>
          <w:rFonts w:cstheme="minorHAnsi"/>
          <w:bCs/>
          <w:kern w:val="14"/>
          <w:sz w:val="16"/>
          <w:szCs w:val="16"/>
          <w:lang w:val="en-AU"/>
        </w:rPr>
        <w:t xml:space="preserve"> December 2019.</w:t>
      </w:r>
    </w:p>
  </w:footnote>
  <w:footnote w:id="17">
    <w:p w14:paraId="56CB0A46" w14:textId="77777777" w:rsidR="00E7275A" w:rsidRPr="004F27CE" w:rsidRDefault="00E7275A" w:rsidP="00C12C91">
      <w:pPr>
        <w:pStyle w:val="FootnoteText"/>
        <w:jc w:val="both"/>
        <w:rPr>
          <w:rFonts w:cstheme="minorHAnsi"/>
          <w:sz w:val="16"/>
          <w:szCs w:val="16"/>
        </w:rPr>
      </w:pPr>
      <w:r w:rsidRPr="004F27CE">
        <w:rPr>
          <w:rStyle w:val="FootnoteReference"/>
          <w:rFonts w:cstheme="minorHAnsi"/>
          <w:sz w:val="16"/>
          <w:szCs w:val="16"/>
        </w:rPr>
        <w:footnoteRef/>
      </w:r>
      <w:r w:rsidRPr="004F27CE">
        <w:rPr>
          <w:rFonts w:cstheme="minorHAnsi"/>
          <w:sz w:val="16"/>
          <w:szCs w:val="16"/>
        </w:rPr>
        <w:t xml:space="preserve"> </w:t>
      </w:r>
      <w:r w:rsidRPr="004F27CE">
        <w:rPr>
          <w:rFonts w:cstheme="minorHAnsi"/>
          <w:bCs/>
          <w:kern w:val="14"/>
          <w:sz w:val="16"/>
          <w:szCs w:val="16"/>
          <w:lang w:val="en-AU"/>
        </w:rPr>
        <w:t>Collins, Tom (</w:t>
      </w:r>
      <w:proofErr w:type="gramStart"/>
      <w:r w:rsidRPr="004F27CE">
        <w:rPr>
          <w:rFonts w:cstheme="minorHAnsi"/>
          <w:bCs/>
          <w:kern w:val="14"/>
          <w:sz w:val="16"/>
          <w:szCs w:val="16"/>
          <w:lang w:val="en-AU"/>
        </w:rPr>
        <w:t>August,</w:t>
      </w:r>
      <w:proofErr w:type="gramEnd"/>
      <w:r w:rsidRPr="004F27CE">
        <w:rPr>
          <w:rFonts w:cstheme="minorHAnsi"/>
          <w:bCs/>
          <w:kern w:val="14"/>
          <w:sz w:val="16"/>
          <w:szCs w:val="16"/>
          <w:lang w:val="en-AU"/>
        </w:rPr>
        <w:t xml:space="preserve"> 2019). Abiy’s reforms embolden Ethiopian regionalists: Can Abiy Ahmed keep the peace? </w:t>
      </w:r>
      <w:hyperlink r:id="rId2" w:history="1">
        <w:r w:rsidRPr="004F27CE">
          <w:rPr>
            <w:rFonts w:cstheme="minorHAnsi"/>
            <w:kern w:val="14"/>
            <w:sz w:val="16"/>
            <w:szCs w:val="16"/>
            <w:lang w:val="en-AU"/>
          </w:rPr>
          <w:t>African Business</w:t>
        </w:r>
      </w:hyperlink>
      <w:r w:rsidRPr="004F27CE">
        <w:rPr>
          <w:rFonts w:cstheme="minorHAnsi"/>
          <w:bCs/>
          <w:kern w:val="14"/>
          <w:sz w:val="16"/>
          <w:szCs w:val="16"/>
          <w:lang w:val="en-AU"/>
        </w:rPr>
        <w:t>, August 19</w:t>
      </w:r>
      <w:r w:rsidRPr="004F27CE">
        <w:rPr>
          <w:rFonts w:cstheme="minorHAnsi"/>
          <w:bCs/>
          <w:kern w:val="14"/>
          <w:sz w:val="16"/>
          <w:szCs w:val="16"/>
          <w:vertAlign w:val="superscript"/>
          <w:lang w:val="en-AU"/>
        </w:rPr>
        <w:t>th</w:t>
      </w:r>
      <w:r w:rsidRPr="004F27CE">
        <w:rPr>
          <w:rFonts w:cstheme="minorHAnsi"/>
          <w:bCs/>
          <w:kern w:val="14"/>
          <w:sz w:val="16"/>
          <w:szCs w:val="16"/>
          <w:lang w:val="en-AU"/>
        </w:rPr>
        <w:t>, 2019.</w:t>
      </w:r>
    </w:p>
  </w:footnote>
  <w:footnote w:id="18">
    <w:p w14:paraId="46560914" w14:textId="77777777" w:rsidR="00E7275A" w:rsidRPr="004F27CE" w:rsidRDefault="00E7275A" w:rsidP="00C12C91">
      <w:pPr>
        <w:spacing w:line="240" w:lineRule="auto"/>
        <w:jc w:val="both"/>
        <w:rPr>
          <w:sz w:val="16"/>
          <w:szCs w:val="16"/>
        </w:rPr>
      </w:pPr>
      <w:r w:rsidRPr="004F27CE">
        <w:rPr>
          <w:rStyle w:val="FootnoteReference"/>
          <w:sz w:val="16"/>
          <w:szCs w:val="16"/>
        </w:rPr>
        <w:footnoteRef/>
      </w:r>
      <w:r w:rsidRPr="004F27CE">
        <w:rPr>
          <w:sz w:val="16"/>
          <w:szCs w:val="16"/>
        </w:rPr>
        <w:t xml:space="preserve"> </w:t>
      </w:r>
      <w:r w:rsidRPr="004F27CE">
        <w:rPr>
          <w:sz w:val="16"/>
          <w:szCs w:val="16"/>
          <w:lang w:val="en-US"/>
        </w:rPr>
        <w:t xml:space="preserve">The World Health </w:t>
      </w:r>
      <w:proofErr w:type="spellStart"/>
      <w:r w:rsidRPr="004F27CE">
        <w:rPr>
          <w:sz w:val="16"/>
          <w:szCs w:val="16"/>
          <w:lang w:val="en-US"/>
        </w:rPr>
        <w:t>Organisation</w:t>
      </w:r>
      <w:proofErr w:type="spellEnd"/>
      <w:r w:rsidRPr="004F27CE">
        <w:rPr>
          <w:sz w:val="16"/>
          <w:szCs w:val="16"/>
          <w:lang w:val="en-US"/>
        </w:rPr>
        <w:t xml:space="preserve"> reports that the first confirmed case of COVID-19 in Ethiopia was registered on March 13, 2020. </w:t>
      </w:r>
      <w:r w:rsidRPr="004F27CE">
        <w:rPr>
          <w:sz w:val="16"/>
          <w:szCs w:val="16"/>
        </w:rPr>
        <w:t xml:space="preserve">According to the World Bank, Ethiopia’s gross domestic product slowed down in both FY2019/20 and FY2020/21 due to COVID-19, with growth in industry and services being particularly hard hit. However, agriculture, where over 70% of the population are employed, was not significantly affected. The World Bank in Ethiopia, </w:t>
      </w:r>
      <w:r w:rsidRPr="004F27CE">
        <w:rPr>
          <w:sz w:val="16"/>
          <w:szCs w:val="16"/>
          <w:lang w:val="en-US"/>
        </w:rPr>
        <w:t>October 13, 2021.</w:t>
      </w:r>
    </w:p>
    <w:p w14:paraId="6DA72273" w14:textId="77777777" w:rsidR="00E7275A" w:rsidRPr="004F27CE" w:rsidRDefault="00E7275A" w:rsidP="00C12C91">
      <w:pPr>
        <w:pStyle w:val="FootnoteText"/>
        <w:rPr>
          <w:sz w:val="16"/>
          <w:szCs w:val="16"/>
          <w:lang w:val="en-US"/>
        </w:rPr>
      </w:pPr>
    </w:p>
  </w:footnote>
  <w:footnote w:id="19">
    <w:p w14:paraId="3FE17BFB" w14:textId="77777777" w:rsidR="00E7275A" w:rsidRPr="004F27CE" w:rsidRDefault="00E7275A" w:rsidP="00C12C91">
      <w:pPr>
        <w:pStyle w:val="FootnoteText"/>
        <w:rPr>
          <w:sz w:val="16"/>
          <w:szCs w:val="16"/>
          <w:lang w:val="en-US"/>
        </w:rPr>
      </w:pPr>
      <w:r w:rsidRPr="004F27CE">
        <w:rPr>
          <w:rStyle w:val="FootnoteReference"/>
          <w:sz w:val="16"/>
          <w:szCs w:val="16"/>
        </w:rPr>
        <w:footnoteRef/>
      </w:r>
      <w:r w:rsidRPr="004F27CE">
        <w:rPr>
          <w:sz w:val="16"/>
          <w:szCs w:val="16"/>
        </w:rPr>
        <w:t xml:space="preserve"> </w:t>
      </w:r>
      <w:r w:rsidRPr="004F27CE">
        <w:rPr>
          <w:sz w:val="16"/>
          <w:szCs w:val="16"/>
          <w:lang w:val="en-US"/>
        </w:rPr>
        <w:t xml:space="preserve">Programme Document “Governance and Democratic Participation Programme (GDPP), Government of Ethiopia and UNDP, </w:t>
      </w:r>
      <w:proofErr w:type="gramStart"/>
      <w:r w:rsidRPr="004F27CE">
        <w:rPr>
          <w:sz w:val="16"/>
          <w:szCs w:val="16"/>
          <w:lang w:val="en-US"/>
        </w:rPr>
        <w:t>June,</w:t>
      </w:r>
      <w:proofErr w:type="gramEnd"/>
      <w:r w:rsidRPr="004F27CE">
        <w:rPr>
          <w:sz w:val="16"/>
          <w:szCs w:val="16"/>
          <w:lang w:val="en-US"/>
        </w:rPr>
        <w:t xml:space="preserve"> 2017, p.12.</w:t>
      </w:r>
    </w:p>
  </w:footnote>
  <w:footnote w:id="20">
    <w:p w14:paraId="485E1CBB" w14:textId="77777777" w:rsidR="00E7275A" w:rsidRPr="004F27CE" w:rsidRDefault="00E7275A" w:rsidP="00C12C91">
      <w:pPr>
        <w:pStyle w:val="FootnoteText"/>
        <w:jc w:val="both"/>
        <w:rPr>
          <w:sz w:val="16"/>
          <w:szCs w:val="16"/>
          <w:lang w:val="en-US"/>
        </w:rPr>
      </w:pPr>
      <w:r w:rsidRPr="004F27CE">
        <w:rPr>
          <w:rStyle w:val="FootnoteReference"/>
          <w:sz w:val="16"/>
          <w:szCs w:val="16"/>
        </w:rPr>
        <w:footnoteRef/>
      </w:r>
      <w:r w:rsidRPr="004F27CE">
        <w:rPr>
          <w:sz w:val="16"/>
          <w:szCs w:val="16"/>
        </w:rPr>
        <w:t xml:space="preserve"> They are: The House of Peoples Representatives (HoPR), House of Federation (HoF), Federal Ethics and Anti-Corruption Commission (FEACC), Ethiopian Human Rights Commission (EHRC), Ethiopian Institute of Ombudsman (EIO), Office of Attorney General (OAG), Office of Federal Auditor General (OFAG), Ministry of Peace (MoP), Council of Constitutional 4 Inquiry (CCI), National Election Board of Ethiopia (NEBE) and Ethiopian Broadcast Authority (EBA).</w:t>
      </w:r>
    </w:p>
  </w:footnote>
  <w:footnote w:id="21">
    <w:p w14:paraId="5D8115E3" w14:textId="77777777" w:rsidR="00E7275A" w:rsidRPr="004F27CE" w:rsidRDefault="00E7275A" w:rsidP="00C12C91">
      <w:pPr>
        <w:pStyle w:val="FootnoteText"/>
        <w:rPr>
          <w:sz w:val="16"/>
          <w:szCs w:val="16"/>
          <w:lang w:val="en-US"/>
        </w:rPr>
      </w:pPr>
      <w:r w:rsidRPr="004F27CE">
        <w:rPr>
          <w:rStyle w:val="FootnoteReference"/>
          <w:sz w:val="16"/>
          <w:szCs w:val="16"/>
        </w:rPr>
        <w:footnoteRef/>
      </w:r>
      <w:r w:rsidRPr="004F27CE">
        <w:rPr>
          <w:sz w:val="16"/>
          <w:szCs w:val="16"/>
        </w:rPr>
        <w:t xml:space="preserve"> </w:t>
      </w:r>
      <w:r w:rsidRPr="004F27CE">
        <w:rPr>
          <w:sz w:val="16"/>
          <w:szCs w:val="16"/>
          <w:lang w:val="en-US"/>
        </w:rPr>
        <w:t>Ibid.</w:t>
      </w:r>
    </w:p>
  </w:footnote>
  <w:footnote w:id="22">
    <w:p w14:paraId="3C318B25" w14:textId="77777777" w:rsidR="00E7275A" w:rsidRPr="004F27CE" w:rsidRDefault="00E7275A" w:rsidP="00C12C91">
      <w:pPr>
        <w:pStyle w:val="FootnoteText"/>
        <w:rPr>
          <w:sz w:val="16"/>
          <w:szCs w:val="16"/>
          <w:lang w:val="en-US"/>
        </w:rPr>
      </w:pPr>
      <w:r w:rsidRPr="004F27CE">
        <w:rPr>
          <w:rStyle w:val="FootnoteReference"/>
          <w:sz w:val="16"/>
          <w:szCs w:val="16"/>
        </w:rPr>
        <w:footnoteRef/>
      </w:r>
      <w:r w:rsidRPr="004F27CE">
        <w:rPr>
          <w:sz w:val="16"/>
          <w:szCs w:val="16"/>
        </w:rPr>
        <w:t xml:space="preserve"> “</w:t>
      </w:r>
      <w:r w:rsidRPr="004F27CE">
        <w:rPr>
          <w:sz w:val="16"/>
          <w:szCs w:val="16"/>
          <w:lang w:val="en-US"/>
        </w:rPr>
        <w:t xml:space="preserve">Country Programme Document for Ethiopia (2016-2020),” Executive Board of the United Nations Development Programme, the United Nations Population Fund and the United Nations Office for Project Services, 27 </w:t>
      </w:r>
      <w:proofErr w:type="gramStart"/>
      <w:r w:rsidRPr="004F27CE">
        <w:rPr>
          <w:sz w:val="16"/>
          <w:szCs w:val="16"/>
          <w:lang w:val="en-US"/>
        </w:rPr>
        <w:t>November,</w:t>
      </w:r>
      <w:proofErr w:type="gramEnd"/>
      <w:r w:rsidRPr="004F27CE">
        <w:rPr>
          <w:sz w:val="16"/>
          <w:szCs w:val="16"/>
          <w:lang w:val="en-US"/>
        </w:rPr>
        <w:t xml:space="preserve"> 2015, p. 6.</w:t>
      </w:r>
    </w:p>
  </w:footnote>
  <w:footnote w:id="23">
    <w:p w14:paraId="53B3D093" w14:textId="77777777" w:rsidR="00E7275A" w:rsidRPr="004F27CE" w:rsidRDefault="00E7275A" w:rsidP="00C12C91">
      <w:pPr>
        <w:pStyle w:val="FootnoteText"/>
        <w:rPr>
          <w:sz w:val="16"/>
          <w:szCs w:val="16"/>
          <w:lang w:val="en-US"/>
        </w:rPr>
      </w:pPr>
      <w:r w:rsidRPr="004F27CE">
        <w:rPr>
          <w:rStyle w:val="FootnoteReference"/>
          <w:sz w:val="16"/>
          <w:szCs w:val="16"/>
        </w:rPr>
        <w:footnoteRef/>
      </w:r>
      <w:r w:rsidRPr="004F27CE">
        <w:rPr>
          <w:sz w:val="16"/>
          <w:szCs w:val="16"/>
        </w:rPr>
        <w:t xml:space="preserve"> </w:t>
      </w:r>
      <w:r w:rsidRPr="004F27CE">
        <w:rPr>
          <w:sz w:val="16"/>
          <w:szCs w:val="16"/>
          <w:lang w:val="en-US"/>
        </w:rPr>
        <w:t>Ibid.</w:t>
      </w:r>
    </w:p>
  </w:footnote>
  <w:footnote w:id="24">
    <w:p w14:paraId="345571D8" w14:textId="77777777" w:rsidR="00E7275A" w:rsidRPr="004F27CE" w:rsidRDefault="00E7275A" w:rsidP="00C12C91">
      <w:pPr>
        <w:autoSpaceDE w:val="0"/>
        <w:autoSpaceDN w:val="0"/>
        <w:adjustRightInd w:val="0"/>
        <w:spacing w:after="0" w:line="240" w:lineRule="auto"/>
        <w:jc w:val="both"/>
        <w:rPr>
          <w:sz w:val="16"/>
          <w:szCs w:val="16"/>
          <w:lang w:val="en-US"/>
        </w:rPr>
      </w:pPr>
      <w:r w:rsidRPr="004F27CE">
        <w:rPr>
          <w:rStyle w:val="FootnoteReference"/>
          <w:sz w:val="16"/>
          <w:szCs w:val="16"/>
        </w:rPr>
        <w:footnoteRef/>
      </w:r>
      <w:r w:rsidRPr="004F27CE">
        <w:rPr>
          <w:sz w:val="16"/>
          <w:szCs w:val="16"/>
        </w:rPr>
        <w:t xml:space="preserve"> </w:t>
      </w:r>
      <w:r w:rsidRPr="004F27CE">
        <w:rPr>
          <w:rFonts w:cs="Calibri"/>
          <w:color w:val="000000"/>
          <w:sz w:val="16"/>
          <w:szCs w:val="16"/>
        </w:rPr>
        <w:t xml:space="preserve">Although the government has promulgated policies and embarked on successive national development plans which stipulate gender equality as a priority and have resulted in positive achievements in various socio-economic and political realms, various studies indicate the prevalence of persistent challenges that hinder the promotion of gender equality across sectors and regions. </w:t>
      </w:r>
      <w:bookmarkStart w:id="3" w:name="_Hlk533755025"/>
      <w:r w:rsidRPr="004F27CE">
        <w:rPr>
          <w:rFonts w:cstheme="minorHAnsi"/>
          <w:sz w:val="16"/>
          <w:szCs w:val="16"/>
        </w:rPr>
        <w:t xml:space="preserve">Emezat H. Mengesha and Lealem </w:t>
      </w:r>
      <w:proofErr w:type="spellStart"/>
      <w:r w:rsidRPr="004F27CE">
        <w:rPr>
          <w:rFonts w:cstheme="minorHAnsi"/>
          <w:sz w:val="16"/>
          <w:szCs w:val="16"/>
        </w:rPr>
        <w:t>Mersha</w:t>
      </w:r>
      <w:proofErr w:type="spellEnd"/>
      <w:r w:rsidRPr="004F27CE">
        <w:rPr>
          <w:rFonts w:cstheme="minorHAnsi"/>
          <w:sz w:val="16"/>
          <w:szCs w:val="16"/>
        </w:rPr>
        <w:t>. “Gender Analysis for the Governance and Democratic Participation Program (GDPP)</w:t>
      </w:r>
      <w:bookmarkEnd w:id="3"/>
      <w:r w:rsidRPr="004F27CE">
        <w:rPr>
          <w:rFonts w:cstheme="minorHAnsi"/>
          <w:sz w:val="16"/>
          <w:szCs w:val="16"/>
        </w:rPr>
        <w:t xml:space="preserve">”, Final Report (2019). Ethiopia ranks </w:t>
      </w:r>
      <w:r w:rsidRPr="004F27CE">
        <w:rPr>
          <w:sz w:val="16"/>
          <w:szCs w:val="16"/>
        </w:rPr>
        <w:t>123 out of 189 in the Gender Inequality Index.</w:t>
      </w:r>
    </w:p>
  </w:footnote>
  <w:footnote w:id="25">
    <w:p w14:paraId="4CFD2829" w14:textId="77777777" w:rsidR="00E7275A" w:rsidRPr="004F27CE" w:rsidRDefault="00E7275A" w:rsidP="00C12C91">
      <w:pPr>
        <w:spacing w:after="0" w:line="276" w:lineRule="auto"/>
        <w:jc w:val="both"/>
        <w:rPr>
          <w:sz w:val="16"/>
          <w:szCs w:val="16"/>
          <w:lang w:val="en-US"/>
        </w:rPr>
      </w:pPr>
      <w:r w:rsidRPr="004F27CE">
        <w:rPr>
          <w:rStyle w:val="FootnoteReference"/>
          <w:sz w:val="16"/>
          <w:szCs w:val="16"/>
        </w:rPr>
        <w:footnoteRef/>
      </w:r>
      <w:r w:rsidRPr="004F27CE">
        <w:rPr>
          <w:sz w:val="16"/>
          <w:szCs w:val="16"/>
        </w:rPr>
        <w:t xml:space="preserve"> </w:t>
      </w:r>
      <w:r w:rsidRPr="004F27CE">
        <w:rPr>
          <w:rFonts w:cstheme="minorHAnsi"/>
          <w:bCs/>
          <w:sz w:val="16"/>
          <w:szCs w:val="16"/>
        </w:rPr>
        <w:t>GDPP Programme Management Board – Options Paper June 2021, p. 1.</w:t>
      </w:r>
    </w:p>
  </w:footnote>
  <w:footnote w:id="26">
    <w:p w14:paraId="26FA8BAE" w14:textId="77777777" w:rsidR="00E7275A" w:rsidRPr="004F27CE" w:rsidRDefault="00E7275A" w:rsidP="00C12C91">
      <w:pPr>
        <w:pStyle w:val="FootnoteText"/>
        <w:rPr>
          <w:sz w:val="16"/>
          <w:szCs w:val="16"/>
          <w:lang w:val="en-US"/>
        </w:rPr>
      </w:pPr>
      <w:r w:rsidRPr="004F27CE">
        <w:rPr>
          <w:rStyle w:val="FootnoteReference"/>
          <w:sz w:val="16"/>
          <w:szCs w:val="16"/>
        </w:rPr>
        <w:footnoteRef/>
      </w:r>
      <w:r w:rsidRPr="004F27CE">
        <w:rPr>
          <w:sz w:val="16"/>
          <w:szCs w:val="16"/>
        </w:rPr>
        <w:t xml:space="preserve"> Governance and Democratic Participation Programme (GDPP) Repositioning Paper, p. 1.</w:t>
      </w:r>
    </w:p>
  </w:footnote>
  <w:footnote w:id="27">
    <w:p w14:paraId="74CD636E" w14:textId="77777777" w:rsidR="00E7275A" w:rsidRPr="004F27CE" w:rsidRDefault="00E7275A" w:rsidP="00C12C91">
      <w:pPr>
        <w:pStyle w:val="FootnoteText"/>
        <w:rPr>
          <w:sz w:val="16"/>
          <w:szCs w:val="16"/>
          <w:lang w:val="en-US"/>
        </w:rPr>
      </w:pPr>
      <w:r w:rsidRPr="004F27CE">
        <w:rPr>
          <w:rStyle w:val="FootnoteReference"/>
          <w:sz w:val="16"/>
          <w:szCs w:val="16"/>
        </w:rPr>
        <w:footnoteRef/>
      </w:r>
      <w:r w:rsidRPr="004F27CE">
        <w:rPr>
          <w:sz w:val="16"/>
          <w:szCs w:val="16"/>
        </w:rPr>
        <w:t xml:space="preserve"> Op Cit., MTR, p. 10.</w:t>
      </w:r>
    </w:p>
  </w:footnote>
  <w:footnote w:id="28">
    <w:p w14:paraId="066C6F45" w14:textId="77777777" w:rsidR="00E7275A" w:rsidRPr="004F27CE" w:rsidRDefault="00E7275A" w:rsidP="00C12C91">
      <w:pPr>
        <w:pStyle w:val="FootnoteText"/>
        <w:jc w:val="both"/>
        <w:rPr>
          <w:sz w:val="16"/>
          <w:szCs w:val="16"/>
          <w:lang w:val="en-US"/>
        </w:rPr>
      </w:pPr>
      <w:r w:rsidRPr="004F27CE">
        <w:rPr>
          <w:rStyle w:val="FootnoteReference"/>
          <w:sz w:val="16"/>
          <w:szCs w:val="16"/>
        </w:rPr>
        <w:footnoteRef/>
      </w:r>
      <w:r w:rsidRPr="004F27CE">
        <w:rPr>
          <w:sz w:val="16"/>
          <w:szCs w:val="16"/>
        </w:rPr>
        <w:t xml:space="preserve"> Nor should UNDP be expected to engage in such sensitive issues given the requirement that the UN maintain impartiality. Others have no such difficulty, t</w:t>
      </w:r>
      <w:r w:rsidRPr="004F27CE">
        <w:rPr>
          <w:rFonts w:cstheme="minorHAnsi"/>
          <w:sz w:val="16"/>
          <w:szCs w:val="16"/>
          <w:lang w:val="en-US"/>
        </w:rPr>
        <w:t>he U.S. State Department flagged human rights violations as a concern in a briefing on February 22, 2022: “</w:t>
      </w:r>
      <w:r w:rsidRPr="004F27CE">
        <w:rPr>
          <w:rFonts w:cstheme="minorHAnsi"/>
          <w:spacing w:val="-4"/>
          <w:sz w:val="16"/>
          <w:szCs w:val="16"/>
        </w:rPr>
        <w:t>The United States is gravely concerned by the reports of atrocities, including sexual violence, committed by fighters affiliated with the Tigray People’s Liberation Front in the Amhara region of Ethiopia in late August and early September 2021.”</w:t>
      </w:r>
    </w:p>
  </w:footnote>
  <w:footnote w:id="29">
    <w:p w14:paraId="08F56ABC" w14:textId="77777777" w:rsidR="00E7275A" w:rsidRPr="00FB4347" w:rsidRDefault="00E7275A" w:rsidP="00C12C91">
      <w:pPr>
        <w:spacing w:line="240" w:lineRule="auto"/>
        <w:jc w:val="both"/>
        <w:rPr>
          <w:b/>
          <w:sz w:val="16"/>
          <w:szCs w:val="16"/>
        </w:rPr>
      </w:pPr>
      <w:r w:rsidRPr="004F27CE">
        <w:rPr>
          <w:rStyle w:val="FootnoteReference"/>
          <w:sz w:val="16"/>
          <w:szCs w:val="16"/>
        </w:rPr>
        <w:footnoteRef/>
      </w:r>
      <w:r w:rsidRPr="004F27CE">
        <w:rPr>
          <w:sz w:val="16"/>
          <w:szCs w:val="16"/>
        </w:rPr>
        <w:t xml:space="preserve"> The programme also aligns with the UNDAF (2016-2020) in supporting Ethiopia’s ambition to become a middle-income country by 2025, as </w:t>
      </w:r>
      <w:r w:rsidRPr="00FB4347">
        <w:rPr>
          <w:sz w:val="16"/>
          <w:szCs w:val="16"/>
        </w:rPr>
        <w:t xml:space="preserve">articulated in the second Growth and Transformation Plan (GTP II). </w:t>
      </w:r>
    </w:p>
    <w:p w14:paraId="4A0C5868" w14:textId="77777777" w:rsidR="00E7275A" w:rsidRPr="00FB4347" w:rsidRDefault="00E7275A" w:rsidP="00C12C91">
      <w:pPr>
        <w:pStyle w:val="FootnoteText"/>
        <w:rPr>
          <w:sz w:val="16"/>
          <w:szCs w:val="16"/>
          <w:lang w:val="en-US"/>
        </w:rPr>
      </w:pPr>
    </w:p>
  </w:footnote>
  <w:footnote w:id="30">
    <w:p w14:paraId="56A86AC4" w14:textId="77777777" w:rsidR="00E7275A" w:rsidRPr="00FB4347" w:rsidRDefault="00E7275A" w:rsidP="00C12C91">
      <w:pPr>
        <w:pStyle w:val="FootnoteText"/>
        <w:rPr>
          <w:sz w:val="16"/>
          <w:szCs w:val="16"/>
          <w:lang w:val="en-US"/>
        </w:rPr>
      </w:pPr>
      <w:r w:rsidRPr="00FB4347">
        <w:rPr>
          <w:rStyle w:val="FootnoteReference"/>
          <w:sz w:val="16"/>
          <w:szCs w:val="16"/>
        </w:rPr>
        <w:footnoteRef/>
      </w:r>
      <w:r w:rsidRPr="00FB4347">
        <w:rPr>
          <w:sz w:val="16"/>
          <w:szCs w:val="16"/>
        </w:rPr>
        <w:t xml:space="preserve"> </w:t>
      </w:r>
      <w:r w:rsidRPr="00FB4347">
        <w:rPr>
          <w:sz w:val="16"/>
          <w:szCs w:val="16"/>
          <w:lang w:val="en-US"/>
        </w:rPr>
        <w:t xml:space="preserve">UNDP (2020) Midterm Review of Governance and Democratic Participation Programme (2018-2020). Project Document. </w:t>
      </w:r>
    </w:p>
  </w:footnote>
  <w:footnote w:id="31">
    <w:p w14:paraId="1614CB01" w14:textId="77777777" w:rsidR="00E7275A" w:rsidRPr="003E4E68" w:rsidRDefault="00E7275A" w:rsidP="00C12C91">
      <w:pPr>
        <w:pStyle w:val="FootnoteText"/>
        <w:rPr>
          <w:lang w:val="en-US"/>
        </w:rPr>
      </w:pPr>
      <w:r w:rsidRPr="00FB4347">
        <w:rPr>
          <w:rStyle w:val="FootnoteReference"/>
          <w:sz w:val="16"/>
          <w:szCs w:val="16"/>
        </w:rPr>
        <w:footnoteRef/>
      </w:r>
      <w:r w:rsidRPr="00FB4347">
        <w:rPr>
          <w:sz w:val="16"/>
          <w:szCs w:val="16"/>
        </w:rPr>
        <w:t xml:space="preserve"> </w:t>
      </w:r>
      <w:hyperlink r:id="rId3" w:history="1">
        <w:r w:rsidRPr="00FB4347">
          <w:rPr>
            <w:rStyle w:val="Hyperlink"/>
            <w:sz w:val="16"/>
            <w:szCs w:val="16"/>
          </w:rPr>
          <w:t xml:space="preserve">Ethiopia’s Tigray war: The short, </w:t>
        </w:r>
        <w:proofErr w:type="gramStart"/>
        <w:r w:rsidRPr="00FB4347">
          <w:rPr>
            <w:rStyle w:val="Hyperlink"/>
            <w:sz w:val="16"/>
            <w:szCs w:val="16"/>
          </w:rPr>
          <w:t>medium</w:t>
        </w:r>
        <w:proofErr w:type="gramEnd"/>
        <w:r w:rsidRPr="00FB4347">
          <w:rPr>
            <w:rStyle w:val="Hyperlink"/>
            <w:sz w:val="16"/>
            <w:szCs w:val="16"/>
          </w:rPr>
          <w:t xml:space="preserve"> and long story - BBC News</w:t>
        </w:r>
      </w:hyperlink>
    </w:p>
  </w:footnote>
  <w:footnote w:id="32">
    <w:p w14:paraId="36BCAB1F" w14:textId="77777777" w:rsidR="00E7275A" w:rsidRPr="00FB4347" w:rsidRDefault="00E7275A" w:rsidP="00C12C91">
      <w:pPr>
        <w:pStyle w:val="FootnoteText"/>
        <w:rPr>
          <w:sz w:val="16"/>
          <w:szCs w:val="16"/>
          <w:lang w:val="en-US"/>
        </w:rPr>
      </w:pPr>
      <w:r>
        <w:rPr>
          <w:rStyle w:val="FootnoteReference"/>
        </w:rPr>
        <w:footnoteRef/>
      </w:r>
      <w:r>
        <w:t xml:space="preserve"> </w:t>
      </w:r>
      <w:r w:rsidRPr="00FB4347">
        <w:rPr>
          <w:sz w:val="16"/>
          <w:szCs w:val="16"/>
          <w:lang w:val="en-US"/>
        </w:rPr>
        <w:t>Management response to the MTR.</w:t>
      </w:r>
    </w:p>
  </w:footnote>
  <w:footnote w:id="33">
    <w:p w14:paraId="7EFDA238" w14:textId="77777777" w:rsidR="00E7275A" w:rsidRPr="00FB4347" w:rsidRDefault="00E7275A" w:rsidP="00C12C91">
      <w:pPr>
        <w:shd w:val="clear" w:color="auto" w:fill="FFFFFF"/>
        <w:spacing w:after="100" w:afterAutospacing="1" w:line="240" w:lineRule="auto"/>
        <w:rPr>
          <w:sz w:val="16"/>
          <w:szCs w:val="16"/>
        </w:rPr>
      </w:pPr>
      <w:r w:rsidRPr="00FB4347">
        <w:rPr>
          <w:rStyle w:val="FootnoteReference"/>
          <w:sz w:val="16"/>
          <w:szCs w:val="16"/>
        </w:rPr>
        <w:footnoteRef/>
      </w:r>
      <w:r w:rsidRPr="00FB4347">
        <w:rPr>
          <w:sz w:val="16"/>
          <w:szCs w:val="16"/>
        </w:rPr>
        <w:t xml:space="preserve"> </w:t>
      </w:r>
      <w:proofErr w:type="spellStart"/>
      <w:r w:rsidRPr="00FB4347">
        <w:rPr>
          <w:sz w:val="16"/>
          <w:szCs w:val="16"/>
        </w:rPr>
        <w:t>Peeek</w:t>
      </w:r>
      <w:proofErr w:type="spellEnd"/>
      <w:r w:rsidRPr="00FB4347">
        <w:rPr>
          <w:sz w:val="16"/>
          <w:szCs w:val="16"/>
        </w:rPr>
        <w:t xml:space="preserve">, N. and Starr, L. (2019) Theory of Change Review as an Adaptive Management Tool. USAID/KEA/FFP. USAID Learning Lab. </w:t>
      </w:r>
    </w:p>
    <w:p w14:paraId="63453601" w14:textId="77777777" w:rsidR="00E7275A" w:rsidRPr="00FB4347" w:rsidRDefault="00E7275A" w:rsidP="00C12C91">
      <w:pPr>
        <w:pStyle w:val="FootnoteText"/>
        <w:rPr>
          <w:sz w:val="16"/>
          <w:szCs w:val="16"/>
          <w:lang w:val="en-US"/>
        </w:rPr>
      </w:pPr>
    </w:p>
  </w:footnote>
  <w:footnote w:id="34">
    <w:p w14:paraId="7135A159" w14:textId="1406378C" w:rsidR="00E7275A" w:rsidRPr="00FB4347" w:rsidRDefault="00E7275A" w:rsidP="00C12C91">
      <w:pPr>
        <w:pStyle w:val="FootnoteText"/>
        <w:rPr>
          <w:sz w:val="16"/>
          <w:szCs w:val="16"/>
          <w:lang w:val="en-US"/>
        </w:rPr>
      </w:pPr>
      <w:r w:rsidRPr="00FB4347">
        <w:rPr>
          <w:rStyle w:val="FootnoteReference"/>
          <w:sz w:val="16"/>
          <w:szCs w:val="16"/>
        </w:rPr>
        <w:footnoteRef/>
      </w:r>
      <w:r w:rsidRPr="00FB4347">
        <w:rPr>
          <w:sz w:val="16"/>
          <w:szCs w:val="16"/>
        </w:rPr>
        <w:t xml:space="preserve"> UNDP (2019) Gender Analysis Report; UNDP (2020) Midterm Review Governance and Democratic Participation programme (2017-2021).</w:t>
      </w:r>
    </w:p>
  </w:footnote>
  <w:footnote w:id="35">
    <w:p w14:paraId="317BBD22" w14:textId="77777777" w:rsidR="00E7275A" w:rsidRPr="00FB4347" w:rsidRDefault="00E7275A" w:rsidP="00C12C91">
      <w:pPr>
        <w:pStyle w:val="FootnoteText"/>
        <w:rPr>
          <w:sz w:val="16"/>
          <w:szCs w:val="16"/>
          <w:lang w:val="en-US"/>
        </w:rPr>
      </w:pPr>
      <w:r w:rsidRPr="00FB4347">
        <w:rPr>
          <w:rStyle w:val="FootnoteReference"/>
          <w:sz w:val="16"/>
          <w:szCs w:val="16"/>
        </w:rPr>
        <w:footnoteRef/>
      </w:r>
      <w:r w:rsidRPr="00FB4347">
        <w:rPr>
          <w:sz w:val="16"/>
          <w:szCs w:val="16"/>
        </w:rPr>
        <w:t xml:space="preserve"> </w:t>
      </w:r>
      <w:r w:rsidRPr="00FB4347">
        <w:rPr>
          <w:sz w:val="16"/>
          <w:szCs w:val="16"/>
          <w:lang w:val="en-US"/>
        </w:rPr>
        <w:t>UNDP (2020) Midterm Review of GDPP (2017-2021)</w:t>
      </w:r>
    </w:p>
  </w:footnote>
  <w:footnote w:id="36">
    <w:p w14:paraId="7313871B" w14:textId="77777777" w:rsidR="00E7275A" w:rsidRPr="00FB4347" w:rsidRDefault="00E7275A" w:rsidP="00C12C91">
      <w:pPr>
        <w:pStyle w:val="FootnoteText"/>
        <w:rPr>
          <w:sz w:val="16"/>
          <w:szCs w:val="16"/>
          <w:lang w:val="en-US"/>
        </w:rPr>
      </w:pPr>
      <w:r w:rsidRPr="00FB4347">
        <w:rPr>
          <w:rStyle w:val="FootnoteReference"/>
          <w:sz w:val="16"/>
          <w:szCs w:val="16"/>
        </w:rPr>
        <w:footnoteRef/>
      </w:r>
      <w:r w:rsidRPr="00FB4347">
        <w:rPr>
          <w:sz w:val="16"/>
          <w:szCs w:val="16"/>
        </w:rPr>
        <w:t xml:space="preserve"> Interview with Governance and Capacity Building Advisor </w:t>
      </w:r>
    </w:p>
  </w:footnote>
  <w:footnote w:id="37">
    <w:p w14:paraId="4F331B22" w14:textId="646081C9" w:rsidR="00E7275A" w:rsidRPr="00FB4347" w:rsidRDefault="00E7275A" w:rsidP="00C12C91">
      <w:pPr>
        <w:pStyle w:val="FootnoteText"/>
        <w:rPr>
          <w:sz w:val="16"/>
          <w:szCs w:val="16"/>
          <w:lang w:val="en-US"/>
        </w:rPr>
      </w:pPr>
      <w:r>
        <w:rPr>
          <w:rStyle w:val="FootnoteReference"/>
        </w:rPr>
        <w:footnoteRef/>
      </w:r>
      <w:r>
        <w:t xml:space="preserve"> </w:t>
      </w:r>
      <w:r w:rsidRPr="00FB4347">
        <w:rPr>
          <w:sz w:val="16"/>
          <w:szCs w:val="16"/>
        </w:rPr>
        <w:t>“Ethiopia 2030: The Pathway to Prosperity: Ten Years Perspective Development Plan (2021 – 2030).”</w:t>
      </w:r>
    </w:p>
  </w:footnote>
  <w:footnote w:id="38">
    <w:p w14:paraId="76A4B8CC" w14:textId="77777777" w:rsidR="00E7275A" w:rsidRPr="00FB4347" w:rsidRDefault="00E7275A" w:rsidP="00C12C91">
      <w:pPr>
        <w:pStyle w:val="FootnoteText"/>
        <w:jc w:val="both"/>
        <w:rPr>
          <w:sz w:val="16"/>
          <w:szCs w:val="16"/>
          <w:lang w:val="en-US"/>
        </w:rPr>
      </w:pPr>
      <w:r w:rsidRPr="00FB4347">
        <w:rPr>
          <w:rStyle w:val="FootnoteReference"/>
          <w:sz w:val="16"/>
          <w:szCs w:val="16"/>
        </w:rPr>
        <w:footnoteRef/>
      </w:r>
      <w:r w:rsidRPr="00FB4347">
        <w:rPr>
          <w:sz w:val="16"/>
          <w:szCs w:val="16"/>
        </w:rPr>
        <w:t xml:space="preserve"> The ET recognises the </w:t>
      </w:r>
      <w:proofErr w:type="gramStart"/>
      <w:r w:rsidRPr="00FB4347">
        <w:rPr>
          <w:sz w:val="16"/>
          <w:szCs w:val="16"/>
        </w:rPr>
        <w:t>particular challenge</w:t>
      </w:r>
      <w:proofErr w:type="gramEnd"/>
      <w:r w:rsidRPr="00FB4347">
        <w:rPr>
          <w:sz w:val="16"/>
          <w:szCs w:val="16"/>
        </w:rPr>
        <w:t xml:space="preserve"> of addressing gender equality issues in traditional societies. Nevertheless, the fact that a Gender Analysis was not commissioned until two years into the programme suggests that gender was very much an after thought in programme design and development. Thankfully, this is now getting the attention it deserves.</w:t>
      </w:r>
    </w:p>
  </w:footnote>
  <w:footnote w:id="39">
    <w:p w14:paraId="285254F5" w14:textId="77777777" w:rsidR="00E7275A" w:rsidRPr="00FB4347" w:rsidRDefault="00E7275A" w:rsidP="00C12C91">
      <w:pPr>
        <w:pStyle w:val="FootnoteText"/>
        <w:rPr>
          <w:sz w:val="16"/>
          <w:szCs w:val="16"/>
          <w:lang w:val="en-US"/>
        </w:rPr>
      </w:pPr>
      <w:r w:rsidRPr="00FB4347">
        <w:rPr>
          <w:rStyle w:val="FootnoteReference"/>
          <w:sz w:val="16"/>
          <w:szCs w:val="16"/>
        </w:rPr>
        <w:footnoteRef/>
      </w:r>
      <w:r w:rsidRPr="00FB4347">
        <w:rPr>
          <w:sz w:val="16"/>
          <w:szCs w:val="16"/>
        </w:rPr>
        <w:t xml:space="preserve"> </w:t>
      </w:r>
      <w:r w:rsidRPr="00FB4347">
        <w:rPr>
          <w:sz w:val="16"/>
          <w:szCs w:val="16"/>
          <w:lang w:val="en-US"/>
        </w:rPr>
        <w:t xml:space="preserve">SDG 5: Achieve gender equality and empower all women and girls; SDG 10: Reduce inequality within and among countries; SDG 16: Promote peaceful and inclusive societies for sustainable development, provide access to justice for all and build effective, </w:t>
      </w:r>
      <w:proofErr w:type="gramStart"/>
      <w:r w:rsidRPr="00FB4347">
        <w:rPr>
          <w:sz w:val="16"/>
          <w:szCs w:val="16"/>
          <w:lang w:val="en-US"/>
        </w:rPr>
        <w:t>accountable</w:t>
      </w:r>
      <w:proofErr w:type="gramEnd"/>
      <w:r w:rsidRPr="00FB4347">
        <w:rPr>
          <w:sz w:val="16"/>
          <w:szCs w:val="16"/>
          <w:lang w:val="en-US"/>
        </w:rPr>
        <w:t xml:space="preserve"> and inclusive institutions at all levels.</w:t>
      </w:r>
    </w:p>
  </w:footnote>
  <w:footnote w:id="40">
    <w:p w14:paraId="0AA670C0" w14:textId="3E99CBC2" w:rsidR="00E7275A" w:rsidRPr="00FB4347" w:rsidRDefault="00E7275A" w:rsidP="00C4203C">
      <w:pPr>
        <w:pStyle w:val="FootnoteText"/>
        <w:jc w:val="both"/>
        <w:rPr>
          <w:sz w:val="16"/>
          <w:szCs w:val="16"/>
          <w:lang w:val="en-US"/>
        </w:rPr>
      </w:pPr>
      <w:r w:rsidRPr="00FB4347">
        <w:rPr>
          <w:rStyle w:val="FootnoteReference"/>
          <w:sz w:val="16"/>
          <w:szCs w:val="16"/>
        </w:rPr>
        <w:footnoteRef/>
      </w:r>
      <w:r w:rsidRPr="00FB4347">
        <w:rPr>
          <w:sz w:val="16"/>
          <w:szCs w:val="16"/>
        </w:rPr>
        <w:t xml:space="preserve"> Some participants in the Validation Workshop argued that they had been very supportive of CSOs in the regions. Be that as it may, the ET co</w:t>
      </w:r>
      <w:r w:rsidR="001057BC" w:rsidRPr="00FB4347">
        <w:rPr>
          <w:sz w:val="16"/>
          <w:szCs w:val="16"/>
        </w:rPr>
        <w:t xml:space="preserve">uld only report on what it had </w:t>
      </w:r>
      <w:r w:rsidRPr="00FB4347">
        <w:rPr>
          <w:sz w:val="16"/>
          <w:szCs w:val="16"/>
        </w:rPr>
        <w:t xml:space="preserve">found in </w:t>
      </w:r>
      <w:r w:rsidR="001057BC" w:rsidRPr="00FB4347">
        <w:rPr>
          <w:sz w:val="16"/>
          <w:szCs w:val="16"/>
        </w:rPr>
        <w:t>its research and evidence of such activities is lacking in programme reporting. This reflects the general weakness of data capture</w:t>
      </w:r>
      <w:r w:rsidR="004D11A8" w:rsidRPr="00FB4347">
        <w:rPr>
          <w:sz w:val="16"/>
          <w:szCs w:val="16"/>
        </w:rPr>
        <w:t xml:space="preserve"> and reporting (see para. 14)</w:t>
      </w:r>
    </w:p>
  </w:footnote>
  <w:footnote w:id="41">
    <w:p w14:paraId="799215BD" w14:textId="77777777" w:rsidR="00E7275A" w:rsidRPr="00FB4347" w:rsidRDefault="00E7275A" w:rsidP="00C4203C">
      <w:pPr>
        <w:pStyle w:val="FootnoteText"/>
        <w:jc w:val="both"/>
        <w:rPr>
          <w:sz w:val="16"/>
          <w:szCs w:val="16"/>
          <w:lang w:val="en-US"/>
        </w:rPr>
      </w:pPr>
      <w:r w:rsidRPr="00FB4347">
        <w:rPr>
          <w:rStyle w:val="FootnoteReference"/>
          <w:sz w:val="16"/>
          <w:szCs w:val="16"/>
        </w:rPr>
        <w:footnoteRef/>
      </w:r>
      <w:r w:rsidRPr="00FB4347">
        <w:rPr>
          <w:sz w:val="16"/>
          <w:szCs w:val="16"/>
        </w:rPr>
        <w:t xml:space="preserve"> According to one interviewee familiar with the process, this was a deliberate design principle. The Programme Document (p. 12) confirms this in stating: </w:t>
      </w:r>
      <w:r w:rsidRPr="00FB4347">
        <w:rPr>
          <w:sz w:val="16"/>
          <w:szCs w:val="16"/>
          <w:lang w:val="en-US"/>
        </w:rPr>
        <w:t>“UNDP will work in close collaboration with the two federal houses, the regional state councils, and the specialized democratic institutions, as well as some institutions in the Executive Branch to implement the programme and address governance challenges outlined in this document.”</w:t>
      </w:r>
    </w:p>
  </w:footnote>
  <w:footnote w:id="42">
    <w:p w14:paraId="7458F296" w14:textId="77777777" w:rsidR="00E7275A" w:rsidRPr="00FB4347" w:rsidRDefault="00E7275A" w:rsidP="00C12C91">
      <w:pPr>
        <w:spacing w:line="240" w:lineRule="auto"/>
        <w:jc w:val="both"/>
        <w:rPr>
          <w:rFonts w:eastAsia="Times New Roman" w:cstheme="minorHAnsi"/>
          <w:bCs/>
          <w:iCs/>
          <w:sz w:val="16"/>
          <w:szCs w:val="16"/>
          <w:bdr w:val="none" w:sz="0" w:space="0" w:color="auto" w:frame="1"/>
          <w:lang w:eastAsia="en-CA"/>
        </w:rPr>
      </w:pPr>
      <w:r w:rsidRPr="00FB4347">
        <w:rPr>
          <w:rStyle w:val="FootnoteReference"/>
          <w:sz w:val="16"/>
          <w:szCs w:val="16"/>
        </w:rPr>
        <w:footnoteRef/>
      </w:r>
      <w:r w:rsidRPr="00FB4347">
        <w:rPr>
          <w:sz w:val="16"/>
          <w:szCs w:val="16"/>
        </w:rPr>
        <w:t xml:space="preserve"> </w:t>
      </w:r>
      <w:r w:rsidRPr="00FB4347">
        <w:rPr>
          <w:rFonts w:eastAsia="Times New Roman" w:cstheme="minorHAnsi"/>
          <w:bCs/>
          <w:iCs/>
          <w:sz w:val="16"/>
          <w:szCs w:val="16"/>
          <w:bdr w:val="none" w:sz="0" w:space="0" w:color="auto" w:frame="1"/>
          <w:lang w:eastAsia="en-CA"/>
        </w:rPr>
        <w:t xml:space="preserve">Indeed, assessing the effectiveness and efficiency of the programme is challenging because the Programme Document did not identify any indicators to measure the impact on the three Outcome areas identified: a) improved inclusion, social cohesion and sustainable peace; b) responsive, accountable and inclusive systems of governance; </w:t>
      </w:r>
      <w:proofErr w:type="gramStart"/>
      <w:r w:rsidRPr="00FB4347">
        <w:rPr>
          <w:rFonts w:eastAsia="Times New Roman" w:cstheme="minorHAnsi"/>
          <w:bCs/>
          <w:iCs/>
          <w:sz w:val="16"/>
          <w:szCs w:val="16"/>
          <w:bdr w:val="none" w:sz="0" w:space="0" w:color="auto" w:frame="1"/>
          <w:lang w:eastAsia="en-CA"/>
        </w:rPr>
        <w:t>and,</w:t>
      </w:r>
      <w:proofErr w:type="gramEnd"/>
      <w:r w:rsidRPr="00FB4347">
        <w:rPr>
          <w:rFonts w:eastAsia="Times New Roman" w:cstheme="minorHAnsi"/>
          <w:bCs/>
          <w:iCs/>
          <w:sz w:val="16"/>
          <w:szCs w:val="16"/>
          <w:bdr w:val="none" w:sz="0" w:space="0" w:color="auto" w:frame="1"/>
          <w:lang w:eastAsia="en-CA"/>
        </w:rPr>
        <w:t xml:space="preserve"> c) empowered and responsible citizens.</w:t>
      </w:r>
    </w:p>
    <w:p w14:paraId="135F594F" w14:textId="77777777" w:rsidR="00E7275A" w:rsidRPr="00FB4347" w:rsidRDefault="00E7275A" w:rsidP="00C12C91">
      <w:pPr>
        <w:pStyle w:val="FootnoteText"/>
        <w:rPr>
          <w:sz w:val="16"/>
          <w:szCs w:val="16"/>
          <w:lang w:val="en-US"/>
        </w:rPr>
      </w:pPr>
    </w:p>
  </w:footnote>
  <w:footnote w:id="43">
    <w:p w14:paraId="4BF1E611" w14:textId="77777777" w:rsidR="00E7275A" w:rsidRPr="000810C9" w:rsidRDefault="00E7275A" w:rsidP="00C12C91">
      <w:pPr>
        <w:pStyle w:val="FootnoteText"/>
        <w:rPr>
          <w:sz w:val="16"/>
          <w:szCs w:val="16"/>
          <w:lang w:val="en-US"/>
        </w:rPr>
      </w:pPr>
      <w:r w:rsidRPr="000810C9">
        <w:rPr>
          <w:rStyle w:val="FootnoteReference"/>
          <w:sz w:val="16"/>
          <w:szCs w:val="16"/>
        </w:rPr>
        <w:footnoteRef/>
      </w:r>
      <w:r w:rsidRPr="000810C9">
        <w:rPr>
          <w:sz w:val="16"/>
          <w:szCs w:val="16"/>
        </w:rPr>
        <w:t xml:space="preserve"> However, the ET learned that the programme design was challenged by the NIM and restrictive CSO legislation. The former required UNDP to partner only with public institutions and the latter ‘systematically’ denied CSOs from working in the democratic governance sector. However, programme implementation attempted to include CSOs and citizens through the IPs.</w:t>
      </w:r>
    </w:p>
  </w:footnote>
  <w:footnote w:id="44">
    <w:p w14:paraId="1A140720" w14:textId="77777777" w:rsidR="00E7275A" w:rsidRPr="00517B18" w:rsidRDefault="00E7275A" w:rsidP="00C12C91">
      <w:pPr>
        <w:pStyle w:val="FootnoteText"/>
        <w:rPr>
          <w:lang w:val="en-US"/>
        </w:rPr>
      </w:pPr>
      <w:r>
        <w:rPr>
          <w:rStyle w:val="FootnoteReference"/>
        </w:rPr>
        <w:footnoteRef/>
      </w:r>
      <w:r>
        <w:t xml:space="preserve"> </w:t>
      </w:r>
      <w:r>
        <w:rPr>
          <w:lang w:val="en-US"/>
        </w:rPr>
        <w:t>DAC Criteria for Evaluating Development Assistance.</w:t>
      </w:r>
    </w:p>
  </w:footnote>
  <w:footnote w:id="45">
    <w:p w14:paraId="0D620E26" w14:textId="77777777" w:rsidR="00E7275A" w:rsidRPr="000810C9" w:rsidRDefault="00E7275A" w:rsidP="00C12C91">
      <w:pPr>
        <w:spacing w:line="240" w:lineRule="auto"/>
        <w:jc w:val="both"/>
        <w:textAlignment w:val="baseline"/>
        <w:rPr>
          <w:rFonts w:eastAsia="Times New Roman" w:cstheme="minorHAnsi"/>
          <w:sz w:val="16"/>
          <w:szCs w:val="16"/>
          <w:lang w:eastAsia="en-CA"/>
        </w:rPr>
      </w:pPr>
      <w:r w:rsidRPr="000810C9">
        <w:rPr>
          <w:rStyle w:val="FootnoteReference"/>
          <w:sz w:val="16"/>
          <w:szCs w:val="16"/>
        </w:rPr>
        <w:footnoteRef/>
      </w:r>
      <w:r w:rsidRPr="000810C9">
        <w:rPr>
          <w:sz w:val="16"/>
          <w:szCs w:val="16"/>
        </w:rPr>
        <w:t xml:space="preserve"> The ET estimates that digital platforms such as in FEACC (DARS), Office of Auditor General (ARTS), the EIO (online complaint registration and feedback center), and collaboration and partnerships established should be able to continue after the GDPP expires.</w:t>
      </w:r>
    </w:p>
    <w:p w14:paraId="05C59223" w14:textId="77777777" w:rsidR="00E7275A" w:rsidRPr="000810C9" w:rsidRDefault="00E7275A" w:rsidP="00C12C91">
      <w:pPr>
        <w:pStyle w:val="FootnoteText"/>
        <w:rPr>
          <w:sz w:val="16"/>
          <w:szCs w:val="16"/>
          <w:lang w:val="en-US"/>
        </w:rPr>
      </w:pPr>
    </w:p>
  </w:footnote>
  <w:footnote w:id="46">
    <w:p w14:paraId="15FC63B0" w14:textId="77777777" w:rsidR="00E7275A" w:rsidRPr="000810C9" w:rsidRDefault="00E7275A" w:rsidP="005D4927">
      <w:pPr>
        <w:pStyle w:val="FootnoteText"/>
        <w:rPr>
          <w:sz w:val="16"/>
          <w:szCs w:val="16"/>
          <w:lang w:val="en-US"/>
        </w:rPr>
      </w:pPr>
      <w:r>
        <w:rPr>
          <w:rStyle w:val="FootnoteReference"/>
        </w:rPr>
        <w:footnoteRef/>
      </w:r>
      <w:r>
        <w:t xml:space="preserve"> </w:t>
      </w:r>
      <w:r w:rsidRPr="000810C9">
        <w:rPr>
          <w:sz w:val="16"/>
          <w:szCs w:val="16"/>
          <w:lang w:val="en-US"/>
        </w:rPr>
        <w:t>MTR, p. 70.</w:t>
      </w:r>
    </w:p>
  </w:footnote>
  <w:footnote w:id="47">
    <w:p w14:paraId="43E71315" w14:textId="77777777" w:rsidR="00E7275A" w:rsidRPr="000810C9" w:rsidRDefault="00E7275A" w:rsidP="005D4927">
      <w:pPr>
        <w:pStyle w:val="FootnoteText"/>
        <w:rPr>
          <w:sz w:val="16"/>
          <w:szCs w:val="16"/>
        </w:rPr>
      </w:pPr>
      <w:r w:rsidRPr="000810C9">
        <w:rPr>
          <w:rStyle w:val="FootnoteReference"/>
          <w:sz w:val="16"/>
          <w:szCs w:val="16"/>
        </w:rPr>
        <w:footnoteRef/>
      </w:r>
      <w:r w:rsidRPr="000810C9">
        <w:rPr>
          <w:sz w:val="16"/>
          <w:szCs w:val="16"/>
        </w:rPr>
        <w:t xml:space="preserve"> UNDP (2018) GDPP Annual Workplan, July – December 2018.</w:t>
      </w:r>
    </w:p>
  </w:footnote>
  <w:footnote w:id="48">
    <w:p w14:paraId="648E2EAA" w14:textId="13219E0D" w:rsidR="00E7275A" w:rsidRPr="000810C9" w:rsidRDefault="00E7275A" w:rsidP="007953EB">
      <w:pPr>
        <w:spacing w:after="0"/>
        <w:jc w:val="both"/>
        <w:rPr>
          <w:sz w:val="16"/>
          <w:szCs w:val="16"/>
        </w:rPr>
      </w:pPr>
      <w:r w:rsidRPr="000810C9">
        <w:rPr>
          <w:rStyle w:val="FootnoteReference"/>
          <w:sz w:val="16"/>
          <w:szCs w:val="16"/>
        </w:rPr>
        <w:footnoteRef/>
      </w:r>
      <w:r w:rsidRPr="000810C9">
        <w:rPr>
          <w:sz w:val="16"/>
          <w:szCs w:val="16"/>
        </w:rPr>
        <w:t xml:space="preserve"> UNDP (2019) GDPP Annual report (2019, p.31)</w:t>
      </w:r>
    </w:p>
  </w:footnote>
  <w:footnote w:id="49">
    <w:p w14:paraId="0BB9641A" w14:textId="77777777" w:rsidR="00E7275A" w:rsidRPr="000810C9" w:rsidRDefault="00E7275A" w:rsidP="00C540C8">
      <w:pPr>
        <w:pStyle w:val="FootnoteText"/>
        <w:rPr>
          <w:sz w:val="16"/>
          <w:szCs w:val="16"/>
        </w:rPr>
      </w:pPr>
      <w:r w:rsidRPr="000810C9">
        <w:rPr>
          <w:rStyle w:val="FootnoteReference"/>
          <w:sz w:val="16"/>
          <w:szCs w:val="16"/>
        </w:rPr>
        <w:footnoteRef/>
      </w:r>
      <w:r w:rsidRPr="000810C9">
        <w:rPr>
          <w:sz w:val="16"/>
          <w:szCs w:val="16"/>
        </w:rPr>
        <w:t xml:space="preserve"> ROAR, 2018.</w:t>
      </w:r>
    </w:p>
  </w:footnote>
  <w:footnote w:id="50">
    <w:p w14:paraId="6241FB61" w14:textId="77777777" w:rsidR="00E7275A" w:rsidRPr="000810C9" w:rsidRDefault="00E7275A" w:rsidP="00C540C8">
      <w:pPr>
        <w:pStyle w:val="FootnoteText"/>
        <w:rPr>
          <w:sz w:val="16"/>
          <w:szCs w:val="16"/>
        </w:rPr>
      </w:pPr>
      <w:r w:rsidRPr="000810C9">
        <w:rPr>
          <w:rStyle w:val="FootnoteReference"/>
          <w:sz w:val="16"/>
          <w:szCs w:val="16"/>
        </w:rPr>
        <w:footnoteRef/>
      </w:r>
      <w:r w:rsidRPr="000810C9">
        <w:rPr>
          <w:sz w:val="16"/>
          <w:szCs w:val="16"/>
        </w:rPr>
        <w:t xml:space="preserve"> ROAR 2019.</w:t>
      </w:r>
    </w:p>
  </w:footnote>
  <w:footnote w:id="51">
    <w:p w14:paraId="70836A82" w14:textId="77777777" w:rsidR="00E7275A" w:rsidRPr="000810C9" w:rsidRDefault="00E7275A" w:rsidP="00C540C8">
      <w:pPr>
        <w:pStyle w:val="FootnoteText"/>
        <w:rPr>
          <w:sz w:val="16"/>
          <w:szCs w:val="16"/>
        </w:rPr>
      </w:pPr>
      <w:r w:rsidRPr="000810C9">
        <w:rPr>
          <w:rStyle w:val="FootnoteReference"/>
          <w:sz w:val="16"/>
          <w:szCs w:val="16"/>
        </w:rPr>
        <w:footnoteRef/>
      </w:r>
      <w:r w:rsidRPr="000810C9">
        <w:rPr>
          <w:sz w:val="16"/>
          <w:szCs w:val="16"/>
        </w:rPr>
        <w:t xml:space="preserve"> Communication with GESI.</w:t>
      </w:r>
    </w:p>
  </w:footnote>
  <w:footnote w:id="52">
    <w:p w14:paraId="27B8DEA7" w14:textId="604312EC" w:rsidR="004D11A8" w:rsidRPr="000810C9" w:rsidRDefault="004D11A8">
      <w:pPr>
        <w:pStyle w:val="FootnoteText"/>
        <w:rPr>
          <w:sz w:val="16"/>
          <w:szCs w:val="16"/>
          <w:lang w:val="en-US"/>
        </w:rPr>
      </w:pPr>
      <w:r w:rsidRPr="000810C9">
        <w:rPr>
          <w:rStyle w:val="FootnoteReference"/>
          <w:sz w:val="16"/>
          <w:szCs w:val="16"/>
        </w:rPr>
        <w:footnoteRef/>
      </w:r>
      <w:r w:rsidRPr="000810C9">
        <w:rPr>
          <w:sz w:val="16"/>
          <w:szCs w:val="16"/>
        </w:rPr>
        <w:t xml:space="preserve"> </w:t>
      </w:r>
      <w:r w:rsidRPr="000810C9">
        <w:rPr>
          <w:sz w:val="16"/>
          <w:szCs w:val="16"/>
          <w:lang w:val="en-US"/>
        </w:rPr>
        <w:t>See Footnote 40.</w:t>
      </w:r>
    </w:p>
  </w:footnote>
  <w:footnote w:id="53">
    <w:p w14:paraId="6E8BBA8D" w14:textId="3E01D65F" w:rsidR="00E76358" w:rsidRPr="006B4191" w:rsidRDefault="00E76358" w:rsidP="00C4203C">
      <w:pPr>
        <w:pStyle w:val="FootnoteText"/>
        <w:jc w:val="both"/>
        <w:rPr>
          <w:sz w:val="16"/>
          <w:szCs w:val="16"/>
          <w:lang w:val="en-US"/>
        </w:rPr>
      </w:pPr>
      <w:r>
        <w:rPr>
          <w:rStyle w:val="FootnoteReference"/>
        </w:rPr>
        <w:footnoteRef/>
      </w:r>
      <w:r>
        <w:t xml:space="preserve"> </w:t>
      </w:r>
      <w:r w:rsidRPr="006B4191">
        <w:rPr>
          <w:sz w:val="16"/>
          <w:szCs w:val="16"/>
          <w:lang w:val="en-US"/>
        </w:rPr>
        <w:t>It has been argued by some reviewers of th</w:t>
      </w:r>
      <w:r w:rsidR="001635A1" w:rsidRPr="006B4191">
        <w:rPr>
          <w:sz w:val="16"/>
          <w:szCs w:val="16"/>
          <w:lang w:val="en-US"/>
        </w:rPr>
        <w:t>is</w:t>
      </w:r>
      <w:r w:rsidRPr="006B4191">
        <w:rPr>
          <w:sz w:val="16"/>
          <w:szCs w:val="16"/>
          <w:lang w:val="en-US"/>
        </w:rPr>
        <w:t xml:space="preserve"> report, and raised in the Validation Workshop, that </w:t>
      </w:r>
      <w:r w:rsidR="008E4FC0" w:rsidRPr="006B4191">
        <w:rPr>
          <w:sz w:val="16"/>
          <w:szCs w:val="16"/>
          <w:lang w:val="en-US"/>
        </w:rPr>
        <w:t xml:space="preserve">SDG attainment is a key objective of the GDPP. However, whereas it may be implied that this is the case, </w:t>
      </w:r>
      <w:proofErr w:type="gramStart"/>
      <w:r w:rsidR="008E4FC0" w:rsidRPr="006B4191">
        <w:rPr>
          <w:sz w:val="16"/>
          <w:szCs w:val="16"/>
          <w:lang w:val="en-US"/>
        </w:rPr>
        <w:t>i.e.</w:t>
      </w:r>
      <w:proofErr w:type="gramEnd"/>
      <w:r w:rsidR="008E4FC0" w:rsidRPr="006B4191">
        <w:rPr>
          <w:sz w:val="16"/>
          <w:szCs w:val="16"/>
          <w:lang w:val="en-US"/>
        </w:rPr>
        <w:t xml:space="preserve"> that all UNDP activities are geared towards the realization of the SDG goals, the ET did not find any evidence that there was an explicit effort to address the SDGs</w:t>
      </w:r>
      <w:r w:rsidR="001635A1" w:rsidRPr="006B4191">
        <w:rPr>
          <w:sz w:val="16"/>
          <w:szCs w:val="16"/>
          <w:lang w:val="en-US"/>
        </w:rPr>
        <w:t xml:space="preserve"> through the GDPP</w:t>
      </w:r>
      <w:r w:rsidR="008E4FC0" w:rsidRPr="006B4191">
        <w:rPr>
          <w:sz w:val="16"/>
          <w:szCs w:val="16"/>
          <w:lang w:val="en-US"/>
        </w:rPr>
        <w:t>.</w:t>
      </w:r>
    </w:p>
  </w:footnote>
  <w:footnote w:id="54">
    <w:p w14:paraId="12BB0FFE" w14:textId="101DD517" w:rsidR="00E7275A" w:rsidRPr="0008119F" w:rsidRDefault="00E7275A" w:rsidP="00474D71">
      <w:pPr>
        <w:spacing w:line="240" w:lineRule="auto"/>
        <w:jc w:val="both"/>
        <w:rPr>
          <w:sz w:val="20"/>
          <w:szCs w:val="20"/>
        </w:rPr>
      </w:pPr>
      <w:r w:rsidRPr="0008119F">
        <w:rPr>
          <w:rStyle w:val="FootnoteReference"/>
          <w:sz w:val="20"/>
          <w:szCs w:val="20"/>
        </w:rPr>
        <w:footnoteRef/>
      </w:r>
      <w:r w:rsidRPr="0008119F">
        <w:rPr>
          <w:sz w:val="20"/>
          <w:szCs w:val="20"/>
        </w:rPr>
        <w:t xml:space="preserve"> </w:t>
      </w:r>
      <w:r w:rsidRPr="0008119F">
        <w:rPr>
          <w:sz w:val="18"/>
          <w:szCs w:val="18"/>
        </w:rPr>
        <w:t>The watchdog institutions that are directly accountable to the House and participating in GDPP include</w:t>
      </w:r>
      <w:r>
        <w:rPr>
          <w:sz w:val="18"/>
          <w:szCs w:val="18"/>
        </w:rPr>
        <w:t>:</w:t>
      </w:r>
      <w:r w:rsidRPr="0008119F">
        <w:rPr>
          <w:sz w:val="18"/>
          <w:szCs w:val="18"/>
        </w:rPr>
        <w:t xml:space="preserve"> </w:t>
      </w:r>
      <w:r>
        <w:rPr>
          <w:sz w:val="18"/>
          <w:szCs w:val="18"/>
        </w:rPr>
        <w:t xml:space="preserve">OAG, EHRC, FEACC, EBA/EMA, NEBE, EIO, OFAG </w:t>
      </w:r>
    </w:p>
    <w:p w14:paraId="2D612F42" w14:textId="77777777" w:rsidR="00E7275A" w:rsidRPr="0008119F" w:rsidRDefault="00E7275A" w:rsidP="00474D71">
      <w:pPr>
        <w:pStyle w:val="FootnoteText"/>
        <w:rPr>
          <w:lang w:val="en-US"/>
        </w:rPr>
      </w:pPr>
    </w:p>
  </w:footnote>
  <w:footnote w:id="55">
    <w:p w14:paraId="29DABD02" w14:textId="6F636846" w:rsidR="00E7275A" w:rsidRPr="00260D7C" w:rsidRDefault="00E7275A">
      <w:pPr>
        <w:pStyle w:val="FootnoteText"/>
        <w:rPr>
          <w:lang w:val="en-US"/>
        </w:rPr>
      </w:pPr>
      <w:r>
        <w:rPr>
          <w:rStyle w:val="FootnoteReference"/>
        </w:rPr>
        <w:footnoteRef/>
      </w:r>
      <w:r>
        <w:t xml:space="preserve"> </w:t>
      </w:r>
      <w:r>
        <w:rPr>
          <w:lang w:val="en-US"/>
        </w:rPr>
        <w:t xml:space="preserve">Full version of the ToRs </w:t>
      </w:r>
      <w:proofErr w:type="gramStart"/>
      <w:r>
        <w:rPr>
          <w:lang w:val="en-US"/>
        </w:rPr>
        <w:t>are</w:t>
      </w:r>
      <w:proofErr w:type="gramEnd"/>
      <w:r>
        <w:rPr>
          <w:lang w:val="en-US"/>
        </w:rPr>
        <w:t xml:space="preserve"> available upon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691"/>
    <w:multiLevelType w:val="multilevel"/>
    <w:tmpl w:val="08AAA09A"/>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04294CAF"/>
    <w:multiLevelType w:val="hybridMultilevel"/>
    <w:tmpl w:val="284A1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6F12"/>
    <w:multiLevelType w:val="hybridMultilevel"/>
    <w:tmpl w:val="12D4C3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8B7EF1"/>
    <w:multiLevelType w:val="multilevel"/>
    <w:tmpl w:val="91DE6CB4"/>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745F34"/>
    <w:multiLevelType w:val="multilevel"/>
    <w:tmpl w:val="10A4DB90"/>
    <w:lvl w:ilvl="0">
      <w:start w:val="3"/>
      <w:numFmt w:val="decimal"/>
      <w:lvlText w:val="%1"/>
      <w:lvlJc w:val="left"/>
      <w:pPr>
        <w:ind w:left="444" w:hanging="444"/>
      </w:pPr>
      <w:rPr>
        <w:rFonts w:eastAsiaTheme="minorHAnsi" w:cstheme="minorBidi" w:hint="default"/>
        <w:b/>
      </w:rPr>
    </w:lvl>
    <w:lvl w:ilvl="1">
      <w:start w:val="1"/>
      <w:numFmt w:val="decimal"/>
      <w:lvlText w:val="%1.%2"/>
      <w:lvlJc w:val="left"/>
      <w:pPr>
        <w:ind w:left="444" w:hanging="444"/>
      </w:pPr>
      <w:rPr>
        <w:rFonts w:eastAsiaTheme="minorHAnsi" w:cstheme="minorBidi" w:hint="default"/>
        <w:b/>
      </w:rPr>
    </w:lvl>
    <w:lvl w:ilvl="2">
      <w:start w:val="3"/>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5" w15:restartNumberingAfterBreak="0">
    <w:nsid w:val="0A371F5E"/>
    <w:multiLevelType w:val="hybridMultilevel"/>
    <w:tmpl w:val="83AA7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F8443B"/>
    <w:multiLevelType w:val="hybridMultilevel"/>
    <w:tmpl w:val="81D69274"/>
    <w:lvl w:ilvl="0" w:tplc="D8D86658">
      <w:start w:val="1"/>
      <w:numFmt w:val="bullet"/>
      <w:lvlText w:val="•"/>
      <w:lvlJc w:val="left"/>
      <w:pPr>
        <w:tabs>
          <w:tab w:val="num" w:pos="720"/>
        </w:tabs>
        <w:ind w:left="720" w:hanging="360"/>
      </w:pPr>
      <w:rPr>
        <w:rFonts w:ascii="Times New Roman" w:hAnsi="Times New Roman" w:hint="default"/>
      </w:rPr>
    </w:lvl>
    <w:lvl w:ilvl="1" w:tplc="AC9C6D38" w:tentative="1">
      <w:start w:val="1"/>
      <w:numFmt w:val="bullet"/>
      <w:lvlText w:val="•"/>
      <w:lvlJc w:val="left"/>
      <w:pPr>
        <w:tabs>
          <w:tab w:val="num" w:pos="1440"/>
        </w:tabs>
        <w:ind w:left="1440" w:hanging="360"/>
      </w:pPr>
      <w:rPr>
        <w:rFonts w:ascii="Times New Roman" w:hAnsi="Times New Roman" w:hint="default"/>
      </w:rPr>
    </w:lvl>
    <w:lvl w:ilvl="2" w:tplc="972E3A96" w:tentative="1">
      <w:start w:val="1"/>
      <w:numFmt w:val="bullet"/>
      <w:lvlText w:val="•"/>
      <w:lvlJc w:val="left"/>
      <w:pPr>
        <w:tabs>
          <w:tab w:val="num" w:pos="2160"/>
        </w:tabs>
        <w:ind w:left="2160" w:hanging="360"/>
      </w:pPr>
      <w:rPr>
        <w:rFonts w:ascii="Times New Roman" w:hAnsi="Times New Roman" w:hint="default"/>
      </w:rPr>
    </w:lvl>
    <w:lvl w:ilvl="3" w:tplc="E9AE3506" w:tentative="1">
      <w:start w:val="1"/>
      <w:numFmt w:val="bullet"/>
      <w:lvlText w:val="•"/>
      <w:lvlJc w:val="left"/>
      <w:pPr>
        <w:tabs>
          <w:tab w:val="num" w:pos="2880"/>
        </w:tabs>
        <w:ind w:left="2880" w:hanging="360"/>
      </w:pPr>
      <w:rPr>
        <w:rFonts w:ascii="Times New Roman" w:hAnsi="Times New Roman" w:hint="default"/>
      </w:rPr>
    </w:lvl>
    <w:lvl w:ilvl="4" w:tplc="B30202B6" w:tentative="1">
      <w:start w:val="1"/>
      <w:numFmt w:val="bullet"/>
      <w:lvlText w:val="•"/>
      <w:lvlJc w:val="left"/>
      <w:pPr>
        <w:tabs>
          <w:tab w:val="num" w:pos="3600"/>
        </w:tabs>
        <w:ind w:left="3600" w:hanging="360"/>
      </w:pPr>
      <w:rPr>
        <w:rFonts w:ascii="Times New Roman" w:hAnsi="Times New Roman" w:hint="default"/>
      </w:rPr>
    </w:lvl>
    <w:lvl w:ilvl="5" w:tplc="602CF862" w:tentative="1">
      <w:start w:val="1"/>
      <w:numFmt w:val="bullet"/>
      <w:lvlText w:val="•"/>
      <w:lvlJc w:val="left"/>
      <w:pPr>
        <w:tabs>
          <w:tab w:val="num" w:pos="4320"/>
        </w:tabs>
        <w:ind w:left="4320" w:hanging="360"/>
      </w:pPr>
      <w:rPr>
        <w:rFonts w:ascii="Times New Roman" w:hAnsi="Times New Roman" w:hint="default"/>
      </w:rPr>
    </w:lvl>
    <w:lvl w:ilvl="6" w:tplc="51D4AF10" w:tentative="1">
      <w:start w:val="1"/>
      <w:numFmt w:val="bullet"/>
      <w:lvlText w:val="•"/>
      <w:lvlJc w:val="left"/>
      <w:pPr>
        <w:tabs>
          <w:tab w:val="num" w:pos="5040"/>
        </w:tabs>
        <w:ind w:left="5040" w:hanging="360"/>
      </w:pPr>
      <w:rPr>
        <w:rFonts w:ascii="Times New Roman" w:hAnsi="Times New Roman" w:hint="default"/>
      </w:rPr>
    </w:lvl>
    <w:lvl w:ilvl="7" w:tplc="93941E18" w:tentative="1">
      <w:start w:val="1"/>
      <w:numFmt w:val="bullet"/>
      <w:lvlText w:val="•"/>
      <w:lvlJc w:val="left"/>
      <w:pPr>
        <w:tabs>
          <w:tab w:val="num" w:pos="5760"/>
        </w:tabs>
        <w:ind w:left="5760" w:hanging="360"/>
      </w:pPr>
      <w:rPr>
        <w:rFonts w:ascii="Times New Roman" w:hAnsi="Times New Roman" w:hint="default"/>
      </w:rPr>
    </w:lvl>
    <w:lvl w:ilvl="8" w:tplc="D4BA6F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A277706"/>
    <w:multiLevelType w:val="multilevel"/>
    <w:tmpl w:val="DDAC9B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328A198A"/>
    <w:multiLevelType w:val="multilevel"/>
    <w:tmpl w:val="CDF6E6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8E1DCE"/>
    <w:multiLevelType w:val="hybridMultilevel"/>
    <w:tmpl w:val="1D582E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6EE79E0"/>
    <w:multiLevelType w:val="multilevel"/>
    <w:tmpl w:val="CE90F8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B65BFF"/>
    <w:multiLevelType w:val="hybridMultilevel"/>
    <w:tmpl w:val="FB186DA2"/>
    <w:lvl w:ilvl="0" w:tplc="10090001">
      <w:start w:val="1"/>
      <w:numFmt w:val="bullet"/>
      <w:lvlText w:val=""/>
      <w:lvlJc w:val="left"/>
      <w:pPr>
        <w:ind w:left="1491" w:hanging="360"/>
      </w:pPr>
      <w:rPr>
        <w:rFonts w:ascii="Symbol" w:hAnsi="Symbol" w:hint="default"/>
      </w:rPr>
    </w:lvl>
    <w:lvl w:ilvl="1" w:tplc="10090003" w:tentative="1">
      <w:start w:val="1"/>
      <w:numFmt w:val="bullet"/>
      <w:lvlText w:val="o"/>
      <w:lvlJc w:val="left"/>
      <w:pPr>
        <w:ind w:left="2211" w:hanging="360"/>
      </w:pPr>
      <w:rPr>
        <w:rFonts w:ascii="Courier New" w:hAnsi="Courier New" w:cs="Courier New" w:hint="default"/>
      </w:rPr>
    </w:lvl>
    <w:lvl w:ilvl="2" w:tplc="10090005" w:tentative="1">
      <w:start w:val="1"/>
      <w:numFmt w:val="bullet"/>
      <w:lvlText w:val=""/>
      <w:lvlJc w:val="left"/>
      <w:pPr>
        <w:ind w:left="2931" w:hanging="360"/>
      </w:pPr>
      <w:rPr>
        <w:rFonts w:ascii="Wingdings" w:hAnsi="Wingdings" w:hint="default"/>
      </w:rPr>
    </w:lvl>
    <w:lvl w:ilvl="3" w:tplc="10090001" w:tentative="1">
      <w:start w:val="1"/>
      <w:numFmt w:val="bullet"/>
      <w:lvlText w:val=""/>
      <w:lvlJc w:val="left"/>
      <w:pPr>
        <w:ind w:left="3651" w:hanging="360"/>
      </w:pPr>
      <w:rPr>
        <w:rFonts w:ascii="Symbol" w:hAnsi="Symbol" w:hint="default"/>
      </w:rPr>
    </w:lvl>
    <w:lvl w:ilvl="4" w:tplc="10090003" w:tentative="1">
      <w:start w:val="1"/>
      <w:numFmt w:val="bullet"/>
      <w:lvlText w:val="o"/>
      <w:lvlJc w:val="left"/>
      <w:pPr>
        <w:ind w:left="4371" w:hanging="360"/>
      </w:pPr>
      <w:rPr>
        <w:rFonts w:ascii="Courier New" w:hAnsi="Courier New" w:cs="Courier New" w:hint="default"/>
      </w:rPr>
    </w:lvl>
    <w:lvl w:ilvl="5" w:tplc="10090005" w:tentative="1">
      <w:start w:val="1"/>
      <w:numFmt w:val="bullet"/>
      <w:lvlText w:val=""/>
      <w:lvlJc w:val="left"/>
      <w:pPr>
        <w:ind w:left="5091" w:hanging="360"/>
      </w:pPr>
      <w:rPr>
        <w:rFonts w:ascii="Wingdings" w:hAnsi="Wingdings" w:hint="default"/>
      </w:rPr>
    </w:lvl>
    <w:lvl w:ilvl="6" w:tplc="10090001" w:tentative="1">
      <w:start w:val="1"/>
      <w:numFmt w:val="bullet"/>
      <w:lvlText w:val=""/>
      <w:lvlJc w:val="left"/>
      <w:pPr>
        <w:ind w:left="5811" w:hanging="360"/>
      </w:pPr>
      <w:rPr>
        <w:rFonts w:ascii="Symbol" w:hAnsi="Symbol" w:hint="default"/>
      </w:rPr>
    </w:lvl>
    <w:lvl w:ilvl="7" w:tplc="10090003" w:tentative="1">
      <w:start w:val="1"/>
      <w:numFmt w:val="bullet"/>
      <w:lvlText w:val="o"/>
      <w:lvlJc w:val="left"/>
      <w:pPr>
        <w:ind w:left="6531" w:hanging="360"/>
      </w:pPr>
      <w:rPr>
        <w:rFonts w:ascii="Courier New" w:hAnsi="Courier New" w:cs="Courier New" w:hint="default"/>
      </w:rPr>
    </w:lvl>
    <w:lvl w:ilvl="8" w:tplc="10090005" w:tentative="1">
      <w:start w:val="1"/>
      <w:numFmt w:val="bullet"/>
      <w:lvlText w:val=""/>
      <w:lvlJc w:val="left"/>
      <w:pPr>
        <w:ind w:left="7251" w:hanging="360"/>
      </w:pPr>
      <w:rPr>
        <w:rFonts w:ascii="Wingdings" w:hAnsi="Wingdings" w:hint="default"/>
      </w:rPr>
    </w:lvl>
  </w:abstractNum>
  <w:abstractNum w:abstractNumId="12" w15:restartNumberingAfterBreak="0">
    <w:nsid w:val="3E4B02FF"/>
    <w:multiLevelType w:val="multilevel"/>
    <w:tmpl w:val="3FAADE1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C260C9"/>
    <w:multiLevelType w:val="hybridMultilevel"/>
    <w:tmpl w:val="99B4337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4" w15:restartNumberingAfterBreak="0">
    <w:nsid w:val="3F2B04AE"/>
    <w:multiLevelType w:val="hybridMultilevel"/>
    <w:tmpl w:val="5BA07DC6"/>
    <w:lvl w:ilvl="0" w:tplc="7FC89D24">
      <w:start w:val="1"/>
      <w:numFmt w:val="bullet"/>
      <w:lvlText w:val="•"/>
      <w:lvlJc w:val="left"/>
      <w:pPr>
        <w:tabs>
          <w:tab w:val="num" w:pos="720"/>
        </w:tabs>
        <w:ind w:left="720" w:hanging="360"/>
      </w:pPr>
      <w:rPr>
        <w:rFonts w:ascii="Times New Roman" w:hAnsi="Times New Roman" w:hint="default"/>
      </w:rPr>
    </w:lvl>
    <w:lvl w:ilvl="1" w:tplc="F0A21786" w:tentative="1">
      <w:start w:val="1"/>
      <w:numFmt w:val="bullet"/>
      <w:lvlText w:val="•"/>
      <w:lvlJc w:val="left"/>
      <w:pPr>
        <w:tabs>
          <w:tab w:val="num" w:pos="1440"/>
        </w:tabs>
        <w:ind w:left="1440" w:hanging="360"/>
      </w:pPr>
      <w:rPr>
        <w:rFonts w:ascii="Times New Roman" w:hAnsi="Times New Roman" w:hint="default"/>
      </w:rPr>
    </w:lvl>
    <w:lvl w:ilvl="2" w:tplc="C292E0C6" w:tentative="1">
      <w:start w:val="1"/>
      <w:numFmt w:val="bullet"/>
      <w:lvlText w:val="•"/>
      <w:lvlJc w:val="left"/>
      <w:pPr>
        <w:tabs>
          <w:tab w:val="num" w:pos="2160"/>
        </w:tabs>
        <w:ind w:left="2160" w:hanging="360"/>
      </w:pPr>
      <w:rPr>
        <w:rFonts w:ascii="Times New Roman" w:hAnsi="Times New Roman" w:hint="default"/>
      </w:rPr>
    </w:lvl>
    <w:lvl w:ilvl="3" w:tplc="90F20E78" w:tentative="1">
      <w:start w:val="1"/>
      <w:numFmt w:val="bullet"/>
      <w:lvlText w:val="•"/>
      <w:lvlJc w:val="left"/>
      <w:pPr>
        <w:tabs>
          <w:tab w:val="num" w:pos="2880"/>
        </w:tabs>
        <w:ind w:left="2880" w:hanging="360"/>
      </w:pPr>
      <w:rPr>
        <w:rFonts w:ascii="Times New Roman" w:hAnsi="Times New Roman" w:hint="default"/>
      </w:rPr>
    </w:lvl>
    <w:lvl w:ilvl="4" w:tplc="97D2F3F8" w:tentative="1">
      <w:start w:val="1"/>
      <w:numFmt w:val="bullet"/>
      <w:lvlText w:val="•"/>
      <w:lvlJc w:val="left"/>
      <w:pPr>
        <w:tabs>
          <w:tab w:val="num" w:pos="3600"/>
        </w:tabs>
        <w:ind w:left="3600" w:hanging="360"/>
      </w:pPr>
      <w:rPr>
        <w:rFonts w:ascii="Times New Roman" w:hAnsi="Times New Roman" w:hint="default"/>
      </w:rPr>
    </w:lvl>
    <w:lvl w:ilvl="5" w:tplc="2FECF43C" w:tentative="1">
      <w:start w:val="1"/>
      <w:numFmt w:val="bullet"/>
      <w:lvlText w:val="•"/>
      <w:lvlJc w:val="left"/>
      <w:pPr>
        <w:tabs>
          <w:tab w:val="num" w:pos="4320"/>
        </w:tabs>
        <w:ind w:left="4320" w:hanging="360"/>
      </w:pPr>
      <w:rPr>
        <w:rFonts w:ascii="Times New Roman" w:hAnsi="Times New Roman" w:hint="default"/>
      </w:rPr>
    </w:lvl>
    <w:lvl w:ilvl="6" w:tplc="3FB69FCE" w:tentative="1">
      <w:start w:val="1"/>
      <w:numFmt w:val="bullet"/>
      <w:lvlText w:val="•"/>
      <w:lvlJc w:val="left"/>
      <w:pPr>
        <w:tabs>
          <w:tab w:val="num" w:pos="5040"/>
        </w:tabs>
        <w:ind w:left="5040" w:hanging="360"/>
      </w:pPr>
      <w:rPr>
        <w:rFonts w:ascii="Times New Roman" w:hAnsi="Times New Roman" w:hint="default"/>
      </w:rPr>
    </w:lvl>
    <w:lvl w:ilvl="7" w:tplc="1238710A" w:tentative="1">
      <w:start w:val="1"/>
      <w:numFmt w:val="bullet"/>
      <w:lvlText w:val="•"/>
      <w:lvlJc w:val="left"/>
      <w:pPr>
        <w:tabs>
          <w:tab w:val="num" w:pos="5760"/>
        </w:tabs>
        <w:ind w:left="5760" w:hanging="360"/>
      </w:pPr>
      <w:rPr>
        <w:rFonts w:ascii="Times New Roman" w:hAnsi="Times New Roman" w:hint="default"/>
      </w:rPr>
    </w:lvl>
    <w:lvl w:ilvl="8" w:tplc="1656303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F8B740F"/>
    <w:multiLevelType w:val="hybridMultilevel"/>
    <w:tmpl w:val="FC76DA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DB26789"/>
    <w:multiLevelType w:val="multilevel"/>
    <w:tmpl w:val="C974FB00"/>
    <w:lvl w:ilvl="0">
      <w:start w:val="1"/>
      <w:numFmt w:val="decimal"/>
      <w:lvlText w:val="%1."/>
      <w:lvlJc w:val="left"/>
      <w:pPr>
        <w:ind w:left="0" w:firstLine="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020117A"/>
    <w:multiLevelType w:val="hybridMultilevel"/>
    <w:tmpl w:val="57A850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59107B2F"/>
    <w:multiLevelType w:val="hybridMultilevel"/>
    <w:tmpl w:val="38267A5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5F47786A"/>
    <w:multiLevelType w:val="hybridMultilevel"/>
    <w:tmpl w:val="A82AF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B324F0"/>
    <w:multiLevelType w:val="hybridMultilevel"/>
    <w:tmpl w:val="8B2CA3DA"/>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50704C0"/>
    <w:multiLevelType w:val="multilevel"/>
    <w:tmpl w:val="E384D78C"/>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945224"/>
    <w:multiLevelType w:val="hybridMultilevel"/>
    <w:tmpl w:val="EC54D07E"/>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3" w15:restartNumberingAfterBreak="0">
    <w:nsid w:val="695E00E8"/>
    <w:multiLevelType w:val="hybridMultilevel"/>
    <w:tmpl w:val="D85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511C8"/>
    <w:multiLevelType w:val="multilevel"/>
    <w:tmpl w:val="BBC292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D422C13"/>
    <w:multiLevelType w:val="hybridMultilevel"/>
    <w:tmpl w:val="8E40A6E0"/>
    <w:lvl w:ilvl="0" w:tplc="5252865A">
      <w:start w:val="1"/>
      <w:numFmt w:val="decimal"/>
      <w:lvlText w:val="%1."/>
      <w:lvlJc w:val="left"/>
      <w:pPr>
        <w:ind w:left="360" w:hanging="360"/>
      </w:pPr>
      <w:rPr>
        <w:rFonts w:asciiTheme="minorHAnsi" w:eastAsiaTheme="minorHAnsi" w:hAnsiTheme="minorHAnsi" w:cstheme="minorHAnsi" w:hint="default"/>
        <w:b w:val="0"/>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3"/>
  </w:num>
  <w:num w:numId="2">
    <w:abstractNumId w:val="16"/>
  </w:num>
  <w:num w:numId="3">
    <w:abstractNumId w:val="25"/>
  </w:num>
  <w:num w:numId="4">
    <w:abstractNumId w:val="12"/>
  </w:num>
  <w:num w:numId="5">
    <w:abstractNumId w:val="15"/>
  </w:num>
  <w:num w:numId="6">
    <w:abstractNumId w:val="0"/>
  </w:num>
  <w:num w:numId="7">
    <w:abstractNumId w:val="7"/>
  </w:num>
  <w:num w:numId="8">
    <w:abstractNumId w:val="9"/>
  </w:num>
  <w:num w:numId="9">
    <w:abstractNumId w:val="11"/>
  </w:num>
  <w:num w:numId="10">
    <w:abstractNumId w:val="20"/>
  </w:num>
  <w:num w:numId="11">
    <w:abstractNumId w:val="22"/>
  </w:num>
  <w:num w:numId="12">
    <w:abstractNumId w:val="18"/>
  </w:num>
  <w:num w:numId="13">
    <w:abstractNumId w:val="4"/>
  </w:num>
  <w:num w:numId="14">
    <w:abstractNumId w:val="17"/>
  </w:num>
  <w:num w:numId="15">
    <w:abstractNumId w:val="5"/>
  </w:num>
  <w:num w:numId="16">
    <w:abstractNumId w:val="24"/>
  </w:num>
  <w:num w:numId="17">
    <w:abstractNumId w:val="2"/>
  </w:num>
  <w:num w:numId="18">
    <w:abstractNumId w:val="19"/>
  </w:num>
  <w:num w:numId="19">
    <w:abstractNumId w:val="1"/>
  </w:num>
  <w:num w:numId="20">
    <w:abstractNumId w:val="3"/>
  </w:num>
  <w:num w:numId="21">
    <w:abstractNumId w:val="8"/>
  </w:num>
  <w:num w:numId="22">
    <w:abstractNumId w:val="10"/>
  </w:num>
  <w:num w:numId="23">
    <w:abstractNumId w:val="6"/>
  </w:num>
  <w:num w:numId="24">
    <w:abstractNumId w:val="14"/>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47B"/>
    <w:rsid w:val="00015043"/>
    <w:rsid w:val="0003253B"/>
    <w:rsid w:val="00036E40"/>
    <w:rsid w:val="00054695"/>
    <w:rsid w:val="00074F05"/>
    <w:rsid w:val="000810C9"/>
    <w:rsid w:val="00085813"/>
    <w:rsid w:val="000908D2"/>
    <w:rsid w:val="00090C68"/>
    <w:rsid w:val="000954D1"/>
    <w:rsid w:val="00096932"/>
    <w:rsid w:val="000A5B91"/>
    <w:rsid w:val="000A74BC"/>
    <w:rsid w:val="000B0FB6"/>
    <w:rsid w:val="000C0E91"/>
    <w:rsid w:val="000C1385"/>
    <w:rsid w:val="000C6EF4"/>
    <w:rsid w:val="000D447B"/>
    <w:rsid w:val="000E311A"/>
    <w:rsid w:val="001025B2"/>
    <w:rsid w:val="00105317"/>
    <w:rsid w:val="001057BC"/>
    <w:rsid w:val="0012060E"/>
    <w:rsid w:val="00130C4C"/>
    <w:rsid w:val="001359E6"/>
    <w:rsid w:val="0014399F"/>
    <w:rsid w:val="001521D7"/>
    <w:rsid w:val="00152761"/>
    <w:rsid w:val="001635A1"/>
    <w:rsid w:val="00177403"/>
    <w:rsid w:val="00190DFE"/>
    <w:rsid w:val="00192882"/>
    <w:rsid w:val="00196A0F"/>
    <w:rsid w:val="001A0D05"/>
    <w:rsid w:val="001D2F84"/>
    <w:rsid w:val="001D6BA0"/>
    <w:rsid w:val="001F2918"/>
    <w:rsid w:val="001F2B71"/>
    <w:rsid w:val="001F6ADE"/>
    <w:rsid w:val="00215D2C"/>
    <w:rsid w:val="002213D2"/>
    <w:rsid w:val="00222F57"/>
    <w:rsid w:val="002230CD"/>
    <w:rsid w:val="0022560B"/>
    <w:rsid w:val="00227425"/>
    <w:rsid w:val="00230E6A"/>
    <w:rsid w:val="00232514"/>
    <w:rsid w:val="00233361"/>
    <w:rsid w:val="0024249A"/>
    <w:rsid w:val="00247D98"/>
    <w:rsid w:val="00251333"/>
    <w:rsid w:val="00260D7C"/>
    <w:rsid w:val="0026508D"/>
    <w:rsid w:val="00265C1B"/>
    <w:rsid w:val="00266C8D"/>
    <w:rsid w:val="00283550"/>
    <w:rsid w:val="0028583D"/>
    <w:rsid w:val="002914C3"/>
    <w:rsid w:val="00294707"/>
    <w:rsid w:val="00295970"/>
    <w:rsid w:val="002B077E"/>
    <w:rsid w:val="002C2C6F"/>
    <w:rsid w:val="002D300C"/>
    <w:rsid w:val="002D56FF"/>
    <w:rsid w:val="002E21CB"/>
    <w:rsid w:val="002E4430"/>
    <w:rsid w:val="002E55C0"/>
    <w:rsid w:val="002E6D8B"/>
    <w:rsid w:val="002F37DC"/>
    <w:rsid w:val="002F7B16"/>
    <w:rsid w:val="00300826"/>
    <w:rsid w:val="003207FD"/>
    <w:rsid w:val="0032543A"/>
    <w:rsid w:val="003271EC"/>
    <w:rsid w:val="00332A96"/>
    <w:rsid w:val="003354EE"/>
    <w:rsid w:val="00354B72"/>
    <w:rsid w:val="00364AC1"/>
    <w:rsid w:val="003713FE"/>
    <w:rsid w:val="00375319"/>
    <w:rsid w:val="003C4A68"/>
    <w:rsid w:val="003D51AD"/>
    <w:rsid w:val="003F46E9"/>
    <w:rsid w:val="00401C32"/>
    <w:rsid w:val="00403EE6"/>
    <w:rsid w:val="00410E60"/>
    <w:rsid w:val="00425DFB"/>
    <w:rsid w:val="004317F7"/>
    <w:rsid w:val="004352B4"/>
    <w:rsid w:val="00446464"/>
    <w:rsid w:val="00457767"/>
    <w:rsid w:val="004603AC"/>
    <w:rsid w:val="004612E5"/>
    <w:rsid w:val="00464B9E"/>
    <w:rsid w:val="00465A31"/>
    <w:rsid w:val="00474D71"/>
    <w:rsid w:val="00485016"/>
    <w:rsid w:val="0048690D"/>
    <w:rsid w:val="00487F7D"/>
    <w:rsid w:val="004908F3"/>
    <w:rsid w:val="004A133B"/>
    <w:rsid w:val="004A685C"/>
    <w:rsid w:val="004C1CB8"/>
    <w:rsid w:val="004D11A8"/>
    <w:rsid w:val="004D206D"/>
    <w:rsid w:val="004D7264"/>
    <w:rsid w:val="004F27CE"/>
    <w:rsid w:val="004F27EA"/>
    <w:rsid w:val="00500149"/>
    <w:rsid w:val="005019DA"/>
    <w:rsid w:val="005070CA"/>
    <w:rsid w:val="00524C7D"/>
    <w:rsid w:val="00526B51"/>
    <w:rsid w:val="00532A84"/>
    <w:rsid w:val="0054769A"/>
    <w:rsid w:val="00567B1E"/>
    <w:rsid w:val="005B2D03"/>
    <w:rsid w:val="005C1454"/>
    <w:rsid w:val="005C159A"/>
    <w:rsid w:val="005C18C1"/>
    <w:rsid w:val="005C23E4"/>
    <w:rsid w:val="005D46F2"/>
    <w:rsid w:val="005D4927"/>
    <w:rsid w:val="005E251F"/>
    <w:rsid w:val="005E69F4"/>
    <w:rsid w:val="005F0518"/>
    <w:rsid w:val="006052B6"/>
    <w:rsid w:val="006240B3"/>
    <w:rsid w:val="006325DB"/>
    <w:rsid w:val="006363B4"/>
    <w:rsid w:val="006426AD"/>
    <w:rsid w:val="00663077"/>
    <w:rsid w:val="00663CF0"/>
    <w:rsid w:val="00664FF7"/>
    <w:rsid w:val="006727B6"/>
    <w:rsid w:val="00677729"/>
    <w:rsid w:val="00682933"/>
    <w:rsid w:val="006A6A30"/>
    <w:rsid w:val="006B36F0"/>
    <w:rsid w:val="006B4191"/>
    <w:rsid w:val="006B7912"/>
    <w:rsid w:val="006C66C6"/>
    <w:rsid w:val="006D30FD"/>
    <w:rsid w:val="007021FD"/>
    <w:rsid w:val="007219B1"/>
    <w:rsid w:val="0072463D"/>
    <w:rsid w:val="007263F2"/>
    <w:rsid w:val="00743754"/>
    <w:rsid w:val="007577E4"/>
    <w:rsid w:val="00760072"/>
    <w:rsid w:val="00760375"/>
    <w:rsid w:val="00760653"/>
    <w:rsid w:val="00771827"/>
    <w:rsid w:val="007762CF"/>
    <w:rsid w:val="00785A1B"/>
    <w:rsid w:val="00787CBA"/>
    <w:rsid w:val="0079093A"/>
    <w:rsid w:val="00794995"/>
    <w:rsid w:val="00795191"/>
    <w:rsid w:val="007953EB"/>
    <w:rsid w:val="007D4A1E"/>
    <w:rsid w:val="007E7687"/>
    <w:rsid w:val="007F7010"/>
    <w:rsid w:val="00807E59"/>
    <w:rsid w:val="00810752"/>
    <w:rsid w:val="0082235A"/>
    <w:rsid w:val="00825C8F"/>
    <w:rsid w:val="00830D7B"/>
    <w:rsid w:val="00840546"/>
    <w:rsid w:val="008B0FEE"/>
    <w:rsid w:val="008C44E8"/>
    <w:rsid w:val="008D02A9"/>
    <w:rsid w:val="008D1638"/>
    <w:rsid w:val="008D5847"/>
    <w:rsid w:val="008E4FC0"/>
    <w:rsid w:val="00900CD7"/>
    <w:rsid w:val="00912F58"/>
    <w:rsid w:val="0091792B"/>
    <w:rsid w:val="009179C8"/>
    <w:rsid w:val="009332CB"/>
    <w:rsid w:val="0094265B"/>
    <w:rsid w:val="0094485A"/>
    <w:rsid w:val="00945CC7"/>
    <w:rsid w:val="0094745E"/>
    <w:rsid w:val="009475BA"/>
    <w:rsid w:val="009555C8"/>
    <w:rsid w:val="00956886"/>
    <w:rsid w:val="00960EBD"/>
    <w:rsid w:val="00961BBD"/>
    <w:rsid w:val="00967843"/>
    <w:rsid w:val="00967A62"/>
    <w:rsid w:val="0097767D"/>
    <w:rsid w:val="009847F3"/>
    <w:rsid w:val="0099300F"/>
    <w:rsid w:val="009954C1"/>
    <w:rsid w:val="009B5969"/>
    <w:rsid w:val="009C3CA6"/>
    <w:rsid w:val="009C60DC"/>
    <w:rsid w:val="009D085E"/>
    <w:rsid w:val="009D7ACC"/>
    <w:rsid w:val="009E0FEC"/>
    <w:rsid w:val="009E5D2E"/>
    <w:rsid w:val="009F526F"/>
    <w:rsid w:val="009F646D"/>
    <w:rsid w:val="00A03833"/>
    <w:rsid w:val="00A0467C"/>
    <w:rsid w:val="00A058CB"/>
    <w:rsid w:val="00A22B65"/>
    <w:rsid w:val="00A27FD1"/>
    <w:rsid w:val="00A3226D"/>
    <w:rsid w:val="00A40C97"/>
    <w:rsid w:val="00A439D8"/>
    <w:rsid w:val="00A44E1D"/>
    <w:rsid w:val="00A45903"/>
    <w:rsid w:val="00A606FF"/>
    <w:rsid w:val="00A65D09"/>
    <w:rsid w:val="00A83131"/>
    <w:rsid w:val="00A859B1"/>
    <w:rsid w:val="00A96862"/>
    <w:rsid w:val="00AA40BC"/>
    <w:rsid w:val="00AB146D"/>
    <w:rsid w:val="00AB55EA"/>
    <w:rsid w:val="00AB58BE"/>
    <w:rsid w:val="00AC1C6A"/>
    <w:rsid w:val="00AC4B30"/>
    <w:rsid w:val="00AD6DFD"/>
    <w:rsid w:val="00AD7943"/>
    <w:rsid w:val="00AF60ED"/>
    <w:rsid w:val="00AF7D93"/>
    <w:rsid w:val="00B03291"/>
    <w:rsid w:val="00B30637"/>
    <w:rsid w:val="00B41F3F"/>
    <w:rsid w:val="00B510CC"/>
    <w:rsid w:val="00B578B8"/>
    <w:rsid w:val="00B62737"/>
    <w:rsid w:val="00B66443"/>
    <w:rsid w:val="00B86036"/>
    <w:rsid w:val="00B87BFE"/>
    <w:rsid w:val="00B9315A"/>
    <w:rsid w:val="00B9741D"/>
    <w:rsid w:val="00BA75D3"/>
    <w:rsid w:val="00BB244E"/>
    <w:rsid w:val="00BC2F12"/>
    <w:rsid w:val="00BD096C"/>
    <w:rsid w:val="00BD36B9"/>
    <w:rsid w:val="00BE3E04"/>
    <w:rsid w:val="00BE6830"/>
    <w:rsid w:val="00BF2962"/>
    <w:rsid w:val="00BF34DF"/>
    <w:rsid w:val="00C024A4"/>
    <w:rsid w:val="00C03D95"/>
    <w:rsid w:val="00C12C91"/>
    <w:rsid w:val="00C12F6C"/>
    <w:rsid w:val="00C14909"/>
    <w:rsid w:val="00C208F7"/>
    <w:rsid w:val="00C2794D"/>
    <w:rsid w:val="00C31714"/>
    <w:rsid w:val="00C3326C"/>
    <w:rsid w:val="00C4203C"/>
    <w:rsid w:val="00C52438"/>
    <w:rsid w:val="00C540C8"/>
    <w:rsid w:val="00C55E36"/>
    <w:rsid w:val="00C65ECA"/>
    <w:rsid w:val="00C9128A"/>
    <w:rsid w:val="00CA37A8"/>
    <w:rsid w:val="00CB0441"/>
    <w:rsid w:val="00CC78B7"/>
    <w:rsid w:val="00CE722C"/>
    <w:rsid w:val="00CF29AB"/>
    <w:rsid w:val="00CF2C39"/>
    <w:rsid w:val="00CF5E03"/>
    <w:rsid w:val="00D02913"/>
    <w:rsid w:val="00D079E9"/>
    <w:rsid w:val="00D20F1B"/>
    <w:rsid w:val="00D26132"/>
    <w:rsid w:val="00D34C86"/>
    <w:rsid w:val="00D3554B"/>
    <w:rsid w:val="00D51D4F"/>
    <w:rsid w:val="00D51EBD"/>
    <w:rsid w:val="00D56BF7"/>
    <w:rsid w:val="00D70699"/>
    <w:rsid w:val="00D77021"/>
    <w:rsid w:val="00D813FD"/>
    <w:rsid w:val="00D9647D"/>
    <w:rsid w:val="00D96AAF"/>
    <w:rsid w:val="00DA6624"/>
    <w:rsid w:val="00DB2786"/>
    <w:rsid w:val="00DC1475"/>
    <w:rsid w:val="00DC1528"/>
    <w:rsid w:val="00DD2B33"/>
    <w:rsid w:val="00DD66F2"/>
    <w:rsid w:val="00DE6827"/>
    <w:rsid w:val="00DE783E"/>
    <w:rsid w:val="00DF78CD"/>
    <w:rsid w:val="00E046B7"/>
    <w:rsid w:val="00E06BDB"/>
    <w:rsid w:val="00E12820"/>
    <w:rsid w:val="00E143C7"/>
    <w:rsid w:val="00E168AE"/>
    <w:rsid w:val="00E2395F"/>
    <w:rsid w:val="00E259E7"/>
    <w:rsid w:val="00E306E4"/>
    <w:rsid w:val="00E3648E"/>
    <w:rsid w:val="00E405F7"/>
    <w:rsid w:val="00E421FA"/>
    <w:rsid w:val="00E45869"/>
    <w:rsid w:val="00E65BFC"/>
    <w:rsid w:val="00E70BD0"/>
    <w:rsid w:val="00E7275A"/>
    <w:rsid w:val="00E76358"/>
    <w:rsid w:val="00E91B51"/>
    <w:rsid w:val="00EA737A"/>
    <w:rsid w:val="00EB0682"/>
    <w:rsid w:val="00EB453B"/>
    <w:rsid w:val="00EC0E9B"/>
    <w:rsid w:val="00EC11E6"/>
    <w:rsid w:val="00EC377C"/>
    <w:rsid w:val="00EC5E7A"/>
    <w:rsid w:val="00ED4597"/>
    <w:rsid w:val="00EE3ADA"/>
    <w:rsid w:val="00EE4BBD"/>
    <w:rsid w:val="00EE5574"/>
    <w:rsid w:val="00EF21B7"/>
    <w:rsid w:val="00F137E1"/>
    <w:rsid w:val="00F16D90"/>
    <w:rsid w:val="00F27BFA"/>
    <w:rsid w:val="00F34222"/>
    <w:rsid w:val="00F6294F"/>
    <w:rsid w:val="00F8140B"/>
    <w:rsid w:val="00F81595"/>
    <w:rsid w:val="00F87028"/>
    <w:rsid w:val="00F90F91"/>
    <w:rsid w:val="00F970A6"/>
    <w:rsid w:val="00FB4347"/>
    <w:rsid w:val="00FB506C"/>
    <w:rsid w:val="00FB7094"/>
    <w:rsid w:val="00FD54DC"/>
    <w:rsid w:val="00FF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6CDC"/>
  <w15:chartTrackingRefBased/>
  <w15:docId w15:val="{DD438A54-679C-462B-B532-2FEA4508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16"/>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4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95"/>
    <w:rPr>
      <w:lang w:val="en-CA"/>
    </w:rPr>
  </w:style>
  <w:style w:type="paragraph" w:styleId="CommentText">
    <w:name w:val="annotation text"/>
    <w:basedOn w:val="Normal"/>
    <w:link w:val="CommentTextChar"/>
    <w:uiPriority w:val="99"/>
    <w:unhideWhenUsed/>
    <w:rsid w:val="00054695"/>
    <w:pPr>
      <w:spacing w:line="240" w:lineRule="auto"/>
    </w:pPr>
    <w:rPr>
      <w:sz w:val="20"/>
      <w:szCs w:val="20"/>
    </w:rPr>
  </w:style>
  <w:style w:type="character" w:customStyle="1" w:styleId="CommentTextChar">
    <w:name w:val="Comment Text Char"/>
    <w:basedOn w:val="DefaultParagraphFont"/>
    <w:link w:val="CommentText"/>
    <w:uiPriority w:val="99"/>
    <w:rsid w:val="00054695"/>
    <w:rPr>
      <w:sz w:val="20"/>
      <w:szCs w:val="20"/>
      <w:lang w:val="en-CA"/>
    </w:rPr>
  </w:style>
  <w:style w:type="character" w:styleId="CommentReference">
    <w:name w:val="annotation reference"/>
    <w:basedOn w:val="DefaultParagraphFont"/>
    <w:uiPriority w:val="99"/>
    <w:semiHidden/>
    <w:unhideWhenUsed/>
    <w:rsid w:val="00054695"/>
    <w:rPr>
      <w:sz w:val="16"/>
      <w:szCs w:val="16"/>
    </w:rPr>
  </w:style>
  <w:style w:type="paragraph" w:styleId="BalloonText">
    <w:name w:val="Balloon Text"/>
    <w:basedOn w:val="Normal"/>
    <w:link w:val="BalloonTextChar"/>
    <w:uiPriority w:val="99"/>
    <w:semiHidden/>
    <w:unhideWhenUsed/>
    <w:rsid w:val="00054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695"/>
    <w:rPr>
      <w:rFonts w:ascii="Segoe UI" w:hAnsi="Segoe UI" w:cs="Segoe UI"/>
      <w:sz w:val="18"/>
      <w:szCs w:val="18"/>
      <w:lang w:val="en-CA"/>
    </w:rPr>
  </w:style>
  <w:style w:type="paragraph" w:styleId="ListParagraph">
    <w:name w:val="List Paragraph"/>
    <w:aliases w:val="Dot pt,No Spacing1,List Paragraph Char Char Char,Indicator Text,List Paragraph1,Numbered Para 1,List Paragraph12,Bullet Points,MAIN CONTENT,Bullet 1,F5 List Paragraph,List Paragraph2,Normal numbered,OBC Bullet,Liste Paragraf,Citation List"/>
    <w:basedOn w:val="Normal"/>
    <w:link w:val="ListParagraphChar"/>
    <w:uiPriority w:val="34"/>
    <w:qFormat/>
    <w:rsid w:val="003C4A68"/>
    <w:pPr>
      <w:ind w:left="720"/>
      <w:contextualSpacing/>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F5 List Paragraph Char"/>
    <w:link w:val="ListParagraph"/>
    <w:uiPriority w:val="34"/>
    <w:qFormat/>
    <w:locked/>
    <w:rsid w:val="003C4A68"/>
    <w:rPr>
      <w:lang w:val="en-CA"/>
    </w:rPr>
  </w:style>
  <w:style w:type="paragraph" w:styleId="FootnoteText">
    <w:name w:val="footnote text"/>
    <w:basedOn w:val="Normal"/>
    <w:link w:val="FootnoteTextChar"/>
    <w:uiPriority w:val="99"/>
    <w:semiHidden/>
    <w:unhideWhenUsed/>
    <w:rsid w:val="00BD0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96C"/>
    <w:rPr>
      <w:sz w:val="20"/>
      <w:szCs w:val="20"/>
      <w:lang w:val="en-CA"/>
    </w:rPr>
  </w:style>
  <w:style w:type="character" w:styleId="FootnoteReference">
    <w:name w:val="footnote reference"/>
    <w:basedOn w:val="DefaultParagraphFont"/>
    <w:uiPriority w:val="99"/>
    <w:semiHidden/>
    <w:unhideWhenUsed/>
    <w:rsid w:val="00BD096C"/>
    <w:rPr>
      <w:vertAlign w:val="superscript"/>
    </w:rPr>
  </w:style>
  <w:style w:type="paragraph" w:styleId="NormalWeb">
    <w:name w:val="Normal (Web)"/>
    <w:basedOn w:val="Normal"/>
    <w:uiPriority w:val="99"/>
    <w:semiHidden/>
    <w:unhideWhenUsed/>
    <w:rsid w:val="00BD096C"/>
    <w:rPr>
      <w:rFonts w:ascii="Times New Roman" w:hAnsi="Times New Roman" w:cs="Times New Roman"/>
      <w:sz w:val="24"/>
      <w:szCs w:val="24"/>
    </w:rPr>
  </w:style>
  <w:style w:type="character" w:styleId="Hyperlink">
    <w:name w:val="Hyperlink"/>
    <w:basedOn w:val="DefaultParagraphFont"/>
    <w:uiPriority w:val="99"/>
    <w:unhideWhenUsed/>
    <w:rsid w:val="00BD096C"/>
    <w:rPr>
      <w:color w:val="0000FF"/>
      <w:u w:val="single"/>
    </w:rPr>
  </w:style>
  <w:style w:type="table" w:styleId="TableGrid">
    <w:name w:val="Table Grid"/>
    <w:basedOn w:val="TableNormal"/>
    <w:uiPriority w:val="39"/>
    <w:qFormat/>
    <w:rsid w:val="00BD0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D096C"/>
    <w:pPr>
      <w:spacing w:after="200" w:line="240" w:lineRule="auto"/>
    </w:pPr>
    <w:rPr>
      <w:i/>
      <w:iCs/>
      <w:color w:val="44546A" w:themeColor="text2"/>
      <w:sz w:val="18"/>
      <w:szCs w:val="18"/>
      <w:lang w:val="en-US"/>
    </w:rPr>
  </w:style>
  <w:style w:type="paragraph" w:styleId="Header">
    <w:name w:val="header"/>
    <w:basedOn w:val="Normal"/>
    <w:link w:val="HeaderChar"/>
    <w:uiPriority w:val="99"/>
    <w:unhideWhenUsed/>
    <w:rsid w:val="00BD0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6C"/>
    <w:rPr>
      <w:lang w:val="en-CA"/>
    </w:rPr>
  </w:style>
  <w:style w:type="paragraph" w:customStyle="1" w:styleId="Default">
    <w:name w:val="Default"/>
    <w:qFormat/>
    <w:rsid w:val="00C55E36"/>
    <w:pPr>
      <w:autoSpaceDE w:val="0"/>
      <w:autoSpaceDN w:val="0"/>
      <w:adjustRightInd w:val="0"/>
      <w:spacing w:after="0" w:line="276" w:lineRule="auto"/>
    </w:pPr>
    <w:rPr>
      <w:rFonts w:ascii="Calibri" w:hAnsi="Calibri" w:cs="Calibri"/>
      <w:color w:val="000000"/>
      <w:sz w:val="24"/>
      <w:szCs w:val="24"/>
      <w:lang w:val="en-GB"/>
    </w:rPr>
  </w:style>
  <w:style w:type="paragraph" w:styleId="CommentSubject">
    <w:name w:val="annotation subject"/>
    <w:basedOn w:val="CommentText"/>
    <w:next w:val="CommentText"/>
    <w:link w:val="CommentSubjectChar"/>
    <w:uiPriority w:val="99"/>
    <w:semiHidden/>
    <w:unhideWhenUsed/>
    <w:rsid w:val="00967A62"/>
    <w:rPr>
      <w:b/>
      <w:bCs/>
    </w:rPr>
  </w:style>
  <w:style w:type="character" w:customStyle="1" w:styleId="CommentSubjectChar">
    <w:name w:val="Comment Subject Char"/>
    <w:basedOn w:val="CommentTextChar"/>
    <w:link w:val="CommentSubject"/>
    <w:uiPriority w:val="99"/>
    <w:semiHidden/>
    <w:rsid w:val="00967A62"/>
    <w:rPr>
      <w:b/>
      <w:bCs/>
      <w:sz w:val="20"/>
      <w:szCs w:val="20"/>
      <w:lang w:val="en-CA"/>
    </w:rPr>
  </w:style>
  <w:style w:type="paragraph" w:styleId="BodyText">
    <w:name w:val="Body Text"/>
    <w:basedOn w:val="Normal"/>
    <w:link w:val="BodyTextChar"/>
    <w:uiPriority w:val="1"/>
    <w:qFormat/>
    <w:rsid w:val="0030082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00826"/>
    <w:rPr>
      <w:rFonts w:ascii="Calibri" w:eastAsia="Calibri" w:hAnsi="Calibri" w:cs="Calibri"/>
    </w:rPr>
  </w:style>
  <w:style w:type="paragraph" w:styleId="Revision">
    <w:name w:val="Revision"/>
    <w:hidden/>
    <w:uiPriority w:val="99"/>
    <w:semiHidden/>
    <w:rsid w:val="009F646D"/>
    <w:pPr>
      <w:spacing w:after="0" w:line="240" w:lineRule="auto"/>
    </w:pPr>
    <w:rPr>
      <w:lang w:val="en-CA"/>
    </w:rPr>
  </w:style>
  <w:style w:type="paragraph" w:customStyle="1" w:styleId="gmail-msolistparagraph">
    <w:name w:val="gmail-msolistparagraph"/>
    <w:basedOn w:val="Normal"/>
    <w:rsid w:val="0028583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3094">
      <w:bodyDiv w:val="1"/>
      <w:marLeft w:val="0"/>
      <w:marRight w:val="0"/>
      <w:marTop w:val="0"/>
      <w:marBottom w:val="0"/>
      <w:divBdr>
        <w:top w:val="none" w:sz="0" w:space="0" w:color="auto"/>
        <w:left w:val="none" w:sz="0" w:space="0" w:color="auto"/>
        <w:bottom w:val="none" w:sz="0" w:space="0" w:color="auto"/>
        <w:right w:val="none" w:sz="0" w:space="0" w:color="auto"/>
      </w:divBdr>
      <w:divsChild>
        <w:div w:id="356975714">
          <w:marLeft w:val="547"/>
          <w:marRight w:val="0"/>
          <w:marTop w:val="0"/>
          <w:marBottom w:val="0"/>
          <w:divBdr>
            <w:top w:val="none" w:sz="0" w:space="0" w:color="auto"/>
            <w:left w:val="none" w:sz="0" w:space="0" w:color="auto"/>
            <w:bottom w:val="none" w:sz="0" w:space="0" w:color="auto"/>
            <w:right w:val="none" w:sz="0" w:space="0" w:color="auto"/>
          </w:divBdr>
        </w:div>
      </w:divsChild>
    </w:div>
    <w:div w:id="1333602557">
      <w:bodyDiv w:val="1"/>
      <w:marLeft w:val="0"/>
      <w:marRight w:val="0"/>
      <w:marTop w:val="0"/>
      <w:marBottom w:val="0"/>
      <w:divBdr>
        <w:top w:val="none" w:sz="0" w:space="0" w:color="auto"/>
        <w:left w:val="none" w:sz="0" w:space="0" w:color="auto"/>
        <w:bottom w:val="none" w:sz="0" w:space="0" w:color="auto"/>
        <w:right w:val="none" w:sz="0" w:space="0" w:color="auto"/>
      </w:divBdr>
    </w:div>
    <w:div w:id="1903634709">
      <w:bodyDiv w:val="1"/>
      <w:marLeft w:val="0"/>
      <w:marRight w:val="0"/>
      <w:marTop w:val="0"/>
      <w:marBottom w:val="0"/>
      <w:divBdr>
        <w:top w:val="none" w:sz="0" w:space="0" w:color="auto"/>
        <w:left w:val="none" w:sz="0" w:space="0" w:color="auto"/>
        <w:bottom w:val="none" w:sz="0" w:space="0" w:color="auto"/>
        <w:right w:val="none" w:sz="0" w:space="0" w:color="auto"/>
      </w:divBdr>
      <w:divsChild>
        <w:div w:id="19404871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o.worldbank.org/K4ANHTYF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worldbank.org/1AF3C6JFZ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go.worldbank.org/K4ANHTYF30" TargetMode="External"/><Relationship Id="rId10" Type="http://schemas.openxmlformats.org/officeDocument/2006/relationships/hyperlink" Target="https://www.bbc.co.uk/news/world-africa-5742216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go.worldbank.org/1AF3C6JFZ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bc.com/news/world-africa-54964378" TargetMode="External"/><Relationship Id="rId2" Type="http://schemas.openxmlformats.org/officeDocument/2006/relationships/hyperlink" Target="https://african.business/author/african-business/" TargetMode="External"/><Relationship Id="rId1" Type="http://schemas.openxmlformats.org/officeDocument/2006/relationships/hyperlink" Target="https://www.us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BDAE4-3311-45DC-8CCA-5E4F45A4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77</Pages>
  <Words>32348</Words>
  <Characters>184390</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216306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George</dc:creator>
  <cp:keywords/>
  <dc:description/>
  <cp:lastModifiedBy>Donna Bugby-Smith</cp:lastModifiedBy>
  <cp:revision>7</cp:revision>
  <cp:lastPrinted>2022-04-27T11:09:00Z</cp:lastPrinted>
  <dcterms:created xsi:type="dcterms:W3CDTF">2022-05-03T06:52:00Z</dcterms:created>
  <dcterms:modified xsi:type="dcterms:W3CDTF">2022-05-03T07:55:00Z</dcterms:modified>
</cp:coreProperties>
</file>