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37DF" w14:textId="77777777" w:rsidR="00460335" w:rsidRDefault="00460335">
      <w:pPr>
        <w:jc w:val="both"/>
        <w:rPr>
          <w:rFonts w:asciiTheme="minorHAnsi" w:hAnsiTheme="minorHAnsi"/>
          <w:sz w:val="20"/>
          <w:szCs w:val="20"/>
        </w:rPr>
      </w:pPr>
    </w:p>
    <w:p w14:paraId="160C37E0" w14:textId="72CA042D" w:rsidR="0042568A" w:rsidRDefault="0042568A" w:rsidP="00AA31BD">
      <w:pPr>
        <w:jc w:val="center"/>
        <w:rPr>
          <w:rFonts w:asciiTheme="minorHAnsi" w:hAnsiTheme="minorHAnsi"/>
          <w:b/>
          <w:sz w:val="20"/>
          <w:szCs w:val="20"/>
        </w:rPr>
      </w:pPr>
      <w:r w:rsidRPr="00AA31BD">
        <w:rPr>
          <w:rFonts w:asciiTheme="minorHAnsi" w:hAnsiTheme="minorHAnsi"/>
          <w:b/>
          <w:sz w:val="20"/>
          <w:szCs w:val="20"/>
        </w:rPr>
        <w:t>Terms of Reference</w:t>
      </w:r>
      <w:r w:rsidR="00487704">
        <w:rPr>
          <w:rFonts w:asciiTheme="minorHAnsi" w:hAnsiTheme="minorHAnsi"/>
          <w:b/>
          <w:sz w:val="20"/>
          <w:szCs w:val="20"/>
        </w:rPr>
        <w:t xml:space="preserve"> for </w:t>
      </w:r>
      <w:r w:rsidR="00FD0A8D">
        <w:rPr>
          <w:rFonts w:asciiTheme="minorHAnsi" w:hAnsiTheme="minorHAnsi"/>
          <w:b/>
          <w:sz w:val="20"/>
          <w:szCs w:val="20"/>
        </w:rPr>
        <w:t xml:space="preserve">an </w:t>
      </w:r>
      <w:r w:rsidR="00487704">
        <w:rPr>
          <w:rFonts w:asciiTheme="minorHAnsi" w:hAnsiTheme="minorHAnsi"/>
          <w:b/>
          <w:sz w:val="20"/>
          <w:szCs w:val="20"/>
        </w:rPr>
        <w:t>I</w:t>
      </w:r>
      <w:r w:rsidR="00D23DB9">
        <w:rPr>
          <w:rFonts w:asciiTheme="minorHAnsi" w:hAnsiTheme="minorHAnsi"/>
          <w:b/>
          <w:sz w:val="20"/>
          <w:szCs w:val="20"/>
        </w:rPr>
        <w:t>nter</w:t>
      </w:r>
      <w:r w:rsidR="005C6975">
        <w:rPr>
          <w:rFonts w:asciiTheme="minorHAnsi" w:hAnsiTheme="minorHAnsi"/>
          <w:b/>
          <w:sz w:val="20"/>
          <w:szCs w:val="20"/>
        </w:rPr>
        <w:t>national Consultant</w:t>
      </w:r>
    </w:p>
    <w:p w14:paraId="160C37E1" w14:textId="77777777" w:rsidR="00544223" w:rsidRDefault="00544223" w:rsidP="00544223">
      <w:pPr>
        <w:rPr>
          <w:rFonts w:asciiTheme="minorHAnsi" w:hAnsiTheme="minorHAnsi"/>
          <w:b/>
          <w:sz w:val="20"/>
          <w:szCs w:val="20"/>
        </w:rPr>
      </w:pPr>
    </w:p>
    <w:p w14:paraId="160C37E2" w14:textId="77777777" w:rsidR="00544223" w:rsidRDefault="00544223" w:rsidP="00544223">
      <w:pPr>
        <w:rPr>
          <w:rFonts w:asciiTheme="minorHAnsi" w:hAnsiTheme="minorHAnsi"/>
          <w:b/>
          <w:sz w:val="20"/>
          <w:szCs w:val="20"/>
        </w:rPr>
      </w:pPr>
    </w:p>
    <w:p w14:paraId="160C37E3" w14:textId="77777777" w:rsidR="00544223" w:rsidRDefault="00544223" w:rsidP="00544223">
      <w:pPr>
        <w:rPr>
          <w:rFonts w:asciiTheme="minorHAnsi" w:hAnsiTheme="minorHAnsi"/>
          <w:b/>
          <w:sz w:val="20"/>
          <w:szCs w:val="20"/>
        </w:rPr>
      </w:pPr>
    </w:p>
    <w:p w14:paraId="160C37E4" w14:textId="46CEAAEB" w:rsidR="00544223" w:rsidRDefault="00544223" w:rsidP="00544223">
      <w:pPr>
        <w:rPr>
          <w:rFonts w:asciiTheme="minorHAnsi" w:hAnsiTheme="minorHAnsi"/>
          <w:b/>
          <w:sz w:val="20"/>
          <w:szCs w:val="20"/>
        </w:rPr>
      </w:pPr>
      <w:r>
        <w:rPr>
          <w:rFonts w:asciiTheme="minorHAnsi" w:hAnsiTheme="minorHAnsi"/>
          <w:b/>
          <w:sz w:val="20"/>
          <w:szCs w:val="20"/>
        </w:rPr>
        <w:t>Services/Work Description:</w:t>
      </w:r>
      <w:r w:rsidR="00332E38">
        <w:rPr>
          <w:rFonts w:asciiTheme="minorHAnsi" w:hAnsiTheme="minorHAnsi"/>
          <w:b/>
          <w:sz w:val="20"/>
          <w:szCs w:val="20"/>
        </w:rPr>
        <w:t xml:space="preserve"> </w:t>
      </w:r>
      <w:r w:rsidR="00332E38" w:rsidRPr="00DA3F41">
        <w:rPr>
          <w:rFonts w:asciiTheme="minorHAnsi" w:hAnsiTheme="minorHAnsi"/>
          <w:b/>
          <w:sz w:val="20"/>
          <w:szCs w:val="20"/>
        </w:rPr>
        <w:t>Terminal Evaluation</w:t>
      </w:r>
      <w:r w:rsidR="00DB4B8B">
        <w:rPr>
          <w:rFonts w:asciiTheme="minorHAnsi" w:hAnsiTheme="minorHAnsi"/>
          <w:b/>
          <w:sz w:val="20"/>
          <w:szCs w:val="20"/>
        </w:rPr>
        <w:t xml:space="preserve"> (TE)</w:t>
      </w:r>
    </w:p>
    <w:p w14:paraId="160C37E5" w14:textId="77777777" w:rsidR="00544223" w:rsidRDefault="00544223" w:rsidP="00544223">
      <w:pPr>
        <w:rPr>
          <w:rFonts w:asciiTheme="minorHAnsi" w:hAnsiTheme="minorHAnsi"/>
          <w:b/>
          <w:sz w:val="20"/>
          <w:szCs w:val="20"/>
        </w:rPr>
      </w:pPr>
    </w:p>
    <w:p w14:paraId="160C37E6" w14:textId="77793672" w:rsidR="00544223" w:rsidRDefault="00544223" w:rsidP="00544223">
      <w:pPr>
        <w:rPr>
          <w:rFonts w:asciiTheme="minorHAnsi" w:hAnsiTheme="minorHAnsi"/>
          <w:b/>
          <w:sz w:val="20"/>
          <w:szCs w:val="20"/>
        </w:rPr>
      </w:pPr>
      <w:r>
        <w:rPr>
          <w:rFonts w:asciiTheme="minorHAnsi" w:hAnsiTheme="minorHAnsi"/>
          <w:b/>
          <w:sz w:val="20"/>
          <w:szCs w:val="20"/>
        </w:rPr>
        <w:t>Project/Programme Title:</w:t>
      </w:r>
      <w:r w:rsidR="001167FE">
        <w:rPr>
          <w:rFonts w:asciiTheme="minorHAnsi" w:hAnsiTheme="minorHAnsi"/>
          <w:b/>
          <w:sz w:val="20"/>
          <w:szCs w:val="20"/>
        </w:rPr>
        <w:t xml:space="preserve"> </w:t>
      </w:r>
      <w:r w:rsidR="001167FE" w:rsidRPr="00DA3F41">
        <w:rPr>
          <w:rFonts w:asciiTheme="minorHAnsi" w:hAnsiTheme="minorHAnsi" w:cstheme="minorHAnsi"/>
          <w:b/>
          <w:bCs/>
          <w:sz w:val="20"/>
          <w:szCs w:val="20"/>
        </w:rPr>
        <w:t>Strengthening natural resource valuation capacities for improved planning and decision-making to conserve the global environment</w:t>
      </w:r>
    </w:p>
    <w:p w14:paraId="160C37E7" w14:textId="77777777" w:rsidR="00544223" w:rsidRDefault="00544223" w:rsidP="00544223">
      <w:pPr>
        <w:rPr>
          <w:rFonts w:asciiTheme="minorHAnsi" w:hAnsiTheme="minorHAnsi"/>
          <w:b/>
          <w:sz w:val="20"/>
          <w:szCs w:val="20"/>
        </w:rPr>
      </w:pPr>
    </w:p>
    <w:p w14:paraId="160C37E8" w14:textId="5C68AFA6" w:rsidR="00544223" w:rsidRDefault="00544223" w:rsidP="00544223">
      <w:pPr>
        <w:rPr>
          <w:rFonts w:asciiTheme="minorHAnsi" w:hAnsiTheme="minorHAnsi"/>
          <w:b/>
          <w:sz w:val="20"/>
          <w:szCs w:val="20"/>
        </w:rPr>
      </w:pPr>
      <w:r>
        <w:rPr>
          <w:rFonts w:asciiTheme="minorHAnsi" w:hAnsiTheme="minorHAnsi"/>
          <w:b/>
          <w:sz w:val="20"/>
          <w:szCs w:val="20"/>
        </w:rPr>
        <w:t>Consultancy Title:</w:t>
      </w:r>
      <w:r w:rsidR="00100D71">
        <w:rPr>
          <w:rFonts w:asciiTheme="minorHAnsi" w:hAnsiTheme="minorHAnsi"/>
          <w:b/>
          <w:sz w:val="20"/>
          <w:szCs w:val="20"/>
        </w:rPr>
        <w:t xml:space="preserve"> </w:t>
      </w:r>
      <w:r w:rsidR="007B3A81" w:rsidRPr="00DA3F41">
        <w:rPr>
          <w:rFonts w:asciiTheme="minorHAnsi" w:hAnsiTheme="minorHAnsi"/>
          <w:b/>
          <w:sz w:val="20"/>
          <w:szCs w:val="20"/>
        </w:rPr>
        <w:t>International Consultant</w:t>
      </w:r>
    </w:p>
    <w:p w14:paraId="160C37E9" w14:textId="77777777" w:rsidR="00544223" w:rsidRDefault="00544223" w:rsidP="00544223">
      <w:pPr>
        <w:rPr>
          <w:rFonts w:asciiTheme="minorHAnsi" w:hAnsiTheme="minorHAnsi"/>
          <w:b/>
          <w:sz w:val="20"/>
          <w:szCs w:val="20"/>
        </w:rPr>
      </w:pPr>
    </w:p>
    <w:p w14:paraId="160C37EA" w14:textId="0CAB6BC4" w:rsidR="00544223" w:rsidRDefault="00544223" w:rsidP="00544223">
      <w:pPr>
        <w:rPr>
          <w:rFonts w:asciiTheme="minorHAnsi" w:hAnsiTheme="minorHAnsi"/>
          <w:b/>
          <w:sz w:val="20"/>
          <w:szCs w:val="20"/>
        </w:rPr>
      </w:pPr>
      <w:r>
        <w:rPr>
          <w:rFonts w:asciiTheme="minorHAnsi" w:hAnsiTheme="minorHAnsi"/>
          <w:b/>
          <w:sz w:val="20"/>
          <w:szCs w:val="20"/>
        </w:rPr>
        <w:t>Duty Station:</w:t>
      </w:r>
      <w:r w:rsidR="001F0FF7">
        <w:rPr>
          <w:rFonts w:asciiTheme="minorHAnsi" w:hAnsiTheme="minorHAnsi"/>
          <w:b/>
          <w:sz w:val="20"/>
          <w:szCs w:val="20"/>
        </w:rPr>
        <w:t xml:space="preserve"> Remote</w:t>
      </w:r>
    </w:p>
    <w:p w14:paraId="160C37EB" w14:textId="77777777" w:rsidR="00544223" w:rsidRDefault="00544223" w:rsidP="00544223">
      <w:pPr>
        <w:rPr>
          <w:rFonts w:asciiTheme="minorHAnsi" w:hAnsiTheme="minorHAnsi"/>
          <w:b/>
          <w:sz w:val="20"/>
          <w:szCs w:val="20"/>
        </w:rPr>
      </w:pPr>
    </w:p>
    <w:p w14:paraId="160C37EC" w14:textId="2EBB77EC" w:rsidR="00544223" w:rsidRDefault="00544223" w:rsidP="00544223">
      <w:pPr>
        <w:rPr>
          <w:rFonts w:asciiTheme="minorHAnsi" w:hAnsiTheme="minorHAnsi"/>
          <w:b/>
          <w:sz w:val="20"/>
          <w:szCs w:val="20"/>
        </w:rPr>
      </w:pPr>
      <w:r>
        <w:rPr>
          <w:rFonts w:asciiTheme="minorHAnsi" w:hAnsiTheme="minorHAnsi"/>
          <w:b/>
          <w:sz w:val="20"/>
          <w:szCs w:val="20"/>
        </w:rPr>
        <w:t>Duration</w:t>
      </w:r>
      <w:r w:rsidRPr="00D066ED">
        <w:rPr>
          <w:rFonts w:asciiTheme="minorHAnsi" w:hAnsiTheme="minorHAnsi"/>
          <w:b/>
          <w:sz w:val="20"/>
          <w:szCs w:val="20"/>
        </w:rPr>
        <w:t>:</w:t>
      </w:r>
      <w:r w:rsidR="00451DEF" w:rsidRPr="00705CB7">
        <w:rPr>
          <w:rFonts w:asciiTheme="minorHAnsi" w:hAnsiTheme="minorHAnsi"/>
          <w:b/>
          <w:sz w:val="20"/>
          <w:szCs w:val="20"/>
        </w:rPr>
        <w:t xml:space="preserve"> </w:t>
      </w:r>
      <w:r w:rsidR="00A97914" w:rsidRPr="00705CB7">
        <w:rPr>
          <w:rFonts w:asciiTheme="minorHAnsi" w:hAnsiTheme="minorHAnsi"/>
          <w:b/>
          <w:sz w:val="20"/>
          <w:szCs w:val="20"/>
        </w:rPr>
        <w:t>3</w:t>
      </w:r>
      <w:r w:rsidR="00D201C1" w:rsidRPr="00705CB7">
        <w:rPr>
          <w:rFonts w:asciiTheme="minorHAnsi" w:hAnsiTheme="minorHAnsi"/>
          <w:b/>
          <w:sz w:val="20"/>
          <w:szCs w:val="20"/>
        </w:rPr>
        <w:t>5</w:t>
      </w:r>
      <w:r w:rsidR="00A97914" w:rsidRPr="00705CB7">
        <w:rPr>
          <w:rFonts w:asciiTheme="minorHAnsi" w:hAnsiTheme="minorHAnsi"/>
          <w:b/>
          <w:sz w:val="20"/>
          <w:szCs w:val="20"/>
        </w:rPr>
        <w:t xml:space="preserve"> </w:t>
      </w:r>
      <w:r w:rsidR="00451DEF" w:rsidRPr="00DA3F41">
        <w:rPr>
          <w:rFonts w:asciiTheme="minorHAnsi" w:hAnsiTheme="minorHAnsi"/>
          <w:b/>
          <w:sz w:val="20"/>
          <w:szCs w:val="20"/>
        </w:rPr>
        <w:t>working days</w:t>
      </w:r>
    </w:p>
    <w:p w14:paraId="160C37ED" w14:textId="77777777" w:rsidR="00544223" w:rsidRDefault="00544223" w:rsidP="00544223">
      <w:pPr>
        <w:rPr>
          <w:rFonts w:asciiTheme="minorHAnsi" w:hAnsiTheme="minorHAnsi"/>
          <w:b/>
          <w:sz w:val="20"/>
          <w:szCs w:val="20"/>
        </w:rPr>
      </w:pPr>
    </w:p>
    <w:p w14:paraId="160C37EE" w14:textId="643D8183" w:rsidR="00544223" w:rsidRDefault="00544223" w:rsidP="00544223">
      <w:pPr>
        <w:rPr>
          <w:rFonts w:asciiTheme="minorHAnsi" w:hAnsiTheme="minorHAnsi"/>
          <w:b/>
          <w:sz w:val="20"/>
          <w:szCs w:val="20"/>
        </w:rPr>
      </w:pPr>
      <w:r>
        <w:rPr>
          <w:rFonts w:asciiTheme="minorHAnsi" w:hAnsiTheme="minorHAnsi"/>
          <w:b/>
          <w:sz w:val="20"/>
          <w:szCs w:val="20"/>
        </w:rPr>
        <w:t>Expected start date:</w:t>
      </w:r>
      <w:r w:rsidR="00133F1C">
        <w:rPr>
          <w:rFonts w:asciiTheme="minorHAnsi" w:hAnsiTheme="minorHAnsi"/>
          <w:b/>
          <w:sz w:val="20"/>
          <w:szCs w:val="20"/>
        </w:rPr>
        <w:t xml:space="preserve"> </w:t>
      </w:r>
      <w:r w:rsidR="003568F8">
        <w:rPr>
          <w:rFonts w:asciiTheme="minorHAnsi" w:hAnsiTheme="minorHAnsi"/>
          <w:b/>
          <w:sz w:val="20"/>
          <w:szCs w:val="20"/>
        </w:rPr>
        <w:t>March</w:t>
      </w:r>
      <w:r w:rsidR="0044546F" w:rsidRPr="00DA3F41">
        <w:rPr>
          <w:rFonts w:asciiTheme="minorHAnsi" w:hAnsiTheme="minorHAnsi"/>
          <w:b/>
          <w:sz w:val="20"/>
          <w:szCs w:val="20"/>
        </w:rPr>
        <w:t xml:space="preserve"> </w:t>
      </w:r>
      <w:r w:rsidR="00334936" w:rsidRPr="00DA3F41">
        <w:rPr>
          <w:rFonts w:asciiTheme="minorHAnsi" w:hAnsiTheme="minorHAnsi"/>
          <w:b/>
          <w:sz w:val="20"/>
          <w:szCs w:val="20"/>
        </w:rPr>
        <w:t>2</w:t>
      </w:r>
      <w:r w:rsidR="003568F8">
        <w:rPr>
          <w:rFonts w:asciiTheme="minorHAnsi" w:hAnsiTheme="minorHAnsi"/>
          <w:b/>
          <w:sz w:val="20"/>
          <w:szCs w:val="20"/>
        </w:rPr>
        <w:t>2</w:t>
      </w:r>
      <w:r w:rsidR="003B713B">
        <w:rPr>
          <w:rFonts w:asciiTheme="minorHAnsi" w:hAnsiTheme="minorHAnsi"/>
          <w:b/>
          <w:sz w:val="20"/>
          <w:szCs w:val="20"/>
        </w:rPr>
        <w:t>nd</w:t>
      </w:r>
      <w:proofErr w:type="gramStart"/>
      <w:r w:rsidR="00A97914" w:rsidRPr="00DA3F41">
        <w:rPr>
          <w:rFonts w:asciiTheme="minorHAnsi" w:hAnsiTheme="minorHAnsi"/>
          <w:b/>
          <w:sz w:val="20"/>
          <w:szCs w:val="20"/>
        </w:rPr>
        <w:t xml:space="preserve"> </w:t>
      </w:r>
      <w:r w:rsidR="00334936" w:rsidRPr="00DA3F41">
        <w:rPr>
          <w:rFonts w:asciiTheme="minorHAnsi" w:hAnsiTheme="minorHAnsi"/>
          <w:b/>
          <w:sz w:val="20"/>
          <w:szCs w:val="20"/>
        </w:rPr>
        <w:t>2022</w:t>
      </w:r>
      <w:proofErr w:type="gramEnd"/>
    </w:p>
    <w:p w14:paraId="160C37EF" w14:textId="77777777" w:rsidR="00E25EDF" w:rsidRPr="00E25EDF" w:rsidRDefault="00E25EDF" w:rsidP="00AA31BD">
      <w:pPr>
        <w:jc w:val="center"/>
        <w:rPr>
          <w:rFonts w:asciiTheme="minorHAnsi" w:hAnsiTheme="minorHAnsi"/>
          <w:b/>
          <w:sz w:val="20"/>
          <w:szCs w:val="20"/>
        </w:rPr>
      </w:pPr>
    </w:p>
    <w:p w14:paraId="160C37F0" w14:textId="77777777" w:rsidR="001666E6" w:rsidRPr="00E25EDF" w:rsidRDefault="001666E6" w:rsidP="00AA31BD">
      <w:pPr>
        <w:pStyle w:val="ListParagraph"/>
        <w:numPr>
          <w:ilvl w:val="0"/>
          <w:numId w:val="13"/>
        </w:numPr>
        <w:tabs>
          <w:tab w:val="left" w:pos="360"/>
        </w:tabs>
        <w:ind w:left="360"/>
        <w:contextualSpacing/>
        <w:rPr>
          <w:rFonts w:asciiTheme="minorHAnsi" w:hAnsiTheme="minorHAnsi"/>
          <w:b/>
          <w:sz w:val="20"/>
          <w:szCs w:val="20"/>
        </w:rPr>
      </w:pPr>
      <w:r w:rsidRPr="00E25EDF">
        <w:rPr>
          <w:rFonts w:asciiTheme="minorHAnsi" w:hAnsiTheme="minorHAnsi"/>
          <w:b/>
          <w:sz w:val="20"/>
          <w:szCs w:val="20"/>
        </w:rPr>
        <w:t>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160C37F3" w14:textId="77777777" w:rsidTr="00487704">
        <w:trPr>
          <w:trHeight w:val="485"/>
        </w:trPr>
        <w:tc>
          <w:tcPr>
            <w:tcW w:w="9576" w:type="dxa"/>
            <w:shd w:val="clear" w:color="auto" w:fill="auto"/>
          </w:tcPr>
          <w:p w14:paraId="395306CB" w14:textId="057089CB" w:rsidR="00334137" w:rsidRDefault="00334137" w:rsidP="00D066ED">
            <w:pPr>
              <w:jc w:val="both"/>
            </w:pPr>
            <w:r w:rsidRPr="00D066ED">
              <w:rPr>
                <w:rFonts w:asciiTheme="minorHAnsi" w:hAnsiTheme="minorHAnsi" w:cstheme="minorHAnsi"/>
                <w:sz w:val="20"/>
                <w:szCs w:val="20"/>
              </w:rPr>
              <w:t xml:space="preserve">In </w:t>
            </w:r>
            <w:r w:rsidRPr="008A0C72">
              <w:rPr>
                <w:rFonts w:asciiTheme="minorHAnsi" w:hAnsiTheme="minorHAnsi" w:cstheme="minorHAnsi"/>
                <w:sz w:val="20"/>
                <w:szCs w:val="20"/>
              </w:rPr>
              <w:t xml:space="preserve">accordance with UNDP and GEF M&amp;E policies and procedures, all medium-sized UNDP-supported GEF-financed projects are required to undergo a Terminal Evaluation (TE) at the end of the project. This Terms of Reference (ToR) sets out the expectations for the TE of the medium-sized project titled </w:t>
            </w:r>
            <w:r w:rsidR="008C1587" w:rsidRPr="008A0C72">
              <w:rPr>
                <w:rFonts w:asciiTheme="minorHAnsi" w:hAnsiTheme="minorHAnsi" w:cstheme="minorHAnsi"/>
                <w:sz w:val="20"/>
                <w:szCs w:val="20"/>
              </w:rPr>
              <w:t>“Strengthening natural resource valuation capacities for improved planning and decision-making to conserve the global environment”</w:t>
            </w:r>
            <w:r w:rsidRPr="008A0C72">
              <w:rPr>
                <w:rFonts w:asciiTheme="minorHAnsi" w:hAnsiTheme="minorHAnsi" w:cstheme="minorHAnsi"/>
                <w:sz w:val="20"/>
                <w:szCs w:val="20"/>
              </w:rPr>
              <w:t xml:space="preserve"> (PIMS</w:t>
            </w:r>
            <w:r w:rsidR="00197EBF">
              <w:rPr>
                <w:rFonts w:asciiTheme="minorHAnsi" w:hAnsiTheme="minorHAnsi" w:cstheme="minorHAnsi"/>
                <w:sz w:val="20"/>
                <w:szCs w:val="20"/>
              </w:rPr>
              <w:t xml:space="preserve"> #</w:t>
            </w:r>
            <w:r w:rsidR="00872C6C" w:rsidRPr="008A0C72">
              <w:rPr>
                <w:rFonts w:asciiTheme="minorHAnsi" w:hAnsiTheme="minorHAnsi" w:cstheme="minorHAnsi"/>
                <w:sz w:val="20"/>
                <w:szCs w:val="20"/>
              </w:rPr>
              <w:t xml:space="preserve"> 5737</w:t>
            </w:r>
            <w:r w:rsidRPr="008A0C72">
              <w:rPr>
                <w:rFonts w:asciiTheme="minorHAnsi" w:hAnsiTheme="minorHAnsi" w:cstheme="minorHAnsi"/>
                <w:sz w:val="20"/>
                <w:szCs w:val="20"/>
              </w:rPr>
              <w:t>) implemented through the</w:t>
            </w:r>
            <w:r w:rsidR="002943F0" w:rsidRPr="008A0C72">
              <w:rPr>
                <w:rFonts w:asciiTheme="minorHAnsi" w:hAnsiTheme="minorHAnsi" w:cstheme="minorHAnsi"/>
                <w:sz w:val="20"/>
                <w:szCs w:val="20"/>
              </w:rPr>
              <w:t xml:space="preserve"> Ministry of Environment and Sustainable Development, Guinea Bissau</w:t>
            </w:r>
            <w:r w:rsidRPr="008A0C72">
              <w:rPr>
                <w:rFonts w:asciiTheme="minorHAnsi" w:hAnsiTheme="minorHAnsi" w:cstheme="minorHAnsi"/>
                <w:sz w:val="20"/>
                <w:szCs w:val="20"/>
              </w:rPr>
              <w:t xml:space="preserve">. The project started on the </w:t>
            </w:r>
            <w:r w:rsidR="00521690" w:rsidRPr="008A0C72">
              <w:rPr>
                <w:rFonts w:asciiTheme="minorHAnsi" w:hAnsiTheme="minorHAnsi" w:cstheme="minorHAnsi"/>
                <w:sz w:val="20"/>
                <w:szCs w:val="20"/>
              </w:rPr>
              <w:t>16th of April 2018</w:t>
            </w:r>
            <w:r w:rsidRPr="008A0C72">
              <w:rPr>
                <w:rFonts w:asciiTheme="minorHAnsi" w:hAnsiTheme="minorHAnsi" w:cstheme="minorHAnsi"/>
                <w:sz w:val="20"/>
                <w:szCs w:val="20"/>
              </w:rPr>
              <w:t xml:space="preserve"> and is in its </w:t>
            </w:r>
            <w:r w:rsidR="00DD2EA3" w:rsidRPr="008A0C72">
              <w:rPr>
                <w:rFonts w:asciiTheme="minorHAnsi" w:hAnsiTheme="minorHAnsi" w:cstheme="minorHAnsi"/>
                <w:sz w:val="20"/>
                <w:szCs w:val="20"/>
              </w:rPr>
              <w:t xml:space="preserve">4th </w:t>
            </w:r>
            <w:r w:rsidRPr="008A0C72">
              <w:rPr>
                <w:rFonts w:asciiTheme="minorHAnsi" w:hAnsiTheme="minorHAnsi" w:cstheme="minorHAnsi"/>
                <w:sz w:val="20"/>
                <w:szCs w:val="20"/>
              </w:rPr>
              <w:t>year of implementation. The TE process must follow the guidance outlined in the document ‘Guidance For Conducting Terminal Evaluations of UNDP-Supported, GEF-Financed Projects’</w:t>
            </w:r>
            <w:r w:rsidR="008A0C72">
              <w:rPr>
                <w:rFonts w:asciiTheme="minorHAnsi" w:hAnsiTheme="minorHAnsi" w:cstheme="minorHAnsi"/>
                <w:sz w:val="20"/>
                <w:szCs w:val="20"/>
              </w:rPr>
              <w:t xml:space="preserve"> </w:t>
            </w:r>
            <w:r w:rsidRPr="008A0C72">
              <w:rPr>
                <w:rFonts w:asciiTheme="minorHAnsi" w:hAnsiTheme="minorHAnsi" w:cstheme="minorHAnsi"/>
                <w:sz w:val="20"/>
                <w:szCs w:val="20"/>
              </w:rPr>
              <w:t>(</w:t>
            </w:r>
            <w:hyperlink r:id="rId12" w:history="1">
              <w:r w:rsidR="00AA304E" w:rsidRPr="008A0C72">
                <w:rPr>
                  <w:rFonts w:asciiTheme="minorHAnsi" w:hAnsiTheme="minorHAnsi" w:cstheme="minorHAnsi"/>
                  <w:sz w:val="20"/>
                  <w:szCs w:val="20"/>
                </w:rPr>
                <w:t>http://web.undp.org/evaluation/guideline/documents/GEF/TE_GuidanceforUNDP-supportedGEF-financedProjects.pdf</w:t>
              </w:r>
            </w:hyperlink>
            <w:r w:rsidRPr="008A0C72">
              <w:rPr>
                <w:rFonts w:asciiTheme="minorHAnsi" w:hAnsiTheme="minorHAnsi" w:cstheme="minorHAnsi"/>
                <w:sz w:val="20"/>
                <w:szCs w:val="20"/>
              </w:rPr>
              <w:t>).</w:t>
            </w:r>
          </w:p>
          <w:p w14:paraId="00905CE5" w14:textId="25FC945B" w:rsidR="00375B40" w:rsidRDefault="00B20C17" w:rsidP="008E08BE">
            <w:pPr>
              <w:pStyle w:val="AProdoc"/>
              <w:numPr>
                <w:ilvl w:val="0"/>
                <w:numId w:val="0"/>
              </w:numPr>
              <w:jc w:val="both"/>
              <w:rPr>
                <w:rFonts w:asciiTheme="minorHAnsi" w:eastAsia="Calibri" w:hAnsiTheme="minorHAnsi" w:cstheme="minorHAnsi"/>
                <w:sz w:val="20"/>
                <w:szCs w:val="20"/>
              </w:rPr>
            </w:pPr>
            <w:r w:rsidRPr="00DF22CE">
              <w:rPr>
                <w:rFonts w:asciiTheme="minorHAnsi" w:hAnsiTheme="minorHAnsi" w:cstheme="minorHAnsi"/>
                <w:sz w:val="20"/>
                <w:szCs w:val="20"/>
              </w:rPr>
              <w:t xml:space="preserve">The goal of this </w:t>
            </w:r>
            <w:r w:rsidR="00EF3CDE" w:rsidRPr="00DF22CE">
              <w:rPr>
                <w:rFonts w:asciiTheme="minorHAnsi" w:hAnsiTheme="minorHAnsi" w:cstheme="minorHAnsi"/>
                <w:sz w:val="20"/>
                <w:szCs w:val="20"/>
              </w:rPr>
              <w:t>medium-sized project</w:t>
            </w:r>
            <w:r w:rsidR="000A0326" w:rsidRPr="008E08BE">
              <w:rPr>
                <w:rFonts w:asciiTheme="minorHAnsi" w:hAnsiTheme="minorHAnsi" w:cstheme="minorHAnsi"/>
                <w:sz w:val="20"/>
                <w:szCs w:val="20"/>
              </w:rPr>
              <w:t xml:space="preserve"> is for Guinea-Bissau to make better decisions to meet and sustain global environmental obligations through improved natural resource valuation and accounting. To that end, the objective of this project</w:t>
            </w:r>
            <w:r w:rsidR="00A8467A" w:rsidRPr="008E08BE">
              <w:rPr>
                <w:rFonts w:asciiTheme="minorHAnsi" w:hAnsiTheme="minorHAnsi" w:cstheme="minorHAnsi"/>
                <w:sz w:val="20"/>
                <w:szCs w:val="20"/>
              </w:rPr>
              <w:t xml:space="preserve"> is</w:t>
            </w:r>
            <w:r w:rsidR="000A0326" w:rsidRPr="008E08BE">
              <w:rPr>
                <w:rFonts w:asciiTheme="minorHAnsi" w:hAnsiTheme="minorHAnsi" w:cstheme="minorHAnsi"/>
                <w:sz w:val="20"/>
                <w:szCs w:val="20"/>
              </w:rPr>
              <w:t xml:space="preserve"> to develop technical and institutional capacities for undertaking an economic valuation of global environmental goods and services as potentially impacted by proposed development policies, programmes, plans and projects. The project </w:t>
            </w:r>
            <w:r w:rsidR="006B28DC">
              <w:rPr>
                <w:rFonts w:asciiTheme="minorHAnsi" w:hAnsiTheme="minorHAnsi" w:cstheme="minorHAnsi"/>
                <w:sz w:val="20"/>
                <w:szCs w:val="20"/>
              </w:rPr>
              <w:t xml:space="preserve">is </w:t>
            </w:r>
            <w:r w:rsidR="000A0326" w:rsidRPr="008E08BE">
              <w:rPr>
                <w:rFonts w:asciiTheme="minorHAnsi" w:hAnsiTheme="minorHAnsi" w:cstheme="minorHAnsi"/>
                <w:sz w:val="20"/>
                <w:szCs w:val="20"/>
              </w:rPr>
              <w:t>implemented through</w:t>
            </w:r>
            <w:r w:rsidR="006A0AE8">
              <w:rPr>
                <w:rFonts w:asciiTheme="minorHAnsi" w:hAnsiTheme="minorHAnsi" w:cstheme="minorHAnsi"/>
                <w:sz w:val="20"/>
                <w:szCs w:val="20"/>
              </w:rPr>
              <w:t xml:space="preserve"> the following</w:t>
            </w:r>
            <w:r w:rsidR="000A0326" w:rsidRPr="008E08BE">
              <w:rPr>
                <w:rFonts w:asciiTheme="minorHAnsi" w:hAnsiTheme="minorHAnsi" w:cstheme="minorHAnsi"/>
                <w:sz w:val="20"/>
                <w:szCs w:val="20"/>
              </w:rPr>
              <w:t xml:space="preserve"> four strategically linked components</w:t>
            </w:r>
            <w:r w:rsidR="006A0AE8">
              <w:rPr>
                <w:rFonts w:asciiTheme="minorHAnsi" w:hAnsiTheme="minorHAnsi" w:cstheme="minorHAnsi"/>
                <w:sz w:val="20"/>
                <w:szCs w:val="20"/>
              </w:rPr>
              <w:t>:</w:t>
            </w:r>
          </w:p>
          <w:p w14:paraId="4B771E66" w14:textId="77777777" w:rsidR="00375B40" w:rsidRPr="006A0AE8" w:rsidRDefault="00375B40" w:rsidP="00375B40">
            <w:pPr>
              <w:pStyle w:val="AProdoc"/>
              <w:numPr>
                <w:ilvl w:val="0"/>
                <w:numId w:val="0"/>
              </w:numPr>
              <w:tabs>
                <w:tab w:val="left" w:pos="720"/>
              </w:tabs>
              <w:ind w:left="1440" w:hanging="1440"/>
              <w:jc w:val="both"/>
              <w:rPr>
                <w:rFonts w:asciiTheme="minorHAnsi" w:hAnsiTheme="minorHAnsi" w:cstheme="minorHAnsi"/>
                <w:sz w:val="20"/>
                <w:szCs w:val="20"/>
              </w:rPr>
            </w:pPr>
            <w:r w:rsidRPr="006A0AE8">
              <w:rPr>
                <w:rFonts w:asciiTheme="minorHAnsi" w:hAnsiTheme="minorHAnsi" w:cstheme="minorHAnsi"/>
                <w:i/>
                <w:iCs/>
                <w:sz w:val="20"/>
                <w:szCs w:val="20"/>
              </w:rPr>
              <w:t>Component 1:</w:t>
            </w:r>
            <w:r w:rsidRPr="006A0AE8">
              <w:rPr>
                <w:rFonts w:asciiTheme="minorHAnsi" w:hAnsiTheme="minorHAnsi" w:cstheme="minorHAnsi"/>
                <w:sz w:val="20"/>
                <w:szCs w:val="20"/>
              </w:rPr>
              <w:t xml:space="preserve">  Strengthening policy and legislative instruments for effective monitoring and decision-making on the global environment</w:t>
            </w:r>
          </w:p>
          <w:p w14:paraId="560BA186" w14:textId="172C5A70" w:rsidR="00227D7B" w:rsidRPr="006A0AE8" w:rsidRDefault="00227D7B" w:rsidP="00227D7B">
            <w:pPr>
              <w:pStyle w:val="ProdocParagraph"/>
              <w:numPr>
                <w:ilvl w:val="0"/>
                <w:numId w:val="0"/>
              </w:numPr>
              <w:tabs>
                <w:tab w:val="clear" w:pos="0"/>
              </w:tabs>
              <w:ind w:left="1530" w:hanging="1530"/>
              <w:jc w:val="both"/>
              <w:rPr>
                <w:rFonts w:asciiTheme="minorHAnsi" w:hAnsiTheme="minorHAnsi" w:cstheme="minorHAnsi"/>
                <w:color w:val="auto"/>
                <w:sz w:val="20"/>
                <w:szCs w:val="20"/>
                <w:lang w:eastAsia="en-US"/>
              </w:rPr>
            </w:pPr>
            <w:r w:rsidRPr="006A0AE8">
              <w:rPr>
                <w:rFonts w:asciiTheme="minorHAnsi" w:hAnsiTheme="minorHAnsi" w:cstheme="minorHAnsi"/>
                <w:i/>
                <w:iCs/>
                <w:color w:val="auto"/>
                <w:sz w:val="20"/>
                <w:szCs w:val="20"/>
                <w:lang w:eastAsia="en-US"/>
              </w:rPr>
              <w:t>Component 2:</w:t>
            </w:r>
            <w:r w:rsidRPr="006A0AE8">
              <w:rPr>
                <w:rFonts w:asciiTheme="minorHAnsi" w:hAnsiTheme="minorHAnsi" w:cstheme="minorHAnsi"/>
                <w:color w:val="auto"/>
                <w:sz w:val="20"/>
                <w:szCs w:val="20"/>
                <w:lang w:eastAsia="en-US"/>
              </w:rPr>
              <w:t xml:space="preserve">  Strengthening effective monitoring and decision-making mechanisms for the global environment</w:t>
            </w:r>
          </w:p>
          <w:p w14:paraId="205BF32F" w14:textId="3DC63D6B" w:rsidR="00375B40" w:rsidRPr="006A0AE8" w:rsidRDefault="00162B1C" w:rsidP="006A0AE8">
            <w:pPr>
              <w:ind w:left="1440" w:hanging="1440"/>
              <w:jc w:val="both"/>
              <w:rPr>
                <w:rFonts w:asciiTheme="minorHAnsi" w:hAnsiTheme="minorHAnsi" w:cstheme="minorHAnsi"/>
                <w:sz w:val="20"/>
                <w:szCs w:val="20"/>
              </w:rPr>
            </w:pPr>
            <w:r w:rsidRPr="006A0AE8">
              <w:rPr>
                <w:rFonts w:asciiTheme="minorHAnsi" w:hAnsiTheme="minorHAnsi" w:cstheme="minorHAnsi"/>
                <w:i/>
                <w:iCs/>
                <w:sz w:val="20"/>
                <w:szCs w:val="20"/>
              </w:rPr>
              <w:t>Component 3</w:t>
            </w:r>
            <w:r w:rsidRPr="006A0AE8">
              <w:rPr>
                <w:rFonts w:asciiTheme="minorHAnsi" w:hAnsiTheme="minorHAnsi" w:cstheme="minorHAnsi"/>
                <w:sz w:val="20"/>
                <w:szCs w:val="20"/>
              </w:rPr>
              <w:t>:</w:t>
            </w:r>
            <w:r w:rsidR="00BC4E52">
              <w:rPr>
                <w:rFonts w:asciiTheme="minorHAnsi" w:hAnsiTheme="minorHAnsi" w:cstheme="minorHAnsi"/>
                <w:sz w:val="20"/>
                <w:szCs w:val="20"/>
              </w:rPr>
              <w:t xml:space="preserve"> </w:t>
            </w:r>
            <w:r w:rsidRPr="006A0AE8">
              <w:rPr>
                <w:rFonts w:asciiTheme="minorHAnsi" w:hAnsiTheme="minorHAnsi" w:cstheme="minorHAnsi"/>
                <w:sz w:val="20"/>
                <w:szCs w:val="20"/>
              </w:rPr>
              <w:t>Development of natural resource valuation tools for improved decision-making on the global environment</w:t>
            </w:r>
          </w:p>
          <w:p w14:paraId="65AB801A" w14:textId="1D8AAF29" w:rsidR="00EB6447" w:rsidRPr="006A0AE8" w:rsidRDefault="00EB6447" w:rsidP="00EB6447">
            <w:pPr>
              <w:pStyle w:val="ProdocParagraph"/>
              <w:numPr>
                <w:ilvl w:val="0"/>
                <w:numId w:val="0"/>
              </w:numPr>
              <w:tabs>
                <w:tab w:val="clear" w:pos="0"/>
              </w:tabs>
              <w:spacing w:before="120"/>
              <w:ind w:left="1620" w:hanging="1620"/>
              <w:jc w:val="both"/>
              <w:rPr>
                <w:rFonts w:asciiTheme="minorHAnsi" w:hAnsiTheme="minorHAnsi" w:cstheme="minorHAnsi"/>
                <w:color w:val="auto"/>
                <w:sz w:val="20"/>
                <w:szCs w:val="20"/>
                <w:lang w:eastAsia="en-US"/>
              </w:rPr>
            </w:pPr>
            <w:r w:rsidRPr="006A0AE8">
              <w:rPr>
                <w:rFonts w:asciiTheme="minorHAnsi" w:hAnsiTheme="minorHAnsi" w:cstheme="minorHAnsi"/>
                <w:i/>
                <w:iCs/>
                <w:color w:val="auto"/>
                <w:sz w:val="20"/>
                <w:szCs w:val="20"/>
                <w:lang w:eastAsia="en-US"/>
              </w:rPr>
              <w:t>Component 4:</w:t>
            </w:r>
            <w:r w:rsidRPr="006A0AE8">
              <w:rPr>
                <w:rFonts w:asciiTheme="minorHAnsi" w:hAnsiTheme="minorHAnsi" w:cstheme="minorHAnsi"/>
                <w:color w:val="auto"/>
                <w:sz w:val="20"/>
                <w:szCs w:val="20"/>
                <w:lang w:eastAsia="en-US"/>
              </w:rPr>
              <w:t xml:space="preserve">  Improving awareness of global environmental values </w:t>
            </w:r>
            <w:proofErr w:type="gramStart"/>
            <w:r w:rsidRPr="006A0AE8">
              <w:rPr>
                <w:rFonts w:asciiTheme="minorHAnsi" w:hAnsiTheme="minorHAnsi" w:cstheme="minorHAnsi"/>
                <w:color w:val="auto"/>
                <w:sz w:val="20"/>
                <w:szCs w:val="20"/>
                <w:lang w:eastAsia="en-US"/>
              </w:rPr>
              <w:t>through the use of</w:t>
            </w:r>
            <w:proofErr w:type="gramEnd"/>
            <w:r w:rsidRPr="006A0AE8">
              <w:rPr>
                <w:rFonts w:asciiTheme="minorHAnsi" w:hAnsiTheme="minorHAnsi" w:cstheme="minorHAnsi"/>
                <w:color w:val="auto"/>
                <w:sz w:val="20"/>
                <w:szCs w:val="20"/>
                <w:lang w:eastAsia="en-US"/>
              </w:rPr>
              <w:t xml:space="preserve"> natural resource valuation</w:t>
            </w:r>
          </w:p>
          <w:p w14:paraId="2E9BFA56" w14:textId="625DE01D" w:rsidR="00AE6DFC" w:rsidRPr="004C4FDA" w:rsidRDefault="006A0AE8" w:rsidP="004C4FDA">
            <w:pPr>
              <w:pStyle w:val="AProdoc"/>
              <w:numPr>
                <w:ilvl w:val="0"/>
                <w:numId w:val="0"/>
              </w:numPr>
              <w:jc w:val="both"/>
              <w:rPr>
                <w:rFonts w:asciiTheme="minorHAnsi" w:eastAsia="Calibri" w:hAnsiTheme="minorHAnsi" w:cstheme="minorHAnsi"/>
                <w:sz w:val="20"/>
                <w:szCs w:val="20"/>
              </w:rPr>
            </w:pPr>
            <w:r>
              <w:rPr>
                <w:rFonts w:asciiTheme="minorHAnsi" w:hAnsiTheme="minorHAnsi" w:cstheme="minorHAnsi"/>
                <w:sz w:val="20"/>
                <w:szCs w:val="20"/>
              </w:rPr>
              <w:t>E</w:t>
            </w:r>
            <w:r w:rsidRPr="008E08BE">
              <w:rPr>
                <w:rFonts w:asciiTheme="minorHAnsi" w:hAnsiTheme="minorHAnsi" w:cstheme="minorHAnsi"/>
                <w:sz w:val="20"/>
                <w:szCs w:val="20"/>
              </w:rPr>
              <w:t xml:space="preserve">ach of </w:t>
            </w:r>
            <w:r>
              <w:rPr>
                <w:rFonts w:asciiTheme="minorHAnsi" w:hAnsiTheme="minorHAnsi" w:cstheme="minorHAnsi"/>
                <w:sz w:val="20"/>
                <w:szCs w:val="20"/>
              </w:rPr>
              <w:t>these components</w:t>
            </w:r>
            <w:r w:rsidRPr="008E08BE">
              <w:rPr>
                <w:rFonts w:asciiTheme="minorHAnsi" w:hAnsiTheme="minorHAnsi" w:cstheme="minorHAnsi"/>
                <w:sz w:val="20"/>
                <w:szCs w:val="20"/>
              </w:rPr>
              <w:t xml:space="preserve"> comprises a set of outputs with their respective activities t</w:t>
            </w:r>
            <w:r>
              <w:rPr>
                <w:rFonts w:asciiTheme="minorHAnsi" w:hAnsiTheme="minorHAnsi" w:cstheme="minorHAnsi"/>
                <w:sz w:val="20"/>
                <w:szCs w:val="20"/>
              </w:rPr>
              <w:t>o</w:t>
            </w:r>
            <w:r w:rsidRPr="008E08BE">
              <w:rPr>
                <w:rFonts w:asciiTheme="minorHAnsi" w:eastAsia="Calibri" w:hAnsiTheme="minorHAnsi" w:cstheme="minorHAnsi"/>
                <w:sz w:val="20"/>
                <w:szCs w:val="20"/>
              </w:rPr>
              <w:t xml:space="preserve"> build systemic, institutional, and individual capacities within Guinea-Bissau.  </w:t>
            </w:r>
            <w:r w:rsidR="008A1AD9" w:rsidRPr="008E08BE">
              <w:rPr>
                <w:rFonts w:asciiTheme="minorHAnsi" w:hAnsiTheme="minorHAnsi" w:cstheme="minorHAnsi"/>
                <w:bCs/>
                <w:sz w:val="20"/>
                <w:szCs w:val="20"/>
              </w:rPr>
              <w:t>Among the key activities of the project are the e</w:t>
            </w:r>
            <w:r w:rsidR="008A1AD9" w:rsidRPr="008E08BE">
              <w:rPr>
                <w:rFonts w:asciiTheme="minorHAnsi" w:hAnsiTheme="minorHAnsi" w:cstheme="minorHAnsi"/>
                <w:sz w:val="20"/>
                <w:szCs w:val="20"/>
              </w:rPr>
              <w:t>nhanced targeted capacities, strengthened monitoring, natural resource valuation tools, and targeted training and awareness-raising.</w:t>
            </w:r>
            <w:r w:rsidR="004C4FDA">
              <w:rPr>
                <w:rFonts w:asciiTheme="minorHAnsi" w:hAnsiTheme="minorHAnsi" w:cstheme="minorHAnsi"/>
                <w:sz w:val="20"/>
                <w:szCs w:val="20"/>
              </w:rPr>
              <w:t xml:space="preserve"> </w:t>
            </w:r>
            <w:r w:rsidR="00AE6DFC" w:rsidRPr="008A1AD9">
              <w:rPr>
                <w:rFonts w:asciiTheme="minorHAnsi" w:hAnsiTheme="minorHAnsi" w:cstheme="minorHAnsi"/>
                <w:sz w:val="20"/>
                <w:szCs w:val="20"/>
              </w:rPr>
              <w:t>At the end of the project, each of the four components will result in an expected outcome, namely:</w:t>
            </w:r>
          </w:p>
          <w:p w14:paraId="30DF735C" w14:textId="77777777" w:rsidR="00AE6DFC" w:rsidRPr="008A1AD9" w:rsidRDefault="00AE6DFC" w:rsidP="00AE6DFC">
            <w:pPr>
              <w:numPr>
                <w:ilvl w:val="0"/>
                <w:numId w:val="37"/>
              </w:numPr>
              <w:jc w:val="both"/>
              <w:rPr>
                <w:rFonts w:asciiTheme="minorHAnsi" w:hAnsiTheme="minorHAnsi" w:cstheme="minorHAnsi"/>
                <w:sz w:val="20"/>
                <w:szCs w:val="20"/>
              </w:rPr>
            </w:pPr>
            <w:r w:rsidRPr="008A1AD9">
              <w:rPr>
                <w:rFonts w:asciiTheme="minorHAnsi" w:hAnsiTheme="minorHAnsi" w:cstheme="minorHAnsi"/>
                <w:sz w:val="20"/>
                <w:szCs w:val="20"/>
              </w:rPr>
              <w:t>Enhanced targeted capacities to improve policy and legislative instruments for better monitoring and decision-making on the global environment.</w:t>
            </w:r>
          </w:p>
          <w:p w14:paraId="07595A28" w14:textId="77777777" w:rsidR="00AE6DFC" w:rsidRPr="008A1AD9" w:rsidRDefault="00AE6DFC" w:rsidP="00AE6DFC">
            <w:pPr>
              <w:numPr>
                <w:ilvl w:val="0"/>
                <w:numId w:val="37"/>
              </w:numPr>
              <w:jc w:val="both"/>
              <w:rPr>
                <w:rFonts w:asciiTheme="minorHAnsi" w:hAnsiTheme="minorHAnsi" w:cstheme="minorHAnsi"/>
                <w:sz w:val="20"/>
                <w:szCs w:val="20"/>
              </w:rPr>
            </w:pPr>
            <w:r w:rsidRPr="008A1AD9">
              <w:rPr>
                <w:rFonts w:asciiTheme="minorHAnsi" w:hAnsiTheme="minorHAnsi" w:cstheme="minorHAnsi"/>
                <w:sz w:val="20"/>
                <w:szCs w:val="20"/>
              </w:rPr>
              <w:t xml:space="preserve">Strengthened monitoring and decision-making mechanisms for the global environment </w:t>
            </w:r>
          </w:p>
          <w:p w14:paraId="09E459D2" w14:textId="77777777" w:rsidR="00AE6DFC" w:rsidRPr="008A1AD9" w:rsidRDefault="00AE6DFC" w:rsidP="00AE6DFC">
            <w:pPr>
              <w:numPr>
                <w:ilvl w:val="0"/>
                <w:numId w:val="37"/>
              </w:numPr>
              <w:jc w:val="both"/>
              <w:rPr>
                <w:rFonts w:asciiTheme="minorHAnsi" w:hAnsiTheme="minorHAnsi" w:cstheme="minorHAnsi"/>
                <w:sz w:val="20"/>
                <w:szCs w:val="20"/>
              </w:rPr>
            </w:pPr>
            <w:r w:rsidRPr="008A1AD9">
              <w:rPr>
                <w:rFonts w:asciiTheme="minorHAnsi" w:hAnsiTheme="minorHAnsi" w:cstheme="minorHAnsi"/>
                <w:sz w:val="20"/>
                <w:szCs w:val="20"/>
              </w:rPr>
              <w:t xml:space="preserve">Natural resource valuation tools for improved decision-making on the global environment </w:t>
            </w:r>
          </w:p>
          <w:p w14:paraId="29E418E6" w14:textId="3392CE8B" w:rsidR="00AE6DFC" w:rsidRPr="004C4FDA" w:rsidRDefault="00AE6DFC" w:rsidP="004C4FDA">
            <w:pPr>
              <w:numPr>
                <w:ilvl w:val="0"/>
                <w:numId w:val="37"/>
              </w:numPr>
              <w:jc w:val="both"/>
              <w:rPr>
                <w:rFonts w:asciiTheme="minorHAnsi" w:hAnsiTheme="minorHAnsi" w:cstheme="minorHAnsi"/>
                <w:sz w:val="20"/>
                <w:szCs w:val="20"/>
              </w:rPr>
            </w:pPr>
            <w:r w:rsidRPr="008A1AD9">
              <w:rPr>
                <w:rFonts w:asciiTheme="minorHAnsi" w:hAnsiTheme="minorHAnsi" w:cstheme="minorHAnsi"/>
                <w:sz w:val="20"/>
                <w:szCs w:val="20"/>
              </w:rPr>
              <w:t>Targeted training and awareness-raising will have resulted in improved understanding of the good practices for delivering and sustaining global environmental outcomes within the framework of sustainable development</w:t>
            </w:r>
          </w:p>
          <w:p w14:paraId="34838A79" w14:textId="46AE3192" w:rsidR="00D50DC9" w:rsidRDefault="000A0326" w:rsidP="008E08BE">
            <w:pPr>
              <w:pStyle w:val="AProdoc"/>
              <w:numPr>
                <w:ilvl w:val="0"/>
                <w:numId w:val="0"/>
              </w:numPr>
              <w:jc w:val="both"/>
              <w:rPr>
                <w:rFonts w:asciiTheme="minorHAnsi" w:hAnsiTheme="minorHAnsi" w:cstheme="minorHAnsi"/>
                <w:bCs/>
                <w:sz w:val="20"/>
                <w:szCs w:val="20"/>
              </w:rPr>
            </w:pPr>
            <w:r w:rsidRPr="008E08BE">
              <w:rPr>
                <w:rFonts w:asciiTheme="minorHAnsi" w:hAnsiTheme="minorHAnsi" w:cstheme="minorHAnsi"/>
                <w:bCs/>
                <w:sz w:val="20"/>
                <w:szCs w:val="20"/>
              </w:rPr>
              <w:lastRenderedPageBreak/>
              <w:t xml:space="preserve">The project’s strategy emphasizes a long-term approach to institutionalizing capacities to meet MEA obligations through a set of learn-by-doing activities that </w:t>
            </w:r>
            <w:r w:rsidRPr="008E08BE">
              <w:rPr>
                <w:rFonts w:asciiTheme="minorHAnsi" w:hAnsiTheme="minorHAnsi" w:cstheme="minorHAnsi"/>
                <w:sz w:val="20"/>
                <w:szCs w:val="20"/>
              </w:rPr>
              <w:t>lay the foundation for effective decision-making regarding global environmental benefits.   A</w:t>
            </w:r>
            <w:r w:rsidRPr="008E08BE">
              <w:rPr>
                <w:rFonts w:asciiTheme="minorHAnsi" w:hAnsiTheme="minorHAnsi" w:cstheme="minorHAnsi"/>
                <w:bCs/>
                <w:sz w:val="20"/>
                <w:szCs w:val="20"/>
              </w:rPr>
              <w:t>ctive participation of stakeholder representatives in the full project life cycle facilitates the strategic adaptation of project activities in keeping with project objectives.  Moreover, the inclusion of non-state stakeholders contributes to the adaptive collaborative management of project implementation and promotes long-term sustainability of project outcomes.</w:t>
            </w:r>
          </w:p>
          <w:p w14:paraId="33B59281" w14:textId="15343005" w:rsidR="00996A81" w:rsidRDefault="00996A81" w:rsidP="00996A81">
            <w:pPr>
              <w:jc w:val="both"/>
              <w:rPr>
                <w:rFonts w:asciiTheme="minorHAnsi" w:hAnsiTheme="minorHAnsi" w:cstheme="minorHAnsi"/>
                <w:sz w:val="20"/>
                <w:szCs w:val="20"/>
              </w:rPr>
            </w:pPr>
            <w:r w:rsidRPr="009F62AE">
              <w:rPr>
                <w:rFonts w:asciiTheme="minorHAnsi" w:hAnsiTheme="minorHAnsi" w:cstheme="minorHAnsi"/>
                <w:sz w:val="20"/>
                <w:szCs w:val="20"/>
              </w:rPr>
              <w:t>After close to 4 years of implementation, this project will be operationally closed on the 16</w:t>
            </w:r>
            <w:r w:rsidRPr="009F62AE">
              <w:rPr>
                <w:rFonts w:asciiTheme="minorHAnsi" w:hAnsiTheme="minorHAnsi" w:cstheme="minorHAnsi"/>
                <w:sz w:val="20"/>
                <w:szCs w:val="20"/>
                <w:vertAlign w:val="superscript"/>
              </w:rPr>
              <w:t>th</w:t>
            </w:r>
            <w:r w:rsidRPr="009F62AE">
              <w:rPr>
                <w:rFonts w:asciiTheme="minorHAnsi" w:hAnsiTheme="minorHAnsi" w:cstheme="minorHAnsi"/>
                <w:sz w:val="20"/>
                <w:szCs w:val="20"/>
              </w:rPr>
              <w:t xml:space="preserve"> of April 2022. As per UNDP project management policies and procedures, an independent terminal evaluation is required. This evaluation mission will proceed while the project team is still in place, yet ensuring the project is close enough to completion for the evaluation team to reach conclusions on key aspects such as project sustainability. The consultants that will be hired to undertake the assignment will be independent from organizations that were involved in designing, </w:t>
            </w:r>
            <w:proofErr w:type="gramStart"/>
            <w:r w:rsidRPr="009F62AE">
              <w:rPr>
                <w:rFonts w:asciiTheme="minorHAnsi" w:hAnsiTheme="minorHAnsi" w:cstheme="minorHAnsi"/>
                <w:sz w:val="20"/>
                <w:szCs w:val="20"/>
              </w:rPr>
              <w:t>executing</w:t>
            </w:r>
            <w:proofErr w:type="gramEnd"/>
            <w:r w:rsidRPr="009F62AE">
              <w:rPr>
                <w:rFonts w:asciiTheme="minorHAnsi" w:hAnsiTheme="minorHAnsi" w:cstheme="minorHAnsi"/>
                <w:sz w:val="20"/>
                <w:szCs w:val="20"/>
              </w:rPr>
              <w:t xml:space="preserve"> or advising on the project to be evaluated.  </w:t>
            </w:r>
          </w:p>
          <w:p w14:paraId="0E22F3A1" w14:textId="519E5B51" w:rsidR="00DB4B8B" w:rsidRDefault="00DB4B8B" w:rsidP="00996A81">
            <w:pPr>
              <w:jc w:val="both"/>
              <w:rPr>
                <w:rFonts w:asciiTheme="minorHAnsi" w:hAnsiTheme="minorHAnsi" w:cstheme="minorHAnsi"/>
                <w:sz w:val="20"/>
                <w:szCs w:val="20"/>
              </w:rPr>
            </w:pPr>
          </w:p>
          <w:p w14:paraId="683D353A" w14:textId="64F6710A" w:rsidR="00524ADC" w:rsidRDefault="00DB4B8B" w:rsidP="00996A81">
            <w:pPr>
              <w:jc w:val="both"/>
              <w:rPr>
                <w:rFonts w:asciiTheme="minorHAnsi" w:hAnsiTheme="minorHAnsi" w:cstheme="minorHAnsi"/>
                <w:sz w:val="20"/>
                <w:szCs w:val="20"/>
              </w:rPr>
            </w:pPr>
            <w:r>
              <w:rPr>
                <w:rFonts w:asciiTheme="minorHAnsi" w:hAnsiTheme="minorHAnsi" w:cstheme="minorHAnsi"/>
                <w:sz w:val="20"/>
                <w:szCs w:val="20"/>
              </w:rPr>
              <w:t xml:space="preserve">This TE will be conducted by a team </w:t>
            </w:r>
            <w:r w:rsidR="001C5775">
              <w:rPr>
                <w:rFonts w:asciiTheme="minorHAnsi" w:hAnsiTheme="minorHAnsi" w:cstheme="minorHAnsi"/>
                <w:sz w:val="20"/>
                <w:szCs w:val="20"/>
              </w:rPr>
              <w:t xml:space="preserve">of 2 consultants </w:t>
            </w:r>
            <w:r w:rsidR="00660840">
              <w:rPr>
                <w:rFonts w:asciiTheme="minorHAnsi" w:hAnsiTheme="minorHAnsi" w:cstheme="minorHAnsi"/>
                <w:sz w:val="20"/>
                <w:szCs w:val="20"/>
              </w:rPr>
              <w:t>(hereby referre</w:t>
            </w:r>
            <w:r w:rsidR="00FB0477">
              <w:rPr>
                <w:rFonts w:asciiTheme="minorHAnsi" w:hAnsiTheme="minorHAnsi" w:cstheme="minorHAnsi"/>
                <w:sz w:val="20"/>
                <w:szCs w:val="20"/>
              </w:rPr>
              <w:t xml:space="preserve">d to as the TE team) </w:t>
            </w:r>
            <w:r w:rsidR="002E4DB5">
              <w:rPr>
                <w:rFonts w:asciiTheme="minorHAnsi" w:hAnsiTheme="minorHAnsi" w:cstheme="minorHAnsi"/>
                <w:sz w:val="20"/>
                <w:szCs w:val="20"/>
              </w:rPr>
              <w:t xml:space="preserve">made up of </w:t>
            </w:r>
            <w:r>
              <w:rPr>
                <w:rFonts w:asciiTheme="minorHAnsi" w:hAnsiTheme="minorHAnsi" w:cstheme="minorHAnsi"/>
                <w:sz w:val="20"/>
                <w:szCs w:val="20"/>
              </w:rPr>
              <w:t xml:space="preserve">an international consultant who will act as the TE team leader and a national consultant. This TOR </w:t>
            </w:r>
            <w:r w:rsidR="00CD5957">
              <w:rPr>
                <w:rFonts w:asciiTheme="minorHAnsi" w:hAnsiTheme="minorHAnsi" w:cstheme="minorHAnsi"/>
                <w:sz w:val="20"/>
                <w:szCs w:val="20"/>
              </w:rPr>
              <w:t xml:space="preserve">is developed specifically for </w:t>
            </w:r>
            <w:r w:rsidR="00524ADC">
              <w:rPr>
                <w:rFonts w:asciiTheme="minorHAnsi" w:hAnsiTheme="minorHAnsi" w:cstheme="minorHAnsi"/>
                <w:sz w:val="20"/>
                <w:szCs w:val="20"/>
              </w:rPr>
              <w:t xml:space="preserve">acquiring the services of </w:t>
            </w:r>
            <w:r w:rsidR="00FA5562">
              <w:rPr>
                <w:rFonts w:asciiTheme="minorHAnsi" w:hAnsiTheme="minorHAnsi" w:cstheme="minorHAnsi"/>
                <w:sz w:val="20"/>
                <w:szCs w:val="20"/>
              </w:rPr>
              <w:t>an international consultant (team leader) for the TE.</w:t>
            </w:r>
          </w:p>
          <w:p w14:paraId="160C37F2" w14:textId="2C2500CF" w:rsidR="00954004" w:rsidRPr="00996A81" w:rsidRDefault="00954004" w:rsidP="00996A81">
            <w:pPr>
              <w:jc w:val="both"/>
              <w:rPr>
                <w:rFonts w:asciiTheme="minorHAnsi" w:hAnsiTheme="minorHAnsi" w:cstheme="minorHAnsi"/>
                <w:bCs/>
                <w:sz w:val="20"/>
                <w:szCs w:val="20"/>
              </w:rPr>
            </w:pPr>
          </w:p>
        </w:tc>
      </w:tr>
    </w:tbl>
    <w:p w14:paraId="160C37F4" w14:textId="77777777" w:rsidR="001666E6" w:rsidRPr="00E25EDF" w:rsidRDefault="001666E6" w:rsidP="00AA31BD">
      <w:pPr>
        <w:rPr>
          <w:rFonts w:asciiTheme="minorHAnsi" w:hAnsiTheme="minorHAnsi"/>
          <w:b/>
          <w:sz w:val="20"/>
          <w:szCs w:val="20"/>
        </w:rPr>
      </w:pPr>
    </w:p>
    <w:p w14:paraId="160C37F5" w14:textId="77777777" w:rsidR="001666E6" w:rsidRPr="00E25EDF" w:rsidRDefault="001666E6" w:rsidP="00AA31BD">
      <w:pPr>
        <w:pStyle w:val="ListParagraph"/>
        <w:numPr>
          <w:ilvl w:val="0"/>
          <w:numId w:val="13"/>
        </w:numPr>
        <w:tabs>
          <w:tab w:val="left" w:pos="360"/>
        </w:tabs>
        <w:ind w:left="360"/>
        <w:contextualSpacing/>
        <w:rPr>
          <w:rFonts w:asciiTheme="minorHAnsi" w:hAnsiTheme="minorHAnsi"/>
          <w:b/>
          <w:sz w:val="20"/>
          <w:szCs w:val="20"/>
        </w:rPr>
      </w:pPr>
      <w:r w:rsidRPr="00E25EDF">
        <w:rPr>
          <w:rFonts w:asciiTheme="minorHAnsi" w:hAnsiTheme="minorHAnsi"/>
          <w:b/>
          <w:sz w:val="20"/>
          <w:szCs w:val="20"/>
        </w:rPr>
        <w:t xml:space="preserve">SCOPE OF WORK, RESPONSIBILITIES AND DESCRIPTION OF THE PROPOSED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1"/>
      </w:tblGrid>
      <w:tr w:rsidR="001666E6" w:rsidRPr="00E25EDF" w14:paraId="160C37F8" w14:textId="77777777" w:rsidTr="00487704">
        <w:tc>
          <w:tcPr>
            <w:tcW w:w="9535" w:type="dxa"/>
            <w:shd w:val="clear" w:color="auto" w:fill="auto"/>
          </w:tcPr>
          <w:p w14:paraId="0FAB79D4" w14:textId="406D7E6D" w:rsidR="002C2C2B" w:rsidRDefault="002C2C2B" w:rsidP="00DE44B6">
            <w:pPr>
              <w:spacing w:after="160" w:line="259" w:lineRule="auto"/>
              <w:jc w:val="both"/>
              <w:rPr>
                <w:rFonts w:ascii="Calibri" w:eastAsia="Calibri" w:hAnsi="Calibri"/>
                <w:sz w:val="20"/>
                <w:szCs w:val="20"/>
              </w:rPr>
            </w:pPr>
          </w:p>
          <w:p w14:paraId="1566A6F8" w14:textId="4453E1D8" w:rsidR="00DE44B6" w:rsidRDefault="002C2C2B" w:rsidP="00714B01">
            <w:pPr>
              <w:jc w:val="both"/>
              <w:rPr>
                <w:rFonts w:ascii="Calibri" w:eastAsia="Calibri" w:hAnsi="Calibri"/>
                <w:color w:val="000000"/>
                <w:sz w:val="20"/>
                <w:szCs w:val="20"/>
              </w:rPr>
            </w:pPr>
            <w:r w:rsidRPr="003344A9">
              <w:rPr>
                <w:rFonts w:ascii="Calibri" w:eastAsia="Calibri" w:hAnsi="Calibri"/>
                <w:sz w:val="20"/>
                <w:szCs w:val="20"/>
              </w:rPr>
              <w:t xml:space="preserve">The TE report will assess the achievement of project results against what was expected to be </w:t>
            </w:r>
            <w:r w:rsidR="00566072" w:rsidRPr="003344A9">
              <w:rPr>
                <w:rFonts w:ascii="Calibri" w:eastAsia="Calibri" w:hAnsi="Calibri"/>
                <w:sz w:val="20"/>
                <w:szCs w:val="20"/>
              </w:rPr>
              <w:t>achieved and</w:t>
            </w:r>
            <w:r w:rsidRPr="003344A9">
              <w:rPr>
                <w:rFonts w:ascii="Calibri" w:eastAsia="Calibri" w:hAnsi="Calibri"/>
                <w:sz w:val="20"/>
                <w:szCs w:val="20"/>
              </w:rPr>
              <w:t xml:space="preserve"> draw lessons </w:t>
            </w:r>
            <w:r w:rsidR="00490337" w:rsidRPr="00DE44B6">
              <w:rPr>
                <w:rFonts w:ascii="Calibri" w:eastAsia="Calibri" w:hAnsi="Calibri"/>
                <w:sz w:val="20"/>
                <w:szCs w:val="20"/>
              </w:rPr>
              <w:t>from the project implementation</w:t>
            </w:r>
            <w:r w:rsidR="00490337" w:rsidRPr="003344A9">
              <w:rPr>
                <w:rFonts w:ascii="Calibri" w:eastAsia="Calibri" w:hAnsi="Calibri"/>
                <w:sz w:val="20"/>
                <w:szCs w:val="20"/>
              </w:rPr>
              <w:t xml:space="preserve"> </w:t>
            </w:r>
            <w:r w:rsidRPr="003344A9">
              <w:rPr>
                <w:rFonts w:ascii="Calibri" w:eastAsia="Calibri" w:hAnsi="Calibri"/>
                <w:sz w:val="20"/>
                <w:szCs w:val="20"/>
              </w:rPr>
              <w:t xml:space="preserve">that can both improve the sustainability of benefits from this project, and aid in the overall enhancement of UNDP programming. The TE report promotes accountability and </w:t>
            </w:r>
            <w:r w:rsidR="00F24EB6" w:rsidRPr="003344A9">
              <w:rPr>
                <w:rFonts w:ascii="Calibri" w:eastAsia="Calibri" w:hAnsi="Calibri"/>
                <w:sz w:val="20"/>
                <w:szCs w:val="20"/>
              </w:rPr>
              <w:t>transparency and</w:t>
            </w:r>
            <w:r w:rsidRPr="003344A9">
              <w:rPr>
                <w:rFonts w:ascii="Calibri" w:eastAsia="Calibri" w:hAnsi="Calibri"/>
                <w:sz w:val="20"/>
                <w:szCs w:val="20"/>
              </w:rPr>
              <w:t xml:space="preserve"> assesses the extent of project accomplishments.</w:t>
            </w:r>
            <w:r w:rsidR="00714B01" w:rsidRPr="003344A9">
              <w:rPr>
                <w:rFonts w:ascii="Calibri" w:eastAsia="Calibri" w:hAnsi="Calibri"/>
                <w:sz w:val="20"/>
                <w:szCs w:val="20"/>
              </w:rPr>
              <w:t xml:space="preserve"> It also highlights </w:t>
            </w:r>
            <w:r w:rsidR="00731F65" w:rsidRPr="003344A9">
              <w:rPr>
                <w:rFonts w:ascii="Calibri" w:eastAsia="Calibri" w:hAnsi="Calibri"/>
                <w:sz w:val="20"/>
                <w:szCs w:val="20"/>
              </w:rPr>
              <w:t xml:space="preserve">the </w:t>
            </w:r>
            <w:r w:rsidR="00DE44B6" w:rsidRPr="00DE44B6">
              <w:rPr>
                <w:rFonts w:ascii="Calibri" w:eastAsia="Calibri" w:hAnsi="Calibri"/>
                <w:sz w:val="20"/>
                <w:szCs w:val="20"/>
              </w:rPr>
              <w:t xml:space="preserve">relevance, efficiency, </w:t>
            </w:r>
            <w:proofErr w:type="gramStart"/>
            <w:r w:rsidR="00DE44B6" w:rsidRPr="00DE44B6">
              <w:rPr>
                <w:rFonts w:ascii="Calibri" w:eastAsia="Calibri" w:hAnsi="Calibri"/>
                <w:sz w:val="20"/>
                <w:szCs w:val="20"/>
              </w:rPr>
              <w:t>sustainability</w:t>
            </w:r>
            <w:proofErr w:type="gramEnd"/>
            <w:r w:rsidR="00DE44B6" w:rsidRPr="00DE44B6">
              <w:rPr>
                <w:rFonts w:ascii="Calibri" w:eastAsia="Calibri" w:hAnsi="Calibri"/>
                <w:sz w:val="20"/>
                <w:szCs w:val="20"/>
              </w:rPr>
              <w:t xml:space="preserve"> and impact</w:t>
            </w:r>
            <w:r w:rsidR="00731F65">
              <w:rPr>
                <w:rFonts w:ascii="Calibri" w:eastAsia="Calibri" w:hAnsi="Calibri"/>
                <w:sz w:val="20"/>
                <w:szCs w:val="20"/>
              </w:rPr>
              <w:t xml:space="preserve"> of the project</w:t>
            </w:r>
            <w:r w:rsidR="00DE44B6" w:rsidRPr="00DE44B6">
              <w:rPr>
                <w:rFonts w:ascii="Calibri" w:eastAsia="Calibri" w:hAnsi="Calibri"/>
                <w:sz w:val="20"/>
                <w:szCs w:val="20"/>
              </w:rPr>
              <w:t xml:space="preserve">. The evaluation will also identify the main challenges and constraints faced by the </w:t>
            </w:r>
            <w:r w:rsidR="00F24EB6" w:rsidRPr="00DE44B6">
              <w:rPr>
                <w:rFonts w:ascii="Calibri" w:eastAsia="Calibri" w:hAnsi="Calibri"/>
                <w:sz w:val="20"/>
                <w:szCs w:val="20"/>
              </w:rPr>
              <w:t>project and</w:t>
            </w:r>
            <w:r w:rsidR="00DE44B6" w:rsidRPr="00DE44B6">
              <w:rPr>
                <w:rFonts w:ascii="Calibri" w:eastAsia="Calibri" w:hAnsi="Calibri"/>
                <w:sz w:val="20"/>
                <w:szCs w:val="20"/>
              </w:rPr>
              <w:t xml:space="preserve"> provide recommendations for future UNDP interventions to support and strengthen</w:t>
            </w:r>
            <w:r w:rsidR="001924B5" w:rsidRPr="004276DC">
              <w:rPr>
                <w:rFonts w:ascii="Calibri" w:eastAsia="Calibri" w:hAnsi="Calibri"/>
                <w:sz w:val="20"/>
                <w:szCs w:val="20"/>
              </w:rPr>
              <w:t xml:space="preserve"> </w:t>
            </w:r>
            <w:r w:rsidR="009142A2" w:rsidRPr="004276DC">
              <w:rPr>
                <w:rFonts w:ascii="Calibri" w:eastAsia="Calibri" w:hAnsi="Calibri"/>
                <w:sz w:val="20"/>
                <w:szCs w:val="20"/>
              </w:rPr>
              <w:t xml:space="preserve">capacities </w:t>
            </w:r>
            <w:r w:rsidR="009142A2" w:rsidRPr="00DE44B6">
              <w:rPr>
                <w:rFonts w:ascii="Calibri" w:eastAsia="Calibri" w:hAnsi="Calibri"/>
                <w:sz w:val="20"/>
                <w:szCs w:val="20"/>
              </w:rPr>
              <w:t>for</w:t>
            </w:r>
            <w:r w:rsidR="005C6677" w:rsidRPr="004276DC">
              <w:rPr>
                <w:rFonts w:ascii="Calibri" w:eastAsia="Calibri" w:hAnsi="Calibri"/>
                <w:sz w:val="20"/>
                <w:szCs w:val="20"/>
              </w:rPr>
              <w:t xml:space="preserve"> planning and decision making </w:t>
            </w:r>
            <w:r w:rsidR="00925178" w:rsidRPr="004276DC">
              <w:rPr>
                <w:rFonts w:ascii="Calibri" w:eastAsia="Calibri" w:hAnsi="Calibri"/>
                <w:sz w:val="20"/>
                <w:szCs w:val="20"/>
              </w:rPr>
              <w:t>towards</w:t>
            </w:r>
            <w:r w:rsidR="0076704A" w:rsidRPr="004276DC">
              <w:rPr>
                <w:rFonts w:ascii="Calibri" w:eastAsia="Calibri" w:hAnsi="Calibri"/>
                <w:sz w:val="20"/>
                <w:szCs w:val="20"/>
              </w:rPr>
              <w:t xml:space="preserve"> natural resources </w:t>
            </w:r>
            <w:r w:rsidR="00C32FEF" w:rsidRPr="004276DC">
              <w:rPr>
                <w:rFonts w:ascii="Calibri" w:eastAsia="Calibri" w:hAnsi="Calibri"/>
                <w:sz w:val="20"/>
                <w:szCs w:val="20"/>
              </w:rPr>
              <w:t xml:space="preserve">management </w:t>
            </w:r>
            <w:r w:rsidR="00DE44B6" w:rsidRPr="00DE44B6">
              <w:rPr>
                <w:rFonts w:ascii="Calibri" w:eastAsia="Calibri" w:hAnsi="Calibri"/>
                <w:sz w:val="20"/>
                <w:szCs w:val="20"/>
              </w:rPr>
              <w:t xml:space="preserve">in light of the government´s development priorities and the </w:t>
            </w:r>
            <w:proofErr w:type="gramStart"/>
            <w:r w:rsidR="00DE44B6" w:rsidRPr="00DE44B6">
              <w:rPr>
                <w:rFonts w:ascii="Calibri" w:eastAsia="Calibri" w:hAnsi="Calibri"/>
                <w:sz w:val="20"/>
                <w:szCs w:val="20"/>
              </w:rPr>
              <w:t>Agenda</w:t>
            </w:r>
            <w:proofErr w:type="gramEnd"/>
            <w:r w:rsidR="00DE44B6" w:rsidRPr="00DE44B6">
              <w:rPr>
                <w:rFonts w:ascii="Calibri" w:eastAsia="Calibri" w:hAnsi="Calibri"/>
                <w:sz w:val="20"/>
                <w:szCs w:val="20"/>
              </w:rPr>
              <w:t xml:space="preserve"> 2030</w:t>
            </w:r>
            <w:r w:rsidR="00DE44B6" w:rsidRPr="00DE44B6">
              <w:rPr>
                <w:rFonts w:ascii="Calibri" w:eastAsia="Calibri" w:hAnsi="Calibri"/>
                <w:color w:val="000000"/>
                <w:sz w:val="20"/>
                <w:szCs w:val="20"/>
              </w:rPr>
              <w:t>.</w:t>
            </w:r>
          </w:p>
          <w:p w14:paraId="610BEDE3" w14:textId="77777777" w:rsidR="007A0E67" w:rsidRPr="00714B01" w:rsidRDefault="007A0E67" w:rsidP="00714B01">
            <w:pPr>
              <w:jc w:val="both"/>
              <w:rPr>
                <w:rFonts w:ascii="Myriad Pro" w:hAnsi="Myriad Pro"/>
                <w:color w:val="000000"/>
                <w:sz w:val="21"/>
                <w:szCs w:val="21"/>
              </w:rPr>
            </w:pPr>
          </w:p>
          <w:p w14:paraId="1E202846" w14:textId="07970434" w:rsidR="00DE44B6" w:rsidRPr="00DE44B6" w:rsidRDefault="00DE44B6" w:rsidP="00BE27E9">
            <w:pPr>
              <w:spacing w:after="160" w:line="259" w:lineRule="auto"/>
              <w:jc w:val="both"/>
              <w:rPr>
                <w:rFonts w:ascii="Calibri" w:eastAsia="Calibri" w:hAnsi="Calibri"/>
                <w:sz w:val="20"/>
                <w:szCs w:val="20"/>
              </w:rPr>
            </w:pPr>
            <w:proofErr w:type="gramStart"/>
            <w:r w:rsidRPr="00DE44B6">
              <w:rPr>
                <w:rFonts w:ascii="Calibri" w:eastAsia="Calibri" w:hAnsi="Calibri"/>
                <w:sz w:val="20"/>
                <w:szCs w:val="20"/>
              </w:rPr>
              <w:t>In order to</w:t>
            </w:r>
            <w:proofErr w:type="gramEnd"/>
            <w:r w:rsidRPr="00DE44B6">
              <w:rPr>
                <w:rFonts w:ascii="Calibri" w:eastAsia="Calibri" w:hAnsi="Calibri"/>
                <w:sz w:val="20"/>
                <w:szCs w:val="20"/>
              </w:rPr>
              <w:t xml:space="preserve"> attain this objective, the evaluation will cover the 4 project </w:t>
            </w:r>
            <w:r w:rsidR="000E3DEB">
              <w:rPr>
                <w:rFonts w:ascii="Calibri" w:eastAsia="Calibri" w:hAnsi="Calibri"/>
                <w:sz w:val="20"/>
                <w:szCs w:val="20"/>
              </w:rPr>
              <w:t>components</w:t>
            </w:r>
            <w:r w:rsidRPr="00DE44B6">
              <w:rPr>
                <w:rFonts w:ascii="Calibri" w:eastAsia="Calibri" w:hAnsi="Calibri"/>
                <w:sz w:val="20"/>
                <w:szCs w:val="20"/>
              </w:rPr>
              <w:t xml:space="preserve"> mentioned above and will take into consideration the feedback from all </w:t>
            </w:r>
            <w:r w:rsidR="00887D1E">
              <w:rPr>
                <w:rFonts w:ascii="Calibri" w:eastAsia="Calibri" w:hAnsi="Calibri"/>
                <w:sz w:val="20"/>
                <w:szCs w:val="20"/>
              </w:rPr>
              <w:t xml:space="preserve">the relevant government </w:t>
            </w:r>
            <w:r w:rsidRPr="00DE44B6">
              <w:rPr>
                <w:rFonts w:ascii="Calibri" w:eastAsia="Calibri" w:hAnsi="Calibri"/>
                <w:sz w:val="20"/>
                <w:szCs w:val="20"/>
              </w:rPr>
              <w:t>institutions</w:t>
            </w:r>
            <w:r w:rsidR="003154A4">
              <w:rPr>
                <w:rFonts w:ascii="Calibri" w:eastAsia="Calibri" w:hAnsi="Calibri"/>
                <w:sz w:val="20"/>
                <w:szCs w:val="20"/>
              </w:rPr>
              <w:t>,</w:t>
            </w:r>
            <w:r w:rsidRPr="00DE44B6">
              <w:rPr>
                <w:rFonts w:ascii="Calibri" w:eastAsia="Calibri" w:hAnsi="Calibri"/>
                <w:sz w:val="20"/>
                <w:szCs w:val="20"/>
              </w:rPr>
              <w:t xml:space="preserve"> development partners </w:t>
            </w:r>
            <w:r w:rsidR="008D0F2F">
              <w:rPr>
                <w:rFonts w:ascii="Calibri" w:eastAsia="Calibri" w:hAnsi="Calibri"/>
                <w:sz w:val="20"/>
                <w:szCs w:val="20"/>
              </w:rPr>
              <w:t xml:space="preserve">and </w:t>
            </w:r>
            <w:r w:rsidR="008D0F2F" w:rsidRPr="00DE44B6">
              <w:rPr>
                <w:rFonts w:ascii="Calibri" w:eastAsia="Calibri" w:hAnsi="Calibri"/>
                <w:sz w:val="20"/>
                <w:szCs w:val="20"/>
              </w:rPr>
              <w:t>Civil Society Organizations</w:t>
            </w:r>
            <w:r w:rsidR="00BD11FD">
              <w:rPr>
                <w:rFonts w:ascii="Calibri" w:eastAsia="Calibri" w:hAnsi="Calibri"/>
                <w:sz w:val="20"/>
                <w:szCs w:val="20"/>
              </w:rPr>
              <w:t xml:space="preserve"> involved in the project</w:t>
            </w:r>
            <w:r w:rsidR="008D0F2F" w:rsidRPr="00DE44B6">
              <w:rPr>
                <w:rFonts w:ascii="Calibri" w:eastAsia="Calibri" w:hAnsi="Calibri"/>
                <w:sz w:val="20"/>
                <w:szCs w:val="20"/>
              </w:rPr>
              <w:t xml:space="preserve">.  </w:t>
            </w:r>
            <w:r w:rsidRPr="00DE44B6">
              <w:rPr>
                <w:rFonts w:ascii="Calibri" w:eastAsia="Calibri" w:hAnsi="Calibri"/>
                <w:sz w:val="20"/>
                <w:szCs w:val="20"/>
              </w:rPr>
              <w:t xml:space="preserve">In addition, the evaluation will also seek information from the core personnel involved in the project implementation activities and UNDP senior management. The evaluation will also assess the project approach to capacity development, knowledge management, </w:t>
            </w:r>
            <w:proofErr w:type="gramStart"/>
            <w:r w:rsidRPr="00DE44B6">
              <w:rPr>
                <w:rFonts w:ascii="Calibri" w:eastAsia="Calibri" w:hAnsi="Calibri"/>
                <w:sz w:val="20"/>
                <w:szCs w:val="20"/>
              </w:rPr>
              <w:t>south-south</w:t>
            </w:r>
            <w:proofErr w:type="gramEnd"/>
            <w:r w:rsidRPr="00DE44B6">
              <w:rPr>
                <w:rFonts w:ascii="Calibri" w:eastAsia="Calibri" w:hAnsi="Calibri"/>
                <w:sz w:val="20"/>
                <w:szCs w:val="20"/>
              </w:rPr>
              <w:t xml:space="preserve"> and triangular cooperation, </w:t>
            </w:r>
            <w:r w:rsidR="00AE79BA">
              <w:rPr>
                <w:rFonts w:ascii="Calibri" w:eastAsia="Calibri" w:hAnsi="Calibri"/>
                <w:sz w:val="20"/>
                <w:szCs w:val="20"/>
              </w:rPr>
              <w:t xml:space="preserve">mainstreaming gender equality </w:t>
            </w:r>
            <w:r w:rsidRPr="00DE44B6">
              <w:rPr>
                <w:rFonts w:ascii="Calibri" w:eastAsia="Calibri" w:hAnsi="Calibri"/>
                <w:sz w:val="20"/>
                <w:szCs w:val="20"/>
              </w:rPr>
              <w:t xml:space="preserve">and the results achieved in that regard. </w:t>
            </w:r>
          </w:p>
          <w:p w14:paraId="077F7742" w14:textId="335871A2" w:rsidR="00A95224" w:rsidRPr="00E84ECD" w:rsidRDefault="00A95224" w:rsidP="00A95224">
            <w:pPr>
              <w:spacing w:after="160" w:line="276" w:lineRule="auto"/>
              <w:contextualSpacing/>
              <w:jc w:val="both"/>
              <w:rPr>
                <w:rFonts w:ascii="Calibri" w:eastAsia="Calibri" w:hAnsi="Calibri"/>
                <w:sz w:val="20"/>
                <w:szCs w:val="20"/>
              </w:rPr>
            </w:pPr>
          </w:p>
          <w:p w14:paraId="5F11902E" w14:textId="77777777" w:rsidR="00A95224" w:rsidRPr="00E84ECD" w:rsidRDefault="00A95224" w:rsidP="00E84ECD">
            <w:pPr>
              <w:contextualSpacing/>
              <w:rPr>
                <w:b/>
                <w:bCs/>
                <w:sz w:val="20"/>
                <w:szCs w:val="20"/>
              </w:rPr>
            </w:pPr>
            <w:r w:rsidRPr="00E84ECD">
              <w:rPr>
                <w:b/>
                <w:bCs/>
                <w:sz w:val="20"/>
                <w:szCs w:val="20"/>
              </w:rPr>
              <w:t xml:space="preserve">TE APPROACH &amp; METHODOLOGY </w:t>
            </w:r>
          </w:p>
          <w:p w14:paraId="630C1569" w14:textId="77777777" w:rsidR="00A95224" w:rsidRPr="00E84ECD" w:rsidRDefault="00A95224" w:rsidP="00A95224">
            <w:pPr>
              <w:spacing w:after="160" w:line="276" w:lineRule="auto"/>
              <w:contextualSpacing/>
              <w:jc w:val="both"/>
              <w:rPr>
                <w:rFonts w:ascii="Calibri" w:eastAsia="Calibri" w:hAnsi="Calibri"/>
                <w:sz w:val="20"/>
                <w:szCs w:val="20"/>
              </w:rPr>
            </w:pPr>
          </w:p>
          <w:p w14:paraId="7D2F8350" w14:textId="77777777" w:rsidR="00A95224" w:rsidRPr="00E84ECD" w:rsidRDefault="00A95224" w:rsidP="00A95224">
            <w:pPr>
              <w:jc w:val="both"/>
              <w:rPr>
                <w:rFonts w:ascii="Calibri" w:eastAsia="Calibri" w:hAnsi="Calibri"/>
                <w:sz w:val="20"/>
                <w:szCs w:val="20"/>
              </w:rPr>
            </w:pPr>
            <w:r w:rsidRPr="00E84ECD">
              <w:rPr>
                <w:rFonts w:ascii="Calibri" w:eastAsia="Calibri" w:hAnsi="Calibri"/>
                <w:sz w:val="20"/>
                <w:szCs w:val="20"/>
              </w:rPr>
              <w:t xml:space="preserve">The TE report must provide evidence-based information that is credible, </w:t>
            </w:r>
            <w:proofErr w:type="gramStart"/>
            <w:r w:rsidRPr="00E84ECD">
              <w:rPr>
                <w:rFonts w:ascii="Calibri" w:eastAsia="Calibri" w:hAnsi="Calibri"/>
                <w:sz w:val="20"/>
                <w:szCs w:val="20"/>
              </w:rPr>
              <w:t>reliable</w:t>
            </w:r>
            <w:proofErr w:type="gramEnd"/>
            <w:r w:rsidRPr="00E84ECD">
              <w:rPr>
                <w:rFonts w:ascii="Calibri" w:eastAsia="Calibri" w:hAnsi="Calibri"/>
                <w:sz w:val="20"/>
                <w:szCs w:val="20"/>
              </w:rPr>
              <w:t xml:space="preserve"> and useful.</w:t>
            </w:r>
          </w:p>
          <w:p w14:paraId="22CD91CB" w14:textId="77777777" w:rsidR="00A95224" w:rsidRPr="00E84ECD" w:rsidRDefault="00A95224" w:rsidP="00A95224">
            <w:pPr>
              <w:rPr>
                <w:rFonts w:ascii="Calibri" w:eastAsia="Calibri" w:hAnsi="Calibri"/>
                <w:sz w:val="20"/>
                <w:szCs w:val="20"/>
              </w:rPr>
            </w:pPr>
          </w:p>
          <w:p w14:paraId="435EEACB" w14:textId="59A1368E" w:rsidR="00A95224" w:rsidRPr="00E84ECD" w:rsidRDefault="00A95224" w:rsidP="00A95224">
            <w:pPr>
              <w:jc w:val="both"/>
              <w:rPr>
                <w:rFonts w:ascii="Calibri" w:eastAsia="Calibri" w:hAnsi="Calibri"/>
                <w:sz w:val="20"/>
                <w:szCs w:val="20"/>
              </w:rPr>
            </w:pPr>
            <w:r w:rsidRPr="00E84ECD">
              <w:rPr>
                <w:rFonts w:ascii="Calibri" w:eastAsia="Calibri" w:hAnsi="Calibri"/>
                <w:sz w:val="20"/>
                <w:szCs w:val="20"/>
              </w:rPr>
              <w:t>The TE team</w:t>
            </w:r>
            <w:r w:rsidR="00AF094A">
              <w:rPr>
                <w:rFonts w:ascii="Calibri" w:eastAsia="Calibri" w:hAnsi="Calibri"/>
                <w:sz w:val="20"/>
                <w:szCs w:val="20"/>
              </w:rPr>
              <w:t xml:space="preserve"> (hereby referring to the </w:t>
            </w:r>
            <w:r w:rsidR="00835F21">
              <w:rPr>
                <w:rFonts w:ascii="Calibri" w:eastAsia="Calibri" w:hAnsi="Calibri"/>
                <w:sz w:val="20"/>
                <w:szCs w:val="20"/>
              </w:rPr>
              <w:t>consultants)</w:t>
            </w:r>
            <w:r w:rsidRPr="00E84ECD">
              <w:rPr>
                <w:rFonts w:ascii="Calibri" w:eastAsia="Calibri" w:hAnsi="Calibri"/>
                <w:sz w:val="20"/>
                <w:szCs w:val="20"/>
              </w:rPr>
              <w:t xml:space="preserve"> will review all relevant sources of information including documents prepared during the preparation phase (i.e. P</w:t>
            </w:r>
            <w:r w:rsidR="009B4AA4">
              <w:rPr>
                <w:rFonts w:ascii="Calibri" w:eastAsia="Calibri" w:hAnsi="Calibri"/>
                <w:sz w:val="20"/>
                <w:szCs w:val="20"/>
              </w:rPr>
              <w:t xml:space="preserve">roject </w:t>
            </w:r>
            <w:r w:rsidR="009B4AA4" w:rsidRPr="00E84ECD">
              <w:rPr>
                <w:rFonts w:ascii="Calibri" w:eastAsia="Calibri" w:hAnsi="Calibri"/>
                <w:sz w:val="20"/>
                <w:szCs w:val="20"/>
              </w:rPr>
              <w:t>I</w:t>
            </w:r>
            <w:r w:rsidR="009B4AA4">
              <w:rPr>
                <w:rFonts w:ascii="Calibri" w:eastAsia="Calibri" w:hAnsi="Calibri"/>
                <w:sz w:val="20"/>
                <w:szCs w:val="20"/>
              </w:rPr>
              <w:t xml:space="preserve">dentification </w:t>
            </w:r>
            <w:r w:rsidRPr="00E84ECD">
              <w:rPr>
                <w:rFonts w:ascii="Calibri" w:eastAsia="Calibri" w:hAnsi="Calibri"/>
                <w:sz w:val="20"/>
                <w:szCs w:val="20"/>
              </w:rPr>
              <w:t>F</w:t>
            </w:r>
            <w:r w:rsidR="009B4AA4">
              <w:rPr>
                <w:rFonts w:ascii="Calibri" w:eastAsia="Calibri" w:hAnsi="Calibri"/>
                <w:sz w:val="20"/>
                <w:szCs w:val="20"/>
              </w:rPr>
              <w:t>orm (PIF)</w:t>
            </w:r>
            <w:r w:rsidRPr="00E84ECD">
              <w:rPr>
                <w:rFonts w:ascii="Calibri" w:eastAsia="Calibri" w:hAnsi="Calibri"/>
                <w:sz w:val="20"/>
                <w:szCs w:val="20"/>
              </w:rPr>
              <w:t>, UNDP Initiation Plan, UNDP Social and Environmental Screening Procedure</w:t>
            </w:r>
            <w:r w:rsidR="00A61304">
              <w:rPr>
                <w:rFonts w:ascii="Calibri" w:eastAsia="Calibri" w:hAnsi="Calibri"/>
                <w:sz w:val="20"/>
                <w:szCs w:val="20"/>
              </w:rPr>
              <w:t>(</w:t>
            </w:r>
            <w:r w:rsidRPr="00E84ECD">
              <w:rPr>
                <w:rFonts w:ascii="Calibri" w:eastAsia="Calibri" w:hAnsi="Calibri"/>
                <w:sz w:val="20"/>
                <w:szCs w:val="20"/>
              </w:rPr>
              <w:t>SESP)</w:t>
            </w:r>
            <w:r w:rsidR="008020C3">
              <w:rPr>
                <w:rFonts w:ascii="Calibri" w:eastAsia="Calibri" w:hAnsi="Calibri"/>
                <w:sz w:val="20"/>
                <w:szCs w:val="20"/>
              </w:rPr>
              <w:t>)</w:t>
            </w:r>
            <w:r w:rsidR="00A61304">
              <w:rPr>
                <w:rFonts w:ascii="Calibri" w:eastAsia="Calibri" w:hAnsi="Calibri"/>
                <w:sz w:val="20"/>
                <w:szCs w:val="20"/>
              </w:rPr>
              <w:t>,</w:t>
            </w:r>
            <w:r w:rsidRPr="00E84ECD">
              <w:rPr>
                <w:rFonts w:ascii="Calibri" w:eastAsia="Calibri" w:hAnsi="Calibri"/>
                <w:sz w:val="20"/>
                <w:szCs w:val="20"/>
              </w:rPr>
              <w:t xml:space="preserve"> the Project Document</w:t>
            </w:r>
            <w:r w:rsidR="008020C3">
              <w:rPr>
                <w:rFonts w:ascii="Calibri" w:eastAsia="Calibri" w:hAnsi="Calibri"/>
                <w:sz w:val="20"/>
                <w:szCs w:val="20"/>
              </w:rPr>
              <w:t xml:space="preserve"> (ProDoc)</w:t>
            </w:r>
            <w:r w:rsidRPr="00E84ECD">
              <w:rPr>
                <w:rFonts w:ascii="Calibri" w:eastAsia="Calibri" w:hAnsi="Calibri"/>
                <w:sz w:val="20"/>
                <w:szCs w:val="20"/>
              </w:rPr>
              <w:t xml:space="preserve">, project reports including annual </w:t>
            </w:r>
            <w:r w:rsidR="00B16F3B">
              <w:rPr>
                <w:rFonts w:ascii="Calibri" w:eastAsia="Calibri" w:hAnsi="Calibri"/>
                <w:sz w:val="20"/>
                <w:szCs w:val="20"/>
              </w:rPr>
              <w:t>Project Implementation Reports (</w:t>
            </w:r>
            <w:r w:rsidRPr="00C673E2">
              <w:rPr>
                <w:rFonts w:ascii="Calibri" w:eastAsia="Calibri" w:hAnsi="Calibri"/>
                <w:sz w:val="20"/>
                <w:szCs w:val="20"/>
              </w:rPr>
              <w:t>PIR</w:t>
            </w:r>
            <w:r w:rsidRPr="00E84ECD">
              <w:rPr>
                <w:rFonts w:ascii="Calibri" w:eastAsia="Calibri" w:hAnsi="Calibri"/>
                <w:sz w:val="20"/>
                <w:szCs w:val="20"/>
              </w:rPr>
              <w:t>s</w:t>
            </w:r>
            <w:r w:rsidR="00B16F3B">
              <w:rPr>
                <w:rFonts w:ascii="Calibri" w:eastAsia="Calibri" w:hAnsi="Calibri"/>
                <w:sz w:val="20"/>
                <w:szCs w:val="20"/>
              </w:rPr>
              <w:t>)</w:t>
            </w:r>
            <w:r w:rsidRPr="00E84ECD">
              <w:rPr>
                <w:rFonts w:ascii="Calibri" w:eastAsia="Calibri" w:hAnsi="Calibri"/>
                <w:sz w:val="20"/>
                <w:szCs w:val="20"/>
              </w:rPr>
              <w:t>, project budget revisions, lesson learned reports, national strategic and legal documents, and any other materials that the team considers useful for this evidence-based evaluation. The TE team will review the baseline Tracking Tool submitted to the GEF at the</w:t>
            </w:r>
            <w:r w:rsidR="006D665E">
              <w:rPr>
                <w:rFonts w:ascii="Calibri" w:eastAsia="Calibri" w:hAnsi="Calibri"/>
                <w:sz w:val="20"/>
                <w:szCs w:val="20"/>
              </w:rPr>
              <w:t xml:space="preserve"> Chief</w:t>
            </w:r>
            <w:r w:rsidR="00D22794">
              <w:rPr>
                <w:rFonts w:ascii="Calibri" w:eastAsia="Calibri" w:hAnsi="Calibri"/>
                <w:sz w:val="20"/>
                <w:szCs w:val="20"/>
              </w:rPr>
              <w:t xml:space="preserve"> </w:t>
            </w:r>
            <w:r w:rsidR="00616D40">
              <w:rPr>
                <w:rFonts w:ascii="Calibri" w:eastAsia="Calibri" w:hAnsi="Calibri"/>
                <w:sz w:val="20"/>
                <w:szCs w:val="20"/>
              </w:rPr>
              <w:t>Executive</w:t>
            </w:r>
            <w:r w:rsidR="006D665E">
              <w:rPr>
                <w:rFonts w:ascii="Calibri" w:eastAsia="Calibri" w:hAnsi="Calibri"/>
                <w:sz w:val="20"/>
                <w:szCs w:val="20"/>
              </w:rPr>
              <w:t xml:space="preserve"> Officer</w:t>
            </w:r>
            <w:r w:rsidRPr="00E84ECD">
              <w:rPr>
                <w:rFonts w:ascii="Calibri" w:eastAsia="Calibri" w:hAnsi="Calibri"/>
                <w:sz w:val="20"/>
                <w:szCs w:val="20"/>
              </w:rPr>
              <w:t xml:space="preserve"> </w:t>
            </w:r>
            <w:r w:rsidR="006D665E">
              <w:rPr>
                <w:rFonts w:ascii="Calibri" w:eastAsia="Calibri" w:hAnsi="Calibri"/>
                <w:sz w:val="20"/>
                <w:szCs w:val="20"/>
              </w:rPr>
              <w:t>(</w:t>
            </w:r>
            <w:r w:rsidRPr="006D665E">
              <w:rPr>
                <w:rFonts w:ascii="Calibri" w:eastAsia="Calibri" w:hAnsi="Calibri"/>
                <w:sz w:val="20"/>
                <w:szCs w:val="20"/>
              </w:rPr>
              <w:t>CEO</w:t>
            </w:r>
            <w:r w:rsidR="006D665E">
              <w:rPr>
                <w:rFonts w:ascii="Calibri" w:eastAsia="Calibri" w:hAnsi="Calibri"/>
                <w:sz w:val="20"/>
                <w:szCs w:val="20"/>
              </w:rPr>
              <w:t>)</w:t>
            </w:r>
            <w:r w:rsidRPr="00E84ECD">
              <w:rPr>
                <w:rFonts w:ascii="Calibri" w:eastAsia="Calibri" w:hAnsi="Calibri"/>
                <w:sz w:val="20"/>
                <w:szCs w:val="20"/>
              </w:rPr>
              <w:t xml:space="preserve"> endorsement stage and the terminal Tracking Tools that must be completed before the TE field mission begins.  </w:t>
            </w:r>
          </w:p>
          <w:p w14:paraId="2B62439E" w14:textId="77777777" w:rsidR="00A95224" w:rsidRPr="00E84ECD" w:rsidRDefault="00A95224" w:rsidP="00A95224">
            <w:pPr>
              <w:jc w:val="both"/>
              <w:rPr>
                <w:rFonts w:ascii="Calibri" w:eastAsia="Calibri" w:hAnsi="Calibri"/>
                <w:sz w:val="20"/>
                <w:szCs w:val="20"/>
              </w:rPr>
            </w:pPr>
          </w:p>
          <w:p w14:paraId="73C8BE04" w14:textId="08EB9568" w:rsidR="00A95224" w:rsidRPr="00E84ECD" w:rsidRDefault="00A95224" w:rsidP="00A95224">
            <w:pPr>
              <w:jc w:val="both"/>
              <w:rPr>
                <w:rFonts w:ascii="Calibri" w:eastAsia="Calibri" w:hAnsi="Calibri"/>
                <w:sz w:val="20"/>
                <w:szCs w:val="20"/>
              </w:rPr>
            </w:pPr>
            <w:r w:rsidRPr="00E84ECD">
              <w:rPr>
                <w:rFonts w:ascii="Calibri" w:eastAsia="Calibri" w:hAnsi="Calibri"/>
                <w:sz w:val="20"/>
                <w:szCs w:val="20"/>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w:t>
            </w:r>
            <w:r w:rsidR="008020C3">
              <w:rPr>
                <w:rFonts w:ascii="Calibri" w:eastAsia="Calibri" w:hAnsi="Calibri"/>
                <w:sz w:val="20"/>
                <w:szCs w:val="20"/>
              </w:rPr>
              <w:t>,</w:t>
            </w:r>
            <w:r w:rsidRPr="00E84ECD">
              <w:rPr>
                <w:rFonts w:ascii="Calibri" w:eastAsia="Calibri" w:hAnsi="Calibri"/>
                <w:sz w:val="20"/>
                <w:szCs w:val="20"/>
              </w:rPr>
              <w:t xml:space="preserve"> and other stakeholders.</w:t>
            </w:r>
          </w:p>
          <w:p w14:paraId="772E9370" w14:textId="77777777" w:rsidR="00A95224" w:rsidRPr="00E84ECD" w:rsidRDefault="00A95224" w:rsidP="00A95224">
            <w:pPr>
              <w:jc w:val="both"/>
              <w:rPr>
                <w:rFonts w:ascii="Calibri" w:eastAsia="Calibri" w:hAnsi="Calibri"/>
                <w:sz w:val="20"/>
                <w:szCs w:val="20"/>
              </w:rPr>
            </w:pPr>
          </w:p>
          <w:p w14:paraId="056C75D5" w14:textId="5A23ED23" w:rsidR="004A3AFA" w:rsidRPr="00E84ECD" w:rsidRDefault="00A95224" w:rsidP="00A95224">
            <w:pPr>
              <w:spacing w:after="160" w:line="276" w:lineRule="auto"/>
              <w:contextualSpacing/>
              <w:jc w:val="both"/>
              <w:rPr>
                <w:rFonts w:ascii="Calibri" w:eastAsia="Calibri" w:hAnsi="Calibri"/>
                <w:sz w:val="20"/>
                <w:szCs w:val="20"/>
              </w:rPr>
            </w:pPr>
            <w:r w:rsidRPr="00E84ECD">
              <w:rPr>
                <w:rFonts w:ascii="Calibri" w:eastAsia="Calibri" w:hAnsi="Calibri"/>
                <w:sz w:val="20"/>
                <w:szCs w:val="20"/>
              </w:rPr>
              <w:t>Engagement of stakeholders is vital to a successful TE. Stakeholder involvement should include interviews with stakeholders who have project responsibilities, including but not limited to</w:t>
            </w:r>
            <w:r w:rsidR="004A3AFA" w:rsidRPr="00E84ECD">
              <w:rPr>
                <w:rFonts w:ascii="Calibri" w:eastAsia="Calibri" w:hAnsi="Calibri"/>
                <w:sz w:val="20"/>
                <w:szCs w:val="20"/>
              </w:rPr>
              <w:t>:</w:t>
            </w:r>
          </w:p>
          <w:p w14:paraId="1C5A8290" w14:textId="6BD719FC" w:rsidR="00232FE7" w:rsidRPr="00E84ECD" w:rsidRDefault="00232FE7" w:rsidP="004A3AFA">
            <w:pPr>
              <w:pStyle w:val="ListParagraph"/>
              <w:numPr>
                <w:ilvl w:val="0"/>
                <w:numId w:val="40"/>
              </w:numPr>
              <w:spacing w:after="160" w:line="276" w:lineRule="auto"/>
              <w:contextualSpacing/>
              <w:jc w:val="both"/>
              <w:rPr>
                <w:sz w:val="20"/>
                <w:szCs w:val="20"/>
              </w:rPr>
            </w:pPr>
            <w:r w:rsidRPr="00E84ECD">
              <w:rPr>
                <w:sz w:val="20"/>
                <w:szCs w:val="20"/>
              </w:rPr>
              <w:t>The communities, that are projected to benefit from the project</w:t>
            </w:r>
          </w:p>
          <w:p w14:paraId="0F0E5052" w14:textId="7EC31070" w:rsidR="004A3AFA" w:rsidRPr="00E84ECD" w:rsidRDefault="004A3AFA" w:rsidP="004A3AFA">
            <w:pPr>
              <w:pStyle w:val="ListParagraph"/>
              <w:numPr>
                <w:ilvl w:val="0"/>
                <w:numId w:val="40"/>
              </w:numPr>
              <w:spacing w:after="160" w:line="276" w:lineRule="auto"/>
              <w:contextualSpacing/>
              <w:jc w:val="both"/>
              <w:rPr>
                <w:sz w:val="20"/>
                <w:szCs w:val="20"/>
              </w:rPr>
            </w:pPr>
            <w:r w:rsidRPr="00E84ECD">
              <w:rPr>
                <w:sz w:val="20"/>
                <w:szCs w:val="20"/>
              </w:rPr>
              <w:t>The Ministry of Environment and Sustainable Development (MADS)</w:t>
            </w:r>
          </w:p>
          <w:p w14:paraId="3B6D623B" w14:textId="3C75479E" w:rsidR="004A3AFA" w:rsidRPr="00E84ECD" w:rsidRDefault="004A3AFA" w:rsidP="004A3AFA">
            <w:pPr>
              <w:pStyle w:val="ListParagraph"/>
              <w:numPr>
                <w:ilvl w:val="0"/>
                <w:numId w:val="40"/>
              </w:numPr>
              <w:spacing w:after="160" w:line="276" w:lineRule="auto"/>
              <w:contextualSpacing/>
              <w:jc w:val="both"/>
              <w:rPr>
                <w:sz w:val="20"/>
                <w:szCs w:val="20"/>
              </w:rPr>
            </w:pPr>
            <w:r w:rsidRPr="00E84ECD">
              <w:rPr>
                <w:sz w:val="20"/>
                <w:szCs w:val="20"/>
              </w:rPr>
              <w:t>Ministry of Fisheries</w:t>
            </w:r>
          </w:p>
          <w:p w14:paraId="7A495FDF" w14:textId="521EBE8B" w:rsidR="004A3AFA" w:rsidRPr="00E84ECD" w:rsidRDefault="004A3AFA" w:rsidP="004A3AFA">
            <w:pPr>
              <w:pStyle w:val="ListParagraph"/>
              <w:numPr>
                <w:ilvl w:val="0"/>
                <w:numId w:val="40"/>
              </w:numPr>
              <w:spacing w:after="160" w:line="276" w:lineRule="auto"/>
              <w:contextualSpacing/>
              <w:jc w:val="both"/>
              <w:rPr>
                <w:sz w:val="20"/>
                <w:szCs w:val="20"/>
              </w:rPr>
            </w:pPr>
            <w:r w:rsidRPr="00E84ECD">
              <w:rPr>
                <w:sz w:val="20"/>
                <w:szCs w:val="20"/>
              </w:rPr>
              <w:t>Ministry of Agriculture, Forestry and Livestock</w:t>
            </w:r>
          </w:p>
          <w:p w14:paraId="0080CD4A" w14:textId="4553223C" w:rsidR="004A3AFA" w:rsidRPr="00E84ECD" w:rsidRDefault="004A3AFA" w:rsidP="004A3AFA">
            <w:pPr>
              <w:pStyle w:val="ListParagraph"/>
              <w:numPr>
                <w:ilvl w:val="0"/>
                <w:numId w:val="40"/>
              </w:numPr>
              <w:spacing w:after="160" w:line="276" w:lineRule="auto"/>
              <w:contextualSpacing/>
              <w:jc w:val="both"/>
              <w:rPr>
                <w:sz w:val="20"/>
                <w:szCs w:val="20"/>
              </w:rPr>
            </w:pPr>
            <w:r w:rsidRPr="00E84ECD">
              <w:rPr>
                <w:sz w:val="20"/>
                <w:szCs w:val="20"/>
              </w:rPr>
              <w:t>Ministry of Infrastructure and Construction and Town Planning</w:t>
            </w:r>
          </w:p>
          <w:p w14:paraId="21553097" w14:textId="7661CE6B" w:rsidR="004A3AFA" w:rsidRPr="00E84ECD" w:rsidRDefault="004A3AFA" w:rsidP="004A3AFA">
            <w:pPr>
              <w:pStyle w:val="ListParagraph"/>
              <w:numPr>
                <w:ilvl w:val="0"/>
                <w:numId w:val="40"/>
              </w:numPr>
              <w:spacing w:after="160" w:line="276" w:lineRule="auto"/>
              <w:contextualSpacing/>
              <w:jc w:val="both"/>
              <w:rPr>
                <w:sz w:val="20"/>
                <w:szCs w:val="20"/>
              </w:rPr>
            </w:pPr>
            <w:r w:rsidRPr="00E84ECD">
              <w:rPr>
                <w:sz w:val="20"/>
                <w:szCs w:val="20"/>
              </w:rPr>
              <w:t>Ministry of Transport</w:t>
            </w:r>
          </w:p>
          <w:p w14:paraId="2138D244" w14:textId="47E91BBB" w:rsidR="004A3AFA" w:rsidRPr="00E84ECD" w:rsidRDefault="004A3AFA" w:rsidP="004A3AFA">
            <w:pPr>
              <w:spacing w:after="160" w:line="276" w:lineRule="auto"/>
              <w:contextualSpacing/>
              <w:jc w:val="both"/>
              <w:rPr>
                <w:rFonts w:ascii="Calibri" w:eastAsia="Calibri" w:hAnsi="Calibri"/>
                <w:sz w:val="20"/>
                <w:szCs w:val="20"/>
              </w:rPr>
            </w:pPr>
            <w:r w:rsidRPr="00E84ECD">
              <w:rPr>
                <w:rFonts w:ascii="Calibri" w:eastAsia="Calibri" w:hAnsi="Calibri"/>
                <w:sz w:val="20"/>
                <w:szCs w:val="20"/>
              </w:rPr>
              <w:t>Other line ministries thus:</w:t>
            </w:r>
          </w:p>
          <w:p w14:paraId="50E7D44E" w14:textId="7AC09F8B" w:rsidR="004A3AFA" w:rsidRPr="00E84ECD" w:rsidRDefault="004A3AFA" w:rsidP="004A3AFA">
            <w:pPr>
              <w:pStyle w:val="ListParagraph"/>
              <w:numPr>
                <w:ilvl w:val="0"/>
                <w:numId w:val="40"/>
              </w:numPr>
              <w:rPr>
                <w:sz w:val="20"/>
                <w:szCs w:val="20"/>
              </w:rPr>
            </w:pPr>
            <w:r w:rsidRPr="00E84ECD">
              <w:rPr>
                <w:sz w:val="20"/>
                <w:szCs w:val="20"/>
              </w:rPr>
              <w:t>Ministry of Natural Resources</w:t>
            </w:r>
          </w:p>
          <w:p w14:paraId="629D5301" w14:textId="67D85F44" w:rsidR="004A3AFA" w:rsidRPr="00E84ECD" w:rsidRDefault="00E1571B" w:rsidP="004A3AFA">
            <w:pPr>
              <w:pStyle w:val="ListParagraph"/>
              <w:numPr>
                <w:ilvl w:val="0"/>
                <w:numId w:val="40"/>
              </w:numPr>
              <w:spacing w:after="160" w:line="276" w:lineRule="auto"/>
              <w:contextualSpacing/>
              <w:jc w:val="both"/>
              <w:rPr>
                <w:sz w:val="20"/>
                <w:szCs w:val="20"/>
              </w:rPr>
            </w:pPr>
            <w:r w:rsidRPr="00E84ECD">
              <w:rPr>
                <w:sz w:val="20"/>
                <w:szCs w:val="20"/>
              </w:rPr>
              <w:t>Ministry of Commerce and Business Promotion</w:t>
            </w:r>
          </w:p>
          <w:p w14:paraId="72CBA66A" w14:textId="21F1C892" w:rsidR="00E1571B" w:rsidRPr="00E84ECD" w:rsidRDefault="00E1571B" w:rsidP="00E1571B">
            <w:pPr>
              <w:spacing w:after="160" w:line="276" w:lineRule="auto"/>
              <w:contextualSpacing/>
              <w:jc w:val="both"/>
              <w:rPr>
                <w:rFonts w:ascii="Calibri" w:eastAsia="Calibri" w:hAnsi="Calibri"/>
                <w:sz w:val="20"/>
                <w:szCs w:val="20"/>
              </w:rPr>
            </w:pPr>
            <w:r w:rsidRPr="00E84ECD">
              <w:rPr>
                <w:rFonts w:ascii="Calibri" w:eastAsia="Calibri" w:hAnsi="Calibri"/>
                <w:sz w:val="20"/>
                <w:szCs w:val="20"/>
              </w:rPr>
              <w:t>NGOs/CBOs/Other include:</w:t>
            </w:r>
          </w:p>
          <w:p w14:paraId="53A83C11" w14:textId="1ACB4432" w:rsidR="00E1571B" w:rsidRPr="00E84ECD" w:rsidRDefault="00E1571B" w:rsidP="00E1571B">
            <w:pPr>
              <w:pStyle w:val="ListParagraph"/>
              <w:numPr>
                <w:ilvl w:val="0"/>
                <w:numId w:val="40"/>
              </w:numPr>
              <w:spacing w:after="160" w:line="276" w:lineRule="auto"/>
              <w:contextualSpacing/>
              <w:jc w:val="both"/>
              <w:rPr>
                <w:sz w:val="20"/>
                <w:szCs w:val="20"/>
              </w:rPr>
            </w:pPr>
            <w:r w:rsidRPr="00E84ECD">
              <w:rPr>
                <w:sz w:val="20"/>
                <w:szCs w:val="20"/>
              </w:rPr>
              <w:t>Fundação BIOGUINÉ</w:t>
            </w:r>
          </w:p>
          <w:p w14:paraId="44A2A9AF" w14:textId="77777777" w:rsidR="00E1571B" w:rsidRPr="00E84ECD" w:rsidRDefault="00E1571B" w:rsidP="00E1571B">
            <w:pPr>
              <w:pStyle w:val="ListParagraph"/>
              <w:numPr>
                <w:ilvl w:val="0"/>
                <w:numId w:val="40"/>
              </w:numPr>
              <w:spacing w:after="160" w:line="276" w:lineRule="auto"/>
              <w:contextualSpacing/>
              <w:jc w:val="both"/>
              <w:rPr>
                <w:sz w:val="20"/>
                <w:szCs w:val="20"/>
              </w:rPr>
            </w:pPr>
            <w:r w:rsidRPr="00E84ECD">
              <w:rPr>
                <w:sz w:val="20"/>
                <w:szCs w:val="20"/>
              </w:rPr>
              <w:t>Communities of Fishermen and Fish Processors</w:t>
            </w:r>
          </w:p>
          <w:p w14:paraId="2324784F" w14:textId="1CA98F71" w:rsidR="00E1571B" w:rsidRPr="00E84ECD" w:rsidRDefault="00E1571B" w:rsidP="00E1571B">
            <w:pPr>
              <w:pStyle w:val="ListParagraph"/>
              <w:numPr>
                <w:ilvl w:val="0"/>
                <w:numId w:val="40"/>
              </w:numPr>
              <w:spacing w:after="160" w:line="276" w:lineRule="auto"/>
              <w:contextualSpacing/>
              <w:jc w:val="both"/>
              <w:rPr>
                <w:sz w:val="20"/>
                <w:szCs w:val="20"/>
              </w:rPr>
            </w:pPr>
            <w:r w:rsidRPr="00E84ECD">
              <w:rPr>
                <w:sz w:val="20"/>
                <w:szCs w:val="20"/>
              </w:rPr>
              <w:t xml:space="preserve">Private </w:t>
            </w:r>
            <w:proofErr w:type="gramStart"/>
            <w:r w:rsidRPr="00E84ECD">
              <w:rPr>
                <w:sz w:val="20"/>
                <w:szCs w:val="20"/>
              </w:rPr>
              <w:t>sector</w:t>
            </w:r>
            <w:r w:rsidR="00A07A93" w:rsidRPr="00E84ECD">
              <w:rPr>
                <w:sz w:val="20"/>
                <w:szCs w:val="20"/>
              </w:rPr>
              <w:t>;</w:t>
            </w:r>
            <w:proofErr w:type="gramEnd"/>
          </w:p>
          <w:p w14:paraId="7C2CDD32" w14:textId="1F4A21DA" w:rsidR="00516D0D" w:rsidRPr="00E84ECD" w:rsidRDefault="00A95224" w:rsidP="00516D0D">
            <w:pPr>
              <w:spacing w:after="160" w:line="276" w:lineRule="auto"/>
              <w:ind w:left="360"/>
              <w:contextualSpacing/>
              <w:jc w:val="both"/>
              <w:rPr>
                <w:rFonts w:ascii="Calibri" w:eastAsia="Calibri" w:hAnsi="Calibri"/>
                <w:sz w:val="20"/>
                <w:szCs w:val="20"/>
              </w:rPr>
            </w:pPr>
            <w:r w:rsidRPr="00E84ECD">
              <w:rPr>
                <w:rFonts w:ascii="Calibri" w:eastAsia="Calibri" w:hAnsi="Calibri"/>
                <w:sz w:val="20"/>
                <w:szCs w:val="20"/>
              </w:rPr>
              <w:t xml:space="preserve">executing agencies, senior officials and task team/component leaders, key experts and consultants in the subject area, Project Board, project beneficiaries, academia, local government and CSOs, etc. Additionally, the TE team is expected to conduct field missions to </w:t>
            </w:r>
            <w:r w:rsidR="00FD2252" w:rsidRPr="00E84ECD">
              <w:rPr>
                <w:rFonts w:ascii="Calibri" w:eastAsia="Calibri" w:hAnsi="Calibri"/>
                <w:sz w:val="20"/>
                <w:szCs w:val="20"/>
              </w:rPr>
              <w:t xml:space="preserve">project sites in </w:t>
            </w:r>
            <w:r w:rsidR="00516D0D" w:rsidRPr="00E84ECD">
              <w:rPr>
                <w:rFonts w:ascii="Calibri" w:eastAsia="Calibri" w:hAnsi="Calibri"/>
                <w:sz w:val="20"/>
                <w:szCs w:val="20"/>
              </w:rPr>
              <w:t xml:space="preserve">the </w:t>
            </w:r>
            <w:r w:rsidR="00CC5B8C">
              <w:rPr>
                <w:rFonts w:ascii="Calibri" w:eastAsia="Calibri" w:hAnsi="Calibri"/>
                <w:sz w:val="20"/>
                <w:szCs w:val="20"/>
              </w:rPr>
              <w:t>following</w:t>
            </w:r>
            <w:r w:rsidR="00AF4BBB">
              <w:rPr>
                <w:rFonts w:ascii="Calibri" w:eastAsia="Calibri" w:hAnsi="Calibri"/>
                <w:sz w:val="20"/>
                <w:szCs w:val="20"/>
              </w:rPr>
              <w:t xml:space="preserve"> </w:t>
            </w:r>
            <w:r w:rsidR="00516D0D" w:rsidRPr="00E84ECD">
              <w:rPr>
                <w:rFonts w:ascii="Calibri" w:eastAsia="Calibri" w:hAnsi="Calibri"/>
                <w:sz w:val="20"/>
                <w:szCs w:val="20"/>
              </w:rPr>
              <w:t>project zones</w:t>
            </w:r>
            <w:r w:rsidR="00FD2252" w:rsidRPr="00E84ECD">
              <w:rPr>
                <w:rFonts w:ascii="Calibri" w:eastAsia="Calibri" w:hAnsi="Calibri"/>
                <w:sz w:val="20"/>
                <w:szCs w:val="20"/>
              </w:rPr>
              <w:t>:</w:t>
            </w:r>
            <w:r w:rsidR="00516D0D" w:rsidRPr="00E84ECD">
              <w:rPr>
                <w:rFonts w:ascii="Calibri" w:eastAsia="Calibri" w:hAnsi="Calibri"/>
                <w:sz w:val="20"/>
                <w:szCs w:val="20"/>
              </w:rPr>
              <w:t xml:space="preserve"> </w:t>
            </w:r>
          </w:p>
          <w:p w14:paraId="6B93252F" w14:textId="77777777" w:rsidR="00FD2252" w:rsidRPr="00E84ECD" w:rsidRDefault="00FD2252" w:rsidP="00FD2252">
            <w:pPr>
              <w:contextualSpacing/>
              <w:rPr>
                <w:rFonts w:ascii="Calibri" w:eastAsia="Calibri" w:hAnsi="Calibri"/>
                <w:sz w:val="20"/>
                <w:szCs w:val="20"/>
              </w:rPr>
            </w:pPr>
          </w:p>
          <w:p w14:paraId="2A6937C5" w14:textId="228E095D" w:rsidR="00CA1245" w:rsidRPr="00E84ECD" w:rsidRDefault="00516D0D" w:rsidP="00FD2252">
            <w:pPr>
              <w:contextualSpacing/>
              <w:rPr>
                <w:rFonts w:ascii="Calibri" w:eastAsia="Calibri" w:hAnsi="Calibri"/>
                <w:sz w:val="20"/>
                <w:szCs w:val="20"/>
              </w:rPr>
            </w:pPr>
            <w:r w:rsidRPr="00E84ECD">
              <w:rPr>
                <w:rFonts w:ascii="Calibri" w:eastAsia="Calibri" w:hAnsi="Calibri"/>
                <w:sz w:val="20"/>
                <w:szCs w:val="20"/>
              </w:rPr>
              <w:t>Zone #2</w:t>
            </w:r>
            <w:r w:rsidR="00CA1245" w:rsidRPr="00E84ECD">
              <w:rPr>
                <w:rFonts w:ascii="Calibri" w:eastAsia="Calibri" w:hAnsi="Calibri"/>
                <w:sz w:val="20"/>
                <w:szCs w:val="20"/>
              </w:rPr>
              <w:t>:</w:t>
            </w:r>
            <w:r w:rsidRPr="00E84ECD">
              <w:rPr>
                <w:rFonts w:ascii="Calibri" w:eastAsia="Calibri" w:hAnsi="Calibri"/>
                <w:sz w:val="20"/>
                <w:szCs w:val="20"/>
              </w:rPr>
              <w:t xml:space="preserve"> “Varela-Cacheu”, </w:t>
            </w:r>
            <w:r w:rsidR="00CA1245" w:rsidRPr="00E84ECD">
              <w:rPr>
                <w:rFonts w:ascii="Calibri" w:eastAsia="Calibri" w:hAnsi="Calibri"/>
                <w:sz w:val="20"/>
                <w:szCs w:val="20"/>
              </w:rPr>
              <w:t xml:space="preserve">Cacheu (Urbano) which covers these localities: </w:t>
            </w:r>
          </w:p>
          <w:p w14:paraId="0A214645" w14:textId="5625EA1C" w:rsidR="00BE3F2F" w:rsidRPr="009F1A02" w:rsidRDefault="00CA1245" w:rsidP="009F1A02">
            <w:pPr>
              <w:pStyle w:val="ListParagraph"/>
              <w:numPr>
                <w:ilvl w:val="0"/>
                <w:numId w:val="41"/>
              </w:numPr>
              <w:contextualSpacing/>
              <w:rPr>
                <w:sz w:val="20"/>
                <w:szCs w:val="20"/>
              </w:rPr>
            </w:pPr>
            <w:r w:rsidRPr="00E84ECD">
              <w:rPr>
                <w:sz w:val="20"/>
                <w:szCs w:val="20"/>
              </w:rPr>
              <w:t>Ca</w:t>
            </w:r>
            <w:r w:rsidR="000A6B58">
              <w:rPr>
                <w:sz w:val="20"/>
                <w:szCs w:val="20"/>
              </w:rPr>
              <w:t xml:space="preserve">cheu </w:t>
            </w:r>
          </w:p>
          <w:p w14:paraId="3E34EA4F" w14:textId="777133E7" w:rsidR="00CA1245" w:rsidRPr="009F1A02" w:rsidRDefault="000A6B58" w:rsidP="009F1A02">
            <w:pPr>
              <w:pStyle w:val="ListParagraph"/>
              <w:numPr>
                <w:ilvl w:val="0"/>
                <w:numId w:val="41"/>
              </w:numPr>
              <w:contextualSpacing/>
              <w:rPr>
                <w:sz w:val="20"/>
                <w:szCs w:val="20"/>
              </w:rPr>
            </w:pPr>
            <w:r w:rsidRPr="009F1A02">
              <w:rPr>
                <w:sz w:val="20"/>
                <w:szCs w:val="20"/>
              </w:rPr>
              <w:t>Canchungo</w:t>
            </w:r>
          </w:p>
          <w:p w14:paraId="6E2CEFF2" w14:textId="65FFCDBE" w:rsidR="007659CA" w:rsidRPr="00E84ECD" w:rsidRDefault="00516D0D" w:rsidP="007659CA">
            <w:pPr>
              <w:contextualSpacing/>
              <w:rPr>
                <w:rFonts w:ascii="Calibri" w:eastAsia="Calibri" w:hAnsi="Calibri"/>
                <w:sz w:val="20"/>
                <w:szCs w:val="20"/>
              </w:rPr>
            </w:pPr>
            <w:r w:rsidRPr="00E84ECD">
              <w:rPr>
                <w:rFonts w:ascii="Calibri" w:eastAsia="Calibri" w:hAnsi="Calibri"/>
                <w:sz w:val="20"/>
                <w:szCs w:val="20"/>
              </w:rPr>
              <w:t>Zone #3</w:t>
            </w:r>
            <w:r w:rsidR="007C397A">
              <w:rPr>
                <w:rFonts w:ascii="Calibri" w:eastAsia="Calibri" w:hAnsi="Calibri"/>
                <w:sz w:val="20"/>
                <w:szCs w:val="20"/>
              </w:rPr>
              <w:t>a</w:t>
            </w:r>
            <w:r w:rsidR="00F20252">
              <w:rPr>
                <w:rFonts w:ascii="Calibri" w:eastAsia="Calibri" w:hAnsi="Calibri"/>
                <w:sz w:val="20"/>
                <w:szCs w:val="20"/>
              </w:rPr>
              <w:t xml:space="preserve">: </w:t>
            </w:r>
            <w:r w:rsidR="00F20252" w:rsidRPr="00E84ECD">
              <w:rPr>
                <w:rFonts w:ascii="Calibri" w:eastAsia="Calibri" w:hAnsi="Calibri"/>
                <w:sz w:val="20"/>
                <w:szCs w:val="20"/>
              </w:rPr>
              <w:t>“</w:t>
            </w:r>
            <w:r w:rsidRPr="00E84ECD">
              <w:rPr>
                <w:rFonts w:ascii="Calibri" w:eastAsia="Calibri" w:hAnsi="Calibri"/>
                <w:sz w:val="20"/>
                <w:szCs w:val="20"/>
              </w:rPr>
              <w:t xml:space="preserve">Mansoa-Buba-Cufada”, </w:t>
            </w:r>
            <w:r w:rsidR="00FD2252" w:rsidRPr="00E84ECD">
              <w:rPr>
                <w:rFonts w:ascii="Calibri" w:eastAsia="Calibri" w:hAnsi="Calibri"/>
                <w:sz w:val="20"/>
                <w:szCs w:val="20"/>
              </w:rPr>
              <w:t>which includes</w:t>
            </w:r>
            <w:r w:rsidR="007659CA" w:rsidRPr="00E84ECD">
              <w:rPr>
                <w:rFonts w:ascii="Calibri" w:eastAsia="Calibri" w:hAnsi="Calibri"/>
                <w:sz w:val="20"/>
                <w:szCs w:val="20"/>
              </w:rPr>
              <w:t>:</w:t>
            </w:r>
          </w:p>
          <w:p w14:paraId="290A68CA" w14:textId="68F2FCB2" w:rsidR="007659CA" w:rsidRPr="00E84ECD" w:rsidRDefault="007659CA" w:rsidP="007659CA">
            <w:pPr>
              <w:pStyle w:val="ListParagraph"/>
              <w:numPr>
                <w:ilvl w:val="0"/>
                <w:numId w:val="41"/>
              </w:numPr>
              <w:contextualSpacing/>
              <w:rPr>
                <w:sz w:val="20"/>
                <w:szCs w:val="20"/>
              </w:rPr>
            </w:pPr>
            <w:r w:rsidRPr="00E84ECD">
              <w:rPr>
                <w:sz w:val="20"/>
                <w:szCs w:val="20"/>
              </w:rPr>
              <w:t>Buba</w:t>
            </w:r>
          </w:p>
          <w:p w14:paraId="3517C130" w14:textId="0F3C81BE" w:rsidR="007659CA" w:rsidRPr="00E84ECD" w:rsidRDefault="007659CA" w:rsidP="007659CA">
            <w:pPr>
              <w:pStyle w:val="ListParagraph"/>
              <w:numPr>
                <w:ilvl w:val="0"/>
                <w:numId w:val="41"/>
              </w:numPr>
              <w:contextualSpacing/>
              <w:rPr>
                <w:sz w:val="20"/>
                <w:szCs w:val="20"/>
              </w:rPr>
            </w:pPr>
            <w:r w:rsidRPr="00E84ECD">
              <w:rPr>
                <w:sz w:val="20"/>
                <w:szCs w:val="20"/>
              </w:rPr>
              <w:t>Mansoa</w:t>
            </w:r>
          </w:p>
          <w:p w14:paraId="0308E79B" w14:textId="77777777" w:rsidR="007659CA" w:rsidRPr="00E84ECD" w:rsidRDefault="007659CA" w:rsidP="007659CA">
            <w:pPr>
              <w:contextualSpacing/>
              <w:rPr>
                <w:rFonts w:ascii="Calibri" w:eastAsia="Calibri" w:hAnsi="Calibri"/>
                <w:sz w:val="20"/>
                <w:szCs w:val="20"/>
              </w:rPr>
            </w:pPr>
          </w:p>
          <w:p w14:paraId="762B6CEE" w14:textId="77777777" w:rsidR="008A6133" w:rsidRPr="00E84ECD" w:rsidRDefault="008A6133" w:rsidP="008A6133">
            <w:pPr>
              <w:jc w:val="both"/>
              <w:rPr>
                <w:rFonts w:ascii="Calibri" w:eastAsia="Calibri" w:hAnsi="Calibri"/>
                <w:sz w:val="20"/>
                <w:szCs w:val="20"/>
              </w:rPr>
            </w:pPr>
            <w:r w:rsidRPr="00E84ECD">
              <w:rPr>
                <w:rFonts w:ascii="Calibri" w:eastAsia="Calibri" w:hAnsi="Calibri"/>
                <w:sz w:val="20"/>
                <w:szCs w:val="2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7AFEDC8B" w14:textId="3D4EBF75" w:rsidR="008A6133" w:rsidRPr="00E84ECD" w:rsidRDefault="008A6133" w:rsidP="008A6133">
            <w:pPr>
              <w:jc w:val="both"/>
              <w:rPr>
                <w:rFonts w:ascii="Calibri" w:eastAsia="Calibri" w:hAnsi="Calibri"/>
                <w:sz w:val="20"/>
                <w:szCs w:val="20"/>
              </w:rPr>
            </w:pPr>
            <w:r w:rsidRPr="00E84ECD">
              <w:rPr>
                <w:rFonts w:ascii="Calibri" w:eastAsia="Calibri" w:hAnsi="Calibri"/>
                <w:sz w:val="20"/>
                <w:szCs w:val="20"/>
              </w:rPr>
              <w:t>The final methodological approach including interview schedule, field visits and data to be used in the evaluation must be clearly outlined in the TE Inception Report and be fully discussed and agreed between UNDP, stakeholders</w:t>
            </w:r>
            <w:r w:rsidR="00685968">
              <w:rPr>
                <w:rFonts w:ascii="Calibri" w:eastAsia="Calibri" w:hAnsi="Calibri"/>
                <w:sz w:val="20"/>
                <w:szCs w:val="20"/>
              </w:rPr>
              <w:t>,</w:t>
            </w:r>
            <w:r w:rsidRPr="00E84ECD">
              <w:rPr>
                <w:rFonts w:ascii="Calibri" w:eastAsia="Calibri" w:hAnsi="Calibri"/>
                <w:sz w:val="20"/>
                <w:szCs w:val="20"/>
              </w:rPr>
              <w:t xml:space="preserve"> and the TE team.</w:t>
            </w:r>
          </w:p>
          <w:p w14:paraId="23F04958" w14:textId="442AD6C9" w:rsidR="00516D0D" w:rsidRPr="00E84ECD" w:rsidRDefault="00516D0D" w:rsidP="00A07A93">
            <w:pPr>
              <w:spacing w:after="160" w:line="276" w:lineRule="auto"/>
              <w:ind w:left="360"/>
              <w:contextualSpacing/>
              <w:jc w:val="both"/>
              <w:rPr>
                <w:rFonts w:ascii="Calibri" w:eastAsia="Calibri" w:hAnsi="Calibri"/>
                <w:sz w:val="20"/>
                <w:szCs w:val="20"/>
              </w:rPr>
            </w:pPr>
          </w:p>
          <w:p w14:paraId="48D5343A" w14:textId="77777777" w:rsidR="008A6133" w:rsidRPr="00E84ECD" w:rsidRDefault="008A6133" w:rsidP="008A6133">
            <w:pPr>
              <w:jc w:val="both"/>
              <w:rPr>
                <w:rFonts w:ascii="Calibri" w:eastAsia="Calibri" w:hAnsi="Calibri"/>
                <w:sz w:val="20"/>
                <w:szCs w:val="20"/>
              </w:rPr>
            </w:pPr>
            <w:r w:rsidRPr="00E84ECD">
              <w:rPr>
                <w:rFonts w:ascii="Calibri" w:eastAsia="Calibri" w:hAnsi="Calibri"/>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3A7EBE6D" w14:textId="77777777" w:rsidR="008A6133" w:rsidRPr="00E84ECD" w:rsidRDefault="008A6133" w:rsidP="00A07A93">
            <w:pPr>
              <w:spacing w:after="160" w:line="276" w:lineRule="auto"/>
              <w:ind w:left="360"/>
              <w:contextualSpacing/>
              <w:jc w:val="both"/>
              <w:rPr>
                <w:rFonts w:ascii="Calibri" w:eastAsia="Calibri" w:hAnsi="Calibri"/>
                <w:sz w:val="20"/>
                <w:szCs w:val="20"/>
              </w:rPr>
            </w:pPr>
          </w:p>
          <w:p w14:paraId="4E55FF47" w14:textId="77777777" w:rsidR="008A6133" w:rsidRPr="00A065CB" w:rsidRDefault="008A6133" w:rsidP="008A6133">
            <w:pPr>
              <w:pStyle w:val="ListParagraph"/>
              <w:numPr>
                <w:ilvl w:val="0"/>
                <w:numId w:val="39"/>
              </w:numPr>
              <w:spacing w:after="160" w:line="259" w:lineRule="auto"/>
              <w:ind w:left="360"/>
              <w:contextualSpacing/>
              <w:jc w:val="both"/>
              <w:rPr>
                <w:sz w:val="20"/>
                <w:szCs w:val="20"/>
                <w:u w:val="single"/>
              </w:rPr>
            </w:pPr>
            <w:r w:rsidRPr="00A065CB">
              <w:rPr>
                <w:sz w:val="20"/>
                <w:szCs w:val="20"/>
                <w:u w:val="single"/>
              </w:rPr>
              <w:t>DETAILED SCOPE OF THE TE</w:t>
            </w:r>
          </w:p>
          <w:p w14:paraId="616BC3D1" w14:textId="7CB0B953" w:rsidR="00A065CB" w:rsidRDefault="008A6133" w:rsidP="008A6133">
            <w:pPr>
              <w:jc w:val="both"/>
              <w:rPr>
                <w:rFonts w:ascii="Calibri" w:eastAsia="Calibri" w:hAnsi="Calibri"/>
                <w:sz w:val="20"/>
                <w:szCs w:val="20"/>
              </w:rPr>
            </w:pPr>
            <w:r w:rsidRPr="00E84ECD">
              <w:rPr>
                <w:rFonts w:ascii="Calibri" w:eastAsia="Calibri" w:hAnsi="Calibri"/>
                <w:sz w:val="20"/>
                <w:szCs w:val="20"/>
              </w:rPr>
              <w:t xml:space="preserve">The TE will assess project performance against expectations set out in the project’s Logical Framework/Results Framework. The TE will assess results according to the criteria outlined in the Guidance for TEs of UNDP-supported GEF-financed Projects </w:t>
            </w:r>
          </w:p>
          <w:p w14:paraId="491C5CF9" w14:textId="77777777" w:rsidR="001B6E34" w:rsidRDefault="00E047D4" w:rsidP="008A6133">
            <w:pPr>
              <w:jc w:val="both"/>
              <w:rPr>
                <w:rFonts w:ascii="Calibri" w:eastAsia="Calibri" w:hAnsi="Calibri"/>
                <w:sz w:val="20"/>
                <w:szCs w:val="20"/>
              </w:rPr>
            </w:pPr>
            <w:r w:rsidRPr="00E84ECD">
              <w:rPr>
                <w:rFonts w:ascii="Calibri" w:eastAsia="Calibri" w:hAnsi="Calibri"/>
                <w:sz w:val="20"/>
                <w:szCs w:val="20"/>
              </w:rPr>
              <w:t>(</w:t>
            </w:r>
            <w:hyperlink r:id="rId13" w:history="1">
              <w:r w:rsidRPr="00E84ECD">
                <w:rPr>
                  <w:rFonts w:ascii="Calibri" w:eastAsia="Calibri" w:hAnsi="Calibri"/>
                  <w:sz w:val="20"/>
                  <w:szCs w:val="20"/>
                </w:rPr>
                <w:t>http://web.undp.org/evaluation/guideline/documents/GEF/TE_GuidanceforUNDP-supportedGEF-financedProjects.pdf</w:t>
              </w:r>
            </w:hyperlink>
            <w:r w:rsidRPr="00E84ECD">
              <w:rPr>
                <w:rFonts w:ascii="Calibri" w:eastAsia="Calibri" w:hAnsi="Calibri"/>
                <w:sz w:val="20"/>
                <w:szCs w:val="20"/>
              </w:rPr>
              <w:t>).</w:t>
            </w:r>
          </w:p>
          <w:p w14:paraId="6243F375" w14:textId="0FE1A6FF" w:rsidR="008A6133" w:rsidRPr="006D3DF9" w:rsidRDefault="008A6133" w:rsidP="008A6133">
            <w:pPr>
              <w:jc w:val="both"/>
              <w:rPr>
                <w:rFonts w:ascii="Calibri" w:eastAsia="Calibri" w:hAnsi="Calibri"/>
                <w:i/>
                <w:iCs/>
                <w:sz w:val="20"/>
                <w:szCs w:val="20"/>
              </w:rPr>
            </w:pPr>
            <w:r w:rsidRPr="00E84ECD">
              <w:rPr>
                <w:rFonts w:ascii="Calibri" w:eastAsia="Calibri" w:hAnsi="Calibri"/>
                <w:sz w:val="20"/>
                <w:szCs w:val="20"/>
              </w:rPr>
              <w:t>The Findings section of the TE report will cover the topics listed below.</w:t>
            </w:r>
            <w:r w:rsidR="00372DFE">
              <w:rPr>
                <w:rFonts w:ascii="Calibri" w:eastAsia="Calibri" w:hAnsi="Calibri"/>
                <w:sz w:val="20"/>
                <w:szCs w:val="20"/>
              </w:rPr>
              <w:t xml:space="preserve"> (</w:t>
            </w:r>
            <w:r w:rsidRPr="006D3DF9">
              <w:rPr>
                <w:rFonts w:ascii="Calibri" w:eastAsia="Calibri" w:hAnsi="Calibri"/>
                <w:i/>
                <w:iCs/>
                <w:sz w:val="20"/>
                <w:szCs w:val="20"/>
              </w:rPr>
              <w:t>The asterisk “(*)” indicates criteria for which a rating is required.</w:t>
            </w:r>
            <w:r w:rsidR="00372DFE" w:rsidRPr="006D3DF9">
              <w:rPr>
                <w:rFonts w:ascii="Calibri" w:eastAsia="Calibri" w:hAnsi="Calibri"/>
                <w:i/>
                <w:iCs/>
                <w:sz w:val="20"/>
                <w:szCs w:val="20"/>
              </w:rPr>
              <w:t>)</w:t>
            </w:r>
          </w:p>
          <w:p w14:paraId="63DFB87A" w14:textId="3FE1C5EC" w:rsidR="008A6133" w:rsidRPr="00E84ECD" w:rsidRDefault="008A6133" w:rsidP="008A6133">
            <w:pPr>
              <w:jc w:val="both"/>
              <w:rPr>
                <w:rFonts w:ascii="Calibri" w:eastAsia="Calibri" w:hAnsi="Calibri"/>
                <w:sz w:val="20"/>
                <w:szCs w:val="20"/>
              </w:rPr>
            </w:pPr>
          </w:p>
          <w:p w14:paraId="18B50C85" w14:textId="77777777" w:rsidR="008A6133" w:rsidRPr="00012B7D" w:rsidRDefault="008A6133" w:rsidP="00312421">
            <w:pPr>
              <w:pStyle w:val="ListParagraph"/>
              <w:numPr>
                <w:ilvl w:val="0"/>
                <w:numId w:val="45"/>
              </w:numPr>
              <w:spacing w:line="259" w:lineRule="auto"/>
              <w:ind w:left="360" w:hanging="360"/>
              <w:contextualSpacing/>
              <w:jc w:val="both"/>
              <w:rPr>
                <w:sz w:val="20"/>
                <w:szCs w:val="20"/>
                <w:u w:val="single"/>
              </w:rPr>
            </w:pPr>
            <w:r w:rsidRPr="00012B7D">
              <w:rPr>
                <w:sz w:val="20"/>
                <w:szCs w:val="20"/>
                <w:u w:val="single"/>
              </w:rPr>
              <w:t>Project Design/Formulation</w:t>
            </w:r>
          </w:p>
          <w:p w14:paraId="74AE08E1" w14:textId="77777777" w:rsidR="008A6133" w:rsidRPr="00E84ECD" w:rsidRDefault="008A6133" w:rsidP="008A6133">
            <w:pPr>
              <w:pStyle w:val="normalbullet"/>
              <w:numPr>
                <w:ilvl w:val="0"/>
                <w:numId w:val="47"/>
              </w:numPr>
              <w:tabs>
                <w:tab w:val="left" w:pos="540"/>
              </w:tabs>
              <w:spacing w:before="0" w:after="0" w:line="259" w:lineRule="auto"/>
              <w:ind w:left="360"/>
              <w:jc w:val="both"/>
              <w:rPr>
                <w:rFonts w:eastAsia="Calibri"/>
                <w:lang w:bidi="ar-SA"/>
              </w:rPr>
            </w:pPr>
            <w:r w:rsidRPr="00E84ECD">
              <w:rPr>
                <w:rFonts w:eastAsia="Calibri"/>
                <w:lang w:bidi="ar-SA"/>
              </w:rPr>
              <w:t xml:space="preserve">National priorities and country </w:t>
            </w:r>
            <w:proofErr w:type="gramStart"/>
            <w:r w:rsidRPr="00E84ECD">
              <w:rPr>
                <w:rFonts w:eastAsia="Calibri"/>
                <w:lang w:bidi="ar-SA"/>
              </w:rPr>
              <w:t>driven-ness</w:t>
            </w:r>
            <w:proofErr w:type="gramEnd"/>
          </w:p>
          <w:p w14:paraId="53979347" w14:textId="77777777" w:rsidR="008A6133" w:rsidRPr="00E84ECD" w:rsidRDefault="008A6133" w:rsidP="008A6133">
            <w:pPr>
              <w:pStyle w:val="normalbullet"/>
              <w:numPr>
                <w:ilvl w:val="0"/>
                <w:numId w:val="47"/>
              </w:numPr>
              <w:spacing w:before="0" w:after="0" w:line="259" w:lineRule="auto"/>
              <w:ind w:left="360"/>
              <w:jc w:val="both"/>
              <w:rPr>
                <w:rFonts w:eastAsia="Calibri"/>
                <w:lang w:bidi="ar-SA"/>
              </w:rPr>
            </w:pPr>
            <w:r w:rsidRPr="00E84ECD">
              <w:rPr>
                <w:rFonts w:eastAsia="Calibri"/>
                <w:lang w:bidi="ar-SA"/>
              </w:rPr>
              <w:t>Theory of Change</w:t>
            </w:r>
          </w:p>
          <w:p w14:paraId="78F9E83A" w14:textId="77777777" w:rsidR="008A6133" w:rsidRPr="00E84ECD" w:rsidRDefault="008A6133" w:rsidP="008A6133">
            <w:pPr>
              <w:pStyle w:val="normalbullet"/>
              <w:numPr>
                <w:ilvl w:val="0"/>
                <w:numId w:val="47"/>
              </w:numPr>
              <w:spacing w:before="0" w:after="0" w:line="259" w:lineRule="auto"/>
              <w:ind w:left="360"/>
              <w:jc w:val="both"/>
              <w:rPr>
                <w:rFonts w:eastAsia="Calibri"/>
                <w:lang w:bidi="ar-SA"/>
              </w:rPr>
            </w:pPr>
            <w:r w:rsidRPr="00E84ECD">
              <w:rPr>
                <w:rFonts w:eastAsia="Calibri"/>
                <w:lang w:bidi="ar-SA"/>
              </w:rPr>
              <w:t>Gender equality and women’s empowerment</w:t>
            </w:r>
          </w:p>
          <w:p w14:paraId="264EE651" w14:textId="77777777" w:rsidR="008A6133" w:rsidRPr="00E84ECD" w:rsidRDefault="008A6133" w:rsidP="008A6133">
            <w:pPr>
              <w:pStyle w:val="normalbullet"/>
              <w:numPr>
                <w:ilvl w:val="0"/>
                <w:numId w:val="47"/>
              </w:numPr>
              <w:spacing w:before="0" w:after="0" w:line="259" w:lineRule="auto"/>
              <w:ind w:left="360"/>
              <w:jc w:val="both"/>
              <w:rPr>
                <w:rFonts w:eastAsia="Calibri"/>
                <w:lang w:bidi="ar-SA"/>
              </w:rPr>
            </w:pPr>
            <w:r w:rsidRPr="00E84ECD">
              <w:rPr>
                <w:rFonts w:eastAsia="Calibri"/>
                <w:lang w:bidi="ar-SA"/>
              </w:rPr>
              <w:t>Social and Environmental Safeguards</w:t>
            </w:r>
          </w:p>
          <w:p w14:paraId="3BE684F9" w14:textId="77777777" w:rsidR="008A6133" w:rsidRPr="00E84ECD" w:rsidRDefault="008A6133" w:rsidP="008A6133">
            <w:pPr>
              <w:pStyle w:val="normalbullet"/>
              <w:numPr>
                <w:ilvl w:val="0"/>
                <w:numId w:val="47"/>
              </w:numPr>
              <w:spacing w:before="0" w:after="0" w:line="259" w:lineRule="auto"/>
              <w:ind w:left="360"/>
              <w:jc w:val="both"/>
              <w:rPr>
                <w:rFonts w:eastAsia="Calibri"/>
                <w:lang w:bidi="ar-SA"/>
              </w:rPr>
            </w:pPr>
            <w:r w:rsidRPr="00E84ECD">
              <w:rPr>
                <w:rFonts w:eastAsia="Calibri"/>
                <w:lang w:bidi="ar-SA"/>
              </w:rPr>
              <w:t>Analysis of Results Framework: project logic and strategy, indicators</w:t>
            </w:r>
          </w:p>
          <w:p w14:paraId="15880C3E" w14:textId="77777777" w:rsidR="008A6133" w:rsidRPr="00E84ECD" w:rsidRDefault="008A6133" w:rsidP="008A6133">
            <w:pPr>
              <w:pStyle w:val="normalbullet"/>
              <w:numPr>
                <w:ilvl w:val="0"/>
                <w:numId w:val="47"/>
              </w:numPr>
              <w:spacing w:before="0" w:after="0" w:line="259" w:lineRule="auto"/>
              <w:ind w:left="360"/>
              <w:jc w:val="both"/>
              <w:rPr>
                <w:rFonts w:eastAsia="Calibri"/>
                <w:lang w:bidi="ar-SA"/>
              </w:rPr>
            </w:pPr>
            <w:r w:rsidRPr="00E84ECD">
              <w:rPr>
                <w:rFonts w:eastAsia="Calibri"/>
                <w:lang w:bidi="ar-SA"/>
              </w:rPr>
              <w:t>Assumptions and Risks</w:t>
            </w:r>
          </w:p>
          <w:p w14:paraId="1F4A5A73" w14:textId="60AF6F2D" w:rsidR="008A6133" w:rsidRPr="00E84ECD" w:rsidRDefault="008A6133" w:rsidP="008A6133">
            <w:pPr>
              <w:pStyle w:val="ListParagraph"/>
              <w:numPr>
                <w:ilvl w:val="0"/>
                <w:numId w:val="46"/>
              </w:numPr>
              <w:tabs>
                <w:tab w:val="left" w:pos="1620"/>
              </w:tabs>
              <w:ind w:left="360" w:hanging="360"/>
              <w:contextualSpacing/>
              <w:rPr>
                <w:sz w:val="20"/>
                <w:szCs w:val="20"/>
              </w:rPr>
            </w:pPr>
            <w:r w:rsidRPr="00E84ECD">
              <w:rPr>
                <w:sz w:val="20"/>
                <w:szCs w:val="20"/>
              </w:rPr>
              <w:t>Lessons from other relevant projects (</w:t>
            </w:r>
            <w:r w:rsidR="00F91CB7" w:rsidRPr="00E84ECD">
              <w:rPr>
                <w:sz w:val="20"/>
                <w:szCs w:val="20"/>
              </w:rPr>
              <w:t>e.g.,</w:t>
            </w:r>
            <w:r w:rsidRPr="00E84ECD">
              <w:rPr>
                <w:sz w:val="20"/>
                <w:szCs w:val="20"/>
              </w:rPr>
              <w:t xml:space="preserve"> same focal area) incorporated into project design</w:t>
            </w:r>
          </w:p>
          <w:p w14:paraId="027CC2E6" w14:textId="77777777" w:rsidR="008A6133" w:rsidRPr="00E84ECD" w:rsidRDefault="008A6133" w:rsidP="008A6133">
            <w:pPr>
              <w:pStyle w:val="ListParagraph"/>
              <w:numPr>
                <w:ilvl w:val="0"/>
                <w:numId w:val="46"/>
              </w:numPr>
              <w:tabs>
                <w:tab w:val="left" w:pos="1620"/>
              </w:tabs>
              <w:ind w:left="360" w:hanging="360"/>
              <w:contextualSpacing/>
              <w:rPr>
                <w:sz w:val="20"/>
                <w:szCs w:val="20"/>
              </w:rPr>
            </w:pPr>
            <w:r w:rsidRPr="00E84ECD">
              <w:rPr>
                <w:sz w:val="20"/>
                <w:szCs w:val="20"/>
              </w:rPr>
              <w:t>Planned stakeholder participation</w:t>
            </w:r>
          </w:p>
          <w:p w14:paraId="074DB239" w14:textId="77777777" w:rsidR="008A6133" w:rsidRPr="00E84ECD" w:rsidRDefault="008A6133" w:rsidP="008A6133">
            <w:pPr>
              <w:pStyle w:val="ListParagraph"/>
              <w:numPr>
                <w:ilvl w:val="0"/>
                <w:numId w:val="46"/>
              </w:numPr>
              <w:tabs>
                <w:tab w:val="left" w:pos="1620"/>
              </w:tabs>
              <w:spacing w:after="160" w:line="259" w:lineRule="auto"/>
              <w:ind w:left="360" w:hanging="360"/>
              <w:contextualSpacing/>
              <w:rPr>
                <w:sz w:val="20"/>
                <w:szCs w:val="20"/>
              </w:rPr>
            </w:pPr>
            <w:r w:rsidRPr="00E84ECD">
              <w:rPr>
                <w:sz w:val="20"/>
                <w:szCs w:val="20"/>
              </w:rPr>
              <w:t>Linkages between project and other interventions within the sector</w:t>
            </w:r>
          </w:p>
          <w:p w14:paraId="4ABADED2" w14:textId="77777777" w:rsidR="008A6133" w:rsidRPr="00E84ECD" w:rsidRDefault="008A6133" w:rsidP="008A6133">
            <w:pPr>
              <w:pStyle w:val="ListParagraph"/>
              <w:numPr>
                <w:ilvl w:val="0"/>
                <w:numId w:val="46"/>
              </w:numPr>
              <w:tabs>
                <w:tab w:val="left" w:pos="1620"/>
              </w:tabs>
              <w:spacing w:after="160" w:line="259" w:lineRule="auto"/>
              <w:ind w:left="360" w:hanging="360"/>
              <w:contextualSpacing/>
              <w:rPr>
                <w:sz w:val="20"/>
                <w:szCs w:val="20"/>
              </w:rPr>
            </w:pPr>
            <w:r w:rsidRPr="00E84ECD">
              <w:rPr>
                <w:sz w:val="20"/>
                <w:szCs w:val="20"/>
              </w:rPr>
              <w:t>Management arrangements</w:t>
            </w:r>
          </w:p>
          <w:p w14:paraId="7E02EBE7" w14:textId="77777777" w:rsidR="008A6133" w:rsidRPr="00E84ECD" w:rsidRDefault="008A6133" w:rsidP="008A6133">
            <w:pPr>
              <w:pStyle w:val="ListParagraph"/>
              <w:tabs>
                <w:tab w:val="left" w:pos="1620"/>
              </w:tabs>
              <w:rPr>
                <w:sz w:val="20"/>
                <w:szCs w:val="20"/>
              </w:rPr>
            </w:pPr>
          </w:p>
          <w:p w14:paraId="78596E7D" w14:textId="484D9075" w:rsidR="008A6133" w:rsidRPr="00274920" w:rsidRDefault="008A6133" w:rsidP="00274920">
            <w:pPr>
              <w:pStyle w:val="ListParagraph"/>
              <w:numPr>
                <w:ilvl w:val="0"/>
                <w:numId w:val="45"/>
              </w:numPr>
              <w:spacing w:after="160" w:line="259" w:lineRule="auto"/>
              <w:ind w:left="360" w:hanging="360"/>
              <w:contextualSpacing/>
              <w:jc w:val="both"/>
              <w:rPr>
                <w:sz w:val="20"/>
                <w:szCs w:val="20"/>
                <w:u w:val="single"/>
              </w:rPr>
            </w:pPr>
            <w:r w:rsidRPr="00012B7D">
              <w:rPr>
                <w:sz w:val="20"/>
                <w:szCs w:val="20"/>
                <w:u w:val="single"/>
              </w:rPr>
              <w:t>Project Implementation</w:t>
            </w:r>
          </w:p>
          <w:p w14:paraId="19F0B955" w14:textId="77777777" w:rsidR="008A6133" w:rsidRPr="00E84ECD" w:rsidRDefault="008A6133" w:rsidP="008A6133">
            <w:pPr>
              <w:pStyle w:val="ListParagraph"/>
              <w:numPr>
                <w:ilvl w:val="0"/>
                <w:numId w:val="42"/>
              </w:numPr>
              <w:tabs>
                <w:tab w:val="left" w:pos="1620"/>
              </w:tabs>
              <w:spacing w:after="160" w:line="259" w:lineRule="auto"/>
              <w:ind w:left="360"/>
              <w:contextualSpacing/>
              <w:rPr>
                <w:sz w:val="20"/>
                <w:szCs w:val="20"/>
              </w:rPr>
            </w:pPr>
            <w:r w:rsidRPr="00E84ECD">
              <w:rPr>
                <w:sz w:val="20"/>
                <w:szCs w:val="20"/>
              </w:rPr>
              <w:t>Adaptive management (changes to the project design and project outputs during implementation)</w:t>
            </w:r>
          </w:p>
          <w:p w14:paraId="4302B889" w14:textId="77777777" w:rsidR="008A6133" w:rsidRPr="00E84ECD" w:rsidRDefault="008A6133" w:rsidP="008A6133">
            <w:pPr>
              <w:pStyle w:val="ListParagraph"/>
              <w:numPr>
                <w:ilvl w:val="0"/>
                <w:numId w:val="42"/>
              </w:numPr>
              <w:tabs>
                <w:tab w:val="left" w:pos="1620"/>
              </w:tabs>
              <w:spacing w:after="160" w:line="259" w:lineRule="auto"/>
              <w:ind w:left="360"/>
              <w:contextualSpacing/>
              <w:rPr>
                <w:sz w:val="20"/>
                <w:szCs w:val="20"/>
              </w:rPr>
            </w:pPr>
            <w:r w:rsidRPr="00E84ECD">
              <w:rPr>
                <w:sz w:val="20"/>
                <w:szCs w:val="20"/>
              </w:rPr>
              <w:t>Actual stakeholder participation and partnership arrangements</w:t>
            </w:r>
          </w:p>
          <w:p w14:paraId="5A6E449F" w14:textId="77777777" w:rsidR="008A6133" w:rsidRPr="00E84ECD" w:rsidRDefault="008A6133" w:rsidP="008A6133">
            <w:pPr>
              <w:pStyle w:val="ListParagraph"/>
              <w:numPr>
                <w:ilvl w:val="0"/>
                <w:numId w:val="42"/>
              </w:numPr>
              <w:tabs>
                <w:tab w:val="left" w:pos="1620"/>
              </w:tabs>
              <w:spacing w:after="160" w:line="259" w:lineRule="auto"/>
              <w:ind w:left="360"/>
              <w:contextualSpacing/>
              <w:rPr>
                <w:sz w:val="20"/>
                <w:szCs w:val="20"/>
              </w:rPr>
            </w:pPr>
            <w:r w:rsidRPr="00E84ECD">
              <w:rPr>
                <w:sz w:val="20"/>
                <w:szCs w:val="20"/>
              </w:rPr>
              <w:t>Project Finance and Co-finance</w:t>
            </w:r>
          </w:p>
          <w:p w14:paraId="534B7455" w14:textId="77777777" w:rsidR="008A6133" w:rsidRPr="00E84ECD" w:rsidRDefault="008A6133" w:rsidP="008A6133">
            <w:pPr>
              <w:pStyle w:val="ListParagraph"/>
              <w:numPr>
                <w:ilvl w:val="0"/>
                <w:numId w:val="42"/>
              </w:numPr>
              <w:tabs>
                <w:tab w:val="left" w:pos="1620"/>
              </w:tabs>
              <w:spacing w:after="160" w:line="259" w:lineRule="auto"/>
              <w:ind w:left="360"/>
              <w:contextualSpacing/>
              <w:rPr>
                <w:sz w:val="20"/>
                <w:szCs w:val="20"/>
              </w:rPr>
            </w:pPr>
            <w:r w:rsidRPr="00E84ECD">
              <w:rPr>
                <w:sz w:val="20"/>
                <w:szCs w:val="20"/>
              </w:rPr>
              <w:t>Monitoring &amp; Evaluation: design at entry (*), implementation (*), and overall assessment of M&amp;E (*)</w:t>
            </w:r>
          </w:p>
          <w:p w14:paraId="10BAC24A" w14:textId="77777777" w:rsidR="008A6133" w:rsidRPr="00E84ECD" w:rsidRDefault="008A6133" w:rsidP="008A6133">
            <w:pPr>
              <w:pStyle w:val="ListParagraph"/>
              <w:numPr>
                <w:ilvl w:val="0"/>
                <w:numId w:val="42"/>
              </w:numPr>
              <w:tabs>
                <w:tab w:val="left" w:pos="1620"/>
              </w:tabs>
              <w:spacing w:after="160" w:line="259" w:lineRule="auto"/>
              <w:ind w:left="360"/>
              <w:contextualSpacing/>
              <w:rPr>
                <w:sz w:val="20"/>
                <w:szCs w:val="20"/>
              </w:rPr>
            </w:pPr>
            <w:r w:rsidRPr="00E84ECD">
              <w:rPr>
                <w:sz w:val="20"/>
                <w:szCs w:val="20"/>
              </w:rPr>
              <w:t>Implementing Agency (UNDP) (*) and Executing Agency (*), overall project oversight/implementation and execution (*)</w:t>
            </w:r>
          </w:p>
          <w:p w14:paraId="67BC4974" w14:textId="77777777" w:rsidR="008A6133" w:rsidRPr="00E84ECD" w:rsidRDefault="008A6133" w:rsidP="008A6133">
            <w:pPr>
              <w:pStyle w:val="ListParagraph"/>
              <w:numPr>
                <w:ilvl w:val="0"/>
                <w:numId w:val="42"/>
              </w:numPr>
              <w:tabs>
                <w:tab w:val="left" w:pos="1620"/>
              </w:tabs>
              <w:spacing w:after="160" w:line="259" w:lineRule="auto"/>
              <w:ind w:left="360"/>
              <w:contextualSpacing/>
              <w:rPr>
                <w:sz w:val="20"/>
                <w:szCs w:val="20"/>
              </w:rPr>
            </w:pPr>
            <w:r w:rsidRPr="00E84ECD">
              <w:rPr>
                <w:sz w:val="20"/>
                <w:szCs w:val="20"/>
              </w:rPr>
              <w:t>Risk Management, including Social and Environmental Standards</w:t>
            </w:r>
          </w:p>
          <w:p w14:paraId="3D5AC64D" w14:textId="77777777" w:rsidR="008A6133" w:rsidRPr="00E84ECD" w:rsidRDefault="008A6133" w:rsidP="008A6133">
            <w:pPr>
              <w:pStyle w:val="ListParagraph"/>
              <w:tabs>
                <w:tab w:val="left" w:pos="1620"/>
              </w:tabs>
              <w:ind w:left="360"/>
              <w:rPr>
                <w:sz w:val="20"/>
                <w:szCs w:val="20"/>
              </w:rPr>
            </w:pPr>
          </w:p>
          <w:p w14:paraId="7A5BBF2F" w14:textId="14FF310A" w:rsidR="008A6133" w:rsidRPr="00312421" w:rsidRDefault="008A6133" w:rsidP="00312421">
            <w:pPr>
              <w:pStyle w:val="ListParagraph"/>
              <w:numPr>
                <w:ilvl w:val="0"/>
                <w:numId w:val="45"/>
              </w:numPr>
              <w:spacing w:after="160" w:line="259" w:lineRule="auto"/>
              <w:ind w:left="360" w:hanging="360"/>
              <w:contextualSpacing/>
              <w:jc w:val="both"/>
              <w:rPr>
                <w:sz w:val="20"/>
                <w:szCs w:val="20"/>
                <w:u w:val="single"/>
              </w:rPr>
            </w:pPr>
            <w:r w:rsidRPr="00012B7D">
              <w:rPr>
                <w:sz w:val="20"/>
                <w:szCs w:val="20"/>
                <w:u w:val="single"/>
              </w:rPr>
              <w:t>Project Results</w:t>
            </w:r>
          </w:p>
          <w:p w14:paraId="2CC256E7"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Assess the achievement of outcomes against indicators by reporting on the level of progress for each objective and outcome indicator at the time of the TE and noting final achievements</w:t>
            </w:r>
          </w:p>
          <w:p w14:paraId="368C93E4"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Relevance (*), Effectiveness (*), Efficiency (*) and overall project outcome (*)</w:t>
            </w:r>
          </w:p>
          <w:p w14:paraId="4A125F9A" w14:textId="51CA1F4C"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Sustainability: financial (*), socio-political (*), institutional framework and governance (*), environmental (*), overall likelihood of sustainability (*)</w:t>
            </w:r>
          </w:p>
          <w:p w14:paraId="3DEA859D"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Country ownership</w:t>
            </w:r>
          </w:p>
          <w:p w14:paraId="6914BCBD"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Gender equality and women’s empowerment</w:t>
            </w:r>
          </w:p>
          <w:p w14:paraId="5B997D4B"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2A688FE6"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GEF Additionality</w:t>
            </w:r>
          </w:p>
          <w:p w14:paraId="08652261"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 xml:space="preserve">Catalytic Role / Replication Effect </w:t>
            </w:r>
          </w:p>
          <w:p w14:paraId="2AE4A314" w14:textId="77777777" w:rsidR="008A6133" w:rsidRPr="00E84ECD" w:rsidRDefault="008A6133" w:rsidP="008A6133">
            <w:pPr>
              <w:pStyle w:val="ListParagraph"/>
              <w:numPr>
                <w:ilvl w:val="0"/>
                <w:numId w:val="43"/>
              </w:numPr>
              <w:tabs>
                <w:tab w:val="left" w:pos="1620"/>
              </w:tabs>
              <w:spacing w:after="160" w:line="259" w:lineRule="auto"/>
              <w:ind w:left="360"/>
              <w:contextualSpacing/>
              <w:rPr>
                <w:sz w:val="20"/>
                <w:szCs w:val="20"/>
              </w:rPr>
            </w:pPr>
            <w:r w:rsidRPr="00E84ECD">
              <w:rPr>
                <w:sz w:val="20"/>
                <w:szCs w:val="20"/>
              </w:rPr>
              <w:t>Progress to impact</w:t>
            </w:r>
          </w:p>
          <w:p w14:paraId="205106D1" w14:textId="77777777" w:rsidR="008A6133" w:rsidRPr="00E84ECD" w:rsidRDefault="008A6133" w:rsidP="008A6133">
            <w:pPr>
              <w:pStyle w:val="ListParagraph"/>
              <w:tabs>
                <w:tab w:val="left" w:pos="1620"/>
              </w:tabs>
              <w:ind w:left="1080"/>
              <w:rPr>
                <w:sz w:val="20"/>
                <w:szCs w:val="20"/>
              </w:rPr>
            </w:pPr>
          </w:p>
          <w:p w14:paraId="2F67D6A2" w14:textId="3A30703C" w:rsidR="008A6133" w:rsidRPr="00312421" w:rsidRDefault="008A6133" w:rsidP="00312421">
            <w:pPr>
              <w:jc w:val="both"/>
              <w:rPr>
                <w:rFonts w:ascii="Calibri" w:eastAsia="Calibri" w:hAnsi="Calibri"/>
                <w:sz w:val="20"/>
                <w:szCs w:val="20"/>
                <w:u w:val="single"/>
              </w:rPr>
            </w:pPr>
            <w:r w:rsidRPr="00012B7D">
              <w:rPr>
                <w:rFonts w:ascii="Calibri" w:eastAsia="Calibri" w:hAnsi="Calibri"/>
                <w:sz w:val="20"/>
                <w:szCs w:val="20"/>
                <w:u w:val="single"/>
              </w:rPr>
              <w:t>Main Findings, Conclusions, Recommendations and Lessons Learned</w:t>
            </w:r>
          </w:p>
          <w:p w14:paraId="3DA1CAFC" w14:textId="77777777" w:rsidR="008A6133" w:rsidRPr="00E84ECD" w:rsidRDefault="008A6133" w:rsidP="008A6133">
            <w:pPr>
              <w:pStyle w:val="ListParagraph"/>
              <w:numPr>
                <w:ilvl w:val="0"/>
                <w:numId w:val="43"/>
              </w:numPr>
              <w:tabs>
                <w:tab w:val="left" w:pos="1620"/>
              </w:tabs>
              <w:spacing w:after="160" w:line="259" w:lineRule="auto"/>
              <w:ind w:left="360"/>
              <w:contextualSpacing/>
              <w:jc w:val="both"/>
              <w:rPr>
                <w:sz w:val="20"/>
                <w:szCs w:val="20"/>
              </w:rPr>
            </w:pPr>
            <w:r w:rsidRPr="00E84ECD">
              <w:rPr>
                <w:sz w:val="20"/>
                <w:szCs w:val="20"/>
              </w:rPr>
              <w:t>The TE team will include a summary of the main findings of the TE report. Findings should be presented as statements of fact that are based on analysis of the data.</w:t>
            </w:r>
          </w:p>
          <w:p w14:paraId="02F4FFFD" w14:textId="77777777" w:rsidR="008A6133" w:rsidRPr="00E84ECD" w:rsidRDefault="008A6133" w:rsidP="008A6133">
            <w:pPr>
              <w:pStyle w:val="ListParagraph"/>
              <w:numPr>
                <w:ilvl w:val="0"/>
                <w:numId w:val="43"/>
              </w:numPr>
              <w:tabs>
                <w:tab w:val="left" w:pos="1620"/>
              </w:tabs>
              <w:spacing w:after="160" w:line="259" w:lineRule="auto"/>
              <w:ind w:left="360"/>
              <w:contextualSpacing/>
              <w:jc w:val="both"/>
              <w:rPr>
                <w:sz w:val="20"/>
                <w:szCs w:val="20"/>
              </w:rPr>
            </w:pPr>
            <w:r w:rsidRPr="00E84ECD">
              <w:rPr>
                <w:sz w:val="20"/>
                <w:szCs w:val="20"/>
              </w:rPr>
              <w:t xml:space="preserve"> The section on conclusions will be written </w:t>
            </w:r>
            <w:proofErr w:type="gramStart"/>
            <w:r w:rsidRPr="00E84ECD">
              <w:rPr>
                <w:sz w:val="20"/>
                <w:szCs w:val="20"/>
              </w:rPr>
              <w:t>in light of</w:t>
            </w:r>
            <w:proofErr w:type="gramEnd"/>
            <w:r w:rsidRPr="00E84ECD">
              <w:rPr>
                <w:sz w:val="20"/>
                <w:szCs w:val="20"/>
              </w:rPr>
              <w:t xml:space="preserve"> the findings. Conclusions should be comprehensive and balanced statements that are well substantiated by evidence and logically connected to the TE findings. They should highlight the strengths, </w:t>
            </w:r>
            <w:proofErr w:type="gramStart"/>
            <w:r w:rsidRPr="00E84ECD">
              <w:rPr>
                <w:sz w:val="20"/>
                <w:szCs w:val="20"/>
              </w:rPr>
              <w:t>weaknesses</w:t>
            </w:r>
            <w:proofErr w:type="gramEnd"/>
            <w:r w:rsidRPr="00E84ECD">
              <w:rPr>
                <w:sz w:val="20"/>
                <w:szCs w:val="2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C0D499B" w14:textId="77777777" w:rsidR="008A6133" w:rsidRPr="00E84ECD" w:rsidRDefault="008A6133" w:rsidP="008A6133">
            <w:pPr>
              <w:pStyle w:val="ListParagraph"/>
              <w:numPr>
                <w:ilvl w:val="0"/>
                <w:numId w:val="43"/>
              </w:numPr>
              <w:tabs>
                <w:tab w:val="left" w:pos="1620"/>
              </w:tabs>
              <w:spacing w:after="160" w:line="259" w:lineRule="auto"/>
              <w:ind w:left="360"/>
              <w:contextualSpacing/>
              <w:jc w:val="both"/>
              <w:rPr>
                <w:sz w:val="20"/>
                <w:szCs w:val="20"/>
              </w:rPr>
            </w:pPr>
            <w:r w:rsidRPr="00E84ECD">
              <w:rPr>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74CD77BB" w14:textId="50A62088" w:rsidR="008A6133" w:rsidRPr="00E84ECD" w:rsidRDefault="008A6133" w:rsidP="008A6133">
            <w:pPr>
              <w:pStyle w:val="ListParagraph"/>
              <w:numPr>
                <w:ilvl w:val="0"/>
                <w:numId w:val="43"/>
              </w:numPr>
              <w:tabs>
                <w:tab w:val="left" w:pos="1620"/>
              </w:tabs>
              <w:spacing w:after="160" w:line="259" w:lineRule="auto"/>
              <w:ind w:left="360"/>
              <w:contextualSpacing/>
              <w:jc w:val="both"/>
              <w:rPr>
                <w:sz w:val="20"/>
                <w:szCs w:val="20"/>
              </w:rPr>
            </w:pPr>
            <w:r w:rsidRPr="00E84ECD">
              <w:rPr>
                <w:sz w:val="20"/>
                <w:szCs w:val="20"/>
              </w:rPr>
              <w:t xml:space="preserve">The TE report should also include lessons that can be taken from the evaluation, including best and worst practices in addressing issues relating to relevance, performance and success that can provide knowledge gained from the </w:t>
            </w:r>
            <w:r w:rsidR="00E95AC9" w:rsidRPr="00E84ECD">
              <w:rPr>
                <w:sz w:val="20"/>
                <w:szCs w:val="20"/>
              </w:rPr>
              <w:t>circumstance</w:t>
            </w:r>
            <w:r w:rsidRPr="00E84ECD">
              <w:rPr>
                <w:sz w:val="20"/>
                <w:szCs w:val="20"/>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09772927" w14:textId="77777777" w:rsidR="008A6133" w:rsidRPr="00E84ECD" w:rsidRDefault="008A6133" w:rsidP="008A6133">
            <w:pPr>
              <w:pStyle w:val="ListParagraph"/>
              <w:numPr>
                <w:ilvl w:val="0"/>
                <w:numId w:val="43"/>
              </w:numPr>
              <w:tabs>
                <w:tab w:val="left" w:pos="1620"/>
              </w:tabs>
              <w:spacing w:after="160" w:line="259" w:lineRule="auto"/>
              <w:ind w:left="360"/>
              <w:contextualSpacing/>
              <w:jc w:val="both"/>
              <w:rPr>
                <w:sz w:val="20"/>
                <w:szCs w:val="20"/>
              </w:rPr>
            </w:pPr>
            <w:r w:rsidRPr="00E84ECD">
              <w:rPr>
                <w:sz w:val="20"/>
                <w:szCs w:val="20"/>
              </w:rPr>
              <w:t>It is important for the conclusions, recommendations and lessons learned of the TE report to include results related to gender equality and empowerment of women.</w:t>
            </w:r>
          </w:p>
          <w:p w14:paraId="3B727AD6" w14:textId="77777777" w:rsidR="008A6133" w:rsidRPr="00E84ECD" w:rsidRDefault="008A6133" w:rsidP="008A6133">
            <w:pPr>
              <w:jc w:val="both"/>
              <w:rPr>
                <w:rFonts w:ascii="Calibri" w:eastAsia="Calibri" w:hAnsi="Calibri"/>
                <w:sz w:val="20"/>
                <w:szCs w:val="20"/>
              </w:rPr>
            </w:pPr>
            <w:r w:rsidRPr="00E84ECD">
              <w:rPr>
                <w:rFonts w:ascii="Calibri" w:eastAsia="Calibri" w:hAnsi="Calibri"/>
                <w:sz w:val="20"/>
                <w:szCs w:val="20"/>
              </w:rPr>
              <w:t>The TE report will include an Evaluation Ratings Table, as shown below:</w:t>
            </w:r>
          </w:p>
          <w:tbl>
            <w:tblPr>
              <w:tblStyle w:val="TableGrid"/>
              <w:tblW w:w="0" w:type="auto"/>
              <w:jc w:val="center"/>
              <w:tblInd w:w="0" w:type="dxa"/>
              <w:tblLook w:val="04A0" w:firstRow="1" w:lastRow="0" w:firstColumn="1" w:lastColumn="0" w:noHBand="0" w:noVBand="1"/>
            </w:tblPr>
            <w:tblGrid>
              <w:gridCol w:w="7555"/>
              <w:gridCol w:w="1795"/>
            </w:tblGrid>
            <w:tr w:rsidR="00B8616C" w:rsidRPr="00E84ECD" w14:paraId="40775BFC" w14:textId="77777777" w:rsidTr="008F3396">
              <w:trPr>
                <w:jc w:val="center"/>
              </w:trPr>
              <w:tc>
                <w:tcPr>
                  <w:tcW w:w="7555" w:type="dxa"/>
                  <w:shd w:val="clear" w:color="auto" w:fill="404040" w:themeFill="text1" w:themeFillTint="BF"/>
                </w:tcPr>
                <w:p w14:paraId="7EAB8AC1" w14:textId="77777777" w:rsidR="00B8616C" w:rsidRPr="00E84ECD" w:rsidRDefault="00B8616C" w:rsidP="00B8616C">
                  <w:pPr>
                    <w:pStyle w:val="ListParagraph"/>
                    <w:ind w:left="340"/>
                    <w:jc w:val="both"/>
                    <w:rPr>
                      <w:sz w:val="20"/>
                      <w:szCs w:val="20"/>
                    </w:rPr>
                  </w:pPr>
                  <w:r w:rsidRPr="00E84ECD">
                    <w:rPr>
                      <w:sz w:val="20"/>
                      <w:szCs w:val="20"/>
                    </w:rPr>
                    <w:t>Monitoring &amp; Evaluation (M&amp;E)</w:t>
                  </w:r>
                </w:p>
              </w:tc>
              <w:tc>
                <w:tcPr>
                  <w:tcW w:w="1795" w:type="dxa"/>
                  <w:shd w:val="clear" w:color="auto" w:fill="404040" w:themeFill="text1" w:themeFillTint="BF"/>
                </w:tcPr>
                <w:p w14:paraId="15F70494" w14:textId="77777777" w:rsidR="00B8616C" w:rsidRPr="00E84ECD" w:rsidRDefault="00B8616C" w:rsidP="00B8616C">
                  <w:pPr>
                    <w:jc w:val="both"/>
                    <w:rPr>
                      <w:rFonts w:eastAsia="Calibri"/>
                      <w:sz w:val="20"/>
                      <w:szCs w:val="20"/>
                    </w:rPr>
                  </w:pPr>
                  <w:r w:rsidRPr="00E84ECD">
                    <w:rPr>
                      <w:rFonts w:eastAsia="Calibri"/>
                      <w:sz w:val="20"/>
                      <w:szCs w:val="20"/>
                    </w:rPr>
                    <w:t>Rating</w:t>
                  </w:r>
                  <w:r w:rsidRPr="00E84ECD">
                    <w:rPr>
                      <w:rFonts w:eastAsia="Calibri"/>
                      <w:sz w:val="20"/>
                      <w:szCs w:val="20"/>
                    </w:rPr>
                    <w:footnoteReference w:id="2"/>
                  </w:r>
                </w:p>
              </w:tc>
            </w:tr>
            <w:tr w:rsidR="00B8616C" w:rsidRPr="00E84ECD" w14:paraId="26088810" w14:textId="77777777" w:rsidTr="008F3396">
              <w:trPr>
                <w:jc w:val="center"/>
              </w:trPr>
              <w:tc>
                <w:tcPr>
                  <w:tcW w:w="7555" w:type="dxa"/>
                </w:tcPr>
                <w:p w14:paraId="3E10B18E" w14:textId="77777777" w:rsidR="00B8616C" w:rsidRPr="00E84ECD" w:rsidRDefault="00B8616C" w:rsidP="00B8616C">
                  <w:pPr>
                    <w:ind w:left="340"/>
                    <w:jc w:val="both"/>
                    <w:rPr>
                      <w:rFonts w:eastAsia="Calibri"/>
                      <w:sz w:val="20"/>
                      <w:szCs w:val="20"/>
                    </w:rPr>
                  </w:pPr>
                  <w:r w:rsidRPr="00E84ECD">
                    <w:rPr>
                      <w:rFonts w:eastAsia="Calibri"/>
                      <w:sz w:val="20"/>
                      <w:szCs w:val="20"/>
                    </w:rPr>
                    <w:t>M&amp;E design at entry</w:t>
                  </w:r>
                </w:p>
              </w:tc>
              <w:tc>
                <w:tcPr>
                  <w:tcW w:w="1795" w:type="dxa"/>
                </w:tcPr>
                <w:p w14:paraId="21787AB7" w14:textId="77777777" w:rsidR="00B8616C" w:rsidRPr="00E84ECD" w:rsidRDefault="00B8616C" w:rsidP="00B8616C">
                  <w:pPr>
                    <w:jc w:val="both"/>
                    <w:rPr>
                      <w:rFonts w:eastAsia="Calibri"/>
                      <w:sz w:val="20"/>
                      <w:szCs w:val="20"/>
                    </w:rPr>
                  </w:pPr>
                </w:p>
              </w:tc>
            </w:tr>
            <w:tr w:rsidR="00B8616C" w:rsidRPr="00E84ECD" w14:paraId="633E4933" w14:textId="77777777" w:rsidTr="008F3396">
              <w:trPr>
                <w:jc w:val="center"/>
              </w:trPr>
              <w:tc>
                <w:tcPr>
                  <w:tcW w:w="7555" w:type="dxa"/>
                </w:tcPr>
                <w:p w14:paraId="30588F87" w14:textId="77777777" w:rsidR="00B8616C" w:rsidRPr="00E84ECD" w:rsidRDefault="00B8616C" w:rsidP="00B8616C">
                  <w:pPr>
                    <w:ind w:left="340"/>
                    <w:jc w:val="both"/>
                    <w:rPr>
                      <w:rFonts w:eastAsia="Calibri"/>
                      <w:sz w:val="20"/>
                      <w:szCs w:val="20"/>
                    </w:rPr>
                  </w:pPr>
                  <w:r w:rsidRPr="00E84ECD">
                    <w:rPr>
                      <w:rFonts w:eastAsia="Calibri"/>
                      <w:sz w:val="20"/>
                      <w:szCs w:val="20"/>
                    </w:rPr>
                    <w:t>M&amp;E Plan Implementation</w:t>
                  </w:r>
                </w:p>
              </w:tc>
              <w:tc>
                <w:tcPr>
                  <w:tcW w:w="1795" w:type="dxa"/>
                </w:tcPr>
                <w:p w14:paraId="5086ECFB" w14:textId="77777777" w:rsidR="00B8616C" w:rsidRPr="00E84ECD" w:rsidRDefault="00B8616C" w:rsidP="00B8616C">
                  <w:pPr>
                    <w:jc w:val="both"/>
                    <w:rPr>
                      <w:rFonts w:eastAsia="Calibri"/>
                      <w:sz w:val="20"/>
                      <w:szCs w:val="20"/>
                    </w:rPr>
                  </w:pPr>
                </w:p>
              </w:tc>
            </w:tr>
            <w:tr w:rsidR="00B8616C" w:rsidRPr="00E84ECD" w14:paraId="046FA6BD" w14:textId="77777777" w:rsidTr="008F3396">
              <w:trPr>
                <w:jc w:val="center"/>
              </w:trPr>
              <w:tc>
                <w:tcPr>
                  <w:tcW w:w="7555" w:type="dxa"/>
                  <w:shd w:val="clear" w:color="auto" w:fill="DDD9C3" w:themeFill="background2" w:themeFillShade="E6"/>
                </w:tcPr>
                <w:p w14:paraId="678B1892" w14:textId="77777777" w:rsidR="00B8616C" w:rsidRPr="00E84ECD" w:rsidRDefault="00B8616C" w:rsidP="00B8616C">
                  <w:pPr>
                    <w:ind w:left="340"/>
                    <w:jc w:val="both"/>
                    <w:rPr>
                      <w:rFonts w:eastAsia="Calibri"/>
                      <w:sz w:val="20"/>
                      <w:szCs w:val="20"/>
                    </w:rPr>
                  </w:pPr>
                  <w:r w:rsidRPr="00E84ECD">
                    <w:rPr>
                      <w:rFonts w:eastAsia="Calibri"/>
                      <w:sz w:val="20"/>
                      <w:szCs w:val="20"/>
                    </w:rPr>
                    <w:t>Overall Quality of M&amp;E</w:t>
                  </w:r>
                </w:p>
              </w:tc>
              <w:tc>
                <w:tcPr>
                  <w:tcW w:w="1795" w:type="dxa"/>
                  <w:shd w:val="clear" w:color="auto" w:fill="DDD9C3" w:themeFill="background2" w:themeFillShade="E6"/>
                </w:tcPr>
                <w:p w14:paraId="5E3A7A38" w14:textId="77777777" w:rsidR="00B8616C" w:rsidRPr="00E84ECD" w:rsidRDefault="00B8616C" w:rsidP="00B8616C">
                  <w:pPr>
                    <w:jc w:val="both"/>
                    <w:rPr>
                      <w:rFonts w:eastAsia="Calibri"/>
                      <w:sz w:val="20"/>
                      <w:szCs w:val="20"/>
                    </w:rPr>
                  </w:pPr>
                </w:p>
              </w:tc>
            </w:tr>
            <w:tr w:rsidR="00B8616C" w:rsidRPr="00E84ECD" w14:paraId="0077118E" w14:textId="77777777" w:rsidTr="008F3396">
              <w:trPr>
                <w:jc w:val="center"/>
              </w:trPr>
              <w:tc>
                <w:tcPr>
                  <w:tcW w:w="7555" w:type="dxa"/>
                  <w:shd w:val="clear" w:color="auto" w:fill="404040" w:themeFill="text1" w:themeFillTint="BF"/>
                </w:tcPr>
                <w:p w14:paraId="4A5C65D2" w14:textId="77777777" w:rsidR="00B8616C" w:rsidRPr="00E84ECD" w:rsidRDefault="00B8616C" w:rsidP="00B8616C">
                  <w:pPr>
                    <w:pStyle w:val="ListParagraph"/>
                    <w:ind w:left="340"/>
                    <w:jc w:val="both"/>
                    <w:rPr>
                      <w:sz w:val="20"/>
                      <w:szCs w:val="20"/>
                    </w:rPr>
                  </w:pPr>
                  <w:r w:rsidRPr="00E84ECD">
                    <w:rPr>
                      <w:sz w:val="20"/>
                      <w:szCs w:val="20"/>
                    </w:rPr>
                    <w:t>Implementation &amp; Execution</w:t>
                  </w:r>
                </w:p>
              </w:tc>
              <w:tc>
                <w:tcPr>
                  <w:tcW w:w="1795" w:type="dxa"/>
                  <w:shd w:val="clear" w:color="auto" w:fill="404040" w:themeFill="text1" w:themeFillTint="BF"/>
                </w:tcPr>
                <w:p w14:paraId="55BAF5DD" w14:textId="77777777" w:rsidR="00B8616C" w:rsidRPr="00E84ECD" w:rsidRDefault="00B8616C" w:rsidP="00B8616C">
                  <w:pPr>
                    <w:jc w:val="both"/>
                    <w:rPr>
                      <w:rFonts w:eastAsia="Calibri"/>
                      <w:sz w:val="20"/>
                      <w:szCs w:val="20"/>
                    </w:rPr>
                  </w:pPr>
                  <w:r w:rsidRPr="00E84ECD">
                    <w:rPr>
                      <w:rFonts w:eastAsia="Calibri"/>
                      <w:sz w:val="20"/>
                      <w:szCs w:val="20"/>
                    </w:rPr>
                    <w:t>Rating</w:t>
                  </w:r>
                </w:p>
              </w:tc>
            </w:tr>
            <w:tr w:rsidR="00B8616C" w:rsidRPr="00E84ECD" w14:paraId="53AF46F1" w14:textId="77777777" w:rsidTr="008F3396">
              <w:trPr>
                <w:jc w:val="center"/>
              </w:trPr>
              <w:tc>
                <w:tcPr>
                  <w:tcW w:w="7555" w:type="dxa"/>
                </w:tcPr>
                <w:p w14:paraId="72E92822" w14:textId="77777777" w:rsidR="00B8616C" w:rsidRPr="00E84ECD" w:rsidRDefault="00B8616C" w:rsidP="00B8616C">
                  <w:pPr>
                    <w:ind w:left="970" w:hanging="610"/>
                    <w:jc w:val="both"/>
                    <w:rPr>
                      <w:rFonts w:eastAsia="Calibri"/>
                      <w:sz w:val="20"/>
                      <w:szCs w:val="20"/>
                    </w:rPr>
                  </w:pPr>
                  <w:r w:rsidRPr="00E84ECD">
                    <w:rPr>
                      <w:rFonts w:eastAsia="Calibri"/>
                      <w:sz w:val="20"/>
                      <w:szCs w:val="20"/>
                    </w:rPr>
                    <w:t xml:space="preserve">Quality of UNDP Implementation/Oversight </w:t>
                  </w:r>
                </w:p>
              </w:tc>
              <w:tc>
                <w:tcPr>
                  <w:tcW w:w="1795" w:type="dxa"/>
                </w:tcPr>
                <w:p w14:paraId="75B59F5A" w14:textId="77777777" w:rsidR="00B8616C" w:rsidRPr="00E84ECD" w:rsidRDefault="00B8616C" w:rsidP="00B8616C">
                  <w:pPr>
                    <w:jc w:val="both"/>
                    <w:rPr>
                      <w:rFonts w:eastAsia="Calibri"/>
                      <w:sz w:val="20"/>
                      <w:szCs w:val="20"/>
                    </w:rPr>
                  </w:pPr>
                </w:p>
              </w:tc>
            </w:tr>
            <w:tr w:rsidR="00B8616C" w:rsidRPr="00E84ECD" w14:paraId="7963080A" w14:textId="77777777" w:rsidTr="008F3396">
              <w:trPr>
                <w:jc w:val="center"/>
              </w:trPr>
              <w:tc>
                <w:tcPr>
                  <w:tcW w:w="7555" w:type="dxa"/>
                </w:tcPr>
                <w:p w14:paraId="06416026" w14:textId="77777777" w:rsidR="00B8616C" w:rsidRPr="00E84ECD" w:rsidRDefault="00B8616C" w:rsidP="00B8616C">
                  <w:pPr>
                    <w:ind w:left="970" w:hanging="610"/>
                    <w:jc w:val="both"/>
                    <w:rPr>
                      <w:rFonts w:eastAsia="Calibri"/>
                      <w:sz w:val="20"/>
                      <w:szCs w:val="20"/>
                    </w:rPr>
                  </w:pPr>
                  <w:r w:rsidRPr="00E84ECD">
                    <w:rPr>
                      <w:rFonts w:eastAsia="Calibri"/>
                      <w:sz w:val="20"/>
                      <w:szCs w:val="20"/>
                    </w:rPr>
                    <w:t>Quality of Implementing Partner Execution</w:t>
                  </w:r>
                </w:p>
              </w:tc>
              <w:tc>
                <w:tcPr>
                  <w:tcW w:w="1795" w:type="dxa"/>
                </w:tcPr>
                <w:p w14:paraId="1512480E" w14:textId="77777777" w:rsidR="00B8616C" w:rsidRPr="00E84ECD" w:rsidRDefault="00B8616C" w:rsidP="00B8616C">
                  <w:pPr>
                    <w:jc w:val="both"/>
                    <w:rPr>
                      <w:rFonts w:eastAsia="Calibri"/>
                      <w:sz w:val="20"/>
                      <w:szCs w:val="20"/>
                    </w:rPr>
                  </w:pPr>
                </w:p>
              </w:tc>
            </w:tr>
            <w:tr w:rsidR="00B8616C" w:rsidRPr="00E84ECD" w14:paraId="3063B6E0" w14:textId="77777777" w:rsidTr="008F3396">
              <w:trPr>
                <w:jc w:val="center"/>
              </w:trPr>
              <w:tc>
                <w:tcPr>
                  <w:tcW w:w="7555" w:type="dxa"/>
                  <w:shd w:val="clear" w:color="auto" w:fill="DDD9C3" w:themeFill="background2" w:themeFillShade="E6"/>
                </w:tcPr>
                <w:p w14:paraId="6738685C" w14:textId="77777777" w:rsidR="00B8616C" w:rsidRPr="00E84ECD" w:rsidRDefault="00B8616C" w:rsidP="00B8616C">
                  <w:pPr>
                    <w:ind w:left="970" w:hanging="610"/>
                    <w:jc w:val="both"/>
                    <w:rPr>
                      <w:rFonts w:eastAsia="Calibri"/>
                      <w:sz w:val="20"/>
                      <w:szCs w:val="20"/>
                    </w:rPr>
                  </w:pPr>
                  <w:r w:rsidRPr="00E84ECD">
                    <w:rPr>
                      <w:rFonts w:eastAsia="Calibri"/>
                      <w:sz w:val="20"/>
                      <w:szCs w:val="20"/>
                    </w:rPr>
                    <w:t>Overall quality of Implementation/Execution</w:t>
                  </w:r>
                </w:p>
              </w:tc>
              <w:tc>
                <w:tcPr>
                  <w:tcW w:w="1795" w:type="dxa"/>
                  <w:shd w:val="clear" w:color="auto" w:fill="DDD9C3" w:themeFill="background2" w:themeFillShade="E6"/>
                </w:tcPr>
                <w:p w14:paraId="7A086DA8" w14:textId="77777777" w:rsidR="00B8616C" w:rsidRPr="00E84ECD" w:rsidRDefault="00B8616C" w:rsidP="00B8616C">
                  <w:pPr>
                    <w:jc w:val="both"/>
                    <w:rPr>
                      <w:rFonts w:eastAsia="Calibri"/>
                      <w:sz w:val="20"/>
                      <w:szCs w:val="20"/>
                    </w:rPr>
                  </w:pPr>
                </w:p>
              </w:tc>
            </w:tr>
            <w:tr w:rsidR="00B8616C" w:rsidRPr="00E84ECD" w14:paraId="26E39523" w14:textId="77777777" w:rsidTr="008F3396">
              <w:trPr>
                <w:jc w:val="center"/>
              </w:trPr>
              <w:tc>
                <w:tcPr>
                  <w:tcW w:w="7555" w:type="dxa"/>
                  <w:shd w:val="clear" w:color="auto" w:fill="404040" w:themeFill="text1" w:themeFillTint="BF"/>
                </w:tcPr>
                <w:p w14:paraId="7C6B7821" w14:textId="77777777" w:rsidR="00B8616C" w:rsidRPr="00E84ECD" w:rsidRDefault="00B8616C" w:rsidP="00B8616C">
                  <w:pPr>
                    <w:pStyle w:val="ListParagraph"/>
                    <w:ind w:left="340"/>
                    <w:jc w:val="both"/>
                    <w:rPr>
                      <w:sz w:val="20"/>
                      <w:szCs w:val="20"/>
                    </w:rPr>
                  </w:pPr>
                  <w:r w:rsidRPr="00E84ECD">
                    <w:rPr>
                      <w:sz w:val="20"/>
                      <w:szCs w:val="20"/>
                    </w:rPr>
                    <w:t>Assessment of Outcomes</w:t>
                  </w:r>
                </w:p>
              </w:tc>
              <w:tc>
                <w:tcPr>
                  <w:tcW w:w="1795" w:type="dxa"/>
                  <w:shd w:val="clear" w:color="auto" w:fill="404040" w:themeFill="text1" w:themeFillTint="BF"/>
                </w:tcPr>
                <w:p w14:paraId="41EC7224" w14:textId="77777777" w:rsidR="00B8616C" w:rsidRPr="00E84ECD" w:rsidRDefault="00B8616C" w:rsidP="00B8616C">
                  <w:pPr>
                    <w:jc w:val="both"/>
                    <w:rPr>
                      <w:rFonts w:eastAsia="Calibri"/>
                      <w:sz w:val="20"/>
                      <w:szCs w:val="20"/>
                    </w:rPr>
                  </w:pPr>
                  <w:r w:rsidRPr="00E84ECD">
                    <w:rPr>
                      <w:rFonts w:eastAsia="Calibri"/>
                      <w:sz w:val="20"/>
                      <w:szCs w:val="20"/>
                    </w:rPr>
                    <w:t>Rating</w:t>
                  </w:r>
                </w:p>
              </w:tc>
            </w:tr>
            <w:tr w:rsidR="00B8616C" w:rsidRPr="00E84ECD" w14:paraId="4B956AA9" w14:textId="77777777" w:rsidTr="008F3396">
              <w:trPr>
                <w:jc w:val="center"/>
              </w:trPr>
              <w:tc>
                <w:tcPr>
                  <w:tcW w:w="7555" w:type="dxa"/>
                </w:tcPr>
                <w:p w14:paraId="03DD3330" w14:textId="77777777" w:rsidR="00B8616C" w:rsidRPr="00E84ECD" w:rsidRDefault="00B8616C" w:rsidP="00B8616C">
                  <w:pPr>
                    <w:ind w:left="340"/>
                    <w:jc w:val="both"/>
                    <w:rPr>
                      <w:rFonts w:eastAsia="Calibri"/>
                      <w:sz w:val="20"/>
                      <w:szCs w:val="20"/>
                    </w:rPr>
                  </w:pPr>
                  <w:r w:rsidRPr="00E84ECD">
                    <w:rPr>
                      <w:rFonts w:eastAsia="Calibri"/>
                      <w:sz w:val="20"/>
                      <w:szCs w:val="20"/>
                    </w:rPr>
                    <w:t>Relevance</w:t>
                  </w:r>
                </w:p>
              </w:tc>
              <w:tc>
                <w:tcPr>
                  <w:tcW w:w="1795" w:type="dxa"/>
                </w:tcPr>
                <w:p w14:paraId="58017940" w14:textId="77777777" w:rsidR="00B8616C" w:rsidRPr="00E84ECD" w:rsidRDefault="00B8616C" w:rsidP="00B8616C">
                  <w:pPr>
                    <w:jc w:val="both"/>
                    <w:rPr>
                      <w:rFonts w:eastAsia="Calibri"/>
                      <w:sz w:val="20"/>
                      <w:szCs w:val="20"/>
                    </w:rPr>
                  </w:pPr>
                </w:p>
              </w:tc>
            </w:tr>
            <w:tr w:rsidR="00B8616C" w:rsidRPr="00E84ECD" w14:paraId="09FE4E6C" w14:textId="77777777" w:rsidTr="008F3396">
              <w:trPr>
                <w:jc w:val="center"/>
              </w:trPr>
              <w:tc>
                <w:tcPr>
                  <w:tcW w:w="7555" w:type="dxa"/>
                </w:tcPr>
                <w:p w14:paraId="3E29AA24" w14:textId="77777777" w:rsidR="00B8616C" w:rsidRPr="00E84ECD" w:rsidRDefault="00B8616C" w:rsidP="00B8616C">
                  <w:pPr>
                    <w:ind w:left="340"/>
                    <w:jc w:val="both"/>
                    <w:rPr>
                      <w:rFonts w:eastAsia="Calibri"/>
                      <w:sz w:val="20"/>
                      <w:szCs w:val="20"/>
                    </w:rPr>
                  </w:pPr>
                  <w:r w:rsidRPr="00E84ECD">
                    <w:rPr>
                      <w:rFonts w:eastAsia="Calibri"/>
                      <w:sz w:val="20"/>
                      <w:szCs w:val="20"/>
                    </w:rPr>
                    <w:t>Effectiveness</w:t>
                  </w:r>
                </w:p>
              </w:tc>
              <w:tc>
                <w:tcPr>
                  <w:tcW w:w="1795" w:type="dxa"/>
                </w:tcPr>
                <w:p w14:paraId="5F70EB43" w14:textId="77777777" w:rsidR="00B8616C" w:rsidRPr="00E84ECD" w:rsidRDefault="00B8616C" w:rsidP="00B8616C">
                  <w:pPr>
                    <w:jc w:val="both"/>
                    <w:rPr>
                      <w:rFonts w:eastAsia="Calibri"/>
                      <w:sz w:val="20"/>
                      <w:szCs w:val="20"/>
                    </w:rPr>
                  </w:pPr>
                </w:p>
              </w:tc>
            </w:tr>
            <w:tr w:rsidR="00B8616C" w:rsidRPr="00E84ECD" w14:paraId="224179FE" w14:textId="77777777" w:rsidTr="008F3396">
              <w:trPr>
                <w:jc w:val="center"/>
              </w:trPr>
              <w:tc>
                <w:tcPr>
                  <w:tcW w:w="7555" w:type="dxa"/>
                </w:tcPr>
                <w:p w14:paraId="7C1339FB" w14:textId="77777777" w:rsidR="00B8616C" w:rsidRPr="00E84ECD" w:rsidRDefault="00B8616C" w:rsidP="00B8616C">
                  <w:pPr>
                    <w:ind w:left="340"/>
                    <w:jc w:val="both"/>
                    <w:rPr>
                      <w:rFonts w:eastAsia="Calibri"/>
                      <w:sz w:val="20"/>
                      <w:szCs w:val="20"/>
                    </w:rPr>
                  </w:pPr>
                  <w:r w:rsidRPr="00E84ECD">
                    <w:rPr>
                      <w:rFonts w:eastAsia="Calibri"/>
                      <w:sz w:val="20"/>
                      <w:szCs w:val="20"/>
                    </w:rPr>
                    <w:t>Efficiency</w:t>
                  </w:r>
                </w:p>
              </w:tc>
              <w:tc>
                <w:tcPr>
                  <w:tcW w:w="1795" w:type="dxa"/>
                </w:tcPr>
                <w:p w14:paraId="08A44D98" w14:textId="77777777" w:rsidR="00B8616C" w:rsidRPr="00E84ECD" w:rsidRDefault="00B8616C" w:rsidP="00B8616C">
                  <w:pPr>
                    <w:jc w:val="both"/>
                    <w:rPr>
                      <w:rFonts w:eastAsia="Calibri"/>
                      <w:sz w:val="20"/>
                      <w:szCs w:val="20"/>
                    </w:rPr>
                  </w:pPr>
                </w:p>
              </w:tc>
            </w:tr>
            <w:tr w:rsidR="00B8616C" w:rsidRPr="00E84ECD" w14:paraId="6C97DF1B" w14:textId="77777777" w:rsidTr="008F3396">
              <w:trPr>
                <w:jc w:val="center"/>
              </w:trPr>
              <w:tc>
                <w:tcPr>
                  <w:tcW w:w="7555" w:type="dxa"/>
                  <w:shd w:val="clear" w:color="auto" w:fill="DDD9C3" w:themeFill="background2" w:themeFillShade="E6"/>
                </w:tcPr>
                <w:p w14:paraId="44F1BA79" w14:textId="77777777" w:rsidR="00B8616C" w:rsidRPr="00E84ECD" w:rsidRDefault="00B8616C" w:rsidP="00B8616C">
                  <w:pPr>
                    <w:ind w:left="340"/>
                    <w:jc w:val="both"/>
                    <w:rPr>
                      <w:rFonts w:eastAsia="Calibri"/>
                      <w:sz w:val="20"/>
                      <w:szCs w:val="20"/>
                    </w:rPr>
                  </w:pPr>
                  <w:r w:rsidRPr="00E84ECD">
                    <w:rPr>
                      <w:rFonts w:eastAsia="Calibri"/>
                      <w:sz w:val="20"/>
                      <w:szCs w:val="20"/>
                    </w:rPr>
                    <w:t>Overall Project Outcome Rating</w:t>
                  </w:r>
                </w:p>
              </w:tc>
              <w:tc>
                <w:tcPr>
                  <w:tcW w:w="1795" w:type="dxa"/>
                  <w:shd w:val="clear" w:color="auto" w:fill="DDD9C3" w:themeFill="background2" w:themeFillShade="E6"/>
                </w:tcPr>
                <w:p w14:paraId="088B8C73" w14:textId="77777777" w:rsidR="00B8616C" w:rsidRPr="00E84ECD" w:rsidRDefault="00B8616C" w:rsidP="00B8616C">
                  <w:pPr>
                    <w:jc w:val="both"/>
                    <w:rPr>
                      <w:rFonts w:eastAsia="Calibri"/>
                      <w:sz w:val="20"/>
                      <w:szCs w:val="20"/>
                    </w:rPr>
                  </w:pPr>
                </w:p>
              </w:tc>
            </w:tr>
            <w:tr w:rsidR="00B8616C" w:rsidRPr="00E84ECD" w14:paraId="0883E17A" w14:textId="77777777" w:rsidTr="008F3396">
              <w:trPr>
                <w:jc w:val="center"/>
              </w:trPr>
              <w:tc>
                <w:tcPr>
                  <w:tcW w:w="7555" w:type="dxa"/>
                  <w:shd w:val="clear" w:color="auto" w:fill="404040" w:themeFill="text1" w:themeFillTint="BF"/>
                </w:tcPr>
                <w:p w14:paraId="19570C04" w14:textId="77777777" w:rsidR="00B8616C" w:rsidRPr="00E84ECD" w:rsidRDefault="00B8616C" w:rsidP="00B8616C">
                  <w:pPr>
                    <w:pStyle w:val="ListParagraph"/>
                    <w:ind w:left="340"/>
                    <w:jc w:val="both"/>
                    <w:rPr>
                      <w:sz w:val="20"/>
                      <w:szCs w:val="20"/>
                    </w:rPr>
                  </w:pPr>
                  <w:r w:rsidRPr="00E84ECD">
                    <w:rPr>
                      <w:sz w:val="20"/>
                      <w:szCs w:val="20"/>
                    </w:rPr>
                    <w:t>Sustainability</w:t>
                  </w:r>
                </w:p>
              </w:tc>
              <w:tc>
                <w:tcPr>
                  <w:tcW w:w="1795" w:type="dxa"/>
                  <w:shd w:val="clear" w:color="auto" w:fill="404040" w:themeFill="text1" w:themeFillTint="BF"/>
                </w:tcPr>
                <w:p w14:paraId="3B74BD03" w14:textId="77777777" w:rsidR="00B8616C" w:rsidRPr="00E84ECD" w:rsidRDefault="00B8616C" w:rsidP="00B8616C">
                  <w:pPr>
                    <w:jc w:val="both"/>
                    <w:rPr>
                      <w:rFonts w:eastAsia="Calibri"/>
                      <w:sz w:val="20"/>
                      <w:szCs w:val="20"/>
                    </w:rPr>
                  </w:pPr>
                  <w:r w:rsidRPr="00E84ECD">
                    <w:rPr>
                      <w:rFonts w:eastAsia="Calibri"/>
                      <w:sz w:val="20"/>
                      <w:szCs w:val="20"/>
                    </w:rPr>
                    <w:t>Rating</w:t>
                  </w:r>
                </w:p>
              </w:tc>
            </w:tr>
            <w:tr w:rsidR="00B8616C" w:rsidRPr="00E84ECD" w14:paraId="6FAB71E4" w14:textId="77777777" w:rsidTr="008F3396">
              <w:trPr>
                <w:jc w:val="center"/>
              </w:trPr>
              <w:tc>
                <w:tcPr>
                  <w:tcW w:w="7555" w:type="dxa"/>
                </w:tcPr>
                <w:p w14:paraId="466DC070" w14:textId="77777777" w:rsidR="00B8616C" w:rsidRPr="00E84ECD" w:rsidRDefault="00B8616C" w:rsidP="00B8616C">
                  <w:pPr>
                    <w:ind w:left="340"/>
                    <w:jc w:val="both"/>
                    <w:rPr>
                      <w:rFonts w:eastAsia="Calibri"/>
                      <w:sz w:val="20"/>
                      <w:szCs w:val="20"/>
                    </w:rPr>
                  </w:pPr>
                  <w:r w:rsidRPr="00E84ECD">
                    <w:rPr>
                      <w:rFonts w:eastAsia="Calibri"/>
                      <w:sz w:val="20"/>
                      <w:szCs w:val="20"/>
                    </w:rPr>
                    <w:t>Financial resources</w:t>
                  </w:r>
                </w:p>
              </w:tc>
              <w:tc>
                <w:tcPr>
                  <w:tcW w:w="1795" w:type="dxa"/>
                </w:tcPr>
                <w:p w14:paraId="7B7C6E96" w14:textId="77777777" w:rsidR="00B8616C" w:rsidRPr="00E84ECD" w:rsidRDefault="00B8616C" w:rsidP="00B8616C">
                  <w:pPr>
                    <w:jc w:val="both"/>
                    <w:rPr>
                      <w:rFonts w:eastAsia="Calibri"/>
                      <w:sz w:val="20"/>
                      <w:szCs w:val="20"/>
                    </w:rPr>
                  </w:pPr>
                </w:p>
              </w:tc>
            </w:tr>
            <w:tr w:rsidR="00B8616C" w:rsidRPr="00E84ECD" w14:paraId="5255CC15" w14:textId="77777777" w:rsidTr="008F3396">
              <w:trPr>
                <w:jc w:val="center"/>
              </w:trPr>
              <w:tc>
                <w:tcPr>
                  <w:tcW w:w="7555" w:type="dxa"/>
                </w:tcPr>
                <w:p w14:paraId="1F3D2C58" w14:textId="77777777" w:rsidR="00B8616C" w:rsidRPr="00E84ECD" w:rsidRDefault="00B8616C" w:rsidP="00B8616C">
                  <w:pPr>
                    <w:ind w:left="340"/>
                    <w:jc w:val="both"/>
                    <w:rPr>
                      <w:rFonts w:eastAsia="Calibri"/>
                      <w:sz w:val="20"/>
                      <w:szCs w:val="20"/>
                    </w:rPr>
                  </w:pPr>
                  <w:r w:rsidRPr="00E84ECD">
                    <w:rPr>
                      <w:rFonts w:eastAsia="Calibri"/>
                      <w:sz w:val="20"/>
                      <w:szCs w:val="20"/>
                    </w:rPr>
                    <w:t>Socio-political/economic</w:t>
                  </w:r>
                </w:p>
              </w:tc>
              <w:tc>
                <w:tcPr>
                  <w:tcW w:w="1795" w:type="dxa"/>
                </w:tcPr>
                <w:p w14:paraId="08DAF0D5" w14:textId="77777777" w:rsidR="00B8616C" w:rsidRPr="00E84ECD" w:rsidRDefault="00B8616C" w:rsidP="00B8616C">
                  <w:pPr>
                    <w:jc w:val="both"/>
                    <w:rPr>
                      <w:rFonts w:eastAsia="Calibri"/>
                      <w:sz w:val="20"/>
                      <w:szCs w:val="20"/>
                    </w:rPr>
                  </w:pPr>
                </w:p>
              </w:tc>
            </w:tr>
            <w:tr w:rsidR="00B8616C" w:rsidRPr="00E84ECD" w14:paraId="43EEC660" w14:textId="77777777" w:rsidTr="008F3396">
              <w:trPr>
                <w:jc w:val="center"/>
              </w:trPr>
              <w:tc>
                <w:tcPr>
                  <w:tcW w:w="7555" w:type="dxa"/>
                </w:tcPr>
                <w:p w14:paraId="40831E04" w14:textId="77777777" w:rsidR="00B8616C" w:rsidRPr="00E84ECD" w:rsidRDefault="00B8616C" w:rsidP="00B8616C">
                  <w:pPr>
                    <w:ind w:left="340"/>
                    <w:jc w:val="both"/>
                    <w:rPr>
                      <w:rFonts w:eastAsia="Calibri"/>
                      <w:sz w:val="20"/>
                      <w:szCs w:val="20"/>
                    </w:rPr>
                  </w:pPr>
                  <w:r w:rsidRPr="00E84ECD">
                    <w:rPr>
                      <w:rFonts w:eastAsia="Calibri"/>
                      <w:sz w:val="20"/>
                      <w:szCs w:val="20"/>
                    </w:rPr>
                    <w:t>Institutional framework and governance</w:t>
                  </w:r>
                </w:p>
              </w:tc>
              <w:tc>
                <w:tcPr>
                  <w:tcW w:w="1795" w:type="dxa"/>
                </w:tcPr>
                <w:p w14:paraId="012357DF" w14:textId="77777777" w:rsidR="00B8616C" w:rsidRPr="00E84ECD" w:rsidRDefault="00B8616C" w:rsidP="00B8616C">
                  <w:pPr>
                    <w:jc w:val="both"/>
                    <w:rPr>
                      <w:rFonts w:eastAsia="Calibri"/>
                      <w:sz w:val="20"/>
                      <w:szCs w:val="20"/>
                    </w:rPr>
                  </w:pPr>
                </w:p>
              </w:tc>
            </w:tr>
            <w:tr w:rsidR="00B8616C" w:rsidRPr="00E84ECD" w14:paraId="21C53222" w14:textId="77777777" w:rsidTr="008F3396">
              <w:trPr>
                <w:jc w:val="center"/>
              </w:trPr>
              <w:tc>
                <w:tcPr>
                  <w:tcW w:w="7555" w:type="dxa"/>
                </w:tcPr>
                <w:p w14:paraId="3A3D2BD7" w14:textId="77777777" w:rsidR="00B8616C" w:rsidRPr="00E84ECD" w:rsidRDefault="00B8616C" w:rsidP="00B8616C">
                  <w:pPr>
                    <w:ind w:left="340"/>
                    <w:jc w:val="both"/>
                    <w:rPr>
                      <w:rFonts w:eastAsia="Calibri"/>
                      <w:sz w:val="20"/>
                      <w:szCs w:val="20"/>
                    </w:rPr>
                  </w:pPr>
                  <w:r w:rsidRPr="00E84ECD">
                    <w:rPr>
                      <w:rFonts w:eastAsia="Calibri"/>
                      <w:sz w:val="20"/>
                      <w:szCs w:val="20"/>
                    </w:rPr>
                    <w:t>Environmental</w:t>
                  </w:r>
                </w:p>
              </w:tc>
              <w:tc>
                <w:tcPr>
                  <w:tcW w:w="1795" w:type="dxa"/>
                </w:tcPr>
                <w:p w14:paraId="57C7A9AD" w14:textId="77777777" w:rsidR="00B8616C" w:rsidRPr="00E84ECD" w:rsidRDefault="00B8616C" w:rsidP="00B8616C">
                  <w:pPr>
                    <w:jc w:val="both"/>
                    <w:rPr>
                      <w:rFonts w:eastAsia="Calibri"/>
                      <w:sz w:val="20"/>
                      <w:szCs w:val="20"/>
                    </w:rPr>
                  </w:pPr>
                </w:p>
              </w:tc>
            </w:tr>
            <w:tr w:rsidR="00B8616C" w:rsidRPr="00E84ECD" w14:paraId="66DB8779" w14:textId="77777777" w:rsidTr="008F3396">
              <w:trPr>
                <w:jc w:val="center"/>
              </w:trPr>
              <w:tc>
                <w:tcPr>
                  <w:tcW w:w="7555" w:type="dxa"/>
                  <w:shd w:val="clear" w:color="auto" w:fill="DDD9C3" w:themeFill="background2" w:themeFillShade="E6"/>
                </w:tcPr>
                <w:p w14:paraId="2521057D" w14:textId="77777777" w:rsidR="00B8616C" w:rsidRPr="00E84ECD" w:rsidRDefault="00B8616C" w:rsidP="00B8616C">
                  <w:pPr>
                    <w:ind w:left="340"/>
                    <w:jc w:val="both"/>
                    <w:rPr>
                      <w:rFonts w:eastAsia="Calibri"/>
                      <w:sz w:val="20"/>
                      <w:szCs w:val="20"/>
                    </w:rPr>
                  </w:pPr>
                  <w:r w:rsidRPr="00E84ECD">
                    <w:rPr>
                      <w:rFonts w:eastAsia="Calibri"/>
                      <w:sz w:val="20"/>
                      <w:szCs w:val="20"/>
                    </w:rPr>
                    <w:t>Overall Likelihood of Sustainability</w:t>
                  </w:r>
                </w:p>
              </w:tc>
              <w:tc>
                <w:tcPr>
                  <w:tcW w:w="1795" w:type="dxa"/>
                  <w:shd w:val="clear" w:color="auto" w:fill="DDD9C3" w:themeFill="background2" w:themeFillShade="E6"/>
                </w:tcPr>
                <w:p w14:paraId="7EDC5CA8" w14:textId="77777777" w:rsidR="00B8616C" w:rsidRPr="00E84ECD" w:rsidRDefault="00B8616C" w:rsidP="00B8616C">
                  <w:pPr>
                    <w:jc w:val="both"/>
                    <w:rPr>
                      <w:rFonts w:eastAsia="Calibri"/>
                      <w:sz w:val="20"/>
                      <w:szCs w:val="20"/>
                    </w:rPr>
                  </w:pPr>
                </w:p>
              </w:tc>
            </w:tr>
          </w:tbl>
          <w:p w14:paraId="4733AE3F" w14:textId="77777777" w:rsidR="00077C0D" w:rsidRPr="00E84ECD" w:rsidRDefault="00077C0D" w:rsidP="009A7DD9">
            <w:pPr>
              <w:spacing w:after="160" w:line="276" w:lineRule="auto"/>
              <w:contextualSpacing/>
              <w:jc w:val="both"/>
              <w:rPr>
                <w:rFonts w:ascii="Calibri" w:eastAsia="Calibri" w:hAnsi="Calibri"/>
                <w:sz w:val="20"/>
                <w:szCs w:val="20"/>
              </w:rPr>
            </w:pPr>
          </w:p>
          <w:p w14:paraId="0DD9F345" w14:textId="6F62E0C0" w:rsidR="00077C0D" w:rsidRPr="00E84ECD" w:rsidRDefault="00077C0D" w:rsidP="00077C0D">
            <w:pPr>
              <w:jc w:val="both"/>
              <w:rPr>
                <w:rFonts w:ascii="Calibri" w:eastAsia="Calibri" w:hAnsi="Calibri"/>
                <w:sz w:val="20"/>
                <w:szCs w:val="20"/>
              </w:rPr>
            </w:pPr>
            <w:r w:rsidRPr="00E84ECD">
              <w:rPr>
                <w:rFonts w:ascii="Calibri" w:eastAsia="Calibri" w:hAnsi="Calibri"/>
                <w:sz w:val="20"/>
                <w:szCs w:val="20"/>
              </w:rPr>
              <w:t xml:space="preserve">The total duration of the TE will be approximately </w:t>
            </w:r>
            <w:r w:rsidR="00A97914" w:rsidRPr="00E84ECD">
              <w:rPr>
                <w:rFonts w:ascii="Calibri" w:eastAsia="Calibri" w:hAnsi="Calibri"/>
                <w:sz w:val="20"/>
                <w:szCs w:val="20"/>
              </w:rPr>
              <w:t>3</w:t>
            </w:r>
            <w:r w:rsidR="005403EF" w:rsidRPr="00E84ECD">
              <w:rPr>
                <w:rFonts w:ascii="Calibri" w:eastAsia="Calibri" w:hAnsi="Calibri"/>
                <w:sz w:val="20"/>
                <w:szCs w:val="20"/>
              </w:rPr>
              <w:t>5</w:t>
            </w:r>
            <w:r w:rsidRPr="00E84ECD">
              <w:rPr>
                <w:rFonts w:ascii="Calibri" w:eastAsia="Calibri" w:hAnsi="Calibri"/>
                <w:sz w:val="20"/>
                <w:szCs w:val="20"/>
              </w:rPr>
              <w:t xml:space="preserve"> working days</w:t>
            </w:r>
            <w:r w:rsidR="00A97914" w:rsidRPr="00E84ECD">
              <w:rPr>
                <w:rFonts w:ascii="Calibri" w:eastAsia="Calibri" w:hAnsi="Calibri"/>
                <w:sz w:val="20"/>
                <w:szCs w:val="20"/>
              </w:rPr>
              <w:t xml:space="preserve"> </w:t>
            </w:r>
            <w:r w:rsidRPr="00E84ECD">
              <w:rPr>
                <w:rFonts w:ascii="Calibri" w:eastAsia="Calibri" w:hAnsi="Calibri"/>
                <w:sz w:val="20"/>
                <w:szCs w:val="20"/>
              </w:rPr>
              <w:t xml:space="preserve">over </w:t>
            </w:r>
            <w:proofErr w:type="gramStart"/>
            <w:r w:rsidRPr="00E84ECD">
              <w:rPr>
                <w:rFonts w:ascii="Calibri" w:eastAsia="Calibri" w:hAnsi="Calibri"/>
                <w:sz w:val="20"/>
                <w:szCs w:val="20"/>
              </w:rPr>
              <w:t>a time period</w:t>
            </w:r>
            <w:proofErr w:type="gramEnd"/>
            <w:r w:rsidRPr="00E84ECD">
              <w:rPr>
                <w:rFonts w:ascii="Calibri" w:eastAsia="Calibri" w:hAnsi="Calibri"/>
                <w:sz w:val="20"/>
                <w:szCs w:val="20"/>
              </w:rPr>
              <w:t xml:space="preserve"> of </w:t>
            </w:r>
            <w:r w:rsidR="005403EF" w:rsidRPr="00E84ECD">
              <w:rPr>
                <w:rFonts w:ascii="Calibri" w:eastAsia="Calibri" w:hAnsi="Calibri"/>
                <w:sz w:val="20"/>
                <w:szCs w:val="20"/>
              </w:rPr>
              <w:t>8</w:t>
            </w:r>
            <w:r w:rsidRPr="00E84ECD">
              <w:rPr>
                <w:rFonts w:ascii="Calibri" w:eastAsia="Calibri" w:hAnsi="Calibri"/>
                <w:sz w:val="20"/>
                <w:szCs w:val="20"/>
              </w:rPr>
              <w:t xml:space="preserve"> weeks starting on</w:t>
            </w:r>
            <w:r w:rsidR="00A97914" w:rsidRPr="00E84ECD">
              <w:rPr>
                <w:rFonts w:ascii="Calibri" w:eastAsia="Calibri" w:hAnsi="Calibri"/>
                <w:sz w:val="20"/>
                <w:szCs w:val="20"/>
              </w:rPr>
              <w:t xml:space="preserve"> 2</w:t>
            </w:r>
            <w:r w:rsidR="00BA4782">
              <w:rPr>
                <w:rFonts w:ascii="Calibri" w:eastAsia="Calibri" w:hAnsi="Calibri"/>
                <w:sz w:val="20"/>
                <w:szCs w:val="20"/>
              </w:rPr>
              <w:t>2n</w:t>
            </w:r>
            <w:r w:rsidR="00A97914" w:rsidRPr="00E84ECD">
              <w:rPr>
                <w:rFonts w:ascii="Calibri" w:eastAsia="Calibri" w:hAnsi="Calibri"/>
                <w:sz w:val="20"/>
                <w:szCs w:val="20"/>
              </w:rPr>
              <w:t>d /0</w:t>
            </w:r>
            <w:r w:rsidR="00BA4782">
              <w:rPr>
                <w:rFonts w:ascii="Calibri" w:eastAsia="Calibri" w:hAnsi="Calibri"/>
                <w:sz w:val="20"/>
                <w:szCs w:val="20"/>
              </w:rPr>
              <w:t>3</w:t>
            </w:r>
            <w:r w:rsidR="00A97914" w:rsidRPr="00E84ECD">
              <w:rPr>
                <w:rFonts w:ascii="Calibri" w:eastAsia="Calibri" w:hAnsi="Calibri"/>
                <w:sz w:val="20"/>
                <w:szCs w:val="20"/>
              </w:rPr>
              <w:t xml:space="preserve">/2022. </w:t>
            </w:r>
            <w:r w:rsidRPr="00E84ECD">
              <w:rPr>
                <w:rFonts w:ascii="Calibri" w:eastAsia="Calibri" w:hAnsi="Calibri"/>
                <w:sz w:val="20"/>
                <w:szCs w:val="20"/>
              </w:rPr>
              <w:t>The tentative TE timeframe is as follows:</w:t>
            </w:r>
          </w:p>
          <w:p w14:paraId="7A48FB59" w14:textId="5CDF7BA4" w:rsidR="00077C0D" w:rsidRDefault="00077C0D" w:rsidP="00A95224">
            <w:pPr>
              <w:spacing w:after="160" w:line="276" w:lineRule="auto"/>
              <w:contextualSpacing/>
              <w:jc w:val="both"/>
              <w:rPr>
                <w:rFonts w:ascii="Calibri" w:eastAsia="Calibri" w:hAnsi="Calibri"/>
                <w:b/>
                <w:sz w:val="22"/>
                <w:szCs w:val="22"/>
              </w:rPr>
            </w:pPr>
          </w:p>
          <w:tbl>
            <w:tblPr>
              <w:tblStyle w:val="TableGrid"/>
              <w:tblW w:w="9355" w:type="dxa"/>
              <w:tblInd w:w="0" w:type="dxa"/>
              <w:tblLook w:val="04A0" w:firstRow="1" w:lastRow="0" w:firstColumn="1" w:lastColumn="0" w:noHBand="0" w:noVBand="1"/>
            </w:tblPr>
            <w:tblGrid>
              <w:gridCol w:w="2515"/>
              <w:gridCol w:w="6840"/>
            </w:tblGrid>
            <w:tr w:rsidR="00077C0D" w:rsidRPr="00F243EC" w14:paraId="5473155B" w14:textId="77777777" w:rsidTr="008F3396">
              <w:tc>
                <w:tcPr>
                  <w:tcW w:w="2515" w:type="dxa"/>
                  <w:shd w:val="clear" w:color="auto" w:fill="404040" w:themeFill="text1" w:themeFillTint="BF"/>
                </w:tcPr>
                <w:p w14:paraId="0559FFB7" w14:textId="77777777" w:rsidR="00077C0D" w:rsidRPr="00E84ECD" w:rsidRDefault="00077C0D" w:rsidP="00077C0D">
                  <w:pPr>
                    <w:rPr>
                      <w:rFonts w:eastAsia="Calibri"/>
                      <w:sz w:val="20"/>
                      <w:szCs w:val="20"/>
                    </w:rPr>
                  </w:pPr>
                  <w:r w:rsidRPr="00E84ECD">
                    <w:rPr>
                      <w:rFonts w:eastAsia="Calibri"/>
                      <w:sz w:val="20"/>
                      <w:szCs w:val="20"/>
                    </w:rPr>
                    <w:t>Timeframe</w:t>
                  </w:r>
                </w:p>
              </w:tc>
              <w:tc>
                <w:tcPr>
                  <w:tcW w:w="6840" w:type="dxa"/>
                  <w:shd w:val="clear" w:color="auto" w:fill="404040" w:themeFill="text1" w:themeFillTint="BF"/>
                </w:tcPr>
                <w:p w14:paraId="68B3CAAC" w14:textId="77777777" w:rsidR="00077C0D" w:rsidRPr="00E84ECD" w:rsidRDefault="00077C0D" w:rsidP="00077C0D">
                  <w:pPr>
                    <w:rPr>
                      <w:rFonts w:eastAsia="Calibri"/>
                      <w:sz w:val="20"/>
                      <w:szCs w:val="20"/>
                    </w:rPr>
                  </w:pPr>
                  <w:r w:rsidRPr="00E84ECD">
                    <w:rPr>
                      <w:rFonts w:eastAsia="Calibri"/>
                      <w:sz w:val="20"/>
                      <w:szCs w:val="20"/>
                    </w:rPr>
                    <w:t>Activity</w:t>
                  </w:r>
                </w:p>
              </w:tc>
            </w:tr>
            <w:tr w:rsidR="00077C0D" w:rsidRPr="00F243EC" w14:paraId="6A5DB2B9" w14:textId="77777777" w:rsidTr="008F3396">
              <w:tc>
                <w:tcPr>
                  <w:tcW w:w="2515" w:type="dxa"/>
                </w:tcPr>
                <w:p w14:paraId="5E071AF9" w14:textId="66379042" w:rsidR="00077C0D" w:rsidRPr="00E84ECD" w:rsidRDefault="00C4095B" w:rsidP="00077C0D">
                  <w:pPr>
                    <w:rPr>
                      <w:rFonts w:eastAsia="Calibri"/>
                      <w:sz w:val="20"/>
                      <w:szCs w:val="20"/>
                    </w:rPr>
                  </w:pPr>
                  <w:r w:rsidRPr="00E84ECD">
                    <w:rPr>
                      <w:rFonts w:eastAsia="Calibri"/>
                      <w:sz w:val="20"/>
                      <w:szCs w:val="20"/>
                    </w:rPr>
                    <w:t>18th/02/2022</w:t>
                  </w:r>
                </w:p>
              </w:tc>
              <w:tc>
                <w:tcPr>
                  <w:tcW w:w="6840" w:type="dxa"/>
                </w:tcPr>
                <w:p w14:paraId="51A2B745" w14:textId="77777777" w:rsidR="00077C0D" w:rsidRPr="00E84ECD" w:rsidRDefault="00077C0D" w:rsidP="00077C0D">
                  <w:pPr>
                    <w:rPr>
                      <w:rFonts w:eastAsia="Calibri"/>
                      <w:sz w:val="20"/>
                      <w:szCs w:val="20"/>
                    </w:rPr>
                  </w:pPr>
                  <w:r w:rsidRPr="00E84ECD">
                    <w:rPr>
                      <w:rFonts w:eastAsia="Calibri"/>
                      <w:sz w:val="20"/>
                      <w:szCs w:val="20"/>
                    </w:rPr>
                    <w:t>Application closes</w:t>
                  </w:r>
                </w:p>
              </w:tc>
            </w:tr>
            <w:tr w:rsidR="00077C0D" w:rsidRPr="00F243EC" w14:paraId="54A75995" w14:textId="77777777" w:rsidTr="008F3396">
              <w:tc>
                <w:tcPr>
                  <w:tcW w:w="2515" w:type="dxa"/>
                </w:tcPr>
                <w:p w14:paraId="279E4930" w14:textId="5D02F7F9" w:rsidR="00077C0D" w:rsidRPr="00E84ECD" w:rsidRDefault="00C4095B" w:rsidP="00077C0D">
                  <w:pPr>
                    <w:rPr>
                      <w:rFonts w:eastAsia="Calibri"/>
                      <w:sz w:val="20"/>
                      <w:szCs w:val="20"/>
                    </w:rPr>
                  </w:pPr>
                  <w:r w:rsidRPr="00E84ECD">
                    <w:rPr>
                      <w:rFonts w:eastAsia="Calibri"/>
                      <w:sz w:val="20"/>
                      <w:szCs w:val="20"/>
                    </w:rPr>
                    <w:t>2</w:t>
                  </w:r>
                  <w:r w:rsidR="00EA15CD" w:rsidRPr="00E84ECD">
                    <w:rPr>
                      <w:rFonts w:eastAsia="Calibri"/>
                      <w:sz w:val="20"/>
                      <w:szCs w:val="20"/>
                    </w:rPr>
                    <w:t>1st/</w:t>
                  </w:r>
                  <w:r w:rsidRPr="00E84ECD">
                    <w:rPr>
                      <w:rFonts w:eastAsia="Calibri"/>
                      <w:sz w:val="20"/>
                      <w:szCs w:val="20"/>
                    </w:rPr>
                    <w:t>02/2022</w:t>
                  </w:r>
                </w:p>
              </w:tc>
              <w:tc>
                <w:tcPr>
                  <w:tcW w:w="6840" w:type="dxa"/>
                </w:tcPr>
                <w:p w14:paraId="7E6A7214" w14:textId="33839C0E" w:rsidR="00077C0D" w:rsidRPr="00E84ECD" w:rsidRDefault="00077C0D" w:rsidP="00077C0D">
                  <w:pPr>
                    <w:rPr>
                      <w:rFonts w:eastAsia="Calibri"/>
                      <w:sz w:val="20"/>
                      <w:szCs w:val="20"/>
                    </w:rPr>
                  </w:pPr>
                  <w:r w:rsidRPr="00E84ECD">
                    <w:rPr>
                      <w:rFonts w:eastAsia="Calibri"/>
                      <w:sz w:val="20"/>
                      <w:szCs w:val="20"/>
                    </w:rPr>
                    <w:t xml:space="preserve">Selection </w:t>
                  </w:r>
                  <w:r w:rsidR="00A92ABC" w:rsidRPr="00E84ECD">
                    <w:rPr>
                      <w:rFonts w:eastAsia="Calibri"/>
                      <w:sz w:val="20"/>
                      <w:szCs w:val="20"/>
                    </w:rPr>
                    <w:t xml:space="preserve">of </w:t>
                  </w:r>
                  <w:r w:rsidR="00A92ABC">
                    <w:rPr>
                      <w:rFonts w:eastAsia="Calibri"/>
                      <w:sz w:val="20"/>
                      <w:szCs w:val="20"/>
                    </w:rPr>
                    <w:t>the</w:t>
                  </w:r>
                  <w:r w:rsidR="004D1517">
                    <w:rPr>
                      <w:rFonts w:eastAsia="Calibri"/>
                      <w:sz w:val="20"/>
                      <w:szCs w:val="20"/>
                    </w:rPr>
                    <w:t xml:space="preserve"> consultant</w:t>
                  </w:r>
                </w:p>
              </w:tc>
            </w:tr>
            <w:tr w:rsidR="00077C0D" w:rsidRPr="00F243EC" w14:paraId="08D409DA" w14:textId="77777777" w:rsidTr="008F3396">
              <w:tc>
                <w:tcPr>
                  <w:tcW w:w="2515" w:type="dxa"/>
                </w:tcPr>
                <w:p w14:paraId="33248DC2" w14:textId="41F6F811" w:rsidR="00077C0D" w:rsidRPr="00E84ECD" w:rsidRDefault="00C4095B" w:rsidP="00077C0D">
                  <w:pPr>
                    <w:rPr>
                      <w:rFonts w:eastAsia="Calibri"/>
                      <w:sz w:val="20"/>
                      <w:szCs w:val="20"/>
                    </w:rPr>
                  </w:pPr>
                  <w:r w:rsidRPr="00E84ECD">
                    <w:rPr>
                      <w:rFonts w:eastAsia="Calibri"/>
                      <w:sz w:val="20"/>
                      <w:szCs w:val="20"/>
                    </w:rPr>
                    <w:t>2</w:t>
                  </w:r>
                  <w:r w:rsidR="00902C4D">
                    <w:rPr>
                      <w:rFonts w:eastAsia="Calibri"/>
                      <w:sz w:val="20"/>
                      <w:szCs w:val="20"/>
                    </w:rPr>
                    <w:t>2n</w:t>
                  </w:r>
                  <w:r w:rsidR="00EA15CD" w:rsidRPr="00E84ECD">
                    <w:rPr>
                      <w:rFonts w:eastAsia="Calibri"/>
                      <w:sz w:val="20"/>
                      <w:szCs w:val="20"/>
                    </w:rPr>
                    <w:t>d</w:t>
                  </w:r>
                  <w:r w:rsidRPr="00E84ECD">
                    <w:rPr>
                      <w:rFonts w:eastAsia="Calibri"/>
                      <w:sz w:val="20"/>
                      <w:szCs w:val="20"/>
                    </w:rPr>
                    <w:t>/0</w:t>
                  </w:r>
                  <w:r w:rsidR="008715D6">
                    <w:rPr>
                      <w:rFonts w:eastAsia="Calibri"/>
                      <w:sz w:val="20"/>
                      <w:szCs w:val="20"/>
                    </w:rPr>
                    <w:t>3</w:t>
                  </w:r>
                  <w:r w:rsidRPr="00E84ECD">
                    <w:rPr>
                      <w:rFonts w:eastAsia="Calibri"/>
                      <w:sz w:val="20"/>
                      <w:szCs w:val="20"/>
                    </w:rPr>
                    <w:t>/2022</w:t>
                  </w:r>
                </w:p>
              </w:tc>
              <w:tc>
                <w:tcPr>
                  <w:tcW w:w="6840" w:type="dxa"/>
                </w:tcPr>
                <w:p w14:paraId="1C5F2325" w14:textId="25A98B41" w:rsidR="00077C0D" w:rsidRPr="00E84ECD" w:rsidRDefault="00077C0D" w:rsidP="00077C0D">
                  <w:pPr>
                    <w:rPr>
                      <w:rFonts w:eastAsia="Calibri"/>
                      <w:sz w:val="20"/>
                      <w:szCs w:val="20"/>
                    </w:rPr>
                  </w:pPr>
                  <w:r w:rsidRPr="00E84ECD">
                    <w:rPr>
                      <w:rFonts w:eastAsia="Calibri"/>
                      <w:sz w:val="20"/>
                      <w:szCs w:val="20"/>
                    </w:rPr>
                    <w:t>Preparation period for</w:t>
                  </w:r>
                  <w:r w:rsidR="004D1517">
                    <w:rPr>
                      <w:rFonts w:eastAsia="Calibri"/>
                      <w:sz w:val="20"/>
                      <w:szCs w:val="20"/>
                    </w:rPr>
                    <w:t xml:space="preserve"> the consultant</w:t>
                  </w:r>
                  <w:r w:rsidRPr="00E84ECD">
                    <w:rPr>
                      <w:rFonts w:eastAsia="Calibri"/>
                      <w:sz w:val="20"/>
                      <w:szCs w:val="20"/>
                    </w:rPr>
                    <w:t xml:space="preserve"> (handover of documentation)</w:t>
                  </w:r>
                </w:p>
              </w:tc>
            </w:tr>
            <w:tr w:rsidR="00077C0D" w:rsidRPr="00F243EC" w14:paraId="3C6CF720" w14:textId="77777777" w:rsidTr="008F3396">
              <w:tc>
                <w:tcPr>
                  <w:tcW w:w="2515" w:type="dxa"/>
                </w:tcPr>
                <w:p w14:paraId="498AA7A4" w14:textId="6BE24906" w:rsidR="00077C0D" w:rsidRPr="00E84ECD" w:rsidRDefault="00077C0D" w:rsidP="00077C0D">
                  <w:pPr>
                    <w:rPr>
                      <w:rFonts w:eastAsia="Calibri"/>
                      <w:sz w:val="20"/>
                      <w:szCs w:val="20"/>
                    </w:rPr>
                  </w:pPr>
                  <w:r w:rsidRPr="00E84ECD">
                    <w:rPr>
                      <w:rFonts w:eastAsia="Calibri"/>
                      <w:sz w:val="20"/>
                      <w:szCs w:val="20"/>
                    </w:rPr>
                    <w:t>(</w:t>
                  </w:r>
                  <w:r w:rsidR="00EA15CD" w:rsidRPr="00E84ECD">
                    <w:rPr>
                      <w:rFonts w:eastAsia="Calibri"/>
                      <w:sz w:val="20"/>
                      <w:szCs w:val="20"/>
                    </w:rPr>
                    <w:t>2</w:t>
                  </w:r>
                  <w:r w:rsidR="005D6694">
                    <w:rPr>
                      <w:rFonts w:eastAsia="Calibri"/>
                      <w:sz w:val="20"/>
                      <w:szCs w:val="20"/>
                    </w:rPr>
                    <w:t>2nd</w:t>
                  </w:r>
                  <w:r w:rsidR="00EA15CD" w:rsidRPr="00E84ECD">
                    <w:rPr>
                      <w:rFonts w:eastAsia="Calibri"/>
                      <w:sz w:val="20"/>
                      <w:szCs w:val="20"/>
                    </w:rPr>
                    <w:t xml:space="preserve"> to </w:t>
                  </w:r>
                  <w:r w:rsidR="001A5EF6">
                    <w:rPr>
                      <w:rFonts w:eastAsia="Calibri"/>
                      <w:sz w:val="20"/>
                      <w:szCs w:val="20"/>
                    </w:rPr>
                    <w:t>4th</w:t>
                  </w:r>
                  <w:r w:rsidR="00EA15CD" w:rsidRPr="00E84ECD">
                    <w:rPr>
                      <w:rFonts w:eastAsia="Calibri"/>
                      <w:sz w:val="20"/>
                      <w:szCs w:val="20"/>
                    </w:rPr>
                    <w:t>/0</w:t>
                  </w:r>
                  <w:r w:rsidR="001A5EF6">
                    <w:rPr>
                      <w:rFonts w:eastAsia="Calibri"/>
                      <w:sz w:val="20"/>
                      <w:szCs w:val="20"/>
                    </w:rPr>
                    <w:t>4</w:t>
                  </w:r>
                  <w:r w:rsidR="00EA15CD" w:rsidRPr="00E84ECD">
                    <w:rPr>
                      <w:rFonts w:eastAsia="Calibri"/>
                      <w:sz w:val="20"/>
                      <w:szCs w:val="20"/>
                    </w:rPr>
                    <w:t>/2022</w:t>
                  </w:r>
                  <w:r w:rsidRPr="00E84ECD">
                    <w:rPr>
                      <w:rFonts w:eastAsia="Calibri"/>
                      <w:sz w:val="20"/>
                      <w:szCs w:val="20"/>
                    </w:rPr>
                    <w:t xml:space="preserve">) </w:t>
                  </w:r>
                  <w:r w:rsidR="001A5EF6">
                    <w:rPr>
                      <w:rFonts w:eastAsia="Calibri"/>
                      <w:sz w:val="20"/>
                      <w:szCs w:val="20"/>
                    </w:rPr>
                    <w:t>10</w:t>
                  </w:r>
                  <w:r w:rsidR="00606AD4" w:rsidRPr="00E84ECD">
                    <w:rPr>
                      <w:rFonts w:eastAsia="Calibri"/>
                      <w:sz w:val="20"/>
                      <w:szCs w:val="20"/>
                    </w:rPr>
                    <w:t xml:space="preserve"> </w:t>
                  </w:r>
                  <w:r w:rsidRPr="00E84ECD">
                    <w:rPr>
                      <w:rFonts w:eastAsia="Calibri"/>
                      <w:sz w:val="20"/>
                      <w:szCs w:val="20"/>
                    </w:rPr>
                    <w:t xml:space="preserve">days </w:t>
                  </w:r>
                </w:p>
              </w:tc>
              <w:tc>
                <w:tcPr>
                  <w:tcW w:w="6840" w:type="dxa"/>
                </w:tcPr>
                <w:p w14:paraId="674E284D" w14:textId="77777777" w:rsidR="00077C0D" w:rsidRPr="00E84ECD" w:rsidRDefault="00077C0D" w:rsidP="00077C0D">
                  <w:pPr>
                    <w:rPr>
                      <w:rFonts w:eastAsia="Calibri"/>
                      <w:sz w:val="20"/>
                      <w:szCs w:val="20"/>
                    </w:rPr>
                  </w:pPr>
                  <w:r w:rsidRPr="00E84ECD">
                    <w:rPr>
                      <w:rFonts w:eastAsia="Calibri"/>
                      <w:sz w:val="20"/>
                      <w:szCs w:val="20"/>
                    </w:rPr>
                    <w:t>Document review and preparation of TE Inception Report</w:t>
                  </w:r>
                </w:p>
              </w:tc>
            </w:tr>
            <w:tr w:rsidR="00077C0D" w:rsidRPr="00F243EC" w14:paraId="2AFBA548" w14:textId="77777777" w:rsidTr="008F3396">
              <w:tc>
                <w:tcPr>
                  <w:tcW w:w="2515" w:type="dxa"/>
                </w:tcPr>
                <w:p w14:paraId="3B5168B5" w14:textId="07AC0B10" w:rsidR="00077C0D" w:rsidRPr="00E84ECD" w:rsidRDefault="00C76D2C" w:rsidP="00077C0D">
                  <w:pPr>
                    <w:rPr>
                      <w:rFonts w:eastAsia="Calibri"/>
                      <w:sz w:val="20"/>
                      <w:szCs w:val="20"/>
                    </w:rPr>
                  </w:pPr>
                  <w:r>
                    <w:rPr>
                      <w:rFonts w:eastAsia="Calibri"/>
                      <w:sz w:val="20"/>
                      <w:szCs w:val="20"/>
                    </w:rPr>
                    <w:t>5</w:t>
                  </w:r>
                  <w:r w:rsidR="00AE3FE9">
                    <w:rPr>
                      <w:rFonts w:eastAsia="Calibri"/>
                      <w:sz w:val="20"/>
                      <w:szCs w:val="20"/>
                    </w:rPr>
                    <w:t>th</w:t>
                  </w:r>
                  <w:r w:rsidR="00131A3D" w:rsidRPr="00E84ECD">
                    <w:rPr>
                      <w:rFonts w:eastAsia="Calibri"/>
                      <w:sz w:val="20"/>
                      <w:szCs w:val="20"/>
                    </w:rPr>
                    <w:t xml:space="preserve"> </w:t>
                  </w:r>
                  <w:r w:rsidR="00F705C0" w:rsidRPr="00E84ECD">
                    <w:rPr>
                      <w:rFonts w:eastAsia="Calibri"/>
                      <w:sz w:val="20"/>
                      <w:szCs w:val="20"/>
                    </w:rPr>
                    <w:t xml:space="preserve">to </w:t>
                  </w:r>
                  <w:r w:rsidR="00C31AA5">
                    <w:rPr>
                      <w:rFonts w:eastAsia="Calibri"/>
                      <w:sz w:val="20"/>
                      <w:szCs w:val="20"/>
                    </w:rPr>
                    <w:t>6th</w:t>
                  </w:r>
                  <w:r w:rsidR="00F705C0" w:rsidRPr="00E84ECD">
                    <w:rPr>
                      <w:rFonts w:eastAsia="Calibri"/>
                      <w:sz w:val="20"/>
                      <w:szCs w:val="20"/>
                    </w:rPr>
                    <w:t>/0</w:t>
                  </w:r>
                  <w:r w:rsidR="00AE3FE9">
                    <w:rPr>
                      <w:rFonts w:eastAsia="Calibri"/>
                      <w:sz w:val="20"/>
                      <w:szCs w:val="20"/>
                    </w:rPr>
                    <w:t>4</w:t>
                  </w:r>
                  <w:r w:rsidR="00F705C0" w:rsidRPr="00E84ECD">
                    <w:rPr>
                      <w:rFonts w:eastAsia="Calibri"/>
                      <w:sz w:val="20"/>
                      <w:szCs w:val="20"/>
                    </w:rPr>
                    <w:t>/2022</w:t>
                  </w:r>
                  <w:r w:rsidR="00077C0D" w:rsidRPr="00E84ECD">
                    <w:rPr>
                      <w:rFonts w:eastAsia="Calibri"/>
                      <w:sz w:val="20"/>
                      <w:szCs w:val="20"/>
                    </w:rPr>
                    <w:t xml:space="preserve">) </w:t>
                  </w:r>
                  <w:r w:rsidR="00F705C0" w:rsidRPr="00E84ECD">
                    <w:rPr>
                      <w:rFonts w:eastAsia="Calibri"/>
                      <w:sz w:val="20"/>
                      <w:szCs w:val="20"/>
                    </w:rPr>
                    <w:t>0</w:t>
                  </w:r>
                  <w:r w:rsidR="00A72E5C">
                    <w:rPr>
                      <w:rFonts w:eastAsia="Calibri"/>
                      <w:sz w:val="20"/>
                      <w:szCs w:val="20"/>
                    </w:rPr>
                    <w:t>2</w:t>
                  </w:r>
                  <w:r w:rsidR="003D6A32">
                    <w:rPr>
                      <w:rFonts w:eastAsia="Calibri"/>
                      <w:sz w:val="20"/>
                      <w:szCs w:val="20"/>
                    </w:rPr>
                    <w:t xml:space="preserve"> </w:t>
                  </w:r>
                  <w:r w:rsidR="00077C0D" w:rsidRPr="00E84ECD">
                    <w:rPr>
                      <w:rFonts w:eastAsia="Calibri"/>
                      <w:sz w:val="20"/>
                      <w:szCs w:val="20"/>
                    </w:rPr>
                    <w:t>days</w:t>
                  </w:r>
                </w:p>
              </w:tc>
              <w:tc>
                <w:tcPr>
                  <w:tcW w:w="6840" w:type="dxa"/>
                </w:tcPr>
                <w:p w14:paraId="3D2AB8AD" w14:textId="607F4186" w:rsidR="00077C0D" w:rsidRPr="00E84ECD" w:rsidRDefault="00077C0D" w:rsidP="00077C0D">
                  <w:pPr>
                    <w:rPr>
                      <w:rFonts w:eastAsia="Calibri"/>
                      <w:sz w:val="20"/>
                      <w:szCs w:val="20"/>
                    </w:rPr>
                  </w:pPr>
                  <w:r w:rsidRPr="00E84ECD">
                    <w:rPr>
                      <w:rFonts w:eastAsia="Calibri"/>
                      <w:sz w:val="20"/>
                      <w:szCs w:val="20"/>
                    </w:rPr>
                    <w:t xml:space="preserve">Finalization and Validation of TE Inception Report; </w:t>
                  </w:r>
                </w:p>
              </w:tc>
            </w:tr>
            <w:tr w:rsidR="00077C0D" w:rsidRPr="00F243EC" w14:paraId="6E5C66E1" w14:textId="77777777" w:rsidTr="008F3396">
              <w:tc>
                <w:tcPr>
                  <w:tcW w:w="2515" w:type="dxa"/>
                </w:tcPr>
                <w:p w14:paraId="13008C3B" w14:textId="1D219462" w:rsidR="00077C0D" w:rsidRPr="00E84ECD" w:rsidRDefault="00077C0D" w:rsidP="00077C0D">
                  <w:pPr>
                    <w:rPr>
                      <w:rFonts w:eastAsia="Calibri"/>
                      <w:sz w:val="20"/>
                      <w:szCs w:val="20"/>
                    </w:rPr>
                  </w:pPr>
                  <w:r w:rsidRPr="00E84ECD">
                    <w:rPr>
                      <w:rFonts w:eastAsia="Calibri"/>
                      <w:sz w:val="20"/>
                      <w:szCs w:val="20"/>
                    </w:rPr>
                    <w:t>(</w:t>
                  </w:r>
                  <w:r w:rsidR="00044B92">
                    <w:rPr>
                      <w:rFonts w:eastAsia="Calibri"/>
                      <w:sz w:val="20"/>
                      <w:szCs w:val="20"/>
                    </w:rPr>
                    <w:t>25/04 – 05/0</w:t>
                  </w:r>
                  <w:r w:rsidR="00693764">
                    <w:rPr>
                      <w:rFonts w:eastAsia="Calibri"/>
                      <w:sz w:val="20"/>
                      <w:szCs w:val="20"/>
                    </w:rPr>
                    <w:t>5</w:t>
                  </w:r>
                  <w:r w:rsidR="00044B92">
                    <w:rPr>
                      <w:rFonts w:eastAsia="Calibri"/>
                      <w:sz w:val="20"/>
                      <w:szCs w:val="20"/>
                    </w:rPr>
                    <w:t>/2022</w:t>
                  </w:r>
                  <w:r w:rsidRPr="00E84ECD">
                    <w:rPr>
                      <w:rFonts w:eastAsia="Calibri"/>
                      <w:sz w:val="20"/>
                      <w:szCs w:val="20"/>
                    </w:rPr>
                    <w:t xml:space="preserve">) </w:t>
                  </w:r>
                  <w:r w:rsidR="001A1DE1" w:rsidRPr="00E84ECD">
                    <w:rPr>
                      <w:rFonts w:eastAsia="Calibri"/>
                      <w:sz w:val="20"/>
                      <w:szCs w:val="20"/>
                    </w:rPr>
                    <w:t xml:space="preserve">10 </w:t>
                  </w:r>
                  <w:r w:rsidRPr="00E84ECD">
                    <w:rPr>
                      <w:rFonts w:eastAsia="Calibri"/>
                      <w:sz w:val="20"/>
                      <w:szCs w:val="20"/>
                    </w:rPr>
                    <w:t>days</w:t>
                  </w:r>
                </w:p>
              </w:tc>
              <w:tc>
                <w:tcPr>
                  <w:tcW w:w="6840" w:type="dxa"/>
                </w:tcPr>
                <w:p w14:paraId="4E719C16" w14:textId="77777777" w:rsidR="00077C0D" w:rsidRDefault="00077C0D" w:rsidP="00077C0D">
                  <w:pPr>
                    <w:rPr>
                      <w:rFonts w:eastAsia="Calibri"/>
                      <w:sz w:val="20"/>
                      <w:szCs w:val="20"/>
                    </w:rPr>
                  </w:pPr>
                  <w:r w:rsidRPr="00E84ECD">
                    <w:rPr>
                      <w:rFonts w:eastAsia="Calibri"/>
                      <w:sz w:val="20"/>
                      <w:szCs w:val="20"/>
                    </w:rPr>
                    <w:t>TE mission</w:t>
                  </w:r>
                  <w:r w:rsidR="00044B92">
                    <w:rPr>
                      <w:rFonts w:eastAsia="Calibri"/>
                      <w:sz w:val="20"/>
                      <w:szCs w:val="20"/>
                    </w:rPr>
                    <w:t xml:space="preserve"> to Guinea Bissau</w:t>
                  </w:r>
                  <w:r w:rsidRPr="00E84ECD">
                    <w:rPr>
                      <w:rFonts w:eastAsia="Calibri"/>
                      <w:sz w:val="20"/>
                      <w:szCs w:val="20"/>
                    </w:rPr>
                    <w:t>: stakeholder meetings, interviews etc.</w:t>
                  </w:r>
                </w:p>
                <w:p w14:paraId="17107B71" w14:textId="001B7E09" w:rsidR="00044B92" w:rsidRPr="00E84ECD" w:rsidRDefault="00044B92" w:rsidP="00077C0D">
                  <w:pPr>
                    <w:rPr>
                      <w:rFonts w:eastAsia="Calibri"/>
                      <w:sz w:val="20"/>
                      <w:szCs w:val="20"/>
                    </w:rPr>
                  </w:pPr>
                  <w:r>
                    <w:rPr>
                      <w:rFonts w:eastAsia="Calibri"/>
                      <w:sz w:val="20"/>
                      <w:szCs w:val="20"/>
                    </w:rPr>
                    <w:t>End of in country data collection</w:t>
                  </w:r>
                </w:p>
              </w:tc>
            </w:tr>
            <w:tr w:rsidR="00077C0D" w:rsidRPr="00F243EC" w14:paraId="4FE974E5" w14:textId="77777777" w:rsidTr="008F3396">
              <w:tc>
                <w:tcPr>
                  <w:tcW w:w="2515" w:type="dxa"/>
                </w:tcPr>
                <w:p w14:paraId="69E3B4DB" w14:textId="6516F59B" w:rsidR="00077C0D" w:rsidRPr="00E84ECD" w:rsidRDefault="00077C0D" w:rsidP="00077C0D">
                  <w:pPr>
                    <w:rPr>
                      <w:rFonts w:eastAsia="Calibri"/>
                      <w:sz w:val="20"/>
                      <w:szCs w:val="20"/>
                    </w:rPr>
                  </w:pPr>
                  <w:r w:rsidRPr="00E84ECD">
                    <w:rPr>
                      <w:rFonts w:eastAsia="Calibri"/>
                      <w:sz w:val="20"/>
                      <w:szCs w:val="20"/>
                    </w:rPr>
                    <w:t>(</w:t>
                  </w:r>
                  <w:r w:rsidR="00044B92">
                    <w:rPr>
                      <w:rFonts w:eastAsia="Calibri"/>
                      <w:sz w:val="20"/>
                      <w:szCs w:val="20"/>
                    </w:rPr>
                    <w:t>9</w:t>
                  </w:r>
                  <w:r w:rsidR="00044B92" w:rsidRPr="00044B92">
                    <w:rPr>
                      <w:rFonts w:eastAsia="Calibri"/>
                      <w:sz w:val="20"/>
                      <w:szCs w:val="20"/>
                      <w:vertAlign w:val="superscript"/>
                    </w:rPr>
                    <w:t>th</w:t>
                  </w:r>
                  <w:r w:rsidR="00044B92">
                    <w:rPr>
                      <w:rFonts w:eastAsia="Calibri"/>
                      <w:sz w:val="20"/>
                      <w:szCs w:val="20"/>
                    </w:rPr>
                    <w:t xml:space="preserve"> May 2022</w:t>
                  </w:r>
                  <w:r w:rsidRPr="00E84ECD">
                    <w:rPr>
                      <w:rFonts w:eastAsia="Calibri"/>
                      <w:sz w:val="20"/>
                      <w:szCs w:val="20"/>
                    </w:rPr>
                    <w:t>)</w:t>
                  </w:r>
                  <w:r w:rsidR="009B24C7">
                    <w:rPr>
                      <w:rFonts w:eastAsia="Calibri"/>
                      <w:sz w:val="20"/>
                      <w:szCs w:val="20"/>
                    </w:rPr>
                    <w:t xml:space="preserve"> 01 day</w:t>
                  </w:r>
                </w:p>
              </w:tc>
              <w:tc>
                <w:tcPr>
                  <w:tcW w:w="6840" w:type="dxa"/>
                </w:tcPr>
                <w:p w14:paraId="5F9E1DC8" w14:textId="3CD91BBE" w:rsidR="00077C0D" w:rsidRPr="00E84ECD" w:rsidRDefault="00077C0D" w:rsidP="00077C0D">
                  <w:pPr>
                    <w:rPr>
                      <w:rFonts w:eastAsia="Calibri"/>
                      <w:sz w:val="20"/>
                      <w:szCs w:val="20"/>
                    </w:rPr>
                  </w:pPr>
                  <w:r w:rsidRPr="00E84ECD">
                    <w:rPr>
                      <w:rFonts w:eastAsia="Calibri"/>
                      <w:sz w:val="20"/>
                      <w:szCs w:val="20"/>
                    </w:rPr>
                    <w:t xml:space="preserve">Mission wrap-up meeting &amp; presentation of initial findings; </w:t>
                  </w:r>
                </w:p>
              </w:tc>
            </w:tr>
            <w:tr w:rsidR="00077C0D" w:rsidRPr="00F243EC" w14:paraId="70F271D1" w14:textId="77777777" w:rsidTr="008F3396">
              <w:tc>
                <w:tcPr>
                  <w:tcW w:w="2515" w:type="dxa"/>
                </w:tcPr>
                <w:p w14:paraId="4A365CF7" w14:textId="045A7B23" w:rsidR="00077C0D" w:rsidRPr="00E84ECD" w:rsidRDefault="00077C0D" w:rsidP="00077C0D">
                  <w:pPr>
                    <w:rPr>
                      <w:rFonts w:eastAsia="Calibri"/>
                      <w:sz w:val="20"/>
                      <w:szCs w:val="20"/>
                    </w:rPr>
                  </w:pPr>
                  <w:r w:rsidRPr="00E84ECD">
                    <w:rPr>
                      <w:rFonts w:eastAsia="Calibri"/>
                      <w:sz w:val="20"/>
                      <w:szCs w:val="20"/>
                    </w:rPr>
                    <w:t>(</w:t>
                  </w:r>
                  <w:r w:rsidR="00044B92">
                    <w:rPr>
                      <w:rFonts w:eastAsia="Calibri"/>
                      <w:sz w:val="20"/>
                      <w:szCs w:val="20"/>
                    </w:rPr>
                    <w:t>10th</w:t>
                  </w:r>
                  <w:r w:rsidR="00131A3D" w:rsidRPr="00E84ECD">
                    <w:rPr>
                      <w:rFonts w:eastAsia="Calibri"/>
                      <w:sz w:val="20"/>
                      <w:szCs w:val="20"/>
                    </w:rPr>
                    <w:t xml:space="preserve"> </w:t>
                  </w:r>
                  <w:r w:rsidR="001A1DE1" w:rsidRPr="00E84ECD">
                    <w:rPr>
                      <w:rFonts w:eastAsia="Calibri"/>
                      <w:sz w:val="20"/>
                      <w:szCs w:val="20"/>
                    </w:rPr>
                    <w:t xml:space="preserve">to </w:t>
                  </w:r>
                  <w:r w:rsidR="00044B92">
                    <w:rPr>
                      <w:rFonts w:eastAsia="Calibri"/>
                      <w:sz w:val="20"/>
                      <w:szCs w:val="20"/>
                    </w:rPr>
                    <w:t>23</w:t>
                  </w:r>
                  <w:r w:rsidR="001A1DE1" w:rsidRPr="00E84ECD">
                    <w:rPr>
                      <w:rFonts w:eastAsia="Calibri"/>
                      <w:sz w:val="20"/>
                      <w:szCs w:val="20"/>
                    </w:rPr>
                    <w:t>/0</w:t>
                  </w:r>
                  <w:r w:rsidR="008077F6">
                    <w:rPr>
                      <w:rFonts w:eastAsia="Calibri"/>
                      <w:sz w:val="20"/>
                      <w:szCs w:val="20"/>
                    </w:rPr>
                    <w:t>5</w:t>
                  </w:r>
                  <w:r w:rsidR="001A1DE1" w:rsidRPr="00E84ECD">
                    <w:rPr>
                      <w:rFonts w:eastAsia="Calibri"/>
                      <w:sz w:val="20"/>
                      <w:szCs w:val="20"/>
                    </w:rPr>
                    <w:t>/2022</w:t>
                  </w:r>
                  <w:r w:rsidRPr="00E84ECD">
                    <w:rPr>
                      <w:rFonts w:eastAsia="Calibri"/>
                      <w:sz w:val="20"/>
                      <w:szCs w:val="20"/>
                    </w:rPr>
                    <w:t>)</w:t>
                  </w:r>
                  <w:r w:rsidR="0072648C" w:rsidRPr="00E84ECD">
                    <w:rPr>
                      <w:rFonts w:eastAsia="Calibri"/>
                      <w:sz w:val="20"/>
                      <w:szCs w:val="20"/>
                    </w:rPr>
                    <w:t xml:space="preserve"> </w:t>
                  </w:r>
                  <w:r w:rsidR="002F17A2">
                    <w:rPr>
                      <w:rFonts w:eastAsia="Calibri"/>
                      <w:sz w:val="20"/>
                      <w:szCs w:val="20"/>
                    </w:rPr>
                    <w:t>0</w:t>
                  </w:r>
                  <w:r w:rsidR="00451D6F">
                    <w:rPr>
                      <w:rFonts w:eastAsia="Calibri"/>
                      <w:sz w:val="20"/>
                      <w:szCs w:val="20"/>
                    </w:rPr>
                    <w:t>9</w:t>
                  </w:r>
                  <w:r w:rsidRPr="00E84ECD">
                    <w:rPr>
                      <w:rFonts w:eastAsia="Calibri"/>
                      <w:sz w:val="20"/>
                      <w:szCs w:val="20"/>
                    </w:rPr>
                    <w:t xml:space="preserve"> days </w:t>
                  </w:r>
                </w:p>
              </w:tc>
              <w:tc>
                <w:tcPr>
                  <w:tcW w:w="6840" w:type="dxa"/>
                </w:tcPr>
                <w:p w14:paraId="22995F87" w14:textId="494AC912" w:rsidR="00077C0D" w:rsidRPr="00E84ECD" w:rsidRDefault="00693764" w:rsidP="00077C0D">
                  <w:pPr>
                    <w:rPr>
                      <w:rFonts w:eastAsia="Calibri"/>
                      <w:sz w:val="20"/>
                      <w:szCs w:val="20"/>
                    </w:rPr>
                  </w:pPr>
                  <w:r>
                    <w:rPr>
                      <w:rFonts w:eastAsia="Calibri"/>
                      <w:sz w:val="20"/>
                      <w:szCs w:val="20"/>
                    </w:rPr>
                    <w:t>Analysis and p</w:t>
                  </w:r>
                  <w:r w:rsidR="00077C0D" w:rsidRPr="00E84ECD">
                    <w:rPr>
                      <w:rFonts w:eastAsia="Calibri"/>
                      <w:sz w:val="20"/>
                      <w:szCs w:val="20"/>
                    </w:rPr>
                    <w:t>reparation of draft TE report</w:t>
                  </w:r>
                </w:p>
              </w:tc>
            </w:tr>
            <w:tr w:rsidR="00077C0D" w:rsidRPr="00F243EC" w14:paraId="4D6F5BC0" w14:textId="77777777" w:rsidTr="008F3396">
              <w:tc>
                <w:tcPr>
                  <w:tcW w:w="2515" w:type="dxa"/>
                </w:tcPr>
                <w:p w14:paraId="20054C79" w14:textId="74AF3FF9" w:rsidR="00077C0D" w:rsidRPr="00E84ECD" w:rsidRDefault="00044B92" w:rsidP="00077C0D">
                  <w:pPr>
                    <w:rPr>
                      <w:rFonts w:eastAsia="Calibri"/>
                      <w:sz w:val="20"/>
                      <w:szCs w:val="20"/>
                    </w:rPr>
                  </w:pPr>
                  <w:r>
                    <w:rPr>
                      <w:rFonts w:eastAsia="Calibri"/>
                      <w:sz w:val="20"/>
                      <w:szCs w:val="20"/>
                    </w:rPr>
                    <w:t>2</w:t>
                  </w:r>
                  <w:r w:rsidR="00340D2C">
                    <w:rPr>
                      <w:rFonts w:eastAsia="Calibri"/>
                      <w:sz w:val="20"/>
                      <w:szCs w:val="20"/>
                    </w:rPr>
                    <w:t>0</w:t>
                  </w:r>
                  <w:r w:rsidR="0072648C" w:rsidRPr="00E84ECD">
                    <w:rPr>
                      <w:rFonts w:eastAsia="Calibri"/>
                      <w:sz w:val="20"/>
                      <w:szCs w:val="20"/>
                    </w:rPr>
                    <w:t>/0</w:t>
                  </w:r>
                  <w:r w:rsidR="003E6E66">
                    <w:rPr>
                      <w:rFonts w:eastAsia="Calibri"/>
                      <w:sz w:val="20"/>
                      <w:szCs w:val="20"/>
                    </w:rPr>
                    <w:t>5</w:t>
                  </w:r>
                  <w:r w:rsidR="0072648C" w:rsidRPr="00E84ECD">
                    <w:rPr>
                      <w:rFonts w:eastAsia="Calibri"/>
                      <w:sz w:val="20"/>
                      <w:szCs w:val="20"/>
                    </w:rPr>
                    <w:t>/2022</w:t>
                  </w:r>
                </w:p>
              </w:tc>
              <w:tc>
                <w:tcPr>
                  <w:tcW w:w="6840" w:type="dxa"/>
                </w:tcPr>
                <w:p w14:paraId="06538704" w14:textId="77777777" w:rsidR="00077C0D" w:rsidRPr="00E84ECD" w:rsidRDefault="00077C0D" w:rsidP="00077C0D">
                  <w:pPr>
                    <w:rPr>
                      <w:rFonts w:eastAsia="Calibri"/>
                      <w:sz w:val="20"/>
                      <w:szCs w:val="20"/>
                    </w:rPr>
                  </w:pPr>
                  <w:r w:rsidRPr="00E84ECD">
                    <w:rPr>
                      <w:rFonts w:eastAsia="Calibri"/>
                      <w:sz w:val="20"/>
                      <w:szCs w:val="20"/>
                    </w:rPr>
                    <w:t>Circulation of draft TE report for comments</w:t>
                  </w:r>
                </w:p>
              </w:tc>
            </w:tr>
            <w:tr w:rsidR="00077C0D" w:rsidRPr="00F243EC" w14:paraId="1F69DD98" w14:textId="77777777" w:rsidTr="008F3396">
              <w:tc>
                <w:tcPr>
                  <w:tcW w:w="2515" w:type="dxa"/>
                </w:tcPr>
                <w:p w14:paraId="441FB08A" w14:textId="073753B3" w:rsidR="00077C0D" w:rsidRPr="00E84ECD" w:rsidRDefault="00D604BA" w:rsidP="00077C0D">
                  <w:pPr>
                    <w:rPr>
                      <w:rFonts w:eastAsia="Calibri"/>
                      <w:sz w:val="20"/>
                      <w:szCs w:val="20"/>
                    </w:rPr>
                  </w:pPr>
                  <w:r>
                    <w:rPr>
                      <w:rFonts w:eastAsia="Calibri"/>
                      <w:sz w:val="20"/>
                      <w:szCs w:val="20"/>
                    </w:rPr>
                    <w:t>27</w:t>
                  </w:r>
                  <w:r w:rsidR="00B965A4">
                    <w:rPr>
                      <w:rFonts w:eastAsia="Calibri"/>
                      <w:sz w:val="20"/>
                      <w:szCs w:val="20"/>
                    </w:rPr>
                    <w:t xml:space="preserve"> &amp; 30th</w:t>
                  </w:r>
                  <w:r w:rsidR="008C7B44" w:rsidRPr="00E84ECD">
                    <w:rPr>
                      <w:rFonts w:eastAsia="Calibri"/>
                      <w:sz w:val="20"/>
                      <w:szCs w:val="20"/>
                    </w:rPr>
                    <w:t>/0</w:t>
                  </w:r>
                  <w:r>
                    <w:rPr>
                      <w:rFonts w:eastAsia="Calibri"/>
                      <w:sz w:val="20"/>
                      <w:szCs w:val="20"/>
                    </w:rPr>
                    <w:t>5</w:t>
                  </w:r>
                  <w:r w:rsidR="008C7B44" w:rsidRPr="00E84ECD">
                    <w:rPr>
                      <w:rFonts w:eastAsia="Calibri"/>
                      <w:sz w:val="20"/>
                      <w:szCs w:val="20"/>
                    </w:rPr>
                    <w:t>/2022</w:t>
                  </w:r>
                  <w:r w:rsidR="00C03FE6">
                    <w:rPr>
                      <w:rFonts w:eastAsia="Calibri"/>
                      <w:sz w:val="20"/>
                      <w:szCs w:val="20"/>
                    </w:rPr>
                    <w:t xml:space="preserve"> (0</w:t>
                  </w:r>
                  <w:r w:rsidR="00693764">
                    <w:rPr>
                      <w:rFonts w:eastAsia="Calibri"/>
                      <w:sz w:val="20"/>
                      <w:szCs w:val="20"/>
                    </w:rPr>
                    <w:t>2</w:t>
                  </w:r>
                  <w:r w:rsidR="00C03FE6">
                    <w:rPr>
                      <w:rFonts w:eastAsia="Calibri"/>
                      <w:sz w:val="20"/>
                      <w:szCs w:val="20"/>
                    </w:rPr>
                    <w:t xml:space="preserve"> day</w:t>
                  </w:r>
                  <w:r w:rsidR="00693764">
                    <w:rPr>
                      <w:rFonts w:eastAsia="Calibri"/>
                      <w:sz w:val="20"/>
                      <w:szCs w:val="20"/>
                    </w:rPr>
                    <w:t>s</w:t>
                  </w:r>
                  <w:r w:rsidR="00C03FE6">
                    <w:rPr>
                      <w:rFonts w:eastAsia="Calibri"/>
                      <w:sz w:val="20"/>
                      <w:szCs w:val="20"/>
                    </w:rPr>
                    <w:t>)</w:t>
                  </w:r>
                </w:p>
              </w:tc>
              <w:tc>
                <w:tcPr>
                  <w:tcW w:w="6840" w:type="dxa"/>
                </w:tcPr>
                <w:p w14:paraId="0EC4652B" w14:textId="77777777" w:rsidR="00077C0D" w:rsidRPr="00E84ECD" w:rsidRDefault="00077C0D" w:rsidP="00077C0D">
                  <w:pPr>
                    <w:rPr>
                      <w:rFonts w:eastAsia="Calibri"/>
                      <w:sz w:val="20"/>
                      <w:szCs w:val="20"/>
                    </w:rPr>
                  </w:pPr>
                  <w:r w:rsidRPr="00E84ECD">
                    <w:rPr>
                      <w:rFonts w:eastAsia="Calibri"/>
                      <w:sz w:val="20"/>
                      <w:szCs w:val="20"/>
                    </w:rPr>
                    <w:t xml:space="preserve">Incorporation of comments on draft TE report into Audit Trail &amp; finalization of TE report </w:t>
                  </w:r>
                </w:p>
              </w:tc>
            </w:tr>
            <w:tr w:rsidR="00077C0D" w:rsidRPr="00F243EC" w14:paraId="76355021" w14:textId="77777777" w:rsidTr="008F3396">
              <w:tc>
                <w:tcPr>
                  <w:tcW w:w="2515" w:type="dxa"/>
                </w:tcPr>
                <w:p w14:paraId="19544903" w14:textId="7664B285" w:rsidR="00077C0D" w:rsidRPr="00E84ECD" w:rsidRDefault="006A10F8" w:rsidP="00077C0D">
                  <w:pPr>
                    <w:rPr>
                      <w:rFonts w:eastAsia="Calibri"/>
                      <w:sz w:val="20"/>
                      <w:szCs w:val="20"/>
                    </w:rPr>
                  </w:pPr>
                  <w:r>
                    <w:rPr>
                      <w:rFonts w:eastAsia="Calibri"/>
                      <w:sz w:val="20"/>
                      <w:szCs w:val="20"/>
                    </w:rPr>
                    <w:t>31</w:t>
                  </w:r>
                  <w:r w:rsidR="00955D07" w:rsidRPr="00E84ECD">
                    <w:rPr>
                      <w:rFonts w:eastAsia="Calibri"/>
                      <w:sz w:val="20"/>
                      <w:szCs w:val="20"/>
                    </w:rPr>
                    <w:t>/0</w:t>
                  </w:r>
                  <w:r>
                    <w:rPr>
                      <w:rFonts w:eastAsia="Calibri"/>
                      <w:sz w:val="20"/>
                      <w:szCs w:val="20"/>
                    </w:rPr>
                    <w:t>5</w:t>
                  </w:r>
                  <w:r w:rsidR="00955D07" w:rsidRPr="00E84ECD">
                    <w:rPr>
                      <w:rFonts w:eastAsia="Calibri"/>
                      <w:sz w:val="20"/>
                      <w:szCs w:val="20"/>
                    </w:rPr>
                    <w:t>/2022</w:t>
                  </w:r>
                  <w:r w:rsidR="002E667A">
                    <w:rPr>
                      <w:rFonts w:eastAsia="Calibri"/>
                      <w:sz w:val="20"/>
                      <w:szCs w:val="20"/>
                    </w:rPr>
                    <w:t xml:space="preserve"> (01 day)</w:t>
                  </w:r>
                </w:p>
              </w:tc>
              <w:tc>
                <w:tcPr>
                  <w:tcW w:w="6840" w:type="dxa"/>
                </w:tcPr>
                <w:p w14:paraId="5181A8CB" w14:textId="1D486DA8" w:rsidR="00077C0D" w:rsidRPr="00E84ECD" w:rsidRDefault="00077C0D" w:rsidP="00077C0D">
                  <w:pPr>
                    <w:rPr>
                      <w:rFonts w:eastAsia="Calibri"/>
                      <w:sz w:val="20"/>
                      <w:szCs w:val="20"/>
                    </w:rPr>
                  </w:pPr>
                  <w:r w:rsidRPr="00E84ECD">
                    <w:rPr>
                      <w:rFonts w:eastAsia="Calibri"/>
                      <w:sz w:val="20"/>
                      <w:szCs w:val="20"/>
                    </w:rPr>
                    <w:t xml:space="preserve">Concluding Stakeholder Workshop </w:t>
                  </w:r>
                </w:p>
              </w:tc>
            </w:tr>
            <w:tr w:rsidR="00A54142" w:rsidRPr="00F243EC" w14:paraId="22BB1196" w14:textId="77777777" w:rsidTr="008F3396">
              <w:tc>
                <w:tcPr>
                  <w:tcW w:w="2515" w:type="dxa"/>
                </w:tcPr>
                <w:p w14:paraId="3D9DCBF3" w14:textId="6DA4F382" w:rsidR="00A54142" w:rsidRPr="00E84ECD" w:rsidRDefault="006A10F8" w:rsidP="00077C0D">
                  <w:pPr>
                    <w:rPr>
                      <w:rFonts w:eastAsia="Calibri"/>
                      <w:sz w:val="20"/>
                      <w:szCs w:val="20"/>
                    </w:rPr>
                  </w:pPr>
                  <w:r>
                    <w:rPr>
                      <w:rFonts w:eastAsia="Calibri"/>
                      <w:sz w:val="20"/>
                      <w:szCs w:val="20"/>
                    </w:rPr>
                    <w:t>31</w:t>
                  </w:r>
                  <w:r w:rsidR="00A54142" w:rsidRPr="00E84ECD">
                    <w:rPr>
                      <w:rFonts w:eastAsia="Calibri"/>
                      <w:sz w:val="20"/>
                      <w:szCs w:val="20"/>
                    </w:rPr>
                    <w:t>/0</w:t>
                  </w:r>
                  <w:r>
                    <w:rPr>
                      <w:rFonts w:eastAsia="Calibri"/>
                      <w:sz w:val="20"/>
                      <w:szCs w:val="20"/>
                    </w:rPr>
                    <w:t>5</w:t>
                  </w:r>
                  <w:r w:rsidR="00A54142" w:rsidRPr="00E84ECD">
                    <w:rPr>
                      <w:rFonts w:eastAsia="Calibri"/>
                      <w:sz w:val="20"/>
                      <w:szCs w:val="20"/>
                    </w:rPr>
                    <w:t>/2022</w:t>
                  </w:r>
                  <w:r w:rsidR="002E667A">
                    <w:rPr>
                      <w:rFonts w:eastAsia="Calibri"/>
                      <w:sz w:val="20"/>
                      <w:szCs w:val="20"/>
                    </w:rPr>
                    <w:t xml:space="preserve"> </w:t>
                  </w:r>
                </w:p>
              </w:tc>
              <w:tc>
                <w:tcPr>
                  <w:tcW w:w="6840" w:type="dxa"/>
                </w:tcPr>
                <w:p w14:paraId="69A60FDA" w14:textId="01ECE28E" w:rsidR="00A54142" w:rsidRPr="00E84ECD" w:rsidRDefault="00A54142" w:rsidP="00077C0D">
                  <w:pPr>
                    <w:rPr>
                      <w:rFonts w:eastAsia="Calibri"/>
                      <w:sz w:val="20"/>
                      <w:szCs w:val="20"/>
                    </w:rPr>
                  </w:pPr>
                  <w:r w:rsidRPr="00E84ECD">
                    <w:rPr>
                      <w:rFonts w:eastAsia="Calibri"/>
                      <w:sz w:val="20"/>
                      <w:szCs w:val="20"/>
                    </w:rPr>
                    <w:t>Expected date of full TE completion</w:t>
                  </w:r>
                </w:p>
              </w:tc>
            </w:tr>
          </w:tbl>
          <w:p w14:paraId="160C37F7" w14:textId="2970E0F0" w:rsidR="00A95224" w:rsidRPr="004276DC" w:rsidRDefault="00A95224" w:rsidP="00A95224">
            <w:pPr>
              <w:spacing w:after="160" w:line="276" w:lineRule="auto"/>
              <w:contextualSpacing/>
              <w:jc w:val="both"/>
              <w:rPr>
                <w:rFonts w:ascii="Calibri" w:eastAsia="Calibri" w:hAnsi="Calibri"/>
                <w:b/>
                <w:sz w:val="22"/>
                <w:szCs w:val="22"/>
              </w:rPr>
            </w:pPr>
          </w:p>
        </w:tc>
      </w:tr>
    </w:tbl>
    <w:p w14:paraId="160C37F9" w14:textId="77777777" w:rsidR="00D50DC9" w:rsidRDefault="00D50DC9" w:rsidP="00D50DC9">
      <w:pPr>
        <w:pStyle w:val="ListParagraph"/>
        <w:tabs>
          <w:tab w:val="left" w:pos="360"/>
        </w:tabs>
        <w:ind w:left="360"/>
        <w:contextualSpacing/>
        <w:rPr>
          <w:rFonts w:asciiTheme="minorHAnsi" w:hAnsiTheme="minorHAnsi"/>
          <w:b/>
          <w:sz w:val="20"/>
          <w:szCs w:val="20"/>
        </w:rPr>
      </w:pPr>
    </w:p>
    <w:p w14:paraId="160C37FA" w14:textId="77777777" w:rsidR="00544223" w:rsidRDefault="00544223" w:rsidP="00AA31BD">
      <w:pPr>
        <w:pStyle w:val="ListParagraph"/>
        <w:numPr>
          <w:ilvl w:val="0"/>
          <w:numId w:val="13"/>
        </w:numPr>
        <w:tabs>
          <w:tab w:val="left" w:pos="360"/>
        </w:tabs>
        <w:ind w:left="360"/>
        <w:contextualSpacing/>
        <w:rPr>
          <w:rFonts w:asciiTheme="minorHAnsi" w:hAnsiTheme="minorHAnsi"/>
          <w:b/>
          <w:sz w:val="20"/>
          <w:szCs w:val="20"/>
        </w:rPr>
      </w:pPr>
      <w:r>
        <w:rPr>
          <w:rFonts w:asciiTheme="minorHAnsi" w:hAnsiTheme="minorHAnsi"/>
          <w:b/>
          <w:sz w:val="20"/>
          <w:szCs w:val="20"/>
        </w:rPr>
        <w:t>Expected Outputs and deliverables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1"/>
      </w:tblGrid>
      <w:tr w:rsidR="00487704" w14:paraId="160C37FC" w14:textId="77777777" w:rsidTr="00487704">
        <w:trPr>
          <w:trHeight w:val="512"/>
        </w:trPr>
        <w:tc>
          <w:tcPr>
            <w:tcW w:w="9570" w:type="dxa"/>
          </w:tcPr>
          <w:p w14:paraId="7BAE5092" w14:textId="7EAF6C90" w:rsidR="009B1E96" w:rsidRPr="00785E0C" w:rsidRDefault="009B1E96" w:rsidP="009B1E96">
            <w:pPr>
              <w:spacing w:after="160" w:line="259" w:lineRule="auto"/>
              <w:jc w:val="both"/>
              <w:rPr>
                <w:rFonts w:ascii="Calibri" w:eastAsia="Calibri" w:hAnsi="Calibri"/>
                <w:b/>
                <w:sz w:val="22"/>
                <w:szCs w:val="22"/>
              </w:rPr>
            </w:pPr>
            <w:r w:rsidRPr="00785E0C">
              <w:rPr>
                <w:rFonts w:ascii="Calibri" w:eastAsia="Calibri" w:hAnsi="Calibri"/>
                <w:b/>
                <w:sz w:val="22"/>
                <w:szCs w:val="22"/>
              </w:rPr>
              <w:t>DELIVERABLES</w:t>
            </w:r>
          </w:p>
          <w:tbl>
            <w:tblPr>
              <w:tblStyle w:val="TableGrid"/>
              <w:tblW w:w="9355" w:type="dxa"/>
              <w:tblInd w:w="0" w:type="dxa"/>
              <w:tblLook w:val="04A0" w:firstRow="1" w:lastRow="0" w:firstColumn="1" w:lastColumn="0" w:noHBand="0" w:noVBand="1"/>
            </w:tblPr>
            <w:tblGrid>
              <w:gridCol w:w="625"/>
              <w:gridCol w:w="1870"/>
              <w:gridCol w:w="2360"/>
              <w:gridCol w:w="1980"/>
              <w:gridCol w:w="2520"/>
            </w:tblGrid>
            <w:tr w:rsidR="00C85638" w:rsidRPr="00F243EC" w14:paraId="73E879FC" w14:textId="77777777" w:rsidTr="008F3396">
              <w:tc>
                <w:tcPr>
                  <w:tcW w:w="625" w:type="dxa"/>
                  <w:shd w:val="clear" w:color="auto" w:fill="404040" w:themeFill="text1" w:themeFillTint="BF"/>
                </w:tcPr>
                <w:p w14:paraId="1D1974DF" w14:textId="77777777" w:rsidR="00C85638" w:rsidRPr="00E84ECD" w:rsidRDefault="00C85638" w:rsidP="00C85638">
                  <w:pPr>
                    <w:rPr>
                      <w:rFonts w:eastAsia="Calibri"/>
                      <w:sz w:val="20"/>
                      <w:szCs w:val="20"/>
                    </w:rPr>
                  </w:pPr>
                  <w:r w:rsidRPr="00E84ECD">
                    <w:rPr>
                      <w:rFonts w:eastAsia="Calibri"/>
                      <w:sz w:val="20"/>
                      <w:szCs w:val="20"/>
                    </w:rPr>
                    <w:t>#</w:t>
                  </w:r>
                </w:p>
              </w:tc>
              <w:tc>
                <w:tcPr>
                  <w:tcW w:w="1870" w:type="dxa"/>
                  <w:shd w:val="clear" w:color="auto" w:fill="404040" w:themeFill="text1" w:themeFillTint="BF"/>
                </w:tcPr>
                <w:p w14:paraId="74A56208" w14:textId="77777777" w:rsidR="00C85638" w:rsidRPr="00E84ECD" w:rsidRDefault="00C85638" w:rsidP="00C85638">
                  <w:pPr>
                    <w:rPr>
                      <w:rFonts w:eastAsia="Calibri"/>
                      <w:sz w:val="20"/>
                      <w:szCs w:val="20"/>
                    </w:rPr>
                  </w:pPr>
                  <w:r w:rsidRPr="00E84ECD">
                    <w:rPr>
                      <w:rFonts w:eastAsia="Calibri"/>
                      <w:sz w:val="20"/>
                      <w:szCs w:val="20"/>
                    </w:rPr>
                    <w:t>Deliverable</w:t>
                  </w:r>
                </w:p>
              </w:tc>
              <w:tc>
                <w:tcPr>
                  <w:tcW w:w="2360" w:type="dxa"/>
                  <w:shd w:val="clear" w:color="auto" w:fill="404040" w:themeFill="text1" w:themeFillTint="BF"/>
                </w:tcPr>
                <w:p w14:paraId="07AEB0A4" w14:textId="77777777" w:rsidR="00C85638" w:rsidRPr="00E84ECD" w:rsidRDefault="00C85638" w:rsidP="00C85638">
                  <w:pPr>
                    <w:rPr>
                      <w:rFonts w:eastAsia="Calibri"/>
                      <w:sz w:val="20"/>
                      <w:szCs w:val="20"/>
                    </w:rPr>
                  </w:pPr>
                  <w:r w:rsidRPr="00E84ECD">
                    <w:rPr>
                      <w:rFonts w:eastAsia="Calibri"/>
                      <w:sz w:val="20"/>
                      <w:szCs w:val="20"/>
                    </w:rPr>
                    <w:t>Description</w:t>
                  </w:r>
                </w:p>
              </w:tc>
              <w:tc>
                <w:tcPr>
                  <w:tcW w:w="1980" w:type="dxa"/>
                  <w:shd w:val="clear" w:color="auto" w:fill="404040" w:themeFill="text1" w:themeFillTint="BF"/>
                </w:tcPr>
                <w:p w14:paraId="53BB2E10" w14:textId="77777777" w:rsidR="00C85638" w:rsidRPr="00E84ECD" w:rsidRDefault="00C85638" w:rsidP="00C85638">
                  <w:pPr>
                    <w:rPr>
                      <w:rFonts w:eastAsia="Calibri"/>
                      <w:sz w:val="20"/>
                      <w:szCs w:val="20"/>
                    </w:rPr>
                  </w:pPr>
                  <w:r w:rsidRPr="00E84ECD">
                    <w:rPr>
                      <w:rFonts w:eastAsia="Calibri"/>
                      <w:sz w:val="20"/>
                      <w:szCs w:val="20"/>
                    </w:rPr>
                    <w:t>Timing</w:t>
                  </w:r>
                </w:p>
              </w:tc>
              <w:tc>
                <w:tcPr>
                  <w:tcW w:w="2520" w:type="dxa"/>
                  <w:shd w:val="clear" w:color="auto" w:fill="404040" w:themeFill="text1" w:themeFillTint="BF"/>
                </w:tcPr>
                <w:p w14:paraId="4EE2F547" w14:textId="77777777" w:rsidR="00C85638" w:rsidRPr="00E84ECD" w:rsidRDefault="00C85638" w:rsidP="00C85638">
                  <w:pPr>
                    <w:rPr>
                      <w:rFonts w:eastAsia="Calibri"/>
                      <w:sz w:val="20"/>
                      <w:szCs w:val="20"/>
                    </w:rPr>
                  </w:pPr>
                  <w:r w:rsidRPr="00E84ECD">
                    <w:rPr>
                      <w:rFonts w:eastAsia="Calibri"/>
                      <w:sz w:val="20"/>
                      <w:szCs w:val="20"/>
                    </w:rPr>
                    <w:t>Responsibilities</w:t>
                  </w:r>
                </w:p>
              </w:tc>
            </w:tr>
            <w:tr w:rsidR="00C85638" w:rsidRPr="00F243EC" w14:paraId="2FDB5A1E" w14:textId="77777777" w:rsidTr="008F3396">
              <w:tc>
                <w:tcPr>
                  <w:tcW w:w="625" w:type="dxa"/>
                </w:tcPr>
                <w:p w14:paraId="389CA68B" w14:textId="77777777" w:rsidR="00C85638" w:rsidRPr="00E84ECD" w:rsidRDefault="00C85638" w:rsidP="00C85638">
                  <w:pPr>
                    <w:rPr>
                      <w:rFonts w:eastAsia="Calibri"/>
                      <w:sz w:val="20"/>
                      <w:szCs w:val="20"/>
                    </w:rPr>
                  </w:pPr>
                  <w:r w:rsidRPr="00E84ECD">
                    <w:rPr>
                      <w:rFonts w:eastAsia="Calibri"/>
                      <w:sz w:val="20"/>
                      <w:szCs w:val="20"/>
                    </w:rPr>
                    <w:t>1</w:t>
                  </w:r>
                </w:p>
              </w:tc>
              <w:tc>
                <w:tcPr>
                  <w:tcW w:w="1870" w:type="dxa"/>
                </w:tcPr>
                <w:p w14:paraId="6CADEED8" w14:textId="77777777" w:rsidR="00C85638" w:rsidRPr="00E84ECD" w:rsidRDefault="00C85638" w:rsidP="00C85638">
                  <w:pPr>
                    <w:rPr>
                      <w:rFonts w:eastAsia="Calibri"/>
                      <w:sz w:val="20"/>
                      <w:szCs w:val="20"/>
                    </w:rPr>
                  </w:pPr>
                  <w:r w:rsidRPr="00E84ECD">
                    <w:rPr>
                      <w:rFonts w:eastAsia="Calibri"/>
                      <w:sz w:val="20"/>
                      <w:szCs w:val="20"/>
                    </w:rPr>
                    <w:t>TE Inception Report</w:t>
                  </w:r>
                </w:p>
              </w:tc>
              <w:tc>
                <w:tcPr>
                  <w:tcW w:w="2360" w:type="dxa"/>
                </w:tcPr>
                <w:p w14:paraId="67B0D831" w14:textId="77777777" w:rsidR="00C85638" w:rsidRPr="00E84ECD" w:rsidRDefault="00C85638" w:rsidP="00C85638">
                  <w:pPr>
                    <w:rPr>
                      <w:rFonts w:eastAsia="Calibri"/>
                      <w:sz w:val="20"/>
                      <w:szCs w:val="20"/>
                    </w:rPr>
                  </w:pPr>
                  <w:r w:rsidRPr="00E84ECD">
                    <w:rPr>
                      <w:rFonts w:eastAsia="Calibri"/>
                      <w:sz w:val="20"/>
                      <w:szCs w:val="20"/>
                    </w:rPr>
                    <w:t>TE team clarifies objectives, methodology and timing of the TE</w:t>
                  </w:r>
                </w:p>
              </w:tc>
              <w:tc>
                <w:tcPr>
                  <w:tcW w:w="1980" w:type="dxa"/>
                </w:tcPr>
                <w:p w14:paraId="0662B63B" w14:textId="0C06DF17" w:rsidR="00C85638" w:rsidRPr="00E84ECD" w:rsidRDefault="00C85638" w:rsidP="00C85638">
                  <w:pPr>
                    <w:rPr>
                      <w:rFonts w:eastAsia="Calibri"/>
                      <w:sz w:val="20"/>
                      <w:szCs w:val="20"/>
                    </w:rPr>
                  </w:pPr>
                  <w:r w:rsidRPr="00E84ECD">
                    <w:rPr>
                      <w:rFonts w:eastAsia="Calibri"/>
                      <w:sz w:val="20"/>
                      <w:szCs w:val="20"/>
                    </w:rPr>
                    <w:t>No later than 2 weeks before the TE mission: (</w:t>
                  </w:r>
                  <w:r w:rsidR="00B31FAD">
                    <w:rPr>
                      <w:rFonts w:eastAsia="Calibri"/>
                      <w:sz w:val="20"/>
                      <w:szCs w:val="20"/>
                    </w:rPr>
                    <w:t>04</w:t>
                  </w:r>
                  <w:r w:rsidRPr="00E84ECD">
                    <w:rPr>
                      <w:rFonts w:eastAsia="Calibri"/>
                      <w:sz w:val="20"/>
                      <w:szCs w:val="20"/>
                    </w:rPr>
                    <w:t>/0</w:t>
                  </w:r>
                  <w:r w:rsidR="0003502A">
                    <w:rPr>
                      <w:rFonts w:eastAsia="Calibri"/>
                      <w:sz w:val="20"/>
                      <w:szCs w:val="20"/>
                    </w:rPr>
                    <w:t>4</w:t>
                  </w:r>
                  <w:r w:rsidRPr="00E84ECD">
                    <w:rPr>
                      <w:rFonts w:eastAsia="Calibri"/>
                      <w:sz w:val="20"/>
                      <w:szCs w:val="20"/>
                    </w:rPr>
                    <w:t>/2022)</w:t>
                  </w:r>
                </w:p>
                <w:p w14:paraId="13F5B487" w14:textId="77777777" w:rsidR="00C85638" w:rsidRPr="00E84ECD" w:rsidRDefault="00C85638" w:rsidP="00C85638">
                  <w:pPr>
                    <w:rPr>
                      <w:rFonts w:eastAsia="Calibri"/>
                      <w:sz w:val="20"/>
                      <w:szCs w:val="20"/>
                    </w:rPr>
                  </w:pPr>
                </w:p>
                <w:p w14:paraId="36E34DDE" w14:textId="77777777" w:rsidR="00C85638" w:rsidRPr="00E84ECD" w:rsidRDefault="00C85638" w:rsidP="00C85638">
                  <w:pPr>
                    <w:jc w:val="both"/>
                    <w:rPr>
                      <w:rFonts w:eastAsia="Calibri"/>
                      <w:sz w:val="20"/>
                      <w:szCs w:val="20"/>
                    </w:rPr>
                  </w:pPr>
                </w:p>
              </w:tc>
              <w:tc>
                <w:tcPr>
                  <w:tcW w:w="2520" w:type="dxa"/>
                </w:tcPr>
                <w:p w14:paraId="492F1F94" w14:textId="77777777" w:rsidR="00C85638" w:rsidRPr="00E84ECD" w:rsidRDefault="00C85638" w:rsidP="00C85638">
                  <w:pPr>
                    <w:rPr>
                      <w:rFonts w:eastAsia="Calibri"/>
                      <w:sz w:val="20"/>
                      <w:szCs w:val="20"/>
                    </w:rPr>
                  </w:pPr>
                  <w:r w:rsidRPr="00E84ECD">
                    <w:rPr>
                      <w:rFonts w:eastAsia="Calibri"/>
                      <w:sz w:val="20"/>
                      <w:szCs w:val="20"/>
                    </w:rPr>
                    <w:t>TE team submits Inception Report to Commissioning Unit and project management</w:t>
                  </w:r>
                </w:p>
              </w:tc>
            </w:tr>
            <w:tr w:rsidR="00C85638" w:rsidRPr="00F243EC" w14:paraId="5129A16E" w14:textId="77777777" w:rsidTr="008F3396">
              <w:tc>
                <w:tcPr>
                  <w:tcW w:w="625" w:type="dxa"/>
                </w:tcPr>
                <w:p w14:paraId="0D1CF337" w14:textId="77777777" w:rsidR="00C85638" w:rsidRPr="00E84ECD" w:rsidRDefault="00C85638" w:rsidP="00C85638">
                  <w:pPr>
                    <w:rPr>
                      <w:rFonts w:eastAsia="Calibri"/>
                      <w:sz w:val="20"/>
                      <w:szCs w:val="20"/>
                    </w:rPr>
                  </w:pPr>
                  <w:r w:rsidRPr="00E84ECD">
                    <w:rPr>
                      <w:rFonts w:eastAsia="Calibri"/>
                      <w:sz w:val="20"/>
                      <w:szCs w:val="20"/>
                    </w:rPr>
                    <w:t>2</w:t>
                  </w:r>
                </w:p>
              </w:tc>
              <w:tc>
                <w:tcPr>
                  <w:tcW w:w="1870" w:type="dxa"/>
                </w:tcPr>
                <w:p w14:paraId="2AAB2EF1" w14:textId="77777777" w:rsidR="00C85638" w:rsidRPr="00E84ECD" w:rsidRDefault="00C85638" w:rsidP="00C85638">
                  <w:pPr>
                    <w:rPr>
                      <w:rFonts w:eastAsia="Calibri"/>
                      <w:sz w:val="20"/>
                      <w:szCs w:val="20"/>
                    </w:rPr>
                  </w:pPr>
                  <w:r w:rsidRPr="00E84ECD">
                    <w:rPr>
                      <w:rFonts w:eastAsia="Calibri"/>
                      <w:sz w:val="20"/>
                      <w:szCs w:val="20"/>
                    </w:rPr>
                    <w:t>Presentation</w:t>
                  </w:r>
                </w:p>
              </w:tc>
              <w:tc>
                <w:tcPr>
                  <w:tcW w:w="2360" w:type="dxa"/>
                </w:tcPr>
                <w:p w14:paraId="0434A29B" w14:textId="77777777" w:rsidR="00C85638" w:rsidRPr="00E84ECD" w:rsidRDefault="00C85638" w:rsidP="00C85638">
                  <w:pPr>
                    <w:rPr>
                      <w:rFonts w:eastAsia="Calibri"/>
                      <w:sz w:val="20"/>
                      <w:szCs w:val="20"/>
                    </w:rPr>
                  </w:pPr>
                  <w:r w:rsidRPr="00E84ECD">
                    <w:rPr>
                      <w:rFonts w:eastAsia="Calibri"/>
                      <w:sz w:val="20"/>
                      <w:szCs w:val="20"/>
                    </w:rPr>
                    <w:t>Initial Findings</w:t>
                  </w:r>
                </w:p>
              </w:tc>
              <w:tc>
                <w:tcPr>
                  <w:tcW w:w="1980" w:type="dxa"/>
                </w:tcPr>
                <w:p w14:paraId="724EB99F" w14:textId="7E918385" w:rsidR="00C85638" w:rsidRPr="00E84ECD" w:rsidRDefault="00C85638" w:rsidP="00C85638">
                  <w:pPr>
                    <w:rPr>
                      <w:rFonts w:eastAsia="Calibri"/>
                      <w:sz w:val="20"/>
                      <w:szCs w:val="20"/>
                    </w:rPr>
                  </w:pPr>
                  <w:r w:rsidRPr="00E84ECD">
                    <w:rPr>
                      <w:rFonts w:eastAsia="Calibri"/>
                      <w:sz w:val="20"/>
                      <w:szCs w:val="20"/>
                    </w:rPr>
                    <w:t>End of TE mission: (</w:t>
                  </w:r>
                  <w:r w:rsidR="00693764">
                    <w:rPr>
                      <w:rFonts w:eastAsia="Calibri"/>
                      <w:sz w:val="20"/>
                      <w:szCs w:val="20"/>
                    </w:rPr>
                    <w:t>9</w:t>
                  </w:r>
                  <w:r w:rsidRPr="00E84ECD">
                    <w:rPr>
                      <w:rFonts w:eastAsia="Calibri"/>
                      <w:sz w:val="20"/>
                      <w:szCs w:val="20"/>
                    </w:rPr>
                    <w:t>th/0</w:t>
                  </w:r>
                  <w:r w:rsidR="00693764">
                    <w:rPr>
                      <w:rFonts w:eastAsia="Calibri"/>
                      <w:sz w:val="20"/>
                      <w:szCs w:val="20"/>
                    </w:rPr>
                    <w:t>5</w:t>
                  </w:r>
                  <w:r w:rsidRPr="00E84ECD">
                    <w:rPr>
                      <w:rFonts w:eastAsia="Calibri"/>
                      <w:sz w:val="20"/>
                      <w:szCs w:val="20"/>
                    </w:rPr>
                    <w:t>/2022)</w:t>
                  </w:r>
                </w:p>
              </w:tc>
              <w:tc>
                <w:tcPr>
                  <w:tcW w:w="2520" w:type="dxa"/>
                </w:tcPr>
                <w:p w14:paraId="5133F422" w14:textId="77777777" w:rsidR="00C85638" w:rsidRPr="00E84ECD" w:rsidRDefault="00C85638" w:rsidP="00C85638">
                  <w:pPr>
                    <w:rPr>
                      <w:rFonts w:eastAsia="Calibri"/>
                      <w:sz w:val="20"/>
                      <w:szCs w:val="20"/>
                    </w:rPr>
                  </w:pPr>
                  <w:r w:rsidRPr="00E84ECD">
                    <w:rPr>
                      <w:rFonts w:eastAsia="Calibri"/>
                      <w:sz w:val="20"/>
                      <w:szCs w:val="20"/>
                    </w:rPr>
                    <w:t>TE team presents to Commissioning Unit and project management</w:t>
                  </w:r>
                </w:p>
              </w:tc>
            </w:tr>
            <w:tr w:rsidR="00C85638" w:rsidRPr="00F243EC" w14:paraId="148AFA26" w14:textId="77777777" w:rsidTr="008F3396">
              <w:tc>
                <w:tcPr>
                  <w:tcW w:w="625" w:type="dxa"/>
                </w:tcPr>
                <w:p w14:paraId="4522D413" w14:textId="77777777" w:rsidR="00C85638" w:rsidRPr="00E84ECD" w:rsidRDefault="00C85638" w:rsidP="00C85638">
                  <w:pPr>
                    <w:rPr>
                      <w:rFonts w:eastAsia="Calibri"/>
                      <w:sz w:val="20"/>
                      <w:szCs w:val="20"/>
                    </w:rPr>
                  </w:pPr>
                  <w:r w:rsidRPr="00E84ECD">
                    <w:rPr>
                      <w:rFonts w:eastAsia="Calibri"/>
                      <w:sz w:val="20"/>
                      <w:szCs w:val="20"/>
                    </w:rPr>
                    <w:t>3</w:t>
                  </w:r>
                </w:p>
              </w:tc>
              <w:tc>
                <w:tcPr>
                  <w:tcW w:w="1870" w:type="dxa"/>
                </w:tcPr>
                <w:p w14:paraId="642EB1F2" w14:textId="77777777" w:rsidR="00C85638" w:rsidRPr="00E84ECD" w:rsidRDefault="00C85638" w:rsidP="00C85638">
                  <w:pPr>
                    <w:rPr>
                      <w:rFonts w:eastAsia="Calibri"/>
                      <w:sz w:val="20"/>
                      <w:szCs w:val="20"/>
                    </w:rPr>
                  </w:pPr>
                  <w:r w:rsidRPr="00E84ECD">
                    <w:rPr>
                      <w:rFonts w:eastAsia="Calibri"/>
                      <w:sz w:val="20"/>
                      <w:szCs w:val="20"/>
                    </w:rPr>
                    <w:t>Draft TE Report</w:t>
                  </w:r>
                </w:p>
              </w:tc>
              <w:tc>
                <w:tcPr>
                  <w:tcW w:w="2360" w:type="dxa"/>
                </w:tcPr>
                <w:p w14:paraId="6E6D70F8" w14:textId="77777777" w:rsidR="00C85638" w:rsidRPr="00E84ECD" w:rsidRDefault="00C85638" w:rsidP="00C85638">
                  <w:pPr>
                    <w:rPr>
                      <w:rFonts w:eastAsia="Calibri"/>
                      <w:sz w:val="20"/>
                      <w:szCs w:val="20"/>
                    </w:rPr>
                  </w:pPr>
                  <w:r w:rsidRPr="00E84ECD">
                    <w:rPr>
                      <w:rFonts w:eastAsia="Calibri"/>
                      <w:sz w:val="20"/>
                      <w:szCs w:val="20"/>
                    </w:rPr>
                    <w:t>Full draft report (using guidelines on report content in ToR Annex C) with annexes</w:t>
                  </w:r>
                </w:p>
              </w:tc>
              <w:tc>
                <w:tcPr>
                  <w:tcW w:w="1980" w:type="dxa"/>
                </w:tcPr>
                <w:p w14:paraId="7793D50C" w14:textId="1665474C" w:rsidR="00C85638" w:rsidRPr="00E84ECD" w:rsidRDefault="00C85638" w:rsidP="00C85638">
                  <w:pPr>
                    <w:rPr>
                      <w:rFonts w:eastAsia="Calibri"/>
                      <w:sz w:val="20"/>
                      <w:szCs w:val="20"/>
                    </w:rPr>
                  </w:pPr>
                  <w:r w:rsidRPr="00E84ECD">
                    <w:rPr>
                      <w:rFonts w:eastAsia="Calibri"/>
                      <w:sz w:val="20"/>
                      <w:szCs w:val="20"/>
                    </w:rPr>
                    <w:t xml:space="preserve">Within 3 weeks of end of TE mission: (by </w:t>
                  </w:r>
                  <w:r w:rsidR="00693764">
                    <w:rPr>
                      <w:rFonts w:eastAsia="Calibri"/>
                      <w:sz w:val="20"/>
                      <w:szCs w:val="20"/>
                    </w:rPr>
                    <w:t>2</w:t>
                  </w:r>
                  <w:r w:rsidR="00B22669">
                    <w:rPr>
                      <w:rFonts w:eastAsia="Calibri"/>
                      <w:sz w:val="20"/>
                      <w:szCs w:val="20"/>
                    </w:rPr>
                    <w:t>0th</w:t>
                  </w:r>
                  <w:r w:rsidR="00203ACF" w:rsidRPr="00E84ECD">
                    <w:rPr>
                      <w:rFonts w:eastAsia="Calibri"/>
                      <w:sz w:val="20"/>
                      <w:szCs w:val="20"/>
                    </w:rPr>
                    <w:t>/0</w:t>
                  </w:r>
                  <w:r w:rsidR="006344D2">
                    <w:rPr>
                      <w:rFonts w:eastAsia="Calibri"/>
                      <w:sz w:val="20"/>
                      <w:szCs w:val="20"/>
                    </w:rPr>
                    <w:t>5</w:t>
                  </w:r>
                  <w:r w:rsidR="00203ACF" w:rsidRPr="00E84ECD">
                    <w:rPr>
                      <w:rFonts w:eastAsia="Calibri"/>
                      <w:sz w:val="20"/>
                      <w:szCs w:val="20"/>
                    </w:rPr>
                    <w:t>/2022</w:t>
                  </w:r>
                  <w:r w:rsidRPr="00E84ECD">
                    <w:rPr>
                      <w:rFonts w:eastAsia="Calibri"/>
                      <w:sz w:val="20"/>
                      <w:szCs w:val="20"/>
                    </w:rPr>
                    <w:t>)</w:t>
                  </w:r>
                </w:p>
              </w:tc>
              <w:tc>
                <w:tcPr>
                  <w:tcW w:w="2520" w:type="dxa"/>
                </w:tcPr>
                <w:p w14:paraId="7D613068" w14:textId="77777777" w:rsidR="00C85638" w:rsidRPr="00E84ECD" w:rsidRDefault="00C85638" w:rsidP="00C85638">
                  <w:pPr>
                    <w:rPr>
                      <w:rFonts w:eastAsia="Calibri"/>
                      <w:sz w:val="20"/>
                      <w:szCs w:val="20"/>
                    </w:rPr>
                  </w:pPr>
                  <w:r w:rsidRPr="00E84ECD">
                    <w:rPr>
                      <w:rFonts w:eastAsia="Calibri"/>
                      <w:sz w:val="20"/>
                      <w:szCs w:val="20"/>
                    </w:rPr>
                    <w:t>TE team submits to Commissioning Unit; reviewed by BPPS-GEF RTA, Project Coordinating Unit, GEF OFP</w:t>
                  </w:r>
                </w:p>
              </w:tc>
            </w:tr>
            <w:tr w:rsidR="00C85638" w:rsidRPr="00F243EC" w14:paraId="4E10521E" w14:textId="77777777" w:rsidTr="008F3396">
              <w:tc>
                <w:tcPr>
                  <w:tcW w:w="625" w:type="dxa"/>
                </w:tcPr>
                <w:p w14:paraId="32AB3ABA" w14:textId="77777777" w:rsidR="00C85638" w:rsidRPr="00E84ECD" w:rsidRDefault="00C85638" w:rsidP="00C85638">
                  <w:pPr>
                    <w:rPr>
                      <w:rFonts w:eastAsia="Calibri"/>
                      <w:sz w:val="20"/>
                      <w:szCs w:val="20"/>
                    </w:rPr>
                  </w:pPr>
                  <w:r w:rsidRPr="00E84ECD">
                    <w:rPr>
                      <w:rFonts w:eastAsia="Calibri"/>
                      <w:sz w:val="20"/>
                      <w:szCs w:val="20"/>
                    </w:rPr>
                    <w:t>5</w:t>
                  </w:r>
                </w:p>
              </w:tc>
              <w:tc>
                <w:tcPr>
                  <w:tcW w:w="1870" w:type="dxa"/>
                </w:tcPr>
                <w:p w14:paraId="6DF8D0E0" w14:textId="77777777" w:rsidR="00C85638" w:rsidRPr="00E84ECD" w:rsidRDefault="00C85638" w:rsidP="00C85638">
                  <w:pPr>
                    <w:rPr>
                      <w:rFonts w:eastAsia="Calibri"/>
                      <w:sz w:val="20"/>
                      <w:szCs w:val="20"/>
                    </w:rPr>
                  </w:pPr>
                  <w:r w:rsidRPr="00E84ECD">
                    <w:rPr>
                      <w:rFonts w:eastAsia="Calibri"/>
                      <w:sz w:val="20"/>
                      <w:szCs w:val="20"/>
                    </w:rPr>
                    <w:t>Final TE Report* + Audit Trail</w:t>
                  </w:r>
                </w:p>
              </w:tc>
              <w:tc>
                <w:tcPr>
                  <w:tcW w:w="2360" w:type="dxa"/>
                </w:tcPr>
                <w:p w14:paraId="7D72235F" w14:textId="15BDFFDF" w:rsidR="00C85638" w:rsidRPr="00E84ECD" w:rsidRDefault="00C85638" w:rsidP="00C85638">
                  <w:pPr>
                    <w:rPr>
                      <w:rFonts w:eastAsia="Calibri"/>
                      <w:sz w:val="20"/>
                      <w:szCs w:val="20"/>
                    </w:rPr>
                  </w:pPr>
                  <w:r w:rsidRPr="00E84ECD">
                    <w:rPr>
                      <w:rFonts w:eastAsia="Calibri"/>
                      <w:sz w:val="20"/>
                      <w:szCs w:val="20"/>
                    </w:rPr>
                    <w:t xml:space="preserve">Revised final report and TE Audit trail in which the TE details how all received comments have (and have not) been addressed in the final TE report </w:t>
                  </w:r>
                </w:p>
              </w:tc>
              <w:tc>
                <w:tcPr>
                  <w:tcW w:w="1980" w:type="dxa"/>
                </w:tcPr>
                <w:p w14:paraId="1EC3F969" w14:textId="54B6FE07" w:rsidR="00C85638" w:rsidRPr="00E84ECD" w:rsidRDefault="00C85638" w:rsidP="00C85638">
                  <w:pPr>
                    <w:rPr>
                      <w:rFonts w:eastAsia="Calibri"/>
                      <w:sz w:val="20"/>
                      <w:szCs w:val="20"/>
                    </w:rPr>
                  </w:pPr>
                  <w:r w:rsidRPr="00E84ECD">
                    <w:rPr>
                      <w:rFonts w:eastAsia="Calibri"/>
                      <w:sz w:val="20"/>
                      <w:szCs w:val="20"/>
                    </w:rPr>
                    <w:t xml:space="preserve">Within </w:t>
                  </w:r>
                  <w:r w:rsidR="00F60A81">
                    <w:rPr>
                      <w:rFonts w:eastAsia="Calibri"/>
                      <w:sz w:val="20"/>
                      <w:szCs w:val="20"/>
                    </w:rPr>
                    <w:t>2</w:t>
                  </w:r>
                  <w:r w:rsidRPr="00E84ECD">
                    <w:rPr>
                      <w:rFonts w:eastAsia="Calibri"/>
                      <w:sz w:val="20"/>
                      <w:szCs w:val="20"/>
                    </w:rPr>
                    <w:t xml:space="preserve"> week</w:t>
                  </w:r>
                  <w:r w:rsidR="00F60A81">
                    <w:rPr>
                      <w:rFonts w:eastAsia="Calibri"/>
                      <w:sz w:val="20"/>
                      <w:szCs w:val="20"/>
                    </w:rPr>
                    <w:t>s</w:t>
                  </w:r>
                  <w:r w:rsidRPr="00E84ECD">
                    <w:rPr>
                      <w:rFonts w:eastAsia="Calibri"/>
                      <w:sz w:val="20"/>
                      <w:szCs w:val="20"/>
                    </w:rPr>
                    <w:t xml:space="preserve"> of receiving comments on draft report: (by </w:t>
                  </w:r>
                  <w:r w:rsidR="00093FF3">
                    <w:rPr>
                      <w:rFonts w:eastAsia="Calibri"/>
                      <w:sz w:val="20"/>
                      <w:szCs w:val="20"/>
                    </w:rPr>
                    <w:t>31st</w:t>
                  </w:r>
                  <w:r w:rsidR="005403EF" w:rsidRPr="00E84ECD">
                    <w:rPr>
                      <w:rFonts w:eastAsia="Calibri"/>
                      <w:sz w:val="20"/>
                      <w:szCs w:val="20"/>
                    </w:rPr>
                    <w:t>/0</w:t>
                  </w:r>
                  <w:r w:rsidR="00093FF3">
                    <w:rPr>
                      <w:rFonts w:eastAsia="Calibri"/>
                      <w:sz w:val="20"/>
                      <w:szCs w:val="20"/>
                    </w:rPr>
                    <w:t>5</w:t>
                  </w:r>
                  <w:r w:rsidR="005403EF" w:rsidRPr="00E84ECD">
                    <w:rPr>
                      <w:rFonts w:eastAsia="Calibri"/>
                      <w:sz w:val="20"/>
                      <w:szCs w:val="20"/>
                    </w:rPr>
                    <w:t>/2022</w:t>
                  </w:r>
                  <w:r w:rsidRPr="00E84ECD">
                    <w:rPr>
                      <w:rFonts w:eastAsia="Calibri"/>
                      <w:sz w:val="20"/>
                      <w:szCs w:val="20"/>
                    </w:rPr>
                    <w:t>)</w:t>
                  </w:r>
                </w:p>
              </w:tc>
              <w:tc>
                <w:tcPr>
                  <w:tcW w:w="2520" w:type="dxa"/>
                </w:tcPr>
                <w:p w14:paraId="5F43FB66" w14:textId="77777777" w:rsidR="00C85638" w:rsidRPr="00E84ECD" w:rsidRDefault="00C85638" w:rsidP="00C85638">
                  <w:pPr>
                    <w:rPr>
                      <w:rFonts w:eastAsia="Calibri"/>
                      <w:sz w:val="20"/>
                      <w:szCs w:val="20"/>
                    </w:rPr>
                  </w:pPr>
                  <w:r w:rsidRPr="00E84ECD">
                    <w:rPr>
                      <w:rFonts w:eastAsia="Calibri"/>
                      <w:sz w:val="20"/>
                      <w:szCs w:val="20"/>
                    </w:rPr>
                    <w:t>TE team submits both documents to the Commissioning Unit</w:t>
                  </w:r>
                </w:p>
              </w:tc>
            </w:tr>
          </w:tbl>
          <w:p w14:paraId="08F24166" w14:textId="2BA67DEF" w:rsidR="00C85638" w:rsidRDefault="00C85638" w:rsidP="009B1E96">
            <w:pPr>
              <w:spacing w:after="160" w:line="259" w:lineRule="auto"/>
              <w:jc w:val="both"/>
              <w:rPr>
                <w:rFonts w:asciiTheme="minorHAnsi" w:eastAsia="Calibri" w:hAnsiTheme="minorHAnsi" w:cstheme="minorHAnsi"/>
                <w:sz w:val="20"/>
                <w:szCs w:val="20"/>
              </w:rPr>
            </w:pPr>
          </w:p>
          <w:p w14:paraId="160C37FB" w14:textId="7D67E4B5" w:rsidR="00487704" w:rsidRPr="004F48C7" w:rsidRDefault="004F48C7" w:rsidP="004F48C7">
            <w:pPr>
              <w:jc w:val="both"/>
              <w:rPr>
                <w:rFonts w:ascii="Myriad Pro" w:hAnsi="Myriad Pro"/>
                <w:color w:val="000000"/>
              </w:rPr>
            </w:pPr>
            <w:r w:rsidRPr="00E84ECD">
              <w:rPr>
                <w:rFonts w:ascii="Calibri" w:eastAsia="Calibri" w:hAnsi="Calibri"/>
                <w:sz w:val="20"/>
                <w:szCs w:val="20"/>
              </w:rPr>
              <w:lastRenderedPageBreak/>
              <w:t>*All final TE reports will be quality assessed by the UNDP Independent Evaluation Office (IEO).  Details of the IEO’s quality assessment of decentralized evaluations can be found in Section 6 of the UNDP Evaluation Guidelines.</w:t>
            </w:r>
            <w:r w:rsidRPr="00E84ECD">
              <w:rPr>
                <w:rFonts w:ascii="Calibri" w:eastAsia="Calibri" w:hAnsi="Calibri"/>
                <w:sz w:val="20"/>
                <w:szCs w:val="20"/>
              </w:rPr>
              <w:footnoteReference w:id="3"/>
            </w:r>
          </w:p>
        </w:tc>
      </w:tr>
    </w:tbl>
    <w:p w14:paraId="160C37FD" w14:textId="77777777" w:rsidR="00487704" w:rsidRDefault="00487704" w:rsidP="00487704">
      <w:pPr>
        <w:pStyle w:val="ListParagraph"/>
        <w:tabs>
          <w:tab w:val="left" w:pos="360"/>
        </w:tabs>
        <w:ind w:left="360"/>
        <w:contextualSpacing/>
        <w:rPr>
          <w:rFonts w:asciiTheme="minorHAnsi" w:hAnsiTheme="minorHAnsi"/>
          <w:b/>
          <w:sz w:val="20"/>
          <w:szCs w:val="20"/>
        </w:rPr>
      </w:pPr>
    </w:p>
    <w:p w14:paraId="160C37FE" w14:textId="77777777" w:rsidR="00544223" w:rsidRDefault="00544223" w:rsidP="00544223">
      <w:pPr>
        <w:pStyle w:val="ListParagraph"/>
        <w:numPr>
          <w:ilvl w:val="0"/>
          <w:numId w:val="13"/>
        </w:numPr>
        <w:tabs>
          <w:tab w:val="left" w:pos="360"/>
        </w:tabs>
        <w:ind w:left="360"/>
        <w:contextualSpacing/>
        <w:rPr>
          <w:rFonts w:asciiTheme="minorHAnsi" w:hAnsiTheme="minorHAnsi"/>
          <w:b/>
          <w:sz w:val="20"/>
          <w:szCs w:val="20"/>
        </w:rPr>
      </w:pPr>
      <w:r w:rsidRPr="00544223">
        <w:rPr>
          <w:rFonts w:asciiTheme="minorHAnsi" w:hAnsiTheme="minorHAnsi"/>
          <w:b/>
          <w:sz w:val="20"/>
          <w:szCs w:val="20"/>
        </w:rPr>
        <w:t>Institutional arrangements/reporting lines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487704" w14:paraId="160C3803" w14:textId="77777777" w:rsidTr="00487704">
        <w:trPr>
          <w:trHeight w:val="585"/>
        </w:trPr>
        <w:tc>
          <w:tcPr>
            <w:tcW w:w="9489" w:type="dxa"/>
          </w:tcPr>
          <w:p w14:paraId="160C3802" w14:textId="446034FE" w:rsidR="000D75BF" w:rsidRPr="00587983" w:rsidRDefault="004F48C7" w:rsidP="00DC08F8">
            <w:pPr>
              <w:jc w:val="both"/>
              <w:rPr>
                <w:rFonts w:ascii="Calibri" w:eastAsia="Calibri" w:hAnsi="Calibri"/>
                <w:sz w:val="20"/>
                <w:szCs w:val="20"/>
              </w:rPr>
            </w:pPr>
            <w:r w:rsidRPr="00362D6E">
              <w:rPr>
                <w:rFonts w:ascii="Calibri" w:eastAsia="Calibri" w:hAnsi="Calibri"/>
                <w:sz w:val="20"/>
                <w:szCs w:val="20"/>
              </w:rPr>
              <w:t xml:space="preserve">The principal responsibility for managing the TE resides with the Commissioning Unit. The Commissioning Unit for this project’s TE is </w:t>
            </w:r>
            <w:r w:rsidR="006C67CF" w:rsidRPr="00362D6E">
              <w:rPr>
                <w:rFonts w:ascii="Calibri" w:eastAsia="Calibri" w:hAnsi="Calibri"/>
                <w:sz w:val="20"/>
                <w:szCs w:val="20"/>
              </w:rPr>
              <w:t xml:space="preserve">UNDP Guinea Bissau Country Office. UNDP </w:t>
            </w:r>
            <w:r w:rsidR="00362D6E" w:rsidRPr="00362D6E">
              <w:rPr>
                <w:rFonts w:ascii="Calibri" w:eastAsia="Calibri" w:hAnsi="Calibri"/>
                <w:sz w:val="20"/>
                <w:szCs w:val="20"/>
              </w:rPr>
              <w:t>Guinea</w:t>
            </w:r>
            <w:r w:rsidR="006C67CF" w:rsidRPr="00362D6E">
              <w:rPr>
                <w:rFonts w:ascii="Calibri" w:eastAsia="Calibri" w:hAnsi="Calibri"/>
                <w:sz w:val="20"/>
                <w:szCs w:val="20"/>
              </w:rPr>
              <w:t xml:space="preserve"> Bissau CO</w:t>
            </w:r>
            <w:r w:rsidRPr="00362D6E">
              <w:rPr>
                <w:rFonts w:ascii="Calibri" w:eastAsia="Calibri" w:hAnsi="Calibri"/>
                <w:sz w:val="20"/>
                <w:szCs w:val="20"/>
              </w:rPr>
              <w:t xml:space="preserve"> will contract the evaluator and ensure the timely provision of per diems</w:t>
            </w:r>
            <w:r w:rsidR="00720786">
              <w:rPr>
                <w:rFonts w:ascii="Calibri" w:eastAsia="Calibri" w:hAnsi="Calibri"/>
                <w:sz w:val="20"/>
                <w:szCs w:val="20"/>
              </w:rPr>
              <w:t xml:space="preserve">. </w:t>
            </w:r>
            <w:r w:rsidRPr="00362D6E">
              <w:rPr>
                <w:rFonts w:ascii="Calibri" w:eastAsia="Calibri" w:hAnsi="Calibri"/>
                <w:sz w:val="20"/>
                <w:szCs w:val="20"/>
              </w:rPr>
              <w:t xml:space="preserve"> </w:t>
            </w:r>
          </w:p>
        </w:tc>
      </w:tr>
    </w:tbl>
    <w:p w14:paraId="160C3804" w14:textId="77777777" w:rsidR="00487704" w:rsidRDefault="00487704" w:rsidP="00487704">
      <w:pPr>
        <w:pStyle w:val="ListParagraph"/>
        <w:tabs>
          <w:tab w:val="left" w:pos="360"/>
        </w:tabs>
        <w:ind w:left="360"/>
        <w:contextualSpacing/>
        <w:rPr>
          <w:rFonts w:asciiTheme="minorHAnsi" w:hAnsiTheme="minorHAnsi"/>
          <w:b/>
          <w:sz w:val="20"/>
          <w:szCs w:val="20"/>
        </w:rPr>
      </w:pPr>
    </w:p>
    <w:p w14:paraId="160C3805" w14:textId="77777777" w:rsidR="001666E6" w:rsidRPr="00E25EDF" w:rsidRDefault="00487704" w:rsidP="00AA31BD">
      <w:pPr>
        <w:pStyle w:val="ListParagraph"/>
        <w:numPr>
          <w:ilvl w:val="0"/>
          <w:numId w:val="13"/>
        </w:numPr>
        <w:tabs>
          <w:tab w:val="left" w:pos="360"/>
        </w:tabs>
        <w:ind w:left="360"/>
        <w:contextualSpacing/>
        <w:rPr>
          <w:rFonts w:asciiTheme="minorHAnsi" w:hAnsiTheme="minorHAnsi"/>
          <w:b/>
          <w:sz w:val="20"/>
          <w:szCs w:val="20"/>
        </w:rPr>
      </w:pPr>
      <w:r>
        <w:rPr>
          <w:rFonts w:asciiTheme="minorHAnsi" w:hAnsiTheme="minorHAnsi"/>
          <w:b/>
          <w:sz w:val="20"/>
          <w:szCs w:val="20"/>
        </w:rPr>
        <w:t>Experience and qualifications</w:t>
      </w:r>
    </w:p>
    <w:p w14:paraId="160C3806" w14:textId="77777777" w:rsidR="001666E6" w:rsidRPr="00E25EDF" w:rsidRDefault="001666E6" w:rsidP="00AA31B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160C380F" w14:textId="77777777" w:rsidTr="005843F5">
        <w:tc>
          <w:tcPr>
            <w:tcW w:w="9576" w:type="dxa"/>
            <w:shd w:val="clear" w:color="auto" w:fill="auto"/>
          </w:tcPr>
          <w:p w14:paraId="48A490CB" w14:textId="35A2C5FB" w:rsidR="00F670C2" w:rsidRPr="00362D6E" w:rsidRDefault="00F670C2" w:rsidP="00362D6E">
            <w:pPr>
              <w:spacing w:after="160" w:line="259" w:lineRule="auto"/>
              <w:contextualSpacing/>
              <w:jc w:val="both"/>
              <w:rPr>
                <w:b/>
                <w:bCs/>
                <w:sz w:val="20"/>
                <w:szCs w:val="20"/>
              </w:rPr>
            </w:pPr>
            <w:r w:rsidRPr="00362D6E">
              <w:rPr>
                <w:b/>
                <w:bCs/>
                <w:sz w:val="20"/>
                <w:szCs w:val="20"/>
              </w:rPr>
              <w:t>TE TEAM COMPOSITION</w:t>
            </w:r>
          </w:p>
          <w:p w14:paraId="409210CA" w14:textId="77777777" w:rsidR="00362D6E" w:rsidRPr="00362D6E" w:rsidRDefault="00362D6E" w:rsidP="00362D6E">
            <w:pPr>
              <w:spacing w:after="160" w:line="259" w:lineRule="auto"/>
              <w:contextualSpacing/>
              <w:jc w:val="both"/>
              <w:rPr>
                <w:sz w:val="20"/>
                <w:szCs w:val="20"/>
              </w:rPr>
            </w:pPr>
          </w:p>
          <w:p w14:paraId="229745AD" w14:textId="41822ADA" w:rsidR="00EC6AA2" w:rsidRDefault="00F670C2" w:rsidP="00F670C2">
            <w:pPr>
              <w:jc w:val="both"/>
              <w:rPr>
                <w:rFonts w:ascii="Calibri" w:eastAsia="Calibri" w:hAnsi="Calibri"/>
                <w:sz w:val="20"/>
                <w:szCs w:val="20"/>
              </w:rPr>
            </w:pPr>
            <w:r w:rsidRPr="00362D6E">
              <w:rPr>
                <w:rFonts w:ascii="Calibri" w:eastAsia="Calibri" w:hAnsi="Calibri"/>
                <w:sz w:val="20"/>
                <w:szCs w:val="20"/>
              </w:rPr>
              <w:t>A team of two independent evaluators will conduct the TE</w:t>
            </w:r>
            <w:r w:rsidR="00EC6AA2">
              <w:rPr>
                <w:rFonts w:ascii="Calibri" w:eastAsia="Calibri" w:hAnsi="Calibri"/>
                <w:sz w:val="20"/>
                <w:szCs w:val="20"/>
              </w:rPr>
              <w:t>. This includes</w:t>
            </w:r>
            <w:r w:rsidR="00E71056">
              <w:rPr>
                <w:rFonts w:ascii="Calibri" w:eastAsia="Calibri" w:hAnsi="Calibri"/>
                <w:sz w:val="20"/>
                <w:szCs w:val="20"/>
              </w:rPr>
              <w:t xml:space="preserve"> an international consultant </w:t>
            </w:r>
            <w:r w:rsidR="00960972">
              <w:rPr>
                <w:rFonts w:ascii="Calibri" w:eastAsia="Calibri" w:hAnsi="Calibri"/>
                <w:sz w:val="20"/>
                <w:szCs w:val="20"/>
              </w:rPr>
              <w:t>(team leader)</w:t>
            </w:r>
            <w:r w:rsidR="000B0EAF">
              <w:rPr>
                <w:rFonts w:ascii="Calibri" w:eastAsia="Calibri" w:hAnsi="Calibri"/>
                <w:sz w:val="20"/>
                <w:szCs w:val="20"/>
              </w:rPr>
              <w:t xml:space="preserve"> </w:t>
            </w:r>
            <w:r w:rsidR="00E71056">
              <w:rPr>
                <w:rFonts w:ascii="Calibri" w:eastAsia="Calibri" w:hAnsi="Calibri"/>
                <w:sz w:val="20"/>
                <w:szCs w:val="20"/>
              </w:rPr>
              <w:t>and a local consultant</w:t>
            </w:r>
            <w:r w:rsidR="00E7758D">
              <w:rPr>
                <w:rFonts w:ascii="Calibri" w:eastAsia="Calibri" w:hAnsi="Calibri"/>
                <w:sz w:val="20"/>
                <w:szCs w:val="20"/>
              </w:rPr>
              <w:t>.</w:t>
            </w:r>
            <w:r w:rsidR="004C7336">
              <w:rPr>
                <w:rFonts w:ascii="Calibri" w:eastAsia="Calibri" w:hAnsi="Calibri"/>
                <w:sz w:val="20"/>
                <w:szCs w:val="20"/>
              </w:rPr>
              <w:t xml:space="preserve"> </w:t>
            </w:r>
          </w:p>
          <w:p w14:paraId="39B2B307" w14:textId="77777777" w:rsidR="00A91D68" w:rsidRDefault="00A91D68" w:rsidP="00F670C2">
            <w:pPr>
              <w:jc w:val="both"/>
              <w:rPr>
                <w:rFonts w:ascii="Calibri" w:eastAsia="Calibri" w:hAnsi="Calibri"/>
                <w:sz w:val="20"/>
                <w:szCs w:val="20"/>
              </w:rPr>
            </w:pPr>
          </w:p>
          <w:p w14:paraId="39566228" w14:textId="462862F1" w:rsidR="00A91D68" w:rsidRDefault="00A91D68" w:rsidP="00F670C2">
            <w:pPr>
              <w:jc w:val="both"/>
              <w:rPr>
                <w:rFonts w:ascii="Calibri" w:eastAsia="Calibri" w:hAnsi="Calibri"/>
                <w:sz w:val="20"/>
                <w:szCs w:val="20"/>
              </w:rPr>
            </w:pPr>
            <w:r>
              <w:rPr>
                <w:rFonts w:ascii="Calibri" w:eastAsia="Calibri" w:hAnsi="Calibri" w:cs="Calibri"/>
                <w:sz w:val="20"/>
                <w:szCs w:val="20"/>
              </w:rPr>
              <w:t>T</w:t>
            </w:r>
            <w:r w:rsidRPr="0010200C">
              <w:rPr>
                <w:rFonts w:ascii="Calibri" w:eastAsia="Calibri" w:hAnsi="Calibri" w:cs="Calibri"/>
                <w:sz w:val="20"/>
                <w:szCs w:val="20"/>
              </w:rPr>
              <w:t xml:space="preserve">he </w:t>
            </w:r>
            <w:r w:rsidRPr="00C20D58">
              <w:rPr>
                <w:rFonts w:ascii="Calibri" w:eastAsia="Calibri" w:hAnsi="Calibri" w:cs="Calibri"/>
                <w:b/>
                <w:bCs/>
                <w:sz w:val="20"/>
                <w:szCs w:val="20"/>
              </w:rPr>
              <w:t>local consultant</w:t>
            </w:r>
            <w:r w:rsidRPr="009C1B91">
              <w:rPr>
                <w:rFonts w:ascii="Calibri" w:eastAsia="Calibri" w:hAnsi="Calibri" w:cs="Calibri"/>
                <w:sz w:val="20"/>
                <w:szCs w:val="20"/>
              </w:rPr>
              <w:t xml:space="preserve"> will serve as an Interlocator between the </w:t>
            </w:r>
            <w:r>
              <w:rPr>
                <w:rFonts w:ascii="Calibri" w:eastAsia="Calibri" w:hAnsi="Calibri" w:cs="Calibri"/>
                <w:sz w:val="20"/>
                <w:szCs w:val="20"/>
              </w:rPr>
              <w:t xml:space="preserve">project </w:t>
            </w:r>
            <w:r w:rsidRPr="009C1B91">
              <w:rPr>
                <w:rFonts w:ascii="Calibri" w:eastAsia="Calibri" w:hAnsi="Calibri" w:cs="Calibri"/>
                <w:sz w:val="20"/>
                <w:szCs w:val="20"/>
              </w:rPr>
              <w:t xml:space="preserve">stakeholders (national </w:t>
            </w:r>
            <w:proofErr w:type="gramStart"/>
            <w:r w:rsidRPr="009C1B91">
              <w:rPr>
                <w:rFonts w:ascii="Calibri" w:eastAsia="Calibri" w:hAnsi="Calibri" w:cs="Calibri"/>
                <w:sz w:val="20"/>
                <w:szCs w:val="20"/>
              </w:rPr>
              <w:t>project  implementation</w:t>
            </w:r>
            <w:proofErr w:type="gramEnd"/>
            <w:r w:rsidRPr="009C1B91">
              <w:rPr>
                <w:rFonts w:ascii="Calibri" w:eastAsia="Calibri" w:hAnsi="Calibri" w:cs="Calibri"/>
                <w:sz w:val="20"/>
                <w:szCs w:val="20"/>
              </w:rPr>
              <w:t xml:space="preserve"> partners and beneficiaries) and the international consultant (team leader). He</w:t>
            </w:r>
            <w:r>
              <w:rPr>
                <w:rFonts w:ascii="Calibri" w:eastAsia="Calibri" w:hAnsi="Calibri" w:cs="Calibri"/>
                <w:sz w:val="20"/>
                <w:szCs w:val="20"/>
              </w:rPr>
              <w:t>/she</w:t>
            </w:r>
            <w:r w:rsidRPr="009C1B91">
              <w:rPr>
                <w:rFonts w:ascii="Calibri" w:eastAsia="Calibri" w:hAnsi="Calibri" w:cs="Calibri"/>
                <w:sz w:val="20"/>
                <w:szCs w:val="20"/>
              </w:rPr>
              <w:t xml:space="preserve"> will </w:t>
            </w:r>
            <w:proofErr w:type="gramStart"/>
            <w:r w:rsidRPr="009C1B91">
              <w:rPr>
                <w:rFonts w:ascii="Calibri" w:eastAsia="Calibri" w:hAnsi="Calibri" w:cs="Calibri"/>
                <w:sz w:val="20"/>
                <w:szCs w:val="20"/>
              </w:rPr>
              <w:t>be in charge of</w:t>
            </w:r>
            <w:proofErr w:type="gramEnd"/>
            <w:r w:rsidRPr="009C1B91">
              <w:rPr>
                <w:rFonts w:ascii="Calibri" w:eastAsia="Calibri" w:hAnsi="Calibri" w:cs="Calibri"/>
                <w:sz w:val="20"/>
                <w:szCs w:val="20"/>
              </w:rPr>
              <w:t xml:space="preserve"> collecting secondary project information</w:t>
            </w:r>
            <w:r>
              <w:rPr>
                <w:rFonts w:ascii="Calibri" w:eastAsia="Calibri" w:hAnsi="Calibri" w:cs="Calibri"/>
                <w:sz w:val="20"/>
                <w:szCs w:val="20"/>
              </w:rPr>
              <w:t>, relevant documents</w:t>
            </w:r>
            <w:r w:rsidRPr="009C1B91">
              <w:rPr>
                <w:rFonts w:ascii="Calibri" w:eastAsia="Calibri" w:hAnsi="Calibri" w:cs="Calibri"/>
                <w:sz w:val="20"/>
                <w:szCs w:val="20"/>
              </w:rPr>
              <w:t xml:space="preserve"> and reports from the government </w:t>
            </w:r>
            <w:r>
              <w:rPr>
                <w:rFonts w:ascii="Calibri" w:eastAsia="Calibri" w:hAnsi="Calibri" w:cs="Calibri"/>
                <w:sz w:val="20"/>
                <w:szCs w:val="20"/>
              </w:rPr>
              <w:t xml:space="preserve">institutions </w:t>
            </w:r>
            <w:r w:rsidRPr="009C1B91">
              <w:rPr>
                <w:rFonts w:ascii="Calibri" w:eastAsia="Calibri" w:hAnsi="Calibri" w:cs="Calibri"/>
                <w:sz w:val="20"/>
                <w:szCs w:val="20"/>
              </w:rPr>
              <w:t>and the implementing partners. He</w:t>
            </w:r>
            <w:r>
              <w:rPr>
                <w:rFonts w:ascii="Calibri" w:eastAsia="Calibri" w:hAnsi="Calibri" w:cs="Calibri"/>
                <w:sz w:val="20"/>
                <w:szCs w:val="20"/>
              </w:rPr>
              <w:t>/she</w:t>
            </w:r>
            <w:r w:rsidRPr="009C1B91">
              <w:rPr>
                <w:rFonts w:ascii="Calibri" w:eastAsia="Calibri" w:hAnsi="Calibri" w:cs="Calibri"/>
                <w:sz w:val="20"/>
                <w:szCs w:val="20"/>
              </w:rPr>
              <w:t xml:space="preserve"> will participatorily and consultatively engage with the project team, government counterparts, </w:t>
            </w:r>
            <w:r w:rsidRPr="008F3354">
              <w:rPr>
                <w:rFonts w:ascii="Calibri" w:eastAsia="Calibri" w:hAnsi="Calibri" w:cs="Calibri"/>
                <w:sz w:val="20"/>
                <w:szCs w:val="20"/>
              </w:rPr>
              <w:t>Implementing Partners, the UNDP Country Office(s), the Regional Technical Advisor</w:t>
            </w:r>
            <w:r>
              <w:rPr>
                <w:rFonts w:ascii="Calibri" w:eastAsia="Calibri" w:hAnsi="Calibri" w:cs="Calibri"/>
                <w:sz w:val="20"/>
                <w:szCs w:val="20"/>
              </w:rPr>
              <w:t xml:space="preserve"> and</w:t>
            </w:r>
            <w:r w:rsidRPr="008F3354">
              <w:rPr>
                <w:rFonts w:ascii="Calibri" w:eastAsia="Calibri" w:hAnsi="Calibri" w:cs="Calibri"/>
                <w:sz w:val="20"/>
                <w:szCs w:val="20"/>
              </w:rPr>
              <w:t xml:space="preserve"> </w:t>
            </w:r>
            <w:r w:rsidRPr="009C1B91">
              <w:rPr>
                <w:rFonts w:ascii="Calibri" w:eastAsia="Calibri" w:hAnsi="Calibri" w:cs="Calibri"/>
                <w:sz w:val="20"/>
                <w:szCs w:val="20"/>
              </w:rPr>
              <w:t xml:space="preserve">direct beneficiaries all through the TE mission. </w:t>
            </w:r>
            <w:r>
              <w:rPr>
                <w:rFonts w:ascii="Calibri" w:eastAsia="Calibri" w:hAnsi="Calibri" w:cs="Calibri"/>
                <w:sz w:val="20"/>
                <w:szCs w:val="20"/>
              </w:rPr>
              <w:t>The local consultant</w:t>
            </w:r>
            <w:r w:rsidRPr="009C1B91">
              <w:rPr>
                <w:rFonts w:ascii="Calibri" w:eastAsia="Calibri" w:hAnsi="Calibri" w:cs="Calibri"/>
                <w:sz w:val="20"/>
                <w:szCs w:val="20"/>
              </w:rPr>
              <w:t xml:space="preserve"> will </w:t>
            </w:r>
            <w:r w:rsidRPr="00362D6E">
              <w:rPr>
                <w:rFonts w:ascii="Calibri" w:eastAsia="Calibri" w:hAnsi="Calibri"/>
                <w:sz w:val="20"/>
                <w:szCs w:val="20"/>
              </w:rPr>
              <w:t>set up stakeholder interviews and arrange field visits</w:t>
            </w:r>
            <w:r w:rsidRPr="009C1B91">
              <w:rPr>
                <w:rFonts w:ascii="Calibri" w:eastAsia="Calibri" w:hAnsi="Calibri" w:cs="Calibri"/>
                <w:sz w:val="20"/>
                <w:szCs w:val="20"/>
              </w:rPr>
              <w:t xml:space="preserve"> where necessary as instructed by the international consultant</w:t>
            </w:r>
            <w:r>
              <w:rPr>
                <w:rFonts w:ascii="Calibri" w:eastAsia="Calibri" w:hAnsi="Calibri" w:cs="Calibri"/>
                <w:sz w:val="20"/>
                <w:szCs w:val="20"/>
              </w:rPr>
              <w:t xml:space="preserve">; </w:t>
            </w:r>
            <w:r w:rsidRPr="009C1B91">
              <w:rPr>
                <w:rFonts w:ascii="Calibri" w:eastAsia="Calibri" w:hAnsi="Calibri" w:cs="Calibri"/>
                <w:sz w:val="20"/>
                <w:szCs w:val="20"/>
              </w:rPr>
              <w:t xml:space="preserve">organize and conduct </w:t>
            </w:r>
            <w:r w:rsidRPr="008F3354">
              <w:rPr>
                <w:rFonts w:ascii="Calibri" w:eastAsia="Calibri" w:hAnsi="Calibri" w:cs="Calibri"/>
                <w:sz w:val="20"/>
                <w:szCs w:val="20"/>
              </w:rPr>
              <w:t>consultations between the TE team and the above-mentioned parties regarding what is appropriate and feasible for meeting the TE purpose and objectives and answering the evaluation questions, given limitations of time and data</w:t>
            </w:r>
            <w:r>
              <w:rPr>
                <w:rFonts w:ascii="Calibri" w:eastAsia="Calibri" w:hAnsi="Calibri" w:cs="Calibri"/>
                <w:sz w:val="20"/>
                <w:szCs w:val="20"/>
              </w:rPr>
              <w:t xml:space="preserve">. </w:t>
            </w:r>
          </w:p>
          <w:p w14:paraId="73D83EE7" w14:textId="3DB7F79B" w:rsidR="00D918FD" w:rsidRDefault="00D918FD" w:rsidP="00F670C2">
            <w:pPr>
              <w:jc w:val="both"/>
              <w:rPr>
                <w:rFonts w:ascii="Calibri" w:eastAsia="Calibri" w:hAnsi="Calibri"/>
                <w:sz w:val="20"/>
                <w:szCs w:val="20"/>
              </w:rPr>
            </w:pPr>
          </w:p>
          <w:p w14:paraId="5F3C5A8A" w14:textId="54235633" w:rsidR="00F670C2" w:rsidRPr="00362D6E" w:rsidRDefault="00A12FE9" w:rsidP="00F670C2">
            <w:pPr>
              <w:jc w:val="both"/>
              <w:rPr>
                <w:rFonts w:ascii="Calibri" w:eastAsia="Calibri" w:hAnsi="Calibri"/>
                <w:sz w:val="20"/>
                <w:szCs w:val="20"/>
              </w:rPr>
            </w:pPr>
            <w:r>
              <w:rPr>
                <w:rFonts w:ascii="Calibri" w:eastAsia="Calibri" w:hAnsi="Calibri"/>
                <w:b/>
                <w:bCs/>
                <w:sz w:val="20"/>
                <w:szCs w:val="20"/>
              </w:rPr>
              <w:t xml:space="preserve">The </w:t>
            </w:r>
            <w:r w:rsidR="00F94153" w:rsidRPr="00DC08F8">
              <w:rPr>
                <w:rFonts w:ascii="Calibri" w:eastAsia="Calibri" w:hAnsi="Calibri"/>
                <w:b/>
                <w:bCs/>
                <w:sz w:val="20"/>
                <w:szCs w:val="20"/>
              </w:rPr>
              <w:t>international consultant</w:t>
            </w:r>
            <w:r>
              <w:rPr>
                <w:rFonts w:ascii="Calibri" w:eastAsia="Calibri" w:hAnsi="Calibri"/>
                <w:sz w:val="20"/>
                <w:szCs w:val="20"/>
              </w:rPr>
              <w:t xml:space="preserve"> </w:t>
            </w:r>
            <w:r w:rsidR="00285236">
              <w:rPr>
                <w:rFonts w:ascii="Calibri" w:eastAsia="Calibri" w:hAnsi="Calibri"/>
                <w:sz w:val="20"/>
                <w:szCs w:val="20"/>
              </w:rPr>
              <w:t>(</w:t>
            </w:r>
            <w:r w:rsidR="00D818B6">
              <w:rPr>
                <w:rFonts w:ascii="Calibri" w:eastAsia="Calibri" w:hAnsi="Calibri"/>
                <w:sz w:val="20"/>
                <w:szCs w:val="20"/>
              </w:rPr>
              <w:t>who</w:t>
            </w:r>
            <w:r w:rsidR="007401AE">
              <w:rPr>
                <w:rFonts w:ascii="Calibri" w:eastAsia="Calibri" w:hAnsi="Calibri"/>
                <w:sz w:val="20"/>
                <w:szCs w:val="20"/>
              </w:rPr>
              <w:t>’s services are requested through this TOR</w:t>
            </w:r>
            <w:r w:rsidR="00285236">
              <w:rPr>
                <w:rFonts w:ascii="Calibri" w:eastAsia="Calibri" w:hAnsi="Calibri"/>
                <w:sz w:val="20"/>
                <w:szCs w:val="20"/>
              </w:rPr>
              <w:t>)</w:t>
            </w:r>
            <w:r w:rsidR="007401AE">
              <w:rPr>
                <w:rFonts w:ascii="Calibri" w:eastAsia="Calibri" w:hAnsi="Calibri"/>
                <w:sz w:val="20"/>
                <w:szCs w:val="20"/>
              </w:rPr>
              <w:t>,</w:t>
            </w:r>
            <w:r>
              <w:rPr>
                <w:rFonts w:ascii="Calibri" w:eastAsia="Calibri" w:hAnsi="Calibri"/>
                <w:sz w:val="20"/>
                <w:szCs w:val="20"/>
              </w:rPr>
              <w:t xml:space="preserve"> will play the role of the </w:t>
            </w:r>
            <w:r w:rsidR="00E45D28">
              <w:rPr>
                <w:rFonts w:ascii="Calibri" w:eastAsia="Calibri" w:hAnsi="Calibri"/>
                <w:sz w:val="20"/>
                <w:szCs w:val="20"/>
              </w:rPr>
              <w:t xml:space="preserve">team </w:t>
            </w:r>
            <w:proofErr w:type="gramStart"/>
            <w:r w:rsidR="00E45D28">
              <w:rPr>
                <w:rFonts w:ascii="Calibri" w:eastAsia="Calibri" w:hAnsi="Calibri"/>
                <w:sz w:val="20"/>
                <w:szCs w:val="20"/>
              </w:rPr>
              <w:t>leader</w:t>
            </w:r>
            <w:proofErr w:type="gramEnd"/>
            <w:r w:rsidR="00E7758D">
              <w:rPr>
                <w:rFonts w:ascii="Calibri" w:eastAsia="Calibri" w:hAnsi="Calibri"/>
                <w:sz w:val="20"/>
                <w:szCs w:val="20"/>
              </w:rPr>
              <w:t xml:space="preserve"> </w:t>
            </w:r>
            <w:r w:rsidR="00C14EA7">
              <w:rPr>
                <w:rFonts w:ascii="Calibri" w:eastAsia="Calibri" w:hAnsi="Calibri"/>
                <w:sz w:val="20"/>
                <w:szCs w:val="20"/>
              </w:rPr>
              <w:t xml:space="preserve">and </w:t>
            </w:r>
            <w:r w:rsidR="00E45D28">
              <w:rPr>
                <w:rFonts w:ascii="Calibri" w:eastAsia="Calibri" w:hAnsi="Calibri"/>
                <w:sz w:val="20"/>
                <w:szCs w:val="20"/>
              </w:rPr>
              <w:t>should have</w:t>
            </w:r>
            <w:r w:rsidR="00E7758D">
              <w:rPr>
                <w:rFonts w:ascii="Calibri" w:eastAsia="Calibri" w:hAnsi="Calibri"/>
                <w:sz w:val="20"/>
                <w:szCs w:val="20"/>
              </w:rPr>
              <w:t xml:space="preserve"> </w:t>
            </w:r>
            <w:r w:rsidR="00F670C2" w:rsidRPr="00362D6E">
              <w:rPr>
                <w:rFonts w:ascii="Calibri" w:eastAsia="Calibri" w:hAnsi="Calibri"/>
                <w:sz w:val="20"/>
                <w:szCs w:val="20"/>
              </w:rPr>
              <w:t xml:space="preserve">experience and exposure to projects and evaluations in </w:t>
            </w:r>
            <w:r w:rsidR="00203752">
              <w:rPr>
                <w:rFonts w:ascii="Calibri" w:eastAsia="Calibri" w:hAnsi="Calibri"/>
                <w:sz w:val="20"/>
                <w:szCs w:val="20"/>
              </w:rPr>
              <w:t>the</w:t>
            </w:r>
            <w:r w:rsidR="00F670C2" w:rsidRPr="00362D6E">
              <w:rPr>
                <w:rFonts w:ascii="Calibri" w:eastAsia="Calibri" w:hAnsi="Calibri"/>
                <w:sz w:val="20"/>
                <w:szCs w:val="20"/>
              </w:rPr>
              <w:t xml:space="preserve"> </w:t>
            </w:r>
            <w:r w:rsidR="00625EC7">
              <w:rPr>
                <w:rFonts w:ascii="Calibri" w:eastAsia="Calibri" w:hAnsi="Calibri"/>
                <w:sz w:val="20"/>
                <w:szCs w:val="20"/>
              </w:rPr>
              <w:t xml:space="preserve">west African </w:t>
            </w:r>
            <w:r w:rsidR="00F670C2" w:rsidRPr="00362D6E">
              <w:rPr>
                <w:rFonts w:ascii="Calibri" w:eastAsia="Calibri" w:hAnsi="Calibri"/>
                <w:sz w:val="20"/>
                <w:szCs w:val="20"/>
              </w:rPr>
              <w:t>region</w:t>
            </w:r>
            <w:r w:rsidR="002276D7">
              <w:rPr>
                <w:rFonts w:ascii="Calibri" w:eastAsia="Calibri" w:hAnsi="Calibri"/>
                <w:sz w:val="20"/>
                <w:szCs w:val="20"/>
              </w:rPr>
              <w:t xml:space="preserve">. </w:t>
            </w:r>
            <w:r w:rsidR="00F670C2" w:rsidRPr="00362D6E">
              <w:rPr>
                <w:rFonts w:ascii="Calibri" w:eastAsia="Calibri" w:hAnsi="Calibri"/>
                <w:sz w:val="20"/>
                <w:szCs w:val="20"/>
              </w:rPr>
              <w:t xml:space="preserve"> </w:t>
            </w:r>
            <w:r w:rsidR="000E6CBA">
              <w:rPr>
                <w:rFonts w:ascii="Calibri" w:eastAsia="Calibri" w:hAnsi="Calibri"/>
                <w:sz w:val="20"/>
                <w:szCs w:val="20"/>
              </w:rPr>
              <w:t xml:space="preserve">The team leader </w:t>
            </w:r>
            <w:r w:rsidR="00353111">
              <w:rPr>
                <w:rFonts w:ascii="Calibri" w:eastAsia="Calibri" w:hAnsi="Calibri"/>
                <w:sz w:val="20"/>
                <w:szCs w:val="20"/>
              </w:rPr>
              <w:t>will work remotely</w:t>
            </w:r>
            <w:r w:rsidR="00D6570A">
              <w:rPr>
                <w:rFonts w:ascii="Calibri" w:eastAsia="Calibri" w:hAnsi="Calibri"/>
                <w:sz w:val="20"/>
                <w:szCs w:val="20"/>
              </w:rPr>
              <w:t xml:space="preserve"> </w:t>
            </w:r>
            <w:r w:rsidR="00760EF4">
              <w:rPr>
                <w:rFonts w:ascii="Calibri" w:eastAsia="Calibri" w:hAnsi="Calibri"/>
                <w:sz w:val="20"/>
                <w:szCs w:val="20"/>
              </w:rPr>
              <w:t>and in clos</w:t>
            </w:r>
            <w:r w:rsidR="00D6570A">
              <w:rPr>
                <w:rFonts w:ascii="Calibri" w:eastAsia="Calibri" w:hAnsi="Calibri"/>
                <w:sz w:val="20"/>
                <w:szCs w:val="20"/>
              </w:rPr>
              <w:t>e collaboration with the local consultant as</w:t>
            </w:r>
            <w:r w:rsidR="00F7539B">
              <w:rPr>
                <w:rFonts w:ascii="Calibri" w:eastAsia="Calibri" w:hAnsi="Calibri"/>
                <w:sz w:val="20"/>
                <w:szCs w:val="20"/>
              </w:rPr>
              <w:t xml:space="preserve"> a TE </w:t>
            </w:r>
            <w:r w:rsidR="00D6570A">
              <w:rPr>
                <w:rFonts w:ascii="Calibri" w:eastAsia="Calibri" w:hAnsi="Calibri"/>
                <w:sz w:val="20"/>
                <w:szCs w:val="20"/>
              </w:rPr>
              <w:t>team</w:t>
            </w:r>
            <w:r w:rsidR="00BE3628">
              <w:rPr>
                <w:rFonts w:ascii="Calibri" w:eastAsia="Calibri" w:hAnsi="Calibri"/>
                <w:sz w:val="20"/>
                <w:szCs w:val="20"/>
              </w:rPr>
              <w:t>.</w:t>
            </w:r>
            <w:r w:rsidR="00353111">
              <w:rPr>
                <w:rFonts w:ascii="Calibri" w:eastAsia="Calibri" w:hAnsi="Calibri"/>
                <w:sz w:val="20"/>
                <w:szCs w:val="20"/>
              </w:rPr>
              <w:t xml:space="preserve"> </w:t>
            </w:r>
            <w:r w:rsidR="00F670C2" w:rsidRPr="00362D6E">
              <w:rPr>
                <w:rFonts w:ascii="Calibri" w:eastAsia="Calibri" w:hAnsi="Calibri"/>
                <w:sz w:val="20"/>
                <w:szCs w:val="20"/>
              </w:rPr>
              <w:t xml:space="preserve">The team </w:t>
            </w:r>
            <w:r w:rsidR="00203752">
              <w:rPr>
                <w:rFonts w:ascii="Calibri" w:eastAsia="Calibri" w:hAnsi="Calibri"/>
                <w:sz w:val="20"/>
                <w:szCs w:val="20"/>
              </w:rPr>
              <w:t>leader</w:t>
            </w:r>
            <w:r w:rsidR="00F670C2" w:rsidRPr="00362D6E">
              <w:rPr>
                <w:rFonts w:ascii="Calibri" w:eastAsia="Calibri" w:hAnsi="Calibri"/>
                <w:sz w:val="20"/>
                <w:szCs w:val="20"/>
              </w:rPr>
              <w:t xml:space="preserve"> </w:t>
            </w:r>
            <w:r w:rsidR="00872705" w:rsidRPr="00362D6E">
              <w:rPr>
                <w:rFonts w:ascii="Calibri" w:eastAsia="Calibri" w:hAnsi="Calibri"/>
                <w:sz w:val="20"/>
                <w:szCs w:val="20"/>
              </w:rPr>
              <w:t>will be responsible for the overall design and writing of the TE report</w:t>
            </w:r>
            <w:r w:rsidR="00872705">
              <w:rPr>
                <w:rFonts w:ascii="Calibri" w:eastAsia="Calibri" w:hAnsi="Calibri"/>
                <w:sz w:val="20"/>
                <w:szCs w:val="20"/>
              </w:rPr>
              <w:t xml:space="preserve"> and</w:t>
            </w:r>
            <w:r w:rsidR="00872705" w:rsidRPr="00362D6E">
              <w:rPr>
                <w:rFonts w:ascii="Calibri" w:eastAsia="Calibri" w:hAnsi="Calibri"/>
                <w:sz w:val="20"/>
                <w:szCs w:val="20"/>
              </w:rPr>
              <w:t xml:space="preserve"> </w:t>
            </w:r>
            <w:r w:rsidR="00F670C2" w:rsidRPr="00362D6E">
              <w:rPr>
                <w:rFonts w:ascii="Calibri" w:eastAsia="Calibri" w:hAnsi="Calibri"/>
                <w:sz w:val="20"/>
                <w:szCs w:val="20"/>
              </w:rPr>
              <w:t xml:space="preserve">will assess emerging trends with respect to regulatory frameworks, budget allocations, capacity building, work with the </w:t>
            </w:r>
            <w:r w:rsidR="007D3EFC">
              <w:rPr>
                <w:rFonts w:ascii="Calibri" w:eastAsia="Calibri" w:hAnsi="Calibri"/>
                <w:sz w:val="20"/>
                <w:szCs w:val="20"/>
              </w:rPr>
              <w:t>local consu</w:t>
            </w:r>
            <w:r w:rsidR="00C14D89">
              <w:rPr>
                <w:rFonts w:ascii="Calibri" w:eastAsia="Calibri" w:hAnsi="Calibri"/>
                <w:sz w:val="20"/>
                <w:szCs w:val="20"/>
              </w:rPr>
              <w:t>l</w:t>
            </w:r>
            <w:r w:rsidR="007D3EFC">
              <w:rPr>
                <w:rFonts w:ascii="Calibri" w:eastAsia="Calibri" w:hAnsi="Calibri"/>
                <w:sz w:val="20"/>
                <w:szCs w:val="20"/>
              </w:rPr>
              <w:t>tant</w:t>
            </w:r>
            <w:r w:rsidR="00F670C2" w:rsidRPr="00362D6E">
              <w:rPr>
                <w:rFonts w:ascii="Calibri" w:eastAsia="Calibri" w:hAnsi="Calibri"/>
                <w:sz w:val="20"/>
                <w:szCs w:val="20"/>
              </w:rPr>
              <w:t xml:space="preserve"> in developing the TE itinerary</w:t>
            </w:r>
            <w:r w:rsidR="004E395F" w:rsidRPr="00362D6E">
              <w:rPr>
                <w:rFonts w:ascii="Calibri" w:eastAsia="Calibri" w:hAnsi="Calibri"/>
                <w:sz w:val="20"/>
                <w:szCs w:val="20"/>
              </w:rPr>
              <w:t>.</w:t>
            </w:r>
          </w:p>
          <w:p w14:paraId="6E413478" w14:textId="5B587BAE" w:rsidR="00F670C2" w:rsidRPr="00362D6E" w:rsidRDefault="00F670C2" w:rsidP="00F670C2">
            <w:pPr>
              <w:jc w:val="both"/>
              <w:rPr>
                <w:rFonts w:ascii="Calibri" w:eastAsia="Calibri" w:hAnsi="Calibri"/>
                <w:sz w:val="20"/>
                <w:szCs w:val="20"/>
              </w:rPr>
            </w:pPr>
            <w:r w:rsidRPr="00362D6E">
              <w:rPr>
                <w:rFonts w:ascii="Calibri" w:eastAsia="Calibri" w:hAnsi="Calibri"/>
                <w:sz w:val="20"/>
                <w:szCs w:val="20"/>
              </w:rPr>
              <w:t>The evaluator cannot have participated in the project preparation, formulation and/or implementation (including the writing of the project document), must not have conducted this project’s Mid-Term Review and should not have a conflict of interest with the project’s related activities.</w:t>
            </w:r>
            <w:r w:rsidR="00D326B5">
              <w:rPr>
                <w:rFonts w:ascii="Calibri" w:eastAsia="Calibri" w:hAnsi="Calibri"/>
                <w:sz w:val="20"/>
                <w:szCs w:val="20"/>
              </w:rPr>
              <w:t xml:space="preserve"> </w:t>
            </w:r>
            <w:r w:rsidRPr="00362D6E">
              <w:rPr>
                <w:rFonts w:ascii="Calibri" w:eastAsia="Calibri" w:hAnsi="Calibri"/>
                <w:sz w:val="20"/>
                <w:szCs w:val="20"/>
              </w:rPr>
              <w:t xml:space="preserve">The selection of </w:t>
            </w:r>
            <w:r w:rsidR="00343DB5">
              <w:rPr>
                <w:rFonts w:ascii="Calibri" w:eastAsia="Calibri" w:hAnsi="Calibri"/>
                <w:sz w:val="20"/>
                <w:szCs w:val="20"/>
              </w:rPr>
              <w:t xml:space="preserve">the </w:t>
            </w:r>
            <w:r w:rsidRPr="00362D6E">
              <w:rPr>
                <w:rFonts w:ascii="Calibri" w:eastAsia="Calibri" w:hAnsi="Calibri"/>
                <w:sz w:val="20"/>
                <w:szCs w:val="20"/>
              </w:rPr>
              <w:t xml:space="preserve">evaluator will be aimed at maximizing the overall “team” qualities </w:t>
            </w:r>
            <w:r w:rsidR="004E395F" w:rsidRPr="00362D6E">
              <w:rPr>
                <w:rFonts w:ascii="Calibri" w:eastAsia="Calibri" w:hAnsi="Calibri"/>
                <w:sz w:val="20"/>
                <w:szCs w:val="20"/>
              </w:rPr>
              <w:t xml:space="preserve">and performances. </w:t>
            </w:r>
            <w:r w:rsidRPr="00362D6E">
              <w:rPr>
                <w:rFonts w:ascii="Calibri" w:eastAsia="Calibri" w:hAnsi="Calibri"/>
                <w:sz w:val="20"/>
                <w:szCs w:val="20"/>
              </w:rPr>
              <w:t xml:space="preserve"> </w:t>
            </w:r>
            <w:r w:rsidR="00362D6E">
              <w:rPr>
                <w:rFonts w:ascii="Calibri" w:eastAsia="Calibri" w:hAnsi="Calibri"/>
                <w:sz w:val="20"/>
                <w:szCs w:val="20"/>
              </w:rPr>
              <w:t>The following will be considered in selection of the candidate:</w:t>
            </w:r>
          </w:p>
          <w:p w14:paraId="7DB5F5D3" w14:textId="77777777" w:rsidR="00F670C2" w:rsidRPr="00362D6E" w:rsidRDefault="00F670C2" w:rsidP="00402D4B">
            <w:pPr>
              <w:jc w:val="both"/>
              <w:rPr>
                <w:rFonts w:ascii="Calibri" w:eastAsia="Calibri" w:hAnsi="Calibri"/>
                <w:sz w:val="20"/>
                <w:szCs w:val="20"/>
              </w:rPr>
            </w:pPr>
          </w:p>
          <w:p w14:paraId="0E093DF6" w14:textId="664B9C3E" w:rsidR="00144CAA" w:rsidRPr="00144CAA" w:rsidRDefault="00E25EDF" w:rsidP="00402D4B">
            <w:pPr>
              <w:jc w:val="both"/>
              <w:rPr>
                <w:rFonts w:asciiTheme="minorHAnsi" w:hAnsiTheme="minorHAnsi" w:cs="Arial"/>
                <w:sz w:val="20"/>
                <w:szCs w:val="20"/>
                <w:u w:val="single"/>
              </w:rPr>
            </w:pPr>
            <w:r w:rsidRPr="00E25EDF">
              <w:rPr>
                <w:rFonts w:asciiTheme="minorHAnsi" w:hAnsiTheme="minorHAnsi" w:cs="Arial"/>
                <w:sz w:val="20"/>
                <w:szCs w:val="20"/>
                <w:u w:val="single"/>
              </w:rPr>
              <w:t>I. Academic Qualifications:</w:t>
            </w:r>
          </w:p>
          <w:p w14:paraId="139ACD8D" w14:textId="0E4A1276" w:rsidR="00144CAA" w:rsidRPr="00144CAA" w:rsidRDefault="00144CAA" w:rsidP="00BB63E9">
            <w:pPr>
              <w:numPr>
                <w:ilvl w:val="0"/>
                <w:numId w:val="31"/>
              </w:numPr>
              <w:spacing w:after="160" w:line="259" w:lineRule="auto"/>
              <w:contextualSpacing/>
              <w:jc w:val="both"/>
              <w:rPr>
                <w:rFonts w:ascii="Calibri" w:eastAsia="Calibri" w:hAnsi="Calibri"/>
                <w:sz w:val="20"/>
                <w:szCs w:val="20"/>
              </w:rPr>
            </w:pPr>
            <w:r w:rsidRPr="00144CAA">
              <w:rPr>
                <w:rFonts w:ascii="Calibri" w:eastAsia="Calibri" w:hAnsi="Calibri"/>
                <w:sz w:val="20"/>
                <w:szCs w:val="20"/>
              </w:rPr>
              <w:t xml:space="preserve">Master’s degree in economics, </w:t>
            </w:r>
            <w:r w:rsidR="00D21439" w:rsidRPr="00401EA9">
              <w:rPr>
                <w:rFonts w:ascii="Calibri" w:eastAsia="Calibri" w:hAnsi="Calibri"/>
                <w:sz w:val="20"/>
                <w:szCs w:val="20"/>
              </w:rPr>
              <w:t xml:space="preserve">natural resource </w:t>
            </w:r>
            <w:r w:rsidRPr="00144CAA">
              <w:rPr>
                <w:rFonts w:ascii="Calibri" w:eastAsia="Calibri" w:hAnsi="Calibri"/>
                <w:sz w:val="20"/>
                <w:szCs w:val="20"/>
              </w:rPr>
              <w:t xml:space="preserve">management, development studies and other similar areas </w:t>
            </w:r>
          </w:p>
          <w:p w14:paraId="34CC6321" w14:textId="77777777" w:rsidR="00144CAA" w:rsidRPr="00144CAA" w:rsidRDefault="00144CAA" w:rsidP="00BB63E9">
            <w:pPr>
              <w:numPr>
                <w:ilvl w:val="0"/>
                <w:numId w:val="31"/>
              </w:numPr>
              <w:spacing w:after="160" w:line="259" w:lineRule="auto"/>
              <w:contextualSpacing/>
              <w:jc w:val="both"/>
              <w:rPr>
                <w:rFonts w:ascii="Calibri" w:eastAsia="Calibri" w:hAnsi="Calibri"/>
                <w:sz w:val="20"/>
                <w:szCs w:val="20"/>
              </w:rPr>
            </w:pPr>
            <w:r w:rsidRPr="00144CAA">
              <w:rPr>
                <w:rFonts w:ascii="Calibri" w:eastAsia="Calibri" w:hAnsi="Calibri"/>
                <w:sz w:val="20"/>
                <w:szCs w:val="20"/>
              </w:rPr>
              <w:t xml:space="preserve">Certification in Evaluation is </w:t>
            </w:r>
            <w:proofErr w:type="gramStart"/>
            <w:r w:rsidRPr="00144CAA">
              <w:rPr>
                <w:rFonts w:ascii="Calibri" w:eastAsia="Calibri" w:hAnsi="Calibri"/>
                <w:sz w:val="20"/>
                <w:szCs w:val="20"/>
              </w:rPr>
              <w:t>desirable;</w:t>
            </w:r>
            <w:proofErr w:type="gramEnd"/>
          </w:p>
          <w:p w14:paraId="77A273A4" w14:textId="77777777" w:rsidR="00144CAA" w:rsidRPr="00401EA9" w:rsidRDefault="00144CAA" w:rsidP="00EE61E1">
            <w:pPr>
              <w:rPr>
                <w:rFonts w:asciiTheme="minorHAnsi" w:hAnsiTheme="minorHAnsi" w:cs="Arial"/>
                <w:sz w:val="20"/>
                <w:szCs w:val="20"/>
              </w:rPr>
            </w:pPr>
          </w:p>
          <w:p w14:paraId="719F05DE" w14:textId="18E7F527" w:rsidR="00A023D5" w:rsidRPr="003A0C46" w:rsidRDefault="00E25EDF" w:rsidP="00D96C0B">
            <w:pPr>
              <w:jc w:val="both"/>
              <w:rPr>
                <w:sz w:val="20"/>
                <w:szCs w:val="20"/>
              </w:rPr>
            </w:pPr>
            <w:r w:rsidRPr="00401EA9">
              <w:rPr>
                <w:rFonts w:asciiTheme="minorHAnsi" w:hAnsiTheme="minorHAnsi" w:cs="Arial"/>
                <w:sz w:val="20"/>
                <w:szCs w:val="20"/>
                <w:u w:val="single"/>
              </w:rPr>
              <w:t>II. Years of experience:</w:t>
            </w:r>
          </w:p>
          <w:p w14:paraId="6C870AF3" w14:textId="02199D73" w:rsidR="00BB63E9" w:rsidRPr="00983E4B" w:rsidRDefault="00A023D5" w:rsidP="00BB63E9">
            <w:pPr>
              <w:pStyle w:val="ListParagraph"/>
              <w:numPr>
                <w:ilvl w:val="0"/>
                <w:numId w:val="31"/>
              </w:numPr>
              <w:spacing w:after="160" w:line="259" w:lineRule="auto"/>
              <w:contextualSpacing/>
              <w:rPr>
                <w:sz w:val="20"/>
                <w:szCs w:val="20"/>
              </w:rPr>
            </w:pPr>
            <w:r>
              <w:rPr>
                <w:sz w:val="20"/>
                <w:szCs w:val="20"/>
              </w:rPr>
              <w:t>5 years of r</w:t>
            </w:r>
            <w:r w:rsidR="00BB63E9" w:rsidRPr="00983E4B">
              <w:rPr>
                <w:sz w:val="20"/>
                <w:szCs w:val="20"/>
              </w:rPr>
              <w:t xml:space="preserve">elevant experience with results-based management evaluation </w:t>
            </w:r>
            <w:proofErr w:type="gramStart"/>
            <w:r w:rsidR="00BB63E9" w:rsidRPr="00983E4B">
              <w:rPr>
                <w:sz w:val="20"/>
                <w:szCs w:val="20"/>
              </w:rPr>
              <w:t>methodologies;</w:t>
            </w:r>
            <w:proofErr w:type="gramEnd"/>
          </w:p>
          <w:p w14:paraId="13BBF208" w14:textId="2BB9FAE1" w:rsidR="00BB63E9" w:rsidRPr="00983E4B" w:rsidRDefault="00A023D5" w:rsidP="00BB63E9">
            <w:pPr>
              <w:pStyle w:val="ListParagraph"/>
              <w:numPr>
                <w:ilvl w:val="0"/>
                <w:numId w:val="31"/>
              </w:numPr>
              <w:spacing w:after="160" w:line="259" w:lineRule="auto"/>
              <w:contextualSpacing/>
              <w:rPr>
                <w:sz w:val="20"/>
                <w:szCs w:val="20"/>
              </w:rPr>
            </w:pPr>
            <w:r>
              <w:rPr>
                <w:sz w:val="20"/>
                <w:szCs w:val="20"/>
              </w:rPr>
              <w:t xml:space="preserve">5 years of </w:t>
            </w:r>
            <w:r w:rsidR="002F07B9">
              <w:rPr>
                <w:sz w:val="20"/>
                <w:szCs w:val="20"/>
              </w:rPr>
              <w:t>e</w:t>
            </w:r>
            <w:r w:rsidR="00BB63E9" w:rsidRPr="00983E4B">
              <w:rPr>
                <w:sz w:val="20"/>
                <w:szCs w:val="20"/>
              </w:rPr>
              <w:t xml:space="preserve">xperience applying SMART indicators and reconstructing or validating baseline </w:t>
            </w:r>
            <w:proofErr w:type="gramStart"/>
            <w:r w:rsidR="00BB63E9" w:rsidRPr="00983E4B">
              <w:rPr>
                <w:sz w:val="20"/>
                <w:szCs w:val="20"/>
              </w:rPr>
              <w:t>scenarios;</w:t>
            </w:r>
            <w:proofErr w:type="gramEnd"/>
          </w:p>
          <w:p w14:paraId="5163E4C9" w14:textId="54DD8311" w:rsidR="00BB63E9" w:rsidRPr="008D25F1" w:rsidRDefault="00A023D5" w:rsidP="008D25F1">
            <w:pPr>
              <w:pStyle w:val="ListParagraph"/>
              <w:numPr>
                <w:ilvl w:val="0"/>
                <w:numId w:val="31"/>
              </w:numPr>
              <w:spacing w:after="160" w:line="259" w:lineRule="auto"/>
              <w:contextualSpacing/>
              <w:rPr>
                <w:sz w:val="20"/>
                <w:szCs w:val="20"/>
              </w:rPr>
            </w:pPr>
            <w:r>
              <w:rPr>
                <w:sz w:val="20"/>
                <w:szCs w:val="20"/>
              </w:rPr>
              <w:t xml:space="preserve">5 years of </w:t>
            </w:r>
            <w:r w:rsidR="00446642">
              <w:rPr>
                <w:sz w:val="20"/>
                <w:szCs w:val="20"/>
              </w:rPr>
              <w:t>e</w:t>
            </w:r>
            <w:r w:rsidR="00BB63E9" w:rsidRPr="00983E4B">
              <w:rPr>
                <w:sz w:val="20"/>
                <w:szCs w:val="20"/>
              </w:rPr>
              <w:t>xperience in evaluating projects</w:t>
            </w:r>
            <w:r>
              <w:rPr>
                <w:sz w:val="20"/>
                <w:szCs w:val="20"/>
              </w:rPr>
              <w:t xml:space="preserve"> </w:t>
            </w:r>
            <w:r w:rsidR="007850CF">
              <w:rPr>
                <w:sz w:val="20"/>
                <w:szCs w:val="20"/>
              </w:rPr>
              <w:t>preferably</w:t>
            </w:r>
            <w:r>
              <w:rPr>
                <w:sz w:val="20"/>
                <w:szCs w:val="20"/>
              </w:rPr>
              <w:t xml:space="preserve"> GEF projects</w:t>
            </w:r>
            <w:r w:rsidR="00BB63E9" w:rsidRPr="00983E4B">
              <w:rPr>
                <w:sz w:val="20"/>
                <w:szCs w:val="20"/>
              </w:rPr>
              <w:t>;</w:t>
            </w:r>
            <w:r w:rsidRPr="00983E4B">
              <w:rPr>
                <w:sz w:val="20"/>
                <w:szCs w:val="20"/>
              </w:rPr>
              <w:t xml:space="preserve"> Competence in adaptive management, as applied to GEF </w:t>
            </w:r>
            <w:r>
              <w:rPr>
                <w:sz w:val="20"/>
                <w:szCs w:val="20"/>
              </w:rPr>
              <w:t>M</w:t>
            </w:r>
            <w:r w:rsidRPr="00983E4B">
              <w:rPr>
                <w:sz w:val="20"/>
                <w:szCs w:val="20"/>
              </w:rPr>
              <w:t>ultifocal Area</w:t>
            </w:r>
            <w:proofErr w:type="gramStart"/>
            <w:r w:rsidRPr="00983E4B">
              <w:rPr>
                <w:sz w:val="20"/>
                <w:szCs w:val="20"/>
              </w:rPr>
              <w:t>);</w:t>
            </w:r>
            <w:proofErr w:type="gramEnd"/>
          </w:p>
          <w:p w14:paraId="004CCE36" w14:textId="73A5AEA5" w:rsidR="00BB63E9" w:rsidRPr="00983E4B" w:rsidRDefault="00A023D5" w:rsidP="00BB63E9">
            <w:pPr>
              <w:pStyle w:val="ListParagraph"/>
              <w:numPr>
                <w:ilvl w:val="0"/>
                <w:numId w:val="31"/>
              </w:numPr>
              <w:spacing w:after="160" w:line="259" w:lineRule="auto"/>
              <w:contextualSpacing/>
              <w:rPr>
                <w:sz w:val="20"/>
                <w:szCs w:val="20"/>
              </w:rPr>
            </w:pPr>
            <w:r>
              <w:rPr>
                <w:sz w:val="20"/>
                <w:szCs w:val="20"/>
              </w:rPr>
              <w:t xml:space="preserve">2 years of </w:t>
            </w:r>
            <w:r w:rsidR="00015484">
              <w:rPr>
                <w:sz w:val="20"/>
                <w:szCs w:val="20"/>
              </w:rPr>
              <w:t>e</w:t>
            </w:r>
            <w:r w:rsidR="00BB63E9" w:rsidRPr="00983E4B">
              <w:rPr>
                <w:sz w:val="20"/>
                <w:szCs w:val="20"/>
              </w:rPr>
              <w:t xml:space="preserve">xperience working in </w:t>
            </w:r>
            <w:r w:rsidR="003F7842" w:rsidRPr="00983E4B">
              <w:rPr>
                <w:sz w:val="20"/>
                <w:szCs w:val="20"/>
              </w:rPr>
              <w:t xml:space="preserve">the West Africa </w:t>
            </w:r>
            <w:proofErr w:type="gramStart"/>
            <w:r w:rsidR="003F7842" w:rsidRPr="00983E4B">
              <w:rPr>
                <w:sz w:val="20"/>
                <w:szCs w:val="20"/>
              </w:rPr>
              <w:t>Region</w:t>
            </w:r>
            <w:r w:rsidR="00BB63E9" w:rsidRPr="00983E4B">
              <w:rPr>
                <w:sz w:val="20"/>
                <w:szCs w:val="20"/>
              </w:rPr>
              <w:t>;</w:t>
            </w:r>
            <w:proofErr w:type="gramEnd"/>
          </w:p>
          <w:p w14:paraId="2A7743A5" w14:textId="63911295" w:rsidR="00BB63E9" w:rsidRPr="00983E4B" w:rsidRDefault="00BB63E9" w:rsidP="00BB63E9">
            <w:pPr>
              <w:pStyle w:val="ListParagraph"/>
              <w:numPr>
                <w:ilvl w:val="0"/>
                <w:numId w:val="31"/>
              </w:numPr>
              <w:spacing w:after="160" w:line="259" w:lineRule="auto"/>
              <w:contextualSpacing/>
              <w:rPr>
                <w:sz w:val="20"/>
                <w:szCs w:val="20"/>
              </w:rPr>
            </w:pPr>
            <w:r w:rsidRPr="00983E4B">
              <w:rPr>
                <w:sz w:val="20"/>
                <w:szCs w:val="20"/>
              </w:rPr>
              <w:lastRenderedPageBreak/>
              <w:t xml:space="preserve">Demonstrated understanding of issues related to gender and GEF </w:t>
            </w:r>
            <w:r w:rsidR="003F7842" w:rsidRPr="00983E4B">
              <w:rPr>
                <w:sz w:val="20"/>
                <w:szCs w:val="20"/>
              </w:rPr>
              <w:t>Multi</w:t>
            </w:r>
            <w:r w:rsidRPr="00983E4B">
              <w:rPr>
                <w:sz w:val="20"/>
                <w:szCs w:val="20"/>
              </w:rPr>
              <w:t xml:space="preserve">focal area; experience in gender responsive evaluation and </w:t>
            </w:r>
            <w:proofErr w:type="gramStart"/>
            <w:r w:rsidRPr="00983E4B">
              <w:rPr>
                <w:sz w:val="20"/>
                <w:szCs w:val="20"/>
              </w:rPr>
              <w:t>analysis;</w:t>
            </w:r>
            <w:proofErr w:type="gramEnd"/>
          </w:p>
          <w:p w14:paraId="3C6ACDEF" w14:textId="77777777" w:rsidR="00BB63E9" w:rsidRPr="00983E4B" w:rsidRDefault="00BB63E9" w:rsidP="00BB63E9">
            <w:pPr>
              <w:pStyle w:val="ListParagraph"/>
              <w:numPr>
                <w:ilvl w:val="0"/>
                <w:numId w:val="31"/>
              </w:numPr>
              <w:spacing w:after="160" w:line="259" w:lineRule="auto"/>
              <w:contextualSpacing/>
              <w:rPr>
                <w:sz w:val="20"/>
                <w:szCs w:val="20"/>
              </w:rPr>
            </w:pPr>
            <w:r w:rsidRPr="00983E4B">
              <w:rPr>
                <w:sz w:val="20"/>
                <w:szCs w:val="20"/>
              </w:rPr>
              <w:t xml:space="preserve">Excellent communication </w:t>
            </w:r>
            <w:proofErr w:type="gramStart"/>
            <w:r w:rsidRPr="00983E4B">
              <w:rPr>
                <w:sz w:val="20"/>
                <w:szCs w:val="20"/>
              </w:rPr>
              <w:t>skills;</w:t>
            </w:r>
            <w:proofErr w:type="gramEnd"/>
          </w:p>
          <w:p w14:paraId="686B1E1E" w14:textId="77777777" w:rsidR="00BB63E9" w:rsidRPr="00983E4B" w:rsidRDefault="00BB63E9" w:rsidP="00BB63E9">
            <w:pPr>
              <w:pStyle w:val="ListParagraph"/>
              <w:numPr>
                <w:ilvl w:val="0"/>
                <w:numId w:val="31"/>
              </w:numPr>
              <w:spacing w:after="160" w:line="259" w:lineRule="auto"/>
              <w:contextualSpacing/>
              <w:rPr>
                <w:sz w:val="20"/>
                <w:szCs w:val="20"/>
              </w:rPr>
            </w:pPr>
            <w:r w:rsidRPr="00983E4B">
              <w:rPr>
                <w:sz w:val="20"/>
                <w:szCs w:val="20"/>
              </w:rPr>
              <w:t xml:space="preserve">Demonstrable analytical </w:t>
            </w:r>
            <w:proofErr w:type="gramStart"/>
            <w:r w:rsidRPr="00983E4B">
              <w:rPr>
                <w:sz w:val="20"/>
                <w:szCs w:val="20"/>
              </w:rPr>
              <w:t>skills;</w:t>
            </w:r>
            <w:proofErr w:type="gramEnd"/>
          </w:p>
          <w:p w14:paraId="706F4BFF" w14:textId="041860FA" w:rsidR="00BB63E9" w:rsidRPr="00983E4B" w:rsidRDefault="0026633E" w:rsidP="00BB63E9">
            <w:pPr>
              <w:pStyle w:val="ListParagraph"/>
              <w:numPr>
                <w:ilvl w:val="0"/>
                <w:numId w:val="31"/>
              </w:numPr>
              <w:spacing w:after="160" w:line="259" w:lineRule="auto"/>
              <w:contextualSpacing/>
              <w:rPr>
                <w:sz w:val="20"/>
                <w:szCs w:val="20"/>
              </w:rPr>
            </w:pPr>
            <w:r>
              <w:rPr>
                <w:sz w:val="20"/>
                <w:szCs w:val="20"/>
              </w:rPr>
              <w:t xml:space="preserve">At least 2 </w:t>
            </w:r>
            <w:r w:rsidR="00DD5444">
              <w:rPr>
                <w:sz w:val="20"/>
                <w:szCs w:val="20"/>
              </w:rPr>
              <w:t>p</w:t>
            </w:r>
            <w:r w:rsidR="00BB63E9" w:rsidRPr="00983E4B">
              <w:rPr>
                <w:sz w:val="20"/>
                <w:szCs w:val="20"/>
              </w:rPr>
              <w:t xml:space="preserve">roject evaluation/review experience within </w:t>
            </w:r>
            <w:r w:rsidR="001E253E">
              <w:rPr>
                <w:sz w:val="20"/>
                <w:szCs w:val="20"/>
              </w:rPr>
              <w:t xml:space="preserve">the </w:t>
            </w:r>
            <w:r w:rsidR="00BB63E9" w:rsidRPr="00983E4B">
              <w:rPr>
                <w:sz w:val="20"/>
                <w:szCs w:val="20"/>
              </w:rPr>
              <w:t xml:space="preserve">United Nations system will be considered an </w:t>
            </w:r>
            <w:proofErr w:type="gramStart"/>
            <w:r w:rsidR="00BB63E9" w:rsidRPr="00983E4B">
              <w:rPr>
                <w:sz w:val="20"/>
                <w:szCs w:val="20"/>
              </w:rPr>
              <w:t>asset;</w:t>
            </w:r>
            <w:proofErr w:type="gramEnd"/>
          </w:p>
          <w:p w14:paraId="160C380A" w14:textId="33A3A4FB" w:rsidR="00E25EDF" w:rsidRPr="00983E4B" w:rsidRDefault="008F35B9" w:rsidP="00983E4B">
            <w:pPr>
              <w:pStyle w:val="ListParagraph"/>
              <w:numPr>
                <w:ilvl w:val="0"/>
                <w:numId w:val="31"/>
              </w:numPr>
              <w:spacing w:after="160" w:line="259" w:lineRule="auto"/>
              <w:contextualSpacing/>
              <w:rPr>
                <w:sz w:val="20"/>
                <w:szCs w:val="20"/>
              </w:rPr>
            </w:pPr>
            <w:r>
              <w:rPr>
                <w:sz w:val="20"/>
                <w:szCs w:val="20"/>
              </w:rPr>
              <w:t>E</w:t>
            </w:r>
            <w:r w:rsidR="00BB63E9" w:rsidRPr="00983E4B">
              <w:rPr>
                <w:sz w:val="20"/>
                <w:szCs w:val="20"/>
              </w:rPr>
              <w:t>xperience with implementing evaluations remotely.</w:t>
            </w:r>
          </w:p>
          <w:p w14:paraId="70B27133" w14:textId="5B4E5B16" w:rsidR="00726AA1" w:rsidRPr="00401EA9" w:rsidRDefault="00E25EDF" w:rsidP="00E25EDF">
            <w:pPr>
              <w:jc w:val="both"/>
              <w:rPr>
                <w:rFonts w:asciiTheme="minorHAnsi" w:hAnsiTheme="minorHAnsi" w:cs="Arial"/>
                <w:sz w:val="20"/>
                <w:szCs w:val="20"/>
                <w:u w:val="single"/>
              </w:rPr>
            </w:pPr>
            <w:r w:rsidRPr="00401EA9">
              <w:rPr>
                <w:rFonts w:asciiTheme="minorHAnsi" w:hAnsiTheme="minorHAnsi" w:cs="Arial"/>
                <w:sz w:val="20"/>
                <w:szCs w:val="20"/>
                <w:u w:val="single"/>
              </w:rPr>
              <w:t>III.  Language:</w:t>
            </w:r>
          </w:p>
          <w:p w14:paraId="08ADAAEA" w14:textId="5048F657" w:rsidR="00726AA1" w:rsidRPr="00D40920" w:rsidRDefault="00983E4B" w:rsidP="00BB63E9">
            <w:pPr>
              <w:numPr>
                <w:ilvl w:val="0"/>
                <w:numId w:val="31"/>
              </w:numPr>
              <w:spacing w:after="160" w:line="259" w:lineRule="auto"/>
              <w:contextualSpacing/>
              <w:jc w:val="both"/>
              <w:rPr>
                <w:rFonts w:ascii="Calibri" w:eastAsia="Calibri" w:hAnsi="Calibri"/>
                <w:sz w:val="20"/>
                <w:szCs w:val="20"/>
              </w:rPr>
            </w:pPr>
            <w:r>
              <w:rPr>
                <w:rFonts w:ascii="Calibri" w:eastAsia="Calibri" w:hAnsi="Calibri"/>
                <w:sz w:val="20"/>
                <w:szCs w:val="20"/>
              </w:rPr>
              <w:t>Fluency</w:t>
            </w:r>
            <w:r w:rsidR="00726AA1" w:rsidRPr="00D40920">
              <w:rPr>
                <w:rFonts w:ascii="Calibri" w:eastAsia="Calibri" w:hAnsi="Calibri"/>
                <w:sz w:val="20"/>
                <w:szCs w:val="20"/>
              </w:rPr>
              <w:t xml:space="preserve"> spoken and written English</w:t>
            </w:r>
            <w:r w:rsidR="004D1DE5" w:rsidRPr="00401EA9">
              <w:rPr>
                <w:rFonts w:ascii="Calibri" w:eastAsia="Calibri" w:hAnsi="Calibri"/>
                <w:sz w:val="20"/>
                <w:szCs w:val="20"/>
              </w:rPr>
              <w:t xml:space="preserve"> and </w:t>
            </w:r>
            <w:proofErr w:type="gramStart"/>
            <w:r w:rsidR="00540613" w:rsidRPr="00401EA9">
              <w:rPr>
                <w:rFonts w:ascii="Calibri" w:eastAsia="Calibri" w:hAnsi="Calibri"/>
                <w:sz w:val="20"/>
                <w:szCs w:val="20"/>
              </w:rPr>
              <w:t>Portuguese</w:t>
            </w:r>
            <w:r w:rsidR="00726AA1" w:rsidRPr="00D40920">
              <w:rPr>
                <w:rFonts w:ascii="Calibri" w:eastAsia="Calibri" w:hAnsi="Calibri"/>
                <w:sz w:val="20"/>
                <w:szCs w:val="20"/>
              </w:rPr>
              <w:t>;</w:t>
            </w:r>
            <w:proofErr w:type="gramEnd"/>
          </w:p>
          <w:p w14:paraId="160C380E" w14:textId="43FBCE0C" w:rsidR="00106870" w:rsidRPr="00BF1DE9" w:rsidRDefault="00726AA1" w:rsidP="00BF1DE9">
            <w:pPr>
              <w:numPr>
                <w:ilvl w:val="0"/>
                <w:numId w:val="31"/>
              </w:numPr>
              <w:spacing w:after="160" w:line="259" w:lineRule="auto"/>
              <w:contextualSpacing/>
              <w:jc w:val="both"/>
              <w:rPr>
                <w:rFonts w:ascii="Calibri" w:eastAsia="Calibri" w:hAnsi="Calibri"/>
                <w:sz w:val="20"/>
                <w:szCs w:val="20"/>
              </w:rPr>
            </w:pPr>
            <w:r w:rsidRPr="00D40920">
              <w:rPr>
                <w:rFonts w:ascii="Calibri" w:eastAsia="Calibri" w:hAnsi="Calibri"/>
                <w:sz w:val="20"/>
                <w:szCs w:val="20"/>
              </w:rPr>
              <w:t xml:space="preserve">Proficiency in </w:t>
            </w:r>
            <w:r w:rsidR="002C265D" w:rsidRPr="00401EA9">
              <w:rPr>
                <w:rFonts w:ascii="Calibri" w:eastAsia="Calibri" w:hAnsi="Calibri"/>
                <w:sz w:val="20"/>
                <w:szCs w:val="20"/>
              </w:rPr>
              <w:t>French</w:t>
            </w:r>
            <w:r w:rsidRPr="00D40920">
              <w:rPr>
                <w:rFonts w:ascii="Calibri" w:eastAsia="Calibri" w:hAnsi="Calibri"/>
                <w:sz w:val="20"/>
                <w:szCs w:val="20"/>
              </w:rPr>
              <w:t>, at least spoken</w:t>
            </w:r>
            <w:r w:rsidR="00852071">
              <w:rPr>
                <w:rFonts w:ascii="Calibri" w:eastAsia="Calibri" w:hAnsi="Calibri"/>
                <w:sz w:val="20"/>
                <w:szCs w:val="20"/>
              </w:rPr>
              <w:t xml:space="preserve">, </w:t>
            </w:r>
            <w:r w:rsidRPr="00D40920">
              <w:rPr>
                <w:rFonts w:ascii="Calibri" w:eastAsia="Calibri" w:hAnsi="Calibri"/>
                <w:sz w:val="20"/>
                <w:szCs w:val="20"/>
              </w:rPr>
              <w:t>constitutes a strong advantage;</w:t>
            </w:r>
            <w:r w:rsidR="00D40920" w:rsidRPr="00BF1DE9">
              <w:rPr>
                <w:rFonts w:ascii="Calibri" w:eastAsia="Calibri" w:hAnsi="Calibri" w:cs="Calibri"/>
                <w:sz w:val="20"/>
                <w:szCs w:val="20"/>
              </w:rPr>
              <w:t xml:space="preserve"> </w:t>
            </w:r>
          </w:p>
        </w:tc>
      </w:tr>
    </w:tbl>
    <w:p w14:paraId="160C3810" w14:textId="77777777" w:rsidR="00487704" w:rsidRDefault="00487704" w:rsidP="00487704">
      <w:pPr>
        <w:pStyle w:val="ListParagraph"/>
        <w:rPr>
          <w:rFonts w:asciiTheme="minorHAnsi" w:hAnsiTheme="minorHAnsi"/>
          <w:b/>
          <w:sz w:val="20"/>
          <w:szCs w:val="20"/>
        </w:rPr>
      </w:pPr>
    </w:p>
    <w:p w14:paraId="160C3811" w14:textId="77777777" w:rsidR="00487704" w:rsidRPr="00487704" w:rsidRDefault="00487704" w:rsidP="00C4171C">
      <w:pPr>
        <w:pStyle w:val="ListParagraph"/>
        <w:numPr>
          <w:ilvl w:val="0"/>
          <w:numId w:val="13"/>
        </w:numPr>
        <w:rPr>
          <w:rFonts w:asciiTheme="minorHAnsi" w:hAnsiTheme="minorHAnsi"/>
          <w:b/>
          <w:sz w:val="20"/>
          <w:szCs w:val="20"/>
        </w:rPr>
      </w:pPr>
      <w:r w:rsidRPr="00487704">
        <w:rPr>
          <w:rFonts w:asciiTheme="minorHAnsi" w:hAnsiTheme="minorHAnsi"/>
          <w:b/>
          <w:sz w:val="20"/>
          <w:szCs w:val="20"/>
        </w:rPr>
        <w:t>Payment Modality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160C3813" w14:textId="77777777" w:rsidTr="005843F5">
        <w:tc>
          <w:tcPr>
            <w:tcW w:w="9576" w:type="dxa"/>
            <w:shd w:val="clear" w:color="auto" w:fill="auto"/>
          </w:tcPr>
          <w:p w14:paraId="17D18CD8" w14:textId="77777777" w:rsidR="00D50DC9" w:rsidRDefault="005A168C" w:rsidP="00487704">
            <w:pPr>
              <w:ind w:left="360"/>
              <w:rPr>
                <w:rFonts w:asciiTheme="minorHAnsi" w:hAnsiTheme="minorHAnsi"/>
                <w:color w:val="333333"/>
                <w:sz w:val="20"/>
                <w:szCs w:val="20"/>
              </w:rPr>
            </w:pPr>
            <w:r w:rsidRPr="00F71A71">
              <w:rPr>
                <w:rFonts w:asciiTheme="minorHAnsi" w:hAnsiTheme="minorHAnsi"/>
                <w:color w:val="333333"/>
                <w:sz w:val="20"/>
                <w:szCs w:val="20"/>
              </w:rPr>
              <w:t>Payment to the individual contractor will be made based on the actual number of days worked, deliverables accepted and upon certification of satisfactory completion by the manager.</w:t>
            </w:r>
          </w:p>
          <w:p w14:paraId="0923F5A1" w14:textId="77777777" w:rsidR="00983E4B" w:rsidRDefault="00983E4B" w:rsidP="00487704">
            <w:pPr>
              <w:ind w:left="360"/>
              <w:rPr>
                <w:rFonts w:asciiTheme="minorHAnsi" w:hAnsiTheme="minorHAnsi"/>
                <w:color w:val="333333"/>
                <w:sz w:val="20"/>
                <w:szCs w:val="20"/>
              </w:rPr>
            </w:pPr>
          </w:p>
          <w:p w14:paraId="4392DEC8" w14:textId="63D198BD" w:rsidR="00983E4B" w:rsidRPr="00362D6E" w:rsidRDefault="00983E4B" w:rsidP="00983E4B">
            <w:pPr>
              <w:pStyle w:val="ListParagraph"/>
              <w:numPr>
                <w:ilvl w:val="0"/>
                <w:numId w:val="48"/>
              </w:numPr>
              <w:spacing w:after="160" w:line="259" w:lineRule="auto"/>
              <w:contextualSpacing/>
              <w:jc w:val="both"/>
              <w:rPr>
                <w:rFonts w:asciiTheme="minorHAnsi" w:hAnsiTheme="minorHAnsi"/>
                <w:bCs/>
                <w:sz w:val="20"/>
                <w:szCs w:val="20"/>
              </w:rPr>
            </w:pPr>
            <w:r w:rsidRPr="00362D6E">
              <w:rPr>
                <w:rFonts w:asciiTheme="minorHAnsi" w:hAnsiTheme="minorHAnsi"/>
                <w:bCs/>
                <w:sz w:val="20"/>
                <w:szCs w:val="20"/>
              </w:rPr>
              <w:t>20% payment upon satisfactory delivery of the final TE Inception Report and approval by the Commissioning Unit</w:t>
            </w:r>
          </w:p>
          <w:p w14:paraId="74796875" w14:textId="77777777" w:rsidR="00983E4B" w:rsidRPr="00362D6E" w:rsidRDefault="00983E4B" w:rsidP="00983E4B">
            <w:pPr>
              <w:pStyle w:val="ListParagraph"/>
              <w:numPr>
                <w:ilvl w:val="0"/>
                <w:numId w:val="48"/>
              </w:numPr>
              <w:spacing w:after="160" w:line="259" w:lineRule="auto"/>
              <w:contextualSpacing/>
              <w:jc w:val="both"/>
              <w:rPr>
                <w:rFonts w:asciiTheme="minorHAnsi" w:hAnsiTheme="minorHAnsi"/>
                <w:bCs/>
                <w:sz w:val="20"/>
                <w:szCs w:val="20"/>
              </w:rPr>
            </w:pPr>
            <w:r w:rsidRPr="00362D6E">
              <w:rPr>
                <w:rFonts w:asciiTheme="minorHAnsi" w:hAnsiTheme="minorHAnsi"/>
                <w:bCs/>
                <w:sz w:val="20"/>
                <w:szCs w:val="20"/>
              </w:rPr>
              <w:t>40% payment upon satisfactory delivery of the draft TE report to the Commissioning Unit</w:t>
            </w:r>
          </w:p>
          <w:p w14:paraId="70A94D7B" w14:textId="77777777" w:rsidR="00983E4B" w:rsidRPr="00362D6E" w:rsidRDefault="00983E4B" w:rsidP="00983E4B">
            <w:pPr>
              <w:pStyle w:val="ListParagraph"/>
              <w:numPr>
                <w:ilvl w:val="0"/>
                <w:numId w:val="48"/>
              </w:numPr>
              <w:spacing w:after="160" w:line="259" w:lineRule="auto"/>
              <w:contextualSpacing/>
              <w:jc w:val="both"/>
              <w:rPr>
                <w:rFonts w:asciiTheme="minorHAnsi" w:hAnsiTheme="minorHAnsi"/>
                <w:bCs/>
                <w:sz w:val="20"/>
                <w:szCs w:val="20"/>
              </w:rPr>
            </w:pPr>
            <w:r w:rsidRPr="00362D6E">
              <w:rPr>
                <w:rFonts w:asciiTheme="minorHAnsi" w:hAnsiTheme="minorHAnsi"/>
                <w:bCs/>
                <w:sz w:val="20"/>
                <w:szCs w:val="20"/>
              </w:rPr>
              <w:t>40% payment upon satisfactory delivery of the final TE report and approval by the Commissioning Unit and RTA (via signatures on the TE Report Clearance Form) and delivery of completed TE Audit Trail</w:t>
            </w:r>
          </w:p>
          <w:p w14:paraId="2A0E66FD" w14:textId="77777777" w:rsidR="00983E4B" w:rsidRPr="00362D6E" w:rsidRDefault="00983E4B" w:rsidP="00983E4B">
            <w:pPr>
              <w:pStyle w:val="ListParagraph"/>
              <w:jc w:val="both"/>
              <w:rPr>
                <w:rFonts w:asciiTheme="minorHAnsi" w:hAnsiTheme="minorHAnsi"/>
                <w:bCs/>
                <w:sz w:val="20"/>
                <w:szCs w:val="20"/>
              </w:rPr>
            </w:pPr>
          </w:p>
          <w:p w14:paraId="0591C2C4" w14:textId="77777777" w:rsidR="00983E4B" w:rsidRPr="00362D6E" w:rsidRDefault="00983E4B" w:rsidP="00983E4B">
            <w:pPr>
              <w:pStyle w:val="ListParagraph"/>
              <w:jc w:val="both"/>
              <w:rPr>
                <w:rFonts w:asciiTheme="minorHAnsi" w:hAnsiTheme="minorHAnsi"/>
                <w:bCs/>
                <w:sz w:val="20"/>
                <w:szCs w:val="20"/>
              </w:rPr>
            </w:pPr>
            <w:r w:rsidRPr="00362D6E">
              <w:rPr>
                <w:rFonts w:asciiTheme="minorHAnsi" w:hAnsiTheme="minorHAnsi"/>
                <w:bCs/>
                <w:sz w:val="20"/>
                <w:szCs w:val="20"/>
              </w:rPr>
              <w:t>Criteria for issuing the final payment of 40%:</w:t>
            </w:r>
          </w:p>
          <w:p w14:paraId="43E99E49" w14:textId="77777777" w:rsidR="00983E4B" w:rsidRPr="00362D6E" w:rsidRDefault="00983E4B" w:rsidP="00983E4B">
            <w:pPr>
              <w:pStyle w:val="ListParagraph"/>
              <w:numPr>
                <w:ilvl w:val="0"/>
                <w:numId w:val="49"/>
              </w:numPr>
              <w:ind w:left="1170"/>
              <w:contextualSpacing/>
              <w:jc w:val="both"/>
              <w:rPr>
                <w:rFonts w:asciiTheme="minorHAnsi" w:hAnsiTheme="minorHAnsi"/>
                <w:bCs/>
                <w:sz w:val="20"/>
                <w:szCs w:val="20"/>
              </w:rPr>
            </w:pPr>
            <w:r w:rsidRPr="00362D6E">
              <w:rPr>
                <w:rFonts w:asciiTheme="minorHAnsi" w:hAnsiTheme="minorHAnsi"/>
                <w:bCs/>
                <w:sz w:val="20"/>
                <w:szCs w:val="20"/>
              </w:rPr>
              <w:t>The final TE report includes all requirements outlined in the TE TOR and is in accordance with the TE guidance.</w:t>
            </w:r>
          </w:p>
          <w:p w14:paraId="746A427D" w14:textId="77777777" w:rsidR="00983E4B" w:rsidRPr="00362D6E" w:rsidRDefault="00983E4B" w:rsidP="00983E4B">
            <w:pPr>
              <w:pStyle w:val="ListParagraph"/>
              <w:numPr>
                <w:ilvl w:val="0"/>
                <w:numId w:val="49"/>
              </w:numPr>
              <w:ind w:left="1170"/>
              <w:contextualSpacing/>
              <w:jc w:val="both"/>
              <w:rPr>
                <w:rFonts w:asciiTheme="minorHAnsi" w:hAnsiTheme="minorHAnsi"/>
                <w:bCs/>
                <w:sz w:val="20"/>
                <w:szCs w:val="20"/>
              </w:rPr>
            </w:pPr>
            <w:r w:rsidRPr="00362D6E">
              <w:rPr>
                <w:rFonts w:asciiTheme="minorHAnsi" w:hAnsiTheme="minorHAnsi"/>
                <w:bCs/>
                <w:sz w:val="20"/>
                <w:szCs w:val="20"/>
              </w:rPr>
              <w:t>The final TE report is clearly written, logically organized, and is specific for this project (</w:t>
            </w:r>
            <w:proofErr w:type="gramStart"/>
            <w:r w:rsidRPr="00362D6E">
              <w:rPr>
                <w:rFonts w:asciiTheme="minorHAnsi" w:hAnsiTheme="minorHAnsi"/>
                <w:bCs/>
                <w:sz w:val="20"/>
                <w:szCs w:val="20"/>
              </w:rPr>
              <w:t>i.e.</w:t>
            </w:r>
            <w:proofErr w:type="gramEnd"/>
            <w:r w:rsidRPr="00362D6E">
              <w:rPr>
                <w:rFonts w:asciiTheme="minorHAnsi" w:hAnsiTheme="minorHAnsi"/>
                <w:bCs/>
                <w:sz w:val="20"/>
                <w:szCs w:val="20"/>
              </w:rPr>
              <w:t xml:space="preserve"> text has not been cut &amp; pasted from other TE reports).</w:t>
            </w:r>
          </w:p>
          <w:p w14:paraId="160C3812" w14:textId="157739FD" w:rsidR="00983E4B" w:rsidRPr="00362D6E" w:rsidRDefault="00983E4B" w:rsidP="00362D6E">
            <w:pPr>
              <w:pStyle w:val="ListParagraph"/>
              <w:numPr>
                <w:ilvl w:val="0"/>
                <w:numId w:val="49"/>
              </w:numPr>
              <w:spacing w:before="120" w:after="160" w:line="252" w:lineRule="auto"/>
              <w:ind w:left="1170"/>
              <w:contextualSpacing/>
              <w:jc w:val="both"/>
              <w:rPr>
                <w:rFonts w:asciiTheme="minorHAnsi" w:hAnsiTheme="minorHAnsi"/>
                <w:bCs/>
                <w:sz w:val="20"/>
                <w:szCs w:val="20"/>
              </w:rPr>
            </w:pPr>
            <w:r w:rsidRPr="00362D6E">
              <w:rPr>
                <w:rFonts w:asciiTheme="minorHAnsi" w:hAnsiTheme="minorHAnsi"/>
                <w:bCs/>
                <w:sz w:val="20"/>
                <w:szCs w:val="20"/>
              </w:rPr>
              <w:t>The Audit Trail includes responses to and justification for each comment listed.</w:t>
            </w:r>
          </w:p>
        </w:tc>
      </w:tr>
    </w:tbl>
    <w:p w14:paraId="160C3815" w14:textId="59E90652" w:rsidR="009A2051" w:rsidRDefault="009A2051" w:rsidP="009A2051">
      <w:pPr>
        <w:rPr>
          <w:rFonts w:asciiTheme="minorHAnsi" w:hAnsiTheme="minorHAnsi"/>
          <w:b/>
          <w:i/>
          <w:position w:val="6"/>
          <w:sz w:val="20"/>
          <w:szCs w:val="20"/>
        </w:rPr>
      </w:pPr>
    </w:p>
    <w:sectPr w:rsidR="009A2051" w:rsidSect="001E05F4">
      <w:headerReference w:type="default" r:id="rId14"/>
      <w:footerReference w:type="default" r:id="rId15"/>
      <w:pgSz w:w="12240" w:h="15840"/>
      <w:pgMar w:top="1440" w:right="144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82F9" w14:textId="77777777" w:rsidR="00133BCD" w:rsidRDefault="00133BCD" w:rsidP="00521CB0">
      <w:r>
        <w:separator/>
      </w:r>
    </w:p>
  </w:endnote>
  <w:endnote w:type="continuationSeparator" w:id="0">
    <w:p w14:paraId="7A7BFE9F" w14:textId="77777777" w:rsidR="00133BCD" w:rsidRDefault="00133BCD" w:rsidP="00521CB0">
      <w:r>
        <w:continuationSeparator/>
      </w:r>
    </w:p>
  </w:endnote>
  <w:endnote w:type="continuationNotice" w:id="1">
    <w:p w14:paraId="25971822" w14:textId="77777777" w:rsidR="00133BCD" w:rsidRDefault="00133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fficinaSans-Book">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793050958"/>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160C381B" w14:textId="77777777" w:rsidR="00460335" w:rsidRPr="00460335" w:rsidRDefault="00460335">
            <w:pPr>
              <w:pStyle w:val="Footer"/>
              <w:jc w:val="right"/>
              <w:rPr>
                <w:rFonts w:asciiTheme="minorHAnsi" w:hAnsiTheme="minorHAnsi"/>
                <w:sz w:val="20"/>
                <w:szCs w:val="20"/>
              </w:rPr>
            </w:pPr>
            <w:r w:rsidRPr="00460335">
              <w:rPr>
                <w:rFonts w:asciiTheme="minorHAnsi" w:hAnsiTheme="minorHAnsi"/>
                <w:sz w:val="20"/>
                <w:szCs w:val="20"/>
              </w:rPr>
              <w:t xml:space="preserve">Page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PAGE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r w:rsidRPr="00460335">
              <w:rPr>
                <w:rFonts w:asciiTheme="minorHAnsi" w:hAnsiTheme="minorHAnsi"/>
                <w:sz w:val="20"/>
                <w:szCs w:val="20"/>
              </w:rPr>
              <w:t xml:space="preserve"> of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NUMPAGES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p>
        </w:sdtContent>
      </w:sdt>
    </w:sdtContent>
  </w:sdt>
  <w:p w14:paraId="160C381C" w14:textId="77777777" w:rsidR="00DC26F5" w:rsidRPr="00460335" w:rsidRDefault="00DC26F5">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FCD5" w14:textId="77777777" w:rsidR="00133BCD" w:rsidRDefault="00133BCD" w:rsidP="00521CB0">
      <w:r>
        <w:separator/>
      </w:r>
    </w:p>
  </w:footnote>
  <w:footnote w:type="continuationSeparator" w:id="0">
    <w:p w14:paraId="2DEA3D75" w14:textId="77777777" w:rsidR="00133BCD" w:rsidRDefault="00133BCD" w:rsidP="00521CB0">
      <w:r>
        <w:continuationSeparator/>
      </w:r>
    </w:p>
  </w:footnote>
  <w:footnote w:type="continuationNotice" w:id="1">
    <w:p w14:paraId="73020A69" w14:textId="77777777" w:rsidR="00133BCD" w:rsidRDefault="00133BCD"/>
  </w:footnote>
  <w:footnote w:id="2">
    <w:p w14:paraId="0EE92346" w14:textId="77777777" w:rsidR="00B8616C" w:rsidRPr="00066E8C" w:rsidRDefault="00B8616C" w:rsidP="00B8616C">
      <w:pPr>
        <w:pStyle w:val="FootnoteText"/>
        <w:jc w:val="both"/>
        <w:rPr>
          <w:rFonts w:asciiTheme="minorHAnsi" w:hAnsiTheme="minorHAnsi" w:cstheme="minorHAnsi"/>
          <w:sz w:val="18"/>
          <w:szCs w:val="18"/>
        </w:rPr>
      </w:pPr>
      <w:r w:rsidRPr="00066E8C">
        <w:rPr>
          <w:rStyle w:val="FootnoteReference"/>
          <w:rFonts w:asciiTheme="minorHAnsi" w:hAnsiTheme="minorHAnsi" w:cstheme="minorHAnsi"/>
          <w:sz w:val="18"/>
          <w:szCs w:val="18"/>
        </w:rPr>
        <w:footnoteRef/>
      </w:r>
      <w:r w:rsidRPr="00066E8C">
        <w:rPr>
          <w:rFonts w:asciiTheme="minorHAnsi" w:hAnsiTheme="minorHAnsi" w:cstheme="minorHAnsi"/>
          <w:sz w:val="18"/>
          <w:szCs w:val="18"/>
        </w:rPr>
        <w:t xml:space="preserve"> </w:t>
      </w:r>
      <w:r w:rsidRPr="00066E8C">
        <w:rPr>
          <w:rFonts w:asciiTheme="minorHAnsi" w:eastAsiaTheme="minorHAnsi" w:hAnsiTheme="minorHAnsi" w:cstheme="minorHAnsi"/>
          <w:color w:val="000000"/>
          <w:sz w:val="18"/>
          <w:szCs w:val="18"/>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5A93E839" w14:textId="77777777" w:rsidR="004F48C7" w:rsidRDefault="004F48C7" w:rsidP="004F48C7">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381A" w14:textId="77777777" w:rsidR="00460335" w:rsidRDefault="00460335">
    <w:pPr>
      <w:pStyle w:val="Header"/>
    </w:pPr>
    <w:r>
      <w:rPr>
        <w:noProof/>
      </w:rPr>
      <w:drawing>
        <wp:anchor distT="0" distB="0" distL="114300" distR="114300" simplePos="0" relativeHeight="251658240" behindDoc="0" locked="0" layoutInCell="1" allowOverlap="1" wp14:anchorId="160C381D" wp14:editId="160C381E">
          <wp:simplePos x="0" y="0"/>
          <wp:positionH relativeFrom="margin">
            <wp:align>right</wp:align>
          </wp:positionH>
          <wp:positionV relativeFrom="margin">
            <wp:posOffset>-628650</wp:posOffset>
          </wp:positionV>
          <wp:extent cx="609600" cy="1148715"/>
          <wp:effectExtent l="0" t="0" r="0"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5pt;height:5pt" o:bullet="t">
        <v:imagedata r:id="rId1" o:title="bullet"/>
      </v:shape>
    </w:pict>
  </w:numPicBullet>
  <w:numPicBullet w:numPicBulletId="1">
    <w:pict>
      <v:shape id="_x0000_i1399" type="#_x0000_t75" style="width:3in;height:3in" o:bullet="t"/>
    </w:pict>
  </w:numPicBullet>
  <w:numPicBullet w:numPicBulletId="2">
    <w:pict>
      <v:shape id="_x0000_i1400" type="#_x0000_t75" style="width:3in;height:3in" o:bullet="t"/>
    </w:pict>
  </w:numPicBullet>
  <w:numPicBullet w:numPicBulletId="3">
    <w:pict>
      <v:shape id="_x0000_i1401" type="#_x0000_t75" style="width:3in;height:3in" o:bullet="t"/>
    </w:pict>
  </w:numPicBullet>
  <w:numPicBullet w:numPicBulletId="4">
    <w:pict>
      <v:shape id="_x0000_i1402" type="#_x0000_t75" style="width:3in;height:3in" o:bullet="t"/>
    </w:pict>
  </w:numPicBullet>
  <w:numPicBullet w:numPicBulletId="5">
    <w:pict>
      <v:shape id="_x0000_i1403" type="#_x0000_t75" style="width:3in;height:3in" o:bullet="t"/>
    </w:pict>
  </w:numPicBullet>
  <w:numPicBullet w:numPicBulletId="6">
    <w:pict>
      <v:shape id="_x0000_i1404" type="#_x0000_t75" style="width:3in;height:3in" o:bullet="t">
        <v:imagedata r:id="rId2" o:title=""/>
      </v:shape>
    </w:pict>
  </w:numPicBullet>
  <w:abstractNum w:abstractNumId="0" w15:restartNumberingAfterBreak="0">
    <w:nsid w:val="03690519"/>
    <w:multiLevelType w:val="hybridMultilevel"/>
    <w:tmpl w:val="464E8F1A"/>
    <w:lvl w:ilvl="0" w:tplc="327C4ACE">
      <w:start w:val="2"/>
      <w:numFmt w:val="bullet"/>
      <w:lvlText w:val="-"/>
      <w:lvlJc w:val="left"/>
      <w:pPr>
        <w:ind w:left="720" w:hanging="360"/>
      </w:pPr>
      <w:rPr>
        <w:rFonts w:ascii="Myriad Pro" w:eastAsia="Times New Roman" w:hAnsi="Myriad Pro" w:cs="Times New Roman" w:hint="default"/>
        <w:b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4BFC"/>
    <w:multiLevelType w:val="hybridMultilevel"/>
    <w:tmpl w:val="93AEF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9DF"/>
    <w:multiLevelType w:val="hybridMultilevel"/>
    <w:tmpl w:val="707E2C0E"/>
    <w:lvl w:ilvl="0" w:tplc="BC548984">
      <w:start w:val="1"/>
      <w:numFmt w:val="decimal"/>
      <w:pStyle w:val="AProdoc"/>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450"/>
        </w:tabs>
        <w:ind w:left="-450" w:hanging="360"/>
      </w:pPr>
    </w:lvl>
    <w:lvl w:ilvl="2" w:tplc="179E7610">
      <w:numFmt w:val="bullet"/>
      <w:lvlText w:val="•"/>
      <w:lvlJc w:val="left"/>
      <w:pPr>
        <w:ind w:left="810" w:hanging="720"/>
      </w:pPr>
      <w:rPr>
        <w:rFonts w:ascii="Times New Roman" w:eastAsia="Times New Roman" w:hAnsi="Times New Roman" w:cs="Times New Roman" w:hint="default"/>
      </w:rPr>
    </w:lvl>
    <w:lvl w:ilvl="3" w:tplc="666EF6C6">
      <w:start w:val="1"/>
      <w:numFmt w:val="lowerLetter"/>
      <w:lvlText w:val="%4."/>
      <w:lvlJc w:val="left"/>
      <w:pPr>
        <w:tabs>
          <w:tab w:val="num" w:pos="990"/>
        </w:tabs>
        <w:ind w:left="99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04090019" w:tentative="1">
      <w:start w:val="1"/>
      <w:numFmt w:val="lowerLetter"/>
      <w:lvlText w:val="%5."/>
      <w:lvlJc w:val="left"/>
      <w:pPr>
        <w:tabs>
          <w:tab w:val="num" w:pos="1710"/>
        </w:tabs>
        <w:ind w:left="1710" w:hanging="360"/>
      </w:pPr>
    </w:lvl>
    <w:lvl w:ilvl="5" w:tplc="0409001B" w:tentative="1">
      <w:start w:val="1"/>
      <w:numFmt w:val="lowerRoman"/>
      <w:lvlText w:val="%6."/>
      <w:lvlJc w:val="right"/>
      <w:pPr>
        <w:tabs>
          <w:tab w:val="num" w:pos="2430"/>
        </w:tabs>
        <w:ind w:left="2430" w:hanging="180"/>
      </w:pPr>
    </w:lvl>
    <w:lvl w:ilvl="6" w:tplc="0409000F" w:tentative="1">
      <w:start w:val="1"/>
      <w:numFmt w:val="decimal"/>
      <w:lvlText w:val="%7."/>
      <w:lvlJc w:val="left"/>
      <w:pPr>
        <w:tabs>
          <w:tab w:val="num" w:pos="3150"/>
        </w:tabs>
        <w:ind w:left="3150" w:hanging="360"/>
      </w:pPr>
    </w:lvl>
    <w:lvl w:ilvl="7" w:tplc="04090019" w:tentative="1">
      <w:start w:val="1"/>
      <w:numFmt w:val="lowerLetter"/>
      <w:lvlText w:val="%8."/>
      <w:lvlJc w:val="left"/>
      <w:pPr>
        <w:tabs>
          <w:tab w:val="num" w:pos="3870"/>
        </w:tabs>
        <w:ind w:left="3870" w:hanging="360"/>
      </w:pPr>
    </w:lvl>
    <w:lvl w:ilvl="8" w:tplc="0409001B" w:tentative="1">
      <w:start w:val="1"/>
      <w:numFmt w:val="lowerRoman"/>
      <w:lvlText w:val="%9."/>
      <w:lvlJc w:val="right"/>
      <w:pPr>
        <w:tabs>
          <w:tab w:val="num" w:pos="4590"/>
        </w:tabs>
        <w:ind w:left="4590" w:hanging="180"/>
      </w:pPr>
    </w:lvl>
  </w:abstractNum>
  <w:abstractNum w:abstractNumId="3"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D24B0"/>
    <w:multiLevelType w:val="hybridMultilevel"/>
    <w:tmpl w:val="537C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581713"/>
    <w:multiLevelType w:val="hybridMultilevel"/>
    <w:tmpl w:val="4E2A28E0"/>
    <w:lvl w:ilvl="0" w:tplc="30082DF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3EC2"/>
    <w:multiLevelType w:val="multilevel"/>
    <w:tmpl w:val="9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DFD"/>
    <w:multiLevelType w:val="hybridMultilevel"/>
    <w:tmpl w:val="9580B6D8"/>
    <w:lvl w:ilvl="0" w:tplc="F1B66DAA">
      <w:start w:val="1"/>
      <w:numFmt w:val="decimal"/>
      <w:lvlText w:val="%1."/>
      <w:lvlJc w:val="left"/>
      <w:pPr>
        <w:ind w:left="360" w:hanging="360"/>
      </w:pPr>
      <w:rPr>
        <w:rFonts w:ascii="Calibri" w:hAnsi="Calibri"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E5314"/>
    <w:multiLevelType w:val="multilevel"/>
    <w:tmpl w:val="EC62F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A9C12B9"/>
    <w:multiLevelType w:val="multilevel"/>
    <w:tmpl w:val="0F6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35F14"/>
    <w:multiLevelType w:val="hybridMultilevel"/>
    <w:tmpl w:val="917015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C6F99"/>
    <w:multiLevelType w:val="multilevel"/>
    <w:tmpl w:val="1A30ED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20B0472E"/>
    <w:multiLevelType w:val="hybridMultilevel"/>
    <w:tmpl w:val="25B26A14"/>
    <w:lvl w:ilvl="0" w:tplc="34228A02">
      <w:start w:val="1"/>
      <w:numFmt w:val="decimal"/>
      <w:lvlText w:val="%1."/>
      <w:lvlJc w:val="left"/>
      <w:pPr>
        <w:ind w:left="1083" w:hanging="360"/>
      </w:pPr>
      <w:rPr>
        <w:rFonts w:ascii="Calibri" w:eastAsiaTheme="minorHAnsi" w:hAnsi="Calibri" w:cs="Times New Roman"/>
      </w:rPr>
    </w:lvl>
    <w:lvl w:ilvl="1" w:tplc="155271F4">
      <w:start w:val="1"/>
      <w:numFmt w:val="decimal"/>
      <w:lvlText w:val="%2."/>
      <w:lvlJc w:val="left"/>
      <w:pPr>
        <w:ind w:left="1803" w:hanging="360"/>
      </w:p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1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F02CE7"/>
    <w:multiLevelType w:val="multilevel"/>
    <w:tmpl w:val="BA88A3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2BEA671B"/>
    <w:multiLevelType w:val="hybridMultilevel"/>
    <w:tmpl w:val="72AE0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067E0"/>
    <w:multiLevelType w:val="multilevel"/>
    <w:tmpl w:val="4B4C1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2"/>
      <w:lvlJc w:val="left"/>
      <w:pPr>
        <w:tabs>
          <w:tab w:val="num" w:pos="1080"/>
        </w:tabs>
        <w:ind w:left="1080" w:hanging="360"/>
      </w:pPr>
      <w:rPr>
        <w:rFonts w:ascii="Courier New" w:hAnsi="Courier New" w:cs="Times New Roman"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8916366"/>
    <w:multiLevelType w:val="hybridMultilevel"/>
    <w:tmpl w:val="2E3C2C0A"/>
    <w:lvl w:ilvl="0" w:tplc="040C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38F70F08"/>
    <w:multiLevelType w:val="hybridMultilevel"/>
    <w:tmpl w:val="9B72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3322D"/>
    <w:multiLevelType w:val="hybridMultilevel"/>
    <w:tmpl w:val="3DDA5ED4"/>
    <w:lvl w:ilvl="0" w:tplc="663C61A2">
      <w:start w:val="1"/>
      <w:numFmt w:val="decimal"/>
      <w:pStyle w:val="ProdocParagraph"/>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F">
      <w:start w:val="1"/>
      <w:numFmt w:val="decimal"/>
      <w:lvlText w:val="%2."/>
      <w:lvlJc w:val="left"/>
      <w:pPr>
        <w:ind w:left="1440" w:hanging="720"/>
      </w:pPr>
      <w:rPr>
        <w:rFonts w:hint="default"/>
      </w:rPr>
    </w:lvl>
    <w:lvl w:ilvl="2" w:tplc="460A4E0A">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AF62490"/>
    <w:multiLevelType w:val="multilevel"/>
    <w:tmpl w:val="D7A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55B78"/>
    <w:multiLevelType w:val="hybridMultilevel"/>
    <w:tmpl w:val="43A44612"/>
    <w:lvl w:ilvl="0" w:tplc="04090001">
      <w:start w:val="1"/>
      <w:numFmt w:val="bullet"/>
      <w:lvlText w:val=""/>
      <w:lvlJc w:val="left"/>
      <w:pPr>
        <w:ind w:left="720" w:hanging="360"/>
      </w:pPr>
      <w:rPr>
        <w:rFonts w:ascii="Symbol" w:hAnsi="Symbol" w:hint="default"/>
      </w:rPr>
    </w:lvl>
    <w:lvl w:ilvl="1" w:tplc="6FFE06F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62BE1"/>
    <w:multiLevelType w:val="multilevel"/>
    <w:tmpl w:val="FF38B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15:restartNumberingAfterBreak="0">
    <w:nsid w:val="46CE0348"/>
    <w:multiLevelType w:val="hybridMultilevel"/>
    <w:tmpl w:val="0CEC1F80"/>
    <w:lvl w:ilvl="0" w:tplc="040C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4D2967AC"/>
    <w:multiLevelType w:val="hybridMultilevel"/>
    <w:tmpl w:val="470849AC"/>
    <w:lvl w:ilvl="0" w:tplc="CD8CFDE2">
      <w:start w:val="1"/>
      <w:numFmt w:val="decimal"/>
      <w:lvlText w:val="%1."/>
      <w:lvlJc w:val="left"/>
      <w:pPr>
        <w:tabs>
          <w:tab w:val="num" w:pos="720"/>
        </w:tabs>
        <w:ind w:left="720" w:hanging="360"/>
      </w:pPr>
      <w:rPr>
        <w:rFonts w:ascii="Calibri" w:eastAsia="Times New Roman" w:hAnsi="Calibri"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A7BCA"/>
    <w:multiLevelType w:val="hybridMultilevel"/>
    <w:tmpl w:val="9A4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56AF0"/>
    <w:multiLevelType w:val="hybridMultilevel"/>
    <w:tmpl w:val="13DC4C02"/>
    <w:lvl w:ilvl="0" w:tplc="ED20A29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856A0"/>
    <w:multiLevelType w:val="hybridMultilevel"/>
    <w:tmpl w:val="E67CBBA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33" w15:restartNumberingAfterBreak="0">
    <w:nsid w:val="57FA58CB"/>
    <w:multiLevelType w:val="hybridMultilevel"/>
    <w:tmpl w:val="3AC4F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533E7"/>
    <w:multiLevelType w:val="multilevel"/>
    <w:tmpl w:val="DEDAD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3D634E"/>
    <w:multiLevelType w:val="hybridMultilevel"/>
    <w:tmpl w:val="077C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B677B"/>
    <w:multiLevelType w:val="hybridMultilevel"/>
    <w:tmpl w:val="58948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116B9"/>
    <w:multiLevelType w:val="multilevel"/>
    <w:tmpl w:val="F0FCB3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15:restartNumberingAfterBreak="0">
    <w:nsid w:val="6D2B64C3"/>
    <w:multiLevelType w:val="hybridMultilevel"/>
    <w:tmpl w:val="033EB10A"/>
    <w:lvl w:ilvl="0" w:tplc="EB1C17CA">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913B0B"/>
    <w:multiLevelType w:val="hybridMultilevel"/>
    <w:tmpl w:val="AA86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75188"/>
    <w:multiLevelType w:val="hybridMultilevel"/>
    <w:tmpl w:val="49DA9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1C78D8"/>
    <w:multiLevelType w:val="hybridMultilevel"/>
    <w:tmpl w:val="A4444C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073104"/>
    <w:multiLevelType w:val="multilevel"/>
    <w:tmpl w:val="4E7A20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834817"/>
    <w:multiLevelType w:val="hybridMultilevel"/>
    <w:tmpl w:val="D3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325014388">
    <w:abstractNumId w:val="44"/>
  </w:num>
  <w:num w:numId="2" w16cid:durableId="974793197">
    <w:abstractNumId w:val="18"/>
  </w:num>
  <w:num w:numId="3" w16cid:durableId="257758631">
    <w:abstractNumId w:val="3"/>
  </w:num>
  <w:num w:numId="4" w16cid:durableId="1812207510">
    <w:abstractNumId w:val="4"/>
  </w:num>
  <w:num w:numId="5" w16cid:durableId="1511947955">
    <w:abstractNumId w:val="46"/>
  </w:num>
  <w:num w:numId="6" w16cid:durableId="777532192">
    <w:abstractNumId w:val="41"/>
  </w:num>
  <w:num w:numId="7" w16cid:durableId="1112822231">
    <w:abstractNumId w:val="29"/>
  </w:num>
  <w:num w:numId="8" w16cid:durableId="1896118276">
    <w:abstractNumId w:val="7"/>
  </w:num>
  <w:num w:numId="9" w16cid:durableId="460001979">
    <w:abstractNumId w:val="30"/>
  </w:num>
  <w:num w:numId="10" w16cid:durableId="281155201">
    <w:abstractNumId w:val="33"/>
  </w:num>
  <w:num w:numId="11" w16cid:durableId="1185750376">
    <w:abstractNumId w:val="37"/>
  </w:num>
  <w:num w:numId="12" w16cid:durableId="825979626">
    <w:abstractNumId w:val="11"/>
  </w:num>
  <w:num w:numId="13" w16cid:durableId="2057927306">
    <w:abstractNumId w:val="22"/>
  </w:num>
  <w:num w:numId="14" w16cid:durableId="1986926756">
    <w:abstractNumId w:val="8"/>
  </w:num>
  <w:num w:numId="15" w16cid:durableId="222760772">
    <w:abstractNumId w:val="40"/>
  </w:num>
  <w:num w:numId="16" w16cid:durableId="536162920">
    <w:abstractNumId w:val="10"/>
  </w:num>
  <w:num w:numId="17" w16cid:durableId="1487092259">
    <w:abstractNumId w:val="1"/>
  </w:num>
  <w:num w:numId="18" w16cid:durableId="109184968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078212562">
    <w:abstractNumId w:val="32"/>
  </w:num>
  <w:num w:numId="20" w16cid:durableId="1271089856">
    <w:abstractNumId w:val="20"/>
  </w:num>
  <w:num w:numId="21" w16cid:durableId="520703193">
    <w:abstractNumId w:val="34"/>
  </w:num>
  <w:num w:numId="22" w16cid:durableId="698705287">
    <w:abstractNumId w:val="11"/>
  </w:num>
  <w:num w:numId="23" w16cid:durableId="1810130459">
    <w:abstractNumId w:val="17"/>
  </w:num>
  <w:num w:numId="24" w16cid:durableId="85852292">
    <w:abstractNumId w:val="39"/>
  </w:num>
  <w:num w:numId="25" w16cid:durableId="803934332">
    <w:abstractNumId w:val="14"/>
  </w:num>
  <w:num w:numId="26" w16cid:durableId="381516711">
    <w:abstractNumId w:val="45"/>
  </w:num>
  <w:num w:numId="27" w16cid:durableId="713580585">
    <w:abstractNumId w:val="26"/>
  </w:num>
  <w:num w:numId="28" w16cid:durableId="1394232996">
    <w:abstractNumId w:val="6"/>
  </w:num>
  <w:num w:numId="29" w16cid:durableId="1822381358">
    <w:abstractNumId w:val="2"/>
  </w:num>
  <w:num w:numId="30" w16cid:durableId="1857377516">
    <w:abstractNumId w:val="21"/>
  </w:num>
  <w:num w:numId="31" w16cid:durableId="2058167198">
    <w:abstractNumId w:val="27"/>
  </w:num>
  <w:num w:numId="32" w16cid:durableId="331950580">
    <w:abstractNumId w:val="43"/>
  </w:num>
  <w:num w:numId="33" w16cid:durableId="970551443">
    <w:abstractNumId w:val="12"/>
  </w:num>
  <w:num w:numId="34" w16cid:durableId="1066873771">
    <w:abstractNumId w:val="24"/>
  </w:num>
  <w:num w:numId="35" w16cid:durableId="1353721555">
    <w:abstractNumId w:val="42"/>
  </w:num>
  <w:num w:numId="36" w16cid:durableId="1320883757">
    <w:abstractNumId w:val="28"/>
  </w:num>
  <w:num w:numId="37" w16cid:durableId="661785576">
    <w:abstractNumId w:val="25"/>
  </w:num>
  <w:num w:numId="38" w16cid:durableId="2031058922">
    <w:abstractNumId w:val="23"/>
  </w:num>
  <w:num w:numId="39" w16cid:durableId="174855469">
    <w:abstractNumId w:val="19"/>
  </w:num>
  <w:num w:numId="40" w16cid:durableId="1065686055">
    <w:abstractNumId w:val="0"/>
  </w:num>
  <w:num w:numId="41" w16cid:durableId="1015963786">
    <w:abstractNumId w:val="35"/>
  </w:num>
  <w:num w:numId="42" w16cid:durableId="1728995900">
    <w:abstractNumId w:val="47"/>
  </w:num>
  <w:num w:numId="43" w16cid:durableId="1094520217">
    <w:abstractNumId w:val="5"/>
  </w:num>
  <w:num w:numId="44" w16cid:durableId="1316568923">
    <w:abstractNumId w:val="16"/>
  </w:num>
  <w:num w:numId="45" w16cid:durableId="1115904055">
    <w:abstractNumId w:val="38"/>
  </w:num>
  <w:num w:numId="46" w16cid:durableId="945308235">
    <w:abstractNumId w:val="36"/>
  </w:num>
  <w:num w:numId="47" w16cid:durableId="433356280">
    <w:abstractNumId w:val="31"/>
  </w:num>
  <w:num w:numId="48" w16cid:durableId="472987655">
    <w:abstractNumId w:val="9"/>
  </w:num>
  <w:num w:numId="49" w16cid:durableId="211782007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12B7D"/>
    <w:rsid w:val="00012BBF"/>
    <w:rsid w:val="0001302E"/>
    <w:rsid w:val="00015484"/>
    <w:rsid w:val="0001682C"/>
    <w:rsid w:val="00017882"/>
    <w:rsid w:val="0002038B"/>
    <w:rsid w:val="00026774"/>
    <w:rsid w:val="000268FA"/>
    <w:rsid w:val="00026D73"/>
    <w:rsid w:val="00032D6A"/>
    <w:rsid w:val="0003502A"/>
    <w:rsid w:val="00035715"/>
    <w:rsid w:val="00035BCE"/>
    <w:rsid w:val="00036164"/>
    <w:rsid w:val="0003626D"/>
    <w:rsid w:val="000369E0"/>
    <w:rsid w:val="000415BC"/>
    <w:rsid w:val="0004492F"/>
    <w:rsid w:val="00044B92"/>
    <w:rsid w:val="00050A4F"/>
    <w:rsid w:val="00052676"/>
    <w:rsid w:val="000526CA"/>
    <w:rsid w:val="000545D8"/>
    <w:rsid w:val="00056B5E"/>
    <w:rsid w:val="000614CB"/>
    <w:rsid w:val="000651C4"/>
    <w:rsid w:val="00066E8C"/>
    <w:rsid w:val="00071B74"/>
    <w:rsid w:val="00077C0D"/>
    <w:rsid w:val="000837FA"/>
    <w:rsid w:val="00084E3B"/>
    <w:rsid w:val="00092CB4"/>
    <w:rsid w:val="00093FF3"/>
    <w:rsid w:val="000944CD"/>
    <w:rsid w:val="00095C5F"/>
    <w:rsid w:val="000A0326"/>
    <w:rsid w:val="000A0FC2"/>
    <w:rsid w:val="000A18D7"/>
    <w:rsid w:val="000A418E"/>
    <w:rsid w:val="000A6223"/>
    <w:rsid w:val="000A6B58"/>
    <w:rsid w:val="000B0EAF"/>
    <w:rsid w:val="000B43E9"/>
    <w:rsid w:val="000B64FD"/>
    <w:rsid w:val="000C3A8F"/>
    <w:rsid w:val="000D166B"/>
    <w:rsid w:val="000D1CA8"/>
    <w:rsid w:val="000D65C3"/>
    <w:rsid w:val="000D75BF"/>
    <w:rsid w:val="000D7C65"/>
    <w:rsid w:val="000E0867"/>
    <w:rsid w:val="000E3DEB"/>
    <w:rsid w:val="000E6BCA"/>
    <w:rsid w:val="000E6CBA"/>
    <w:rsid w:val="000E71AC"/>
    <w:rsid w:val="000E7B37"/>
    <w:rsid w:val="000F1692"/>
    <w:rsid w:val="000F3787"/>
    <w:rsid w:val="001002BB"/>
    <w:rsid w:val="00100811"/>
    <w:rsid w:val="00100D71"/>
    <w:rsid w:val="0010200C"/>
    <w:rsid w:val="00103F7E"/>
    <w:rsid w:val="001048F1"/>
    <w:rsid w:val="00106870"/>
    <w:rsid w:val="001166D5"/>
    <w:rsid w:val="001167FE"/>
    <w:rsid w:val="00117F26"/>
    <w:rsid w:val="00117FD4"/>
    <w:rsid w:val="00122453"/>
    <w:rsid w:val="001225AA"/>
    <w:rsid w:val="0012541E"/>
    <w:rsid w:val="00125ADD"/>
    <w:rsid w:val="00131A3D"/>
    <w:rsid w:val="00133378"/>
    <w:rsid w:val="00133BCD"/>
    <w:rsid w:val="00133F1C"/>
    <w:rsid w:val="00137A12"/>
    <w:rsid w:val="00142998"/>
    <w:rsid w:val="00144CAA"/>
    <w:rsid w:val="00145902"/>
    <w:rsid w:val="00150CAE"/>
    <w:rsid w:val="00153B91"/>
    <w:rsid w:val="00153DD3"/>
    <w:rsid w:val="00154ED1"/>
    <w:rsid w:val="00161686"/>
    <w:rsid w:val="00162B1C"/>
    <w:rsid w:val="001630F4"/>
    <w:rsid w:val="0016465E"/>
    <w:rsid w:val="00165A91"/>
    <w:rsid w:val="001666E6"/>
    <w:rsid w:val="001751F9"/>
    <w:rsid w:val="00180EF5"/>
    <w:rsid w:val="001924B5"/>
    <w:rsid w:val="00197EBF"/>
    <w:rsid w:val="001A1DE1"/>
    <w:rsid w:val="001A4D1D"/>
    <w:rsid w:val="001A5EF6"/>
    <w:rsid w:val="001A6051"/>
    <w:rsid w:val="001B3588"/>
    <w:rsid w:val="001B6E34"/>
    <w:rsid w:val="001B796A"/>
    <w:rsid w:val="001C107C"/>
    <w:rsid w:val="001C1B5F"/>
    <w:rsid w:val="001C1D97"/>
    <w:rsid w:val="001C5775"/>
    <w:rsid w:val="001C579D"/>
    <w:rsid w:val="001C6C24"/>
    <w:rsid w:val="001D6ABB"/>
    <w:rsid w:val="001E05F4"/>
    <w:rsid w:val="001E253E"/>
    <w:rsid w:val="001F0FF7"/>
    <w:rsid w:val="001F4E55"/>
    <w:rsid w:val="001F5401"/>
    <w:rsid w:val="001F7A57"/>
    <w:rsid w:val="001F7AC2"/>
    <w:rsid w:val="00200EC1"/>
    <w:rsid w:val="00202278"/>
    <w:rsid w:val="0020265A"/>
    <w:rsid w:val="00203752"/>
    <w:rsid w:val="00203ACF"/>
    <w:rsid w:val="00205D78"/>
    <w:rsid w:val="002167A5"/>
    <w:rsid w:val="002171D5"/>
    <w:rsid w:val="002173E1"/>
    <w:rsid w:val="00220E81"/>
    <w:rsid w:val="002228A7"/>
    <w:rsid w:val="002262E2"/>
    <w:rsid w:val="002267BA"/>
    <w:rsid w:val="002276D7"/>
    <w:rsid w:val="00227D7B"/>
    <w:rsid w:val="00232FE7"/>
    <w:rsid w:val="002424BD"/>
    <w:rsid w:val="0024605C"/>
    <w:rsid w:val="002473E1"/>
    <w:rsid w:val="0025016D"/>
    <w:rsid w:val="00250906"/>
    <w:rsid w:val="00254A2C"/>
    <w:rsid w:val="00254B88"/>
    <w:rsid w:val="00257C63"/>
    <w:rsid w:val="00261899"/>
    <w:rsid w:val="002641B6"/>
    <w:rsid w:val="0026633E"/>
    <w:rsid w:val="002671E8"/>
    <w:rsid w:val="00271663"/>
    <w:rsid w:val="00274920"/>
    <w:rsid w:val="00276371"/>
    <w:rsid w:val="00280353"/>
    <w:rsid w:val="002847E7"/>
    <w:rsid w:val="00285236"/>
    <w:rsid w:val="00291A1D"/>
    <w:rsid w:val="002943F0"/>
    <w:rsid w:val="0029777E"/>
    <w:rsid w:val="002A07AD"/>
    <w:rsid w:val="002A0E56"/>
    <w:rsid w:val="002C1EAD"/>
    <w:rsid w:val="002C265D"/>
    <w:rsid w:val="002C2C2B"/>
    <w:rsid w:val="002C5109"/>
    <w:rsid w:val="002C5988"/>
    <w:rsid w:val="002D096E"/>
    <w:rsid w:val="002D207D"/>
    <w:rsid w:val="002E09D3"/>
    <w:rsid w:val="002E0D42"/>
    <w:rsid w:val="002E0EFE"/>
    <w:rsid w:val="002E0FBF"/>
    <w:rsid w:val="002E433B"/>
    <w:rsid w:val="002E4DB5"/>
    <w:rsid w:val="002E667A"/>
    <w:rsid w:val="002F07B9"/>
    <w:rsid w:val="002F17A2"/>
    <w:rsid w:val="002F2E60"/>
    <w:rsid w:val="00301AA9"/>
    <w:rsid w:val="00305E76"/>
    <w:rsid w:val="00307E22"/>
    <w:rsid w:val="00312421"/>
    <w:rsid w:val="003154A4"/>
    <w:rsid w:val="0031756B"/>
    <w:rsid w:val="00324349"/>
    <w:rsid w:val="00325140"/>
    <w:rsid w:val="00330E9E"/>
    <w:rsid w:val="0033121C"/>
    <w:rsid w:val="0033261C"/>
    <w:rsid w:val="00332E38"/>
    <w:rsid w:val="003337E4"/>
    <w:rsid w:val="00334137"/>
    <w:rsid w:val="00334257"/>
    <w:rsid w:val="003344A9"/>
    <w:rsid w:val="00334936"/>
    <w:rsid w:val="00334F93"/>
    <w:rsid w:val="00335D40"/>
    <w:rsid w:val="003375D4"/>
    <w:rsid w:val="00340D2C"/>
    <w:rsid w:val="00341DCB"/>
    <w:rsid w:val="00343DB5"/>
    <w:rsid w:val="00344292"/>
    <w:rsid w:val="00345FA1"/>
    <w:rsid w:val="00347DC5"/>
    <w:rsid w:val="00352A73"/>
    <w:rsid w:val="00353111"/>
    <w:rsid w:val="00353C89"/>
    <w:rsid w:val="003568F8"/>
    <w:rsid w:val="00362D6E"/>
    <w:rsid w:val="00363A17"/>
    <w:rsid w:val="003655C1"/>
    <w:rsid w:val="003709C3"/>
    <w:rsid w:val="00370DF8"/>
    <w:rsid w:val="00372DFE"/>
    <w:rsid w:val="00375B40"/>
    <w:rsid w:val="00377F06"/>
    <w:rsid w:val="00383E29"/>
    <w:rsid w:val="00390BCC"/>
    <w:rsid w:val="00391960"/>
    <w:rsid w:val="0039674F"/>
    <w:rsid w:val="00396941"/>
    <w:rsid w:val="003A0768"/>
    <w:rsid w:val="003A0C46"/>
    <w:rsid w:val="003A43DB"/>
    <w:rsid w:val="003A50F1"/>
    <w:rsid w:val="003A6840"/>
    <w:rsid w:val="003B713B"/>
    <w:rsid w:val="003C018E"/>
    <w:rsid w:val="003C09D9"/>
    <w:rsid w:val="003C1B6D"/>
    <w:rsid w:val="003C7A2A"/>
    <w:rsid w:val="003D3956"/>
    <w:rsid w:val="003D5366"/>
    <w:rsid w:val="003D5E97"/>
    <w:rsid w:val="003D6A32"/>
    <w:rsid w:val="003D7778"/>
    <w:rsid w:val="003E26F1"/>
    <w:rsid w:val="003E52EA"/>
    <w:rsid w:val="003E6BA5"/>
    <w:rsid w:val="003E6E66"/>
    <w:rsid w:val="003F2264"/>
    <w:rsid w:val="003F70EF"/>
    <w:rsid w:val="003F779A"/>
    <w:rsid w:val="003F7842"/>
    <w:rsid w:val="003F7B94"/>
    <w:rsid w:val="003F7DCD"/>
    <w:rsid w:val="004013F4"/>
    <w:rsid w:val="004017C7"/>
    <w:rsid w:val="004019C7"/>
    <w:rsid w:val="00401E01"/>
    <w:rsid w:val="00401EA9"/>
    <w:rsid w:val="00402D4B"/>
    <w:rsid w:val="0040305E"/>
    <w:rsid w:val="00410662"/>
    <w:rsid w:val="0042568A"/>
    <w:rsid w:val="00426F69"/>
    <w:rsid w:val="004276DC"/>
    <w:rsid w:val="00432116"/>
    <w:rsid w:val="0043215F"/>
    <w:rsid w:val="00441CE3"/>
    <w:rsid w:val="0044546F"/>
    <w:rsid w:val="00446642"/>
    <w:rsid w:val="00450525"/>
    <w:rsid w:val="00451D6F"/>
    <w:rsid w:val="00451DEF"/>
    <w:rsid w:val="00460335"/>
    <w:rsid w:val="00471842"/>
    <w:rsid w:val="004746E3"/>
    <w:rsid w:val="00477635"/>
    <w:rsid w:val="00487704"/>
    <w:rsid w:val="00490337"/>
    <w:rsid w:val="004903E5"/>
    <w:rsid w:val="00490644"/>
    <w:rsid w:val="00495BC1"/>
    <w:rsid w:val="004A2ECB"/>
    <w:rsid w:val="004A3AFA"/>
    <w:rsid w:val="004B1B3B"/>
    <w:rsid w:val="004B4FED"/>
    <w:rsid w:val="004C16CE"/>
    <w:rsid w:val="004C1DF0"/>
    <w:rsid w:val="004C4FDA"/>
    <w:rsid w:val="004C7336"/>
    <w:rsid w:val="004D1517"/>
    <w:rsid w:val="004D1DE5"/>
    <w:rsid w:val="004D26C2"/>
    <w:rsid w:val="004D2B3F"/>
    <w:rsid w:val="004E395F"/>
    <w:rsid w:val="004E60B4"/>
    <w:rsid w:val="004E7945"/>
    <w:rsid w:val="004F2B3D"/>
    <w:rsid w:val="004F398F"/>
    <w:rsid w:val="004F3EFA"/>
    <w:rsid w:val="004F4517"/>
    <w:rsid w:val="004F4743"/>
    <w:rsid w:val="004F48C7"/>
    <w:rsid w:val="004F59BE"/>
    <w:rsid w:val="004F69DD"/>
    <w:rsid w:val="00500BFD"/>
    <w:rsid w:val="00507558"/>
    <w:rsid w:val="005108B8"/>
    <w:rsid w:val="005139BD"/>
    <w:rsid w:val="00516D0D"/>
    <w:rsid w:val="00521690"/>
    <w:rsid w:val="00521CB0"/>
    <w:rsid w:val="00521D2B"/>
    <w:rsid w:val="00522FD8"/>
    <w:rsid w:val="00524ADC"/>
    <w:rsid w:val="005302F3"/>
    <w:rsid w:val="0053412E"/>
    <w:rsid w:val="005359E5"/>
    <w:rsid w:val="00536F12"/>
    <w:rsid w:val="00537E58"/>
    <w:rsid w:val="005403EF"/>
    <w:rsid w:val="00540613"/>
    <w:rsid w:val="00542B0D"/>
    <w:rsid w:val="00543E4D"/>
    <w:rsid w:val="00544223"/>
    <w:rsid w:val="00546FD6"/>
    <w:rsid w:val="00554720"/>
    <w:rsid w:val="0055483A"/>
    <w:rsid w:val="005571DA"/>
    <w:rsid w:val="005625F1"/>
    <w:rsid w:val="00566072"/>
    <w:rsid w:val="00571D90"/>
    <w:rsid w:val="00572A94"/>
    <w:rsid w:val="00573A8C"/>
    <w:rsid w:val="00580CCF"/>
    <w:rsid w:val="00581C4E"/>
    <w:rsid w:val="00584520"/>
    <w:rsid w:val="005863AD"/>
    <w:rsid w:val="00587983"/>
    <w:rsid w:val="00591A42"/>
    <w:rsid w:val="00596B64"/>
    <w:rsid w:val="00596D5C"/>
    <w:rsid w:val="005A01A9"/>
    <w:rsid w:val="005A168C"/>
    <w:rsid w:val="005A2130"/>
    <w:rsid w:val="005A2F5E"/>
    <w:rsid w:val="005A4543"/>
    <w:rsid w:val="005A4FDC"/>
    <w:rsid w:val="005A67BF"/>
    <w:rsid w:val="005A7F1F"/>
    <w:rsid w:val="005B5507"/>
    <w:rsid w:val="005C0154"/>
    <w:rsid w:val="005C1458"/>
    <w:rsid w:val="005C41D0"/>
    <w:rsid w:val="005C6677"/>
    <w:rsid w:val="005C6975"/>
    <w:rsid w:val="005C6CA8"/>
    <w:rsid w:val="005C7AF6"/>
    <w:rsid w:val="005D08E2"/>
    <w:rsid w:val="005D0EE9"/>
    <w:rsid w:val="005D3861"/>
    <w:rsid w:val="005D5743"/>
    <w:rsid w:val="005D6694"/>
    <w:rsid w:val="005D6FDB"/>
    <w:rsid w:val="005E14F0"/>
    <w:rsid w:val="005E1952"/>
    <w:rsid w:val="005E36F4"/>
    <w:rsid w:val="005E6B00"/>
    <w:rsid w:val="005E70B2"/>
    <w:rsid w:val="005E7D25"/>
    <w:rsid w:val="005F124A"/>
    <w:rsid w:val="005F4C6A"/>
    <w:rsid w:val="006000F4"/>
    <w:rsid w:val="0060586D"/>
    <w:rsid w:val="00606AD4"/>
    <w:rsid w:val="006124ED"/>
    <w:rsid w:val="00613B3D"/>
    <w:rsid w:val="00613F65"/>
    <w:rsid w:val="0061619E"/>
    <w:rsid w:val="00616553"/>
    <w:rsid w:val="00616D40"/>
    <w:rsid w:val="0062081B"/>
    <w:rsid w:val="00625EC7"/>
    <w:rsid w:val="00627390"/>
    <w:rsid w:val="006344D2"/>
    <w:rsid w:val="006402A5"/>
    <w:rsid w:val="006500C3"/>
    <w:rsid w:val="00650537"/>
    <w:rsid w:val="006535B8"/>
    <w:rsid w:val="0065361B"/>
    <w:rsid w:val="00655251"/>
    <w:rsid w:val="006578D9"/>
    <w:rsid w:val="00660840"/>
    <w:rsid w:val="00665802"/>
    <w:rsid w:val="00667F46"/>
    <w:rsid w:val="006704A9"/>
    <w:rsid w:val="0067245B"/>
    <w:rsid w:val="00676A21"/>
    <w:rsid w:val="0068370F"/>
    <w:rsid w:val="00683AD2"/>
    <w:rsid w:val="00685968"/>
    <w:rsid w:val="006860B3"/>
    <w:rsid w:val="00693764"/>
    <w:rsid w:val="00693E1E"/>
    <w:rsid w:val="00694211"/>
    <w:rsid w:val="006A0AE8"/>
    <w:rsid w:val="006A10F8"/>
    <w:rsid w:val="006A1920"/>
    <w:rsid w:val="006A51A2"/>
    <w:rsid w:val="006B0A76"/>
    <w:rsid w:val="006B0EA7"/>
    <w:rsid w:val="006B28DC"/>
    <w:rsid w:val="006B30D4"/>
    <w:rsid w:val="006B4199"/>
    <w:rsid w:val="006B532B"/>
    <w:rsid w:val="006B562C"/>
    <w:rsid w:val="006C00B8"/>
    <w:rsid w:val="006C030E"/>
    <w:rsid w:val="006C28F4"/>
    <w:rsid w:val="006C67CF"/>
    <w:rsid w:val="006D0DAB"/>
    <w:rsid w:val="006D29EE"/>
    <w:rsid w:val="006D3DF9"/>
    <w:rsid w:val="006D44CF"/>
    <w:rsid w:val="006D665E"/>
    <w:rsid w:val="006D7025"/>
    <w:rsid w:val="006D7B55"/>
    <w:rsid w:val="006E0709"/>
    <w:rsid w:val="006E08C1"/>
    <w:rsid w:val="006E674D"/>
    <w:rsid w:val="006E722C"/>
    <w:rsid w:val="006F05B4"/>
    <w:rsid w:val="006F15C8"/>
    <w:rsid w:val="006F3334"/>
    <w:rsid w:val="006F722A"/>
    <w:rsid w:val="00705CB7"/>
    <w:rsid w:val="0070676F"/>
    <w:rsid w:val="00710AF3"/>
    <w:rsid w:val="00714B01"/>
    <w:rsid w:val="00716BDF"/>
    <w:rsid w:val="00720786"/>
    <w:rsid w:val="00723013"/>
    <w:rsid w:val="0072648C"/>
    <w:rsid w:val="00726AA1"/>
    <w:rsid w:val="00731F65"/>
    <w:rsid w:val="007371AE"/>
    <w:rsid w:val="007401AE"/>
    <w:rsid w:val="00740EB0"/>
    <w:rsid w:val="00741032"/>
    <w:rsid w:val="00746030"/>
    <w:rsid w:val="00750207"/>
    <w:rsid w:val="0075060D"/>
    <w:rsid w:val="0075199A"/>
    <w:rsid w:val="007532A9"/>
    <w:rsid w:val="007539E7"/>
    <w:rsid w:val="00760EF4"/>
    <w:rsid w:val="00764C11"/>
    <w:rsid w:val="007659CA"/>
    <w:rsid w:val="0076704A"/>
    <w:rsid w:val="00767921"/>
    <w:rsid w:val="007748E7"/>
    <w:rsid w:val="00774EF4"/>
    <w:rsid w:val="00776347"/>
    <w:rsid w:val="00780CA5"/>
    <w:rsid w:val="00781487"/>
    <w:rsid w:val="00783285"/>
    <w:rsid w:val="007850CF"/>
    <w:rsid w:val="00785E0C"/>
    <w:rsid w:val="00793C72"/>
    <w:rsid w:val="007A0E67"/>
    <w:rsid w:val="007A1289"/>
    <w:rsid w:val="007A31BB"/>
    <w:rsid w:val="007A31D2"/>
    <w:rsid w:val="007A43C7"/>
    <w:rsid w:val="007B0B40"/>
    <w:rsid w:val="007B0CC1"/>
    <w:rsid w:val="007B3A81"/>
    <w:rsid w:val="007B62BB"/>
    <w:rsid w:val="007C1EE2"/>
    <w:rsid w:val="007C397A"/>
    <w:rsid w:val="007C6668"/>
    <w:rsid w:val="007D140E"/>
    <w:rsid w:val="007D3EFC"/>
    <w:rsid w:val="007D4E8C"/>
    <w:rsid w:val="007D71E1"/>
    <w:rsid w:val="007E0A05"/>
    <w:rsid w:val="007E579C"/>
    <w:rsid w:val="007F3372"/>
    <w:rsid w:val="007F42A0"/>
    <w:rsid w:val="007F68BD"/>
    <w:rsid w:val="008020C3"/>
    <w:rsid w:val="008033C4"/>
    <w:rsid w:val="008077F6"/>
    <w:rsid w:val="00807E1A"/>
    <w:rsid w:val="00812348"/>
    <w:rsid w:val="0081602E"/>
    <w:rsid w:val="00820522"/>
    <w:rsid w:val="0082149A"/>
    <w:rsid w:val="00826533"/>
    <w:rsid w:val="00831897"/>
    <w:rsid w:val="00835F21"/>
    <w:rsid w:val="0083619F"/>
    <w:rsid w:val="008370D4"/>
    <w:rsid w:val="00843906"/>
    <w:rsid w:val="00844B27"/>
    <w:rsid w:val="008460BC"/>
    <w:rsid w:val="008475A8"/>
    <w:rsid w:val="00850A1F"/>
    <w:rsid w:val="008511F8"/>
    <w:rsid w:val="00852071"/>
    <w:rsid w:val="008703B3"/>
    <w:rsid w:val="008714F0"/>
    <w:rsid w:val="008715D6"/>
    <w:rsid w:val="00872705"/>
    <w:rsid w:val="00872C6C"/>
    <w:rsid w:val="00887335"/>
    <w:rsid w:val="00887428"/>
    <w:rsid w:val="00887D1E"/>
    <w:rsid w:val="008913D4"/>
    <w:rsid w:val="008969DC"/>
    <w:rsid w:val="008A0C72"/>
    <w:rsid w:val="008A161F"/>
    <w:rsid w:val="008A1AD9"/>
    <w:rsid w:val="008A6133"/>
    <w:rsid w:val="008A625B"/>
    <w:rsid w:val="008A7357"/>
    <w:rsid w:val="008C03BE"/>
    <w:rsid w:val="008C1587"/>
    <w:rsid w:val="008C2770"/>
    <w:rsid w:val="008C3906"/>
    <w:rsid w:val="008C6292"/>
    <w:rsid w:val="008C7B44"/>
    <w:rsid w:val="008D0DA2"/>
    <w:rsid w:val="008D0F2F"/>
    <w:rsid w:val="008D25F1"/>
    <w:rsid w:val="008D5EEE"/>
    <w:rsid w:val="008E08BE"/>
    <w:rsid w:val="008E16C7"/>
    <w:rsid w:val="008E3361"/>
    <w:rsid w:val="008E736F"/>
    <w:rsid w:val="008F2298"/>
    <w:rsid w:val="008F28B6"/>
    <w:rsid w:val="008F3354"/>
    <w:rsid w:val="008F35B9"/>
    <w:rsid w:val="008F3C4F"/>
    <w:rsid w:val="00901415"/>
    <w:rsid w:val="00902C4D"/>
    <w:rsid w:val="009033EB"/>
    <w:rsid w:val="00903DC9"/>
    <w:rsid w:val="00912283"/>
    <w:rsid w:val="009135B8"/>
    <w:rsid w:val="009142A2"/>
    <w:rsid w:val="009159FB"/>
    <w:rsid w:val="00922BAE"/>
    <w:rsid w:val="00925178"/>
    <w:rsid w:val="00925910"/>
    <w:rsid w:val="0092752E"/>
    <w:rsid w:val="00930337"/>
    <w:rsid w:val="009346EA"/>
    <w:rsid w:val="0094194E"/>
    <w:rsid w:val="009421DA"/>
    <w:rsid w:val="009438C0"/>
    <w:rsid w:val="00944903"/>
    <w:rsid w:val="009450D2"/>
    <w:rsid w:val="00950B00"/>
    <w:rsid w:val="00954004"/>
    <w:rsid w:val="00954093"/>
    <w:rsid w:val="00955D07"/>
    <w:rsid w:val="00960972"/>
    <w:rsid w:val="0096685F"/>
    <w:rsid w:val="009812E8"/>
    <w:rsid w:val="00982B46"/>
    <w:rsid w:val="00983E4B"/>
    <w:rsid w:val="009878E1"/>
    <w:rsid w:val="009901D0"/>
    <w:rsid w:val="00996A81"/>
    <w:rsid w:val="00997D6A"/>
    <w:rsid w:val="009A02AB"/>
    <w:rsid w:val="009A1EE7"/>
    <w:rsid w:val="009A2051"/>
    <w:rsid w:val="009A7DD9"/>
    <w:rsid w:val="009B0F88"/>
    <w:rsid w:val="009B1E96"/>
    <w:rsid w:val="009B24C7"/>
    <w:rsid w:val="009B4A53"/>
    <w:rsid w:val="009B4AA4"/>
    <w:rsid w:val="009C1B91"/>
    <w:rsid w:val="009C1F5D"/>
    <w:rsid w:val="009C342E"/>
    <w:rsid w:val="009D0E64"/>
    <w:rsid w:val="009D15C4"/>
    <w:rsid w:val="009D3C5E"/>
    <w:rsid w:val="009D71F9"/>
    <w:rsid w:val="009E1494"/>
    <w:rsid w:val="009E1D23"/>
    <w:rsid w:val="009F1A02"/>
    <w:rsid w:val="009F3989"/>
    <w:rsid w:val="009F3DD8"/>
    <w:rsid w:val="009F5E4A"/>
    <w:rsid w:val="009F62AE"/>
    <w:rsid w:val="00A00668"/>
    <w:rsid w:val="00A023D5"/>
    <w:rsid w:val="00A0409D"/>
    <w:rsid w:val="00A065CB"/>
    <w:rsid w:val="00A0661E"/>
    <w:rsid w:val="00A07A93"/>
    <w:rsid w:val="00A11AD2"/>
    <w:rsid w:val="00A12410"/>
    <w:rsid w:val="00A12FE9"/>
    <w:rsid w:val="00A14A03"/>
    <w:rsid w:val="00A15474"/>
    <w:rsid w:val="00A20A4E"/>
    <w:rsid w:val="00A2634F"/>
    <w:rsid w:val="00A31E2D"/>
    <w:rsid w:val="00A42F46"/>
    <w:rsid w:val="00A45922"/>
    <w:rsid w:val="00A46F67"/>
    <w:rsid w:val="00A47E55"/>
    <w:rsid w:val="00A53055"/>
    <w:rsid w:val="00A54142"/>
    <w:rsid w:val="00A5461F"/>
    <w:rsid w:val="00A61304"/>
    <w:rsid w:val="00A6274D"/>
    <w:rsid w:val="00A63BD3"/>
    <w:rsid w:val="00A729E5"/>
    <w:rsid w:val="00A72E5C"/>
    <w:rsid w:val="00A74DD6"/>
    <w:rsid w:val="00A80C9A"/>
    <w:rsid w:val="00A8467A"/>
    <w:rsid w:val="00A84683"/>
    <w:rsid w:val="00A85541"/>
    <w:rsid w:val="00A86F28"/>
    <w:rsid w:val="00A91CC5"/>
    <w:rsid w:val="00A91D68"/>
    <w:rsid w:val="00A9282A"/>
    <w:rsid w:val="00A92ABC"/>
    <w:rsid w:val="00A94E25"/>
    <w:rsid w:val="00A95224"/>
    <w:rsid w:val="00A97914"/>
    <w:rsid w:val="00AA06BF"/>
    <w:rsid w:val="00AA304E"/>
    <w:rsid w:val="00AA31BD"/>
    <w:rsid w:val="00AA37FE"/>
    <w:rsid w:val="00AA4377"/>
    <w:rsid w:val="00AB289C"/>
    <w:rsid w:val="00AB2C59"/>
    <w:rsid w:val="00AC0406"/>
    <w:rsid w:val="00AC0422"/>
    <w:rsid w:val="00AC1B5C"/>
    <w:rsid w:val="00AC756D"/>
    <w:rsid w:val="00AD3FB5"/>
    <w:rsid w:val="00AE140B"/>
    <w:rsid w:val="00AE3FE9"/>
    <w:rsid w:val="00AE480C"/>
    <w:rsid w:val="00AE55AC"/>
    <w:rsid w:val="00AE6DFC"/>
    <w:rsid w:val="00AE79BA"/>
    <w:rsid w:val="00AF094A"/>
    <w:rsid w:val="00AF3A80"/>
    <w:rsid w:val="00AF4BBB"/>
    <w:rsid w:val="00B0587E"/>
    <w:rsid w:val="00B05B32"/>
    <w:rsid w:val="00B12B54"/>
    <w:rsid w:val="00B16F3B"/>
    <w:rsid w:val="00B20C17"/>
    <w:rsid w:val="00B216D6"/>
    <w:rsid w:val="00B22669"/>
    <w:rsid w:val="00B251CF"/>
    <w:rsid w:val="00B25504"/>
    <w:rsid w:val="00B260F0"/>
    <w:rsid w:val="00B273C9"/>
    <w:rsid w:val="00B27ECB"/>
    <w:rsid w:val="00B31B0A"/>
    <w:rsid w:val="00B31FAD"/>
    <w:rsid w:val="00B37A96"/>
    <w:rsid w:val="00B4333A"/>
    <w:rsid w:val="00B52BB8"/>
    <w:rsid w:val="00B52BFA"/>
    <w:rsid w:val="00B558BA"/>
    <w:rsid w:val="00B566E4"/>
    <w:rsid w:val="00B56C08"/>
    <w:rsid w:val="00B621E7"/>
    <w:rsid w:val="00B65541"/>
    <w:rsid w:val="00B71FDE"/>
    <w:rsid w:val="00B7456B"/>
    <w:rsid w:val="00B76265"/>
    <w:rsid w:val="00B85E5B"/>
    <w:rsid w:val="00B8616C"/>
    <w:rsid w:val="00B90AF3"/>
    <w:rsid w:val="00B91991"/>
    <w:rsid w:val="00B95B6C"/>
    <w:rsid w:val="00B96083"/>
    <w:rsid w:val="00B965A4"/>
    <w:rsid w:val="00BA4782"/>
    <w:rsid w:val="00BA61DE"/>
    <w:rsid w:val="00BA69F4"/>
    <w:rsid w:val="00BB1E98"/>
    <w:rsid w:val="00BB24E3"/>
    <w:rsid w:val="00BB4723"/>
    <w:rsid w:val="00BB63E9"/>
    <w:rsid w:val="00BB7DE4"/>
    <w:rsid w:val="00BC292F"/>
    <w:rsid w:val="00BC4E52"/>
    <w:rsid w:val="00BC7C07"/>
    <w:rsid w:val="00BD11FD"/>
    <w:rsid w:val="00BD3C58"/>
    <w:rsid w:val="00BD48B1"/>
    <w:rsid w:val="00BD6FDD"/>
    <w:rsid w:val="00BE0712"/>
    <w:rsid w:val="00BE0A63"/>
    <w:rsid w:val="00BE20C4"/>
    <w:rsid w:val="00BE27E9"/>
    <w:rsid w:val="00BE3628"/>
    <w:rsid w:val="00BE3F2F"/>
    <w:rsid w:val="00BE4BA5"/>
    <w:rsid w:val="00BE61E4"/>
    <w:rsid w:val="00BE74E2"/>
    <w:rsid w:val="00BF1DE9"/>
    <w:rsid w:val="00BF2FF1"/>
    <w:rsid w:val="00BF3D43"/>
    <w:rsid w:val="00BF4242"/>
    <w:rsid w:val="00BF5B92"/>
    <w:rsid w:val="00BF64A7"/>
    <w:rsid w:val="00C00CD3"/>
    <w:rsid w:val="00C03FE6"/>
    <w:rsid w:val="00C06852"/>
    <w:rsid w:val="00C069D2"/>
    <w:rsid w:val="00C07749"/>
    <w:rsid w:val="00C127C4"/>
    <w:rsid w:val="00C13F1B"/>
    <w:rsid w:val="00C14D89"/>
    <w:rsid w:val="00C14EA7"/>
    <w:rsid w:val="00C177D2"/>
    <w:rsid w:val="00C20D58"/>
    <w:rsid w:val="00C25F16"/>
    <w:rsid w:val="00C27273"/>
    <w:rsid w:val="00C31AA5"/>
    <w:rsid w:val="00C3258A"/>
    <w:rsid w:val="00C32FEF"/>
    <w:rsid w:val="00C4095B"/>
    <w:rsid w:val="00C42FCA"/>
    <w:rsid w:val="00C43E9A"/>
    <w:rsid w:val="00C44127"/>
    <w:rsid w:val="00C467DA"/>
    <w:rsid w:val="00C470A4"/>
    <w:rsid w:val="00C51F86"/>
    <w:rsid w:val="00C527B1"/>
    <w:rsid w:val="00C56DBC"/>
    <w:rsid w:val="00C61F31"/>
    <w:rsid w:val="00C673E2"/>
    <w:rsid w:val="00C71A0D"/>
    <w:rsid w:val="00C76D2C"/>
    <w:rsid w:val="00C76EFE"/>
    <w:rsid w:val="00C85638"/>
    <w:rsid w:val="00C86C85"/>
    <w:rsid w:val="00C905EF"/>
    <w:rsid w:val="00C92592"/>
    <w:rsid w:val="00C9301F"/>
    <w:rsid w:val="00C94403"/>
    <w:rsid w:val="00C97943"/>
    <w:rsid w:val="00CA1245"/>
    <w:rsid w:val="00CA2968"/>
    <w:rsid w:val="00CA7A98"/>
    <w:rsid w:val="00CB0AD3"/>
    <w:rsid w:val="00CB3CB9"/>
    <w:rsid w:val="00CC0AE4"/>
    <w:rsid w:val="00CC231E"/>
    <w:rsid w:val="00CC5130"/>
    <w:rsid w:val="00CC5B8C"/>
    <w:rsid w:val="00CD350C"/>
    <w:rsid w:val="00CD5957"/>
    <w:rsid w:val="00CD70EF"/>
    <w:rsid w:val="00CE20F9"/>
    <w:rsid w:val="00CE2C72"/>
    <w:rsid w:val="00CE31D2"/>
    <w:rsid w:val="00CE3EC4"/>
    <w:rsid w:val="00CE3F47"/>
    <w:rsid w:val="00CE6F7A"/>
    <w:rsid w:val="00CF2BFD"/>
    <w:rsid w:val="00CF4F0A"/>
    <w:rsid w:val="00D019A8"/>
    <w:rsid w:val="00D0402F"/>
    <w:rsid w:val="00D04D12"/>
    <w:rsid w:val="00D066ED"/>
    <w:rsid w:val="00D16658"/>
    <w:rsid w:val="00D16EC8"/>
    <w:rsid w:val="00D201C1"/>
    <w:rsid w:val="00D20B7C"/>
    <w:rsid w:val="00D20F7F"/>
    <w:rsid w:val="00D21439"/>
    <w:rsid w:val="00D22794"/>
    <w:rsid w:val="00D23DB9"/>
    <w:rsid w:val="00D2480F"/>
    <w:rsid w:val="00D2563B"/>
    <w:rsid w:val="00D275EE"/>
    <w:rsid w:val="00D27A1A"/>
    <w:rsid w:val="00D3042E"/>
    <w:rsid w:val="00D30EF9"/>
    <w:rsid w:val="00D326B5"/>
    <w:rsid w:val="00D329B9"/>
    <w:rsid w:val="00D40920"/>
    <w:rsid w:val="00D41426"/>
    <w:rsid w:val="00D50DC9"/>
    <w:rsid w:val="00D543C6"/>
    <w:rsid w:val="00D57FC0"/>
    <w:rsid w:val="00D604BA"/>
    <w:rsid w:val="00D6570A"/>
    <w:rsid w:val="00D67ABD"/>
    <w:rsid w:val="00D70986"/>
    <w:rsid w:val="00D71BB2"/>
    <w:rsid w:val="00D818B6"/>
    <w:rsid w:val="00D8284C"/>
    <w:rsid w:val="00D844D4"/>
    <w:rsid w:val="00D90E6D"/>
    <w:rsid w:val="00D9144F"/>
    <w:rsid w:val="00D918FD"/>
    <w:rsid w:val="00D92DBD"/>
    <w:rsid w:val="00D96C0B"/>
    <w:rsid w:val="00DA1902"/>
    <w:rsid w:val="00DA2EE1"/>
    <w:rsid w:val="00DA3F41"/>
    <w:rsid w:val="00DA547E"/>
    <w:rsid w:val="00DB1E71"/>
    <w:rsid w:val="00DB3EF7"/>
    <w:rsid w:val="00DB4362"/>
    <w:rsid w:val="00DB4B8B"/>
    <w:rsid w:val="00DB4E0B"/>
    <w:rsid w:val="00DB5DF9"/>
    <w:rsid w:val="00DC08F8"/>
    <w:rsid w:val="00DC0EC4"/>
    <w:rsid w:val="00DC153E"/>
    <w:rsid w:val="00DC2212"/>
    <w:rsid w:val="00DC2361"/>
    <w:rsid w:val="00DC26F5"/>
    <w:rsid w:val="00DC6D82"/>
    <w:rsid w:val="00DC6DE4"/>
    <w:rsid w:val="00DD0DEC"/>
    <w:rsid w:val="00DD267B"/>
    <w:rsid w:val="00DD2765"/>
    <w:rsid w:val="00DD2EA3"/>
    <w:rsid w:val="00DD5444"/>
    <w:rsid w:val="00DD7AD5"/>
    <w:rsid w:val="00DE2A5E"/>
    <w:rsid w:val="00DE44B6"/>
    <w:rsid w:val="00DE54C0"/>
    <w:rsid w:val="00DF14AD"/>
    <w:rsid w:val="00DF22CE"/>
    <w:rsid w:val="00DF7BEF"/>
    <w:rsid w:val="00E00245"/>
    <w:rsid w:val="00E024DD"/>
    <w:rsid w:val="00E039AC"/>
    <w:rsid w:val="00E047D4"/>
    <w:rsid w:val="00E0579D"/>
    <w:rsid w:val="00E109A7"/>
    <w:rsid w:val="00E137E5"/>
    <w:rsid w:val="00E1571B"/>
    <w:rsid w:val="00E16C1C"/>
    <w:rsid w:val="00E17D93"/>
    <w:rsid w:val="00E22DDC"/>
    <w:rsid w:val="00E25EDF"/>
    <w:rsid w:val="00E3053E"/>
    <w:rsid w:val="00E31E5E"/>
    <w:rsid w:val="00E33AA2"/>
    <w:rsid w:val="00E350F7"/>
    <w:rsid w:val="00E359E1"/>
    <w:rsid w:val="00E35F95"/>
    <w:rsid w:val="00E36B03"/>
    <w:rsid w:val="00E45D28"/>
    <w:rsid w:val="00E52725"/>
    <w:rsid w:val="00E534C5"/>
    <w:rsid w:val="00E5474E"/>
    <w:rsid w:val="00E6054D"/>
    <w:rsid w:val="00E61439"/>
    <w:rsid w:val="00E6646D"/>
    <w:rsid w:val="00E71056"/>
    <w:rsid w:val="00E71B32"/>
    <w:rsid w:val="00E73CAB"/>
    <w:rsid w:val="00E762AC"/>
    <w:rsid w:val="00E7758D"/>
    <w:rsid w:val="00E8219D"/>
    <w:rsid w:val="00E83BF9"/>
    <w:rsid w:val="00E84ECD"/>
    <w:rsid w:val="00E8514D"/>
    <w:rsid w:val="00E90B77"/>
    <w:rsid w:val="00E92837"/>
    <w:rsid w:val="00E933E5"/>
    <w:rsid w:val="00E95AC9"/>
    <w:rsid w:val="00EA024E"/>
    <w:rsid w:val="00EA15CD"/>
    <w:rsid w:val="00EB4D7C"/>
    <w:rsid w:val="00EB6447"/>
    <w:rsid w:val="00EB6E29"/>
    <w:rsid w:val="00EC1B41"/>
    <w:rsid w:val="00EC6AA2"/>
    <w:rsid w:val="00ED27F5"/>
    <w:rsid w:val="00ED28FE"/>
    <w:rsid w:val="00ED5ED2"/>
    <w:rsid w:val="00ED714D"/>
    <w:rsid w:val="00EE13ED"/>
    <w:rsid w:val="00EE378B"/>
    <w:rsid w:val="00EE61E1"/>
    <w:rsid w:val="00EF0ACE"/>
    <w:rsid w:val="00EF3CDE"/>
    <w:rsid w:val="00EF5BD9"/>
    <w:rsid w:val="00F03474"/>
    <w:rsid w:val="00F04160"/>
    <w:rsid w:val="00F056FD"/>
    <w:rsid w:val="00F20252"/>
    <w:rsid w:val="00F22CDB"/>
    <w:rsid w:val="00F24EB6"/>
    <w:rsid w:val="00F26EC4"/>
    <w:rsid w:val="00F27777"/>
    <w:rsid w:val="00F315E2"/>
    <w:rsid w:val="00F36131"/>
    <w:rsid w:val="00F54994"/>
    <w:rsid w:val="00F557C8"/>
    <w:rsid w:val="00F5689D"/>
    <w:rsid w:val="00F56EC7"/>
    <w:rsid w:val="00F577F7"/>
    <w:rsid w:val="00F60A81"/>
    <w:rsid w:val="00F632EF"/>
    <w:rsid w:val="00F670C2"/>
    <w:rsid w:val="00F6792F"/>
    <w:rsid w:val="00F705C0"/>
    <w:rsid w:val="00F71A71"/>
    <w:rsid w:val="00F71AEC"/>
    <w:rsid w:val="00F7440B"/>
    <w:rsid w:val="00F74572"/>
    <w:rsid w:val="00F7539B"/>
    <w:rsid w:val="00F76170"/>
    <w:rsid w:val="00F76D3A"/>
    <w:rsid w:val="00F8102F"/>
    <w:rsid w:val="00F87002"/>
    <w:rsid w:val="00F877AC"/>
    <w:rsid w:val="00F87843"/>
    <w:rsid w:val="00F91CB7"/>
    <w:rsid w:val="00F94153"/>
    <w:rsid w:val="00F94736"/>
    <w:rsid w:val="00FA164C"/>
    <w:rsid w:val="00FA5562"/>
    <w:rsid w:val="00FB0477"/>
    <w:rsid w:val="00FB0B1B"/>
    <w:rsid w:val="00FB3281"/>
    <w:rsid w:val="00FC18AE"/>
    <w:rsid w:val="00FC282F"/>
    <w:rsid w:val="00FD0A8D"/>
    <w:rsid w:val="00FD2252"/>
    <w:rsid w:val="00FD2714"/>
    <w:rsid w:val="00FE13C2"/>
    <w:rsid w:val="00FE6D80"/>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C37DF"/>
  <w15:docId w15:val="{7BAD8CFB-F236-4CF7-8F58-16B791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8C2770"/>
    <w:pPr>
      <w:keepNext/>
      <w:outlineLvl w:val="0"/>
    </w:pPr>
    <w:rPr>
      <w:b/>
      <w:szCs w:val="20"/>
    </w:rPr>
  </w:style>
  <w:style w:type="paragraph" w:styleId="Heading2">
    <w:name w:val="heading 2"/>
    <w:basedOn w:val="Normal"/>
    <w:next w:val="Normal"/>
    <w:link w:val="Heading2Char"/>
    <w:qFormat/>
    <w:rsid w:val="008C2770"/>
    <w:pPr>
      <w:keepNext/>
      <w:widowControl w:val="0"/>
      <w:tabs>
        <w:tab w:val="left" w:pos="0"/>
      </w:tabs>
      <w:outlineLvl w:val="1"/>
    </w:pPr>
    <w:rPr>
      <w:rFonts w:ascii="Myriad Pro" w:hAnsi="Myriad Pro"/>
      <w:b/>
      <w:i/>
      <w:position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uiPriority w:val="99"/>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qFormat/>
    <w:rsid w:val="00521CB0"/>
    <w:rPr>
      <w:sz w:val="20"/>
      <w:szCs w:val="20"/>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521CB0"/>
  </w:style>
  <w:style w:type="character" w:styleId="FootnoteReference">
    <w:name w:val="footnote reference"/>
    <w:aliases w:val="ftref,fr,16 Point,Superscript 6 Point,(NECG) Footnote Reference,Ref,de nota al pie,FnR-ANZDEC,Fußnotenzeichen DISS,Footnote Ref in FtNote,SUPERS,Footnote text,BVI fnr,Char Char,Carattere Char1,Superscript 6 Point + 11 pt,Style 24,o"/>
    <w:basedOn w:val="DefaultParagraphFont"/>
    <w:uiPriority w:val="99"/>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 w:type="paragraph" w:customStyle="1" w:styleId="Default">
    <w:name w:val="Default"/>
    <w:rsid w:val="00A5461F"/>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A5461F"/>
    <w:rPr>
      <w:color w:val="auto"/>
    </w:rPr>
  </w:style>
  <w:style w:type="paragraph" w:customStyle="1" w:styleId="CM6">
    <w:name w:val="CM6"/>
    <w:basedOn w:val="Default"/>
    <w:next w:val="Default"/>
    <w:uiPriority w:val="99"/>
    <w:rsid w:val="00A5461F"/>
    <w:rPr>
      <w:color w:val="auto"/>
    </w:rPr>
  </w:style>
  <w:style w:type="paragraph" w:styleId="ListParagraph">
    <w:name w:val="List Paragraph"/>
    <w:aliases w:val="List Paragraph (numbered (a)),Akapit z listą BS,Bullets,List Paragraph1,Lapis Bulleted List,Dot pt,F5 List Paragraph,No Spacing1,List Paragraph Char Char Char,Indicator Text,Numbered Para 1,Bullet 1,List Paragraph12,Bullet Points"/>
    <w:basedOn w:val="Normal"/>
    <w:link w:val="ListParagraphChar"/>
    <w:uiPriority w:val="34"/>
    <w:qFormat/>
    <w:rsid w:val="00A5461F"/>
    <w:pPr>
      <w:ind w:left="720"/>
    </w:pPr>
    <w:rPr>
      <w:rFonts w:ascii="Calibri" w:eastAsia="Calibri" w:hAnsi="Calibri"/>
      <w:sz w:val="22"/>
      <w:szCs w:val="22"/>
    </w:rPr>
  </w:style>
  <w:style w:type="character" w:customStyle="1" w:styleId="spelle">
    <w:name w:val="spelle"/>
    <w:basedOn w:val="DefaultParagraphFont"/>
    <w:rsid w:val="00AE55AC"/>
  </w:style>
  <w:style w:type="paragraph" w:styleId="NormalWeb">
    <w:name w:val="Normal (Web)"/>
    <w:basedOn w:val="Normal"/>
    <w:uiPriority w:val="99"/>
    <w:semiHidden/>
    <w:unhideWhenUsed/>
    <w:rsid w:val="00C127C4"/>
    <w:pPr>
      <w:spacing w:before="100" w:beforeAutospacing="1" w:after="100" w:afterAutospacing="1" w:line="360" w:lineRule="auto"/>
    </w:pPr>
  </w:style>
  <w:style w:type="table" w:styleId="TableGrid">
    <w:name w:val="Table Grid"/>
    <w:basedOn w:val="TableNormal"/>
    <w:uiPriority w:val="39"/>
    <w:rsid w:val="00C127C4"/>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para">
    <w:name w:val="* intro para"/>
    <w:basedOn w:val="Normal"/>
    <w:rsid w:val="003E6BA5"/>
    <w:pPr>
      <w:widowControl w:val="0"/>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3E6BA5"/>
    <w:pPr>
      <w:numPr>
        <w:numId w:val="3"/>
      </w:numPr>
      <w:spacing w:after="60"/>
    </w:pPr>
    <w:rPr>
      <w:rFonts w:ascii="Cambria" w:hAnsi="Cambria"/>
      <w:sz w:val="22"/>
      <w:szCs w:val="20"/>
    </w:rPr>
  </w:style>
  <w:style w:type="character" w:customStyle="1" w:styleId="A1">
    <w:name w:val="A1"/>
    <w:uiPriority w:val="99"/>
    <w:rsid w:val="00117F26"/>
    <w:rPr>
      <w:color w:val="000000"/>
      <w:sz w:val="20"/>
      <w:szCs w:val="20"/>
    </w:rPr>
  </w:style>
  <w:style w:type="character" w:customStyle="1" w:styleId="Heading1Char">
    <w:name w:val="Heading 1 Char"/>
    <w:basedOn w:val="DefaultParagraphFont"/>
    <w:link w:val="Heading1"/>
    <w:rsid w:val="008C2770"/>
    <w:rPr>
      <w:b/>
      <w:sz w:val="24"/>
    </w:rPr>
  </w:style>
  <w:style w:type="character" w:customStyle="1" w:styleId="Heading2Char">
    <w:name w:val="Heading 2 Char"/>
    <w:basedOn w:val="DefaultParagraphFont"/>
    <w:link w:val="Heading2"/>
    <w:rsid w:val="008C2770"/>
    <w:rPr>
      <w:rFonts w:ascii="Myriad Pro" w:hAnsi="Myriad Pro"/>
      <w:b/>
      <w:i/>
      <w:position w:val="6"/>
      <w:sz w:val="22"/>
    </w:rPr>
  </w:style>
  <w:style w:type="paragraph" w:styleId="BodyTextIndent">
    <w:name w:val="Body Text Indent"/>
    <w:basedOn w:val="Normal"/>
    <w:link w:val="BodyTextIndentChar"/>
    <w:rsid w:val="008C2770"/>
    <w:pPr>
      <w:ind w:left="360"/>
    </w:pPr>
    <w:rPr>
      <w:sz w:val="20"/>
      <w:szCs w:val="20"/>
    </w:rPr>
  </w:style>
  <w:style w:type="character" w:customStyle="1" w:styleId="BodyTextIndentChar">
    <w:name w:val="Body Text Indent Char"/>
    <w:basedOn w:val="DefaultParagraphFont"/>
    <w:link w:val="BodyTextIndent"/>
    <w:rsid w:val="008C2770"/>
  </w:style>
  <w:style w:type="character" w:customStyle="1" w:styleId="baec5a81-e4d6-4674-97f3-e9220f0136c1">
    <w:name w:val="baec5a81-e4d6-4674-97f3-e9220f0136c1"/>
    <w:basedOn w:val="DefaultParagraphFont"/>
    <w:rsid w:val="0003626D"/>
  </w:style>
  <w:style w:type="character" w:customStyle="1" w:styleId="ListParagraphChar">
    <w:name w:val="List Paragraph Char"/>
    <w:aliases w:val="List Paragraph (numbered (a)) Char,Akapit z listą BS Char,Bullets Char,List Paragraph1 Char,Lapis Bulleted List Char,Dot pt Char,F5 List Paragraph Char,No Spacing1 Char,List Paragraph Char Char Char Char,Indicator Text Char"/>
    <w:link w:val="ListParagraph"/>
    <w:uiPriority w:val="34"/>
    <w:qFormat/>
    <w:locked/>
    <w:rsid w:val="001666E6"/>
    <w:rPr>
      <w:rFonts w:ascii="Calibri" w:eastAsia="Calibri" w:hAnsi="Calibri"/>
      <w:sz w:val="22"/>
      <w:szCs w:val="22"/>
    </w:rPr>
  </w:style>
  <w:style w:type="paragraph" w:customStyle="1" w:styleId="ColorfulList-Accent11">
    <w:name w:val="Colorful List - Accent 11"/>
    <w:basedOn w:val="Normal"/>
    <w:uiPriority w:val="34"/>
    <w:qFormat/>
    <w:rsid w:val="001666E6"/>
    <w:pPr>
      <w:spacing w:after="200" w:line="276" w:lineRule="auto"/>
      <w:ind w:left="720"/>
      <w:contextualSpacing/>
    </w:pPr>
    <w:rPr>
      <w:rFonts w:ascii="Calibri" w:eastAsia="Malgun Gothic" w:hAnsi="Calibri"/>
      <w:sz w:val="22"/>
      <w:szCs w:val="22"/>
      <w:lang w:eastAsia="ko-KR"/>
    </w:rPr>
  </w:style>
  <w:style w:type="paragraph" w:customStyle="1" w:styleId="AProdoc">
    <w:name w:val="A Prodoc"/>
    <w:basedOn w:val="Normal"/>
    <w:link w:val="AProdocChar"/>
    <w:qFormat/>
    <w:rsid w:val="001225AA"/>
    <w:pPr>
      <w:numPr>
        <w:numId w:val="29"/>
      </w:numPr>
      <w:spacing w:before="120" w:after="120"/>
    </w:pPr>
    <w:rPr>
      <w:sz w:val="22"/>
    </w:rPr>
  </w:style>
  <w:style w:type="character" w:customStyle="1" w:styleId="AProdocChar">
    <w:name w:val="A Prodoc Char"/>
    <w:link w:val="AProdoc"/>
    <w:rsid w:val="001225AA"/>
    <w:rPr>
      <w:sz w:val="22"/>
      <w:szCs w:val="24"/>
    </w:rPr>
  </w:style>
  <w:style w:type="paragraph" w:customStyle="1" w:styleId="ProdocParagraph">
    <w:name w:val="Prodoc Paragraph"/>
    <w:basedOn w:val="Normal"/>
    <w:link w:val="ProdocParagraphChar"/>
    <w:qFormat/>
    <w:rsid w:val="00227D7B"/>
    <w:pPr>
      <w:widowControl w:val="0"/>
      <w:numPr>
        <w:numId w:val="38"/>
      </w:numPr>
      <w:tabs>
        <w:tab w:val="left" w:pos="0"/>
        <w:tab w:val="left" w:pos="720"/>
      </w:tabs>
      <w:autoSpaceDE w:val="0"/>
      <w:autoSpaceDN w:val="0"/>
      <w:adjustRightInd w:val="0"/>
      <w:spacing w:after="120" w:line="240" w:lineRule="exact"/>
      <w:ind w:left="0" w:right="60" w:firstLine="0"/>
    </w:pPr>
    <w:rPr>
      <w:color w:val="1A1A1A"/>
      <w:sz w:val="22"/>
      <w:szCs w:val="22"/>
      <w:lang w:eastAsia="ja-JP"/>
    </w:rPr>
  </w:style>
  <w:style w:type="character" w:customStyle="1" w:styleId="ProdocParagraphChar">
    <w:name w:val="Prodoc Paragraph Char"/>
    <w:link w:val="ProdocParagraph"/>
    <w:rsid w:val="00227D7B"/>
    <w:rPr>
      <w:color w:val="1A1A1A"/>
      <w:sz w:val="22"/>
      <w:szCs w:val="22"/>
      <w:lang w:eastAsia="ja-JP"/>
    </w:rPr>
  </w:style>
  <w:style w:type="character" w:styleId="UnresolvedMention">
    <w:name w:val="Unresolved Mention"/>
    <w:basedOn w:val="DefaultParagraphFont"/>
    <w:uiPriority w:val="99"/>
    <w:semiHidden/>
    <w:unhideWhenUsed/>
    <w:rsid w:val="009421DA"/>
    <w:rPr>
      <w:color w:val="605E5C"/>
      <w:shd w:val="clear" w:color="auto" w:fill="E1DFDD"/>
    </w:rPr>
  </w:style>
  <w:style w:type="paragraph" w:customStyle="1" w:styleId="normalbullet">
    <w:name w:val="normal bullet"/>
    <w:basedOn w:val="Normal"/>
    <w:link w:val="normalbulletChar"/>
    <w:qFormat/>
    <w:rsid w:val="008A6133"/>
    <w:pPr>
      <w:numPr>
        <w:numId w:val="44"/>
      </w:numPr>
      <w:spacing w:before="60" w:after="60"/>
    </w:pPr>
    <w:rPr>
      <w:rFonts w:ascii="Calibri" w:hAnsi="Calibri"/>
      <w:sz w:val="20"/>
      <w:szCs w:val="20"/>
      <w:lang w:bidi="en-US"/>
    </w:rPr>
  </w:style>
  <w:style w:type="character" w:customStyle="1" w:styleId="normalbulletChar">
    <w:name w:val="normal bullet Char"/>
    <w:basedOn w:val="DefaultParagraphFont"/>
    <w:link w:val="normalbullet"/>
    <w:rsid w:val="008A6133"/>
    <w:rPr>
      <w:rFonts w:ascii="Calibri" w:hAnsi="Calibri"/>
      <w:lang w:bidi="en-US"/>
    </w:rPr>
  </w:style>
  <w:style w:type="paragraph" w:styleId="Revision">
    <w:name w:val="Revision"/>
    <w:hidden/>
    <w:uiPriority w:val="99"/>
    <w:semiHidden/>
    <w:rsid w:val="00676A21"/>
    <w:rPr>
      <w:sz w:val="24"/>
      <w:szCs w:val="24"/>
    </w:rPr>
  </w:style>
  <w:style w:type="character" w:styleId="FollowedHyperlink">
    <w:name w:val="FollowedHyperlink"/>
    <w:basedOn w:val="DefaultParagraphFont"/>
    <w:semiHidden/>
    <w:unhideWhenUsed/>
    <w:rsid w:val="001F0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616">
      <w:bodyDiv w:val="1"/>
      <w:marLeft w:val="0"/>
      <w:marRight w:val="0"/>
      <w:marTop w:val="0"/>
      <w:marBottom w:val="0"/>
      <w:divBdr>
        <w:top w:val="none" w:sz="0" w:space="0" w:color="auto"/>
        <w:left w:val="none" w:sz="0" w:space="0" w:color="auto"/>
        <w:bottom w:val="none" w:sz="0" w:space="0" w:color="auto"/>
        <w:right w:val="none" w:sz="0" w:space="0" w:color="auto"/>
      </w:divBdr>
    </w:div>
    <w:div w:id="268899284">
      <w:bodyDiv w:val="1"/>
      <w:marLeft w:val="0"/>
      <w:marRight w:val="0"/>
      <w:marTop w:val="0"/>
      <w:marBottom w:val="0"/>
      <w:divBdr>
        <w:top w:val="none" w:sz="0" w:space="0" w:color="auto"/>
        <w:left w:val="none" w:sz="0" w:space="0" w:color="auto"/>
        <w:bottom w:val="none" w:sz="0" w:space="0" w:color="auto"/>
        <w:right w:val="none" w:sz="0" w:space="0" w:color="auto"/>
      </w:divBdr>
    </w:div>
    <w:div w:id="363790614">
      <w:bodyDiv w:val="1"/>
      <w:marLeft w:val="0"/>
      <w:marRight w:val="0"/>
      <w:marTop w:val="0"/>
      <w:marBottom w:val="0"/>
      <w:divBdr>
        <w:top w:val="none" w:sz="0" w:space="0" w:color="auto"/>
        <w:left w:val="none" w:sz="0" w:space="0" w:color="auto"/>
        <w:bottom w:val="none" w:sz="0" w:space="0" w:color="auto"/>
        <w:right w:val="none" w:sz="0" w:space="0" w:color="auto"/>
      </w:divBdr>
    </w:div>
    <w:div w:id="503396642">
      <w:bodyDiv w:val="1"/>
      <w:marLeft w:val="0"/>
      <w:marRight w:val="0"/>
      <w:marTop w:val="0"/>
      <w:marBottom w:val="0"/>
      <w:divBdr>
        <w:top w:val="none" w:sz="0" w:space="0" w:color="auto"/>
        <w:left w:val="none" w:sz="0" w:space="0" w:color="auto"/>
        <w:bottom w:val="none" w:sz="0" w:space="0" w:color="auto"/>
        <w:right w:val="none" w:sz="0" w:space="0" w:color="auto"/>
      </w:divBdr>
    </w:div>
    <w:div w:id="557320616">
      <w:bodyDiv w:val="1"/>
      <w:marLeft w:val="0"/>
      <w:marRight w:val="0"/>
      <w:marTop w:val="0"/>
      <w:marBottom w:val="0"/>
      <w:divBdr>
        <w:top w:val="none" w:sz="0" w:space="0" w:color="auto"/>
        <w:left w:val="none" w:sz="0" w:space="0" w:color="auto"/>
        <w:bottom w:val="none" w:sz="0" w:space="0" w:color="auto"/>
        <w:right w:val="none" w:sz="0" w:space="0" w:color="auto"/>
      </w:divBdr>
    </w:div>
    <w:div w:id="598417567">
      <w:bodyDiv w:val="1"/>
      <w:marLeft w:val="0"/>
      <w:marRight w:val="0"/>
      <w:marTop w:val="0"/>
      <w:marBottom w:val="0"/>
      <w:divBdr>
        <w:top w:val="none" w:sz="0" w:space="0" w:color="auto"/>
        <w:left w:val="none" w:sz="0" w:space="0" w:color="auto"/>
        <w:bottom w:val="none" w:sz="0" w:space="0" w:color="auto"/>
        <w:right w:val="none" w:sz="0" w:space="0" w:color="auto"/>
      </w:divBdr>
    </w:div>
    <w:div w:id="1742436851">
      <w:bodyDiv w:val="1"/>
      <w:marLeft w:val="0"/>
      <w:marRight w:val="0"/>
      <w:marTop w:val="0"/>
      <w:marBottom w:val="0"/>
      <w:divBdr>
        <w:top w:val="none" w:sz="0" w:space="0" w:color="auto"/>
        <w:left w:val="none" w:sz="0" w:space="0" w:color="auto"/>
        <w:bottom w:val="none" w:sz="0" w:space="0" w:color="auto"/>
        <w:right w:val="none" w:sz="0" w:space="0" w:color="auto"/>
      </w:divBdr>
    </w:div>
    <w:div w:id="1865289607">
      <w:bodyDiv w:val="1"/>
      <w:marLeft w:val="0"/>
      <w:marRight w:val="0"/>
      <w:marTop w:val="0"/>
      <w:marBottom w:val="0"/>
      <w:divBdr>
        <w:top w:val="none" w:sz="0" w:space="0" w:color="auto"/>
        <w:left w:val="none" w:sz="0" w:space="0" w:color="auto"/>
        <w:bottom w:val="none" w:sz="0" w:space="0" w:color="auto"/>
        <w:right w:val="none" w:sz="0" w:space="0" w:color="auto"/>
      </w:divBdr>
    </w:div>
    <w:div w:id="1868637151">
      <w:bodyDiv w:val="1"/>
      <w:marLeft w:val="0"/>
      <w:marRight w:val="0"/>
      <w:marTop w:val="0"/>
      <w:marBottom w:val="0"/>
      <w:divBdr>
        <w:top w:val="none" w:sz="0" w:space="0" w:color="auto"/>
        <w:left w:val="none" w:sz="0" w:space="0" w:color="auto"/>
        <w:bottom w:val="none" w:sz="0" w:space="0" w:color="auto"/>
        <w:right w:val="none" w:sz="0" w:space="0" w:color="auto"/>
      </w:divBdr>
    </w:div>
    <w:div w:id="2083989580">
      <w:bodyDiv w:val="1"/>
      <w:marLeft w:val="0"/>
      <w:marRight w:val="0"/>
      <w:marTop w:val="0"/>
      <w:marBottom w:val="0"/>
      <w:divBdr>
        <w:top w:val="none" w:sz="0" w:space="0" w:color="auto"/>
        <w:left w:val="none" w:sz="0" w:space="0" w:color="auto"/>
        <w:bottom w:val="none" w:sz="0" w:space="0" w:color="auto"/>
        <w:right w:val="none" w:sz="0" w:space="0" w:color="auto"/>
      </w:divBdr>
    </w:div>
    <w:div w:id="21030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GEF/TE_GuidanceforUNDP-supportedGEF-financedProject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474a10c-e539-4b45-8361-63b88d2c6f5e">UNITBCPR-181-25</_dlc_DocId>
    <_dlc_DocIdUrl xmlns="6474a10c-e539-4b45-8361-63b88d2c6f5e">
      <Url>https://intranet.undp.org/unit/cru/rrsg/_layouts/15/DocIdRedir.aspx?ID=UNITBCPR-181-25</Url>
      <Description>UNITBCPR-181-25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9DB361AC9171D4091C3EF293EC3B339" ma:contentTypeVersion="2" ma:contentTypeDescription="Create a new document." ma:contentTypeScope="" ma:versionID="3c7d0b9c5af66a1ab33765ad97cb3180">
  <xsd:schema xmlns:xsd="http://www.w3.org/2001/XMLSchema" xmlns:xs="http://www.w3.org/2001/XMLSchema" xmlns:p="http://schemas.microsoft.com/office/2006/metadata/properties" xmlns:ns1="http://schemas.microsoft.com/sharepoint/v3" xmlns:ns2="6474a10c-e539-4b45-8361-63b88d2c6f5e" targetNamespace="http://schemas.microsoft.com/office/2006/metadata/properties" ma:root="true" ma:fieldsID="412abe88ebf499385755cfa895c18a72" ns1:_="" ns2:_="">
    <xsd:import namespace="http://schemas.microsoft.com/sharepoint/v3"/>
    <xsd:import namespace="6474a10c-e539-4b45-8361-63b88d2c6f5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4a10c-e539-4b45-8361-63b88d2c6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 ds:uri="http://schemas.microsoft.com/sharepoint/v3"/>
    <ds:schemaRef ds:uri="6474a10c-e539-4b45-8361-63b88d2c6f5e"/>
  </ds:schemaRefs>
</ds:datastoreItem>
</file>

<file path=customXml/itemProps2.xml><?xml version="1.0" encoding="utf-8"?>
<ds:datastoreItem xmlns:ds="http://schemas.openxmlformats.org/officeDocument/2006/customXml" ds:itemID="{F8BA3D6F-6BC0-48D1-B426-3BF21AC7023E}">
  <ds:schemaRefs>
    <ds:schemaRef ds:uri="http://schemas.microsoft.com/sharepoint/events"/>
  </ds:schemaRefs>
</ds:datastoreItem>
</file>

<file path=customXml/itemProps3.xml><?xml version="1.0" encoding="utf-8"?>
<ds:datastoreItem xmlns:ds="http://schemas.openxmlformats.org/officeDocument/2006/customXml" ds:itemID="{AF051154-D492-4BBD-8936-C8485AC1C9AE}">
  <ds:schemaRefs>
    <ds:schemaRef ds:uri="http://schemas.openxmlformats.org/officeDocument/2006/bibliography"/>
  </ds:schemaRefs>
</ds:datastoreItem>
</file>

<file path=customXml/itemProps4.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5.xml><?xml version="1.0" encoding="utf-8"?>
<ds:datastoreItem xmlns:ds="http://schemas.openxmlformats.org/officeDocument/2006/customXml" ds:itemID="{497A1A0A-C44B-4DCE-81E1-A39AA564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74a10c-e539-4b45-8361-63b88d2c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3231</Words>
  <Characters>18420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IC - Contract English</vt:lpstr>
      <vt:lpstr>IC - Contract English</vt:lpstr>
    </vt:vector>
  </TitlesOfParts>
  <Company>UNDP</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Ferouze Mohamed</dc:creator>
  <cp:lastModifiedBy>Ngalim Juliette Nsam Tangem</cp:lastModifiedBy>
  <cp:revision>18</cp:revision>
  <cp:lastPrinted>2016-09-07T19:22:00Z</cp:lastPrinted>
  <dcterms:created xsi:type="dcterms:W3CDTF">2022-04-06T12:06:00Z</dcterms:created>
  <dcterms:modified xsi:type="dcterms:W3CDTF">2022-05-24T04:21:00Z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0x01010099DB361AC9171D4091C3EF293EC3B339</vt:lpwstr>
  </property>
  <property fmtid="{D5CDD505-2E9C-101B-9397-08002B2CF9AE}" pid="3" name="_dlc_DocIdItemGuid">
    <vt:lpwstr>751dade1-9046-4e7e-9c88-621e6737da15</vt:lpwstr>
  </property>
</Properties>
</file>