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3463" w14:textId="7AA77684" w:rsidR="009F4438" w:rsidRPr="009F4438" w:rsidRDefault="00D44404" w:rsidP="009F4438">
      <w:pPr>
        <w:jc w:val="center"/>
        <w:rPr>
          <w:b/>
          <w:bCs/>
          <w:sz w:val="28"/>
          <w:szCs w:val="28"/>
        </w:rPr>
      </w:pPr>
      <w:bookmarkStart w:id="0" w:name="_GoBack"/>
      <w:bookmarkEnd w:id="0"/>
      <w:r w:rsidRPr="009F4438">
        <w:rPr>
          <w:b/>
          <w:bCs/>
          <w:sz w:val="28"/>
          <w:szCs w:val="28"/>
        </w:rPr>
        <w:t xml:space="preserve">Projet TDRs Evaluation à mi-parcours du Programme Pays 2020 </w:t>
      </w:r>
      <w:r w:rsidR="009F4438">
        <w:rPr>
          <w:b/>
          <w:bCs/>
          <w:sz w:val="28"/>
          <w:szCs w:val="28"/>
        </w:rPr>
        <w:t>–</w:t>
      </w:r>
      <w:r w:rsidRPr="009F4438">
        <w:rPr>
          <w:b/>
          <w:bCs/>
          <w:sz w:val="28"/>
          <w:szCs w:val="28"/>
        </w:rPr>
        <w:t xml:space="preserve"> 2024</w:t>
      </w:r>
    </w:p>
    <w:p w14:paraId="7A739104" w14:textId="2B057C6D" w:rsidR="00840C00" w:rsidRDefault="00840C00" w:rsidP="001A2A80">
      <w:pPr>
        <w:pStyle w:val="Paragraphedeliste"/>
        <w:numPr>
          <w:ilvl w:val="0"/>
          <w:numId w:val="6"/>
        </w:numPr>
        <w:spacing w:after="0" w:line="240" w:lineRule="auto"/>
        <w:jc w:val="both"/>
        <w:rPr>
          <w:b/>
          <w:bCs/>
          <w:sz w:val="24"/>
          <w:szCs w:val="24"/>
        </w:rPr>
      </w:pPr>
      <w:r w:rsidRPr="00840C00">
        <w:rPr>
          <w:b/>
          <w:bCs/>
          <w:sz w:val="24"/>
          <w:szCs w:val="24"/>
        </w:rPr>
        <w:t>Contexte et situation du Pays</w:t>
      </w:r>
    </w:p>
    <w:p w14:paraId="62088863" w14:textId="696CF62E" w:rsidR="0025171D" w:rsidRDefault="0025171D" w:rsidP="00D44404">
      <w:pPr>
        <w:spacing w:after="0" w:line="240" w:lineRule="auto"/>
        <w:jc w:val="both"/>
      </w:pPr>
    </w:p>
    <w:p w14:paraId="26F4221D" w14:textId="46E84382" w:rsidR="000B5496" w:rsidRDefault="000B5496" w:rsidP="000B5496">
      <w:pPr>
        <w:autoSpaceDE w:val="0"/>
        <w:autoSpaceDN w:val="0"/>
        <w:adjustRightInd w:val="0"/>
        <w:spacing w:after="0" w:line="240" w:lineRule="auto"/>
        <w:jc w:val="both"/>
      </w:pPr>
      <w:r w:rsidRPr="000B5496">
        <w:t>Le Mali</w:t>
      </w:r>
      <w:r w:rsidRPr="00313B6F">
        <w:rPr>
          <w:sz w:val="16"/>
          <w:szCs w:val="16"/>
        </w:rPr>
        <w:footnoteReference w:id="1"/>
      </w:r>
      <w:r w:rsidRPr="000B5496">
        <w:t xml:space="preserve"> est un pays enclavé d’Afrique de l’Ouest couvrant une superficie d’environ 1.240.000 de km2. Il partage ses frontières avec sept autres pays : l’Algérie, le Niger, le Burkina Fas</w:t>
      </w:r>
      <w:r w:rsidR="00AB4097">
        <w:t>o,</w:t>
      </w:r>
      <w:r w:rsidRPr="000B5496">
        <w:t xml:space="preserve"> la Côte d’Ivoire, la Guinée, le Sénéga</w:t>
      </w:r>
      <w:r w:rsidR="00AB4097">
        <w:t>l</w:t>
      </w:r>
      <w:r w:rsidRPr="000B5496">
        <w:t xml:space="preserve"> et la Mauritanie. Selon les projections démographiques</w:t>
      </w:r>
      <w:r w:rsidRPr="00313B6F">
        <w:rPr>
          <w:sz w:val="16"/>
          <w:szCs w:val="16"/>
        </w:rPr>
        <w:footnoteReference w:id="2"/>
      </w:r>
      <w:r w:rsidRPr="000B5496">
        <w:t xml:space="preserve"> de la Direction Nationale de la Population (DNP), la population malienne est estimée à 20.537.000 habitants (en 2020) avec une espérance de vie à la naissance de 54 ans et un taux de croissance démographique de 3%.</w:t>
      </w:r>
    </w:p>
    <w:p w14:paraId="714D9023" w14:textId="77777777" w:rsidR="000B5496" w:rsidRPr="000B5496" w:rsidRDefault="000B5496" w:rsidP="000B5496">
      <w:pPr>
        <w:autoSpaceDE w:val="0"/>
        <w:autoSpaceDN w:val="0"/>
        <w:adjustRightInd w:val="0"/>
        <w:spacing w:after="0" w:line="240" w:lineRule="auto"/>
        <w:jc w:val="both"/>
      </w:pPr>
    </w:p>
    <w:p w14:paraId="7ECD7930" w14:textId="3555FE3D" w:rsidR="000B5496" w:rsidRPr="000B5496" w:rsidRDefault="006F736C" w:rsidP="000B5496">
      <w:pPr>
        <w:autoSpaceDE w:val="0"/>
        <w:autoSpaceDN w:val="0"/>
        <w:adjustRightInd w:val="0"/>
        <w:spacing w:after="0" w:line="240" w:lineRule="auto"/>
        <w:jc w:val="both"/>
      </w:pPr>
      <w:r>
        <w:t>Depuis 2020</w:t>
      </w:r>
      <w:r w:rsidR="000B5496" w:rsidRPr="000B5496">
        <w:t>, la situation globale</w:t>
      </w:r>
      <w:r w:rsidR="000B5496" w:rsidRPr="00313B6F">
        <w:rPr>
          <w:sz w:val="16"/>
          <w:szCs w:val="16"/>
        </w:rPr>
        <w:footnoteReference w:id="3"/>
      </w:r>
      <w:r w:rsidR="000B5496" w:rsidRPr="000B5496">
        <w:t xml:space="preserve"> du Mali a connu une fois encore d’importantes évolutions. Outre, les crises sanitaire et économique qui se sont rajoutées à la crise sécuritaire aigüe, </w:t>
      </w:r>
      <w:r w:rsidR="000B5496">
        <w:t>le Mali a connu</w:t>
      </w:r>
      <w:r w:rsidR="000B5496" w:rsidRPr="000B5496">
        <w:t xml:space="preserve"> </w:t>
      </w:r>
      <w:r>
        <w:t>deux changements institutionnels en</w:t>
      </w:r>
      <w:r w:rsidR="000B5496" w:rsidRPr="000B5496">
        <w:t xml:space="preserve"> août 2020</w:t>
      </w:r>
      <w:r>
        <w:t xml:space="preserve"> et en</w:t>
      </w:r>
      <w:r w:rsidR="000B5496" w:rsidRPr="000B5496">
        <w:t xml:space="preserve"> mai 2021, qui </w:t>
      </w:r>
      <w:r>
        <w:t>ont porté à la mise en place d’une période de transition qui devra aboutir à l’organisation d’élections législatives et présidentielles</w:t>
      </w:r>
      <w:r w:rsidR="000B5496" w:rsidRPr="000B5496">
        <w:t xml:space="preserve">. </w:t>
      </w:r>
      <w:r w:rsidRPr="000B5496">
        <w:t>Ce</w:t>
      </w:r>
      <w:r>
        <w:t>s</w:t>
      </w:r>
      <w:r w:rsidRPr="000B5496">
        <w:t xml:space="preserve"> </w:t>
      </w:r>
      <w:r w:rsidR="000B5496" w:rsidRPr="000B5496">
        <w:t>évènement</w:t>
      </w:r>
      <w:r>
        <w:t>s</w:t>
      </w:r>
      <w:r w:rsidR="000B5496" w:rsidRPr="000B5496">
        <w:t xml:space="preserve"> </w:t>
      </w:r>
      <w:r w:rsidRPr="000B5496">
        <w:t>survien</w:t>
      </w:r>
      <w:r>
        <w:t>ne</w:t>
      </w:r>
      <w:r w:rsidRPr="000B5496">
        <w:t>nt</w:t>
      </w:r>
      <w:r w:rsidR="000B5496" w:rsidRPr="000B5496">
        <w:t xml:space="preserve"> dans un contexte déjà tendu, marqué par la recrudescence des exactions des groupes armés </w:t>
      </w:r>
      <w:r w:rsidR="00024B6D">
        <w:t xml:space="preserve">non étatiques </w:t>
      </w:r>
      <w:r w:rsidR="000B5496" w:rsidRPr="000B5496">
        <w:t xml:space="preserve">au centre du pays et leur glissement vers le sud, et la progression de la COVID-19, </w:t>
      </w:r>
      <w:r>
        <w:t>à trav</w:t>
      </w:r>
      <w:r w:rsidR="00E0672D">
        <w:t>er</w:t>
      </w:r>
      <w:r>
        <w:t>s</w:t>
      </w:r>
      <w:r w:rsidRPr="000B5496">
        <w:t xml:space="preserve"> </w:t>
      </w:r>
      <w:r w:rsidR="000B5496" w:rsidRPr="000B5496">
        <w:t>ses nouveaux variants.</w:t>
      </w:r>
    </w:p>
    <w:p w14:paraId="0ACA5A8C" w14:textId="77777777" w:rsidR="00AE1987" w:rsidRDefault="00AE1987" w:rsidP="000B5496">
      <w:pPr>
        <w:autoSpaceDE w:val="0"/>
        <w:autoSpaceDN w:val="0"/>
        <w:adjustRightInd w:val="0"/>
        <w:spacing w:after="0" w:line="240" w:lineRule="auto"/>
        <w:jc w:val="both"/>
      </w:pPr>
    </w:p>
    <w:p w14:paraId="2BAF31A8" w14:textId="3F073FE1" w:rsidR="000B5496" w:rsidRDefault="000B5496" w:rsidP="000B5496">
      <w:pPr>
        <w:autoSpaceDE w:val="0"/>
        <w:autoSpaceDN w:val="0"/>
        <w:adjustRightInd w:val="0"/>
        <w:spacing w:after="0" w:line="240" w:lineRule="auto"/>
        <w:jc w:val="both"/>
      </w:pPr>
      <w:r w:rsidRPr="000B5496">
        <w:t>À l’instar des autres pays du monde, la Covid-19 perdure aussi au Mali, mais baisse de plus en plus d’intensité, grâce, notamment, aux mesures d’endiguement adoptées par les autorités nationales et ses partenaires, notamment, le PNUD qui a contribué à la réalisation de l’enquête</w:t>
      </w:r>
      <w:r w:rsidRPr="00313B6F">
        <w:rPr>
          <w:sz w:val="16"/>
          <w:szCs w:val="16"/>
        </w:rPr>
        <w:footnoteReference w:id="4"/>
      </w:r>
      <w:r w:rsidRPr="000B5496">
        <w:t xml:space="preserve"> sur l’impact de coronavirus sur les conditions de vie des ménages au </w:t>
      </w:r>
      <w:r w:rsidR="00E0672D">
        <w:t>M</w:t>
      </w:r>
      <w:r w:rsidRPr="000B5496">
        <w:t xml:space="preserve">ali. </w:t>
      </w:r>
    </w:p>
    <w:p w14:paraId="792C1888" w14:textId="77777777" w:rsidR="00AE1987" w:rsidRPr="000B5496" w:rsidRDefault="00AE1987" w:rsidP="000B5496">
      <w:pPr>
        <w:autoSpaceDE w:val="0"/>
        <w:autoSpaceDN w:val="0"/>
        <w:adjustRightInd w:val="0"/>
        <w:spacing w:after="0" w:line="240" w:lineRule="auto"/>
        <w:jc w:val="both"/>
      </w:pPr>
    </w:p>
    <w:p w14:paraId="7B10C063" w14:textId="11B0CE55" w:rsidR="000B5496" w:rsidRPr="000B5496" w:rsidRDefault="000B5496" w:rsidP="000B5496">
      <w:pPr>
        <w:autoSpaceDE w:val="0"/>
        <w:autoSpaceDN w:val="0"/>
        <w:adjustRightInd w:val="0"/>
        <w:spacing w:after="0" w:line="240" w:lineRule="auto"/>
        <w:jc w:val="both"/>
      </w:pPr>
      <w:r w:rsidRPr="000B5496">
        <w:t>L’économie</w:t>
      </w:r>
      <w:r w:rsidRPr="00313B6F">
        <w:rPr>
          <w:sz w:val="16"/>
          <w:szCs w:val="16"/>
        </w:rPr>
        <w:footnoteReference w:id="5"/>
      </w:r>
      <w:r w:rsidRPr="00313B6F">
        <w:rPr>
          <w:sz w:val="16"/>
          <w:szCs w:val="16"/>
        </w:rPr>
        <w:t xml:space="preserve"> </w:t>
      </w:r>
      <w:r w:rsidRPr="000B5496">
        <w:t>malienne devrait commencer à se remettre de la crise</w:t>
      </w:r>
      <w:r w:rsidR="007A31C7">
        <w:t xml:space="preserve"> </w:t>
      </w:r>
      <w:r w:rsidR="00313B6F">
        <w:t>multidimensionnelle</w:t>
      </w:r>
      <w:r w:rsidRPr="000B5496">
        <w:t xml:space="preserve">, tirée par la reprise de la demande intérieure et extérieure, ainsi qu’une forte reprise dans le secteur agricole, particulièrement le coton, à la suite des subventions mises en place par le Gouvernement en faveur du monde agricole. </w:t>
      </w:r>
      <w:r w:rsidRPr="009F4438">
        <w:rPr>
          <w:color w:val="000000" w:themeColor="text1"/>
        </w:rPr>
        <w:t xml:space="preserve">Cette reprise devrait porter la croissance à 4,6% en 2021 contre -1,2% en 2020, soit une hausse de 5,8 points de pourcentage. En effet, c’est le secteur primaire qui contribuera le plus au PIB. Il </w:t>
      </w:r>
      <w:r w:rsidR="006F736C">
        <w:rPr>
          <w:color w:val="000000" w:themeColor="text1"/>
        </w:rPr>
        <w:t>représente</w:t>
      </w:r>
      <w:r w:rsidR="006F736C" w:rsidRPr="009F4438">
        <w:rPr>
          <w:color w:val="000000" w:themeColor="text1"/>
        </w:rPr>
        <w:t xml:space="preserve"> </w:t>
      </w:r>
      <w:r w:rsidRPr="009F4438">
        <w:rPr>
          <w:color w:val="000000" w:themeColor="text1"/>
        </w:rPr>
        <w:t xml:space="preserve">36,8 % </w:t>
      </w:r>
      <w:r w:rsidR="006F736C">
        <w:rPr>
          <w:color w:val="000000" w:themeColor="text1"/>
        </w:rPr>
        <w:t>du</w:t>
      </w:r>
      <w:r w:rsidRPr="009F4438">
        <w:rPr>
          <w:color w:val="000000" w:themeColor="text1"/>
        </w:rPr>
        <w:t xml:space="preserve"> PIB </w:t>
      </w:r>
      <w:r w:rsidR="006F736C">
        <w:rPr>
          <w:color w:val="000000" w:themeColor="text1"/>
        </w:rPr>
        <w:t xml:space="preserve">en </w:t>
      </w:r>
      <w:r w:rsidRPr="009F4438">
        <w:rPr>
          <w:color w:val="000000" w:themeColor="text1"/>
        </w:rPr>
        <w:t>2021</w:t>
      </w:r>
      <w:r w:rsidRPr="00313B6F">
        <w:rPr>
          <w:color w:val="000000" w:themeColor="text1"/>
          <w:sz w:val="16"/>
          <w:szCs w:val="16"/>
        </w:rPr>
        <w:footnoteReference w:id="6"/>
      </w:r>
      <w:r w:rsidRPr="009F4438">
        <w:rPr>
          <w:color w:val="000000" w:themeColor="text1"/>
        </w:rPr>
        <w:t xml:space="preserve"> contre 20,9 % et 32,3 %, respectivement pour le secteur secondaire et le secteur tertiaire. Quant au PIB non marchand, il contribuera à hauteur de 10% dans </w:t>
      </w:r>
      <w:r w:rsidRPr="000B5496">
        <w:t>le total. Outre cela, l’élasticité de la pauvreté</w:t>
      </w:r>
      <w:r w:rsidRPr="00313B6F">
        <w:rPr>
          <w:sz w:val="16"/>
          <w:szCs w:val="16"/>
        </w:rPr>
        <w:footnoteReference w:id="7"/>
      </w:r>
      <w:r w:rsidRPr="000B5496">
        <w:t xml:space="preserve"> par rapport à la croissance a été de -0,4% sur la période 2011-201</w:t>
      </w:r>
      <w:r w:rsidR="00AE1987">
        <w:t>9</w:t>
      </w:r>
      <w:r w:rsidRPr="000B5496">
        <w:t>. L’IDH du Mali, selon le Rapport 2020, à savoir 0.434, est inférieur à la moyenne des pays de l’Afrique subsaharienne, établie à 0.547. Ceci place le Mali à la 184e place sur les 189 pays classés. Enfin, Les emplois occupés par les femmes ne représentent que 15,4% des emplois créés.</w:t>
      </w:r>
    </w:p>
    <w:p w14:paraId="6086D0BD" w14:textId="77777777" w:rsidR="00AE1987" w:rsidRDefault="00AE1987" w:rsidP="000B5496">
      <w:pPr>
        <w:autoSpaceDE w:val="0"/>
        <w:autoSpaceDN w:val="0"/>
        <w:adjustRightInd w:val="0"/>
        <w:spacing w:after="0" w:line="240" w:lineRule="auto"/>
        <w:jc w:val="both"/>
      </w:pPr>
    </w:p>
    <w:p w14:paraId="5153FE8A" w14:textId="150C5473" w:rsidR="000B5496" w:rsidRPr="000B5496" w:rsidRDefault="000B5496" w:rsidP="00AE1987">
      <w:pPr>
        <w:autoSpaceDE w:val="0"/>
        <w:autoSpaceDN w:val="0"/>
        <w:adjustRightInd w:val="0"/>
        <w:spacing w:after="0" w:line="240" w:lineRule="auto"/>
        <w:jc w:val="both"/>
      </w:pPr>
      <w:r w:rsidRPr="000B5496">
        <w:t xml:space="preserve">Afin de relever le défi de la croissance et de la réalisation des ODD, le Gouvernement a élaboré et met en œuvre son </w:t>
      </w:r>
      <w:r w:rsidR="006F736C" w:rsidRPr="000B5496">
        <w:t>P</w:t>
      </w:r>
      <w:r w:rsidR="006F736C">
        <w:t>lan</w:t>
      </w:r>
      <w:r w:rsidR="006F736C" w:rsidRPr="000B5496">
        <w:t xml:space="preserve"> </w:t>
      </w:r>
      <w:r w:rsidRPr="000B5496">
        <w:t xml:space="preserve">d’Actions </w:t>
      </w:r>
      <w:r w:rsidR="006F736C">
        <w:t xml:space="preserve">du Gouvernement de Transition </w:t>
      </w:r>
      <w:r w:rsidRPr="000B5496">
        <w:t>(PAG</w:t>
      </w:r>
      <w:r w:rsidR="006F736C">
        <w:t>T</w:t>
      </w:r>
      <w:r w:rsidRPr="000B5496">
        <w:t>) et le Cadre Stratégique pour la Relance</w:t>
      </w:r>
      <w:r w:rsidR="00AE1987">
        <w:t xml:space="preserve"> </w:t>
      </w:r>
      <w:r w:rsidRPr="000B5496">
        <w:t>Economique et le Développement Durable (CREDD 2019-2023)</w:t>
      </w:r>
      <w:r w:rsidRPr="000B5496">
        <w:footnoteReference w:id="8"/>
      </w:r>
      <w:r w:rsidRPr="000B5496">
        <w:t>. Le Gouvernement ambitionne d’atteindre une croissance moyenne de l’ordre de 6,5% sur la période</w:t>
      </w:r>
      <w:r w:rsidR="005C392C">
        <w:t xml:space="preserve"> 2019-2023</w:t>
      </w:r>
      <w:r w:rsidRPr="000B5496">
        <w:t xml:space="preserve">, en misant sur : (i) la gouvernance et les réformes politiques et institutionnelles, (ii) la promotion d'une croissance inclusive, (iii) le développement du capital humain et l'inclusion sociale, (iv) </w:t>
      </w:r>
      <w:r w:rsidRPr="000B5496">
        <w:lastRenderedPageBreak/>
        <w:t>l'environnement, le changement climatique et le développement durable, (v) la diplomatie, la coopération internationale et le partenariat. Plusieurs partenaires au développement appuient la mise en œuvre du CREDD afin d’accompagner les réformes macroéconomiques, structurelles et institutionnelles ainsi que les politiques sectorielles qui y sont contenues. Ainsi, le Programme Pays du PNUD est une contribution à la mise en œuvre du CREDD à travers le Cadre de Coopération des Nations Unies pour le Développement Durable (UNSDCF) 2020-2024 dont il relève.</w:t>
      </w:r>
    </w:p>
    <w:p w14:paraId="1E58E1FB" w14:textId="77777777" w:rsidR="000B5496" w:rsidRDefault="000B5496" w:rsidP="000B5496"/>
    <w:p w14:paraId="2F92AE87" w14:textId="15108D68" w:rsidR="00713DE1" w:rsidRPr="00AE1987" w:rsidRDefault="007A31C7" w:rsidP="001A2A80">
      <w:pPr>
        <w:pStyle w:val="Paragraphedeliste"/>
        <w:numPr>
          <w:ilvl w:val="0"/>
          <w:numId w:val="6"/>
        </w:numPr>
        <w:rPr>
          <w:b/>
          <w:bCs/>
          <w:sz w:val="24"/>
          <w:szCs w:val="24"/>
        </w:rPr>
      </w:pPr>
      <w:r>
        <w:rPr>
          <w:b/>
          <w:bCs/>
          <w:sz w:val="24"/>
          <w:szCs w:val="24"/>
        </w:rPr>
        <w:t>Objet</w:t>
      </w:r>
      <w:r w:rsidR="00E0672D">
        <w:rPr>
          <w:b/>
          <w:bCs/>
          <w:sz w:val="24"/>
          <w:szCs w:val="24"/>
        </w:rPr>
        <w:t xml:space="preserve"> </w:t>
      </w:r>
      <w:r w:rsidR="00060CE7" w:rsidRPr="00AE1987">
        <w:rPr>
          <w:b/>
          <w:bCs/>
          <w:sz w:val="24"/>
          <w:szCs w:val="24"/>
        </w:rPr>
        <w:t>de l’évaluation</w:t>
      </w:r>
    </w:p>
    <w:p w14:paraId="5230F96A" w14:textId="1D31FA4F" w:rsidR="00713DE1" w:rsidRPr="0009257C" w:rsidRDefault="00713DE1" w:rsidP="00713DE1">
      <w:pPr>
        <w:spacing w:after="0" w:line="240" w:lineRule="auto"/>
        <w:jc w:val="both"/>
      </w:pPr>
      <w:r>
        <w:t xml:space="preserve">En réponse aux priorités du Gouvernement, le Système des Nations Unies au Mali a élaboré son Cadre de Coopération </w:t>
      </w:r>
      <w:r w:rsidRPr="00F44B1B">
        <w:t xml:space="preserve">UNSDCF pour la période 2020-2024. Pour soutenir la mise en œuvre de ce cadre, le Document de Programme Pays (CPD) du PNUD pour le Mali pour la période 2020 – 2024 a été élaboré et </w:t>
      </w:r>
      <w:r>
        <w:t>a</w:t>
      </w:r>
      <w:r w:rsidRPr="0024103A">
        <w:t xml:space="preserve">pprouvé en février 2020 par </w:t>
      </w:r>
      <w:r>
        <w:t>son</w:t>
      </w:r>
      <w:r w:rsidRPr="0024103A">
        <w:t xml:space="preserve"> Conseil d’Administration </w:t>
      </w:r>
      <w:r>
        <w:t>et est r</w:t>
      </w:r>
      <w:r w:rsidRPr="0024103A">
        <w:t>entré dans sa phase opérationnelle</w:t>
      </w:r>
      <w:r>
        <w:t xml:space="preserve"> en </w:t>
      </w:r>
      <w:r w:rsidRPr="0024103A">
        <w:t>2020.</w:t>
      </w:r>
      <w:r>
        <w:t xml:space="preserve"> Ce document de programme a été </w:t>
      </w:r>
      <w:r w:rsidRPr="00840C00">
        <w:t xml:space="preserve">élaboré en concertation avec le Gouvernement, les agences des Nations Unies, les donateurs, le secteur privé et la société civile. Il intègre les objectifs des Agendas 2030 des Nations Unies et 2063 de l'Union Africaine et est parfaitement aligné sur les priorités nationales déclinées dans le CREDD 2019-2023. </w:t>
      </w:r>
    </w:p>
    <w:p w14:paraId="3BDD394A" w14:textId="09ED28C9" w:rsidR="00713DE1" w:rsidRDefault="00713DE1" w:rsidP="00713DE1">
      <w:pPr>
        <w:spacing w:after="0" w:line="240" w:lineRule="auto"/>
        <w:jc w:val="both"/>
      </w:pPr>
    </w:p>
    <w:p w14:paraId="3D34F256" w14:textId="4E29E2E9" w:rsidR="00713DE1" w:rsidRDefault="00E00BF7" w:rsidP="00713DE1">
      <w:pPr>
        <w:spacing w:after="0" w:line="240" w:lineRule="auto"/>
        <w:jc w:val="both"/>
      </w:pPr>
      <w:r w:rsidRPr="0024103A">
        <w:t xml:space="preserve">Le Programme Pays est mis en œuvre conformément aux orientations du Plan Stratégique (2018-2021) du PNUD, notamment les solutions de signatures, pour développer les capacités nationales et locales dans la gestion du développement. </w:t>
      </w:r>
      <w:r>
        <w:t>Il intervient</w:t>
      </w:r>
      <w:r w:rsidR="00713DE1" w:rsidRPr="00840C00">
        <w:t xml:space="preserve"> dans le cadre des interventions communes des Nations Unies au Mali (UNSDCF 2020-2024) et est structuré autour des trois piliers : (i) Gouvernance inclusive et consolidation de la paix, (ii) Croissance inclusive et promotion du secteur privé, (iii) Durabilité environnementale et résilience aux effets néfastes des changements climatiques</w:t>
      </w:r>
      <w:r w:rsidR="00597D43">
        <w:t xml:space="preserve">. </w:t>
      </w:r>
      <w:r w:rsidR="00465A26" w:rsidRPr="00A11682">
        <w:t>La théorie du changement qui sous-tend l’offre programmatique est</w:t>
      </w:r>
      <w:r w:rsidR="00465A26">
        <w:t xml:space="preserve"> développée dans le Programme Pays.</w:t>
      </w:r>
    </w:p>
    <w:p w14:paraId="75DC6304" w14:textId="77777777" w:rsidR="00713DE1" w:rsidRDefault="00713DE1" w:rsidP="00713DE1">
      <w:pPr>
        <w:spacing w:after="0" w:line="240" w:lineRule="auto"/>
        <w:jc w:val="both"/>
      </w:pPr>
    </w:p>
    <w:p w14:paraId="0B9D428B" w14:textId="77777777" w:rsidR="00713DE1" w:rsidRPr="00840C00" w:rsidRDefault="00713DE1" w:rsidP="00713DE1">
      <w:pPr>
        <w:spacing w:after="0" w:line="240" w:lineRule="auto"/>
        <w:jc w:val="both"/>
      </w:pPr>
      <w:r w:rsidRPr="00840C00">
        <w:t xml:space="preserve">Les résultats attendus par pilier se présentent comme suit :  </w:t>
      </w:r>
    </w:p>
    <w:p w14:paraId="2B0E75C3" w14:textId="77777777" w:rsidR="00713DE1" w:rsidRPr="00840C00" w:rsidRDefault="00713DE1" w:rsidP="00713DE1">
      <w:pPr>
        <w:spacing w:after="0" w:line="240" w:lineRule="auto"/>
        <w:jc w:val="both"/>
      </w:pPr>
    </w:p>
    <w:p w14:paraId="64C87435" w14:textId="77777777" w:rsidR="00713DE1" w:rsidRPr="00840C00" w:rsidRDefault="00713DE1" w:rsidP="00713DE1">
      <w:pPr>
        <w:spacing w:after="0" w:line="240" w:lineRule="auto"/>
        <w:jc w:val="both"/>
      </w:pPr>
      <w:r w:rsidRPr="00840C00">
        <w:rPr>
          <w:b/>
          <w:bCs/>
          <w:u w:val="single"/>
        </w:rPr>
        <w:t>Effet 1</w:t>
      </w:r>
      <w:r w:rsidRPr="00840C00">
        <w:t> : D’ici à 2024, la population est résiliente face aux conflits, et vit réconciliée et en harmonie, dans un environnement pacifique, sûr et respectueux des droits de la personne et des traditions culturelles positives</w:t>
      </w:r>
    </w:p>
    <w:p w14:paraId="791F0232" w14:textId="3D3CA3EC" w:rsidR="00713DE1" w:rsidRDefault="00713DE1" w:rsidP="00713DE1">
      <w:pPr>
        <w:spacing w:after="0" w:line="240" w:lineRule="auto"/>
        <w:jc w:val="both"/>
      </w:pPr>
    </w:p>
    <w:p w14:paraId="0DFC6FF0" w14:textId="243BD4EB" w:rsidR="00E0672D" w:rsidRPr="008D378C" w:rsidRDefault="00E0672D" w:rsidP="00E0672D">
      <w:pPr>
        <w:spacing w:after="0" w:line="240" w:lineRule="auto"/>
        <w:jc w:val="both"/>
      </w:pPr>
      <w:r w:rsidRPr="003A4364">
        <w:rPr>
          <w:lang w:val="fr-ML"/>
        </w:rPr>
        <w:t>D'ici 2024, les citoyens vivent dans un État régi par l’état de droit, dans un climat</w:t>
      </w:r>
      <w:r>
        <w:rPr>
          <w:lang w:val="fr-ML"/>
        </w:rPr>
        <w:t xml:space="preserve"> </w:t>
      </w:r>
      <w:r w:rsidRPr="003A4364">
        <w:rPr>
          <w:lang w:val="fr-ML"/>
        </w:rPr>
        <w:t>de paix et de redevabilité grâce à des institutions publiques fortes, aux médias et à la société civile exerçant leurs</w:t>
      </w:r>
      <w:r>
        <w:rPr>
          <w:lang w:val="fr-ML"/>
        </w:rPr>
        <w:t xml:space="preserve"> </w:t>
      </w:r>
      <w:r w:rsidRPr="003A4364">
        <w:rPr>
          <w:lang w:val="fr-ML"/>
        </w:rPr>
        <w:t>rôles et responsabilités pour une gouvernance efficace et inclusive</w:t>
      </w:r>
    </w:p>
    <w:p w14:paraId="5A69626F" w14:textId="77777777" w:rsidR="00E0672D" w:rsidRPr="00840C00" w:rsidRDefault="00E0672D" w:rsidP="00713DE1">
      <w:pPr>
        <w:spacing w:after="0" w:line="240" w:lineRule="auto"/>
        <w:jc w:val="both"/>
      </w:pPr>
    </w:p>
    <w:p w14:paraId="35A43C6A" w14:textId="77777777" w:rsidR="00713DE1" w:rsidRPr="00840C00" w:rsidRDefault="00713DE1" w:rsidP="00713DE1">
      <w:pPr>
        <w:spacing w:after="0" w:line="240" w:lineRule="auto"/>
        <w:jc w:val="both"/>
      </w:pPr>
      <w:r w:rsidRPr="00840C00">
        <w:rPr>
          <w:b/>
          <w:bCs/>
          <w:u w:val="single"/>
        </w:rPr>
        <w:t>Effet 2</w:t>
      </w:r>
      <w:r w:rsidRPr="00840C00">
        <w:t> : D’ici à 2024, les Maliens, notamment les femmes et les jeunes, récoltent les bénéfices d’une croissance sans exclusion et durable dans le cadre d’une économie diversifiée, créatrice d’emplois et résiliente.</w:t>
      </w:r>
    </w:p>
    <w:p w14:paraId="78AE78E9" w14:textId="77777777" w:rsidR="00713DE1" w:rsidRPr="00840C00" w:rsidRDefault="00713DE1" w:rsidP="00713DE1">
      <w:pPr>
        <w:spacing w:after="0" w:line="240" w:lineRule="auto"/>
        <w:jc w:val="both"/>
      </w:pPr>
    </w:p>
    <w:p w14:paraId="58616AA5" w14:textId="77777777" w:rsidR="00713DE1" w:rsidRPr="00840C00" w:rsidRDefault="00713DE1" w:rsidP="00713DE1">
      <w:pPr>
        <w:spacing w:after="0" w:line="240" w:lineRule="auto"/>
        <w:jc w:val="both"/>
      </w:pPr>
      <w:r w:rsidRPr="00840C00">
        <w:rPr>
          <w:b/>
          <w:bCs/>
          <w:u w:val="single"/>
        </w:rPr>
        <w:t>Effet 3</w:t>
      </w:r>
      <w:r w:rsidRPr="00840C00">
        <w:t xml:space="preserve"> : D’ici 2024, les communautés gèrent durablement et de façon équitable les ressources naturelles et l’environnement et sont plus résilientes aux effets néfastes du changement climatique.</w:t>
      </w:r>
    </w:p>
    <w:p w14:paraId="10E1A3B7" w14:textId="77777777" w:rsidR="00713DE1" w:rsidRDefault="00713DE1" w:rsidP="00713DE1">
      <w:pPr>
        <w:spacing w:after="0" w:line="240" w:lineRule="auto"/>
        <w:jc w:val="both"/>
      </w:pPr>
    </w:p>
    <w:p w14:paraId="4645B4BF" w14:textId="1B07298C" w:rsidR="00713DE1" w:rsidRDefault="00713DE1" w:rsidP="00713DE1">
      <w:pPr>
        <w:spacing w:after="0" w:line="240" w:lineRule="auto"/>
        <w:jc w:val="both"/>
      </w:pPr>
      <w:r w:rsidRPr="00A11682">
        <w:t xml:space="preserve">Le Programme </w:t>
      </w:r>
      <w:r>
        <w:t xml:space="preserve">Pays </w:t>
      </w:r>
      <w:r w:rsidRPr="00A11682">
        <w:t>vise à contribuer à l’avènement d’une société malienne pacifique et résiliente où les citoyens font de nouveau confiance en leurs institutions, vivent dans un environnement de paix, juste et un système judiciaire équitable, sont résilients aux crises et bénéficient des fruits d’une croissance inclusive.</w:t>
      </w:r>
      <w:r>
        <w:t xml:space="preserve"> </w:t>
      </w:r>
      <w:r w:rsidR="00C50749">
        <w:t>Les</w:t>
      </w:r>
      <w:r>
        <w:t xml:space="preserve"> 3 piliers </w:t>
      </w:r>
      <w:r w:rsidR="00C50749">
        <w:t xml:space="preserve">visent à </w:t>
      </w:r>
      <w:r>
        <w:t xml:space="preserve">promouvoir une </w:t>
      </w:r>
      <w:r w:rsidR="00E0672D">
        <w:t xml:space="preserve">(i) </w:t>
      </w:r>
      <w:r w:rsidRPr="008E07B1">
        <w:rPr>
          <w:b/>
          <w:bCs/>
        </w:rPr>
        <w:t>Gouvernance inclusive et consolidation de la paix</w:t>
      </w:r>
      <w:r w:rsidRPr="0024103A">
        <w:t>,</w:t>
      </w:r>
      <w:r>
        <w:t xml:space="preserve"> en </w:t>
      </w:r>
      <w:r w:rsidRPr="00A11682">
        <w:t>vis</w:t>
      </w:r>
      <w:r>
        <w:t>a</w:t>
      </w:r>
      <w:r w:rsidRPr="00A11682">
        <w:t>nt la restauration de l’autorité de l’Etat et des fonctions essentielles de l’Etat à travers le retour effectif de l’administration au nord et au centre</w:t>
      </w:r>
      <w:r>
        <w:t xml:space="preserve"> et </w:t>
      </w:r>
      <w:r w:rsidRPr="00A11682">
        <w:t xml:space="preserve">l'inclusion des populations, en particulier des femmes et des jeunes, dans les processus de décision et à la promotion de leur bien-être grâce à l'accès aux services </w:t>
      </w:r>
      <w:r>
        <w:t xml:space="preserve">sociaux </w:t>
      </w:r>
      <w:r w:rsidRPr="00A11682">
        <w:t>de base pour toute la société</w:t>
      </w:r>
      <w:r>
        <w:t xml:space="preserve">, </w:t>
      </w:r>
      <w:r w:rsidRPr="0024103A">
        <w:t xml:space="preserve">(ii) </w:t>
      </w:r>
      <w:r w:rsidRPr="008E07B1">
        <w:rPr>
          <w:b/>
          <w:bCs/>
        </w:rPr>
        <w:t>Croissance inclusive et promotion du secteur privé</w:t>
      </w:r>
      <w:r>
        <w:t xml:space="preserve"> pour </w:t>
      </w:r>
      <w:r w:rsidRPr="00A11682">
        <w:t>appuyer le pays à opérer  une transformation structurelle de l’économie afin de générer une croissance économique créatrice d’emplois et réductrice de la pauvreté</w:t>
      </w:r>
      <w:r>
        <w:t xml:space="preserve"> et le renforcement du</w:t>
      </w:r>
      <w:r w:rsidRPr="00A11682">
        <w:t xml:space="preserve"> partenariat avec les départements ministériels et les institutions publiques autour de la mise en œuvre de l’agenda 2030 des OD</w:t>
      </w:r>
      <w:r w:rsidR="008F451B">
        <w:t>D</w:t>
      </w:r>
      <w:r w:rsidRPr="0024103A">
        <w:t xml:space="preserve">, (iii) </w:t>
      </w:r>
      <w:r w:rsidRPr="00945376">
        <w:rPr>
          <w:b/>
          <w:bCs/>
        </w:rPr>
        <w:t>Durabilité environnementale et résilience face aux effets néfastes des changements climatiques</w:t>
      </w:r>
      <w:r>
        <w:t xml:space="preserve"> en </w:t>
      </w:r>
      <w:r w:rsidRPr="00A11682">
        <w:t>développ</w:t>
      </w:r>
      <w:r>
        <w:t>ant</w:t>
      </w:r>
      <w:r w:rsidRPr="00A11682">
        <w:t xml:space="preserve"> les capacités des acteurs en matière de prévention et de gestion durable des ressources naturelles en réduisant les conflits liés à l’accès et à l’utilisation durable</w:t>
      </w:r>
      <w:r w:rsidR="00E0672D">
        <w:t xml:space="preserve"> des ressources naturelles</w:t>
      </w:r>
      <w:r w:rsidRPr="00A11682">
        <w:t>.</w:t>
      </w:r>
    </w:p>
    <w:p w14:paraId="7B33E8FC" w14:textId="77777777" w:rsidR="00713DE1" w:rsidRDefault="00713DE1" w:rsidP="00713DE1">
      <w:pPr>
        <w:spacing w:after="0" w:line="240" w:lineRule="auto"/>
        <w:jc w:val="both"/>
      </w:pPr>
    </w:p>
    <w:p w14:paraId="47F65607" w14:textId="77777777" w:rsidR="00E0672D" w:rsidRDefault="00713DE1" w:rsidP="00713DE1">
      <w:pPr>
        <w:spacing w:after="0" w:line="240" w:lineRule="auto"/>
        <w:jc w:val="both"/>
      </w:pPr>
      <w:r w:rsidRPr="00713DE1">
        <w:t xml:space="preserve">Le CPD est mis en œuvre selon une approche par portefeuille (5 au total) dont chacun regroupe l’ensemble des projets de développement et autres interventions qui concourent à la réalisation de l’Effet, et constitue une plateforme pour une gestion du changement transformationnel au niveau des effets. </w:t>
      </w:r>
    </w:p>
    <w:p w14:paraId="15B91688" w14:textId="78A2167A" w:rsidR="00E0672D" w:rsidRDefault="00713DE1" w:rsidP="00713DE1">
      <w:pPr>
        <w:spacing w:after="0" w:line="240" w:lineRule="auto"/>
        <w:jc w:val="both"/>
      </w:pPr>
      <w:r w:rsidRPr="00713DE1">
        <w:t>On distingue</w:t>
      </w:r>
      <w:r w:rsidR="00E0672D">
        <w:t> :</w:t>
      </w:r>
    </w:p>
    <w:p w14:paraId="7D453390" w14:textId="4BE3F1FE" w:rsidR="00E0672D" w:rsidRDefault="00E0672D" w:rsidP="00713DE1">
      <w:pPr>
        <w:spacing w:after="0" w:line="240" w:lineRule="auto"/>
        <w:jc w:val="both"/>
      </w:pPr>
      <w:r>
        <w:t xml:space="preserve">Effet 1 : </w:t>
      </w:r>
    </w:p>
    <w:p w14:paraId="664FC066" w14:textId="7AFA3B0B" w:rsidR="00E0672D" w:rsidRDefault="00E0672D" w:rsidP="00713DE1">
      <w:pPr>
        <w:spacing w:after="0" w:line="240" w:lineRule="auto"/>
        <w:jc w:val="both"/>
      </w:pPr>
      <w:r>
        <w:rPr>
          <w:b/>
          <w:bCs/>
        </w:rPr>
        <w:t>P</w:t>
      </w:r>
      <w:r w:rsidR="00713DE1" w:rsidRPr="00713DE1">
        <w:rPr>
          <w:b/>
          <w:bCs/>
        </w:rPr>
        <w:t>ortefeuilles</w:t>
      </w:r>
      <w:r w:rsidR="00713DE1" w:rsidRPr="00713DE1">
        <w:t xml:space="preserve"> </w:t>
      </w:r>
      <w:r w:rsidR="00713DE1" w:rsidRPr="00713DE1">
        <w:rPr>
          <w:b/>
          <w:bCs/>
        </w:rPr>
        <w:t xml:space="preserve">1 et 2 « Prévention de conflit et état de droit » « Gouvernance politique inclusive » </w:t>
      </w:r>
    </w:p>
    <w:p w14:paraId="19102300" w14:textId="77777777" w:rsidR="00E0672D" w:rsidRDefault="00E0672D" w:rsidP="00713DE1">
      <w:pPr>
        <w:spacing w:after="0" w:line="240" w:lineRule="auto"/>
        <w:jc w:val="both"/>
      </w:pPr>
    </w:p>
    <w:p w14:paraId="08B63AA1" w14:textId="671A62AC" w:rsidR="00E0672D" w:rsidRDefault="00E0672D" w:rsidP="00713DE1">
      <w:pPr>
        <w:spacing w:after="0" w:line="240" w:lineRule="auto"/>
        <w:jc w:val="both"/>
      </w:pPr>
      <w:r>
        <w:t xml:space="preserve">Effet 2 : </w:t>
      </w:r>
    </w:p>
    <w:p w14:paraId="78E9B95F" w14:textId="44FB05A2" w:rsidR="00E0672D" w:rsidRDefault="00E0672D" w:rsidP="00713DE1">
      <w:pPr>
        <w:spacing w:after="0" w:line="240" w:lineRule="auto"/>
        <w:jc w:val="both"/>
      </w:pPr>
      <w:r>
        <w:rPr>
          <w:b/>
          <w:bCs/>
        </w:rPr>
        <w:t>P</w:t>
      </w:r>
      <w:r w:rsidR="00713DE1" w:rsidRPr="00713DE1">
        <w:rPr>
          <w:b/>
          <w:bCs/>
        </w:rPr>
        <w:t>ortefeuille 3 « croissance inclusive et promotion du secteur privé »</w:t>
      </w:r>
      <w:r w:rsidR="00713DE1" w:rsidRPr="00713DE1">
        <w:t xml:space="preserve"> </w:t>
      </w:r>
    </w:p>
    <w:p w14:paraId="7C08DC8D" w14:textId="7B02021C" w:rsidR="00E0672D" w:rsidRDefault="00E0672D" w:rsidP="00713DE1">
      <w:pPr>
        <w:spacing w:after="0" w:line="240" w:lineRule="auto"/>
        <w:jc w:val="both"/>
      </w:pPr>
    </w:p>
    <w:p w14:paraId="1717D3CD" w14:textId="60C67DF5" w:rsidR="00E0672D" w:rsidRDefault="00E0672D" w:rsidP="00713DE1">
      <w:pPr>
        <w:spacing w:after="0" w:line="240" w:lineRule="auto"/>
        <w:jc w:val="both"/>
      </w:pPr>
      <w:r>
        <w:t xml:space="preserve">Effet 3 : </w:t>
      </w:r>
    </w:p>
    <w:p w14:paraId="117E1771" w14:textId="103F65BE" w:rsidR="00713DE1" w:rsidRPr="00713DE1" w:rsidRDefault="00E0672D" w:rsidP="00713DE1">
      <w:pPr>
        <w:spacing w:after="0" w:line="240" w:lineRule="auto"/>
        <w:jc w:val="both"/>
      </w:pPr>
      <w:r>
        <w:rPr>
          <w:b/>
          <w:bCs/>
        </w:rPr>
        <w:t>P</w:t>
      </w:r>
      <w:r w:rsidR="00713DE1" w:rsidRPr="00713DE1">
        <w:rPr>
          <w:b/>
          <w:bCs/>
        </w:rPr>
        <w:t>ortefeuilles</w:t>
      </w:r>
      <w:r w:rsidR="00C50749">
        <w:rPr>
          <w:b/>
          <w:bCs/>
        </w:rPr>
        <w:t xml:space="preserve"> </w:t>
      </w:r>
      <w:r>
        <w:rPr>
          <w:b/>
          <w:bCs/>
        </w:rPr>
        <w:t>4</w:t>
      </w:r>
      <w:r w:rsidR="00713DE1" w:rsidRPr="00713DE1">
        <w:rPr>
          <w:b/>
          <w:bCs/>
        </w:rPr>
        <w:t xml:space="preserve"> « Résilience et Adaptation » et </w:t>
      </w:r>
      <w:r>
        <w:rPr>
          <w:b/>
          <w:bCs/>
        </w:rPr>
        <w:t xml:space="preserve">Portefeuille 5 </w:t>
      </w:r>
      <w:r w:rsidR="00713DE1" w:rsidRPr="00713DE1">
        <w:rPr>
          <w:b/>
          <w:bCs/>
        </w:rPr>
        <w:t>« Environnement et cadre de vie »</w:t>
      </w:r>
    </w:p>
    <w:p w14:paraId="600CF01D" w14:textId="77777777" w:rsidR="00713DE1" w:rsidRDefault="00713DE1" w:rsidP="00713DE1">
      <w:pPr>
        <w:spacing w:after="0" w:line="240" w:lineRule="auto"/>
        <w:jc w:val="both"/>
      </w:pPr>
    </w:p>
    <w:p w14:paraId="13F972B3" w14:textId="77777777" w:rsidR="00C50749" w:rsidRDefault="00713DE1" w:rsidP="00713DE1">
      <w:pPr>
        <w:spacing w:after="0" w:line="240" w:lineRule="auto"/>
        <w:jc w:val="both"/>
      </w:pPr>
      <w:r w:rsidRPr="0024103A">
        <w:t xml:space="preserve">Ainsi, une quinzaine de projets phares sont présentement mis en œuvre à travers les </w:t>
      </w:r>
      <w:r>
        <w:t xml:space="preserve">3 </w:t>
      </w:r>
      <w:r w:rsidRPr="0024103A">
        <w:t>Piliers.</w:t>
      </w:r>
      <w:r w:rsidRPr="0024103A" w:rsidDel="00EB0726">
        <w:t xml:space="preserve"> </w:t>
      </w:r>
      <w:r w:rsidRPr="0024103A">
        <w:t xml:space="preserve">Durant le cycle du programme en cours, le PNUD a prévu de mobiliser au total </w:t>
      </w:r>
      <w:r w:rsidRPr="00C50749">
        <w:rPr>
          <w:b/>
          <w:bCs/>
        </w:rPr>
        <w:t>174 millions USD</w:t>
      </w:r>
      <w:r w:rsidRPr="0024103A">
        <w:t xml:space="preserve"> </w:t>
      </w:r>
      <w:r>
        <w:t xml:space="preserve">de ressources Non Core et </w:t>
      </w:r>
      <w:r w:rsidRPr="00C50749">
        <w:rPr>
          <w:b/>
          <w:bCs/>
        </w:rPr>
        <w:t>49 690</w:t>
      </w:r>
      <w:r w:rsidR="00C50749">
        <w:rPr>
          <w:b/>
          <w:bCs/>
        </w:rPr>
        <w:t> </w:t>
      </w:r>
      <w:r w:rsidRPr="00C50749">
        <w:rPr>
          <w:b/>
          <w:bCs/>
        </w:rPr>
        <w:t>000</w:t>
      </w:r>
      <w:r w:rsidR="00C50749">
        <w:t xml:space="preserve"> USD </w:t>
      </w:r>
      <w:r w:rsidRPr="00612DAA">
        <w:t>de ressources régulières</w:t>
      </w:r>
      <w:r>
        <w:t xml:space="preserve"> </w:t>
      </w:r>
      <w:r w:rsidRPr="0024103A">
        <w:t xml:space="preserve">pour la réalisation du programme. </w:t>
      </w:r>
    </w:p>
    <w:p w14:paraId="40388A6F" w14:textId="77777777" w:rsidR="00C50749" w:rsidRDefault="00C50749" w:rsidP="00713DE1">
      <w:pPr>
        <w:spacing w:after="0" w:line="240" w:lineRule="auto"/>
        <w:jc w:val="both"/>
      </w:pPr>
    </w:p>
    <w:p w14:paraId="0B4ACACF" w14:textId="63B20A0D" w:rsidR="00713DE1" w:rsidRDefault="00713DE1" w:rsidP="00713DE1">
      <w:pPr>
        <w:spacing w:after="0" w:line="240" w:lineRule="auto"/>
        <w:jc w:val="both"/>
      </w:pPr>
      <w:r w:rsidRPr="0024103A">
        <w:t xml:space="preserve">En 2022, le document de programme pays entame sa phase de croisière et </w:t>
      </w:r>
      <w:r>
        <w:t xml:space="preserve">conformément à son plan d’évaluation, </w:t>
      </w:r>
      <w:r w:rsidRPr="0024103A">
        <w:t>une évaluation à mi-parcours est prévue pour i) apprécier les résultats obtenus et s’assurer que les interventions sont en bonne voie, ii) apporter les ajustements nécessaires en vue de l’adapter au nouveau contexte du pays</w:t>
      </w:r>
      <w:r>
        <w:t xml:space="preserve"> et tirer les leçons de sa mise en œuvre en vue de son amélioration pour la période restante</w:t>
      </w:r>
      <w:r w:rsidRPr="0024103A">
        <w:t>. Cet exercice sera réalisé dans une approche participative et inclusive avec l’ensemble des parties prenantes.</w:t>
      </w:r>
    </w:p>
    <w:p w14:paraId="4F5312A8" w14:textId="77777777" w:rsidR="00713DE1" w:rsidRDefault="00713DE1" w:rsidP="00713DE1">
      <w:pPr>
        <w:spacing w:after="0" w:line="240" w:lineRule="auto"/>
        <w:jc w:val="both"/>
      </w:pPr>
    </w:p>
    <w:p w14:paraId="40FF9E5C" w14:textId="6CCE3216" w:rsidR="00713DE1" w:rsidRDefault="00713DE1" w:rsidP="00713DE1">
      <w:pPr>
        <w:spacing w:after="0" w:line="240" w:lineRule="auto"/>
        <w:jc w:val="both"/>
      </w:pPr>
      <w:r>
        <w:t xml:space="preserve">Le Programme Pays a fait l’objet de 2 revues conjointes qui ont permis </w:t>
      </w:r>
      <w:r w:rsidRPr="0024103A">
        <w:t xml:space="preserve">d’offrir un cadre d’échanges sur les progrès réalisés </w:t>
      </w:r>
      <w:r w:rsidR="00CC69F0">
        <w:t>en</w:t>
      </w:r>
      <w:r w:rsidRPr="0024103A">
        <w:t xml:space="preserve"> 202</w:t>
      </w:r>
      <w:r w:rsidR="00CC69F0">
        <w:t>0</w:t>
      </w:r>
      <w:r>
        <w:t xml:space="preserve"> et 202</w:t>
      </w:r>
      <w:r w:rsidR="00CC69F0">
        <w:t>1</w:t>
      </w:r>
      <w:r>
        <w:t>.</w:t>
      </w:r>
      <w:r w:rsidRPr="0024103A">
        <w:t xml:space="preserve"> </w:t>
      </w:r>
      <w:r>
        <w:t>De plus, les évaluations de projets ont été conduites conformément au plan d’évaluation 2020 – 2024.</w:t>
      </w:r>
    </w:p>
    <w:p w14:paraId="36D1E2B0" w14:textId="77777777" w:rsidR="00713DE1" w:rsidRPr="0024103A" w:rsidRDefault="00713DE1" w:rsidP="00713DE1">
      <w:pPr>
        <w:spacing w:after="0" w:line="240" w:lineRule="auto"/>
        <w:jc w:val="both"/>
      </w:pPr>
    </w:p>
    <w:p w14:paraId="296AF568" w14:textId="5E42549B" w:rsidR="00713DE1" w:rsidRPr="00C22818" w:rsidRDefault="00713DE1" w:rsidP="00713DE1">
      <w:pPr>
        <w:spacing w:after="0" w:line="240" w:lineRule="auto"/>
        <w:jc w:val="both"/>
      </w:pPr>
      <w:r w:rsidRPr="00C22818">
        <w:t xml:space="preserve">Les présents termes de référence sont élaborés pour </w:t>
      </w:r>
      <w:r w:rsidR="00CC69F0">
        <w:t xml:space="preserve">conduire cette évaluation à mi-parcours à travers </w:t>
      </w:r>
      <w:r w:rsidRPr="00C22818">
        <w:t>le recrutement de deux consultants individuels à savoir un consultant international et un consultant national.</w:t>
      </w:r>
    </w:p>
    <w:p w14:paraId="0445B438" w14:textId="77777777" w:rsidR="00713DE1" w:rsidRPr="002C6966" w:rsidRDefault="00713DE1" w:rsidP="00713DE1">
      <w:pPr>
        <w:spacing w:after="0" w:line="240" w:lineRule="auto"/>
        <w:jc w:val="both"/>
        <w:rPr>
          <w:b/>
          <w:bCs/>
        </w:rPr>
      </w:pPr>
    </w:p>
    <w:p w14:paraId="2E798900" w14:textId="1ECC53AB" w:rsidR="00713DE1" w:rsidRPr="002C6966" w:rsidRDefault="002C6966" w:rsidP="001A2A80">
      <w:pPr>
        <w:pStyle w:val="Paragraphedeliste"/>
        <w:numPr>
          <w:ilvl w:val="0"/>
          <w:numId w:val="6"/>
        </w:numPr>
        <w:spacing w:after="0" w:line="240" w:lineRule="auto"/>
        <w:jc w:val="both"/>
        <w:rPr>
          <w:b/>
          <w:bCs/>
        </w:rPr>
      </w:pPr>
      <w:r w:rsidRPr="002C6966">
        <w:rPr>
          <w:b/>
          <w:bCs/>
        </w:rPr>
        <w:t>Objectifs et p</w:t>
      </w:r>
      <w:r w:rsidR="00743FF4">
        <w:rPr>
          <w:b/>
          <w:bCs/>
        </w:rPr>
        <w:t>or</w:t>
      </w:r>
      <w:r w:rsidRPr="002C6966">
        <w:rPr>
          <w:b/>
          <w:bCs/>
        </w:rPr>
        <w:t>tée de l’évaluation</w:t>
      </w:r>
    </w:p>
    <w:p w14:paraId="20017AB7" w14:textId="77777777" w:rsidR="002C6966" w:rsidRDefault="002C6966" w:rsidP="002C6966">
      <w:pPr>
        <w:pStyle w:val="Paragraphedeliste"/>
        <w:spacing w:after="0" w:line="240" w:lineRule="auto"/>
        <w:ind w:left="1080"/>
        <w:jc w:val="both"/>
      </w:pPr>
    </w:p>
    <w:p w14:paraId="41804C79" w14:textId="7A2B368C" w:rsidR="00E00BF7" w:rsidRPr="002C6966" w:rsidRDefault="002C6966" w:rsidP="00713DE1">
      <w:pPr>
        <w:spacing w:after="0" w:line="240" w:lineRule="auto"/>
        <w:jc w:val="both"/>
        <w:rPr>
          <w:b/>
          <w:bCs/>
        </w:rPr>
      </w:pPr>
      <w:r w:rsidRPr="002C6966">
        <w:rPr>
          <w:b/>
          <w:bCs/>
        </w:rPr>
        <w:t>3.1 Objectifs de l’évaluation</w:t>
      </w:r>
    </w:p>
    <w:p w14:paraId="681623D3" w14:textId="34693663" w:rsidR="00E00BF7" w:rsidRDefault="00E00BF7" w:rsidP="00713DE1">
      <w:pPr>
        <w:spacing w:after="0" w:line="240" w:lineRule="auto"/>
        <w:jc w:val="both"/>
      </w:pPr>
    </w:p>
    <w:p w14:paraId="2923EC56" w14:textId="3D646855" w:rsidR="00B2083E" w:rsidRDefault="00C3362E" w:rsidP="00B2083E">
      <w:pPr>
        <w:spacing w:after="0" w:line="240" w:lineRule="auto"/>
        <w:jc w:val="both"/>
      </w:pPr>
      <w:r w:rsidRPr="002C6966">
        <w:t xml:space="preserve">L'objectif général de l'évaluation à mi-parcours est d’analyser le niveau de réalisation des résultats attendus du CPD, d’apprécier les contributions aux résultats de développement du pays, d’analyser les difficultés rencontrées </w:t>
      </w:r>
      <w:r w:rsidR="00B2083E" w:rsidRPr="002C6966">
        <w:t xml:space="preserve">et d’indiquer les ajustements nécessaires </w:t>
      </w:r>
      <w:r w:rsidR="00CC69F0">
        <w:t xml:space="preserve">à apporter </w:t>
      </w:r>
      <w:r w:rsidR="00B2083E" w:rsidRPr="002C6966">
        <w:t xml:space="preserve">pour atteindre les objectifs fixés, de juger de sa pertinence et de sa cohérence par rapport aux priorités nationales telles que déclinées dans le CREDD et de tirer les leçons en vue d’améliorer sa mise en œuvre pour les 2 dernières années de mise en </w:t>
      </w:r>
      <w:r w:rsidR="002C6966" w:rsidRPr="002C6966">
        <w:t>œ</w:t>
      </w:r>
      <w:r w:rsidR="002C6966">
        <w:t>u</w:t>
      </w:r>
      <w:r w:rsidR="002C6966" w:rsidRPr="002C6966">
        <w:t>vre</w:t>
      </w:r>
      <w:r w:rsidR="00B2083E" w:rsidRPr="002C6966">
        <w:t xml:space="preserve"> du Programme Pays (2023 – 2024).</w:t>
      </w:r>
      <w:r w:rsidR="002C6966">
        <w:t xml:space="preserve"> </w:t>
      </w:r>
      <w:r w:rsidR="00B2083E" w:rsidRPr="002C6966">
        <w:t>Il s’agira également de</w:t>
      </w:r>
      <w:r w:rsidR="002C6966">
        <w:t xml:space="preserve"> prendre </w:t>
      </w:r>
      <w:r w:rsidR="00B2083E" w:rsidRPr="002C6966">
        <w:t>en compte l’évolution de l’environnement socio-économique et institutionnel du pays et certains thèmes</w:t>
      </w:r>
      <w:r w:rsidR="002C6966">
        <w:t xml:space="preserve"> de </w:t>
      </w:r>
      <w:r w:rsidR="00B2083E" w:rsidRPr="002C6966">
        <w:t>portée stratégique (Genre, Droits Humains, Renforcement des Capacités, Objectifs du Développement Durable, Gestion Axée sur les Résultats, Résilience, Nexus Humanitaire-Développement, etc…)</w:t>
      </w:r>
      <w:r w:rsidR="002C6966">
        <w:t>.</w:t>
      </w:r>
    </w:p>
    <w:p w14:paraId="44F60D87" w14:textId="77777777" w:rsidR="002C6966" w:rsidRDefault="002C6966" w:rsidP="00C3362E">
      <w:pPr>
        <w:autoSpaceDE w:val="0"/>
        <w:autoSpaceDN w:val="0"/>
        <w:adjustRightInd w:val="0"/>
        <w:spacing w:after="0" w:line="240" w:lineRule="auto"/>
        <w:jc w:val="both"/>
        <w:rPr>
          <w:rFonts w:ascii="Times New Roman" w:hAnsi="Times New Roman"/>
          <w:sz w:val="24"/>
          <w:szCs w:val="24"/>
        </w:rPr>
      </w:pPr>
    </w:p>
    <w:p w14:paraId="4A9FFE59" w14:textId="769B7575" w:rsidR="00C3362E" w:rsidRPr="002C6966" w:rsidRDefault="00C3362E" w:rsidP="00C3362E">
      <w:pPr>
        <w:autoSpaceDE w:val="0"/>
        <w:autoSpaceDN w:val="0"/>
        <w:adjustRightInd w:val="0"/>
        <w:spacing w:after="0" w:line="240" w:lineRule="auto"/>
        <w:jc w:val="both"/>
      </w:pPr>
      <w:r w:rsidRPr="002C6966">
        <w:t>De façon spécifique, cette évaluation vise à :</w:t>
      </w:r>
    </w:p>
    <w:p w14:paraId="76ED70DA" w14:textId="77777777" w:rsidR="00C3362E" w:rsidRPr="002C6966" w:rsidRDefault="00C3362E" w:rsidP="001A2A80">
      <w:pPr>
        <w:pStyle w:val="Paragraphedeliste"/>
        <w:numPr>
          <w:ilvl w:val="0"/>
          <w:numId w:val="1"/>
        </w:numPr>
        <w:autoSpaceDE w:val="0"/>
        <w:autoSpaceDN w:val="0"/>
        <w:adjustRightInd w:val="0"/>
        <w:spacing w:after="0" w:line="240" w:lineRule="auto"/>
        <w:ind w:left="360"/>
        <w:jc w:val="both"/>
        <w:rPr>
          <w:rFonts w:ascii="Calibri" w:eastAsia="Times New Roman" w:hAnsi="Calibri" w:cs="Times New Roman"/>
          <w:lang w:eastAsia="fr-FR"/>
        </w:rPr>
      </w:pPr>
      <w:r w:rsidRPr="002C6966">
        <w:rPr>
          <w:rFonts w:ascii="Calibri" w:eastAsia="Times New Roman" w:hAnsi="Calibri" w:cs="Times New Roman"/>
          <w:lang w:eastAsia="fr-FR"/>
        </w:rPr>
        <w:t>Analyser les progrès réalisés dans l’atteinte des résultats ;</w:t>
      </w:r>
    </w:p>
    <w:p w14:paraId="0E0F47D8" w14:textId="77777777" w:rsidR="00C3362E" w:rsidRPr="002C6966" w:rsidRDefault="00C3362E" w:rsidP="001A2A80">
      <w:pPr>
        <w:pStyle w:val="Paragraphedeliste"/>
        <w:numPr>
          <w:ilvl w:val="0"/>
          <w:numId w:val="1"/>
        </w:numPr>
        <w:autoSpaceDE w:val="0"/>
        <w:autoSpaceDN w:val="0"/>
        <w:adjustRightInd w:val="0"/>
        <w:spacing w:after="0" w:line="240" w:lineRule="auto"/>
        <w:ind w:left="360"/>
        <w:jc w:val="both"/>
        <w:rPr>
          <w:rFonts w:ascii="Calibri" w:eastAsia="Times New Roman" w:hAnsi="Calibri" w:cs="Times New Roman"/>
          <w:lang w:eastAsia="fr-FR"/>
        </w:rPr>
      </w:pPr>
      <w:r w:rsidRPr="002C6966">
        <w:rPr>
          <w:rFonts w:ascii="Calibri" w:eastAsia="Times New Roman" w:hAnsi="Calibri" w:cs="Times New Roman"/>
          <w:lang w:eastAsia="fr-FR"/>
        </w:rPr>
        <w:t>Analyser le positionnement du PNUD ;</w:t>
      </w:r>
    </w:p>
    <w:p w14:paraId="7B43EBA1" w14:textId="43BBFCE2" w:rsidR="00C3362E" w:rsidRPr="002C6966" w:rsidRDefault="00C3362E" w:rsidP="001A2A80">
      <w:pPr>
        <w:pStyle w:val="Paragraphedeliste"/>
        <w:numPr>
          <w:ilvl w:val="0"/>
          <w:numId w:val="1"/>
        </w:numPr>
        <w:autoSpaceDE w:val="0"/>
        <w:autoSpaceDN w:val="0"/>
        <w:adjustRightInd w:val="0"/>
        <w:spacing w:after="0" w:line="240" w:lineRule="auto"/>
        <w:ind w:left="360"/>
        <w:jc w:val="both"/>
        <w:rPr>
          <w:rFonts w:ascii="Calibri" w:eastAsia="Times New Roman" w:hAnsi="Calibri" w:cs="Times New Roman"/>
          <w:lang w:eastAsia="fr-FR"/>
        </w:rPr>
      </w:pPr>
      <w:r w:rsidRPr="002C6966">
        <w:rPr>
          <w:rFonts w:ascii="Calibri" w:eastAsia="Times New Roman" w:hAnsi="Calibri" w:cs="Times New Roman"/>
          <w:lang w:eastAsia="fr-FR"/>
        </w:rPr>
        <w:t>Identifier les enseignements à retenir de la mise en œuvre du CPD et les corrections éventuelles à apporter</w:t>
      </w:r>
      <w:r w:rsidR="00BC22D1">
        <w:rPr>
          <w:rFonts w:ascii="Calibri" w:eastAsia="Times New Roman" w:hAnsi="Calibri" w:cs="Times New Roman"/>
          <w:lang w:eastAsia="fr-FR"/>
        </w:rPr>
        <w:t xml:space="preserve"> en tenant compte notamment du nouveau contexte politique, de l’impact de la crise sanitaire et du nouveau plan stratégique du PNUD (2022-2025) et de l’offre Sahel du PNUD </w:t>
      </w:r>
      <w:r w:rsidRPr="002C6966">
        <w:rPr>
          <w:rFonts w:ascii="Calibri" w:eastAsia="Times New Roman" w:hAnsi="Calibri" w:cs="Times New Roman"/>
          <w:lang w:eastAsia="fr-FR"/>
        </w:rPr>
        <w:t>;</w:t>
      </w:r>
    </w:p>
    <w:p w14:paraId="4D267EB2" w14:textId="4A84CCF0" w:rsidR="006E29D4" w:rsidRPr="001C4CAA" w:rsidRDefault="00C3362E" w:rsidP="001A2A80">
      <w:pPr>
        <w:pStyle w:val="Paragraphedeliste"/>
        <w:numPr>
          <w:ilvl w:val="0"/>
          <w:numId w:val="1"/>
        </w:numPr>
        <w:autoSpaceDE w:val="0"/>
        <w:autoSpaceDN w:val="0"/>
        <w:adjustRightInd w:val="0"/>
        <w:spacing w:after="0" w:line="240" w:lineRule="auto"/>
        <w:ind w:left="360"/>
        <w:jc w:val="both"/>
        <w:rPr>
          <w:rFonts w:ascii="Calibri" w:eastAsia="Times New Roman" w:hAnsi="Calibri" w:cs="Times New Roman"/>
          <w:lang w:eastAsia="fr-FR"/>
        </w:rPr>
      </w:pPr>
      <w:r w:rsidRPr="002C6966">
        <w:rPr>
          <w:rFonts w:ascii="Calibri" w:eastAsia="Times New Roman" w:hAnsi="Calibri" w:cs="Times New Roman"/>
          <w:lang w:eastAsia="fr-FR"/>
        </w:rPr>
        <w:t>Mettre en évidence les résultats contribuant à la réduction des inégalités de genre et la promotion de l’autonomisation économique des femmes</w:t>
      </w:r>
      <w:r w:rsidR="001C4CAA">
        <w:rPr>
          <w:rFonts w:ascii="Calibri" w:eastAsia="Times New Roman" w:hAnsi="Calibri" w:cs="Times New Roman"/>
          <w:lang w:eastAsia="fr-FR"/>
        </w:rPr>
        <w:t> ;</w:t>
      </w:r>
    </w:p>
    <w:p w14:paraId="22EF5E8A" w14:textId="72F978FD" w:rsidR="001C4CAA" w:rsidRPr="001C4CAA" w:rsidRDefault="006E29D4" w:rsidP="001A2A80">
      <w:pPr>
        <w:pStyle w:val="Paragraphedeliste"/>
        <w:numPr>
          <w:ilvl w:val="0"/>
          <w:numId w:val="2"/>
        </w:numPr>
        <w:shd w:val="clear" w:color="auto" w:fill="FFFFFF"/>
        <w:spacing w:after="0" w:line="240" w:lineRule="auto"/>
        <w:ind w:left="360"/>
        <w:jc w:val="both"/>
        <w:rPr>
          <w:rFonts w:ascii="Calibri" w:eastAsia="Times New Roman" w:hAnsi="Calibri" w:cs="Times New Roman"/>
          <w:lang w:eastAsia="fr-FR"/>
        </w:rPr>
      </w:pPr>
      <w:r w:rsidRPr="002C6966">
        <w:rPr>
          <w:rFonts w:ascii="Calibri" w:eastAsia="Times New Roman" w:hAnsi="Calibri" w:cs="Times New Roman"/>
          <w:lang w:eastAsia="fr-FR"/>
        </w:rPr>
        <w:t xml:space="preserve">Identifier et analyser les principaux facteurs internes et externes ayant favorisé ou entravé l’atteinte des objectifs du CPD et se prononcer sur l’importance des synergies développées et le degré d’implication des différents acteurs dans la réalisation des </w:t>
      </w:r>
      <w:r w:rsidR="001C4CAA">
        <w:rPr>
          <w:rFonts w:ascii="Calibri" w:eastAsia="Times New Roman" w:hAnsi="Calibri" w:cs="Times New Roman"/>
          <w:lang w:eastAsia="fr-FR"/>
        </w:rPr>
        <w:t>résultats ;</w:t>
      </w:r>
    </w:p>
    <w:p w14:paraId="2C248606" w14:textId="1BC21EAB" w:rsidR="006E29D4" w:rsidRDefault="006E29D4" w:rsidP="001A2A80">
      <w:pPr>
        <w:numPr>
          <w:ilvl w:val="0"/>
          <w:numId w:val="2"/>
        </w:numPr>
        <w:spacing w:after="0" w:line="240" w:lineRule="auto"/>
        <w:ind w:left="360"/>
        <w:jc w:val="both"/>
      </w:pPr>
      <w:r w:rsidRPr="002C6966">
        <w:t xml:space="preserve">Examiner la pertinence de la stratégie de partenariat utilisée, entre le PNUD et les Agences SNU d’une part, et d’autre part, entre le PNUD et les autres partenaires multi-bi latéraux ; </w:t>
      </w:r>
      <w:r w:rsidR="001C4CAA">
        <w:t>ainsi qu’avec le Gouvernement du Mali ;</w:t>
      </w:r>
    </w:p>
    <w:p w14:paraId="011F47D6" w14:textId="5D50C776" w:rsidR="00CC69F0" w:rsidRDefault="00CC69F0" w:rsidP="00CC69F0">
      <w:pPr>
        <w:numPr>
          <w:ilvl w:val="0"/>
          <w:numId w:val="2"/>
        </w:numPr>
        <w:spacing w:after="0" w:line="240" w:lineRule="auto"/>
        <w:ind w:left="360"/>
        <w:jc w:val="both"/>
      </w:pPr>
      <w:r>
        <w:t>Examiner le niveau de l’appropriation nationale et la durabilité du programme ;</w:t>
      </w:r>
    </w:p>
    <w:p w14:paraId="38B2C39A" w14:textId="6962B969" w:rsidR="00C3362E" w:rsidRPr="001C4CAA" w:rsidRDefault="001C4CAA" w:rsidP="001A2A80">
      <w:pPr>
        <w:numPr>
          <w:ilvl w:val="0"/>
          <w:numId w:val="2"/>
        </w:numPr>
        <w:spacing w:after="0" w:line="240" w:lineRule="auto"/>
        <w:ind w:left="360"/>
        <w:jc w:val="both"/>
        <w:rPr>
          <w:rFonts w:ascii="Times New Roman" w:hAnsi="Times New Roman"/>
        </w:rPr>
      </w:pPr>
      <w:r>
        <w:t xml:space="preserve">Fournir des </w:t>
      </w:r>
      <w:r w:rsidR="006E29D4" w:rsidRPr="001C4CAA">
        <w:t xml:space="preserve">recommandations/orientations stratégiques et programmatiques pertinentes issues </w:t>
      </w:r>
      <w:r w:rsidR="00FD6B63">
        <w:t xml:space="preserve">des leçons apprises et </w:t>
      </w:r>
      <w:r w:rsidR="006E29D4" w:rsidRPr="001C4CAA">
        <w:t>de l’analyse du contexte actuel et futur</w:t>
      </w:r>
      <w:r>
        <w:t>.</w:t>
      </w:r>
    </w:p>
    <w:p w14:paraId="026EED7C" w14:textId="77777777" w:rsidR="001C4CAA" w:rsidRDefault="001C4CAA" w:rsidP="001C4CAA">
      <w:pPr>
        <w:outlineLvl w:val="0"/>
        <w:rPr>
          <w:rFonts w:ascii="Times New Roman" w:hAnsi="Times New Roman"/>
        </w:rPr>
      </w:pPr>
    </w:p>
    <w:p w14:paraId="3D06C3E3" w14:textId="38028CAB" w:rsidR="00C3362E" w:rsidRDefault="001C4CAA" w:rsidP="001C4CAA">
      <w:pPr>
        <w:spacing w:after="0" w:line="240" w:lineRule="auto"/>
        <w:jc w:val="both"/>
        <w:rPr>
          <w:b/>
          <w:bCs/>
        </w:rPr>
      </w:pPr>
      <w:r>
        <w:rPr>
          <w:b/>
          <w:bCs/>
        </w:rPr>
        <w:t xml:space="preserve">3.2 </w:t>
      </w:r>
      <w:r w:rsidR="00C3362E" w:rsidRPr="001C4CAA">
        <w:rPr>
          <w:b/>
          <w:bCs/>
        </w:rPr>
        <w:t>Portée de l’évaluation</w:t>
      </w:r>
      <w:r w:rsidR="00651B75">
        <w:rPr>
          <w:b/>
          <w:bCs/>
        </w:rPr>
        <w:t xml:space="preserve"> </w:t>
      </w:r>
    </w:p>
    <w:p w14:paraId="178F81D1" w14:textId="77777777" w:rsidR="001C4CAA" w:rsidRPr="001C4CAA" w:rsidRDefault="001C4CAA" w:rsidP="001C4CAA">
      <w:pPr>
        <w:spacing w:after="0" w:line="240" w:lineRule="auto"/>
        <w:jc w:val="both"/>
        <w:rPr>
          <w:b/>
          <w:bCs/>
        </w:rPr>
      </w:pPr>
    </w:p>
    <w:p w14:paraId="41BFE726" w14:textId="1DE13136" w:rsidR="00651B75" w:rsidRDefault="00C3362E" w:rsidP="00C3362E">
      <w:pPr>
        <w:spacing w:after="0" w:line="240" w:lineRule="auto"/>
        <w:jc w:val="both"/>
      </w:pPr>
      <w:r w:rsidRPr="00651B75">
        <w:t xml:space="preserve">L'évaluation à mi-parcours couvrira la période </w:t>
      </w:r>
      <w:r w:rsidR="00D31981">
        <w:t xml:space="preserve">de février </w:t>
      </w:r>
      <w:r w:rsidRPr="00651B75">
        <w:t>20</w:t>
      </w:r>
      <w:r w:rsidR="00651B75">
        <w:t>20</w:t>
      </w:r>
      <w:r w:rsidR="00AB4097">
        <w:t xml:space="preserve"> à </w:t>
      </w:r>
      <w:r w:rsidR="00313B6F">
        <w:t>a</w:t>
      </w:r>
      <w:r w:rsidR="00AB4097">
        <w:t>vril</w:t>
      </w:r>
      <w:r w:rsidR="00597D43">
        <w:t xml:space="preserve"> </w:t>
      </w:r>
      <w:r w:rsidR="00651B75">
        <w:t>2022</w:t>
      </w:r>
      <w:r w:rsidRPr="00651B75">
        <w:t xml:space="preserve">, mettant en évidence les principaux enseignements tirés pour fournir des orientations éclairées pour la deuxième phase du cycle. </w:t>
      </w:r>
    </w:p>
    <w:p w14:paraId="5676983A" w14:textId="0A484B9E" w:rsidR="00651B75" w:rsidRDefault="00651B75" w:rsidP="00C3362E">
      <w:pPr>
        <w:spacing w:after="0" w:line="240" w:lineRule="auto"/>
        <w:jc w:val="both"/>
      </w:pPr>
    </w:p>
    <w:p w14:paraId="44BE866F" w14:textId="70313BF4" w:rsidR="00FD6B63" w:rsidRDefault="00FD6B63" w:rsidP="00FD6B63">
      <w:pPr>
        <w:spacing w:after="0" w:line="240" w:lineRule="auto"/>
        <w:jc w:val="both"/>
      </w:pPr>
      <w:r>
        <w:t>L’évaluation doit avoir une large portée, en s’étendant non seulement sur les résultats (ou effets) de manière générale</w:t>
      </w:r>
      <w:r w:rsidR="00D31981">
        <w:t xml:space="preserve"> couvrant les thématiques liées à la Gouvernance, la croissance inclusive et le développement durable</w:t>
      </w:r>
      <w:r>
        <w:t xml:space="preserve">, mais aussi sur la manière dont les projets et programmes du PNUD ont contribué ou contribuent à l’atteinte des effets de l’UNSDCF. </w:t>
      </w:r>
    </w:p>
    <w:p w14:paraId="5C383613" w14:textId="77777777" w:rsidR="00FD6B63" w:rsidRDefault="00FD6B63" w:rsidP="00FD6B63">
      <w:pPr>
        <w:spacing w:after="0" w:line="240" w:lineRule="auto"/>
        <w:jc w:val="both"/>
      </w:pPr>
    </w:p>
    <w:p w14:paraId="737F6A5D" w14:textId="54160415" w:rsidR="00FD6B63" w:rsidRPr="00651B75" w:rsidRDefault="00FD6B63" w:rsidP="00FD6B63">
      <w:pPr>
        <w:spacing w:after="0" w:line="240" w:lineRule="auto"/>
        <w:jc w:val="both"/>
      </w:pPr>
      <w:r w:rsidRPr="00651B75">
        <w:t xml:space="preserve">Par ailleurs, </w:t>
      </w:r>
      <w:hyperlink w:anchor="COVID" w:history="1">
        <w:r w:rsidRPr="00651B75">
          <w:t>les résultats obtenus dans le cadre de la riposte à la pandémie du coronavirus</w:t>
        </w:r>
      </w:hyperlink>
      <w:r w:rsidR="00CC69F0">
        <w:t xml:space="preserve"> et des thèmes transversaux</w:t>
      </w:r>
      <w:r w:rsidRPr="00651B75">
        <w:t xml:space="preserve"> sont également pris en compte dans le champ de l’évaluation.</w:t>
      </w:r>
    </w:p>
    <w:p w14:paraId="59FB68AF" w14:textId="77777777" w:rsidR="001D3356" w:rsidRDefault="001D3356" w:rsidP="001D3356">
      <w:pPr>
        <w:outlineLvl w:val="0"/>
      </w:pPr>
    </w:p>
    <w:p w14:paraId="2AF687D7" w14:textId="402FB2E6" w:rsidR="001D3356" w:rsidRPr="001D3356" w:rsidRDefault="001D3356" w:rsidP="001A2A80">
      <w:pPr>
        <w:pStyle w:val="Paragraphedeliste"/>
        <w:numPr>
          <w:ilvl w:val="1"/>
          <w:numId w:val="7"/>
        </w:numPr>
        <w:outlineLvl w:val="0"/>
        <w:rPr>
          <w:b/>
          <w:bCs/>
        </w:rPr>
      </w:pPr>
      <w:r w:rsidRPr="001D3356">
        <w:rPr>
          <w:b/>
          <w:bCs/>
        </w:rPr>
        <w:t>Critères d’évaluation et questions clés</w:t>
      </w:r>
    </w:p>
    <w:p w14:paraId="39DF66D9" w14:textId="7AEE7F02" w:rsidR="001D3356" w:rsidRPr="001D3356" w:rsidRDefault="001D3356" w:rsidP="001D3356">
      <w:pPr>
        <w:autoSpaceDE w:val="0"/>
        <w:autoSpaceDN w:val="0"/>
        <w:adjustRightInd w:val="0"/>
        <w:spacing w:after="0" w:line="240" w:lineRule="auto"/>
        <w:jc w:val="both"/>
      </w:pPr>
      <w:r w:rsidRPr="001D3356">
        <w:t xml:space="preserve">L’évaluation doit respecter les </w:t>
      </w:r>
      <w:r>
        <w:t xml:space="preserve">cinq </w:t>
      </w:r>
      <w:r w:rsidRPr="001D3356">
        <w:t xml:space="preserve">principaux critères </w:t>
      </w:r>
      <w:r>
        <w:t>d’évaluation</w:t>
      </w:r>
      <w:r w:rsidR="00D556C2">
        <w:t xml:space="preserve"> : </w:t>
      </w:r>
      <w:r>
        <w:t>la pertinence, l'efficacité, l'efficience, la durabilité et</w:t>
      </w:r>
      <w:r w:rsidR="00AB4097">
        <w:t xml:space="preserve"> la cohérence (interne, externe)</w:t>
      </w:r>
      <w:r>
        <w:t xml:space="preserve"> </w:t>
      </w:r>
      <w:r w:rsidRPr="001D3356">
        <w:t>sans se limiter à ces derniers :</w:t>
      </w:r>
    </w:p>
    <w:p w14:paraId="4BEFE02A" w14:textId="4C778EE9" w:rsidR="00E62BD2" w:rsidRDefault="00E62BD2" w:rsidP="00060CE7">
      <w:pPr>
        <w:spacing w:after="0" w:line="240" w:lineRule="auto"/>
        <w:jc w:val="both"/>
      </w:pPr>
    </w:p>
    <w:p w14:paraId="44C59C4E" w14:textId="5B462B4B" w:rsidR="00E419FE" w:rsidRPr="00E419FE" w:rsidRDefault="00275E94" w:rsidP="00275E94">
      <w:pPr>
        <w:spacing w:after="0" w:line="240" w:lineRule="auto"/>
        <w:jc w:val="both"/>
        <w:rPr>
          <w:b/>
          <w:bCs/>
        </w:rPr>
      </w:pPr>
      <w:r w:rsidRPr="00E419FE">
        <w:rPr>
          <w:b/>
          <w:bCs/>
        </w:rPr>
        <w:t xml:space="preserve">Pertinence </w:t>
      </w:r>
    </w:p>
    <w:p w14:paraId="68B4D862" w14:textId="5C98FD02" w:rsidR="00275E94" w:rsidRPr="00275E94" w:rsidRDefault="00275E94" w:rsidP="001A2A80">
      <w:pPr>
        <w:numPr>
          <w:ilvl w:val="0"/>
          <w:numId w:val="3"/>
        </w:numPr>
        <w:autoSpaceDE w:val="0"/>
        <w:autoSpaceDN w:val="0"/>
        <w:adjustRightInd w:val="0"/>
        <w:spacing w:after="0" w:line="259" w:lineRule="auto"/>
        <w:jc w:val="both"/>
      </w:pPr>
      <w:r w:rsidRPr="00275E94">
        <w:t xml:space="preserve">Dans quelle mesure le CPD correspond-il aux besoins et priorités nationaux en matière de développement, </w:t>
      </w:r>
      <w:r w:rsidR="007A31C7">
        <w:t xml:space="preserve">et les ODD ? </w:t>
      </w:r>
    </w:p>
    <w:p w14:paraId="7CDE22EE" w14:textId="4CF65987" w:rsidR="00275E94" w:rsidRPr="00275E94" w:rsidRDefault="00C91F89" w:rsidP="001A2A80">
      <w:pPr>
        <w:numPr>
          <w:ilvl w:val="0"/>
          <w:numId w:val="3"/>
        </w:numPr>
        <w:autoSpaceDE w:val="0"/>
        <w:autoSpaceDN w:val="0"/>
        <w:adjustRightInd w:val="0"/>
        <w:spacing w:after="0" w:line="259" w:lineRule="auto"/>
        <w:jc w:val="both"/>
      </w:pPr>
      <w:r>
        <w:t xml:space="preserve">Dans quelle mesure la </w:t>
      </w:r>
      <w:r w:rsidR="00275E94" w:rsidRPr="00275E94">
        <w:t>conception du CPD répond-elle aux besoins des groupes les plus vulnérables du pays ?</w:t>
      </w:r>
    </w:p>
    <w:p w14:paraId="70EF0F60" w14:textId="21D56FE1" w:rsidR="00275E94" w:rsidRPr="00275E94" w:rsidRDefault="00275E94" w:rsidP="001A2A80">
      <w:pPr>
        <w:numPr>
          <w:ilvl w:val="0"/>
          <w:numId w:val="3"/>
        </w:numPr>
        <w:autoSpaceDE w:val="0"/>
        <w:autoSpaceDN w:val="0"/>
        <w:adjustRightInd w:val="0"/>
        <w:spacing w:after="0" w:line="259" w:lineRule="auto"/>
        <w:jc w:val="both"/>
      </w:pPr>
      <w:r w:rsidRPr="00275E94">
        <w:t>Dans quelle mesure l</w:t>
      </w:r>
      <w:r w:rsidR="00D31981">
        <w:t>a mise en œuvre du</w:t>
      </w:r>
      <w:r w:rsidRPr="00275E94">
        <w:t xml:space="preserve"> CPD répond-il aux évolutions du contexte national</w:t>
      </w:r>
      <w:r w:rsidR="001D27C7">
        <w:t xml:space="preserve"> </w:t>
      </w:r>
      <w:r w:rsidRPr="00275E94">
        <w:t>dans le pays, et doit-il être modifié pour répondre à ces évolutions</w:t>
      </w:r>
      <w:r w:rsidR="00F4484F">
        <w:t xml:space="preserve"> (transition</w:t>
      </w:r>
      <w:r w:rsidRPr="00275E94">
        <w:t xml:space="preserve">, </w:t>
      </w:r>
      <w:r w:rsidR="00F4484F">
        <w:t>COVID-19)</w:t>
      </w:r>
      <w:r w:rsidRPr="00275E94">
        <w:t> ?</w:t>
      </w:r>
    </w:p>
    <w:p w14:paraId="1E2DCD17" w14:textId="1431CA6E" w:rsidR="00275E94" w:rsidRPr="00275E94" w:rsidRDefault="007D726D" w:rsidP="001A2A80">
      <w:pPr>
        <w:numPr>
          <w:ilvl w:val="0"/>
          <w:numId w:val="3"/>
        </w:numPr>
        <w:autoSpaceDE w:val="0"/>
        <w:autoSpaceDN w:val="0"/>
        <w:adjustRightInd w:val="0"/>
        <w:spacing w:after="0" w:line="259" w:lineRule="auto"/>
        <w:jc w:val="both"/>
      </w:pPr>
      <w:r>
        <w:t>Dans quelle mesure l</w:t>
      </w:r>
      <w:r w:rsidR="00275E94" w:rsidRPr="00275E94">
        <w:t xml:space="preserve">e CPD présente-t-il une adéquation entre ses composantes, l’UNSDCF et les priorités nationales définies dans le </w:t>
      </w:r>
      <w:r w:rsidR="001D27C7">
        <w:t>CREDD</w:t>
      </w:r>
      <w:r w:rsidR="00275E94" w:rsidRPr="00275E94">
        <w:t> ?  </w:t>
      </w:r>
    </w:p>
    <w:p w14:paraId="5E219E88" w14:textId="0CACFBBB" w:rsidR="00275E94" w:rsidRDefault="00D31981" w:rsidP="001A2A80">
      <w:pPr>
        <w:numPr>
          <w:ilvl w:val="0"/>
          <w:numId w:val="3"/>
        </w:numPr>
        <w:autoSpaceDE w:val="0"/>
        <w:autoSpaceDN w:val="0"/>
        <w:adjustRightInd w:val="0"/>
        <w:spacing w:after="0" w:line="259" w:lineRule="auto"/>
        <w:jc w:val="both"/>
      </w:pPr>
      <w:r>
        <w:t xml:space="preserve">Dans quelle mesure </w:t>
      </w:r>
      <w:r w:rsidR="00275E94" w:rsidRPr="00275E94">
        <w:t xml:space="preserve">les axes du CPD </w:t>
      </w:r>
      <w:r w:rsidR="00AB4097">
        <w:t>sont-ils</w:t>
      </w:r>
      <w:r>
        <w:t xml:space="preserve"> en adéquation avec </w:t>
      </w:r>
      <w:r w:rsidR="00275E94" w:rsidRPr="00275E94">
        <w:t xml:space="preserve">les axes du </w:t>
      </w:r>
      <w:r w:rsidR="001D27C7">
        <w:t xml:space="preserve">nouveau </w:t>
      </w:r>
      <w:r w:rsidR="00275E94" w:rsidRPr="00275E94">
        <w:t>plan stratégique du PNUD (20</w:t>
      </w:r>
      <w:r w:rsidR="001D27C7">
        <w:t>22</w:t>
      </w:r>
      <w:r w:rsidR="00275E94" w:rsidRPr="00275E94">
        <w:t>-202</w:t>
      </w:r>
      <w:r w:rsidR="001D27C7">
        <w:t>5</w:t>
      </w:r>
      <w:r w:rsidR="00275E94" w:rsidRPr="00275E94">
        <w:t>)</w:t>
      </w:r>
      <w:r w:rsidR="00BC22D1">
        <w:t xml:space="preserve"> et de l’offre Sahel du PNUD</w:t>
      </w:r>
      <w:r w:rsidR="00275E94" w:rsidRPr="00275E94">
        <w:t> ?</w:t>
      </w:r>
    </w:p>
    <w:p w14:paraId="6DAC9DB7" w14:textId="23C4F27E" w:rsidR="00AB4097" w:rsidRPr="00275E94" w:rsidRDefault="00AB4097" w:rsidP="001A2A80">
      <w:pPr>
        <w:numPr>
          <w:ilvl w:val="0"/>
          <w:numId w:val="3"/>
        </w:numPr>
        <w:autoSpaceDE w:val="0"/>
        <w:autoSpaceDN w:val="0"/>
        <w:adjustRightInd w:val="0"/>
        <w:spacing w:after="0" w:line="259" w:lineRule="auto"/>
        <w:jc w:val="both"/>
      </w:pPr>
      <w:r w:rsidRPr="00313B6F">
        <w:t>Quelle appréciation est faite de l’</w:t>
      </w:r>
      <w:r>
        <w:t xml:space="preserve">adéquation et la fonctionnalité </w:t>
      </w:r>
      <w:r w:rsidRPr="00313B6F">
        <w:t>du mécanisme de suivi-évaluation mis en place pour le CPD ?</w:t>
      </w:r>
    </w:p>
    <w:p w14:paraId="014EDB8E" w14:textId="5A0C7B46" w:rsidR="00275E94" w:rsidRDefault="00275E94"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275E94">
        <w:rPr>
          <w:rFonts w:ascii="Calibri" w:eastAsia="Times New Roman" w:hAnsi="Calibri" w:cs="Times New Roman"/>
          <w:lang w:eastAsia="fr-FR"/>
        </w:rPr>
        <w:t>Les objectifs</w:t>
      </w:r>
      <w:r w:rsidR="001D27C7">
        <w:rPr>
          <w:rFonts w:ascii="Calibri" w:eastAsia="Times New Roman" w:hAnsi="Calibri" w:cs="Times New Roman"/>
          <w:lang w:eastAsia="fr-FR"/>
        </w:rPr>
        <w:t xml:space="preserve"> et </w:t>
      </w:r>
      <w:r w:rsidRPr="00275E94">
        <w:rPr>
          <w:rFonts w:ascii="Calibri" w:eastAsia="Times New Roman" w:hAnsi="Calibri" w:cs="Times New Roman"/>
          <w:lang w:eastAsia="fr-FR"/>
        </w:rPr>
        <w:t xml:space="preserve">résultats du CPD sont-ils clairs, applicables dans la pratique et réalisables dans les délais fixés ? </w:t>
      </w:r>
    </w:p>
    <w:p w14:paraId="3F7B38C8" w14:textId="0BB04394" w:rsidR="001D3356" w:rsidRDefault="001D3356" w:rsidP="00060CE7">
      <w:pPr>
        <w:spacing w:after="0" w:line="240" w:lineRule="auto"/>
        <w:jc w:val="both"/>
      </w:pPr>
    </w:p>
    <w:p w14:paraId="3DB500E4" w14:textId="6DD47390" w:rsidR="00874F6C" w:rsidRPr="00874F6C" w:rsidRDefault="00807243" w:rsidP="00874F6C">
      <w:pPr>
        <w:spacing w:after="0" w:line="240" w:lineRule="auto"/>
        <w:jc w:val="both"/>
        <w:rPr>
          <w:b/>
          <w:bCs/>
        </w:rPr>
      </w:pPr>
      <w:r>
        <w:rPr>
          <w:b/>
          <w:bCs/>
        </w:rPr>
        <w:t>Efficacité</w:t>
      </w:r>
    </w:p>
    <w:p w14:paraId="63EFEEB6" w14:textId="6F8A7C5D" w:rsidR="00874F6C" w:rsidRPr="00874F6C" w:rsidRDefault="00874F6C"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874F6C">
        <w:rPr>
          <w:rFonts w:ascii="Calibri" w:eastAsia="Times New Roman" w:hAnsi="Calibri" w:cs="Times New Roman"/>
          <w:lang w:eastAsia="fr-FR"/>
        </w:rPr>
        <w:t>Dans quelle mesure le CPD actuel est-il en voie d’obtenir les résultats prévus</w:t>
      </w:r>
      <w:r>
        <w:rPr>
          <w:rFonts w:ascii="Calibri" w:eastAsia="Times New Roman" w:hAnsi="Calibri" w:cs="Times New Roman"/>
          <w:lang w:eastAsia="fr-FR"/>
        </w:rPr>
        <w:t> ?</w:t>
      </w:r>
    </w:p>
    <w:p w14:paraId="06A5ABB0" w14:textId="7F888BEB" w:rsidR="00874F6C" w:rsidRDefault="00874F6C"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874F6C">
        <w:rPr>
          <w:rFonts w:ascii="Calibri" w:eastAsia="Times New Roman" w:hAnsi="Calibri" w:cs="Times New Roman"/>
          <w:lang w:eastAsia="fr-FR"/>
        </w:rPr>
        <w:t>Quel est l’état actuel des Effets et des produits du programme, sur la base des indicateurs et de leurs cibles, et quels sont les principaux facteurs (positifs ou négatifs), internes ou externes au dispositif de mise en œuvre des projets, qui ont pu limiter ou faciliter les progrès vers la réalisation des objectifs du programme ?</w:t>
      </w:r>
    </w:p>
    <w:p w14:paraId="346CA5DE" w14:textId="404DA5D5" w:rsidR="00DD0E89" w:rsidRPr="00DD0E89" w:rsidRDefault="00DD0E89" w:rsidP="001A2A80">
      <w:pPr>
        <w:pStyle w:val="Paragraphedeliste"/>
        <w:numPr>
          <w:ilvl w:val="0"/>
          <w:numId w:val="1"/>
        </w:numPr>
        <w:autoSpaceDE w:val="0"/>
        <w:autoSpaceDN w:val="0"/>
        <w:adjustRightInd w:val="0"/>
        <w:spacing w:after="0"/>
        <w:jc w:val="both"/>
      </w:pPr>
      <w:r>
        <w:t>Le programme est-il sur la bonne voie pour atteindre les résultats escomptés ? Quelles révisions stratégiques et programmatique</w:t>
      </w:r>
      <w:r w:rsidR="00F4484F">
        <w:t xml:space="preserve">s, </w:t>
      </w:r>
      <w:r>
        <w:t xml:space="preserve">le PNUD devrait-il envisager pour atteindre les résultats escomptés ? </w:t>
      </w:r>
    </w:p>
    <w:p w14:paraId="1CB8442C" w14:textId="6329A68D" w:rsidR="00874F6C" w:rsidRPr="00874F6C" w:rsidRDefault="00874F6C"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874F6C">
        <w:rPr>
          <w:rFonts w:ascii="Calibri" w:eastAsia="Times New Roman" w:hAnsi="Calibri" w:cs="Times New Roman"/>
          <w:lang w:eastAsia="fr-FR"/>
        </w:rPr>
        <w:t>Comment les principes de programmation du PNUD ont-ils été intégrés dans la conception, la mise en œuvre</w:t>
      </w:r>
      <w:r w:rsidR="00CC69F0">
        <w:rPr>
          <w:rFonts w:ascii="Calibri" w:eastAsia="Times New Roman" w:hAnsi="Calibri" w:cs="Times New Roman"/>
          <w:lang w:eastAsia="fr-FR"/>
        </w:rPr>
        <w:t>,</w:t>
      </w:r>
      <w:r w:rsidR="00597D43">
        <w:rPr>
          <w:rFonts w:ascii="Calibri" w:eastAsia="Times New Roman" w:hAnsi="Calibri" w:cs="Times New Roman"/>
          <w:lang w:eastAsia="fr-FR"/>
        </w:rPr>
        <w:t xml:space="preserve"> </w:t>
      </w:r>
      <w:r w:rsidRPr="00874F6C">
        <w:rPr>
          <w:rFonts w:ascii="Calibri" w:eastAsia="Times New Roman" w:hAnsi="Calibri" w:cs="Times New Roman"/>
          <w:lang w:eastAsia="fr-FR"/>
        </w:rPr>
        <w:t>le suivi et l’évaluation du CPD ?</w:t>
      </w:r>
    </w:p>
    <w:p w14:paraId="641C1F87" w14:textId="6E32731E" w:rsidR="00874F6C" w:rsidRDefault="00874F6C"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874F6C">
        <w:rPr>
          <w:rFonts w:ascii="Calibri" w:eastAsia="Times New Roman" w:hAnsi="Calibri" w:cs="Times New Roman"/>
          <w:lang w:eastAsia="fr-FR"/>
        </w:rPr>
        <w:t xml:space="preserve">Dans quelle mesure le PNUD a-t-il été capable d’établir et de pérenniser les partenariats avec d’autres acteurs du développement, notamment les organisations bilatérales et multilatérales, les organisations de la société civile et le secteur privé afin de maximiser les résultats ? </w:t>
      </w:r>
    </w:p>
    <w:p w14:paraId="46500697" w14:textId="1135A31F" w:rsidR="00874F6C" w:rsidRPr="00F804AB" w:rsidRDefault="00F804AB"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874F6C">
        <w:rPr>
          <w:rFonts w:ascii="Calibri" w:eastAsia="Times New Roman" w:hAnsi="Calibri" w:cs="Times New Roman"/>
          <w:lang w:eastAsia="fr-FR"/>
        </w:rPr>
        <w:t xml:space="preserve">Dans quelle mesure </w:t>
      </w:r>
      <w:r>
        <w:rPr>
          <w:rFonts w:ascii="Calibri" w:eastAsia="Times New Roman" w:hAnsi="Calibri" w:cs="Times New Roman"/>
          <w:lang w:eastAsia="fr-FR"/>
        </w:rPr>
        <w:t>les</w:t>
      </w:r>
      <w:r w:rsidR="00F4484F">
        <w:rPr>
          <w:rFonts w:ascii="Calibri" w:eastAsia="Times New Roman" w:hAnsi="Calibri" w:cs="Times New Roman"/>
          <w:lang w:eastAsia="fr-FR"/>
        </w:rPr>
        <w:t xml:space="preserve"> plans</w:t>
      </w:r>
      <w:r>
        <w:rPr>
          <w:rFonts w:ascii="Calibri" w:eastAsia="Times New Roman" w:hAnsi="Calibri" w:cs="Times New Roman"/>
          <w:lang w:eastAsia="fr-FR"/>
        </w:rPr>
        <w:t xml:space="preserve"> </w:t>
      </w:r>
      <w:r w:rsidRPr="00874F6C">
        <w:rPr>
          <w:rFonts w:ascii="Calibri" w:eastAsia="Times New Roman" w:hAnsi="Calibri" w:cs="Times New Roman"/>
          <w:lang w:eastAsia="fr-FR"/>
        </w:rPr>
        <w:t xml:space="preserve">de </w:t>
      </w:r>
      <w:r>
        <w:rPr>
          <w:rFonts w:ascii="Calibri" w:eastAsia="Times New Roman" w:hAnsi="Calibri" w:cs="Times New Roman"/>
          <w:lang w:eastAsia="fr-FR"/>
        </w:rPr>
        <w:t>partenariat et de communication</w:t>
      </w:r>
      <w:r w:rsidRPr="00874F6C">
        <w:rPr>
          <w:rFonts w:ascii="Calibri" w:eastAsia="Times New Roman" w:hAnsi="Calibri" w:cs="Times New Roman"/>
          <w:lang w:eastAsia="fr-FR"/>
        </w:rPr>
        <w:t xml:space="preserve">, de </w:t>
      </w:r>
      <w:r w:rsidR="00F4484F">
        <w:rPr>
          <w:rFonts w:ascii="Calibri" w:eastAsia="Times New Roman" w:hAnsi="Calibri" w:cs="Times New Roman"/>
          <w:lang w:eastAsia="fr-FR"/>
        </w:rPr>
        <w:t>s</w:t>
      </w:r>
      <w:r w:rsidRPr="00874F6C">
        <w:rPr>
          <w:rFonts w:ascii="Calibri" w:eastAsia="Times New Roman" w:hAnsi="Calibri" w:cs="Times New Roman"/>
          <w:lang w:eastAsia="fr-FR"/>
        </w:rPr>
        <w:t xml:space="preserve">uivi et </w:t>
      </w:r>
      <w:r w:rsidR="00F4484F">
        <w:rPr>
          <w:rFonts w:ascii="Calibri" w:eastAsia="Times New Roman" w:hAnsi="Calibri" w:cs="Times New Roman"/>
          <w:lang w:eastAsia="fr-FR"/>
        </w:rPr>
        <w:t>é</w:t>
      </w:r>
      <w:r w:rsidRPr="00874F6C">
        <w:rPr>
          <w:rFonts w:ascii="Calibri" w:eastAsia="Times New Roman" w:hAnsi="Calibri" w:cs="Times New Roman"/>
          <w:lang w:eastAsia="fr-FR"/>
        </w:rPr>
        <w:t xml:space="preserve">valuation, </w:t>
      </w:r>
      <w:r>
        <w:rPr>
          <w:rFonts w:ascii="Calibri" w:eastAsia="Times New Roman" w:hAnsi="Calibri" w:cs="Times New Roman"/>
          <w:lang w:eastAsia="fr-FR"/>
        </w:rPr>
        <w:t xml:space="preserve">sont </w:t>
      </w:r>
      <w:r w:rsidRPr="00874F6C">
        <w:rPr>
          <w:rFonts w:ascii="Calibri" w:eastAsia="Times New Roman" w:hAnsi="Calibri" w:cs="Times New Roman"/>
          <w:lang w:eastAsia="fr-FR"/>
        </w:rPr>
        <w:t>focalisées d’une manière cohérente sur les progrès vers les effets escomptés du CPD</w:t>
      </w:r>
      <w:r>
        <w:rPr>
          <w:rFonts w:ascii="Calibri" w:eastAsia="Times New Roman" w:hAnsi="Calibri" w:cs="Times New Roman"/>
          <w:lang w:eastAsia="fr-FR"/>
        </w:rPr>
        <w:t> ?</w:t>
      </w:r>
      <w:r w:rsidRPr="00874F6C">
        <w:rPr>
          <w:rFonts w:ascii="Calibri" w:eastAsia="Times New Roman" w:hAnsi="Calibri" w:cs="Times New Roman"/>
          <w:lang w:eastAsia="fr-FR"/>
        </w:rPr>
        <w:t xml:space="preserve"> </w:t>
      </w:r>
    </w:p>
    <w:p w14:paraId="25F26C31" w14:textId="7CE90F05" w:rsidR="00874F6C" w:rsidRPr="00874F6C" w:rsidRDefault="00874F6C"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874F6C">
        <w:rPr>
          <w:rFonts w:ascii="Calibri" w:eastAsia="Times New Roman" w:hAnsi="Calibri" w:cs="Times New Roman"/>
          <w:lang w:eastAsia="fr-FR"/>
        </w:rPr>
        <w:t>Dans quelle mesure l</w:t>
      </w:r>
      <w:r w:rsidR="00F804AB">
        <w:rPr>
          <w:rFonts w:ascii="Calibri" w:eastAsia="Times New Roman" w:hAnsi="Calibri" w:cs="Times New Roman"/>
          <w:lang w:eastAsia="fr-FR"/>
        </w:rPr>
        <w:t>es</w:t>
      </w:r>
      <w:r w:rsidRPr="00874F6C">
        <w:rPr>
          <w:rFonts w:ascii="Calibri" w:eastAsia="Times New Roman" w:hAnsi="Calibri" w:cs="Times New Roman"/>
          <w:lang w:eastAsia="fr-FR"/>
        </w:rPr>
        <w:t xml:space="preserve"> crise</w:t>
      </w:r>
      <w:r w:rsidR="00F804AB">
        <w:rPr>
          <w:rFonts w:ascii="Calibri" w:eastAsia="Times New Roman" w:hAnsi="Calibri" w:cs="Times New Roman"/>
          <w:lang w:eastAsia="fr-FR"/>
        </w:rPr>
        <w:t>s institutionnelles et celle</w:t>
      </w:r>
      <w:r w:rsidRPr="00874F6C">
        <w:rPr>
          <w:rFonts w:ascii="Calibri" w:eastAsia="Times New Roman" w:hAnsi="Calibri" w:cs="Times New Roman"/>
          <w:lang w:eastAsia="fr-FR"/>
        </w:rPr>
        <w:t xml:space="preserve"> liée à la COVID19 </w:t>
      </w:r>
      <w:r w:rsidR="00F804AB">
        <w:rPr>
          <w:rFonts w:ascii="Calibri" w:eastAsia="Times New Roman" w:hAnsi="Calibri" w:cs="Times New Roman"/>
          <w:lang w:eastAsia="fr-FR"/>
        </w:rPr>
        <w:t>ont</w:t>
      </w:r>
      <w:r w:rsidRPr="00874F6C">
        <w:rPr>
          <w:rFonts w:ascii="Calibri" w:eastAsia="Times New Roman" w:hAnsi="Calibri" w:cs="Times New Roman"/>
          <w:lang w:eastAsia="fr-FR"/>
        </w:rPr>
        <w:t>-t-elle impacté l’obtention des résultats ?</w:t>
      </w:r>
    </w:p>
    <w:p w14:paraId="17EB6CAE" w14:textId="77777777" w:rsidR="00874F6C" w:rsidRDefault="00874F6C" w:rsidP="00060CE7">
      <w:pPr>
        <w:spacing w:after="0" w:line="240" w:lineRule="auto"/>
        <w:jc w:val="both"/>
      </w:pPr>
    </w:p>
    <w:p w14:paraId="69547214" w14:textId="47D49495" w:rsidR="00DD0E89" w:rsidRPr="00F4484F" w:rsidRDefault="00743FF4" w:rsidP="00F804AB">
      <w:pPr>
        <w:autoSpaceDE w:val="0"/>
        <w:autoSpaceDN w:val="0"/>
        <w:adjustRightInd w:val="0"/>
        <w:spacing w:after="0"/>
        <w:jc w:val="both"/>
        <w:rPr>
          <w:b/>
          <w:bCs/>
        </w:rPr>
      </w:pPr>
      <w:r>
        <w:rPr>
          <w:b/>
          <w:bCs/>
        </w:rPr>
        <w:t>E</w:t>
      </w:r>
      <w:r w:rsidR="00DD0E89" w:rsidRPr="00DD0E89">
        <w:rPr>
          <w:b/>
          <w:bCs/>
        </w:rPr>
        <w:t>fficience</w:t>
      </w:r>
      <w:r w:rsidR="00DD0E89">
        <w:rPr>
          <w:b/>
          <w:bCs/>
        </w:rPr>
        <w:t xml:space="preserve"> </w:t>
      </w:r>
    </w:p>
    <w:p w14:paraId="57C069B1" w14:textId="2FD5CB3F" w:rsidR="00DD0E89" w:rsidRPr="00DD0E89" w:rsidRDefault="00DD0E89"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DD0E89">
        <w:rPr>
          <w:rFonts w:ascii="Calibri" w:eastAsia="Times New Roman" w:hAnsi="Calibri" w:cs="Times New Roman"/>
          <w:lang w:eastAsia="fr-FR"/>
        </w:rPr>
        <w:t xml:space="preserve">Dans quelle mesure le PNUD a-t-il mobilisé et utilisé ses ressources (humaines, techniques et financières) et renforcé les synergies </w:t>
      </w:r>
      <w:r w:rsidR="00E54E7C">
        <w:rPr>
          <w:rFonts w:ascii="Calibri" w:eastAsia="Times New Roman" w:hAnsi="Calibri" w:cs="Times New Roman"/>
          <w:lang w:eastAsia="fr-FR"/>
        </w:rPr>
        <w:t xml:space="preserve">de façon efficiente </w:t>
      </w:r>
      <w:r w:rsidRPr="00DD0E89">
        <w:rPr>
          <w:rFonts w:ascii="Calibri" w:eastAsia="Times New Roman" w:hAnsi="Calibri" w:cs="Times New Roman"/>
          <w:lang w:eastAsia="fr-FR"/>
        </w:rPr>
        <w:t xml:space="preserve">pour obtenir les résultats attendus au cours du cycle actuel du CPD ? </w:t>
      </w:r>
    </w:p>
    <w:p w14:paraId="67CBBFE7" w14:textId="1993E3D1" w:rsidR="00DD0E89" w:rsidRDefault="00DD0E89"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DD0E89">
        <w:rPr>
          <w:rFonts w:ascii="Calibri" w:eastAsia="Times New Roman" w:hAnsi="Calibri" w:cs="Times New Roman"/>
          <w:lang w:eastAsia="fr-FR"/>
        </w:rPr>
        <w:t>Dans quelle mesure le PNUD a-t-il renforcé les synergies avec d’autres agences des Nations Unies ?</w:t>
      </w:r>
    </w:p>
    <w:p w14:paraId="68C3D921" w14:textId="77777777" w:rsidR="00E54E7C" w:rsidRDefault="00E54E7C" w:rsidP="00E54E7C">
      <w:pPr>
        <w:autoSpaceDE w:val="0"/>
        <w:autoSpaceDN w:val="0"/>
        <w:adjustRightInd w:val="0"/>
        <w:spacing w:after="0"/>
        <w:jc w:val="both"/>
      </w:pPr>
    </w:p>
    <w:p w14:paraId="20815281" w14:textId="35B50B90" w:rsidR="00DD0E89" w:rsidRPr="00DD0E89" w:rsidRDefault="00DD0E89" w:rsidP="00DD0E89">
      <w:pPr>
        <w:autoSpaceDE w:val="0"/>
        <w:autoSpaceDN w:val="0"/>
        <w:adjustRightInd w:val="0"/>
        <w:spacing w:after="0"/>
        <w:jc w:val="both"/>
        <w:rPr>
          <w:b/>
          <w:bCs/>
        </w:rPr>
      </w:pPr>
      <w:r w:rsidRPr="00DD0E89">
        <w:rPr>
          <w:b/>
          <w:bCs/>
        </w:rPr>
        <w:t>Durabilité</w:t>
      </w:r>
    </w:p>
    <w:p w14:paraId="19EABF2E" w14:textId="27AC8E7A" w:rsidR="00CB00B9" w:rsidRDefault="00CB00B9"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Pr>
          <w:rFonts w:ascii="Calibri" w:eastAsia="Times New Roman" w:hAnsi="Calibri" w:cs="Times New Roman"/>
          <w:lang w:eastAsia="fr-FR"/>
        </w:rPr>
        <w:t>Le Bureau Pays a-t-il mis en place les conditions nécessaires permettant d’obtenir des résultats durables pour ses programmes ? Que peut-on faire pour renforcer la durabilité ?</w:t>
      </w:r>
    </w:p>
    <w:p w14:paraId="31576E61" w14:textId="1B49BBE4" w:rsidR="00DD0E89" w:rsidRPr="00DD0E89" w:rsidRDefault="00F4484F"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Pr>
          <w:rFonts w:ascii="Calibri" w:eastAsia="Times New Roman" w:hAnsi="Calibri" w:cs="Times New Roman"/>
          <w:lang w:eastAsia="fr-FR"/>
        </w:rPr>
        <w:t xml:space="preserve">Le </w:t>
      </w:r>
      <w:r w:rsidR="00DD0E89" w:rsidRPr="00DD0E89">
        <w:rPr>
          <w:rFonts w:ascii="Calibri" w:eastAsia="Times New Roman" w:hAnsi="Calibri" w:cs="Times New Roman"/>
          <w:lang w:eastAsia="fr-FR"/>
        </w:rPr>
        <w:t>CPD est-il suffisamment bien pensé pour garder sa pertinence au regard des évolutions de la situation ?</w:t>
      </w:r>
    </w:p>
    <w:p w14:paraId="29AEA2D8" w14:textId="223CBB67" w:rsidR="00DD0E89" w:rsidRPr="00E616A6" w:rsidRDefault="00DD0E89" w:rsidP="001A2A80">
      <w:pPr>
        <w:pStyle w:val="Paragraphedeliste"/>
        <w:numPr>
          <w:ilvl w:val="0"/>
          <w:numId w:val="1"/>
        </w:numPr>
        <w:autoSpaceDE w:val="0"/>
        <w:autoSpaceDN w:val="0"/>
        <w:adjustRightInd w:val="0"/>
        <w:spacing w:after="0"/>
        <w:jc w:val="both"/>
        <w:rPr>
          <w:rFonts w:ascii="Calibri" w:eastAsia="Times New Roman" w:hAnsi="Calibri"/>
          <w:lang w:eastAsia="fr-FR"/>
        </w:rPr>
      </w:pPr>
      <w:r w:rsidRPr="00DD0E89">
        <w:t>Quels sont les risques liés à la durabilité du programme ?</w:t>
      </w:r>
    </w:p>
    <w:p w14:paraId="17FADCF7" w14:textId="0DFBB498" w:rsidR="00CB00B9" w:rsidRDefault="00CB00B9" w:rsidP="00060CE7">
      <w:pPr>
        <w:spacing w:after="0" w:line="240" w:lineRule="auto"/>
        <w:jc w:val="both"/>
      </w:pPr>
    </w:p>
    <w:p w14:paraId="317082AE" w14:textId="26387A2C" w:rsidR="00CB00B9" w:rsidRPr="00350C5E" w:rsidRDefault="003E0B63" w:rsidP="00060CE7">
      <w:pPr>
        <w:spacing w:after="0" w:line="240" w:lineRule="auto"/>
        <w:jc w:val="both"/>
        <w:rPr>
          <w:b/>
          <w:bCs/>
        </w:rPr>
      </w:pPr>
      <w:r w:rsidRPr="003E0B63">
        <w:rPr>
          <w:b/>
          <w:bCs/>
        </w:rPr>
        <w:t>Thèmes transversaux</w:t>
      </w:r>
    </w:p>
    <w:p w14:paraId="33D5D3AD" w14:textId="77777777" w:rsidR="003E0B63" w:rsidRPr="003E0B63" w:rsidRDefault="003E0B63" w:rsidP="003E0B63">
      <w:pPr>
        <w:autoSpaceDE w:val="0"/>
        <w:autoSpaceDN w:val="0"/>
        <w:adjustRightInd w:val="0"/>
        <w:spacing w:after="0"/>
        <w:jc w:val="both"/>
        <w:rPr>
          <w:b/>
          <w:bCs/>
        </w:rPr>
      </w:pPr>
      <w:r w:rsidRPr="003E0B63">
        <w:rPr>
          <w:b/>
          <w:bCs/>
        </w:rPr>
        <w:t xml:space="preserve">Droits fondamentaux : </w:t>
      </w:r>
    </w:p>
    <w:p w14:paraId="28337E70" w14:textId="07F74319" w:rsidR="003E0B63" w:rsidRPr="003E0B63" w:rsidRDefault="003E0B63" w:rsidP="001A2A80">
      <w:pPr>
        <w:pStyle w:val="Paragraphedeliste"/>
        <w:numPr>
          <w:ilvl w:val="0"/>
          <w:numId w:val="8"/>
        </w:numPr>
        <w:autoSpaceDE w:val="0"/>
        <w:autoSpaceDN w:val="0"/>
        <w:adjustRightInd w:val="0"/>
        <w:spacing w:after="0"/>
        <w:jc w:val="both"/>
      </w:pPr>
      <w:r w:rsidRPr="003E0B63">
        <w:t xml:space="preserve">Dans quelle mesure les pauvres, les personnes handicapées, les femmes et d’autres groupes défavorisés ou marginalisés ont-ils bénéficié de la mise en œuvre du CPD ? </w:t>
      </w:r>
    </w:p>
    <w:p w14:paraId="2F44FCC3" w14:textId="77777777" w:rsidR="003E0B63" w:rsidRDefault="003E0B63" w:rsidP="003E0B63">
      <w:pPr>
        <w:autoSpaceDE w:val="0"/>
        <w:autoSpaceDN w:val="0"/>
        <w:adjustRightInd w:val="0"/>
        <w:spacing w:after="0"/>
        <w:jc w:val="both"/>
      </w:pPr>
    </w:p>
    <w:p w14:paraId="7BC4849D" w14:textId="77777777" w:rsidR="00597D43" w:rsidRDefault="00597D43" w:rsidP="003E0B63">
      <w:pPr>
        <w:autoSpaceDE w:val="0"/>
        <w:autoSpaceDN w:val="0"/>
        <w:adjustRightInd w:val="0"/>
        <w:spacing w:after="0"/>
        <w:jc w:val="both"/>
        <w:rPr>
          <w:b/>
          <w:bCs/>
        </w:rPr>
      </w:pPr>
    </w:p>
    <w:p w14:paraId="6A39DBF5" w14:textId="4FE7696E" w:rsidR="003E0B63" w:rsidRPr="003E0B63" w:rsidRDefault="003E0B63" w:rsidP="003E0B63">
      <w:pPr>
        <w:autoSpaceDE w:val="0"/>
        <w:autoSpaceDN w:val="0"/>
        <w:adjustRightInd w:val="0"/>
        <w:spacing w:after="0"/>
        <w:jc w:val="both"/>
        <w:rPr>
          <w:b/>
          <w:bCs/>
        </w:rPr>
      </w:pPr>
      <w:r w:rsidRPr="003E0B63">
        <w:rPr>
          <w:b/>
          <w:bCs/>
        </w:rPr>
        <w:t xml:space="preserve">Égalité des sexes et genre : </w:t>
      </w:r>
    </w:p>
    <w:p w14:paraId="5A9C3FB5" w14:textId="636F7800" w:rsidR="00A9604D" w:rsidRDefault="003E0B63"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3E0B63">
        <w:rPr>
          <w:rFonts w:ascii="Calibri" w:eastAsia="Times New Roman" w:hAnsi="Calibri" w:cs="Times New Roman"/>
          <w:lang w:eastAsia="fr-FR"/>
        </w:rPr>
        <w:t xml:space="preserve">Dans quelle mesure l’égalité des sexes et l’autonomisation des femmes ont-elles été prises en compte dans la conception, la mise en œuvre et le suivi du CPD ?  </w:t>
      </w:r>
      <w:r w:rsidR="00807243">
        <w:rPr>
          <w:rFonts w:ascii="Calibri" w:eastAsia="Times New Roman" w:hAnsi="Calibri" w:cs="Times New Roman"/>
          <w:lang w:eastAsia="fr-FR"/>
        </w:rPr>
        <w:t xml:space="preserve">Que </w:t>
      </w:r>
      <w:r w:rsidR="00F4484F">
        <w:rPr>
          <w:rFonts w:ascii="Calibri" w:eastAsia="Times New Roman" w:hAnsi="Calibri" w:cs="Times New Roman"/>
          <w:lang w:eastAsia="fr-FR"/>
        </w:rPr>
        <w:t>devons-nous</w:t>
      </w:r>
      <w:r w:rsidR="00807243">
        <w:rPr>
          <w:rFonts w:ascii="Calibri" w:eastAsia="Times New Roman" w:hAnsi="Calibri" w:cs="Times New Roman"/>
          <w:lang w:eastAsia="fr-FR"/>
        </w:rPr>
        <w:t xml:space="preserve"> faire de mieux en 2023 – 2024 ?</w:t>
      </w:r>
    </w:p>
    <w:p w14:paraId="2C9FFE57" w14:textId="2C8012E4" w:rsidR="00A9604D" w:rsidRPr="00A9604D" w:rsidRDefault="00A9604D"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Pr>
          <w:rFonts w:ascii="Calibri" w:eastAsia="Times New Roman" w:hAnsi="Calibri" w:cs="Times New Roman"/>
          <w:lang w:eastAsia="fr-FR"/>
        </w:rPr>
        <w:t>Quelles mécanismes, procédures et polit</w:t>
      </w:r>
      <w:r w:rsidR="00AC36B4">
        <w:rPr>
          <w:rFonts w:ascii="Calibri" w:eastAsia="Times New Roman" w:hAnsi="Calibri" w:cs="Times New Roman"/>
          <w:lang w:eastAsia="fr-FR"/>
        </w:rPr>
        <w:t>iques existent pour assurer l’égalité des sexes</w:t>
      </w:r>
      <w:r w:rsidR="00743FF4">
        <w:rPr>
          <w:rFonts w:ascii="Calibri" w:eastAsia="Times New Roman" w:hAnsi="Calibri" w:cs="Times New Roman"/>
          <w:lang w:eastAsia="fr-FR"/>
        </w:rPr>
        <w:t xml:space="preserve">, </w:t>
      </w:r>
      <w:r w:rsidR="00AC36B4">
        <w:rPr>
          <w:rFonts w:ascii="Calibri" w:eastAsia="Times New Roman" w:hAnsi="Calibri" w:cs="Times New Roman"/>
          <w:lang w:eastAsia="fr-FR"/>
        </w:rPr>
        <w:t>l’autonomisation des femmes, les droits humains ?</w:t>
      </w:r>
    </w:p>
    <w:p w14:paraId="27F1FF77" w14:textId="29AEE918" w:rsidR="00350C5E" w:rsidRDefault="003E0B63" w:rsidP="001A2A80">
      <w:pPr>
        <w:pStyle w:val="Paragraphedeliste"/>
        <w:numPr>
          <w:ilvl w:val="0"/>
          <w:numId w:val="1"/>
        </w:numPr>
        <w:autoSpaceDE w:val="0"/>
        <w:autoSpaceDN w:val="0"/>
        <w:adjustRightInd w:val="0"/>
        <w:spacing w:after="0"/>
        <w:jc w:val="both"/>
        <w:rPr>
          <w:rFonts w:ascii="Calibri" w:eastAsia="Times New Roman" w:hAnsi="Calibri" w:cs="Times New Roman"/>
          <w:lang w:eastAsia="fr-FR"/>
        </w:rPr>
      </w:pPr>
      <w:r w:rsidRPr="003E0B63">
        <w:rPr>
          <w:rFonts w:ascii="Calibri" w:eastAsia="Times New Roman" w:hAnsi="Calibri" w:cs="Times New Roman"/>
          <w:lang w:eastAsia="fr-FR"/>
        </w:rPr>
        <w:t xml:space="preserve">Les marqueurs de genre affectés aux projets mis en œuvre reflètent-t-ils la réalité ? </w:t>
      </w:r>
    </w:p>
    <w:p w14:paraId="41E55756" w14:textId="77777777" w:rsidR="00F4484F" w:rsidRDefault="00F4484F" w:rsidP="00F4484F">
      <w:pPr>
        <w:pStyle w:val="Paragraphedeliste"/>
        <w:autoSpaceDE w:val="0"/>
        <w:autoSpaceDN w:val="0"/>
        <w:adjustRightInd w:val="0"/>
        <w:spacing w:after="0"/>
        <w:jc w:val="both"/>
        <w:rPr>
          <w:rFonts w:ascii="Calibri" w:eastAsia="Times New Roman" w:hAnsi="Calibri" w:cs="Times New Roman"/>
          <w:lang w:eastAsia="fr-FR"/>
        </w:rPr>
      </w:pPr>
    </w:p>
    <w:p w14:paraId="38D10A5C" w14:textId="1D0861A5" w:rsidR="00E25994" w:rsidRPr="00350C5E" w:rsidRDefault="00E25994" w:rsidP="001A2A80">
      <w:pPr>
        <w:pStyle w:val="Paragraphedeliste"/>
        <w:numPr>
          <w:ilvl w:val="0"/>
          <w:numId w:val="6"/>
        </w:numPr>
        <w:autoSpaceDE w:val="0"/>
        <w:autoSpaceDN w:val="0"/>
        <w:adjustRightInd w:val="0"/>
        <w:spacing w:after="0"/>
        <w:jc w:val="both"/>
        <w:rPr>
          <w:rFonts w:ascii="Calibri" w:eastAsia="Times New Roman" w:hAnsi="Calibri" w:cs="Times New Roman"/>
          <w:b/>
          <w:bCs/>
          <w:lang w:eastAsia="fr-FR"/>
        </w:rPr>
      </w:pPr>
      <w:r w:rsidRPr="00350C5E">
        <w:rPr>
          <w:b/>
          <w:bCs/>
        </w:rPr>
        <w:t>Méthodologie de l’évaluation</w:t>
      </w:r>
    </w:p>
    <w:p w14:paraId="6596AA0A" w14:textId="77777777" w:rsidR="00350C5E" w:rsidRPr="00350C5E" w:rsidRDefault="00350C5E" w:rsidP="00350C5E">
      <w:pPr>
        <w:pStyle w:val="Paragraphedeliste"/>
        <w:autoSpaceDE w:val="0"/>
        <w:autoSpaceDN w:val="0"/>
        <w:adjustRightInd w:val="0"/>
        <w:spacing w:after="0"/>
        <w:ind w:left="1080"/>
        <w:jc w:val="both"/>
        <w:rPr>
          <w:rFonts w:ascii="Calibri" w:eastAsia="Times New Roman" w:hAnsi="Calibri" w:cs="Times New Roman"/>
          <w:lang w:eastAsia="fr-FR"/>
        </w:rPr>
      </w:pPr>
    </w:p>
    <w:p w14:paraId="3C62384F" w14:textId="5A4EB9E9" w:rsidR="004C6A54" w:rsidRPr="004C6A54" w:rsidRDefault="00E25994" w:rsidP="004C6A54">
      <w:pPr>
        <w:autoSpaceDE w:val="0"/>
        <w:autoSpaceDN w:val="0"/>
        <w:adjustRightInd w:val="0"/>
        <w:spacing w:after="0" w:line="240" w:lineRule="auto"/>
        <w:jc w:val="both"/>
      </w:pPr>
      <w:r w:rsidRPr="00350C5E">
        <w:t>L’évaluation à mi-parcours du CPD 2020 – 2024 sera conduite dans une approche participative impliquant toutes les parties prenantes à savoir les partenaires nationaux, les partenaires techniques et financiers, ainsi que le</w:t>
      </w:r>
      <w:r w:rsidR="004C6A54">
        <w:t xml:space="preserve">s agences du </w:t>
      </w:r>
      <w:r w:rsidRPr="00350C5E">
        <w:t>SNU</w:t>
      </w:r>
      <w:r w:rsidR="004C6A54">
        <w:t xml:space="preserve">… </w:t>
      </w:r>
      <w:r w:rsidR="004C6A54" w:rsidRPr="004C6A54">
        <w:t>Différents outils seront utilisés pour collecter et analyser les informations pertinentes pour l’exercice.</w:t>
      </w:r>
    </w:p>
    <w:p w14:paraId="05F2D5B4" w14:textId="77777777" w:rsidR="004C6A54" w:rsidRDefault="004C6A54" w:rsidP="00E25994">
      <w:pPr>
        <w:autoSpaceDE w:val="0"/>
        <w:autoSpaceDN w:val="0"/>
        <w:adjustRightInd w:val="0"/>
        <w:spacing w:after="0" w:line="240" w:lineRule="auto"/>
        <w:jc w:val="both"/>
      </w:pPr>
    </w:p>
    <w:p w14:paraId="437F0D0A" w14:textId="5DC03EC4" w:rsidR="00E25994" w:rsidRPr="00350C5E" w:rsidRDefault="004C6A54" w:rsidP="00E25994">
      <w:pPr>
        <w:autoSpaceDE w:val="0"/>
        <w:autoSpaceDN w:val="0"/>
        <w:adjustRightInd w:val="0"/>
        <w:spacing w:after="0" w:line="240" w:lineRule="auto"/>
        <w:jc w:val="both"/>
      </w:pPr>
      <w:r>
        <w:t>En particulier, elle</w:t>
      </w:r>
      <w:r w:rsidR="00E25994" w:rsidRPr="00350C5E">
        <w:t xml:space="preserve"> sera basée sur :</w:t>
      </w:r>
    </w:p>
    <w:p w14:paraId="759675FC" w14:textId="7540BDC1" w:rsidR="004C6A54" w:rsidRPr="004C6A54" w:rsidRDefault="004C6A54" w:rsidP="001A2A80">
      <w:pPr>
        <w:numPr>
          <w:ilvl w:val="0"/>
          <w:numId w:val="5"/>
        </w:numPr>
        <w:autoSpaceDE w:val="0"/>
        <w:autoSpaceDN w:val="0"/>
        <w:adjustRightInd w:val="0"/>
        <w:spacing w:after="0" w:line="240" w:lineRule="auto"/>
        <w:jc w:val="both"/>
      </w:pPr>
      <w:r w:rsidRPr="004C6A54">
        <w:t xml:space="preserve">une analyse documentaire à partir de tous les rapports, documents de programmes et projets, les documents sur les priorités nationales notamment le </w:t>
      </w:r>
      <w:r>
        <w:t>CREDD,</w:t>
      </w:r>
      <w:r w:rsidRPr="004C6A54">
        <w:t xml:space="preserve"> les documents de politiques et stratégies sectorielles notamment dans les secteurs clés des ODD, le rapport national sur le développement humain et autres documents de base tels que l’UNSDCF, le CPD, les rapports des revues annuelles du CPD, les Plans de Travail Annuels des projets, les rapports annuels de progrès des projets, les rapports d’évaluations à mi-parcours de projets, les rapports d’audits du bureau et des projets NIM etc.</w:t>
      </w:r>
    </w:p>
    <w:p w14:paraId="28394C52" w14:textId="77777777" w:rsidR="004C6A54" w:rsidRPr="004C6A54" w:rsidRDefault="004C6A54" w:rsidP="001A2A80">
      <w:pPr>
        <w:numPr>
          <w:ilvl w:val="0"/>
          <w:numId w:val="5"/>
        </w:numPr>
        <w:autoSpaceDE w:val="0"/>
        <w:autoSpaceDN w:val="0"/>
        <w:adjustRightInd w:val="0"/>
        <w:spacing w:after="0" w:line="240" w:lineRule="auto"/>
        <w:jc w:val="both"/>
      </w:pPr>
      <w:r w:rsidRPr="004C6A54">
        <w:t>les rencontres et entretiens avec les acteurs concernés, les partenaires, les personnes ressources… ;</w:t>
      </w:r>
    </w:p>
    <w:p w14:paraId="39319E5C" w14:textId="77777777" w:rsidR="004C6A54" w:rsidRPr="004C6A54" w:rsidRDefault="004C6A54" w:rsidP="001A2A80">
      <w:pPr>
        <w:numPr>
          <w:ilvl w:val="0"/>
          <w:numId w:val="5"/>
        </w:numPr>
        <w:autoSpaceDE w:val="0"/>
        <w:autoSpaceDN w:val="0"/>
        <w:adjustRightInd w:val="0"/>
        <w:spacing w:after="0" w:line="240" w:lineRule="auto"/>
        <w:jc w:val="both"/>
      </w:pPr>
      <w:r w:rsidRPr="004C6A54">
        <w:t>les questionnaires individuels ou de groupe ;</w:t>
      </w:r>
    </w:p>
    <w:p w14:paraId="3F950E95" w14:textId="77777777" w:rsidR="004C6A54" w:rsidRPr="004C6A54" w:rsidRDefault="004C6A54" w:rsidP="001A2A80">
      <w:pPr>
        <w:numPr>
          <w:ilvl w:val="0"/>
          <w:numId w:val="5"/>
        </w:numPr>
        <w:autoSpaceDE w:val="0"/>
        <w:autoSpaceDN w:val="0"/>
        <w:adjustRightInd w:val="0"/>
        <w:spacing w:after="0" w:line="240" w:lineRule="auto"/>
        <w:jc w:val="both"/>
      </w:pPr>
      <w:r w:rsidRPr="004C6A54">
        <w:t>les techniques participatives ou toute autre méthode de collecte de l’information pertinente ;</w:t>
      </w:r>
    </w:p>
    <w:p w14:paraId="545D37D4" w14:textId="68BD6CA1" w:rsidR="004C6A54" w:rsidRDefault="004C6A54" w:rsidP="001A2A80">
      <w:pPr>
        <w:numPr>
          <w:ilvl w:val="0"/>
          <w:numId w:val="5"/>
        </w:numPr>
        <w:autoSpaceDE w:val="0"/>
        <w:autoSpaceDN w:val="0"/>
        <w:adjustRightInd w:val="0"/>
        <w:spacing w:after="0" w:line="240" w:lineRule="auto"/>
        <w:jc w:val="both"/>
      </w:pPr>
      <w:r w:rsidRPr="004C6A54">
        <w:t>l’exploitation</w:t>
      </w:r>
      <w:r w:rsidR="00800463">
        <w:t xml:space="preserve"> </w:t>
      </w:r>
      <w:r w:rsidRPr="004C6A54">
        <w:t>et l’analyse des informations collectées en vue de la production du rapport</w:t>
      </w:r>
      <w:r w:rsidR="00800463">
        <w:t>.</w:t>
      </w:r>
    </w:p>
    <w:p w14:paraId="098869A9" w14:textId="265C51DB" w:rsidR="00800463" w:rsidRDefault="00800463" w:rsidP="00800463">
      <w:pPr>
        <w:autoSpaceDE w:val="0"/>
        <w:autoSpaceDN w:val="0"/>
        <w:adjustRightInd w:val="0"/>
        <w:spacing w:after="0" w:line="240" w:lineRule="auto"/>
        <w:jc w:val="both"/>
      </w:pPr>
    </w:p>
    <w:p w14:paraId="269B192D" w14:textId="057321BD" w:rsidR="005D63C1" w:rsidRPr="005D63C1" w:rsidRDefault="00671E4F" w:rsidP="00671E4F">
      <w:pPr>
        <w:shd w:val="clear" w:color="auto" w:fill="FFFFFF"/>
        <w:spacing w:after="0" w:line="240" w:lineRule="auto"/>
        <w:jc w:val="both"/>
      </w:pPr>
      <w:r w:rsidRPr="00671E4F">
        <w:t>Sur la base de la méthodologie, un chronogramme et un plan de travail seront proposés par l’équipe au démarrage de l’évaluation</w:t>
      </w:r>
      <w:r>
        <w:t xml:space="preserve">. </w:t>
      </w:r>
      <w:r w:rsidR="004C6A54" w:rsidRPr="00671E4F">
        <w:t>L’analyse des données couvrira toutes les activités soutenues par le programm</w:t>
      </w:r>
      <w:r>
        <w:t xml:space="preserve">e. </w:t>
      </w:r>
      <w:r w:rsidR="005D63C1" w:rsidRPr="004C6A54">
        <w:t>L’équipe de consultants devra présenter une approche devant permettre de cerner clairement la manière dont les questions évaluatives portant sur l’égalité des sexes et le genre seront adressées.</w:t>
      </w:r>
    </w:p>
    <w:p w14:paraId="77E3CD43" w14:textId="77777777" w:rsidR="00671E4F" w:rsidRDefault="00671E4F" w:rsidP="004C6A54">
      <w:pPr>
        <w:autoSpaceDE w:val="0"/>
        <w:autoSpaceDN w:val="0"/>
        <w:adjustRightInd w:val="0"/>
        <w:spacing w:after="0" w:line="240" w:lineRule="auto"/>
        <w:jc w:val="both"/>
      </w:pPr>
    </w:p>
    <w:p w14:paraId="2D70A18A" w14:textId="4F8EFBF6" w:rsidR="005D63C1" w:rsidRDefault="005D63C1" w:rsidP="001A2A80">
      <w:pPr>
        <w:pStyle w:val="Paragraphedeliste"/>
        <w:numPr>
          <w:ilvl w:val="0"/>
          <w:numId w:val="6"/>
        </w:numPr>
        <w:autoSpaceDE w:val="0"/>
        <w:autoSpaceDN w:val="0"/>
        <w:adjustRightInd w:val="0"/>
        <w:spacing w:after="0" w:line="240" w:lineRule="auto"/>
        <w:jc w:val="both"/>
        <w:rPr>
          <w:b/>
          <w:bCs/>
        </w:rPr>
      </w:pPr>
      <w:r w:rsidRPr="005D63C1">
        <w:rPr>
          <w:b/>
          <w:bCs/>
        </w:rPr>
        <w:t>Produits de l’évaluation</w:t>
      </w:r>
    </w:p>
    <w:p w14:paraId="3B64E3E2" w14:textId="61BE4EA2" w:rsidR="00FC0212" w:rsidRDefault="00FC0212" w:rsidP="00FC0212">
      <w:pPr>
        <w:autoSpaceDE w:val="0"/>
        <w:autoSpaceDN w:val="0"/>
        <w:adjustRightInd w:val="0"/>
        <w:spacing w:after="0" w:line="240" w:lineRule="auto"/>
        <w:ind w:left="360"/>
        <w:jc w:val="both"/>
        <w:rPr>
          <w:b/>
          <w:bCs/>
        </w:rPr>
      </w:pPr>
    </w:p>
    <w:p w14:paraId="6AE97005" w14:textId="1E5D264E" w:rsidR="00FC0212" w:rsidRPr="00FC0212" w:rsidRDefault="00FC0212" w:rsidP="00FC0212">
      <w:pPr>
        <w:pStyle w:val="Default"/>
        <w:ind w:left="360"/>
        <w:jc w:val="both"/>
        <w:rPr>
          <w:rFonts w:asciiTheme="minorHAnsi" w:hAnsiTheme="minorHAnsi" w:cstheme="minorBidi"/>
          <w:color w:val="auto"/>
          <w:sz w:val="22"/>
          <w:szCs w:val="22"/>
        </w:rPr>
      </w:pPr>
      <w:r>
        <w:rPr>
          <w:rFonts w:asciiTheme="minorHAnsi" w:hAnsiTheme="minorHAnsi" w:cstheme="minorBidi"/>
          <w:color w:val="auto"/>
          <w:sz w:val="22"/>
          <w:szCs w:val="22"/>
        </w:rPr>
        <w:t>L</w:t>
      </w:r>
      <w:r w:rsidRPr="00FC0212">
        <w:rPr>
          <w:rFonts w:asciiTheme="minorHAnsi" w:hAnsiTheme="minorHAnsi" w:cstheme="minorBidi"/>
          <w:color w:val="auto"/>
          <w:sz w:val="22"/>
          <w:szCs w:val="22"/>
        </w:rPr>
        <w:t>’équipe de consultants</w:t>
      </w:r>
      <w:r>
        <w:rPr>
          <w:rFonts w:asciiTheme="minorHAnsi" w:hAnsiTheme="minorHAnsi" w:cstheme="minorBidi"/>
          <w:color w:val="auto"/>
          <w:sz w:val="22"/>
          <w:szCs w:val="22"/>
        </w:rPr>
        <w:t xml:space="preserve"> doit fournir</w:t>
      </w:r>
      <w:r w:rsidRPr="00FC0212">
        <w:rPr>
          <w:rFonts w:asciiTheme="minorHAnsi" w:hAnsiTheme="minorHAnsi" w:cstheme="minorBidi"/>
          <w:color w:val="auto"/>
          <w:sz w:val="22"/>
          <w:szCs w:val="22"/>
        </w:rPr>
        <w:t xml:space="preserve"> les livrables ci-après :</w:t>
      </w:r>
    </w:p>
    <w:p w14:paraId="78006F4E" w14:textId="47E3C196" w:rsidR="005D63C1" w:rsidRDefault="005D63C1" w:rsidP="004C6A54">
      <w:pPr>
        <w:autoSpaceDE w:val="0"/>
        <w:autoSpaceDN w:val="0"/>
        <w:adjustRightInd w:val="0"/>
        <w:spacing w:after="0" w:line="240" w:lineRule="auto"/>
        <w:jc w:val="both"/>
      </w:pPr>
    </w:p>
    <w:p w14:paraId="4FB5C1C6" w14:textId="4A8E7B8A" w:rsidR="008440BC" w:rsidRDefault="000547A0" w:rsidP="001A2A80">
      <w:pPr>
        <w:pStyle w:val="Paragraphedeliste"/>
        <w:numPr>
          <w:ilvl w:val="0"/>
          <w:numId w:val="8"/>
        </w:numPr>
        <w:shd w:val="clear" w:color="auto" w:fill="FFFFFF"/>
        <w:spacing w:after="240" w:line="240" w:lineRule="auto"/>
        <w:ind w:left="360"/>
        <w:jc w:val="both"/>
      </w:pPr>
      <w:r w:rsidRPr="00BF4B19">
        <w:rPr>
          <w:b/>
          <w:bCs/>
        </w:rPr>
        <w:t>R</w:t>
      </w:r>
      <w:r w:rsidR="00FC0212" w:rsidRPr="00BF4B19">
        <w:rPr>
          <w:b/>
          <w:bCs/>
        </w:rPr>
        <w:t>apport initial de l’évaluation (Inception Report)</w:t>
      </w:r>
      <w:r w:rsidR="00FC0212">
        <w:t xml:space="preserve"> </w:t>
      </w:r>
      <w:r w:rsidR="00FC0212" w:rsidRPr="00FC0212">
        <w:t xml:space="preserve">: </w:t>
      </w:r>
      <w:r w:rsidR="00D25F0A">
        <w:t xml:space="preserve">document décrivant </w:t>
      </w:r>
      <w:r w:rsidR="00FC0212" w:rsidRPr="00FC0212">
        <w:t xml:space="preserve">la compréhension du mandat, </w:t>
      </w:r>
      <w:r w:rsidR="00D25F0A" w:rsidRPr="008440BC">
        <w:t>détaillant la méthodologie de l’évaluation incluant la collecte de données et autres outils et méthodes qui seront utilisés dans le cadre de l’évaluation. Il comportera le chronogramme détaillé</w:t>
      </w:r>
      <w:r w:rsidR="008440BC">
        <w:t xml:space="preserve"> </w:t>
      </w:r>
      <w:r>
        <w:t>(</w:t>
      </w:r>
      <w:r w:rsidRPr="00452185">
        <w:rPr>
          <w:b/>
          <w:bCs/>
        </w:rPr>
        <w:t>Produit N°1</w:t>
      </w:r>
      <w:r>
        <w:t xml:space="preserve">) </w:t>
      </w:r>
      <w:r w:rsidR="00D25F0A" w:rsidRPr="008440BC">
        <w:t>;</w:t>
      </w:r>
    </w:p>
    <w:p w14:paraId="3FE71597" w14:textId="4554A5C4" w:rsidR="008440BC" w:rsidRDefault="008440BC" w:rsidP="001A2A80">
      <w:pPr>
        <w:pStyle w:val="Paragraphedeliste"/>
        <w:numPr>
          <w:ilvl w:val="0"/>
          <w:numId w:val="8"/>
        </w:numPr>
        <w:shd w:val="clear" w:color="auto" w:fill="FFFFFF"/>
        <w:spacing w:after="240" w:line="240" w:lineRule="auto"/>
        <w:ind w:left="360"/>
        <w:jc w:val="both"/>
      </w:pPr>
      <w:r w:rsidRPr="00E63F1B">
        <w:rPr>
          <w:b/>
          <w:bCs/>
        </w:rPr>
        <w:t>Un rapport provisoire de l’évaluation</w:t>
      </w:r>
      <w:r w:rsidRPr="00E63F1B">
        <w:t> </w:t>
      </w:r>
      <w:r>
        <w:t xml:space="preserve">: </w:t>
      </w:r>
      <w:r w:rsidR="00452185">
        <w:t>suivant le format fourni en annexe.</w:t>
      </w:r>
      <w:r w:rsidRPr="008440BC">
        <w:t xml:space="preserve"> </w:t>
      </w:r>
      <w:r w:rsidR="00452185">
        <w:t>L</w:t>
      </w:r>
      <w:r w:rsidRPr="008440BC">
        <w:t>e rapport sera soumis pour commentaire</w:t>
      </w:r>
      <w:r>
        <w:t> </w:t>
      </w:r>
      <w:r w:rsidR="00452185">
        <w:t>(</w:t>
      </w:r>
      <w:r w:rsidR="00452185" w:rsidRPr="00E63F1B">
        <w:rPr>
          <w:b/>
          <w:bCs/>
        </w:rPr>
        <w:t>Produit 2</w:t>
      </w:r>
      <w:r w:rsidR="00452185">
        <w:t xml:space="preserve">) </w:t>
      </w:r>
      <w:r>
        <w:t xml:space="preserve">; </w:t>
      </w:r>
    </w:p>
    <w:p w14:paraId="5B682E89" w14:textId="03296C0E" w:rsidR="00452185" w:rsidRDefault="00452185" w:rsidP="001A2A80">
      <w:pPr>
        <w:pStyle w:val="Paragraphedeliste"/>
        <w:numPr>
          <w:ilvl w:val="0"/>
          <w:numId w:val="8"/>
        </w:numPr>
        <w:shd w:val="clear" w:color="auto" w:fill="FFFFFF"/>
        <w:spacing w:after="240" w:line="240" w:lineRule="auto"/>
        <w:ind w:left="360"/>
        <w:jc w:val="both"/>
      </w:pPr>
      <w:r w:rsidRPr="00E63F1B">
        <w:t>Présentation des principales conclusions et recommandations à la réunion des parties prenantes (par le chef d’équipe senior) (</w:t>
      </w:r>
      <w:r w:rsidRPr="00E63F1B">
        <w:rPr>
          <w:b/>
          <w:bCs/>
        </w:rPr>
        <w:t>Produit N°3</w:t>
      </w:r>
      <w:r w:rsidRPr="00E63F1B">
        <w:t>)</w:t>
      </w:r>
      <w:r w:rsidR="00E63F1B">
        <w:t> ;</w:t>
      </w:r>
    </w:p>
    <w:p w14:paraId="2D454B45" w14:textId="68C1B035" w:rsidR="008440BC" w:rsidRDefault="008440BC" w:rsidP="001A2A80">
      <w:pPr>
        <w:pStyle w:val="Paragraphedeliste"/>
        <w:numPr>
          <w:ilvl w:val="0"/>
          <w:numId w:val="8"/>
        </w:numPr>
        <w:shd w:val="clear" w:color="auto" w:fill="FFFFFF"/>
        <w:spacing w:after="240" w:line="240" w:lineRule="auto"/>
        <w:ind w:left="360"/>
        <w:jc w:val="both"/>
      </w:pPr>
      <w:r w:rsidRPr="00BF4B19">
        <w:rPr>
          <w:b/>
          <w:bCs/>
        </w:rPr>
        <w:t>Piste d’audit du rapport d’évaluation (audit trail) </w:t>
      </w:r>
      <w:r w:rsidRPr="008440BC">
        <w:t>: Ce document indique la manière dont il a été tenu compte des commentaires, des questions et des clarifications</w:t>
      </w:r>
      <w:r w:rsidR="00452185">
        <w:t xml:space="preserve"> (</w:t>
      </w:r>
      <w:r w:rsidR="00452185" w:rsidRPr="00BF4B19">
        <w:rPr>
          <w:b/>
          <w:bCs/>
        </w:rPr>
        <w:t>Produit 4</w:t>
      </w:r>
      <w:r w:rsidR="00452185">
        <w:t>)</w:t>
      </w:r>
    </w:p>
    <w:p w14:paraId="64BFA7BE" w14:textId="2A8B7999" w:rsidR="000547A0" w:rsidRDefault="008440BC" w:rsidP="001A2A80">
      <w:pPr>
        <w:pStyle w:val="Paragraphedeliste"/>
        <w:numPr>
          <w:ilvl w:val="0"/>
          <w:numId w:val="8"/>
        </w:numPr>
        <w:shd w:val="clear" w:color="auto" w:fill="FFFFFF"/>
        <w:spacing w:after="240" w:line="240" w:lineRule="auto"/>
        <w:ind w:left="360"/>
        <w:jc w:val="both"/>
      </w:pPr>
      <w:r w:rsidRPr="00BF4B19">
        <w:rPr>
          <w:b/>
          <w:bCs/>
        </w:rPr>
        <w:t>Rapport final</w:t>
      </w:r>
      <w:r>
        <w:t xml:space="preserve"> : </w:t>
      </w:r>
      <w:r w:rsidRPr="008440BC">
        <w:t>Rapport révisé</w:t>
      </w:r>
      <w:r w:rsidR="000547A0">
        <w:t xml:space="preserve"> découlant du rapport provisoire intégrant les commentaires de toutes les parties prenantes avec un résumé synthétique (</w:t>
      </w:r>
      <w:r w:rsidR="00D556C2">
        <w:t>E</w:t>
      </w:r>
      <w:r w:rsidR="000547A0">
        <w:t xml:space="preserve">xecutive </w:t>
      </w:r>
      <w:proofErr w:type="spellStart"/>
      <w:r w:rsidR="000547A0">
        <w:t>summary</w:t>
      </w:r>
      <w:proofErr w:type="spellEnd"/>
      <w:r w:rsidR="000547A0">
        <w:t>) et une présentation des principales conclusions et recommandations</w:t>
      </w:r>
      <w:r w:rsidR="00452185">
        <w:t xml:space="preserve"> suivant le format en annexe (</w:t>
      </w:r>
      <w:r w:rsidR="00452185" w:rsidRPr="00BF4B19">
        <w:rPr>
          <w:b/>
          <w:bCs/>
        </w:rPr>
        <w:t>Produit 5</w:t>
      </w:r>
      <w:r w:rsidR="00452185">
        <w:t>)</w:t>
      </w:r>
      <w:r w:rsidR="00615330">
        <w:t>.</w:t>
      </w:r>
    </w:p>
    <w:p w14:paraId="1BEABE08" w14:textId="4EC1190B" w:rsidR="00452185" w:rsidRDefault="00452185" w:rsidP="00452185">
      <w:pPr>
        <w:pStyle w:val="Paragraphedeliste"/>
        <w:shd w:val="clear" w:color="auto" w:fill="FFFFFF"/>
        <w:spacing w:after="240" w:line="240" w:lineRule="auto"/>
        <w:jc w:val="both"/>
      </w:pPr>
    </w:p>
    <w:p w14:paraId="60EA94D5" w14:textId="77777777" w:rsidR="004E39E2" w:rsidRDefault="004E39E2" w:rsidP="00452185">
      <w:pPr>
        <w:pStyle w:val="Paragraphedeliste"/>
        <w:shd w:val="clear" w:color="auto" w:fill="FFFFFF"/>
        <w:spacing w:after="240" w:line="240" w:lineRule="auto"/>
        <w:jc w:val="both"/>
      </w:pPr>
    </w:p>
    <w:p w14:paraId="7D8DD139" w14:textId="4518C3FC" w:rsidR="004E39E2" w:rsidRPr="00575496" w:rsidRDefault="004E39E2" w:rsidP="001A2A80">
      <w:pPr>
        <w:pStyle w:val="Paragraphedeliste"/>
        <w:numPr>
          <w:ilvl w:val="0"/>
          <w:numId w:val="6"/>
        </w:numPr>
        <w:shd w:val="clear" w:color="auto" w:fill="FFFFFF"/>
        <w:spacing w:after="0" w:line="240" w:lineRule="auto"/>
        <w:rPr>
          <w:b/>
          <w:bCs/>
        </w:rPr>
      </w:pPr>
      <w:r w:rsidRPr="00575496">
        <w:rPr>
          <w:b/>
          <w:bCs/>
        </w:rPr>
        <w:t>Composition de l’équipe d'évaluation et compétences requises</w:t>
      </w:r>
    </w:p>
    <w:p w14:paraId="44A07F41" w14:textId="77777777" w:rsidR="004E39E2" w:rsidRPr="004E39E2" w:rsidRDefault="004E39E2" w:rsidP="004E39E2">
      <w:pPr>
        <w:pStyle w:val="Paragraphedeliste"/>
        <w:shd w:val="clear" w:color="auto" w:fill="FFFFFF"/>
        <w:spacing w:after="0" w:line="240" w:lineRule="auto"/>
      </w:pPr>
    </w:p>
    <w:p w14:paraId="5B48E71F" w14:textId="23E370FF" w:rsidR="004E39E2" w:rsidRPr="004E39E2" w:rsidRDefault="004E39E2" w:rsidP="004E39E2">
      <w:pPr>
        <w:shd w:val="clear" w:color="auto" w:fill="FFFFFF"/>
        <w:spacing w:after="0" w:line="240" w:lineRule="auto"/>
        <w:jc w:val="both"/>
        <w:rPr>
          <w:rFonts w:asciiTheme="minorHAnsi" w:eastAsiaTheme="minorHAnsi" w:hAnsiTheme="minorHAnsi" w:cstheme="minorBidi"/>
          <w:lang w:eastAsia="en-US"/>
        </w:rPr>
      </w:pPr>
      <w:r w:rsidRPr="004E39E2">
        <w:rPr>
          <w:rFonts w:asciiTheme="minorHAnsi" w:eastAsiaTheme="minorHAnsi" w:hAnsiTheme="minorHAnsi" w:cstheme="minorBidi"/>
          <w:lang w:eastAsia="en-US"/>
        </w:rPr>
        <w:t>Une équipe composée de deux consultants indépendants conduira l’examen à mi-parcours</w:t>
      </w:r>
      <w:r>
        <w:rPr>
          <w:rFonts w:asciiTheme="minorHAnsi" w:eastAsiaTheme="minorHAnsi" w:hAnsiTheme="minorHAnsi" w:cstheme="minorBidi"/>
          <w:lang w:eastAsia="en-US"/>
        </w:rPr>
        <w:t xml:space="preserve"> du CPD</w:t>
      </w:r>
      <w:r w:rsidRPr="004E39E2">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Elle sera dirigée par un consultant international, </w:t>
      </w:r>
      <w:r w:rsidR="009E1FDF">
        <w:rPr>
          <w:rFonts w:asciiTheme="minorHAnsi" w:eastAsiaTheme="minorHAnsi" w:hAnsiTheme="minorHAnsi" w:cstheme="minorBidi"/>
          <w:lang w:eastAsia="en-US"/>
        </w:rPr>
        <w:t>c</w:t>
      </w:r>
      <w:r>
        <w:rPr>
          <w:rFonts w:asciiTheme="minorHAnsi" w:eastAsiaTheme="minorHAnsi" w:hAnsiTheme="minorHAnsi" w:cstheme="minorBidi"/>
          <w:lang w:eastAsia="en-US"/>
        </w:rPr>
        <w:t>hef d’équipe</w:t>
      </w:r>
      <w:r w:rsidR="009E1FDF">
        <w:rPr>
          <w:rFonts w:asciiTheme="minorHAnsi" w:eastAsiaTheme="minorHAnsi" w:hAnsiTheme="minorHAnsi" w:cstheme="minorBidi"/>
          <w:lang w:eastAsia="en-US"/>
        </w:rPr>
        <w:t xml:space="preserve"> </w:t>
      </w:r>
      <w:r w:rsidR="009E1FDF" w:rsidRPr="009E1FDF">
        <w:rPr>
          <w:rFonts w:asciiTheme="minorHAnsi" w:eastAsiaTheme="minorHAnsi" w:hAnsiTheme="minorHAnsi" w:cstheme="minorBidi"/>
          <w:lang w:eastAsia="en-US"/>
        </w:rPr>
        <w:t>justifiant de solides expériences internationales en évaluation de projets et de programmes pays et surtout d’évaluation de CPD du PNUD</w:t>
      </w:r>
      <w:r w:rsidR="009E1FDF">
        <w:rPr>
          <w:rFonts w:asciiTheme="minorHAnsi" w:eastAsiaTheme="minorHAnsi" w:hAnsiTheme="minorHAnsi" w:cstheme="minorBidi"/>
          <w:lang w:eastAsia="en-US"/>
        </w:rPr>
        <w:t xml:space="preserve"> et d’un consultant, expert national </w:t>
      </w:r>
      <w:r w:rsidR="009E1FDF" w:rsidRPr="009E1FDF">
        <w:rPr>
          <w:rFonts w:asciiTheme="minorHAnsi" w:eastAsiaTheme="minorHAnsi" w:hAnsiTheme="minorHAnsi" w:cstheme="minorBidi"/>
          <w:lang w:eastAsia="en-US"/>
        </w:rPr>
        <w:t>avec des expériences en évaluation et dans les champs thématiques du CPD.</w:t>
      </w:r>
    </w:p>
    <w:p w14:paraId="567D62A0" w14:textId="77777777" w:rsidR="00780BA0" w:rsidRDefault="00780BA0" w:rsidP="004E39E2">
      <w:pPr>
        <w:autoSpaceDE w:val="0"/>
        <w:autoSpaceDN w:val="0"/>
        <w:adjustRightInd w:val="0"/>
        <w:spacing w:after="0" w:line="240" w:lineRule="auto"/>
        <w:jc w:val="both"/>
        <w:rPr>
          <w:rFonts w:ascii="Arial Narrow" w:hAnsi="Arial Narrow" w:cs="Arial"/>
        </w:rPr>
      </w:pPr>
    </w:p>
    <w:p w14:paraId="4D95B15C" w14:textId="14FFAF06" w:rsidR="00780BA0" w:rsidRPr="00615330" w:rsidRDefault="004E39E2" w:rsidP="00780BA0">
      <w:pPr>
        <w:spacing w:after="0" w:line="240" w:lineRule="auto"/>
        <w:jc w:val="both"/>
        <w:rPr>
          <w:rFonts w:asciiTheme="minorHAnsi" w:eastAsiaTheme="minorHAnsi" w:hAnsiTheme="minorHAnsi" w:cstheme="minorBidi"/>
          <w:lang w:eastAsia="en-US"/>
        </w:rPr>
      </w:pPr>
      <w:r w:rsidRPr="00780BA0">
        <w:rPr>
          <w:rFonts w:asciiTheme="minorHAnsi" w:eastAsiaTheme="minorHAnsi" w:hAnsiTheme="minorHAnsi" w:cstheme="minorBidi"/>
          <w:lang w:eastAsia="en-US"/>
        </w:rPr>
        <w:t>Le</w:t>
      </w:r>
      <w:r w:rsidR="00615330">
        <w:rPr>
          <w:rFonts w:asciiTheme="minorHAnsi" w:eastAsiaTheme="minorHAnsi" w:hAnsiTheme="minorHAnsi" w:cstheme="minorBidi"/>
          <w:lang w:eastAsia="en-US"/>
        </w:rPr>
        <w:t xml:space="preserve"> consultant </w:t>
      </w:r>
      <w:r w:rsidRPr="00780BA0">
        <w:rPr>
          <w:rFonts w:asciiTheme="minorHAnsi" w:eastAsiaTheme="minorHAnsi" w:hAnsiTheme="minorHAnsi" w:cstheme="minorBidi"/>
          <w:lang w:eastAsia="en-US"/>
        </w:rPr>
        <w:t>international devra avoi</w:t>
      </w:r>
      <w:r w:rsidR="00615330">
        <w:rPr>
          <w:rFonts w:asciiTheme="minorHAnsi" w:eastAsiaTheme="minorHAnsi" w:hAnsiTheme="minorHAnsi" w:cstheme="minorBidi"/>
          <w:lang w:eastAsia="en-US"/>
        </w:rPr>
        <w:t xml:space="preserve">r une expertise avérée dans les domaines d’intervention du CPD notamment dans les questions de Gouvernance et prévention des conflits, pauvreté et environnement </w:t>
      </w:r>
      <w:r w:rsidR="00615330">
        <w:t xml:space="preserve">et le consultant national devra avoir de manière </w:t>
      </w:r>
      <w:r w:rsidRPr="00780BA0">
        <w:rPr>
          <w:rFonts w:asciiTheme="minorHAnsi" w:eastAsiaTheme="minorHAnsi" w:hAnsiTheme="minorHAnsi" w:cstheme="minorBidi"/>
          <w:lang w:eastAsia="en-US"/>
        </w:rPr>
        <w:t>distincte une solide expertise dans l’un ou plus des domaines</w:t>
      </w:r>
      <w:r w:rsidR="00615330">
        <w:rPr>
          <w:rFonts w:asciiTheme="minorHAnsi" w:eastAsiaTheme="minorHAnsi" w:hAnsiTheme="minorHAnsi" w:cstheme="minorBidi"/>
          <w:lang w:eastAsia="en-US"/>
        </w:rPr>
        <w:t xml:space="preserve"> cités. </w:t>
      </w:r>
      <w:r w:rsidRPr="00780BA0">
        <w:rPr>
          <w:rFonts w:asciiTheme="minorHAnsi" w:eastAsiaTheme="minorHAnsi" w:hAnsiTheme="minorHAnsi" w:cstheme="minorBidi"/>
          <w:lang w:eastAsia="en-US"/>
        </w:rPr>
        <w:t xml:space="preserve"> </w:t>
      </w:r>
    </w:p>
    <w:p w14:paraId="7D85B8E9" w14:textId="3C3173B4" w:rsidR="004E39E2" w:rsidRDefault="004E39E2" w:rsidP="004E39E2">
      <w:pPr>
        <w:autoSpaceDE w:val="0"/>
        <w:autoSpaceDN w:val="0"/>
        <w:adjustRightInd w:val="0"/>
        <w:spacing w:after="0" w:line="240" w:lineRule="auto"/>
        <w:jc w:val="both"/>
        <w:rPr>
          <w:rFonts w:asciiTheme="minorHAnsi" w:eastAsiaTheme="minorHAnsi" w:hAnsiTheme="minorHAnsi" w:cstheme="minorBidi"/>
          <w:lang w:eastAsia="en-US"/>
        </w:rPr>
      </w:pPr>
    </w:p>
    <w:p w14:paraId="5167F43B" w14:textId="147E97B7" w:rsidR="00763A10" w:rsidRPr="00615330" w:rsidRDefault="00763A10" w:rsidP="00753160">
      <w:pPr>
        <w:spacing w:after="0" w:line="240" w:lineRule="auto"/>
        <w:jc w:val="both"/>
        <w:textAlignment w:val="baseline"/>
        <w:rPr>
          <w:rFonts w:asciiTheme="minorHAnsi" w:eastAsiaTheme="minorHAnsi" w:hAnsiTheme="minorHAnsi" w:cstheme="minorBidi"/>
          <w:lang w:eastAsia="en-US"/>
        </w:rPr>
      </w:pPr>
      <w:r w:rsidRPr="00615330">
        <w:rPr>
          <w:rFonts w:asciiTheme="minorHAnsi" w:eastAsiaTheme="minorHAnsi" w:hAnsiTheme="minorHAnsi" w:cstheme="minorBidi"/>
          <w:lang w:eastAsia="en-US"/>
        </w:rPr>
        <w:t xml:space="preserve">Le (a) consultant(e) international(e), </w:t>
      </w:r>
      <w:r w:rsidR="00EA42F2" w:rsidRPr="00615330">
        <w:rPr>
          <w:rFonts w:asciiTheme="minorHAnsi" w:eastAsiaTheme="minorHAnsi" w:hAnsiTheme="minorHAnsi" w:cstheme="minorBidi"/>
          <w:lang w:eastAsia="en-US"/>
        </w:rPr>
        <w:t>doit avoir u</w:t>
      </w:r>
      <w:r w:rsidRPr="00615330">
        <w:rPr>
          <w:rFonts w:asciiTheme="minorHAnsi" w:eastAsiaTheme="minorHAnsi" w:hAnsiTheme="minorHAnsi" w:cstheme="minorBidi"/>
          <w:lang w:eastAsia="en-US"/>
        </w:rPr>
        <w:t>ne expérience diversifiée cumulée d’au moins 15 ans dans l’évaluation des politiques, programmes et projets, y compris plusieurs évaluations de programmes de coopération du PNUD et/ou d’autres agences du SNU</w:t>
      </w:r>
      <w:r w:rsidR="007A31C7">
        <w:rPr>
          <w:rFonts w:asciiTheme="minorHAnsi" w:eastAsiaTheme="minorHAnsi" w:hAnsiTheme="minorHAnsi" w:cstheme="minorBidi"/>
          <w:lang w:eastAsia="en-US"/>
        </w:rPr>
        <w:t xml:space="preserve"> </w:t>
      </w:r>
      <w:r w:rsidR="00597D43">
        <w:rPr>
          <w:rFonts w:asciiTheme="minorHAnsi" w:eastAsiaTheme="minorHAnsi" w:hAnsiTheme="minorHAnsi" w:cstheme="minorBidi"/>
          <w:lang w:eastAsia="en-US"/>
        </w:rPr>
        <w:t xml:space="preserve">dirigées </w:t>
      </w:r>
      <w:r w:rsidR="007A31C7">
        <w:rPr>
          <w:rFonts w:asciiTheme="minorHAnsi" w:eastAsiaTheme="minorHAnsi" w:hAnsiTheme="minorHAnsi" w:cstheme="minorBidi"/>
          <w:lang w:eastAsia="en-US"/>
        </w:rPr>
        <w:t xml:space="preserve">de façon </w:t>
      </w:r>
      <w:r w:rsidR="00313B6F">
        <w:rPr>
          <w:rFonts w:asciiTheme="minorHAnsi" w:eastAsiaTheme="minorHAnsi" w:hAnsiTheme="minorHAnsi" w:cstheme="minorBidi"/>
          <w:lang w:eastAsia="en-US"/>
        </w:rPr>
        <w:t>satisfaisante</w:t>
      </w:r>
      <w:r w:rsidRPr="00615330">
        <w:rPr>
          <w:rFonts w:asciiTheme="minorHAnsi" w:eastAsiaTheme="minorHAnsi" w:hAnsiTheme="minorHAnsi" w:cstheme="minorBidi"/>
          <w:lang w:eastAsia="en-US"/>
        </w:rPr>
        <w:t>.</w:t>
      </w:r>
      <w:r w:rsidR="00EA42F2" w:rsidRPr="00615330">
        <w:rPr>
          <w:rFonts w:asciiTheme="minorHAnsi" w:eastAsiaTheme="minorHAnsi" w:hAnsiTheme="minorHAnsi" w:cstheme="minorBidi"/>
          <w:lang w:eastAsia="en-US"/>
        </w:rPr>
        <w:t xml:space="preserve"> L</w:t>
      </w:r>
      <w:r w:rsidRPr="00615330">
        <w:rPr>
          <w:rFonts w:asciiTheme="minorHAnsi" w:eastAsiaTheme="minorHAnsi" w:hAnsiTheme="minorHAnsi" w:cstheme="minorBidi"/>
          <w:lang w:eastAsia="en-US"/>
        </w:rPr>
        <w:t>e consultant</w:t>
      </w:r>
      <w:r w:rsidR="00EA42F2" w:rsidRPr="00615330">
        <w:rPr>
          <w:rFonts w:asciiTheme="minorHAnsi" w:eastAsiaTheme="minorHAnsi" w:hAnsiTheme="minorHAnsi" w:cstheme="minorBidi"/>
          <w:lang w:eastAsia="en-US"/>
        </w:rPr>
        <w:t xml:space="preserve"> international</w:t>
      </w:r>
      <w:r w:rsidRPr="00615330">
        <w:rPr>
          <w:rFonts w:asciiTheme="minorHAnsi" w:eastAsiaTheme="minorHAnsi" w:hAnsiTheme="minorHAnsi" w:cstheme="minorBidi"/>
          <w:lang w:eastAsia="en-US"/>
        </w:rPr>
        <w:t xml:space="preserve"> est responsable de produire la substance sur les 3 effets et est le Chef d’équipe, en charge de la consolidation et de la livraison des produits de l’évaluation</w:t>
      </w:r>
      <w:r w:rsidR="00EA42F2" w:rsidRPr="00615330">
        <w:rPr>
          <w:rFonts w:asciiTheme="minorHAnsi" w:eastAsiaTheme="minorHAnsi" w:hAnsiTheme="minorHAnsi" w:cstheme="minorBidi"/>
          <w:lang w:eastAsia="en-US"/>
        </w:rPr>
        <w:t xml:space="preserve"> dans le temps imparti.</w:t>
      </w:r>
      <w:r w:rsidR="00081281" w:rsidRPr="00615330">
        <w:rPr>
          <w:rFonts w:asciiTheme="minorHAnsi" w:eastAsiaTheme="minorHAnsi" w:hAnsiTheme="minorHAnsi" w:cstheme="minorBidi"/>
          <w:lang w:eastAsia="en-US"/>
        </w:rPr>
        <w:t xml:space="preserve"> </w:t>
      </w:r>
      <w:r w:rsidR="005845DA" w:rsidRPr="00615330">
        <w:rPr>
          <w:rFonts w:asciiTheme="minorHAnsi" w:eastAsiaTheme="minorHAnsi" w:hAnsiTheme="minorHAnsi" w:cstheme="minorBidi"/>
          <w:lang w:eastAsia="en-US"/>
        </w:rPr>
        <w:t xml:space="preserve">Il aura pour rôle supplémentaire de superviser le consultant national et d’assurer la qualité des résultats de l’évaluation. </w:t>
      </w:r>
    </w:p>
    <w:p w14:paraId="35914D37" w14:textId="77777777" w:rsidR="007D4831" w:rsidRPr="00615330" w:rsidRDefault="007D4831" w:rsidP="00081281">
      <w:pPr>
        <w:shd w:val="clear" w:color="auto" w:fill="FFFFFF"/>
        <w:spacing w:after="0" w:line="240" w:lineRule="auto"/>
        <w:jc w:val="both"/>
        <w:rPr>
          <w:rFonts w:ascii="Arial Narrow" w:hAnsi="Arial Narrow" w:cs="Arial"/>
        </w:rPr>
      </w:pPr>
    </w:p>
    <w:p w14:paraId="430551DD" w14:textId="6AC94E67" w:rsidR="0051579E" w:rsidRPr="0051579E" w:rsidRDefault="008A16F7" w:rsidP="0051579E">
      <w:pPr>
        <w:shd w:val="clear" w:color="auto" w:fill="FFFFFF"/>
        <w:spacing w:after="0" w:line="240" w:lineRule="auto"/>
        <w:jc w:val="both"/>
        <w:rPr>
          <w:rFonts w:asciiTheme="minorHAnsi" w:eastAsiaTheme="minorHAnsi" w:hAnsiTheme="minorHAnsi" w:cstheme="minorBidi"/>
          <w:lang w:eastAsia="en-US"/>
        </w:rPr>
      </w:pPr>
      <w:r w:rsidRPr="00615330">
        <w:rPr>
          <w:rFonts w:asciiTheme="minorHAnsi" w:eastAsiaTheme="minorHAnsi" w:hAnsiTheme="minorHAnsi" w:cstheme="minorBidi"/>
          <w:lang w:eastAsia="en-US"/>
        </w:rPr>
        <w:t xml:space="preserve">Le consultant national </w:t>
      </w:r>
      <w:r w:rsidR="009D6795" w:rsidRPr="00615330">
        <w:rPr>
          <w:rFonts w:asciiTheme="minorHAnsi" w:eastAsiaTheme="minorHAnsi" w:hAnsiTheme="minorHAnsi" w:cstheme="minorBidi"/>
          <w:lang w:eastAsia="en-US"/>
        </w:rPr>
        <w:t>doit avoir a</w:t>
      </w:r>
      <w:r w:rsidR="007D4831" w:rsidRPr="00615330">
        <w:rPr>
          <w:rFonts w:asciiTheme="minorHAnsi" w:eastAsiaTheme="minorHAnsi" w:hAnsiTheme="minorHAnsi" w:cstheme="minorBidi"/>
          <w:lang w:eastAsia="en-US"/>
        </w:rPr>
        <w:t xml:space="preserve">u moins une maîtrise en droit, sciences politiques, administration publique/des affaires, gouvernance, sciences politiques ou tout autre sujet pertinent avec une expérience professionnelle </w:t>
      </w:r>
      <w:r w:rsidR="005845DA" w:rsidRPr="00615330">
        <w:rPr>
          <w:rFonts w:asciiTheme="minorHAnsi" w:eastAsiaTheme="minorHAnsi" w:hAnsiTheme="minorHAnsi" w:cstheme="minorBidi"/>
          <w:lang w:eastAsia="en-US"/>
        </w:rPr>
        <w:t xml:space="preserve">avérée </w:t>
      </w:r>
      <w:r w:rsidR="007D4831" w:rsidRPr="00615330">
        <w:rPr>
          <w:rFonts w:asciiTheme="minorHAnsi" w:eastAsiaTheme="minorHAnsi" w:hAnsiTheme="minorHAnsi" w:cstheme="minorBidi"/>
          <w:lang w:eastAsia="en-US"/>
        </w:rPr>
        <w:t xml:space="preserve">d'au moins </w:t>
      </w:r>
      <w:r w:rsidR="005845DA" w:rsidRPr="00615330">
        <w:rPr>
          <w:rFonts w:asciiTheme="minorHAnsi" w:eastAsiaTheme="minorHAnsi" w:hAnsiTheme="minorHAnsi" w:cstheme="minorBidi"/>
          <w:lang w:eastAsia="en-US"/>
        </w:rPr>
        <w:t xml:space="preserve">7 </w:t>
      </w:r>
      <w:r w:rsidR="009D6795" w:rsidRPr="00615330">
        <w:rPr>
          <w:rFonts w:asciiTheme="minorHAnsi" w:eastAsiaTheme="minorHAnsi" w:hAnsiTheme="minorHAnsi" w:cstheme="minorBidi"/>
          <w:lang w:eastAsia="en-US"/>
        </w:rPr>
        <w:t>ans</w:t>
      </w:r>
      <w:r w:rsidR="007D4831" w:rsidRPr="00615330">
        <w:rPr>
          <w:rFonts w:asciiTheme="minorHAnsi" w:eastAsiaTheme="minorHAnsi" w:hAnsiTheme="minorHAnsi" w:cstheme="minorBidi"/>
          <w:lang w:eastAsia="en-US"/>
        </w:rPr>
        <w:t xml:space="preserve"> </w:t>
      </w:r>
      <w:r w:rsidR="005845DA" w:rsidRPr="00615330">
        <w:rPr>
          <w:rFonts w:asciiTheme="minorHAnsi" w:eastAsiaTheme="minorHAnsi" w:hAnsiTheme="minorHAnsi" w:cstheme="minorBidi"/>
          <w:lang w:eastAsia="en-US"/>
        </w:rPr>
        <w:t xml:space="preserve">dans l’évaluation de projets et programmes de développement. Il doit avoir une </w:t>
      </w:r>
      <w:r w:rsidR="0051579E" w:rsidRPr="00615330">
        <w:rPr>
          <w:rFonts w:asciiTheme="minorHAnsi" w:eastAsiaTheme="minorHAnsi" w:hAnsiTheme="minorHAnsi" w:cstheme="minorBidi"/>
          <w:lang w:eastAsia="en-US"/>
        </w:rPr>
        <w:t>compréhension avérée des questions liées à l'intégration de la dimension de genre et une expérience de la conduite d'entretiens avec les parties prenantes</w:t>
      </w:r>
      <w:r w:rsidR="00BD03D3">
        <w:rPr>
          <w:rFonts w:asciiTheme="minorHAnsi" w:eastAsiaTheme="minorHAnsi" w:hAnsiTheme="minorHAnsi" w:cstheme="minorBidi"/>
          <w:lang w:eastAsia="en-US"/>
        </w:rPr>
        <w:t>.</w:t>
      </w:r>
    </w:p>
    <w:p w14:paraId="4FE9DCB6" w14:textId="3E2258D6" w:rsidR="0051579E" w:rsidRPr="008A16F7" w:rsidRDefault="0051579E" w:rsidP="0051579E">
      <w:pPr>
        <w:shd w:val="clear" w:color="auto" w:fill="FFFFFF"/>
        <w:spacing w:after="0" w:line="240" w:lineRule="auto"/>
        <w:jc w:val="both"/>
        <w:rPr>
          <w:rFonts w:asciiTheme="minorHAnsi" w:eastAsiaTheme="minorHAnsi" w:hAnsiTheme="minorHAnsi" w:cstheme="minorBidi"/>
          <w:lang w:eastAsia="en-US"/>
        </w:rPr>
      </w:pPr>
    </w:p>
    <w:p w14:paraId="4FC7B337" w14:textId="578F14A8" w:rsidR="00313B6F" w:rsidRDefault="0051579E" w:rsidP="00370CA1">
      <w:pPr>
        <w:shd w:val="clear" w:color="auto" w:fill="FFFFFF"/>
        <w:spacing w:after="0" w:line="24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Les consultants doivent avoir une solide </w:t>
      </w:r>
      <w:r w:rsidR="00370CA1" w:rsidRPr="0051579E">
        <w:rPr>
          <w:rFonts w:asciiTheme="minorHAnsi" w:eastAsiaTheme="minorHAnsi" w:hAnsiTheme="minorHAnsi" w:cstheme="minorBidi"/>
          <w:lang w:eastAsia="en-US"/>
        </w:rPr>
        <w:t>connaissance des méthodes de collecte et d'analyse de données qualitatives et quantitative</w:t>
      </w:r>
      <w:r>
        <w:rPr>
          <w:rFonts w:asciiTheme="minorHAnsi" w:eastAsiaTheme="minorHAnsi" w:hAnsiTheme="minorHAnsi" w:cstheme="minorBidi"/>
          <w:lang w:eastAsia="en-US"/>
        </w:rPr>
        <w:t>s et d’e</w:t>
      </w:r>
      <w:r w:rsidR="00370CA1" w:rsidRPr="0051579E">
        <w:rPr>
          <w:rFonts w:asciiTheme="minorHAnsi" w:eastAsiaTheme="minorHAnsi" w:hAnsiTheme="minorHAnsi" w:cstheme="minorBidi"/>
          <w:lang w:eastAsia="en-US"/>
        </w:rPr>
        <w:t xml:space="preserve">xcellentes compétences interpersonnelles, de travail en équipe et de communication. </w:t>
      </w:r>
    </w:p>
    <w:p w14:paraId="18F071B3" w14:textId="77777777" w:rsidR="0051579E" w:rsidRPr="0051579E" w:rsidRDefault="0051579E" w:rsidP="00081281">
      <w:pPr>
        <w:shd w:val="clear" w:color="auto" w:fill="FFFFFF"/>
        <w:spacing w:after="0" w:line="240" w:lineRule="auto"/>
        <w:jc w:val="both"/>
        <w:rPr>
          <w:rFonts w:asciiTheme="minorHAnsi" w:eastAsiaTheme="minorHAnsi" w:hAnsiTheme="minorHAnsi" w:cstheme="minorBidi"/>
          <w:lang w:eastAsia="en-US"/>
        </w:rPr>
      </w:pPr>
    </w:p>
    <w:p w14:paraId="49322E0F" w14:textId="5B469826" w:rsidR="00081281" w:rsidRDefault="00081281" w:rsidP="001A2A80">
      <w:pPr>
        <w:pStyle w:val="Paragraphedeliste"/>
        <w:numPr>
          <w:ilvl w:val="0"/>
          <w:numId w:val="6"/>
        </w:numPr>
        <w:shd w:val="clear" w:color="auto" w:fill="FFFFFF"/>
        <w:spacing w:after="0" w:line="240" w:lineRule="auto"/>
        <w:rPr>
          <w:b/>
          <w:bCs/>
        </w:rPr>
      </w:pPr>
      <w:r w:rsidRPr="0051579E">
        <w:rPr>
          <w:b/>
          <w:bCs/>
        </w:rPr>
        <w:t xml:space="preserve">Éthique d'évaluation </w:t>
      </w:r>
    </w:p>
    <w:p w14:paraId="3E47C584" w14:textId="77777777" w:rsidR="0051579E" w:rsidRPr="0051579E" w:rsidRDefault="0051579E" w:rsidP="0051579E">
      <w:pPr>
        <w:pStyle w:val="Paragraphedeliste"/>
        <w:shd w:val="clear" w:color="auto" w:fill="FFFFFF"/>
        <w:spacing w:after="0" w:line="240" w:lineRule="auto"/>
        <w:ind w:left="1080"/>
        <w:rPr>
          <w:b/>
          <w:bCs/>
        </w:rPr>
      </w:pPr>
    </w:p>
    <w:p w14:paraId="458E988A" w14:textId="158D18D0" w:rsidR="005845DA" w:rsidRPr="0051579E" w:rsidRDefault="00081281" w:rsidP="005845DA">
      <w:pPr>
        <w:shd w:val="clear" w:color="auto" w:fill="FFFFFF"/>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 xml:space="preserve">Cette évaluation sera conduite en conformité avec les principes énoncés dans </w:t>
      </w:r>
      <w:hyperlink r:id="rId11" w:history="1">
        <w:r w:rsidRPr="0051579E">
          <w:rPr>
            <w:rFonts w:asciiTheme="minorHAnsi" w:eastAsiaTheme="minorHAnsi" w:hAnsiTheme="minorHAnsi" w:cstheme="minorBidi"/>
            <w:lang w:eastAsia="en-US"/>
          </w:rPr>
          <w:t>le Guide pour l’éthique de l’évaluation du Groupe des Nations Unies pour l’évaluation</w:t>
        </w:r>
      </w:hyperlink>
      <w:r w:rsidRPr="0051579E">
        <w:rPr>
          <w:rFonts w:asciiTheme="minorHAnsi" w:eastAsiaTheme="minorHAnsi" w:hAnsiTheme="minorHAnsi" w:cstheme="minorBidi"/>
          <w:lang w:eastAsia="en-US"/>
        </w:rPr>
        <w:footnoteReference w:id="9"/>
      </w:r>
      <w:r w:rsidRPr="0051579E">
        <w:rPr>
          <w:rFonts w:asciiTheme="minorHAnsi" w:eastAsiaTheme="minorHAnsi" w:hAnsiTheme="minorHAnsi" w:cstheme="minorBidi"/>
          <w:lang w:eastAsia="en-US"/>
        </w:rPr>
        <w:t xml:space="preserve"> et </w:t>
      </w:r>
      <w:hyperlink r:id="rId12" w:history="1">
        <w:r w:rsidRPr="0051579E">
          <w:rPr>
            <w:rFonts w:asciiTheme="minorHAnsi" w:eastAsiaTheme="minorHAnsi" w:hAnsiTheme="minorHAnsi" w:cstheme="minorBidi"/>
          </w:rPr>
          <w:t>le code de conduite d'UNEG pour l'évaluation dans le système des Nations Unies</w:t>
        </w:r>
      </w:hyperlink>
      <w:r w:rsidRPr="0051579E">
        <w:rPr>
          <w:rFonts w:asciiTheme="minorHAnsi" w:eastAsiaTheme="minorHAnsi" w:hAnsiTheme="minorHAnsi" w:cstheme="minorBidi"/>
        </w:rPr>
        <w:footnoteReference w:id="10"/>
      </w:r>
      <w:r w:rsidRPr="0051579E">
        <w:rPr>
          <w:rFonts w:asciiTheme="minorHAnsi" w:eastAsiaTheme="minorHAnsi" w:hAnsiTheme="minorHAnsi" w:cstheme="minorBidi"/>
          <w:lang w:eastAsia="en-US"/>
        </w:rPr>
        <w:t>.</w:t>
      </w:r>
    </w:p>
    <w:p w14:paraId="028C5BF8" w14:textId="050CDD1F" w:rsidR="0051579E" w:rsidRPr="0051579E" w:rsidRDefault="00081281" w:rsidP="001A2A80">
      <w:pPr>
        <w:pStyle w:val="Paragraphedeliste"/>
        <w:numPr>
          <w:ilvl w:val="0"/>
          <w:numId w:val="6"/>
        </w:numPr>
        <w:shd w:val="clear" w:color="auto" w:fill="FFFFFF"/>
        <w:spacing w:after="0" w:line="240" w:lineRule="auto"/>
        <w:rPr>
          <w:b/>
          <w:bCs/>
        </w:rPr>
      </w:pPr>
      <w:r w:rsidRPr="0051579E">
        <w:rPr>
          <w:b/>
          <w:bCs/>
        </w:rPr>
        <w:t xml:space="preserve">Arrangements de gestion </w:t>
      </w:r>
    </w:p>
    <w:p w14:paraId="25C3C0C9" w14:textId="77777777" w:rsidR="0051579E" w:rsidRPr="0051579E" w:rsidRDefault="0051579E" w:rsidP="0051579E">
      <w:pPr>
        <w:pStyle w:val="Paragraphedeliste"/>
        <w:shd w:val="clear" w:color="auto" w:fill="FFFFFF"/>
        <w:spacing w:after="0" w:line="240" w:lineRule="auto"/>
        <w:ind w:left="1080"/>
        <w:rPr>
          <w:b/>
          <w:bCs/>
        </w:rPr>
      </w:pPr>
    </w:p>
    <w:p w14:paraId="33DD18AF" w14:textId="77777777" w:rsidR="00081281" w:rsidRPr="0051579E" w:rsidRDefault="00081281" w:rsidP="00081281">
      <w:pPr>
        <w:shd w:val="clear" w:color="auto" w:fill="FFFFFF"/>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 xml:space="preserve"> Les rôles et responsabilités clés dans les processus d’évaluation sont répartis comme suit : </w:t>
      </w:r>
    </w:p>
    <w:p w14:paraId="4408B948" w14:textId="77C9B1F8" w:rsidR="00081281" w:rsidRPr="0051579E" w:rsidRDefault="00081281" w:rsidP="00081281">
      <w:pPr>
        <w:shd w:val="clear" w:color="auto" w:fill="FFFFFF"/>
        <w:spacing w:after="120"/>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 xml:space="preserve">a) </w:t>
      </w:r>
      <w:r w:rsidRPr="00313B6F">
        <w:rPr>
          <w:rFonts w:asciiTheme="minorHAnsi" w:eastAsiaTheme="minorHAnsi" w:hAnsiTheme="minorHAnsi" w:cstheme="minorBidi"/>
          <w:b/>
          <w:bCs/>
          <w:lang w:eastAsia="en-US"/>
        </w:rPr>
        <w:t>Commanditaires de l'évaluation</w:t>
      </w:r>
      <w:r w:rsidR="008F2803">
        <w:rPr>
          <w:rFonts w:asciiTheme="minorHAnsi" w:eastAsiaTheme="minorHAnsi" w:hAnsiTheme="minorHAnsi" w:cstheme="minorBidi"/>
          <w:lang w:eastAsia="en-US"/>
        </w:rPr>
        <w:t xml:space="preserve"> </w:t>
      </w:r>
      <w:r w:rsidRPr="0051579E">
        <w:rPr>
          <w:rFonts w:asciiTheme="minorHAnsi" w:eastAsiaTheme="minorHAnsi" w:hAnsiTheme="minorHAnsi" w:cstheme="minorBidi"/>
          <w:lang w:eastAsia="en-US"/>
        </w:rPr>
        <w:t xml:space="preserve">: le Senior Management du bureau pays du PNUD et le Ministère </w:t>
      </w:r>
      <w:r w:rsidR="00D517D9" w:rsidRPr="0051579E">
        <w:rPr>
          <w:rFonts w:asciiTheme="minorHAnsi" w:eastAsiaTheme="minorHAnsi" w:hAnsiTheme="minorHAnsi" w:cstheme="minorBidi"/>
          <w:lang w:eastAsia="en-US"/>
        </w:rPr>
        <w:t xml:space="preserve">des Affaires Etrangères et de la Coopération Internationale </w:t>
      </w:r>
      <w:r w:rsidRPr="0051579E">
        <w:rPr>
          <w:rFonts w:asciiTheme="minorHAnsi" w:eastAsiaTheme="minorHAnsi" w:hAnsiTheme="minorHAnsi" w:cstheme="minorBidi"/>
          <w:lang w:eastAsia="en-US"/>
        </w:rPr>
        <w:t>pou</w:t>
      </w:r>
      <w:r w:rsidR="00E32E70">
        <w:rPr>
          <w:rFonts w:asciiTheme="minorHAnsi" w:eastAsiaTheme="minorHAnsi" w:hAnsiTheme="minorHAnsi" w:cstheme="minorBidi"/>
          <w:lang w:eastAsia="en-US"/>
        </w:rPr>
        <w:t>r</w:t>
      </w:r>
      <w:r w:rsidRPr="0051579E">
        <w:rPr>
          <w:rFonts w:asciiTheme="minorHAnsi" w:eastAsiaTheme="minorHAnsi" w:hAnsiTheme="minorHAnsi" w:cstheme="minorBidi"/>
          <w:lang w:eastAsia="en-US"/>
        </w:rPr>
        <w:t xml:space="preserve"> fournir des conseils aux Evaluateurs</w:t>
      </w:r>
      <w:r w:rsidR="00E32E70">
        <w:rPr>
          <w:rFonts w:asciiTheme="minorHAnsi" w:eastAsiaTheme="minorHAnsi" w:hAnsiTheme="minorHAnsi" w:cstheme="minorBidi"/>
          <w:lang w:eastAsia="en-US"/>
        </w:rPr>
        <w:t>,</w:t>
      </w:r>
      <w:r w:rsidRPr="0051579E">
        <w:rPr>
          <w:rFonts w:asciiTheme="minorHAnsi" w:eastAsiaTheme="minorHAnsi" w:hAnsiTheme="minorHAnsi" w:cstheme="minorBidi"/>
          <w:lang w:eastAsia="en-US"/>
        </w:rPr>
        <w:t xml:space="preserve"> répondre à l'évaluation en préparant une réponse du Management et en utilisant les constats de manière appropriée</w:t>
      </w:r>
      <w:r w:rsidR="008F2803">
        <w:rPr>
          <w:rFonts w:asciiTheme="minorHAnsi" w:eastAsiaTheme="minorHAnsi" w:hAnsiTheme="minorHAnsi" w:cstheme="minorBidi"/>
          <w:lang w:eastAsia="en-US"/>
        </w:rPr>
        <w:t xml:space="preserve">, </w:t>
      </w:r>
      <w:r w:rsidRPr="0051579E">
        <w:rPr>
          <w:rFonts w:asciiTheme="minorHAnsi" w:eastAsiaTheme="minorHAnsi" w:hAnsiTheme="minorHAnsi" w:cstheme="minorBidi"/>
          <w:lang w:eastAsia="en-US"/>
        </w:rPr>
        <w:t>être responsable et rendre compte de la qualité du processus et des produits de l’évaluation</w:t>
      </w:r>
      <w:r w:rsidR="008F2803">
        <w:rPr>
          <w:rFonts w:asciiTheme="minorHAnsi" w:eastAsiaTheme="minorHAnsi" w:hAnsiTheme="minorHAnsi" w:cstheme="minorBidi"/>
          <w:lang w:eastAsia="en-US"/>
        </w:rPr>
        <w:t xml:space="preserve"> et</w:t>
      </w:r>
      <w:r w:rsidRPr="0051579E">
        <w:rPr>
          <w:rFonts w:asciiTheme="minorHAnsi" w:eastAsiaTheme="minorHAnsi" w:hAnsiTheme="minorHAnsi" w:cstheme="minorBidi"/>
          <w:lang w:eastAsia="en-US"/>
        </w:rPr>
        <w:t xml:space="preserve"> recommander l'acceptation du rapport final du Groupe de référence.</w:t>
      </w:r>
    </w:p>
    <w:p w14:paraId="1DB8D27B" w14:textId="144769D5" w:rsidR="00081281" w:rsidRPr="0051579E" w:rsidRDefault="00081281" w:rsidP="00081281">
      <w:pPr>
        <w:shd w:val="clear" w:color="auto" w:fill="FFFFFF"/>
        <w:spacing w:after="120"/>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 xml:space="preserve">b) </w:t>
      </w:r>
      <w:r w:rsidRPr="00313B6F">
        <w:rPr>
          <w:rFonts w:asciiTheme="minorHAnsi" w:eastAsiaTheme="minorHAnsi" w:hAnsiTheme="minorHAnsi" w:cstheme="minorBidi"/>
          <w:b/>
          <w:bCs/>
          <w:lang w:eastAsia="en-US"/>
        </w:rPr>
        <w:t>Équipe d'évaluation</w:t>
      </w:r>
      <w:r w:rsidR="0051579E">
        <w:rPr>
          <w:rFonts w:asciiTheme="minorHAnsi" w:eastAsiaTheme="minorHAnsi" w:hAnsiTheme="minorHAnsi" w:cstheme="minorBidi"/>
          <w:lang w:eastAsia="en-US"/>
        </w:rPr>
        <w:t xml:space="preserve"> </w:t>
      </w:r>
      <w:r w:rsidRPr="0051579E">
        <w:rPr>
          <w:rFonts w:asciiTheme="minorHAnsi" w:eastAsiaTheme="minorHAnsi" w:hAnsiTheme="minorHAnsi" w:cstheme="minorBidi"/>
          <w:lang w:eastAsia="en-US"/>
        </w:rPr>
        <w:t>: Les consultants internation</w:t>
      </w:r>
      <w:r w:rsidR="008A08E2" w:rsidRPr="0051579E">
        <w:rPr>
          <w:rFonts w:asciiTheme="minorHAnsi" w:eastAsiaTheme="minorHAnsi" w:hAnsiTheme="minorHAnsi" w:cstheme="minorBidi"/>
          <w:lang w:eastAsia="en-US"/>
        </w:rPr>
        <w:t xml:space="preserve">al </w:t>
      </w:r>
      <w:r w:rsidRPr="0051579E">
        <w:rPr>
          <w:rFonts w:asciiTheme="minorHAnsi" w:eastAsiaTheme="minorHAnsi" w:hAnsiTheme="minorHAnsi" w:cstheme="minorBidi"/>
          <w:lang w:eastAsia="en-US"/>
        </w:rPr>
        <w:t>et nation</w:t>
      </w:r>
      <w:r w:rsidR="008A08E2" w:rsidRPr="0051579E">
        <w:rPr>
          <w:rFonts w:asciiTheme="minorHAnsi" w:eastAsiaTheme="minorHAnsi" w:hAnsiTheme="minorHAnsi" w:cstheme="minorBidi"/>
          <w:lang w:eastAsia="en-US"/>
        </w:rPr>
        <w:t>al</w:t>
      </w:r>
      <w:r w:rsidRPr="0051579E">
        <w:rPr>
          <w:rFonts w:asciiTheme="minorHAnsi" w:eastAsiaTheme="minorHAnsi" w:hAnsiTheme="minorHAnsi" w:cstheme="minorBidi"/>
          <w:lang w:eastAsia="en-US"/>
        </w:rPr>
        <w:t xml:space="preserve"> pour effectuer l'évaluation</w:t>
      </w:r>
      <w:r w:rsidR="008A08E2" w:rsidRPr="0051579E">
        <w:rPr>
          <w:rFonts w:asciiTheme="minorHAnsi" w:eastAsiaTheme="minorHAnsi" w:hAnsiTheme="minorHAnsi" w:cstheme="minorBidi"/>
          <w:lang w:eastAsia="en-US"/>
        </w:rPr>
        <w:t xml:space="preserve">, </w:t>
      </w:r>
      <w:r w:rsidRPr="0051579E">
        <w:rPr>
          <w:rFonts w:asciiTheme="minorHAnsi" w:eastAsiaTheme="minorHAnsi" w:hAnsiTheme="minorHAnsi" w:cstheme="minorBidi"/>
          <w:lang w:eastAsia="en-US"/>
        </w:rPr>
        <w:t>soumettre l’approche méthodologique, collecter et analyser les données, animer les</w:t>
      </w:r>
      <w:r w:rsidR="008A08E2" w:rsidRPr="0051579E">
        <w:rPr>
          <w:rFonts w:asciiTheme="minorHAnsi" w:eastAsiaTheme="minorHAnsi" w:hAnsiTheme="minorHAnsi" w:cstheme="minorBidi"/>
          <w:lang w:eastAsia="en-US"/>
        </w:rPr>
        <w:t xml:space="preserve"> restitutions</w:t>
      </w:r>
      <w:r w:rsidRPr="0051579E">
        <w:rPr>
          <w:rFonts w:asciiTheme="minorHAnsi" w:eastAsiaTheme="minorHAnsi" w:hAnsiTheme="minorHAnsi" w:cstheme="minorBidi"/>
          <w:lang w:eastAsia="en-US"/>
        </w:rPr>
        <w:t xml:space="preserve">, développer le projet de rapport, la présentation Power Point et le rapport final conformément aux termes de référence. </w:t>
      </w:r>
    </w:p>
    <w:p w14:paraId="566F6B8F" w14:textId="64C3D2A0" w:rsidR="00081281" w:rsidRDefault="00081281" w:rsidP="00081281">
      <w:pPr>
        <w:shd w:val="clear" w:color="auto" w:fill="FFFFFF"/>
        <w:spacing w:after="120"/>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c</w:t>
      </w:r>
      <w:r w:rsidRPr="00313B6F">
        <w:rPr>
          <w:rFonts w:asciiTheme="minorHAnsi" w:eastAsiaTheme="minorHAnsi" w:hAnsiTheme="minorHAnsi" w:cstheme="minorBidi"/>
          <w:b/>
          <w:bCs/>
          <w:lang w:eastAsia="en-US"/>
        </w:rPr>
        <w:t>) Gestionnaire de l'évaluation</w:t>
      </w:r>
      <w:r w:rsidR="0051579E">
        <w:rPr>
          <w:rFonts w:asciiTheme="minorHAnsi" w:eastAsiaTheme="minorHAnsi" w:hAnsiTheme="minorHAnsi" w:cstheme="minorBidi"/>
          <w:lang w:eastAsia="en-US"/>
        </w:rPr>
        <w:t xml:space="preserve"> </w:t>
      </w:r>
      <w:r w:rsidRPr="0051579E">
        <w:rPr>
          <w:rFonts w:asciiTheme="minorHAnsi" w:eastAsiaTheme="minorHAnsi" w:hAnsiTheme="minorHAnsi" w:cstheme="minorBidi"/>
          <w:lang w:eastAsia="en-US"/>
        </w:rPr>
        <w:t xml:space="preserve">: </w:t>
      </w:r>
      <w:r w:rsidR="00E43454" w:rsidRPr="0051579E">
        <w:rPr>
          <w:rFonts w:asciiTheme="minorHAnsi" w:eastAsiaTheme="minorHAnsi" w:hAnsiTheme="minorHAnsi" w:cstheme="minorBidi"/>
          <w:lang w:eastAsia="en-US"/>
        </w:rPr>
        <w:t xml:space="preserve">L’expert en appui au Suivi Evaluation </w:t>
      </w:r>
      <w:r w:rsidRPr="0051579E">
        <w:rPr>
          <w:rFonts w:asciiTheme="minorHAnsi" w:eastAsiaTheme="minorHAnsi" w:hAnsiTheme="minorHAnsi" w:cstheme="minorBidi"/>
          <w:lang w:eastAsia="en-US"/>
        </w:rPr>
        <w:t>pour</w:t>
      </w:r>
      <w:r w:rsidR="00E43454" w:rsidRPr="0051579E">
        <w:rPr>
          <w:rFonts w:asciiTheme="minorHAnsi" w:eastAsiaTheme="minorHAnsi" w:hAnsiTheme="minorHAnsi" w:cstheme="minorBidi"/>
          <w:lang w:eastAsia="en-US"/>
        </w:rPr>
        <w:t xml:space="preserve"> </w:t>
      </w:r>
      <w:r w:rsidRPr="0051579E">
        <w:rPr>
          <w:rFonts w:asciiTheme="minorHAnsi" w:eastAsiaTheme="minorHAnsi" w:hAnsiTheme="minorHAnsi" w:cstheme="minorBidi"/>
          <w:lang w:eastAsia="en-US"/>
        </w:rPr>
        <w:t>fournir un appui en coordination au groupe de référence</w:t>
      </w:r>
      <w:r w:rsidR="008A08E2" w:rsidRPr="0051579E">
        <w:rPr>
          <w:rFonts w:asciiTheme="minorHAnsi" w:eastAsiaTheme="minorHAnsi" w:hAnsiTheme="minorHAnsi" w:cstheme="minorBidi"/>
          <w:lang w:eastAsia="en-US"/>
        </w:rPr>
        <w:t xml:space="preserve"> et </w:t>
      </w:r>
      <w:r w:rsidRPr="0051579E">
        <w:rPr>
          <w:rFonts w:asciiTheme="minorHAnsi" w:eastAsiaTheme="minorHAnsi" w:hAnsiTheme="minorHAnsi" w:cstheme="minorBidi"/>
          <w:lang w:eastAsia="en-US"/>
        </w:rPr>
        <w:t>à l'équipe d'évaluatio</w:t>
      </w:r>
      <w:r w:rsidR="00E43454" w:rsidRPr="0051579E">
        <w:rPr>
          <w:rFonts w:asciiTheme="minorHAnsi" w:eastAsiaTheme="minorHAnsi" w:hAnsiTheme="minorHAnsi" w:cstheme="minorBidi"/>
          <w:lang w:eastAsia="en-US"/>
        </w:rPr>
        <w:t>n, f</w:t>
      </w:r>
      <w:r w:rsidRPr="0051579E">
        <w:rPr>
          <w:rFonts w:asciiTheme="minorHAnsi" w:eastAsiaTheme="minorHAnsi" w:hAnsiTheme="minorHAnsi" w:cstheme="minorBidi"/>
          <w:lang w:eastAsia="en-US"/>
        </w:rPr>
        <w:t xml:space="preserve">ournir à l'équipe d'évaluation </w:t>
      </w:r>
      <w:r w:rsidR="00E32E70">
        <w:rPr>
          <w:rFonts w:asciiTheme="minorHAnsi" w:eastAsiaTheme="minorHAnsi" w:hAnsiTheme="minorHAnsi" w:cstheme="minorBidi"/>
          <w:lang w:eastAsia="en-US"/>
        </w:rPr>
        <w:t xml:space="preserve">un appui </w:t>
      </w:r>
      <w:r w:rsidRPr="0051579E">
        <w:rPr>
          <w:rFonts w:asciiTheme="minorHAnsi" w:eastAsiaTheme="minorHAnsi" w:hAnsiTheme="minorHAnsi" w:cstheme="minorBidi"/>
          <w:lang w:eastAsia="en-US"/>
        </w:rPr>
        <w:t>administrati</w:t>
      </w:r>
      <w:r w:rsidR="00CC69F0">
        <w:rPr>
          <w:rFonts w:asciiTheme="minorHAnsi" w:eastAsiaTheme="minorHAnsi" w:hAnsiTheme="minorHAnsi" w:cstheme="minorBidi"/>
          <w:lang w:eastAsia="en-US"/>
        </w:rPr>
        <w:t>f,</w:t>
      </w:r>
      <w:r w:rsidRPr="0051579E">
        <w:rPr>
          <w:rFonts w:asciiTheme="minorHAnsi" w:eastAsiaTheme="minorHAnsi" w:hAnsiTheme="minorHAnsi" w:cstheme="minorBidi"/>
          <w:lang w:eastAsia="en-US"/>
        </w:rPr>
        <w:t xml:space="preserve"> les informations et données requises</w:t>
      </w:r>
      <w:r w:rsidR="00E43454" w:rsidRPr="0051579E">
        <w:rPr>
          <w:rFonts w:asciiTheme="minorHAnsi" w:eastAsiaTheme="minorHAnsi" w:hAnsiTheme="minorHAnsi" w:cstheme="minorBidi"/>
          <w:lang w:eastAsia="en-US"/>
        </w:rPr>
        <w:t>, a</w:t>
      </w:r>
      <w:r w:rsidRPr="0051579E">
        <w:rPr>
          <w:rFonts w:asciiTheme="minorHAnsi" w:eastAsiaTheme="minorHAnsi" w:hAnsiTheme="minorHAnsi" w:cstheme="minorBidi"/>
          <w:lang w:eastAsia="en-US"/>
        </w:rPr>
        <w:t>nalyser le document d’approche méthodologique et les rapports d'évaluation pour s’assurer que la version finale répond aux standards de qualité.</w:t>
      </w:r>
    </w:p>
    <w:p w14:paraId="502B4FE3" w14:textId="179C829B" w:rsidR="0051579E" w:rsidRDefault="00081281" w:rsidP="00AB773F">
      <w:pPr>
        <w:shd w:val="clear" w:color="auto" w:fill="FFFFFF"/>
        <w:spacing w:after="120"/>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 xml:space="preserve">d) </w:t>
      </w:r>
      <w:r w:rsidRPr="00313B6F">
        <w:rPr>
          <w:rFonts w:asciiTheme="minorHAnsi" w:eastAsiaTheme="minorHAnsi" w:hAnsiTheme="minorHAnsi" w:cstheme="minorBidi"/>
          <w:b/>
          <w:bCs/>
          <w:lang w:eastAsia="en-US"/>
        </w:rPr>
        <w:t>Groupe de référence</w:t>
      </w:r>
      <w:r w:rsidRPr="0051579E">
        <w:rPr>
          <w:rFonts w:asciiTheme="minorHAnsi" w:eastAsiaTheme="minorHAnsi" w:hAnsiTheme="minorHAnsi" w:cstheme="minorBidi"/>
          <w:lang w:eastAsia="en-US"/>
        </w:rPr>
        <w:t xml:space="preserve"> : </w:t>
      </w:r>
      <w:r w:rsidR="008A08E2" w:rsidRPr="0051579E">
        <w:rPr>
          <w:rFonts w:asciiTheme="minorHAnsi" w:eastAsiaTheme="minorHAnsi" w:hAnsiTheme="minorHAnsi" w:cstheme="minorBidi"/>
          <w:lang w:eastAsia="en-US"/>
        </w:rPr>
        <w:t>Pour faciliter le processus d’évaluation, un groupe de référence PNUD-Gouvernement sera mis en place et sera composé du Représentant Résident Adjoint, de</w:t>
      </w:r>
      <w:r w:rsidR="00E43454" w:rsidRPr="0051579E">
        <w:rPr>
          <w:rFonts w:asciiTheme="minorHAnsi" w:eastAsiaTheme="minorHAnsi" w:hAnsiTheme="minorHAnsi" w:cstheme="minorBidi"/>
          <w:lang w:eastAsia="en-US"/>
        </w:rPr>
        <w:t>s E</w:t>
      </w:r>
      <w:r w:rsidR="008A08E2" w:rsidRPr="0051579E">
        <w:rPr>
          <w:rFonts w:asciiTheme="minorHAnsi" w:eastAsiaTheme="minorHAnsi" w:hAnsiTheme="minorHAnsi" w:cstheme="minorBidi"/>
          <w:lang w:eastAsia="en-US"/>
        </w:rPr>
        <w:t>conomiste</w:t>
      </w:r>
      <w:r w:rsidR="00E43454" w:rsidRPr="0051579E">
        <w:rPr>
          <w:rFonts w:asciiTheme="minorHAnsi" w:eastAsiaTheme="minorHAnsi" w:hAnsiTheme="minorHAnsi" w:cstheme="minorBidi"/>
          <w:lang w:eastAsia="en-US"/>
        </w:rPr>
        <w:t>s</w:t>
      </w:r>
      <w:r w:rsidR="00BC1256">
        <w:rPr>
          <w:rFonts w:asciiTheme="minorHAnsi" w:eastAsiaTheme="minorHAnsi" w:hAnsiTheme="minorHAnsi" w:cstheme="minorBidi"/>
          <w:lang w:eastAsia="en-US"/>
        </w:rPr>
        <w:t>,</w:t>
      </w:r>
      <w:r w:rsidR="00E43454" w:rsidRPr="0051579E">
        <w:rPr>
          <w:rFonts w:asciiTheme="minorHAnsi" w:eastAsiaTheme="minorHAnsi" w:hAnsiTheme="minorHAnsi" w:cstheme="minorBidi"/>
          <w:lang w:eastAsia="en-US"/>
        </w:rPr>
        <w:t xml:space="preserve"> </w:t>
      </w:r>
      <w:r w:rsidR="008A08E2" w:rsidRPr="0051579E">
        <w:rPr>
          <w:rFonts w:asciiTheme="minorHAnsi" w:eastAsiaTheme="minorHAnsi" w:hAnsiTheme="minorHAnsi" w:cstheme="minorBidi"/>
          <w:lang w:eastAsia="en-US"/>
        </w:rPr>
        <w:t xml:space="preserve">des Team Leaders, </w:t>
      </w:r>
      <w:r w:rsidR="00AB773F" w:rsidRPr="0051579E">
        <w:rPr>
          <w:rFonts w:asciiTheme="minorHAnsi" w:eastAsiaTheme="minorHAnsi" w:hAnsiTheme="minorHAnsi" w:cstheme="minorBidi"/>
          <w:lang w:eastAsia="en-US"/>
        </w:rPr>
        <w:t>l’Expert en appui au Suivi Evaluation</w:t>
      </w:r>
      <w:r w:rsidR="008A08E2" w:rsidRPr="0051579E">
        <w:rPr>
          <w:rFonts w:asciiTheme="minorHAnsi" w:eastAsiaTheme="minorHAnsi" w:hAnsiTheme="minorHAnsi" w:cstheme="minorBidi"/>
          <w:lang w:eastAsia="en-US"/>
        </w:rPr>
        <w:t>, de la chargée de communication</w:t>
      </w:r>
      <w:r w:rsidR="00BC1256">
        <w:rPr>
          <w:rFonts w:asciiTheme="minorHAnsi" w:eastAsiaTheme="minorHAnsi" w:hAnsiTheme="minorHAnsi" w:cstheme="minorBidi"/>
          <w:lang w:eastAsia="en-US"/>
        </w:rPr>
        <w:t xml:space="preserve"> du PNUD ainsi que d’un Représentant de la Direction de la Coopération Multilatérale.</w:t>
      </w:r>
      <w:r w:rsidR="00AB773F" w:rsidRPr="0051579E">
        <w:rPr>
          <w:rFonts w:asciiTheme="minorHAnsi" w:eastAsiaTheme="minorHAnsi" w:hAnsiTheme="minorHAnsi" w:cstheme="minorBidi"/>
          <w:lang w:eastAsia="en-US"/>
        </w:rPr>
        <w:t xml:space="preserve"> </w:t>
      </w:r>
      <w:r w:rsidR="00D517D9" w:rsidRPr="0051579E">
        <w:rPr>
          <w:rFonts w:asciiTheme="minorHAnsi" w:eastAsiaTheme="minorHAnsi" w:hAnsiTheme="minorHAnsi" w:cstheme="minorBidi"/>
          <w:lang w:eastAsia="en-US"/>
        </w:rPr>
        <w:t xml:space="preserve">Le groupe de référence validera le rapport initial de l’équipe d’évaluation. Il aidera à identifier les partenaires clés à interviewer par l’équipe d’évaluation. Toutefois l’évaluation sera pleinement indépendante et l’équipe d’évaluation va déterminer en toute flexibilité la meilleure approche dans la collecte et l’analyse des données pour l’évaluation. Le groupe de référence va aider à mettre en relation l’équipe d’évaluation avec les </w:t>
      </w:r>
      <w:r w:rsidR="00AB773F" w:rsidRPr="0051579E">
        <w:rPr>
          <w:rFonts w:asciiTheme="minorHAnsi" w:eastAsiaTheme="minorHAnsi" w:hAnsiTheme="minorHAnsi" w:cstheme="minorBidi"/>
          <w:lang w:eastAsia="en-US"/>
        </w:rPr>
        <w:t>personnes ressources interne au PNUD</w:t>
      </w:r>
      <w:r w:rsidR="00D517D9" w:rsidRPr="0051579E">
        <w:rPr>
          <w:rFonts w:asciiTheme="minorHAnsi" w:eastAsiaTheme="minorHAnsi" w:hAnsiTheme="minorHAnsi" w:cstheme="minorBidi"/>
          <w:lang w:eastAsia="en-US"/>
        </w:rPr>
        <w:t xml:space="preserve">, les autorités nationales à divers niveaux, les équipes de projets et les principales parties prenantes. De plus, ce groupe va apporter un appui substantif et logistique à l’équipe d’évaluation, et assurer un processus participatif de l’évaluation et les commentaires sur le rapport. </w:t>
      </w:r>
    </w:p>
    <w:p w14:paraId="6767BE50" w14:textId="77777777" w:rsidR="00C97404" w:rsidRDefault="00C97404" w:rsidP="00AB773F">
      <w:pPr>
        <w:shd w:val="clear" w:color="auto" w:fill="FFFFFF"/>
        <w:spacing w:after="120"/>
        <w:jc w:val="both"/>
        <w:rPr>
          <w:rFonts w:asciiTheme="minorHAnsi" w:eastAsiaTheme="minorHAnsi" w:hAnsiTheme="minorHAnsi" w:cstheme="minorBidi"/>
          <w:lang w:eastAsia="en-US"/>
        </w:rPr>
      </w:pPr>
    </w:p>
    <w:p w14:paraId="0286953B" w14:textId="0F8CCBD9" w:rsidR="00AB773F" w:rsidRPr="0051579E" w:rsidRDefault="00562B8A" w:rsidP="001A2A80">
      <w:pPr>
        <w:pStyle w:val="Paragraphedeliste"/>
        <w:numPr>
          <w:ilvl w:val="0"/>
          <w:numId w:val="6"/>
        </w:numPr>
        <w:shd w:val="clear" w:color="auto" w:fill="FFFFFF"/>
        <w:spacing w:after="0" w:line="240" w:lineRule="auto"/>
        <w:rPr>
          <w:b/>
          <w:bCs/>
        </w:rPr>
      </w:pPr>
      <w:r w:rsidRPr="0051579E">
        <w:rPr>
          <w:b/>
          <w:bCs/>
        </w:rPr>
        <w:t>Chronogramme du processus d’évaluati</w:t>
      </w:r>
      <w:r w:rsidR="00AB773F" w:rsidRPr="0051579E">
        <w:rPr>
          <w:b/>
          <w:bCs/>
        </w:rPr>
        <w:t xml:space="preserve">on </w:t>
      </w:r>
    </w:p>
    <w:p w14:paraId="63611229" w14:textId="77777777" w:rsidR="0051579E" w:rsidRDefault="0051579E" w:rsidP="00AB773F">
      <w:pPr>
        <w:shd w:val="clear" w:color="auto" w:fill="FFFFFF"/>
        <w:spacing w:after="120"/>
        <w:jc w:val="both"/>
        <w:rPr>
          <w:rFonts w:asciiTheme="minorHAnsi" w:eastAsiaTheme="minorHAnsi" w:hAnsiTheme="minorHAnsi" w:cstheme="minorBidi"/>
          <w:lang w:eastAsia="en-US"/>
        </w:rPr>
      </w:pPr>
    </w:p>
    <w:p w14:paraId="296D234E" w14:textId="589EE918" w:rsidR="00562B8A" w:rsidRPr="0051579E" w:rsidRDefault="00562B8A" w:rsidP="00AB773F">
      <w:pPr>
        <w:shd w:val="clear" w:color="auto" w:fill="FFFFFF"/>
        <w:spacing w:after="120"/>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La durée d’exécution de cette évaluation est de 35 jours ouvrés répartis sur 08 semaines.</w:t>
      </w:r>
    </w:p>
    <w:p w14:paraId="2E3771B9" w14:textId="7FDB4565" w:rsidR="00562B8A" w:rsidRPr="0051579E" w:rsidRDefault="00562B8A" w:rsidP="00AB773F">
      <w:pPr>
        <w:spacing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Le calendrier indicatif d’exécution se présente comme suit :</w:t>
      </w:r>
    </w:p>
    <w:tbl>
      <w:tblPr>
        <w:tblStyle w:val="Grilledutableau"/>
        <w:tblW w:w="9918" w:type="dxa"/>
        <w:jc w:val="center"/>
        <w:tblLook w:val="04A0" w:firstRow="1" w:lastRow="0" w:firstColumn="1" w:lastColumn="0" w:noHBand="0" w:noVBand="1"/>
      </w:tblPr>
      <w:tblGrid>
        <w:gridCol w:w="2284"/>
        <w:gridCol w:w="1425"/>
        <w:gridCol w:w="3941"/>
        <w:gridCol w:w="2268"/>
      </w:tblGrid>
      <w:tr w:rsidR="00D73449" w:rsidRPr="0051579E" w14:paraId="78AFAD5A" w14:textId="77777777" w:rsidTr="0051579E">
        <w:trPr>
          <w:jc w:val="center"/>
        </w:trPr>
        <w:tc>
          <w:tcPr>
            <w:tcW w:w="2284" w:type="dxa"/>
          </w:tcPr>
          <w:p w14:paraId="48BFE98B" w14:textId="77777777" w:rsidR="00D73449" w:rsidRPr="0051579E" w:rsidRDefault="00D73449" w:rsidP="001C024B">
            <w:pPr>
              <w:autoSpaceDE w:val="0"/>
              <w:autoSpaceDN w:val="0"/>
              <w:adjustRightInd w:val="0"/>
              <w:spacing w:after="0" w:line="240" w:lineRule="auto"/>
              <w:jc w:val="center"/>
              <w:rPr>
                <w:rFonts w:asciiTheme="minorHAnsi" w:eastAsiaTheme="minorHAnsi" w:hAnsiTheme="minorHAnsi" w:cstheme="minorBidi"/>
                <w:lang w:eastAsia="en-US"/>
              </w:rPr>
            </w:pPr>
            <w:r w:rsidRPr="0051579E">
              <w:rPr>
                <w:rFonts w:asciiTheme="minorHAnsi" w:eastAsiaTheme="minorHAnsi" w:hAnsiTheme="minorHAnsi" w:cstheme="minorBidi"/>
                <w:lang w:eastAsia="en-US"/>
              </w:rPr>
              <w:t>Etapes</w:t>
            </w:r>
          </w:p>
        </w:tc>
        <w:tc>
          <w:tcPr>
            <w:tcW w:w="1425" w:type="dxa"/>
          </w:tcPr>
          <w:p w14:paraId="056F5D61" w14:textId="77777777" w:rsidR="00D73449" w:rsidRPr="0051579E" w:rsidRDefault="00D73449" w:rsidP="001C024B">
            <w:pPr>
              <w:autoSpaceDE w:val="0"/>
              <w:autoSpaceDN w:val="0"/>
              <w:adjustRightInd w:val="0"/>
              <w:spacing w:after="0" w:line="240" w:lineRule="auto"/>
              <w:jc w:val="center"/>
              <w:rPr>
                <w:rFonts w:asciiTheme="minorHAnsi" w:eastAsiaTheme="minorHAnsi" w:hAnsiTheme="minorHAnsi" w:cstheme="minorBidi"/>
                <w:lang w:eastAsia="en-US"/>
              </w:rPr>
            </w:pPr>
            <w:r w:rsidRPr="0051579E">
              <w:rPr>
                <w:rFonts w:asciiTheme="minorHAnsi" w:eastAsiaTheme="minorHAnsi" w:hAnsiTheme="minorHAnsi" w:cstheme="minorBidi"/>
                <w:lang w:eastAsia="en-US"/>
              </w:rPr>
              <w:t>Délai</w:t>
            </w:r>
          </w:p>
        </w:tc>
        <w:tc>
          <w:tcPr>
            <w:tcW w:w="3941" w:type="dxa"/>
          </w:tcPr>
          <w:p w14:paraId="1C5E0A96" w14:textId="77777777" w:rsidR="00D73449" w:rsidRPr="0051579E" w:rsidRDefault="00D73449" w:rsidP="001C024B">
            <w:pPr>
              <w:autoSpaceDE w:val="0"/>
              <w:autoSpaceDN w:val="0"/>
              <w:adjustRightInd w:val="0"/>
              <w:spacing w:after="0" w:line="240" w:lineRule="auto"/>
              <w:jc w:val="center"/>
              <w:rPr>
                <w:rFonts w:asciiTheme="minorHAnsi" w:eastAsiaTheme="minorHAnsi" w:hAnsiTheme="minorHAnsi" w:cstheme="minorBidi"/>
                <w:lang w:eastAsia="en-US"/>
              </w:rPr>
            </w:pPr>
            <w:r w:rsidRPr="0051579E">
              <w:rPr>
                <w:rFonts w:asciiTheme="minorHAnsi" w:eastAsiaTheme="minorHAnsi" w:hAnsiTheme="minorHAnsi" w:cstheme="minorBidi"/>
                <w:lang w:eastAsia="en-US"/>
              </w:rPr>
              <w:t>Livrables</w:t>
            </w:r>
          </w:p>
        </w:tc>
        <w:tc>
          <w:tcPr>
            <w:tcW w:w="2268" w:type="dxa"/>
          </w:tcPr>
          <w:p w14:paraId="5C490773" w14:textId="77777777" w:rsidR="00D73449" w:rsidRPr="0051579E" w:rsidRDefault="00D73449" w:rsidP="001C024B">
            <w:pPr>
              <w:autoSpaceDE w:val="0"/>
              <w:autoSpaceDN w:val="0"/>
              <w:adjustRightInd w:val="0"/>
              <w:spacing w:after="0" w:line="240" w:lineRule="auto"/>
              <w:jc w:val="center"/>
              <w:rPr>
                <w:rFonts w:asciiTheme="minorHAnsi" w:eastAsiaTheme="minorHAnsi" w:hAnsiTheme="minorHAnsi" w:cstheme="minorBidi"/>
                <w:lang w:eastAsia="en-US"/>
              </w:rPr>
            </w:pPr>
            <w:r w:rsidRPr="0051579E">
              <w:rPr>
                <w:rFonts w:asciiTheme="minorHAnsi" w:eastAsiaTheme="minorHAnsi" w:hAnsiTheme="minorHAnsi" w:cstheme="minorBidi"/>
                <w:lang w:eastAsia="en-US"/>
              </w:rPr>
              <w:t>Entité impliquée</w:t>
            </w:r>
          </w:p>
        </w:tc>
      </w:tr>
      <w:tr w:rsidR="00D73449" w:rsidRPr="0051579E" w14:paraId="2AA5914B" w14:textId="77777777" w:rsidTr="00BB6C37">
        <w:trPr>
          <w:trHeight w:val="1702"/>
          <w:jc w:val="center"/>
        </w:trPr>
        <w:tc>
          <w:tcPr>
            <w:tcW w:w="2284" w:type="dxa"/>
          </w:tcPr>
          <w:p w14:paraId="21D06B49" w14:textId="77777777" w:rsidR="00CC69F0"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 xml:space="preserve">Étape 1 : </w:t>
            </w:r>
            <w:r w:rsidR="00CC69F0">
              <w:rPr>
                <w:rFonts w:asciiTheme="minorHAnsi" w:eastAsiaTheme="minorHAnsi" w:hAnsiTheme="minorHAnsi" w:cstheme="minorBidi"/>
                <w:lang w:eastAsia="en-US"/>
              </w:rPr>
              <w:t xml:space="preserve">Rencontre d’harmonisation avec le PNUD </w:t>
            </w:r>
          </w:p>
          <w:p w14:paraId="069A4917" w14:textId="7E6FCB1F"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Examen documentaire et rapport de démarrage</w:t>
            </w:r>
          </w:p>
        </w:tc>
        <w:tc>
          <w:tcPr>
            <w:tcW w:w="1425" w:type="dxa"/>
          </w:tcPr>
          <w:p w14:paraId="67F2A057" w14:textId="77777777"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7 jours</w:t>
            </w:r>
          </w:p>
        </w:tc>
        <w:tc>
          <w:tcPr>
            <w:tcW w:w="3941" w:type="dxa"/>
          </w:tcPr>
          <w:p w14:paraId="61FE1128" w14:textId="1B8F5AAC"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 xml:space="preserve">Présentation et finalisation du rapport initial de l’évaluation </w:t>
            </w:r>
            <w:r w:rsidR="0051579E" w:rsidRPr="0051579E">
              <w:rPr>
                <w:rFonts w:asciiTheme="minorHAnsi" w:eastAsiaTheme="minorHAnsi" w:hAnsiTheme="minorHAnsi" w:cstheme="minorBidi"/>
                <w:lang w:eastAsia="en-US"/>
              </w:rPr>
              <w:t>(P</w:t>
            </w:r>
            <w:r w:rsidRPr="0051579E">
              <w:rPr>
                <w:rFonts w:asciiTheme="minorHAnsi" w:eastAsiaTheme="minorHAnsi" w:hAnsiTheme="minorHAnsi" w:cstheme="minorBidi"/>
                <w:lang w:eastAsia="en-US"/>
              </w:rPr>
              <w:t>roduit 1) par le chef de l'équipe d'évaluatio</w:t>
            </w:r>
            <w:r w:rsidR="00AB773F" w:rsidRPr="0051579E">
              <w:rPr>
                <w:rFonts w:asciiTheme="minorHAnsi" w:eastAsiaTheme="minorHAnsi" w:hAnsiTheme="minorHAnsi" w:cstheme="minorBidi"/>
                <w:lang w:eastAsia="en-US"/>
              </w:rPr>
              <w:t>n. L</w:t>
            </w:r>
            <w:r w:rsidRPr="0051579E">
              <w:rPr>
                <w:rFonts w:asciiTheme="minorHAnsi" w:eastAsiaTheme="minorHAnsi" w:hAnsiTheme="minorHAnsi" w:cstheme="minorBidi"/>
                <w:lang w:eastAsia="en-US"/>
              </w:rPr>
              <w:t>es observations doivent être intégrées pour la production de la version finale du rapport initial.</w:t>
            </w:r>
          </w:p>
        </w:tc>
        <w:tc>
          <w:tcPr>
            <w:tcW w:w="2268" w:type="dxa"/>
          </w:tcPr>
          <w:p w14:paraId="39A13D92" w14:textId="28010387" w:rsidR="00AB773F" w:rsidRPr="0051579E" w:rsidRDefault="00AB773F"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Equipe d’Evaluation</w:t>
            </w:r>
          </w:p>
          <w:p w14:paraId="02DDE903" w14:textId="4F3B866F" w:rsidR="00AB773F" w:rsidRPr="0051579E" w:rsidRDefault="00AB773F"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 xml:space="preserve">Commanditaires </w:t>
            </w:r>
            <w:r w:rsidR="00D73449" w:rsidRPr="0051579E">
              <w:rPr>
                <w:rFonts w:asciiTheme="minorHAnsi" w:eastAsiaTheme="minorHAnsi" w:hAnsiTheme="minorHAnsi" w:cstheme="minorBidi"/>
                <w:lang w:eastAsia="en-US"/>
              </w:rPr>
              <w:t>de l’évaluation</w:t>
            </w:r>
          </w:p>
          <w:p w14:paraId="6851F15E" w14:textId="77777777"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Groupe de référence</w:t>
            </w:r>
          </w:p>
        </w:tc>
      </w:tr>
      <w:tr w:rsidR="00D73449" w:rsidRPr="0051579E" w14:paraId="6779DF85" w14:textId="77777777" w:rsidTr="0051579E">
        <w:trPr>
          <w:jc w:val="center"/>
        </w:trPr>
        <w:tc>
          <w:tcPr>
            <w:tcW w:w="2284" w:type="dxa"/>
          </w:tcPr>
          <w:p w14:paraId="2CC3C489" w14:textId="7B1F29A4"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Étape 2 : Mission de collecte</w:t>
            </w:r>
            <w:r w:rsidR="00CC69F0">
              <w:rPr>
                <w:rFonts w:asciiTheme="minorHAnsi" w:eastAsiaTheme="minorHAnsi" w:hAnsiTheme="minorHAnsi" w:cstheme="minorBidi"/>
                <w:lang w:eastAsia="en-US"/>
              </w:rPr>
              <w:t xml:space="preserve"> et d’analyse</w:t>
            </w:r>
            <w:r w:rsidRPr="0051579E">
              <w:rPr>
                <w:rFonts w:asciiTheme="minorHAnsi" w:eastAsiaTheme="minorHAnsi" w:hAnsiTheme="minorHAnsi" w:cstheme="minorBidi"/>
                <w:lang w:eastAsia="en-US"/>
              </w:rPr>
              <w:t xml:space="preserve"> des données</w:t>
            </w:r>
          </w:p>
        </w:tc>
        <w:tc>
          <w:tcPr>
            <w:tcW w:w="1425" w:type="dxa"/>
          </w:tcPr>
          <w:p w14:paraId="6D5790E3" w14:textId="6403E5C6"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15 jours</w:t>
            </w:r>
          </w:p>
        </w:tc>
        <w:tc>
          <w:tcPr>
            <w:tcW w:w="3941" w:type="dxa"/>
          </w:tcPr>
          <w:p w14:paraId="611D2152" w14:textId="659635D9"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Mission de collecte des données et préparation des premiers résultats sur la base des données collectées et des informations analytiques</w:t>
            </w:r>
          </w:p>
        </w:tc>
        <w:tc>
          <w:tcPr>
            <w:tcW w:w="2268" w:type="dxa"/>
          </w:tcPr>
          <w:p w14:paraId="1038A0B4" w14:textId="40196448" w:rsidR="00D73449" w:rsidRPr="0051579E" w:rsidRDefault="00AB773F"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Equipe d’Evaluation</w:t>
            </w:r>
          </w:p>
        </w:tc>
      </w:tr>
      <w:tr w:rsidR="00D73449" w:rsidRPr="0051579E" w14:paraId="1DF69746" w14:textId="77777777" w:rsidTr="0051579E">
        <w:trPr>
          <w:jc w:val="center"/>
        </w:trPr>
        <w:tc>
          <w:tcPr>
            <w:tcW w:w="2284" w:type="dxa"/>
          </w:tcPr>
          <w:p w14:paraId="4980F21E" w14:textId="77777777"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Etape 3 : Préparation et soumission au PNUD du premier draft du rapport d’évaluation pour commentaires et contributions</w:t>
            </w:r>
          </w:p>
        </w:tc>
        <w:tc>
          <w:tcPr>
            <w:tcW w:w="1425" w:type="dxa"/>
          </w:tcPr>
          <w:p w14:paraId="72D54BF3" w14:textId="77777777"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5 jours</w:t>
            </w:r>
          </w:p>
        </w:tc>
        <w:tc>
          <w:tcPr>
            <w:tcW w:w="3941" w:type="dxa"/>
          </w:tcPr>
          <w:p w14:paraId="1552C407" w14:textId="7F632400" w:rsidR="00D73449" w:rsidRPr="0051579E" w:rsidRDefault="009B0690"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D</w:t>
            </w:r>
            <w:r w:rsidR="00D73449" w:rsidRPr="0051579E">
              <w:rPr>
                <w:rFonts w:asciiTheme="minorHAnsi" w:eastAsiaTheme="minorHAnsi" w:hAnsiTheme="minorHAnsi" w:cstheme="minorBidi"/>
                <w:lang w:eastAsia="en-US"/>
              </w:rPr>
              <w:t>raft du rapport d’évaluation</w:t>
            </w:r>
            <w:r w:rsidRPr="0051579E">
              <w:rPr>
                <w:rFonts w:asciiTheme="minorHAnsi" w:eastAsiaTheme="minorHAnsi" w:hAnsiTheme="minorHAnsi" w:cstheme="minorBidi"/>
                <w:lang w:eastAsia="en-US"/>
              </w:rPr>
              <w:t xml:space="preserve"> </w:t>
            </w:r>
            <w:r w:rsidR="0051579E">
              <w:rPr>
                <w:rFonts w:asciiTheme="minorHAnsi" w:eastAsiaTheme="minorHAnsi" w:hAnsiTheme="minorHAnsi" w:cstheme="minorBidi"/>
                <w:lang w:eastAsia="en-US"/>
              </w:rPr>
              <w:t>(Produit 2)</w:t>
            </w:r>
          </w:p>
          <w:p w14:paraId="7BCFAE6C" w14:textId="44A17949" w:rsidR="009B0690" w:rsidRPr="0051579E" w:rsidRDefault="009B0690" w:rsidP="001C024B">
            <w:pPr>
              <w:autoSpaceDE w:val="0"/>
              <w:autoSpaceDN w:val="0"/>
              <w:adjustRightInd w:val="0"/>
              <w:spacing w:after="0" w:line="240" w:lineRule="auto"/>
              <w:jc w:val="both"/>
              <w:rPr>
                <w:rFonts w:asciiTheme="minorHAnsi" w:eastAsiaTheme="minorHAnsi" w:hAnsiTheme="minorHAnsi" w:cstheme="minorBidi"/>
                <w:lang w:eastAsia="en-US"/>
              </w:rPr>
            </w:pPr>
          </w:p>
        </w:tc>
        <w:tc>
          <w:tcPr>
            <w:tcW w:w="2268" w:type="dxa"/>
          </w:tcPr>
          <w:p w14:paraId="7CAFB897" w14:textId="77777777" w:rsidR="00AB773F" w:rsidRPr="0051579E" w:rsidRDefault="00AB773F"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Equipe d’Evaluation</w:t>
            </w:r>
          </w:p>
          <w:p w14:paraId="5DF86990" w14:textId="2FDCE80C" w:rsidR="00D73449" w:rsidRPr="0051579E" w:rsidRDefault="00D73449" w:rsidP="001C024B">
            <w:pPr>
              <w:autoSpaceDE w:val="0"/>
              <w:autoSpaceDN w:val="0"/>
              <w:adjustRightInd w:val="0"/>
              <w:spacing w:after="0" w:line="240" w:lineRule="auto"/>
              <w:jc w:val="both"/>
              <w:rPr>
                <w:rFonts w:asciiTheme="minorHAnsi" w:eastAsiaTheme="minorHAnsi" w:hAnsiTheme="minorHAnsi" w:cstheme="minorBidi"/>
                <w:lang w:eastAsia="en-US"/>
              </w:rPr>
            </w:pPr>
          </w:p>
        </w:tc>
      </w:tr>
      <w:tr w:rsidR="00AD51A4" w:rsidRPr="0051579E" w14:paraId="6FCA96D4" w14:textId="77777777" w:rsidTr="0051579E">
        <w:trPr>
          <w:jc w:val="center"/>
        </w:trPr>
        <w:tc>
          <w:tcPr>
            <w:tcW w:w="2284" w:type="dxa"/>
          </w:tcPr>
          <w:p w14:paraId="181629BB" w14:textId="555C78CA"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Etape 4 : Réunion des parties prenantes pour examen et validation du rapport provisoire</w:t>
            </w:r>
          </w:p>
        </w:tc>
        <w:tc>
          <w:tcPr>
            <w:tcW w:w="1425" w:type="dxa"/>
          </w:tcPr>
          <w:p w14:paraId="254BA17C" w14:textId="77777777"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1 jour</w:t>
            </w:r>
          </w:p>
        </w:tc>
        <w:tc>
          <w:tcPr>
            <w:tcW w:w="3941" w:type="dxa"/>
          </w:tcPr>
          <w:p w14:paraId="7C1D531C" w14:textId="77777777"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Draft du rapport d’évaluation</w:t>
            </w:r>
          </w:p>
          <w:p w14:paraId="617ECE83" w14:textId="2730EBCD"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Présentation PowerPoint des principales conclusions et recommandations (par le chef d’équipe senior) à la réunion de restitution (Produit N°3).</w:t>
            </w:r>
          </w:p>
        </w:tc>
        <w:tc>
          <w:tcPr>
            <w:tcW w:w="2268" w:type="dxa"/>
          </w:tcPr>
          <w:p w14:paraId="450355C4" w14:textId="77777777"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Equipe d’Evaluation</w:t>
            </w:r>
          </w:p>
          <w:p w14:paraId="2BFE0F8E" w14:textId="77777777"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Commanditaires de l’évaluation</w:t>
            </w:r>
          </w:p>
          <w:p w14:paraId="59716F60" w14:textId="4CA77BC6"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Groupe de référence</w:t>
            </w:r>
          </w:p>
        </w:tc>
      </w:tr>
      <w:tr w:rsidR="00AD51A4" w:rsidRPr="0051579E" w14:paraId="4ADE9576" w14:textId="77777777" w:rsidTr="0051579E">
        <w:trPr>
          <w:jc w:val="center"/>
        </w:trPr>
        <w:tc>
          <w:tcPr>
            <w:tcW w:w="2284" w:type="dxa"/>
          </w:tcPr>
          <w:p w14:paraId="4A0944DE" w14:textId="77777777"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Etape 5 : Finalisation et soumission du rapport final sur la base des commentaires reçus</w:t>
            </w:r>
          </w:p>
        </w:tc>
        <w:tc>
          <w:tcPr>
            <w:tcW w:w="1425" w:type="dxa"/>
          </w:tcPr>
          <w:p w14:paraId="60A3CA3E" w14:textId="77777777"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6 jours</w:t>
            </w:r>
          </w:p>
        </w:tc>
        <w:tc>
          <w:tcPr>
            <w:tcW w:w="3941" w:type="dxa"/>
          </w:tcPr>
          <w:p w14:paraId="240E89BD" w14:textId="0347760C"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Piste d’audi</w:t>
            </w:r>
            <w:r w:rsidR="0051579E">
              <w:rPr>
                <w:rFonts w:asciiTheme="minorHAnsi" w:eastAsiaTheme="minorHAnsi" w:hAnsiTheme="minorHAnsi" w:cstheme="minorBidi"/>
                <w:lang w:eastAsia="en-US"/>
              </w:rPr>
              <w:t>t (Produit 4) et Rapport final (Produit 5)</w:t>
            </w:r>
          </w:p>
        </w:tc>
        <w:tc>
          <w:tcPr>
            <w:tcW w:w="2268" w:type="dxa"/>
          </w:tcPr>
          <w:p w14:paraId="7453FA1F" w14:textId="77777777" w:rsidR="0051579E" w:rsidRPr="0051579E" w:rsidRDefault="0051579E" w:rsidP="001C024B">
            <w:pPr>
              <w:autoSpaceDE w:val="0"/>
              <w:autoSpaceDN w:val="0"/>
              <w:adjustRightInd w:val="0"/>
              <w:spacing w:after="0" w:line="240" w:lineRule="auto"/>
              <w:jc w:val="both"/>
              <w:rPr>
                <w:rFonts w:asciiTheme="minorHAnsi" w:eastAsiaTheme="minorHAnsi" w:hAnsiTheme="minorHAnsi" w:cstheme="minorBidi"/>
                <w:lang w:eastAsia="en-US"/>
              </w:rPr>
            </w:pPr>
            <w:r w:rsidRPr="0051579E">
              <w:rPr>
                <w:rFonts w:asciiTheme="minorHAnsi" w:eastAsiaTheme="minorHAnsi" w:hAnsiTheme="minorHAnsi" w:cstheme="minorBidi"/>
                <w:lang w:eastAsia="en-US"/>
              </w:rPr>
              <w:t>Equipe d’Evaluation</w:t>
            </w:r>
          </w:p>
          <w:p w14:paraId="559EDF05" w14:textId="77777777" w:rsidR="00AD51A4" w:rsidRPr="0051579E" w:rsidRDefault="00AD51A4" w:rsidP="001C024B">
            <w:pPr>
              <w:autoSpaceDE w:val="0"/>
              <w:autoSpaceDN w:val="0"/>
              <w:adjustRightInd w:val="0"/>
              <w:spacing w:after="0" w:line="240" w:lineRule="auto"/>
              <w:jc w:val="both"/>
              <w:rPr>
                <w:rFonts w:asciiTheme="minorHAnsi" w:eastAsiaTheme="minorHAnsi" w:hAnsiTheme="minorHAnsi" w:cstheme="minorBidi"/>
                <w:lang w:eastAsia="en-US"/>
              </w:rPr>
            </w:pPr>
          </w:p>
        </w:tc>
      </w:tr>
    </w:tbl>
    <w:p w14:paraId="4C010EA0" w14:textId="77777777" w:rsidR="009B0690" w:rsidRDefault="009B0690" w:rsidP="009B0690">
      <w:pPr>
        <w:shd w:val="clear" w:color="auto" w:fill="FFFFFF"/>
        <w:spacing w:after="0" w:line="240" w:lineRule="auto"/>
        <w:rPr>
          <w:rFonts w:asciiTheme="minorHAnsi" w:eastAsiaTheme="minorHAnsi" w:hAnsiTheme="minorHAnsi" w:cstheme="minorBidi"/>
          <w:lang w:eastAsia="en-US"/>
        </w:rPr>
      </w:pPr>
    </w:p>
    <w:p w14:paraId="15224029" w14:textId="77777777" w:rsidR="0051579E" w:rsidRDefault="009B0690" w:rsidP="001A2A80">
      <w:pPr>
        <w:pStyle w:val="Paragraphedeliste"/>
        <w:numPr>
          <w:ilvl w:val="0"/>
          <w:numId w:val="6"/>
        </w:numPr>
        <w:shd w:val="clear" w:color="auto" w:fill="FFFFFF"/>
        <w:spacing w:after="0" w:line="240" w:lineRule="auto"/>
        <w:rPr>
          <w:b/>
          <w:bCs/>
        </w:rPr>
      </w:pPr>
      <w:r w:rsidRPr="0051579E">
        <w:rPr>
          <w:b/>
          <w:bCs/>
        </w:rPr>
        <w:t xml:space="preserve">Coût </w:t>
      </w:r>
    </w:p>
    <w:p w14:paraId="2D51747A" w14:textId="47742B9A" w:rsidR="00C97404" w:rsidRPr="00C97404" w:rsidRDefault="009B0690" w:rsidP="00BB6C37">
      <w:pPr>
        <w:shd w:val="clear" w:color="auto" w:fill="FFFFFF"/>
        <w:spacing w:after="0" w:line="240" w:lineRule="auto"/>
        <w:jc w:val="both"/>
        <w:rPr>
          <w:rFonts w:eastAsiaTheme="minorHAnsi"/>
        </w:rPr>
      </w:pPr>
      <w:r w:rsidRPr="0051579E">
        <w:rPr>
          <w:rFonts w:eastAsiaTheme="minorHAnsi"/>
        </w:rPr>
        <w:t>Le co</w:t>
      </w:r>
      <w:r w:rsidR="00BB6C37">
        <w:rPr>
          <w:rFonts w:eastAsiaTheme="minorHAnsi"/>
        </w:rPr>
        <w:t>û</w:t>
      </w:r>
      <w:r w:rsidRPr="0051579E">
        <w:rPr>
          <w:rFonts w:eastAsiaTheme="minorHAnsi"/>
        </w:rPr>
        <w:t xml:space="preserve">t total de cette évaluation couvrant tous les </w:t>
      </w:r>
      <w:r w:rsidR="00CC69F0">
        <w:rPr>
          <w:rFonts w:eastAsiaTheme="minorHAnsi"/>
        </w:rPr>
        <w:t>frais</w:t>
      </w:r>
      <w:r w:rsidRPr="0051579E">
        <w:rPr>
          <w:rFonts w:eastAsiaTheme="minorHAnsi"/>
        </w:rPr>
        <w:t xml:space="preserve"> associés à cette évaluation est pris en charge sur le budget de l’entité S&amp;E du B</w:t>
      </w:r>
      <w:r w:rsidR="00BC1256">
        <w:rPr>
          <w:rFonts w:eastAsiaTheme="minorHAnsi"/>
        </w:rPr>
        <w:t xml:space="preserve">ureau </w:t>
      </w:r>
      <w:r w:rsidRPr="0051579E">
        <w:rPr>
          <w:rFonts w:eastAsiaTheme="minorHAnsi"/>
        </w:rPr>
        <w:t>P</w:t>
      </w:r>
      <w:r w:rsidR="00BC1256">
        <w:rPr>
          <w:rFonts w:eastAsiaTheme="minorHAnsi"/>
        </w:rPr>
        <w:t>ays</w:t>
      </w:r>
      <w:r w:rsidRPr="0051579E">
        <w:rPr>
          <w:rFonts w:eastAsiaTheme="minorHAnsi"/>
        </w:rPr>
        <w:t>.</w:t>
      </w:r>
    </w:p>
    <w:p w14:paraId="2A78934D" w14:textId="27184E52" w:rsidR="00C97404" w:rsidRDefault="00C97404" w:rsidP="00BB6C37">
      <w:pPr>
        <w:pStyle w:val="Paragraphedeliste"/>
        <w:shd w:val="clear" w:color="auto" w:fill="FFFFFF"/>
        <w:spacing w:after="0" w:line="240" w:lineRule="auto"/>
        <w:ind w:left="1080"/>
        <w:rPr>
          <w:b/>
          <w:bCs/>
        </w:rPr>
      </w:pPr>
    </w:p>
    <w:p w14:paraId="6A8158BB" w14:textId="77777777" w:rsidR="00597D43" w:rsidRPr="00BB6C37" w:rsidRDefault="00597D43" w:rsidP="00BB6C37">
      <w:pPr>
        <w:pStyle w:val="Paragraphedeliste"/>
        <w:shd w:val="clear" w:color="auto" w:fill="FFFFFF"/>
        <w:spacing w:after="0" w:line="240" w:lineRule="auto"/>
        <w:ind w:left="1080"/>
        <w:rPr>
          <w:b/>
          <w:bCs/>
        </w:rPr>
      </w:pPr>
    </w:p>
    <w:p w14:paraId="755D97BB" w14:textId="0EA04CC5" w:rsidR="00562B8A" w:rsidRPr="00BB6C37" w:rsidRDefault="00562B8A" w:rsidP="001A2A80">
      <w:pPr>
        <w:pStyle w:val="Paragraphedeliste"/>
        <w:numPr>
          <w:ilvl w:val="0"/>
          <w:numId w:val="6"/>
        </w:numPr>
        <w:shd w:val="clear" w:color="auto" w:fill="FFFFFF"/>
        <w:spacing w:after="0" w:line="240" w:lineRule="auto"/>
        <w:rPr>
          <w:b/>
          <w:bCs/>
        </w:rPr>
      </w:pPr>
      <w:r w:rsidRPr="00BB6C37">
        <w:rPr>
          <w:b/>
          <w:bCs/>
        </w:rPr>
        <w:t>Modalités de paiement et spécifications</w:t>
      </w:r>
    </w:p>
    <w:p w14:paraId="2292CC62" w14:textId="77777777" w:rsidR="00562B8A" w:rsidRPr="009B0690" w:rsidRDefault="00562B8A" w:rsidP="00BB6C37">
      <w:pPr>
        <w:shd w:val="clear" w:color="auto" w:fill="FFFFFF"/>
        <w:spacing w:after="0" w:line="240" w:lineRule="auto"/>
        <w:jc w:val="both"/>
        <w:rPr>
          <w:rFonts w:asciiTheme="minorHAnsi" w:eastAsiaTheme="minorHAnsi" w:hAnsiTheme="minorHAnsi" w:cstheme="minorBidi"/>
        </w:rPr>
      </w:pPr>
      <w:r w:rsidRPr="009B0690">
        <w:rPr>
          <w:rFonts w:asciiTheme="minorHAnsi" w:eastAsiaTheme="minorHAnsi" w:hAnsiTheme="minorHAnsi" w:cstheme="minorBidi"/>
          <w:lang w:eastAsia="en-US"/>
        </w:rPr>
        <w:t>Le paiement des consultants</w:t>
      </w:r>
      <w:r w:rsidRPr="009B0690">
        <w:rPr>
          <w:rFonts w:asciiTheme="minorHAnsi" w:eastAsiaTheme="minorHAnsi" w:hAnsiTheme="minorHAnsi" w:cstheme="minorBidi"/>
        </w:rPr>
        <w:t xml:space="preserve"> se fera comme suit :</w:t>
      </w:r>
    </w:p>
    <w:p w14:paraId="74B7915B" w14:textId="77777777" w:rsidR="00562B8A" w:rsidRPr="009B0690" w:rsidRDefault="00562B8A" w:rsidP="001A2A80">
      <w:pPr>
        <w:pStyle w:val="p28"/>
        <w:numPr>
          <w:ilvl w:val="0"/>
          <w:numId w:val="4"/>
        </w:numPr>
        <w:spacing w:line="276" w:lineRule="auto"/>
        <w:jc w:val="both"/>
        <w:rPr>
          <w:rFonts w:asciiTheme="minorHAnsi" w:eastAsiaTheme="minorHAnsi" w:hAnsiTheme="minorHAnsi" w:cstheme="minorBidi"/>
          <w:snapToGrid/>
          <w:sz w:val="22"/>
          <w:szCs w:val="22"/>
          <w:lang w:val="fr-FR"/>
        </w:rPr>
      </w:pPr>
      <w:r w:rsidRPr="009B0690">
        <w:rPr>
          <w:rFonts w:asciiTheme="minorHAnsi" w:eastAsiaTheme="minorHAnsi" w:hAnsiTheme="minorHAnsi" w:cstheme="minorBidi"/>
          <w:snapToGrid/>
          <w:sz w:val="22"/>
          <w:szCs w:val="22"/>
          <w:lang w:val="fr-FR"/>
        </w:rPr>
        <w:t>20% du paiement après approbation du rapport de démarrage ;</w:t>
      </w:r>
    </w:p>
    <w:p w14:paraId="41505462" w14:textId="77777777" w:rsidR="00562B8A" w:rsidRPr="009B0690" w:rsidRDefault="00562B8A" w:rsidP="001A2A80">
      <w:pPr>
        <w:pStyle w:val="p28"/>
        <w:numPr>
          <w:ilvl w:val="0"/>
          <w:numId w:val="4"/>
        </w:numPr>
        <w:spacing w:line="276" w:lineRule="auto"/>
        <w:jc w:val="both"/>
        <w:rPr>
          <w:rFonts w:asciiTheme="minorHAnsi" w:eastAsiaTheme="minorHAnsi" w:hAnsiTheme="minorHAnsi" w:cstheme="minorBidi"/>
          <w:snapToGrid/>
          <w:sz w:val="22"/>
          <w:szCs w:val="22"/>
          <w:lang w:val="fr-FR"/>
        </w:rPr>
      </w:pPr>
      <w:r w:rsidRPr="009B0690">
        <w:rPr>
          <w:rFonts w:asciiTheme="minorHAnsi" w:eastAsiaTheme="minorHAnsi" w:hAnsiTheme="minorHAnsi" w:cstheme="minorBidi"/>
          <w:snapToGrid/>
          <w:sz w:val="22"/>
          <w:szCs w:val="22"/>
          <w:lang w:val="fr-FR"/>
        </w:rPr>
        <w:t>30% après la présentation du projet de rapport d’évaluation à mi-parcours ;</w:t>
      </w:r>
    </w:p>
    <w:p w14:paraId="7C149B85" w14:textId="60697CD8" w:rsidR="0051579E" w:rsidRDefault="00562B8A" w:rsidP="001A2A80">
      <w:pPr>
        <w:pStyle w:val="p28"/>
        <w:numPr>
          <w:ilvl w:val="0"/>
          <w:numId w:val="4"/>
        </w:numPr>
        <w:spacing w:line="276" w:lineRule="auto"/>
        <w:jc w:val="both"/>
        <w:rPr>
          <w:rFonts w:asciiTheme="minorHAnsi" w:eastAsiaTheme="minorHAnsi" w:hAnsiTheme="minorHAnsi" w:cstheme="minorBidi"/>
          <w:snapToGrid/>
          <w:sz w:val="22"/>
          <w:szCs w:val="22"/>
          <w:lang w:val="fr-FR"/>
        </w:rPr>
      </w:pPr>
      <w:r w:rsidRPr="009B0690">
        <w:rPr>
          <w:rFonts w:asciiTheme="minorHAnsi" w:eastAsiaTheme="minorHAnsi" w:hAnsiTheme="minorHAnsi" w:cstheme="minorBidi"/>
          <w:snapToGrid/>
          <w:sz w:val="22"/>
          <w:szCs w:val="22"/>
          <w:lang w:val="fr-FR"/>
        </w:rPr>
        <w:t xml:space="preserve">50% après le dépôt du rapport </w:t>
      </w:r>
      <w:r w:rsidR="00CC69F0">
        <w:rPr>
          <w:rFonts w:asciiTheme="minorHAnsi" w:eastAsiaTheme="minorHAnsi" w:hAnsiTheme="minorHAnsi" w:cstheme="minorBidi"/>
          <w:snapToGrid/>
          <w:sz w:val="22"/>
          <w:szCs w:val="22"/>
          <w:lang w:val="fr-FR"/>
        </w:rPr>
        <w:t xml:space="preserve">final </w:t>
      </w:r>
      <w:r w:rsidRPr="009B0690">
        <w:rPr>
          <w:rFonts w:asciiTheme="minorHAnsi" w:eastAsiaTheme="minorHAnsi" w:hAnsiTheme="minorHAnsi" w:cstheme="minorBidi"/>
          <w:snapToGrid/>
          <w:sz w:val="22"/>
          <w:szCs w:val="22"/>
          <w:lang w:val="fr-FR"/>
        </w:rPr>
        <w:t>d’évaluation à mi-parcour</w:t>
      </w:r>
      <w:r w:rsidR="00BB6C37">
        <w:rPr>
          <w:rFonts w:asciiTheme="minorHAnsi" w:eastAsiaTheme="minorHAnsi" w:hAnsiTheme="minorHAnsi" w:cstheme="minorBidi"/>
          <w:snapToGrid/>
          <w:sz w:val="22"/>
          <w:szCs w:val="22"/>
          <w:lang w:val="fr-FR"/>
        </w:rPr>
        <w:t>s.</w:t>
      </w:r>
    </w:p>
    <w:p w14:paraId="260380C7" w14:textId="25E50B32" w:rsidR="00E951C1" w:rsidRPr="001C024B" w:rsidRDefault="00BB6C37" w:rsidP="001C024B">
      <w:pPr>
        <w:spacing w:after="160" w:line="259" w:lineRule="auto"/>
        <w:rPr>
          <w:rFonts w:asciiTheme="minorHAnsi" w:eastAsiaTheme="minorHAnsi" w:hAnsiTheme="minorHAnsi" w:cstheme="minorBidi"/>
          <w:sz w:val="24"/>
          <w:szCs w:val="20"/>
          <w:lang w:val="fr-ML" w:eastAsia="en-US"/>
        </w:rPr>
      </w:pPr>
      <w:r>
        <w:rPr>
          <w:rFonts w:asciiTheme="minorHAnsi" w:eastAsiaTheme="minorHAnsi" w:hAnsiTheme="minorHAnsi" w:cstheme="minorBidi"/>
          <w:lang w:val="fr-ML"/>
        </w:rPr>
        <w:br w:type="page"/>
      </w:r>
      <w:r w:rsidR="00E951C1" w:rsidRPr="00BC1256">
        <w:rPr>
          <w:rFonts w:asciiTheme="minorHAnsi" w:eastAsiaTheme="minorHAnsi" w:hAnsiTheme="minorHAnsi" w:cstheme="minorBidi"/>
          <w:b/>
          <w:bCs/>
          <w:lang w:val="fr-ML" w:eastAsia="en-US"/>
        </w:rPr>
        <w:t>Annexe</w:t>
      </w:r>
      <w:r w:rsidR="00BC1256" w:rsidRPr="00BC1256">
        <w:rPr>
          <w:rFonts w:asciiTheme="minorHAnsi" w:eastAsiaTheme="minorHAnsi" w:hAnsiTheme="minorHAnsi" w:cstheme="minorBidi"/>
          <w:b/>
          <w:bCs/>
          <w:lang w:val="fr-ML"/>
        </w:rPr>
        <w:t xml:space="preserve"> 1</w:t>
      </w:r>
      <w:r w:rsidR="00BC1256">
        <w:rPr>
          <w:rFonts w:asciiTheme="minorHAnsi" w:eastAsiaTheme="minorHAnsi" w:hAnsiTheme="minorHAnsi" w:cstheme="minorBidi"/>
          <w:lang w:val="fr-ML"/>
        </w:rPr>
        <w:t xml:space="preserve"> </w:t>
      </w:r>
      <w:r w:rsidR="00E951C1" w:rsidRPr="0051579E">
        <w:rPr>
          <w:rFonts w:asciiTheme="minorHAnsi" w:eastAsiaTheme="minorHAnsi" w:hAnsiTheme="minorHAnsi" w:cstheme="minorBidi"/>
          <w:lang w:val="fr-ML" w:eastAsia="en-US"/>
        </w:rPr>
        <w:t>: Modèle de rapport d’évaluation</w:t>
      </w:r>
      <w:r w:rsidR="001C024B">
        <w:rPr>
          <w:rFonts w:asciiTheme="minorHAnsi" w:eastAsiaTheme="minorHAnsi" w:hAnsiTheme="minorHAnsi" w:cstheme="minorBidi"/>
          <w:lang w:val="fr-ML"/>
        </w:rPr>
        <w:t xml:space="preserve"> : </w:t>
      </w:r>
      <w:hyperlink r:id="rId13" w:history="1">
        <w:r w:rsidR="001C024B" w:rsidRPr="001C024B">
          <w:rPr>
            <w:rFonts w:asciiTheme="minorHAnsi" w:eastAsiaTheme="minorHAnsi" w:hAnsiTheme="minorHAnsi" w:cstheme="minorBidi"/>
            <w:lang w:val="fr-ML"/>
          </w:rPr>
          <w:t>U</w:t>
        </w:r>
        <w:bookmarkStart w:id="1" w:name="_Hlk103090495"/>
        <w:r w:rsidR="001C024B" w:rsidRPr="001C024B">
          <w:rPr>
            <w:rFonts w:asciiTheme="minorHAnsi" w:eastAsiaTheme="minorHAnsi" w:hAnsiTheme="minorHAnsi" w:cstheme="minorBidi"/>
            <w:lang w:val="fr-ML"/>
          </w:rPr>
          <w:t>NDP_Evaluation_Guidelines_FR_June 2021.pdf</w:t>
        </w:r>
        <w:bookmarkEnd w:id="1"/>
      </w:hyperlink>
    </w:p>
    <w:p w14:paraId="6F702131" w14:textId="77777777" w:rsidR="00E951C1" w:rsidRPr="0051579E" w:rsidRDefault="00E951C1" w:rsidP="001A2A80">
      <w:pPr>
        <w:pStyle w:val="Paragraphedeliste"/>
        <w:numPr>
          <w:ilvl w:val="0"/>
          <w:numId w:val="9"/>
        </w:numPr>
        <w:spacing w:after="0" w:line="240" w:lineRule="auto"/>
      </w:pPr>
      <w:r w:rsidRPr="0051579E">
        <w:t>Titre et pages de démarrage</w:t>
      </w:r>
    </w:p>
    <w:p w14:paraId="3BB638E8" w14:textId="77777777" w:rsidR="00E951C1" w:rsidRPr="0051579E" w:rsidRDefault="00E951C1" w:rsidP="001A2A80">
      <w:pPr>
        <w:pStyle w:val="Paragraphedeliste"/>
        <w:numPr>
          <w:ilvl w:val="1"/>
          <w:numId w:val="9"/>
        </w:numPr>
        <w:spacing w:after="0" w:line="240" w:lineRule="auto"/>
      </w:pPr>
      <w:r w:rsidRPr="0051579E">
        <w:t>Nom de l’intervention d’évaluation</w:t>
      </w:r>
    </w:p>
    <w:p w14:paraId="58B1E988" w14:textId="77777777" w:rsidR="00E951C1" w:rsidRPr="0051579E" w:rsidRDefault="00E951C1" w:rsidP="001A2A80">
      <w:pPr>
        <w:pStyle w:val="Paragraphedeliste"/>
        <w:numPr>
          <w:ilvl w:val="1"/>
          <w:numId w:val="9"/>
        </w:numPr>
        <w:spacing w:after="0" w:line="240" w:lineRule="auto"/>
      </w:pPr>
      <w:r w:rsidRPr="0051579E">
        <w:t>Calendrier de l’évaluation et date du rapport</w:t>
      </w:r>
    </w:p>
    <w:p w14:paraId="3C58EAA9" w14:textId="77777777" w:rsidR="00E951C1" w:rsidRPr="0051579E" w:rsidRDefault="00E951C1" w:rsidP="001A2A80">
      <w:pPr>
        <w:pStyle w:val="Paragraphedeliste"/>
        <w:numPr>
          <w:ilvl w:val="1"/>
          <w:numId w:val="9"/>
        </w:numPr>
        <w:spacing w:after="0" w:line="240" w:lineRule="auto"/>
      </w:pPr>
      <w:r w:rsidRPr="0051579E">
        <w:t xml:space="preserve">Pays de l’intervention d’évaluation </w:t>
      </w:r>
    </w:p>
    <w:p w14:paraId="3A2F3095" w14:textId="77777777" w:rsidR="00E951C1" w:rsidRPr="0051579E" w:rsidRDefault="00E951C1" w:rsidP="001A2A80">
      <w:pPr>
        <w:pStyle w:val="Paragraphedeliste"/>
        <w:numPr>
          <w:ilvl w:val="1"/>
          <w:numId w:val="9"/>
        </w:numPr>
        <w:spacing w:after="0" w:line="240" w:lineRule="auto"/>
      </w:pPr>
      <w:r w:rsidRPr="0051579E">
        <w:t>Noms et organisations des évaluateurs</w:t>
      </w:r>
    </w:p>
    <w:p w14:paraId="3F67A024" w14:textId="77777777" w:rsidR="00E951C1" w:rsidRPr="0051579E" w:rsidRDefault="00E951C1" w:rsidP="001A2A80">
      <w:pPr>
        <w:pStyle w:val="Paragraphedeliste"/>
        <w:numPr>
          <w:ilvl w:val="1"/>
          <w:numId w:val="9"/>
        </w:numPr>
        <w:spacing w:after="0" w:line="240" w:lineRule="auto"/>
      </w:pPr>
      <w:r w:rsidRPr="0051579E">
        <w:t>Nom de l’organisation initiant l’évaluation</w:t>
      </w:r>
    </w:p>
    <w:p w14:paraId="05776105" w14:textId="77777777" w:rsidR="00E951C1" w:rsidRPr="0051579E" w:rsidRDefault="00E951C1" w:rsidP="001A2A80">
      <w:pPr>
        <w:pStyle w:val="Paragraphedeliste"/>
        <w:numPr>
          <w:ilvl w:val="1"/>
          <w:numId w:val="9"/>
        </w:numPr>
        <w:spacing w:after="0" w:line="240" w:lineRule="auto"/>
      </w:pPr>
      <w:r w:rsidRPr="0051579E">
        <w:t xml:space="preserve">Remerciements </w:t>
      </w:r>
    </w:p>
    <w:p w14:paraId="4FD1AB6C" w14:textId="77777777" w:rsidR="00E951C1" w:rsidRPr="0051579E" w:rsidRDefault="00E951C1" w:rsidP="001A2A80">
      <w:pPr>
        <w:pStyle w:val="Paragraphedeliste"/>
        <w:numPr>
          <w:ilvl w:val="0"/>
          <w:numId w:val="9"/>
        </w:numPr>
        <w:spacing w:after="0" w:line="240" w:lineRule="auto"/>
      </w:pPr>
      <w:r w:rsidRPr="0051579E">
        <w:t xml:space="preserve">Table des matières </w:t>
      </w:r>
    </w:p>
    <w:p w14:paraId="39AA2753" w14:textId="77777777" w:rsidR="00E951C1" w:rsidRPr="0051579E" w:rsidRDefault="00E951C1" w:rsidP="001A2A80">
      <w:pPr>
        <w:pStyle w:val="Paragraphedeliste"/>
        <w:numPr>
          <w:ilvl w:val="1"/>
          <w:numId w:val="9"/>
        </w:numPr>
        <w:spacing w:after="0" w:line="240" w:lineRule="auto"/>
      </w:pPr>
      <w:r w:rsidRPr="0051579E">
        <w:t xml:space="preserve">Inclure les encadrés, schémas, tableaux et annexes avec les références des pages. </w:t>
      </w:r>
    </w:p>
    <w:p w14:paraId="4FB373DE" w14:textId="77777777" w:rsidR="00E951C1" w:rsidRPr="0051579E" w:rsidRDefault="00E951C1" w:rsidP="001A2A80">
      <w:pPr>
        <w:pStyle w:val="Paragraphedeliste"/>
        <w:numPr>
          <w:ilvl w:val="0"/>
          <w:numId w:val="9"/>
        </w:numPr>
        <w:spacing w:after="0" w:line="240" w:lineRule="auto"/>
      </w:pPr>
      <w:r w:rsidRPr="0051579E">
        <w:t>Liste des acronymes et abréviations</w:t>
      </w:r>
    </w:p>
    <w:p w14:paraId="3270E7E3" w14:textId="77777777" w:rsidR="00E951C1" w:rsidRPr="00BB6C37" w:rsidRDefault="00E951C1" w:rsidP="001A2A80">
      <w:pPr>
        <w:pStyle w:val="Paragraphedeliste"/>
        <w:numPr>
          <w:ilvl w:val="0"/>
          <w:numId w:val="9"/>
        </w:numPr>
        <w:spacing w:after="0" w:line="240" w:lineRule="auto"/>
      </w:pPr>
      <w:r w:rsidRPr="00BB6C37">
        <w:t>Document de synthèse (une section indépendante de 3-4 pages y compris les principales conclusions et recommandations)</w:t>
      </w:r>
    </w:p>
    <w:p w14:paraId="307CB9F2" w14:textId="77777777" w:rsidR="00E951C1" w:rsidRPr="00BB6C37" w:rsidRDefault="00E951C1" w:rsidP="001A2A80">
      <w:pPr>
        <w:pStyle w:val="Paragraphedeliste"/>
        <w:numPr>
          <w:ilvl w:val="0"/>
          <w:numId w:val="9"/>
        </w:numPr>
        <w:spacing w:after="0" w:line="240" w:lineRule="auto"/>
      </w:pPr>
      <w:r w:rsidRPr="00BB6C37">
        <w:t xml:space="preserve">Introduction </w:t>
      </w:r>
    </w:p>
    <w:p w14:paraId="3BF64185" w14:textId="77777777" w:rsidR="00E951C1" w:rsidRPr="00BB6C37" w:rsidRDefault="00E951C1" w:rsidP="001A2A80">
      <w:pPr>
        <w:pStyle w:val="Paragraphedeliste"/>
        <w:numPr>
          <w:ilvl w:val="0"/>
          <w:numId w:val="9"/>
        </w:numPr>
        <w:spacing w:after="0" w:line="240" w:lineRule="auto"/>
      </w:pPr>
      <w:r w:rsidRPr="00BB6C37">
        <w:t xml:space="preserve">Description de I’ intervention </w:t>
      </w:r>
    </w:p>
    <w:p w14:paraId="713C6587" w14:textId="77777777" w:rsidR="00E951C1" w:rsidRPr="00BB6C37" w:rsidRDefault="00E951C1" w:rsidP="001A2A80">
      <w:pPr>
        <w:pStyle w:val="Paragraphedeliste"/>
        <w:numPr>
          <w:ilvl w:val="0"/>
          <w:numId w:val="9"/>
        </w:numPr>
        <w:spacing w:after="0" w:line="240" w:lineRule="auto"/>
      </w:pPr>
      <w:r w:rsidRPr="00BB6C37">
        <w:t>Etendue de l’évaluation et objectifs</w:t>
      </w:r>
    </w:p>
    <w:p w14:paraId="350FE08F" w14:textId="77777777" w:rsidR="00E951C1" w:rsidRPr="00BB6C37" w:rsidRDefault="00E951C1" w:rsidP="001A2A80">
      <w:pPr>
        <w:pStyle w:val="Paragraphedeliste"/>
        <w:numPr>
          <w:ilvl w:val="0"/>
          <w:numId w:val="9"/>
        </w:numPr>
        <w:spacing w:after="0" w:line="240" w:lineRule="auto"/>
      </w:pPr>
      <w:r w:rsidRPr="00BB6C37">
        <w:t xml:space="preserve">Approche et méthodes d’évaluation </w:t>
      </w:r>
    </w:p>
    <w:p w14:paraId="3D2692CF" w14:textId="77777777" w:rsidR="00E951C1" w:rsidRPr="00BB6C37" w:rsidRDefault="00E951C1" w:rsidP="001A2A80">
      <w:pPr>
        <w:pStyle w:val="Paragraphedeliste"/>
        <w:numPr>
          <w:ilvl w:val="0"/>
          <w:numId w:val="9"/>
        </w:numPr>
        <w:spacing w:after="0" w:line="240" w:lineRule="auto"/>
      </w:pPr>
      <w:r w:rsidRPr="00BB6C37">
        <w:t>Analyse des données</w:t>
      </w:r>
    </w:p>
    <w:p w14:paraId="0BDAE645" w14:textId="77777777" w:rsidR="00E951C1" w:rsidRPr="00BB6C37" w:rsidRDefault="00E951C1" w:rsidP="001A2A80">
      <w:pPr>
        <w:pStyle w:val="Paragraphedeliste"/>
        <w:numPr>
          <w:ilvl w:val="0"/>
          <w:numId w:val="9"/>
        </w:numPr>
        <w:spacing w:after="0" w:line="240" w:lineRule="auto"/>
      </w:pPr>
      <w:r w:rsidRPr="00BB6C37">
        <w:t xml:space="preserve">Déductions et conclusions </w:t>
      </w:r>
    </w:p>
    <w:p w14:paraId="67C09B16" w14:textId="77777777" w:rsidR="00E951C1" w:rsidRPr="00BB6C37" w:rsidRDefault="00E951C1" w:rsidP="001A2A80">
      <w:pPr>
        <w:pStyle w:val="Paragraphedeliste"/>
        <w:numPr>
          <w:ilvl w:val="1"/>
          <w:numId w:val="9"/>
        </w:numPr>
        <w:spacing w:after="0" w:line="240" w:lineRule="auto"/>
      </w:pPr>
      <w:r w:rsidRPr="00BB6C37">
        <w:t>Résultats et conclusions globaux (y compris des réponses aux questions principales d’évaluation)</w:t>
      </w:r>
    </w:p>
    <w:p w14:paraId="630A99C5" w14:textId="77777777" w:rsidR="00E951C1" w:rsidRPr="00BB6C37" w:rsidRDefault="00E951C1" w:rsidP="001A2A80">
      <w:pPr>
        <w:pStyle w:val="Paragraphedeliste"/>
        <w:numPr>
          <w:ilvl w:val="1"/>
          <w:numId w:val="9"/>
        </w:numPr>
        <w:spacing w:after="0" w:line="240" w:lineRule="auto"/>
      </w:pPr>
      <w:r w:rsidRPr="00BB6C37">
        <w:t>Résultats et conclusions par effet</w:t>
      </w:r>
    </w:p>
    <w:p w14:paraId="28BA014B" w14:textId="77777777" w:rsidR="00E951C1" w:rsidRPr="00BB6C37" w:rsidRDefault="00E951C1" w:rsidP="001A2A80">
      <w:pPr>
        <w:pStyle w:val="Paragraphedeliste"/>
        <w:numPr>
          <w:ilvl w:val="2"/>
          <w:numId w:val="10"/>
        </w:numPr>
        <w:spacing w:after="0" w:line="240" w:lineRule="auto"/>
      </w:pPr>
      <w:r w:rsidRPr="00BB6C37">
        <w:t>Effet 1 (sous-section spécifique y compris sur le genre)</w:t>
      </w:r>
    </w:p>
    <w:p w14:paraId="02D07537" w14:textId="77777777" w:rsidR="00E951C1" w:rsidRPr="00BB6C37" w:rsidRDefault="00E951C1" w:rsidP="001A2A80">
      <w:pPr>
        <w:pStyle w:val="Paragraphedeliste"/>
        <w:numPr>
          <w:ilvl w:val="2"/>
          <w:numId w:val="10"/>
        </w:numPr>
        <w:spacing w:after="0" w:line="240" w:lineRule="auto"/>
      </w:pPr>
      <w:r w:rsidRPr="00BB6C37">
        <w:t>Effet 2 (sous-section spécifique y compris sur le genre)</w:t>
      </w:r>
    </w:p>
    <w:p w14:paraId="122D5FBA" w14:textId="77777777" w:rsidR="00E951C1" w:rsidRPr="00BB6C37" w:rsidRDefault="00E951C1" w:rsidP="001A2A80">
      <w:pPr>
        <w:pStyle w:val="Paragraphedeliste"/>
        <w:numPr>
          <w:ilvl w:val="2"/>
          <w:numId w:val="10"/>
        </w:numPr>
        <w:spacing w:after="0" w:line="240" w:lineRule="auto"/>
      </w:pPr>
      <w:r w:rsidRPr="00BB6C37">
        <w:t>Effet 3 (sous-section spécifique y compris sur le genre)</w:t>
      </w:r>
    </w:p>
    <w:p w14:paraId="71BE2482" w14:textId="77777777" w:rsidR="00E951C1" w:rsidRPr="00BB6C37" w:rsidRDefault="00E951C1" w:rsidP="001A2A80">
      <w:pPr>
        <w:pStyle w:val="Paragraphedeliste"/>
        <w:numPr>
          <w:ilvl w:val="1"/>
          <w:numId w:val="9"/>
        </w:numPr>
        <w:spacing w:after="0" w:line="240" w:lineRule="auto"/>
      </w:pPr>
      <w:r w:rsidRPr="00BB6C37">
        <w:t>Conclusions globales</w:t>
      </w:r>
    </w:p>
    <w:p w14:paraId="268B7A14" w14:textId="77777777" w:rsidR="00E951C1" w:rsidRPr="00BB6C37" w:rsidRDefault="00E951C1" w:rsidP="001A2A80">
      <w:pPr>
        <w:pStyle w:val="Paragraphedeliste"/>
        <w:numPr>
          <w:ilvl w:val="0"/>
          <w:numId w:val="9"/>
        </w:numPr>
        <w:spacing w:after="0" w:line="240" w:lineRule="auto"/>
      </w:pPr>
      <w:r w:rsidRPr="00BB6C37">
        <w:t xml:space="preserve">Recommandations </w:t>
      </w:r>
    </w:p>
    <w:p w14:paraId="4FD705A4" w14:textId="77777777" w:rsidR="00E951C1" w:rsidRPr="00BB6C37" w:rsidRDefault="00E951C1" w:rsidP="001A2A80">
      <w:pPr>
        <w:pStyle w:val="Paragraphedeliste"/>
        <w:numPr>
          <w:ilvl w:val="1"/>
          <w:numId w:val="9"/>
        </w:numPr>
        <w:spacing w:after="0" w:line="240" w:lineRule="auto"/>
      </w:pPr>
      <w:r w:rsidRPr="00BB6C37">
        <w:t>Recommandations globales (y compris les recommandations produites de répondre aux questions principales d’évaluation)</w:t>
      </w:r>
    </w:p>
    <w:p w14:paraId="07003D26" w14:textId="77777777" w:rsidR="00E951C1" w:rsidRPr="00BB6C37" w:rsidRDefault="00E951C1" w:rsidP="001A2A80">
      <w:pPr>
        <w:pStyle w:val="Paragraphedeliste"/>
        <w:numPr>
          <w:ilvl w:val="1"/>
          <w:numId w:val="9"/>
        </w:numPr>
        <w:spacing w:after="0" w:line="240" w:lineRule="auto"/>
      </w:pPr>
      <w:r w:rsidRPr="00BB6C37">
        <w:t xml:space="preserve">Recommandations par effet </w:t>
      </w:r>
    </w:p>
    <w:p w14:paraId="2F3682BE" w14:textId="77777777" w:rsidR="00E951C1" w:rsidRPr="00BB6C37" w:rsidRDefault="00E951C1" w:rsidP="001A2A80">
      <w:pPr>
        <w:pStyle w:val="Paragraphedeliste"/>
        <w:numPr>
          <w:ilvl w:val="2"/>
          <w:numId w:val="10"/>
        </w:numPr>
        <w:spacing w:after="0" w:line="240" w:lineRule="auto"/>
      </w:pPr>
      <w:r w:rsidRPr="00BB6C37">
        <w:t>Effet 1 (sous-section spécifique y compris sur le genre)</w:t>
      </w:r>
    </w:p>
    <w:p w14:paraId="594285BE" w14:textId="77777777" w:rsidR="00E951C1" w:rsidRPr="00BB6C37" w:rsidRDefault="00E951C1" w:rsidP="001A2A80">
      <w:pPr>
        <w:pStyle w:val="Paragraphedeliste"/>
        <w:numPr>
          <w:ilvl w:val="2"/>
          <w:numId w:val="10"/>
        </w:numPr>
        <w:spacing w:after="0" w:line="240" w:lineRule="auto"/>
      </w:pPr>
      <w:r w:rsidRPr="00BB6C37">
        <w:t>Effet 2 (sous-section spécifique y compris sur le genre)</w:t>
      </w:r>
    </w:p>
    <w:p w14:paraId="6811B83E" w14:textId="77777777" w:rsidR="00E951C1" w:rsidRPr="00BB6C37" w:rsidRDefault="00E951C1" w:rsidP="001A2A80">
      <w:pPr>
        <w:pStyle w:val="Paragraphedeliste"/>
        <w:numPr>
          <w:ilvl w:val="2"/>
          <w:numId w:val="10"/>
        </w:numPr>
        <w:spacing w:after="0" w:line="240" w:lineRule="auto"/>
      </w:pPr>
      <w:r w:rsidRPr="00BB6C37">
        <w:t>Effet 3 (sous-section spécifique y compris sur le genre)</w:t>
      </w:r>
    </w:p>
    <w:p w14:paraId="0AD603C9" w14:textId="59A087FF" w:rsidR="00E951C1" w:rsidRPr="00BB6C37" w:rsidRDefault="00E951C1" w:rsidP="001A2A80">
      <w:pPr>
        <w:pStyle w:val="Paragraphedeliste"/>
        <w:numPr>
          <w:ilvl w:val="1"/>
          <w:numId w:val="10"/>
        </w:numPr>
        <w:shd w:val="clear" w:color="auto" w:fill="FFFFFF"/>
        <w:spacing w:after="240" w:line="240" w:lineRule="auto"/>
        <w:jc w:val="both"/>
      </w:pPr>
      <w:r w:rsidRPr="00BB6C37">
        <w:t xml:space="preserve">Les axes stratégiques d’orientation pour la période </w:t>
      </w:r>
      <w:r w:rsidR="00D9611F">
        <w:t>2023 – 2024.</w:t>
      </w:r>
      <w:r w:rsidRPr="00BB6C37">
        <w:t xml:space="preserve"> </w:t>
      </w:r>
    </w:p>
    <w:p w14:paraId="4F5BE0A7" w14:textId="7E8E2823" w:rsidR="00E951C1" w:rsidRPr="00BB6C37" w:rsidRDefault="00E951C1" w:rsidP="001A2A80">
      <w:pPr>
        <w:pStyle w:val="Paragraphedeliste"/>
        <w:numPr>
          <w:ilvl w:val="0"/>
          <w:numId w:val="9"/>
        </w:numPr>
        <w:spacing w:after="0" w:line="240" w:lineRule="auto"/>
      </w:pPr>
      <w:r w:rsidRPr="00BB6C37">
        <w:t>Enseignement</w:t>
      </w:r>
      <w:r w:rsidR="00D9611F">
        <w:t>s</w:t>
      </w:r>
      <w:r w:rsidRPr="00BB6C37">
        <w:t xml:space="preserve"> tirés </w:t>
      </w:r>
    </w:p>
    <w:p w14:paraId="12C64E12" w14:textId="77777777" w:rsidR="00E951C1" w:rsidRPr="00BB6C37" w:rsidRDefault="00E951C1" w:rsidP="001A2A80">
      <w:pPr>
        <w:pStyle w:val="Paragraphedeliste"/>
        <w:numPr>
          <w:ilvl w:val="1"/>
          <w:numId w:val="9"/>
        </w:numPr>
        <w:spacing w:after="0" w:line="240" w:lineRule="auto"/>
      </w:pPr>
      <w:r w:rsidRPr="00BB6C37">
        <w:t xml:space="preserve"> sous-section spécifique y compris sur le genre</w:t>
      </w:r>
    </w:p>
    <w:p w14:paraId="5CADD57D" w14:textId="77777777" w:rsidR="00E951C1" w:rsidRPr="00BB6C37" w:rsidRDefault="00E951C1" w:rsidP="001A2A80">
      <w:pPr>
        <w:pStyle w:val="Paragraphedeliste"/>
        <w:numPr>
          <w:ilvl w:val="0"/>
          <w:numId w:val="9"/>
        </w:numPr>
        <w:spacing w:after="0" w:line="240" w:lineRule="auto"/>
      </w:pPr>
      <w:r w:rsidRPr="00BB6C37">
        <w:t xml:space="preserve">Annexes du rapport </w:t>
      </w:r>
    </w:p>
    <w:p w14:paraId="01E666D0" w14:textId="77777777" w:rsidR="001C024B" w:rsidRDefault="00BC1256" w:rsidP="001A2A80">
      <w:pPr>
        <w:pStyle w:val="Paragraphedeliste"/>
        <w:numPr>
          <w:ilvl w:val="0"/>
          <w:numId w:val="15"/>
        </w:numPr>
        <w:shd w:val="clear" w:color="auto" w:fill="FFFFFF"/>
        <w:spacing w:after="240" w:line="240" w:lineRule="auto"/>
        <w:jc w:val="both"/>
      </w:pPr>
      <w:r>
        <w:t xml:space="preserve">Le cahier des charges de l’évaluation </w:t>
      </w:r>
    </w:p>
    <w:p w14:paraId="43783963" w14:textId="77777777" w:rsidR="001C024B" w:rsidRDefault="00BC1256" w:rsidP="001A2A80">
      <w:pPr>
        <w:pStyle w:val="Paragraphedeliste"/>
        <w:numPr>
          <w:ilvl w:val="0"/>
          <w:numId w:val="15"/>
        </w:numPr>
        <w:shd w:val="clear" w:color="auto" w:fill="FFFFFF"/>
        <w:spacing w:after="240" w:line="240" w:lineRule="auto"/>
        <w:jc w:val="both"/>
      </w:pPr>
      <w:r>
        <w:t xml:space="preserve">Les documents complémentaires couvrant la méthodologie, tels que le tableau d’évaluation et les instruments de recueil des données utilisés (questionnaires, guides d’entretien, protocoles d’observation, etc.) </w:t>
      </w:r>
    </w:p>
    <w:p w14:paraId="36B45B0D" w14:textId="77777777" w:rsidR="001C024B" w:rsidRDefault="00BC1256" w:rsidP="001A2A80">
      <w:pPr>
        <w:pStyle w:val="Paragraphedeliste"/>
        <w:numPr>
          <w:ilvl w:val="0"/>
          <w:numId w:val="15"/>
        </w:numPr>
        <w:shd w:val="clear" w:color="auto" w:fill="FFFFFF"/>
        <w:spacing w:after="240" w:line="240" w:lineRule="auto"/>
        <w:jc w:val="both"/>
      </w:pPr>
      <w:r>
        <w:t>La liste des personnes ou groupes interrogés ou consultés et des sites visités. Cette liste peut être omise à des fins de confidentialité avec l’accord de l’équipe d’évaluation et du PNUD</w:t>
      </w:r>
    </w:p>
    <w:p w14:paraId="3BAAEB76" w14:textId="77777777" w:rsidR="001C024B" w:rsidRDefault="00BC1256" w:rsidP="001A2A80">
      <w:pPr>
        <w:pStyle w:val="Paragraphedeliste"/>
        <w:numPr>
          <w:ilvl w:val="0"/>
          <w:numId w:val="15"/>
        </w:numPr>
        <w:shd w:val="clear" w:color="auto" w:fill="FFFFFF"/>
        <w:spacing w:after="240" w:line="240" w:lineRule="auto"/>
        <w:jc w:val="both"/>
      </w:pPr>
      <w:r>
        <w:t xml:space="preserve">La liste des documents examinés </w:t>
      </w:r>
    </w:p>
    <w:p w14:paraId="3071CD23" w14:textId="77777777" w:rsidR="001C024B" w:rsidRDefault="00BC1256" w:rsidP="001A2A80">
      <w:pPr>
        <w:pStyle w:val="Paragraphedeliste"/>
        <w:numPr>
          <w:ilvl w:val="0"/>
          <w:numId w:val="15"/>
        </w:numPr>
        <w:shd w:val="clear" w:color="auto" w:fill="FFFFFF"/>
        <w:spacing w:after="240" w:line="240" w:lineRule="auto"/>
        <w:jc w:val="both"/>
      </w:pPr>
      <w:r>
        <w:t xml:space="preserve">Le modèle ou cadre de résultats du projet ou programme </w:t>
      </w:r>
    </w:p>
    <w:p w14:paraId="1F8D968E" w14:textId="77777777" w:rsidR="001C024B" w:rsidRDefault="00BC1256" w:rsidP="001A2A80">
      <w:pPr>
        <w:pStyle w:val="Paragraphedeliste"/>
        <w:numPr>
          <w:ilvl w:val="0"/>
          <w:numId w:val="15"/>
        </w:numPr>
        <w:shd w:val="clear" w:color="auto" w:fill="FFFFFF"/>
        <w:spacing w:after="240" w:line="240" w:lineRule="auto"/>
        <w:jc w:val="both"/>
      </w:pPr>
      <w:r>
        <w:t xml:space="preserve">Les tableaux résumant les constatations, par exemple, les tableaux montrant les progrès à l’égard des produits, des cibles et des objectifs, par rapport aux indicateurs définis </w:t>
      </w:r>
    </w:p>
    <w:p w14:paraId="4B6FCA59" w14:textId="23F11346" w:rsidR="008F451B" w:rsidRPr="001C024B" w:rsidRDefault="00BC1256" w:rsidP="001A2A80">
      <w:pPr>
        <w:pStyle w:val="Paragraphedeliste"/>
        <w:numPr>
          <w:ilvl w:val="0"/>
          <w:numId w:val="15"/>
        </w:numPr>
        <w:shd w:val="clear" w:color="auto" w:fill="FFFFFF"/>
        <w:spacing w:after="240" w:line="240" w:lineRule="auto"/>
        <w:jc w:val="both"/>
        <w:sectPr w:rsidR="008F451B" w:rsidRPr="001C024B">
          <w:pgSz w:w="11906" w:h="16838"/>
          <w:pgMar w:top="1417" w:right="1417" w:bottom="1417" w:left="1417" w:header="708" w:footer="708" w:gutter="0"/>
          <w:cols w:space="708"/>
          <w:docGrid w:linePitch="360"/>
        </w:sectPr>
      </w:pPr>
      <w:r>
        <w:t>L’engagement éthique signé par les évaluateur</w:t>
      </w:r>
      <w:r w:rsidR="00D556C2">
        <w:t>s</w:t>
      </w:r>
      <w:r w:rsidR="001C024B">
        <w:t>.</w:t>
      </w:r>
    </w:p>
    <w:p w14:paraId="502BBB84" w14:textId="65B16141" w:rsidR="000547A0" w:rsidRDefault="00BD03D3" w:rsidP="000547A0">
      <w:pPr>
        <w:shd w:val="clear" w:color="auto" w:fill="FFFFFF"/>
        <w:spacing w:after="240" w:line="240" w:lineRule="auto"/>
        <w:jc w:val="both"/>
        <w:rPr>
          <w:rFonts w:asciiTheme="minorHAnsi" w:eastAsiaTheme="minorHAnsi" w:hAnsiTheme="minorHAnsi" w:cstheme="minorBidi"/>
          <w:lang w:eastAsia="en-US"/>
        </w:rPr>
      </w:pPr>
      <w:r w:rsidRPr="00BD03D3">
        <w:rPr>
          <w:rFonts w:asciiTheme="minorHAnsi" w:eastAsiaTheme="minorHAnsi" w:hAnsiTheme="minorHAnsi" w:cstheme="minorBidi"/>
          <w:b/>
          <w:bCs/>
          <w:lang w:eastAsia="en-US"/>
        </w:rPr>
        <w:t>Annexe 2 </w:t>
      </w:r>
      <w:r>
        <w:rPr>
          <w:rFonts w:asciiTheme="minorHAnsi" w:eastAsiaTheme="minorHAnsi" w:hAnsiTheme="minorHAnsi" w:cstheme="minorBidi"/>
          <w:lang w:eastAsia="en-US"/>
        </w:rPr>
        <w:t xml:space="preserve">: </w:t>
      </w:r>
      <w:r w:rsidR="00CD3FB1">
        <w:rPr>
          <w:rFonts w:asciiTheme="minorHAnsi" w:eastAsiaTheme="minorHAnsi" w:hAnsiTheme="minorHAnsi" w:cstheme="minorBidi"/>
          <w:lang w:eastAsia="en-US"/>
        </w:rPr>
        <w:t>Cadre de résultats et de ressources du CPD</w:t>
      </w:r>
    </w:p>
    <w:tbl>
      <w:tblPr>
        <w:tblpPr w:leftFromText="141" w:rightFromText="141" w:vertAnchor="text" w:tblpY="1"/>
        <w:tblOverlap w:val="neve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45"/>
        <w:gridCol w:w="1949"/>
        <w:gridCol w:w="4920"/>
        <w:gridCol w:w="1830"/>
        <w:gridCol w:w="2594"/>
      </w:tblGrid>
      <w:tr w:rsidR="008F451B" w:rsidRPr="007C2D1C" w14:paraId="05C94382" w14:textId="77777777" w:rsidTr="00DA7ED2">
        <w:trPr>
          <w:trHeight w:val="25"/>
        </w:trPr>
        <w:tc>
          <w:tcPr>
            <w:tcW w:w="5000" w:type="pct"/>
            <w:gridSpan w:val="5"/>
            <w:tcBorders>
              <w:top w:val="single" w:sz="4" w:space="0" w:color="auto"/>
              <w:left w:val="single" w:sz="4" w:space="0" w:color="auto"/>
              <w:right w:val="single" w:sz="4" w:space="0" w:color="auto"/>
            </w:tcBorders>
            <w:shd w:val="clear" w:color="auto" w:fill="D9E2F3" w:themeFill="accent1" w:themeFillTint="33"/>
            <w:tcMar>
              <w:top w:w="72" w:type="dxa"/>
              <w:left w:w="144" w:type="dxa"/>
              <w:bottom w:w="72" w:type="dxa"/>
              <w:right w:w="144" w:type="dxa"/>
            </w:tcMar>
          </w:tcPr>
          <w:p w14:paraId="37C7C47A" w14:textId="77777777" w:rsidR="008F451B" w:rsidRPr="00B93360" w:rsidRDefault="008F451B" w:rsidP="00DA7ED2">
            <w:pPr>
              <w:rPr>
                <w:b/>
                <w:i/>
                <w:color w:val="4472C4" w:themeColor="accent1"/>
                <w:sz w:val="16"/>
                <w:szCs w:val="16"/>
              </w:rPr>
            </w:pPr>
            <w:r w:rsidRPr="00FE4C63">
              <w:rPr>
                <w:b/>
                <w:bCs/>
                <w:color w:val="000000"/>
                <w:sz w:val="16"/>
                <w:szCs w:val="16"/>
              </w:rPr>
              <w:t>PRIORIT</w:t>
            </w:r>
            <w:r>
              <w:rPr>
                <w:b/>
                <w:bCs/>
                <w:color w:val="000000"/>
                <w:sz w:val="16"/>
                <w:szCs w:val="16"/>
              </w:rPr>
              <w:t>E</w:t>
            </w:r>
            <w:r w:rsidRPr="00FE4C63">
              <w:rPr>
                <w:b/>
                <w:bCs/>
                <w:color w:val="000000"/>
                <w:sz w:val="16"/>
                <w:szCs w:val="16"/>
              </w:rPr>
              <w:t xml:space="preserve"> O</w:t>
            </w:r>
            <w:r>
              <w:rPr>
                <w:b/>
                <w:bCs/>
                <w:color w:val="000000"/>
                <w:sz w:val="16"/>
                <w:szCs w:val="16"/>
              </w:rPr>
              <w:t>U</w:t>
            </w:r>
            <w:r w:rsidRPr="00FE4C63">
              <w:rPr>
                <w:b/>
                <w:bCs/>
                <w:color w:val="000000"/>
                <w:sz w:val="16"/>
                <w:szCs w:val="16"/>
              </w:rPr>
              <w:t xml:space="preserve"> O</w:t>
            </w:r>
            <w:r>
              <w:rPr>
                <w:b/>
                <w:bCs/>
                <w:color w:val="000000"/>
                <w:sz w:val="16"/>
                <w:szCs w:val="16"/>
              </w:rPr>
              <w:t>BJECTIF</w:t>
            </w:r>
            <w:r w:rsidRPr="00FE4C63">
              <w:rPr>
                <w:b/>
                <w:bCs/>
                <w:color w:val="000000"/>
                <w:sz w:val="16"/>
                <w:szCs w:val="16"/>
              </w:rPr>
              <w:t xml:space="preserve"> NATIONAL: </w:t>
            </w:r>
            <w:r w:rsidRPr="00FE4C63">
              <w:rPr>
                <w:b/>
                <w:bCs/>
                <w:i/>
                <w:iCs/>
                <w:color w:val="0000FF"/>
                <w:sz w:val="16"/>
                <w:szCs w:val="16"/>
              </w:rPr>
              <w:t>Consolidation de la démocratie et amélioration de la gouvernance</w:t>
            </w:r>
          </w:p>
        </w:tc>
      </w:tr>
      <w:tr w:rsidR="008F451B" w:rsidRPr="007C2D1C" w14:paraId="589F794A" w14:textId="77777777" w:rsidTr="00DA7ED2">
        <w:trPr>
          <w:trHeight w:val="124"/>
        </w:trPr>
        <w:tc>
          <w:tcPr>
            <w:tcW w:w="5000" w:type="pct"/>
            <w:gridSpan w:val="5"/>
            <w:tcBorders>
              <w:left w:val="single" w:sz="4" w:space="0" w:color="auto"/>
              <w:right w:val="single" w:sz="4" w:space="0" w:color="auto"/>
            </w:tcBorders>
            <w:shd w:val="clear" w:color="auto" w:fill="D9E2F3" w:themeFill="accent1" w:themeFillTint="33"/>
            <w:tcMar>
              <w:top w:w="72" w:type="dxa"/>
              <w:left w:w="144" w:type="dxa"/>
              <w:bottom w:w="72" w:type="dxa"/>
              <w:right w:w="144" w:type="dxa"/>
            </w:tcMar>
          </w:tcPr>
          <w:p w14:paraId="152F74C5" w14:textId="77777777" w:rsidR="008F451B" w:rsidRPr="00B93360" w:rsidRDefault="008F451B" w:rsidP="00DA7ED2">
            <w:pPr>
              <w:rPr>
                <w:color w:val="000000"/>
                <w:sz w:val="16"/>
                <w:szCs w:val="16"/>
              </w:rPr>
            </w:pPr>
            <w:r w:rsidRPr="00B93360">
              <w:rPr>
                <w:b/>
                <w:bCs/>
                <w:color w:val="000000"/>
                <w:sz w:val="16"/>
                <w:szCs w:val="16"/>
              </w:rPr>
              <w:t>RESULTATS DE L’UNSDCF (OU EQUIVALENT) IMPLIQUANT LE PNUD #1:</w:t>
            </w:r>
            <w:r w:rsidRPr="00B93360">
              <w:rPr>
                <w:color w:val="000000"/>
                <w:sz w:val="16"/>
                <w:szCs w:val="16"/>
              </w:rPr>
              <w:t xml:space="preserve"> </w:t>
            </w:r>
            <w:r w:rsidRPr="00B93360">
              <w:rPr>
                <w:b/>
                <w:i/>
                <w:color w:val="4472C4"/>
                <w:sz w:val="16"/>
                <w:szCs w:val="16"/>
              </w:rPr>
              <w:t>D'ici 2024, les citoyens vivent dans un État régi par l’état de droit, dans un climat de paix et de redevabilité grâce à des institutions publiques fortes, aux médias et à la société civile exerçant leurs rôles et responsabilités pour une gouvernance efficace et inclusive.</w:t>
            </w:r>
            <w:r w:rsidRPr="00B93360">
              <w:rPr>
                <w:b/>
                <w:i/>
                <w:color w:val="4472C4"/>
                <w:sz w:val="16"/>
                <w:szCs w:val="16"/>
              </w:rPr>
              <w:br/>
              <w:t>D'ici 2024, les p</w:t>
            </w:r>
            <w:r>
              <w:rPr>
                <w:b/>
                <w:i/>
                <w:color w:val="4472C4"/>
                <w:sz w:val="16"/>
                <w:szCs w:val="16"/>
              </w:rPr>
              <w:t xml:space="preserve">opulations </w:t>
            </w:r>
            <w:r w:rsidRPr="00B93360">
              <w:rPr>
                <w:b/>
                <w:i/>
                <w:color w:val="4472C4"/>
                <w:sz w:val="16"/>
                <w:szCs w:val="16"/>
              </w:rPr>
              <w:t>sont résilient</w:t>
            </w:r>
            <w:r>
              <w:rPr>
                <w:b/>
                <w:i/>
                <w:color w:val="4472C4"/>
                <w:sz w:val="16"/>
                <w:szCs w:val="16"/>
              </w:rPr>
              <w:t>e</w:t>
            </w:r>
            <w:r w:rsidRPr="00B93360">
              <w:rPr>
                <w:b/>
                <w:i/>
                <w:color w:val="4472C4"/>
                <w:sz w:val="16"/>
                <w:szCs w:val="16"/>
              </w:rPr>
              <w:t>s aux conflits, vivent réconcilié</w:t>
            </w:r>
            <w:r>
              <w:rPr>
                <w:b/>
                <w:i/>
                <w:color w:val="4472C4"/>
                <w:sz w:val="16"/>
                <w:szCs w:val="16"/>
              </w:rPr>
              <w:t>e</w:t>
            </w:r>
            <w:r w:rsidRPr="00B93360">
              <w:rPr>
                <w:b/>
                <w:i/>
                <w:color w:val="4472C4"/>
                <w:sz w:val="16"/>
                <w:szCs w:val="16"/>
              </w:rPr>
              <w:t>s et en harmonie dans un environnement de paix, sécurisé et respectueux des droits de l'homme et des traditions culturelles positives</w:t>
            </w:r>
          </w:p>
        </w:tc>
      </w:tr>
      <w:tr w:rsidR="008F451B" w:rsidRPr="00FC56E3" w14:paraId="1A8CAA4B" w14:textId="77777777" w:rsidTr="00DA7ED2">
        <w:trPr>
          <w:trHeight w:val="355"/>
        </w:trPr>
        <w:tc>
          <w:tcPr>
            <w:tcW w:w="5000" w:type="pct"/>
            <w:gridSpan w:val="5"/>
            <w:tcBorders>
              <w:left w:val="single" w:sz="4" w:space="0" w:color="auto"/>
              <w:right w:val="single" w:sz="4" w:space="0" w:color="auto"/>
            </w:tcBorders>
            <w:shd w:val="clear" w:color="auto" w:fill="D9E2F3" w:themeFill="accent1" w:themeFillTint="33"/>
            <w:tcMar>
              <w:top w:w="72" w:type="dxa"/>
              <w:left w:w="144" w:type="dxa"/>
              <w:bottom w:w="72" w:type="dxa"/>
              <w:right w:w="144" w:type="dxa"/>
            </w:tcMar>
          </w:tcPr>
          <w:p w14:paraId="78FCEFE9" w14:textId="77777777" w:rsidR="008F451B" w:rsidRPr="00B93360" w:rsidRDefault="008F451B" w:rsidP="00DA7ED2">
            <w:pPr>
              <w:rPr>
                <w:b/>
                <w:bCs/>
                <w:color w:val="000000"/>
                <w:sz w:val="16"/>
                <w:szCs w:val="16"/>
              </w:rPr>
            </w:pPr>
            <w:r w:rsidRPr="004D2CBB">
              <w:rPr>
                <w:b/>
                <w:bCs/>
                <w:color w:val="000000"/>
                <w:sz w:val="16"/>
                <w:szCs w:val="16"/>
              </w:rPr>
              <w:t>RÉSULTAT DU PLAN STRATÉGIQUE CONNEXE:</w:t>
            </w:r>
            <w:r w:rsidRPr="00B93360">
              <w:rPr>
                <w:b/>
                <w:bCs/>
                <w:color w:val="000000"/>
                <w:sz w:val="16"/>
                <w:szCs w:val="16"/>
              </w:rPr>
              <w:t xml:space="preserve"> </w:t>
            </w:r>
            <w:r w:rsidRPr="00B93360">
              <w:rPr>
                <w:b/>
                <w:i/>
                <w:color w:val="4472C4" w:themeColor="accent1"/>
                <w:sz w:val="16"/>
                <w:szCs w:val="16"/>
              </w:rPr>
              <w:t>Accélér</w:t>
            </w:r>
            <w:r>
              <w:rPr>
                <w:b/>
                <w:i/>
                <w:color w:val="4472C4" w:themeColor="accent1"/>
                <w:sz w:val="16"/>
                <w:szCs w:val="16"/>
              </w:rPr>
              <w:t>er</w:t>
            </w:r>
            <w:r w:rsidRPr="00B93360">
              <w:rPr>
                <w:b/>
                <w:i/>
                <w:color w:val="4472C4" w:themeColor="accent1"/>
                <w:sz w:val="16"/>
                <w:szCs w:val="16"/>
              </w:rPr>
              <w:t xml:space="preserve"> </w:t>
            </w:r>
            <w:r>
              <w:rPr>
                <w:b/>
                <w:i/>
                <w:color w:val="4472C4" w:themeColor="accent1"/>
                <w:sz w:val="16"/>
                <w:szCs w:val="16"/>
              </w:rPr>
              <w:t xml:space="preserve">les </w:t>
            </w:r>
            <w:r w:rsidRPr="00B93360">
              <w:rPr>
                <w:b/>
                <w:i/>
                <w:color w:val="4472C4" w:themeColor="accent1"/>
                <w:sz w:val="16"/>
                <w:szCs w:val="16"/>
              </w:rPr>
              <w:t>transformations  structur</w:t>
            </w:r>
            <w:r>
              <w:rPr>
                <w:b/>
                <w:i/>
                <w:color w:val="4472C4" w:themeColor="accent1"/>
                <w:sz w:val="16"/>
                <w:szCs w:val="16"/>
              </w:rPr>
              <w:t>e</w:t>
            </w:r>
            <w:r w:rsidRPr="00B93360">
              <w:rPr>
                <w:b/>
                <w:i/>
                <w:color w:val="4472C4" w:themeColor="accent1"/>
                <w:sz w:val="16"/>
                <w:szCs w:val="16"/>
              </w:rPr>
              <w:t>l</w:t>
            </w:r>
            <w:r>
              <w:rPr>
                <w:b/>
                <w:i/>
                <w:color w:val="4472C4" w:themeColor="accent1"/>
                <w:sz w:val="16"/>
                <w:szCs w:val="16"/>
              </w:rPr>
              <w:t>les</w:t>
            </w:r>
            <w:r w:rsidRPr="00B93360">
              <w:rPr>
                <w:b/>
                <w:i/>
                <w:color w:val="4472C4" w:themeColor="accent1"/>
                <w:sz w:val="16"/>
                <w:szCs w:val="16"/>
              </w:rPr>
              <w:t xml:space="preserve"> </w:t>
            </w:r>
            <w:r>
              <w:rPr>
                <w:b/>
                <w:i/>
                <w:color w:val="4472C4" w:themeColor="accent1"/>
                <w:sz w:val="16"/>
                <w:szCs w:val="16"/>
              </w:rPr>
              <w:t>p</w:t>
            </w:r>
            <w:r w:rsidRPr="00B93360">
              <w:rPr>
                <w:b/>
                <w:i/>
                <w:color w:val="4472C4" w:themeColor="accent1"/>
                <w:sz w:val="16"/>
                <w:szCs w:val="16"/>
              </w:rPr>
              <w:t>o</w:t>
            </w:r>
            <w:r>
              <w:rPr>
                <w:b/>
                <w:i/>
                <w:color w:val="4472C4" w:themeColor="accent1"/>
                <w:sz w:val="16"/>
                <w:szCs w:val="16"/>
              </w:rPr>
              <w:t>u</w:t>
            </w:r>
            <w:r w:rsidRPr="00B93360">
              <w:rPr>
                <w:b/>
                <w:i/>
                <w:color w:val="4472C4" w:themeColor="accent1"/>
                <w:sz w:val="16"/>
                <w:szCs w:val="16"/>
              </w:rPr>
              <w:t xml:space="preserve">r </w:t>
            </w:r>
            <w:r>
              <w:rPr>
                <w:b/>
                <w:i/>
                <w:color w:val="4472C4" w:themeColor="accent1"/>
                <w:sz w:val="16"/>
                <w:szCs w:val="16"/>
              </w:rPr>
              <w:t xml:space="preserve">le </w:t>
            </w:r>
            <w:r w:rsidRPr="00B93360">
              <w:rPr>
                <w:b/>
                <w:i/>
                <w:color w:val="4472C4" w:themeColor="accent1"/>
                <w:sz w:val="16"/>
                <w:szCs w:val="16"/>
              </w:rPr>
              <w:t>dévelop</w:t>
            </w:r>
            <w:r>
              <w:rPr>
                <w:b/>
                <w:i/>
                <w:color w:val="4472C4" w:themeColor="accent1"/>
                <w:sz w:val="16"/>
                <w:szCs w:val="16"/>
              </w:rPr>
              <w:t>pe</w:t>
            </w:r>
            <w:r w:rsidRPr="00B93360">
              <w:rPr>
                <w:b/>
                <w:i/>
                <w:color w:val="4472C4" w:themeColor="accent1"/>
                <w:sz w:val="16"/>
                <w:szCs w:val="16"/>
              </w:rPr>
              <w:t>ment</w:t>
            </w:r>
            <w:r>
              <w:rPr>
                <w:b/>
                <w:i/>
                <w:color w:val="4472C4" w:themeColor="accent1"/>
                <w:sz w:val="16"/>
                <w:szCs w:val="16"/>
              </w:rPr>
              <w:t xml:space="preserve"> durable</w:t>
            </w:r>
            <w:r w:rsidRPr="00B93360">
              <w:rPr>
                <w:b/>
                <w:bCs/>
                <w:color w:val="000000"/>
                <w:sz w:val="16"/>
                <w:szCs w:val="16"/>
              </w:rPr>
              <w:t xml:space="preserve"> </w:t>
            </w:r>
          </w:p>
        </w:tc>
      </w:tr>
      <w:tr w:rsidR="008F451B" w:rsidRPr="007C2D1C" w14:paraId="12BFEA97" w14:textId="77777777" w:rsidTr="00DA7ED2">
        <w:trPr>
          <w:trHeight w:val="539"/>
        </w:trPr>
        <w:tc>
          <w:tcPr>
            <w:tcW w:w="829" w:type="pct"/>
            <w:tcBorders>
              <w:left w:val="single" w:sz="4" w:space="0" w:color="auto"/>
              <w:bottom w:val="single" w:sz="4" w:space="0" w:color="auto"/>
            </w:tcBorders>
            <w:shd w:val="clear" w:color="auto" w:fill="D9E2F3" w:themeFill="accent1" w:themeFillTint="33"/>
            <w:tcMar>
              <w:top w:w="72" w:type="dxa"/>
              <w:left w:w="144" w:type="dxa"/>
              <w:bottom w:w="72" w:type="dxa"/>
              <w:right w:w="144" w:type="dxa"/>
            </w:tcMar>
            <w:vAlign w:val="center"/>
          </w:tcPr>
          <w:p w14:paraId="216DC169" w14:textId="77777777" w:rsidR="008F451B" w:rsidRPr="00AC7047" w:rsidRDefault="008F451B" w:rsidP="00DA7ED2">
            <w:pPr>
              <w:jc w:val="center"/>
              <w:rPr>
                <w:b/>
                <w:sz w:val="16"/>
                <w:szCs w:val="16"/>
              </w:rPr>
            </w:pPr>
            <w:r w:rsidRPr="00AC7047">
              <w:rPr>
                <w:b/>
                <w:sz w:val="16"/>
                <w:szCs w:val="16"/>
              </w:rPr>
              <w:t>INDICATEUR DE RÉSULTAT DE L’UNSDCF, REFERENCES, CIBLE(S)</w:t>
            </w:r>
          </w:p>
        </w:tc>
        <w:tc>
          <w:tcPr>
            <w:tcW w:w="720" w:type="pct"/>
            <w:tcBorders>
              <w:bottom w:val="single" w:sz="4" w:space="0" w:color="auto"/>
            </w:tcBorders>
            <w:shd w:val="clear" w:color="auto" w:fill="D9E2F3" w:themeFill="accent1" w:themeFillTint="33"/>
            <w:vAlign w:val="center"/>
          </w:tcPr>
          <w:p w14:paraId="0AA19B89" w14:textId="77777777" w:rsidR="008F451B" w:rsidRPr="00AC7047" w:rsidRDefault="008F451B" w:rsidP="00DA7ED2">
            <w:pPr>
              <w:jc w:val="center"/>
              <w:rPr>
                <w:b/>
                <w:sz w:val="16"/>
                <w:szCs w:val="16"/>
              </w:rPr>
            </w:pPr>
            <w:r w:rsidRPr="00AC7047">
              <w:rPr>
                <w:b/>
                <w:sz w:val="16"/>
                <w:szCs w:val="16"/>
              </w:rPr>
              <w:t>SOURCE DE DONNÉES ET FRÉQUENCE DE LA COLLECTE DE DONNÉES ET RESPONSABILITÉS</w:t>
            </w:r>
          </w:p>
        </w:tc>
        <w:tc>
          <w:tcPr>
            <w:tcW w:w="1817" w:type="pct"/>
            <w:tcBorders>
              <w:bottom w:val="single" w:sz="4" w:space="0" w:color="auto"/>
            </w:tcBorders>
            <w:shd w:val="clear" w:color="auto" w:fill="D9E2F3" w:themeFill="accent1" w:themeFillTint="33"/>
            <w:tcMar>
              <w:top w:w="72" w:type="dxa"/>
              <w:left w:w="144" w:type="dxa"/>
              <w:bottom w:w="72" w:type="dxa"/>
              <w:right w:w="144" w:type="dxa"/>
            </w:tcMar>
            <w:vAlign w:val="center"/>
          </w:tcPr>
          <w:p w14:paraId="74D887B2" w14:textId="77777777" w:rsidR="008F451B" w:rsidRPr="00AC7047" w:rsidRDefault="008F451B" w:rsidP="00DA7ED2">
            <w:pPr>
              <w:jc w:val="center"/>
              <w:rPr>
                <w:b/>
                <w:sz w:val="16"/>
                <w:szCs w:val="16"/>
              </w:rPr>
            </w:pPr>
            <w:r w:rsidRPr="00AC7047">
              <w:rPr>
                <w:b/>
                <w:sz w:val="16"/>
                <w:szCs w:val="16"/>
              </w:rPr>
              <w:t xml:space="preserve">RÉSULTATS INDICATIFS DU PROGRAMME PAYS </w:t>
            </w:r>
            <w:r w:rsidRPr="00AC7047">
              <w:rPr>
                <w:b/>
                <w:i/>
                <w:sz w:val="16"/>
                <w:szCs w:val="16"/>
              </w:rPr>
              <w:t>(notamment les indicateurs, les références et les cibles)</w:t>
            </w:r>
          </w:p>
        </w:tc>
        <w:tc>
          <w:tcPr>
            <w:tcW w:w="676" w:type="pct"/>
            <w:tcBorders>
              <w:bottom w:val="single" w:sz="4" w:space="0" w:color="auto"/>
            </w:tcBorders>
            <w:shd w:val="clear" w:color="auto" w:fill="D9E2F3" w:themeFill="accent1" w:themeFillTint="33"/>
            <w:vAlign w:val="center"/>
          </w:tcPr>
          <w:p w14:paraId="31DAA8F5" w14:textId="77777777" w:rsidR="008F451B" w:rsidRPr="00AC7047" w:rsidRDefault="008F451B" w:rsidP="00DA7ED2">
            <w:pPr>
              <w:jc w:val="center"/>
              <w:rPr>
                <w:b/>
                <w:bCs/>
                <w:sz w:val="16"/>
                <w:szCs w:val="16"/>
              </w:rPr>
            </w:pPr>
            <w:r w:rsidRPr="00AC7047">
              <w:rPr>
                <w:b/>
                <w:bCs/>
                <w:sz w:val="16"/>
                <w:szCs w:val="16"/>
              </w:rPr>
              <w:t>PRINCIPAUX PARTENAIRES /  CADRES DE PARTENARIATS</w:t>
            </w:r>
          </w:p>
          <w:p w14:paraId="2C908B0F" w14:textId="77777777" w:rsidR="008F451B" w:rsidRPr="00AC7047" w:rsidRDefault="008F451B" w:rsidP="00DA7ED2">
            <w:pPr>
              <w:jc w:val="center"/>
              <w:rPr>
                <w:b/>
                <w:bCs/>
                <w:sz w:val="16"/>
                <w:szCs w:val="16"/>
              </w:rPr>
            </w:pPr>
          </w:p>
        </w:tc>
        <w:tc>
          <w:tcPr>
            <w:tcW w:w="958" w:type="pct"/>
            <w:tcBorders>
              <w:bottom w:val="single" w:sz="4" w:space="0" w:color="auto"/>
              <w:right w:val="single" w:sz="4" w:space="0" w:color="auto"/>
            </w:tcBorders>
            <w:shd w:val="clear" w:color="auto" w:fill="D9E2F3" w:themeFill="accent1" w:themeFillTint="33"/>
            <w:tcMar>
              <w:top w:w="15" w:type="dxa"/>
              <w:left w:w="108" w:type="dxa"/>
              <w:bottom w:w="0" w:type="dxa"/>
              <w:right w:w="108" w:type="dxa"/>
            </w:tcMar>
            <w:vAlign w:val="center"/>
          </w:tcPr>
          <w:p w14:paraId="40337FF0" w14:textId="77777777" w:rsidR="008F451B" w:rsidRPr="00AC7047" w:rsidRDefault="008F451B" w:rsidP="00DA7ED2">
            <w:pPr>
              <w:rPr>
                <w:b/>
                <w:sz w:val="16"/>
                <w:szCs w:val="16"/>
              </w:rPr>
            </w:pPr>
            <w:r w:rsidRPr="00AC7047">
              <w:rPr>
                <w:b/>
                <w:sz w:val="16"/>
                <w:szCs w:val="16"/>
              </w:rPr>
              <w:t>RESSOURCES INDICATIVES PAR RÉSULTAT (US $)</w:t>
            </w:r>
          </w:p>
        </w:tc>
      </w:tr>
      <w:tr w:rsidR="008F451B" w:rsidRPr="003C26C1" w14:paraId="5E72A48D" w14:textId="77777777" w:rsidTr="00DA7ED2">
        <w:trPr>
          <w:trHeight w:val="20"/>
        </w:trPr>
        <w:tc>
          <w:tcPr>
            <w:tcW w:w="829"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67975282" w14:textId="77777777" w:rsidR="008F451B" w:rsidRPr="00B93360" w:rsidRDefault="008F451B" w:rsidP="00DA7ED2">
            <w:pPr>
              <w:spacing w:line="256" w:lineRule="auto"/>
              <w:rPr>
                <w:iCs/>
                <w:sz w:val="16"/>
                <w:szCs w:val="16"/>
              </w:rPr>
            </w:pPr>
            <w:r w:rsidRPr="00B93360">
              <w:rPr>
                <w:b/>
                <w:iCs/>
                <w:sz w:val="16"/>
                <w:szCs w:val="16"/>
              </w:rPr>
              <w:t>Indicateur 1.1:</w:t>
            </w:r>
            <w:r w:rsidRPr="00B93360">
              <w:rPr>
                <w:iCs/>
                <w:sz w:val="16"/>
                <w:szCs w:val="16"/>
              </w:rPr>
              <w:t xml:space="preserve"> Proportion de la population satisfaite de sa dernière expérience avec les services publics</w:t>
            </w:r>
          </w:p>
          <w:p w14:paraId="33453326" w14:textId="77777777" w:rsidR="008F451B" w:rsidRPr="00B17BE1" w:rsidRDefault="008F451B" w:rsidP="00DA7ED2">
            <w:pPr>
              <w:rPr>
                <w:iCs/>
                <w:sz w:val="16"/>
                <w:szCs w:val="16"/>
              </w:rPr>
            </w:pPr>
            <w:r w:rsidRPr="00B17BE1">
              <w:rPr>
                <w:b/>
                <w:iCs/>
                <w:sz w:val="16"/>
                <w:szCs w:val="16"/>
              </w:rPr>
              <w:t>Référence:</w:t>
            </w:r>
            <w:r w:rsidRPr="00B17BE1">
              <w:rPr>
                <w:iCs/>
                <w:sz w:val="16"/>
                <w:szCs w:val="16"/>
              </w:rPr>
              <w:t xml:space="preserve"> 47% (2018)</w:t>
            </w:r>
          </w:p>
          <w:p w14:paraId="00C7FE31" w14:textId="77777777" w:rsidR="008F451B" w:rsidRPr="00B17BE1" w:rsidRDefault="008F451B" w:rsidP="00DA7ED2">
            <w:pPr>
              <w:rPr>
                <w:iCs/>
                <w:sz w:val="16"/>
                <w:szCs w:val="16"/>
              </w:rPr>
            </w:pPr>
            <w:r w:rsidRPr="00B17BE1">
              <w:rPr>
                <w:b/>
                <w:iCs/>
                <w:sz w:val="16"/>
                <w:szCs w:val="16"/>
              </w:rPr>
              <w:t>Cible:</w:t>
            </w:r>
            <w:r w:rsidRPr="00B17BE1">
              <w:rPr>
                <w:iCs/>
                <w:sz w:val="16"/>
                <w:szCs w:val="16"/>
              </w:rPr>
              <w:t xml:space="preserve"> 50%</w:t>
            </w:r>
          </w:p>
          <w:p w14:paraId="136F58EC" w14:textId="77777777" w:rsidR="008F451B" w:rsidRPr="00B17BE1" w:rsidRDefault="008F451B" w:rsidP="00DA7ED2">
            <w:pPr>
              <w:rPr>
                <w:iCs/>
                <w:sz w:val="16"/>
                <w:szCs w:val="16"/>
              </w:rPr>
            </w:pPr>
          </w:p>
          <w:p w14:paraId="31B31547" w14:textId="77777777" w:rsidR="008F451B" w:rsidRPr="00CE135B" w:rsidRDefault="008F451B" w:rsidP="00DA7ED2">
            <w:pPr>
              <w:spacing w:line="256" w:lineRule="auto"/>
              <w:rPr>
                <w:iCs/>
                <w:sz w:val="16"/>
                <w:szCs w:val="16"/>
              </w:rPr>
            </w:pPr>
            <w:r w:rsidRPr="00CE135B">
              <w:rPr>
                <w:b/>
                <w:iCs/>
                <w:sz w:val="16"/>
                <w:szCs w:val="16"/>
              </w:rPr>
              <w:t>Indicateur 1.2</w:t>
            </w:r>
            <w:r w:rsidRPr="00CE135B">
              <w:rPr>
                <w:iCs/>
                <w:sz w:val="16"/>
                <w:szCs w:val="16"/>
              </w:rPr>
              <w:t xml:space="preserve">: </w:t>
            </w:r>
            <w:r w:rsidRPr="007C2D1C">
              <w:rPr>
                <w:sz w:val="16"/>
                <w:szCs w:val="16"/>
              </w:rPr>
              <w:t>Index</w:t>
            </w:r>
            <w:r w:rsidRPr="00CE135B">
              <w:rPr>
                <w:iCs/>
                <w:sz w:val="16"/>
                <w:szCs w:val="16"/>
              </w:rPr>
              <w:t xml:space="preserve"> Mo Ibrahim sur l'état de droit</w:t>
            </w:r>
          </w:p>
          <w:p w14:paraId="3E4404F8" w14:textId="77777777" w:rsidR="008F451B" w:rsidRPr="00CE135B" w:rsidRDefault="008F451B" w:rsidP="00DA7ED2">
            <w:pPr>
              <w:spacing w:line="256" w:lineRule="auto"/>
              <w:rPr>
                <w:iCs/>
                <w:sz w:val="16"/>
                <w:szCs w:val="16"/>
              </w:rPr>
            </w:pPr>
            <w:r w:rsidRPr="00CE135B">
              <w:rPr>
                <w:b/>
                <w:iCs/>
                <w:sz w:val="16"/>
                <w:szCs w:val="16"/>
              </w:rPr>
              <w:t>Référence:</w:t>
            </w:r>
            <w:r w:rsidRPr="00CE135B">
              <w:rPr>
                <w:iCs/>
                <w:sz w:val="16"/>
                <w:szCs w:val="16"/>
              </w:rPr>
              <w:t xml:space="preserve"> 49,7 (2017)</w:t>
            </w:r>
          </w:p>
          <w:p w14:paraId="527F7AD1" w14:textId="77777777" w:rsidR="008F451B" w:rsidRPr="00CE135B" w:rsidRDefault="008F451B" w:rsidP="00DA7ED2">
            <w:pPr>
              <w:rPr>
                <w:iCs/>
                <w:sz w:val="16"/>
                <w:szCs w:val="16"/>
              </w:rPr>
            </w:pPr>
            <w:r w:rsidRPr="00CE135B">
              <w:rPr>
                <w:b/>
                <w:iCs/>
                <w:sz w:val="16"/>
                <w:szCs w:val="16"/>
              </w:rPr>
              <w:t>Cible:</w:t>
            </w:r>
            <w:r w:rsidRPr="00CE135B">
              <w:rPr>
                <w:iCs/>
                <w:sz w:val="16"/>
                <w:szCs w:val="16"/>
              </w:rPr>
              <w:t xml:space="preserve"> 60</w:t>
            </w:r>
          </w:p>
          <w:p w14:paraId="7F97887A" w14:textId="77777777" w:rsidR="008F451B" w:rsidRPr="00B17BE1" w:rsidRDefault="008F451B" w:rsidP="00DA7ED2">
            <w:pPr>
              <w:rPr>
                <w:iCs/>
                <w:sz w:val="16"/>
                <w:szCs w:val="16"/>
              </w:rPr>
            </w:pPr>
          </w:p>
          <w:p w14:paraId="735BA761" w14:textId="77777777" w:rsidR="008F451B" w:rsidRPr="00B17BE1" w:rsidRDefault="008F451B" w:rsidP="00DA7ED2">
            <w:pPr>
              <w:rPr>
                <w:iCs/>
                <w:sz w:val="16"/>
                <w:szCs w:val="16"/>
              </w:rPr>
            </w:pPr>
          </w:p>
          <w:p w14:paraId="1E312635" w14:textId="77777777" w:rsidR="008F451B" w:rsidRPr="00B93360" w:rsidRDefault="008F451B" w:rsidP="00DA7ED2">
            <w:pPr>
              <w:rPr>
                <w:iCs/>
                <w:sz w:val="16"/>
                <w:szCs w:val="16"/>
              </w:rPr>
            </w:pPr>
            <w:r w:rsidRPr="00B17BE1">
              <w:rPr>
                <w:b/>
                <w:iCs/>
                <w:sz w:val="16"/>
                <w:szCs w:val="16"/>
              </w:rPr>
              <w:t>Indicateur 1.3</w:t>
            </w:r>
            <w:r w:rsidRPr="00B93360">
              <w:rPr>
                <w:iCs/>
                <w:sz w:val="16"/>
                <w:szCs w:val="16"/>
              </w:rPr>
              <w:t xml:space="preserve">: </w:t>
            </w:r>
            <w:r w:rsidRPr="00B93360">
              <w:rPr>
                <w:sz w:val="16"/>
                <w:szCs w:val="16"/>
              </w:rPr>
              <w:t>Participation</w:t>
            </w:r>
            <w:r w:rsidRPr="00B93360">
              <w:rPr>
                <w:iCs/>
                <w:sz w:val="16"/>
                <w:szCs w:val="16"/>
              </w:rPr>
              <w:t xml:space="preserve"> électorale </w:t>
            </w:r>
            <w:r>
              <w:rPr>
                <w:iCs/>
                <w:sz w:val="16"/>
                <w:szCs w:val="16"/>
              </w:rPr>
              <w:t xml:space="preserve">désagrégée </w:t>
            </w:r>
            <w:r w:rsidRPr="00B93360">
              <w:rPr>
                <w:iCs/>
                <w:sz w:val="16"/>
                <w:szCs w:val="16"/>
              </w:rPr>
              <w:t>par type et par sexe</w:t>
            </w:r>
          </w:p>
          <w:p w14:paraId="5E937D5E" w14:textId="77777777" w:rsidR="008F451B" w:rsidRPr="00B93360" w:rsidRDefault="008F451B" w:rsidP="00DA7ED2">
            <w:pPr>
              <w:rPr>
                <w:iCs/>
                <w:sz w:val="16"/>
                <w:szCs w:val="16"/>
              </w:rPr>
            </w:pPr>
            <w:r>
              <w:rPr>
                <w:b/>
                <w:iCs/>
                <w:sz w:val="16"/>
                <w:szCs w:val="16"/>
              </w:rPr>
              <w:t>Référence</w:t>
            </w:r>
            <w:r w:rsidRPr="00B93360">
              <w:rPr>
                <w:iCs/>
                <w:sz w:val="16"/>
                <w:szCs w:val="16"/>
              </w:rPr>
              <w:t xml:space="preserve">: </w:t>
            </w:r>
            <w:r w:rsidRPr="00CD5E7D">
              <w:rPr>
                <w:sz w:val="16"/>
                <w:szCs w:val="16"/>
              </w:rPr>
              <w:t>par</w:t>
            </w:r>
            <w:r w:rsidRPr="00CD5E7D">
              <w:rPr>
                <w:iCs/>
                <w:sz w:val="16"/>
                <w:szCs w:val="16"/>
              </w:rPr>
              <w:t xml:space="preserve"> </w:t>
            </w:r>
            <w:r w:rsidRPr="00B93360">
              <w:rPr>
                <w:iCs/>
                <w:sz w:val="16"/>
                <w:szCs w:val="16"/>
              </w:rPr>
              <w:t xml:space="preserve"> type: a) 42,7% (1</w:t>
            </w:r>
            <w:r w:rsidRPr="00CD5E7D">
              <w:rPr>
                <w:iCs/>
                <w:sz w:val="16"/>
                <w:szCs w:val="16"/>
                <w:vertAlign w:val="superscript"/>
              </w:rPr>
              <w:t>er</w:t>
            </w:r>
            <w:r>
              <w:rPr>
                <w:iCs/>
                <w:sz w:val="16"/>
                <w:szCs w:val="16"/>
              </w:rPr>
              <w:t xml:space="preserve"> </w:t>
            </w:r>
            <w:r w:rsidRPr="00B93360">
              <w:rPr>
                <w:iCs/>
                <w:sz w:val="16"/>
                <w:szCs w:val="16"/>
              </w:rPr>
              <w:t xml:space="preserve">tour présidentielle 2018)  </w:t>
            </w:r>
          </w:p>
          <w:p w14:paraId="5B3D6F3D" w14:textId="77777777" w:rsidR="008F451B" w:rsidRPr="00B93360" w:rsidRDefault="008F451B" w:rsidP="00DA7ED2">
            <w:pPr>
              <w:rPr>
                <w:iCs/>
                <w:sz w:val="16"/>
                <w:szCs w:val="16"/>
              </w:rPr>
            </w:pPr>
            <w:r w:rsidRPr="00B93360">
              <w:rPr>
                <w:iCs/>
                <w:sz w:val="16"/>
                <w:szCs w:val="16"/>
              </w:rPr>
              <w:t xml:space="preserve">Par sexe : b) 29,9% </w:t>
            </w:r>
            <w:r w:rsidRPr="00B93360">
              <w:rPr>
                <w:rFonts w:asciiTheme="minorHAnsi" w:eastAsiaTheme="minorHAnsi" w:hAnsiTheme="minorHAnsi" w:cstheme="minorBidi"/>
              </w:rPr>
              <w:t xml:space="preserve"> </w:t>
            </w:r>
            <w:r w:rsidRPr="00B93360">
              <w:rPr>
                <w:iCs/>
                <w:sz w:val="16"/>
                <w:szCs w:val="16"/>
              </w:rPr>
              <w:t>pour les femmes (1</w:t>
            </w:r>
            <w:r w:rsidRPr="00B93360">
              <w:rPr>
                <w:iCs/>
                <w:sz w:val="16"/>
                <w:szCs w:val="16"/>
                <w:vertAlign w:val="superscript"/>
              </w:rPr>
              <w:t>er</w:t>
            </w:r>
            <w:r w:rsidRPr="00B93360">
              <w:rPr>
                <w:iCs/>
                <w:sz w:val="16"/>
                <w:szCs w:val="16"/>
              </w:rPr>
              <w:t xml:space="preserve"> tour présidentielle 2018) </w:t>
            </w:r>
          </w:p>
          <w:p w14:paraId="5EE16D2C" w14:textId="77777777" w:rsidR="008F451B" w:rsidRDefault="008F451B" w:rsidP="00DA7ED2">
            <w:pPr>
              <w:rPr>
                <w:iCs/>
                <w:sz w:val="16"/>
                <w:szCs w:val="16"/>
              </w:rPr>
            </w:pPr>
            <w:r>
              <w:rPr>
                <w:b/>
                <w:iCs/>
                <w:sz w:val="16"/>
                <w:szCs w:val="16"/>
              </w:rPr>
              <w:t>Cible</w:t>
            </w:r>
            <w:r>
              <w:rPr>
                <w:iCs/>
                <w:sz w:val="16"/>
                <w:szCs w:val="16"/>
              </w:rPr>
              <w:t xml:space="preserve">: </w:t>
            </w:r>
            <w:r w:rsidRPr="003F3F26">
              <w:rPr>
                <w:iCs/>
                <w:sz w:val="16"/>
                <w:szCs w:val="16"/>
              </w:rPr>
              <w:t>a) 46%</w:t>
            </w:r>
            <w:r>
              <w:rPr>
                <w:iCs/>
                <w:sz w:val="16"/>
                <w:szCs w:val="16"/>
              </w:rPr>
              <w:t xml:space="preserve">, </w:t>
            </w:r>
            <w:r w:rsidRPr="003F3F26">
              <w:rPr>
                <w:iCs/>
                <w:sz w:val="16"/>
                <w:szCs w:val="16"/>
              </w:rPr>
              <w:t>b) 35%</w:t>
            </w:r>
          </w:p>
          <w:p w14:paraId="09260E0D" w14:textId="77777777" w:rsidR="008F451B" w:rsidRDefault="008F451B" w:rsidP="00DA7ED2">
            <w:pPr>
              <w:rPr>
                <w:iCs/>
                <w:sz w:val="16"/>
                <w:szCs w:val="16"/>
              </w:rPr>
            </w:pPr>
          </w:p>
          <w:p w14:paraId="13F5ACC4" w14:textId="77777777" w:rsidR="008F451B" w:rsidRDefault="008F451B" w:rsidP="00DA7ED2">
            <w:pPr>
              <w:rPr>
                <w:iCs/>
                <w:sz w:val="16"/>
                <w:szCs w:val="16"/>
              </w:rPr>
            </w:pPr>
          </w:p>
          <w:p w14:paraId="52F19CD7" w14:textId="77777777" w:rsidR="008F451B" w:rsidRPr="00EF34F3" w:rsidRDefault="008F451B" w:rsidP="00DA7ED2">
            <w:pPr>
              <w:rPr>
                <w:iCs/>
                <w:sz w:val="16"/>
                <w:szCs w:val="16"/>
              </w:rPr>
            </w:pPr>
            <w:r>
              <w:rPr>
                <w:iCs/>
                <w:sz w:val="16"/>
                <w:szCs w:val="16"/>
              </w:rPr>
              <w:t xml:space="preserve"> </w:t>
            </w:r>
          </w:p>
        </w:tc>
        <w:tc>
          <w:tcPr>
            <w:tcW w:w="720" w:type="pct"/>
            <w:vMerge w:val="restart"/>
            <w:tcBorders>
              <w:top w:val="single" w:sz="4" w:space="0" w:color="auto"/>
              <w:bottom w:val="single" w:sz="4" w:space="0" w:color="auto"/>
              <w:right w:val="single" w:sz="4" w:space="0" w:color="auto"/>
            </w:tcBorders>
          </w:tcPr>
          <w:p w14:paraId="1A1AC271" w14:textId="77777777" w:rsidR="008F451B" w:rsidRPr="00B17BE1" w:rsidRDefault="008F451B" w:rsidP="00DA7ED2">
            <w:pPr>
              <w:rPr>
                <w:b/>
                <w:bCs/>
                <w:color w:val="000000"/>
                <w:sz w:val="16"/>
                <w:szCs w:val="16"/>
              </w:rPr>
            </w:pPr>
            <w:r w:rsidRPr="00B17BE1">
              <w:rPr>
                <w:b/>
                <w:bCs/>
                <w:color w:val="000000"/>
                <w:sz w:val="16"/>
                <w:szCs w:val="16"/>
              </w:rPr>
              <w:t xml:space="preserve">Source de données: </w:t>
            </w:r>
            <w:r w:rsidRPr="00B17BE1">
              <w:rPr>
                <w:bCs/>
                <w:color w:val="000000"/>
                <w:sz w:val="16"/>
                <w:szCs w:val="16"/>
              </w:rPr>
              <w:t>Mali - Mètre</w:t>
            </w:r>
            <w:r w:rsidRPr="00B17BE1">
              <w:rPr>
                <w:b/>
                <w:bCs/>
                <w:color w:val="000000"/>
                <w:sz w:val="16"/>
                <w:szCs w:val="16"/>
              </w:rPr>
              <w:t xml:space="preserve"> </w:t>
            </w:r>
          </w:p>
          <w:p w14:paraId="0FA236D4" w14:textId="77777777" w:rsidR="008F451B" w:rsidRPr="00B17BE1" w:rsidRDefault="008F451B" w:rsidP="00DA7ED2">
            <w:pPr>
              <w:rPr>
                <w:b/>
                <w:bCs/>
                <w:color w:val="000000"/>
                <w:sz w:val="16"/>
                <w:szCs w:val="16"/>
              </w:rPr>
            </w:pPr>
            <w:r w:rsidRPr="00B17BE1">
              <w:rPr>
                <w:b/>
                <w:bCs/>
                <w:color w:val="000000"/>
                <w:sz w:val="16"/>
                <w:szCs w:val="16"/>
              </w:rPr>
              <w:t xml:space="preserve">Fréquence: </w:t>
            </w:r>
            <w:r w:rsidRPr="00B17BE1">
              <w:rPr>
                <w:bCs/>
                <w:color w:val="000000"/>
                <w:sz w:val="16"/>
                <w:szCs w:val="16"/>
              </w:rPr>
              <w:t>Annuelle</w:t>
            </w:r>
          </w:p>
          <w:p w14:paraId="5D1E2B52" w14:textId="77777777" w:rsidR="008F451B" w:rsidRPr="00D915B9" w:rsidRDefault="008F451B" w:rsidP="00DA7ED2">
            <w:pPr>
              <w:rPr>
                <w:b/>
                <w:bCs/>
                <w:color w:val="000000"/>
                <w:sz w:val="16"/>
                <w:szCs w:val="16"/>
              </w:rPr>
            </w:pPr>
            <w:r w:rsidRPr="00D915B9">
              <w:rPr>
                <w:b/>
                <w:bCs/>
                <w:color w:val="000000"/>
                <w:sz w:val="16"/>
                <w:szCs w:val="16"/>
              </w:rPr>
              <w:t xml:space="preserve">Responsabilité: </w:t>
            </w:r>
          </w:p>
          <w:p w14:paraId="300F346E" w14:textId="19686A4A" w:rsidR="008F451B" w:rsidRPr="008F451B" w:rsidRDefault="008F451B" w:rsidP="00DA7ED2">
            <w:pPr>
              <w:rPr>
                <w:bCs/>
                <w:color w:val="000000"/>
                <w:sz w:val="16"/>
                <w:szCs w:val="16"/>
              </w:rPr>
            </w:pPr>
            <w:r w:rsidRPr="00D915B9">
              <w:rPr>
                <w:bCs/>
                <w:color w:val="000000"/>
                <w:sz w:val="16"/>
                <w:szCs w:val="16"/>
              </w:rPr>
              <w:t xml:space="preserve">Friedrich Ebert </w:t>
            </w:r>
            <w:proofErr w:type="spellStart"/>
            <w:r w:rsidRPr="00D915B9">
              <w:rPr>
                <w:bCs/>
                <w:color w:val="000000"/>
                <w:sz w:val="16"/>
                <w:szCs w:val="16"/>
              </w:rPr>
              <w:t>Stiftung</w:t>
            </w:r>
            <w:proofErr w:type="spellEnd"/>
          </w:p>
          <w:p w14:paraId="525B3E25" w14:textId="77777777" w:rsidR="008F451B" w:rsidRPr="00B17BE1" w:rsidRDefault="008F451B" w:rsidP="00DA7ED2">
            <w:pPr>
              <w:rPr>
                <w:b/>
                <w:bCs/>
                <w:color w:val="000000"/>
                <w:sz w:val="16"/>
                <w:szCs w:val="16"/>
              </w:rPr>
            </w:pPr>
            <w:r w:rsidRPr="00B17BE1">
              <w:rPr>
                <w:b/>
                <w:bCs/>
                <w:color w:val="000000"/>
                <w:sz w:val="16"/>
                <w:szCs w:val="16"/>
              </w:rPr>
              <w:t xml:space="preserve">Source de données: </w:t>
            </w:r>
            <w:r w:rsidRPr="00B17BE1">
              <w:rPr>
                <w:bCs/>
                <w:color w:val="000000"/>
                <w:sz w:val="16"/>
                <w:szCs w:val="16"/>
              </w:rPr>
              <w:t xml:space="preserve">Rapport Mo Ibrahim </w:t>
            </w:r>
          </w:p>
          <w:p w14:paraId="116BF7A6" w14:textId="77777777" w:rsidR="008F451B" w:rsidRPr="00B17BE1" w:rsidRDefault="008F451B" w:rsidP="00DA7ED2">
            <w:pPr>
              <w:rPr>
                <w:b/>
                <w:bCs/>
                <w:color w:val="000000"/>
                <w:sz w:val="16"/>
                <w:szCs w:val="16"/>
              </w:rPr>
            </w:pPr>
            <w:r w:rsidRPr="00B17BE1">
              <w:rPr>
                <w:b/>
                <w:bCs/>
                <w:color w:val="000000"/>
                <w:sz w:val="16"/>
                <w:szCs w:val="16"/>
              </w:rPr>
              <w:t xml:space="preserve">Fréquence: </w:t>
            </w:r>
            <w:r w:rsidRPr="00B17BE1">
              <w:rPr>
                <w:bCs/>
                <w:color w:val="000000"/>
                <w:sz w:val="16"/>
                <w:szCs w:val="16"/>
              </w:rPr>
              <w:t>Annuelle</w:t>
            </w:r>
          </w:p>
          <w:p w14:paraId="7608457D" w14:textId="77777777" w:rsidR="008F451B" w:rsidRPr="00B17BE1" w:rsidRDefault="008F451B" w:rsidP="00DA7ED2">
            <w:pPr>
              <w:rPr>
                <w:b/>
                <w:bCs/>
                <w:color w:val="000000"/>
                <w:sz w:val="16"/>
                <w:szCs w:val="16"/>
              </w:rPr>
            </w:pPr>
            <w:r w:rsidRPr="00B17BE1">
              <w:rPr>
                <w:b/>
                <w:bCs/>
                <w:color w:val="000000"/>
                <w:sz w:val="16"/>
                <w:szCs w:val="16"/>
              </w:rPr>
              <w:t xml:space="preserve">Responsabilité: </w:t>
            </w:r>
            <w:r w:rsidRPr="00B17BE1">
              <w:rPr>
                <w:bCs/>
                <w:color w:val="000000"/>
                <w:sz w:val="16"/>
                <w:szCs w:val="16"/>
              </w:rPr>
              <w:t>Rapport Mo Ibrahim 2018</w:t>
            </w:r>
          </w:p>
          <w:p w14:paraId="365EB05E" w14:textId="77777777" w:rsidR="008F451B" w:rsidRPr="00B17BE1" w:rsidRDefault="008F451B" w:rsidP="00DA7ED2">
            <w:pPr>
              <w:rPr>
                <w:b/>
                <w:bCs/>
                <w:color w:val="000000"/>
                <w:sz w:val="16"/>
                <w:szCs w:val="16"/>
              </w:rPr>
            </w:pPr>
          </w:p>
          <w:p w14:paraId="69A0C59C" w14:textId="77777777" w:rsidR="008F451B" w:rsidRDefault="008F451B" w:rsidP="00DA7ED2">
            <w:pPr>
              <w:rPr>
                <w:b/>
                <w:bCs/>
                <w:color w:val="000000"/>
                <w:sz w:val="16"/>
                <w:szCs w:val="16"/>
              </w:rPr>
            </w:pPr>
          </w:p>
          <w:p w14:paraId="57C9EC1B" w14:textId="77777777" w:rsidR="008F451B" w:rsidRPr="002430CE" w:rsidRDefault="008F451B" w:rsidP="00DA7ED2">
            <w:pPr>
              <w:rPr>
                <w:b/>
                <w:bCs/>
                <w:color w:val="000000"/>
                <w:sz w:val="16"/>
                <w:szCs w:val="16"/>
              </w:rPr>
            </w:pPr>
            <w:r>
              <w:rPr>
                <w:b/>
                <w:bCs/>
                <w:color w:val="000000"/>
                <w:sz w:val="16"/>
                <w:szCs w:val="16"/>
              </w:rPr>
              <w:t>Source de données</w:t>
            </w:r>
            <w:r w:rsidRPr="002430CE">
              <w:rPr>
                <w:b/>
                <w:bCs/>
                <w:color w:val="000000"/>
                <w:sz w:val="16"/>
                <w:szCs w:val="16"/>
              </w:rPr>
              <w:t xml:space="preserve">: </w:t>
            </w:r>
            <w:r w:rsidRPr="002430CE">
              <w:rPr>
                <w:bCs/>
                <w:color w:val="000000"/>
                <w:sz w:val="16"/>
                <w:szCs w:val="16"/>
              </w:rPr>
              <w:t xml:space="preserve">Ministère en charge des </w:t>
            </w:r>
            <w:r>
              <w:rPr>
                <w:bCs/>
                <w:color w:val="000000"/>
                <w:sz w:val="16"/>
                <w:szCs w:val="16"/>
              </w:rPr>
              <w:t>é</w:t>
            </w:r>
            <w:r w:rsidRPr="002430CE">
              <w:rPr>
                <w:bCs/>
                <w:color w:val="000000"/>
                <w:sz w:val="16"/>
                <w:szCs w:val="16"/>
              </w:rPr>
              <w:t>lections,  Cour Constitution</w:t>
            </w:r>
            <w:r>
              <w:rPr>
                <w:bCs/>
                <w:color w:val="000000"/>
                <w:sz w:val="16"/>
                <w:szCs w:val="16"/>
              </w:rPr>
              <w:t>ne</w:t>
            </w:r>
            <w:r w:rsidRPr="002430CE">
              <w:rPr>
                <w:bCs/>
                <w:color w:val="000000"/>
                <w:sz w:val="16"/>
                <w:szCs w:val="16"/>
              </w:rPr>
              <w:t>l</w:t>
            </w:r>
            <w:r>
              <w:rPr>
                <w:bCs/>
                <w:color w:val="000000"/>
                <w:sz w:val="16"/>
                <w:szCs w:val="16"/>
              </w:rPr>
              <w:t>le</w:t>
            </w:r>
            <w:r w:rsidRPr="002430CE">
              <w:rPr>
                <w:bCs/>
                <w:color w:val="000000"/>
                <w:sz w:val="16"/>
                <w:szCs w:val="16"/>
              </w:rPr>
              <w:t>,  observ</w:t>
            </w:r>
            <w:r>
              <w:rPr>
                <w:bCs/>
                <w:color w:val="000000"/>
                <w:sz w:val="16"/>
                <w:szCs w:val="16"/>
              </w:rPr>
              <w:t>at</w:t>
            </w:r>
            <w:r w:rsidRPr="002430CE">
              <w:rPr>
                <w:bCs/>
                <w:color w:val="000000"/>
                <w:sz w:val="16"/>
                <w:szCs w:val="16"/>
              </w:rPr>
              <w:t>e</w:t>
            </w:r>
            <w:r>
              <w:rPr>
                <w:bCs/>
                <w:color w:val="000000"/>
                <w:sz w:val="16"/>
                <w:szCs w:val="16"/>
              </w:rPr>
              <w:t>u</w:t>
            </w:r>
            <w:r w:rsidRPr="002430CE">
              <w:rPr>
                <w:bCs/>
                <w:color w:val="000000"/>
                <w:sz w:val="16"/>
                <w:szCs w:val="16"/>
              </w:rPr>
              <w:t xml:space="preserve">rs </w:t>
            </w:r>
            <w:r>
              <w:rPr>
                <w:bCs/>
                <w:color w:val="000000"/>
                <w:sz w:val="16"/>
                <w:szCs w:val="16"/>
              </w:rPr>
              <w:t>i</w:t>
            </w:r>
            <w:r w:rsidRPr="002430CE">
              <w:rPr>
                <w:bCs/>
                <w:color w:val="000000"/>
                <w:sz w:val="16"/>
                <w:szCs w:val="16"/>
              </w:rPr>
              <w:t>nd</w:t>
            </w:r>
            <w:r>
              <w:rPr>
                <w:bCs/>
                <w:color w:val="000000"/>
                <w:sz w:val="16"/>
                <w:szCs w:val="16"/>
              </w:rPr>
              <w:t>é</w:t>
            </w:r>
            <w:r w:rsidRPr="002430CE">
              <w:rPr>
                <w:bCs/>
                <w:color w:val="000000"/>
                <w:sz w:val="16"/>
                <w:szCs w:val="16"/>
              </w:rPr>
              <w:t>pend</w:t>
            </w:r>
            <w:r>
              <w:rPr>
                <w:bCs/>
                <w:color w:val="000000"/>
                <w:sz w:val="16"/>
                <w:szCs w:val="16"/>
              </w:rPr>
              <w:t>a</w:t>
            </w:r>
            <w:r w:rsidRPr="002430CE">
              <w:rPr>
                <w:bCs/>
                <w:color w:val="000000"/>
                <w:sz w:val="16"/>
                <w:szCs w:val="16"/>
              </w:rPr>
              <w:t>nt</w:t>
            </w:r>
            <w:r>
              <w:rPr>
                <w:bCs/>
                <w:color w:val="000000"/>
                <w:sz w:val="16"/>
                <w:szCs w:val="16"/>
              </w:rPr>
              <w:t>s</w:t>
            </w:r>
            <w:r w:rsidRPr="002430CE">
              <w:rPr>
                <w:bCs/>
                <w:color w:val="000000"/>
                <w:sz w:val="16"/>
                <w:szCs w:val="16"/>
              </w:rPr>
              <w:t xml:space="preserve"> </w:t>
            </w:r>
          </w:p>
          <w:p w14:paraId="78739A00" w14:textId="77777777" w:rsidR="008F451B" w:rsidRPr="00B17BE1" w:rsidRDefault="008F451B" w:rsidP="00DA7ED2">
            <w:pPr>
              <w:rPr>
                <w:b/>
                <w:bCs/>
                <w:color w:val="000000"/>
                <w:sz w:val="16"/>
                <w:szCs w:val="16"/>
              </w:rPr>
            </w:pPr>
            <w:r w:rsidRPr="00B17BE1">
              <w:rPr>
                <w:b/>
                <w:bCs/>
                <w:color w:val="000000"/>
                <w:sz w:val="16"/>
                <w:szCs w:val="16"/>
              </w:rPr>
              <w:t xml:space="preserve">Fréquence: </w:t>
            </w:r>
            <w:r w:rsidRPr="00B17BE1">
              <w:rPr>
                <w:bCs/>
                <w:color w:val="000000"/>
                <w:sz w:val="16"/>
                <w:szCs w:val="16"/>
              </w:rPr>
              <w:t>cyclique</w:t>
            </w:r>
          </w:p>
          <w:p w14:paraId="05E7FC2C" w14:textId="77777777" w:rsidR="008F451B" w:rsidRPr="002430CE" w:rsidRDefault="008F451B" w:rsidP="00DA7ED2">
            <w:pPr>
              <w:rPr>
                <w:bCs/>
                <w:color w:val="000000"/>
                <w:sz w:val="16"/>
                <w:szCs w:val="16"/>
              </w:rPr>
            </w:pPr>
            <w:r>
              <w:rPr>
                <w:b/>
                <w:bCs/>
                <w:color w:val="000000"/>
                <w:sz w:val="16"/>
                <w:szCs w:val="16"/>
              </w:rPr>
              <w:t xml:space="preserve">Responsabilité: </w:t>
            </w:r>
            <w:r w:rsidRPr="002430CE">
              <w:rPr>
                <w:bCs/>
                <w:color w:val="000000"/>
                <w:sz w:val="16"/>
                <w:szCs w:val="16"/>
              </w:rPr>
              <w:t>Ministère en charge des élections,  Cour Constitutionnelle,  observateurs indépendants</w:t>
            </w:r>
          </w:p>
          <w:p w14:paraId="2FC1D55D" w14:textId="77777777" w:rsidR="008F451B" w:rsidRPr="002430CE" w:rsidRDefault="008F451B" w:rsidP="00DA7ED2">
            <w:pPr>
              <w:rPr>
                <w:b/>
                <w:bCs/>
                <w:color w:val="000000"/>
                <w:sz w:val="16"/>
                <w:szCs w:val="16"/>
              </w:rPr>
            </w:pPr>
          </w:p>
          <w:p w14:paraId="3A231F29" w14:textId="77777777" w:rsidR="008F451B" w:rsidRPr="002430CE" w:rsidRDefault="008F451B" w:rsidP="00DA7ED2">
            <w:pPr>
              <w:rPr>
                <w:b/>
                <w:bCs/>
                <w:color w:val="000000"/>
                <w:sz w:val="16"/>
                <w:szCs w:val="16"/>
              </w:rPr>
            </w:pPr>
          </w:p>
          <w:p w14:paraId="706F4195" w14:textId="77777777" w:rsidR="008F451B" w:rsidRPr="002430CE" w:rsidRDefault="008F451B" w:rsidP="00DA7ED2">
            <w:pPr>
              <w:rPr>
                <w:b/>
                <w:bCs/>
                <w:color w:val="000000"/>
                <w:sz w:val="16"/>
                <w:szCs w:val="16"/>
              </w:rPr>
            </w:pPr>
          </w:p>
        </w:tc>
        <w:tc>
          <w:tcPr>
            <w:tcW w:w="1817"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B6E21B4" w14:textId="0C3DB60E" w:rsidR="008F451B" w:rsidRPr="00CD5E7D" w:rsidRDefault="008F451B" w:rsidP="00DA7ED2">
            <w:pPr>
              <w:rPr>
                <w:iCs/>
                <w:sz w:val="16"/>
                <w:szCs w:val="16"/>
              </w:rPr>
            </w:pPr>
            <w:r w:rsidRPr="00CD5E7D">
              <w:rPr>
                <w:b/>
                <w:iCs/>
                <w:sz w:val="16"/>
                <w:szCs w:val="16"/>
                <w:u w:val="single"/>
              </w:rPr>
              <w:t>Résultat 1.1</w:t>
            </w:r>
            <w:r w:rsidRPr="00CD5E7D">
              <w:rPr>
                <w:b/>
                <w:iCs/>
                <w:sz w:val="16"/>
                <w:szCs w:val="16"/>
              </w:rPr>
              <w:t xml:space="preserve">: </w:t>
            </w:r>
            <w:r w:rsidRPr="00CD5E7D">
              <w:rPr>
                <w:iCs/>
                <w:sz w:val="16"/>
                <w:szCs w:val="16"/>
              </w:rPr>
              <w:t xml:space="preserve">Les </w:t>
            </w:r>
            <w:r>
              <w:rPr>
                <w:iCs/>
                <w:sz w:val="16"/>
                <w:szCs w:val="16"/>
              </w:rPr>
              <w:t xml:space="preserve">populations les </w:t>
            </w:r>
            <w:r w:rsidRPr="00CD5E7D">
              <w:rPr>
                <w:iCs/>
                <w:sz w:val="16"/>
                <w:szCs w:val="16"/>
              </w:rPr>
              <w:t xml:space="preserve">plus défavorisés bénéficient de services publics de qualité fournis par des institutions, des structures publiques et des autorités décentralisées locales performantes et responsables </w:t>
            </w:r>
          </w:p>
          <w:p w14:paraId="6B0FC3F0" w14:textId="77777777" w:rsidR="008F451B" w:rsidRPr="00CD5E7D" w:rsidRDefault="008F451B" w:rsidP="00DA7ED2">
            <w:pPr>
              <w:jc w:val="both"/>
              <w:rPr>
                <w:b/>
                <w:iCs/>
                <w:sz w:val="16"/>
                <w:szCs w:val="16"/>
              </w:rPr>
            </w:pPr>
            <w:r w:rsidRPr="00CD5E7D">
              <w:rPr>
                <w:b/>
                <w:iCs/>
                <w:sz w:val="16"/>
                <w:szCs w:val="16"/>
              </w:rPr>
              <w:t xml:space="preserve">Indicateur 1.1.1: </w:t>
            </w:r>
            <w:r w:rsidRPr="00CD5E7D">
              <w:rPr>
                <w:iCs/>
                <w:sz w:val="16"/>
                <w:szCs w:val="16"/>
              </w:rPr>
              <w:t xml:space="preserve">Pourcentage d’autorités décentralisées bénéficiant d’un soutien </w:t>
            </w:r>
            <w:r>
              <w:rPr>
                <w:iCs/>
                <w:sz w:val="16"/>
                <w:szCs w:val="16"/>
              </w:rPr>
              <w:t xml:space="preserve">et </w:t>
            </w:r>
            <w:r w:rsidRPr="00CD5E7D">
              <w:rPr>
                <w:iCs/>
                <w:sz w:val="16"/>
                <w:szCs w:val="16"/>
              </w:rPr>
              <w:t xml:space="preserve">qui organisent des séances de redevabilité </w:t>
            </w:r>
          </w:p>
          <w:p w14:paraId="56DCCE50" w14:textId="77777777" w:rsidR="008F451B" w:rsidRPr="00CD5E7D" w:rsidRDefault="008F451B" w:rsidP="00DA7ED2">
            <w:pPr>
              <w:pStyle w:val="Default"/>
              <w:rPr>
                <w:iCs/>
                <w:color w:val="auto"/>
                <w:sz w:val="16"/>
                <w:szCs w:val="16"/>
              </w:rPr>
            </w:pPr>
            <w:r w:rsidRPr="00CD5E7D">
              <w:rPr>
                <w:b/>
                <w:iCs/>
                <w:color w:val="auto"/>
                <w:sz w:val="16"/>
                <w:szCs w:val="16"/>
              </w:rPr>
              <w:t>Référence</w:t>
            </w:r>
            <w:r w:rsidRPr="00CD5E7D">
              <w:rPr>
                <w:iCs/>
                <w:color w:val="auto"/>
                <w:sz w:val="16"/>
                <w:szCs w:val="16"/>
              </w:rPr>
              <w:t>: 10%</w:t>
            </w:r>
          </w:p>
          <w:p w14:paraId="6FE3C447" w14:textId="77777777" w:rsidR="008F451B" w:rsidRPr="00CD5E7D" w:rsidRDefault="008F451B" w:rsidP="00DA7ED2">
            <w:pPr>
              <w:pStyle w:val="Default"/>
              <w:jc w:val="both"/>
              <w:rPr>
                <w:iCs/>
                <w:color w:val="auto"/>
                <w:sz w:val="16"/>
                <w:szCs w:val="16"/>
              </w:rPr>
            </w:pPr>
            <w:r w:rsidRPr="00CD5E7D">
              <w:rPr>
                <w:b/>
                <w:iCs/>
                <w:color w:val="auto"/>
                <w:sz w:val="16"/>
                <w:szCs w:val="16"/>
              </w:rPr>
              <w:t>Cible</w:t>
            </w:r>
            <w:r w:rsidRPr="00CD5E7D">
              <w:rPr>
                <w:iCs/>
                <w:color w:val="auto"/>
                <w:sz w:val="16"/>
                <w:szCs w:val="16"/>
              </w:rPr>
              <w:t>: 60%</w:t>
            </w:r>
          </w:p>
          <w:p w14:paraId="2F67E748" w14:textId="367DF68E" w:rsidR="008F451B" w:rsidRPr="008F451B" w:rsidRDefault="008F451B" w:rsidP="00DA7ED2">
            <w:pPr>
              <w:jc w:val="both"/>
              <w:rPr>
                <w:b/>
                <w:iCs/>
                <w:sz w:val="16"/>
                <w:szCs w:val="16"/>
              </w:rPr>
            </w:pPr>
            <w:r w:rsidRPr="00CD5E7D">
              <w:rPr>
                <w:b/>
                <w:iCs/>
                <w:sz w:val="16"/>
                <w:szCs w:val="16"/>
              </w:rPr>
              <w:t>Source de données, fréquence</w:t>
            </w:r>
            <w:r w:rsidRPr="00CD5E7D">
              <w:rPr>
                <w:iCs/>
                <w:sz w:val="16"/>
                <w:szCs w:val="16"/>
              </w:rPr>
              <w:t>: rapports de projets, annuelle</w:t>
            </w:r>
          </w:p>
          <w:p w14:paraId="4020931E" w14:textId="77777777" w:rsidR="008F451B" w:rsidRPr="00CD5E7D" w:rsidRDefault="008F451B" w:rsidP="00DA7ED2">
            <w:pPr>
              <w:jc w:val="both"/>
              <w:rPr>
                <w:b/>
                <w:iCs/>
                <w:sz w:val="16"/>
                <w:szCs w:val="16"/>
              </w:rPr>
            </w:pPr>
            <w:r w:rsidRPr="00CD5E7D">
              <w:rPr>
                <w:b/>
                <w:iCs/>
                <w:sz w:val="16"/>
                <w:szCs w:val="16"/>
              </w:rPr>
              <w:t xml:space="preserve">Indicateur 1.1.2: </w:t>
            </w:r>
            <w:r w:rsidRPr="00CD5E7D">
              <w:rPr>
                <w:sz w:val="16"/>
              </w:rPr>
              <w:t>Nombre d'institutions et d'OSC renforcées pour lutter contre les risques de corruption</w:t>
            </w:r>
          </w:p>
          <w:p w14:paraId="3CB8B732" w14:textId="77777777" w:rsidR="008F451B" w:rsidRPr="00CD5E7D" w:rsidRDefault="008F451B" w:rsidP="00DA7ED2">
            <w:pPr>
              <w:pStyle w:val="Default"/>
              <w:jc w:val="both"/>
              <w:rPr>
                <w:iCs/>
                <w:color w:val="auto"/>
                <w:sz w:val="16"/>
                <w:szCs w:val="16"/>
              </w:rPr>
            </w:pPr>
            <w:r w:rsidRPr="00CD5E7D">
              <w:rPr>
                <w:b/>
                <w:iCs/>
                <w:color w:val="auto"/>
                <w:sz w:val="16"/>
                <w:szCs w:val="16"/>
              </w:rPr>
              <w:t>Référence</w:t>
            </w:r>
            <w:r w:rsidRPr="00CD5E7D">
              <w:rPr>
                <w:iCs/>
                <w:color w:val="auto"/>
                <w:sz w:val="16"/>
                <w:szCs w:val="16"/>
              </w:rPr>
              <w:t>: 0</w:t>
            </w:r>
          </w:p>
          <w:p w14:paraId="1558D614" w14:textId="77777777" w:rsidR="008F451B" w:rsidRPr="00CD5E7D" w:rsidRDefault="008F451B" w:rsidP="00DA7ED2">
            <w:pPr>
              <w:pStyle w:val="Default"/>
              <w:jc w:val="both"/>
              <w:rPr>
                <w:iCs/>
                <w:color w:val="auto"/>
                <w:sz w:val="16"/>
                <w:szCs w:val="16"/>
              </w:rPr>
            </w:pPr>
            <w:r w:rsidRPr="00CD5E7D">
              <w:rPr>
                <w:b/>
                <w:iCs/>
                <w:color w:val="auto"/>
                <w:sz w:val="16"/>
                <w:szCs w:val="16"/>
              </w:rPr>
              <w:t>Cible</w:t>
            </w:r>
            <w:r w:rsidRPr="00CD5E7D">
              <w:rPr>
                <w:iCs/>
                <w:color w:val="auto"/>
                <w:sz w:val="16"/>
                <w:szCs w:val="16"/>
              </w:rPr>
              <w:t>: 3</w:t>
            </w:r>
          </w:p>
          <w:p w14:paraId="0C1979BC" w14:textId="77777777" w:rsidR="008F451B" w:rsidRPr="00CD5E7D" w:rsidRDefault="008F451B" w:rsidP="00DA7ED2">
            <w:pPr>
              <w:jc w:val="both"/>
              <w:rPr>
                <w:iCs/>
                <w:sz w:val="16"/>
                <w:szCs w:val="16"/>
              </w:rPr>
            </w:pPr>
            <w:r w:rsidRPr="00CD5E7D">
              <w:rPr>
                <w:b/>
                <w:iCs/>
                <w:sz w:val="16"/>
                <w:szCs w:val="16"/>
              </w:rPr>
              <w:t>Source de données, fréquence</w:t>
            </w:r>
            <w:r w:rsidRPr="00CD5E7D">
              <w:rPr>
                <w:iCs/>
                <w:sz w:val="16"/>
                <w:szCs w:val="16"/>
              </w:rPr>
              <w:t>: rapports annuels de la VBG et des OSC, « Section des comptes »</w:t>
            </w:r>
          </w:p>
          <w:p w14:paraId="532077A4" w14:textId="55C252BA" w:rsidR="008F451B" w:rsidRPr="00CD5E7D" w:rsidRDefault="008F451B" w:rsidP="00DA7ED2">
            <w:pPr>
              <w:rPr>
                <w:iCs/>
                <w:sz w:val="16"/>
                <w:szCs w:val="16"/>
              </w:rPr>
            </w:pPr>
            <w:r w:rsidRPr="00CD5E7D">
              <w:rPr>
                <w:b/>
                <w:iCs/>
                <w:sz w:val="16"/>
                <w:szCs w:val="16"/>
                <w:u w:val="single"/>
              </w:rPr>
              <w:t>Résultat 1.2</w:t>
            </w:r>
            <w:r w:rsidRPr="00CD5E7D">
              <w:rPr>
                <w:b/>
                <w:iCs/>
                <w:sz w:val="16"/>
                <w:szCs w:val="16"/>
              </w:rPr>
              <w:t xml:space="preserve">: </w:t>
            </w:r>
            <w:r w:rsidRPr="00CD5E7D">
              <w:rPr>
                <w:sz w:val="16"/>
              </w:rPr>
              <w:t>Capacités, fonctions et financement des institutions et systèmes nationaux  d'état de droit et des droits de l'homme renforcés afin d'élargir l'accès à la justice et lutter contre la discrimination, en mettant l'accent sur les femmes, les victimes de la VBG et autres groupes marginalisés</w:t>
            </w:r>
          </w:p>
          <w:p w14:paraId="1F9AC019" w14:textId="77777777" w:rsidR="008F451B" w:rsidRPr="00CD5E7D" w:rsidRDefault="008F451B" w:rsidP="00DA7ED2">
            <w:pPr>
              <w:pStyle w:val="PrformatHTML"/>
              <w:rPr>
                <w:rFonts w:ascii="Times New Roman" w:hAnsi="Times New Roman" w:cs="Times New Roman"/>
                <w:sz w:val="16"/>
                <w:lang w:eastAsia="en-US"/>
              </w:rPr>
            </w:pPr>
            <w:r w:rsidRPr="00CD5E7D">
              <w:rPr>
                <w:rFonts w:ascii="Times New Roman" w:hAnsi="Times New Roman" w:cs="Times New Roman"/>
                <w:b/>
                <w:sz w:val="16"/>
                <w:lang w:eastAsia="en-US"/>
              </w:rPr>
              <w:t>Indicateur 1.2.1</w:t>
            </w:r>
            <w:r w:rsidRPr="00CD5E7D">
              <w:rPr>
                <w:rFonts w:ascii="Times New Roman" w:hAnsi="Times New Roman" w:cs="Times New Roman"/>
                <w:sz w:val="16"/>
                <w:lang w:eastAsia="en-US"/>
              </w:rPr>
              <w:t>: Pourcentage d’acteurs de la justice dotés des capacités techniques et opérationnelles adéquates pour une prestation de services de qualité désagrégé par sexe</w:t>
            </w:r>
          </w:p>
          <w:p w14:paraId="0EC839AE" w14:textId="77777777" w:rsidR="008F451B" w:rsidRPr="00CD5E7D" w:rsidRDefault="008F451B" w:rsidP="00DA7ED2">
            <w:pPr>
              <w:pStyle w:val="PrformatHTML"/>
              <w:rPr>
                <w:rFonts w:ascii="Times New Roman" w:hAnsi="Times New Roman" w:cs="Times New Roman"/>
                <w:b/>
                <w:sz w:val="16"/>
                <w:lang w:eastAsia="en-US"/>
              </w:rPr>
            </w:pPr>
            <w:r w:rsidRPr="00CD5E7D">
              <w:rPr>
                <w:rFonts w:ascii="Times New Roman" w:hAnsi="Times New Roman" w:cs="Times New Roman"/>
                <w:b/>
                <w:sz w:val="16"/>
                <w:lang w:eastAsia="en-US"/>
              </w:rPr>
              <w:t>Référence: à déterminer</w:t>
            </w:r>
          </w:p>
          <w:p w14:paraId="32597D56" w14:textId="77777777" w:rsidR="008F451B" w:rsidRPr="00CD5E7D" w:rsidRDefault="008F451B" w:rsidP="00DA7ED2">
            <w:pPr>
              <w:rPr>
                <w:iCs/>
                <w:sz w:val="16"/>
                <w:szCs w:val="16"/>
              </w:rPr>
            </w:pPr>
            <w:r w:rsidRPr="00CD5E7D">
              <w:rPr>
                <w:b/>
                <w:iCs/>
                <w:sz w:val="16"/>
                <w:szCs w:val="16"/>
              </w:rPr>
              <w:t>Cible</w:t>
            </w:r>
            <w:r w:rsidRPr="00CD5E7D">
              <w:rPr>
                <w:iCs/>
                <w:sz w:val="16"/>
                <w:szCs w:val="16"/>
              </w:rPr>
              <w:t>: 50%</w:t>
            </w:r>
          </w:p>
          <w:p w14:paraId="20C4B3A8" w14:textId="26CB3AA2" w:rsidR="008F451B" w:rsidRPr="008F451B" w:rsidRDefault="008F451B" w:rsidP="00DA7ED2">
            <w:pPr>
              <w:rPr>
                <w:iCs/>
                <w:sz w:val="16"/>
                <w:szCs w:val="16"/>
              </w:rPr>
            </w:pPr>
            <w:r w:rsidRPr="00CD5E7D">
              <w:rPr>
                <w:b/>
                <w:iCs/>
                <w:sz w:val="16"/>
                <w:szCs w:val="16"/>
              </w:rPr>
              <w:t>Source de données, Fréquence</w:t>
            </w:r>
            <w:r w:rsidRPr="00CD5E7D">
              <w:rPr>
                <w:iCs/>
                <w:sz w:val="16"/>
                <w:szCs w:val="16"/>
              </w:rPr>
              <w:t>: rapports de projets, annuell</w:t>
            </w:r>
            <w:r>
              <w:rPr>
                <w:iCs/>
                <w:sz w:val="16"/>
                <w:szCs w:val="16"/>
              </w:rPr>
              <w:t>e</w:t>
            </w:r>
          </w:p>
          <w:p w14:paraId="352D0A80" w14:textId="77777777" w:rsidR="008F451B" w:rsidRPr="00CD5E7D" w:rsidRDefault="008F451B" w:rsidP="00DA7ED2">
            <w:pPr>
              <w:spacing w:line="252" w:lineRule="auto"/>
              <w:rPr>
                <w:sz w:val="16"/>
              </w:rPr>
            </w:pPr>
            <w:r w:rsidRPr="00CD5E7D">
              <w:rPr>
                <w:b/>
                <w:sz w:val="16"/>
              </w:rPr>
              <w:t>Indicateur 1.2.2</w:t>
            </w:r>
            <w:r w:rsidRPr="00CD5E7D">
              <w:rPr>
                <w:sz w:val="16"/>
              </w:rPr>
              <w:t>: Nombre d'OSC, médias dotés de capacités renforcées pour surveiller la mise en œuvre de l'état de droit</w:t>
            </w:r>
          </w:p>
          <w:p w14:paraId="1BF89B81" w14:textId="77777777" w:rsidR="008F451B" w:rsidRPr="00CD5E7D" w:rsidRDefault="008F451B" w:rsidP="00DA7ED2">
            <w:pPr>
              <w:rPr>
                <w:sz w:val="16"/>
              </w:rPr>
            </w:pPr>
            <w:r w:rsidRPr="00CD5E7D">
              <w:rPr>
                <w:b/>
                <w:sz w:val="16"/>
              </w:rPr>
              <w:t>Référence</w:t>
            </w:r>
            <w:r w:rsidRPr="00CD5E7D">
              <w:rPr>
                <w:sz w:val="16"/>
              </w:rPr>
              <w:t>: 4</w:t>
            </w:r>
          </w:p>
          <w:p w14:paraId="2B7276E3" w14:textId="77777777" w:rsidR="008F451B" w:rsidRPr="00CD5E7D" w:rsidRDefault="008F451B" w:rsidP="00DA7ED2">
            <w:pPr>
              <w:rPr>
                <w:sz w:val="16"/>
              </w:rPr>
            </w:pPr>
            <w:r w:rsidRPr="00CD5E7D">
              <w:rPr>
                <w:b/>
                <w:sz w:val="16"/>
              </w:rPr>
              <w:t>Cible:</w:t>
            </w:r>
            <w:r w:rsidRPr="00CD5E7D">
              <w:rPr>
                <w:sz w:val="16"/>
              </w:rPr>
              <w:t xml:space="preserve"> 20</w:t>
            </w:r>
          </w:p>
          <w:p w14:paraId="31CD7440" w14:textId="77777777" w:rsidR="008F451B" w:rsidRDefault="008F451B" w:rsidP="00DA7ED2">
            <w:pPr>
              <w:rPr>
                <w:sz w:val="16"/>
              </w:rPr>
            </w:pPr>
            <w:r w:rsidRPr="00CD5E7D">
              <w:rPr>
                <w:b/>
                <w:sz w:val="16"/>
              </w:rPr>
              <w:t>Source de données, Fréquence</w:t>
            </w:r>
            <w:r w:rsidRPr="00CD5E7D">
              <w:rPr>
                <w:sz w:val="16"/>
              </w:rPr>
              <w:t>: rapports de projets, annuelle</w:t>
            </w:r>
          </w:p>
          <w:p w14:paraId="11913E40" w14:textId="0C0DDD8B" w:rsidR="008F451B" w:rsidRDefault="008F451B" w:rsidP="00DA7ED2">
            <w:pPr>
              <w:rPr>
                <w:rStyle w:val="tlid-translation"/>
                <w:szCs w:val="16"/>
              </w:rPr>
            </w:pPr>
            <w:r w:rsidRPr="00CD5E7D">
              <w:rPr>
                <w:b/>
                <w:iCs/>
                <w:sz w:val="16"/>
                <w:szCs w:val="16"/>
                <w:u w:val="single"/>
              </w:rPr>
              <w:t>Résultat 1.3</w:t>
            </w:r>
            <w:r w:rsidRPr="00CD5E7D">
              <w:rPr>
                <w:b/>
                <w:iCs/>
                <w:sz w:val="16"/>
                <w:szCs w:val="16"/>
              </w:rPr>
              <w:t xml:space="preserve">: </w:t>
            </w:r>
            <w:r w:rsidRPr="00CD5E7D">
              <w:rPr>
                <w:rStyle w:val="tlid-translation"/>
                <w:sz w:val="16"/>
                <w:szCs w:val="16"/>
              </w:rPr>
              <w:t>Capacités nationales et locales  renforcés pour  la réintégration, la réconciliation, la gestion pacifique des conflits et la prévention de l'extrémisme violent</w:t>
            </w:r>
          </w:p>
          <w:p w14:paraId="52CB31E8" w14:textId="77777777" w:rsidR="008F451B" w:rsidRDefault="008F451B" w:rsidP="00DA7ED2">
            <w:pPr>
              <w:rPr>
                <w:rStyle w:val="tlid-translation"/>
                <w:sz w:val="16"/>
                <w:szCs w:val="16"/>
              </w:rPr>
            </w:pPr>
            <w:r w:rsidRPr="00CD5E7D">
              <w:rPr>
                <w:rStyle w:val="tlid-translation"/>
                <w:b/>
                <w:sz w:val="16"/>
                <w:szCs w:val="16"/>
              </w:rPr>
              <w:t>Indicateur 1.3.1</w:t>
            </w:r>
            <w:r w:rsidRPr="00CD5E7D">
              <w:rPr>
                <w:rStyle w:val="tlid-translation"/>
                <w:sz w:val="16"/>
                <w:szCs w:val="16"/>
              </w:rPr>
              <w:t>: Pourcentage de mécanismes de coopération en matière de sécurité communautaire et de sécurité transfrontalière fonctionnels</w:t>
            </w:r>
            <w:r w:rsidRPr="00CD5E7D">
              <w:rPr>
                <w:sz w:val="16"/>
                <w:szCs w:val="16"/>
              </w:rPr>
              <w:br/>
            </w:r>
            <w:r w:rsidRPr="00CD5E7D">
              <w:rPr>
                <w:rStyle w:val="tlid-translation"/>
                <w:b/>
                <w:sz w:val="16"/>
                <w:szCs w:val="16"/>
              </w:rPr>
              <w:t>Référence</w:t>
            </w:r>
            <w:r w:rsidRPr="00CD5E7D">
              <w:rPr>
                <w:rStyle w:val="tlid-translation"/>
                <w:sz w:val="16"/>
                <w:szCs w:val="16"/>
              </w:rPr>
              <w:t xml:space="preserve">: 2 (2019) </w:t>
            </w:r>
            <w:r w:rsidRPr="00CD5E7D">
              <w:rPr>
                <w:sz w:val="16"/>
                <w:szCs w:val="16"/>
              </w:rPr>
              <w:br/>
            </w:r>
            <w:r w:rsidRPr="00CD5E7D">
              <w:rPr>
                <w:rStyle w:val="tlid-translation"/>
                <w:b/>
                <w:sz w:val="16"/>
                <w:szCs w:val="16"/>
              </w:rPr>
              <w:t>Cible</w:t>
            </w:r>
            <w:r w:rsidRPr="00CD5E7D">
              <w:rPr>
                <w:rStyle w:val="tlid-translation"/>
                <w:sz w:val="16"/>
                <w:szCs w:val="16"/>
              </w:rPr>
              <w:t>: 12</w:t>
            </w:r>
          </w:p>
          <w:p w14:paraId="19BF4C73" w14:textId="05957C38" w:rsidR="008F451B" w:rsidRPr="008F451B" w:rsidRDefault="008F451B" w:rsidP="00DA7ED2">
            <w:pPr>
              <w:rPr>
                <w:sz w:val="16"/>
              </w:rPr>
            </w:pPr>
            <w:r w:rsidRPr="00CD5E7D">
              <w:rPr>
                <w:rStyle w:val="tlid-translation"/>
                <w:b/>
                <w:sz w:val="16"/>
                <w:szCs w:val="16"/>
              </w:rPr>
              <w:t>Source de données, Fréquence</w:t>
            </w:r>
            <w:r w:rsidRPr="00CD5E7D">
              <w:rPr>
                <w:rStyle w:val="tlid-translation"/>
                <w:sz w:val="16"/>
                <w:szCs w:val="16"/>
              </w:rPr>
              <w:t>: rapports de projets, annuelle</w:t>
            </w:r>
          </w:p>
          <w:p w14:paraId="0E379D59" w14:textId="20297A34" w:rsidR="008F451B" w:rsidRPr="008F451B" w:rsidRDefault="008F451B" w:rsidP="00DA7ED2">
            <w:pPr>
              <w:rPr>
                <w:iCs/>
                <w:sz w:val="16"/>
                <w:szCs w:val="16"/>
              </w:rPr>
            </w:pPr>
            <w:r w:rsidRPr="00CD5E7D">
              <w:rPr>
                <w:rStyle w:val="tlid-translation"/>
                <w:b/>
                <w:sz w:val="16"/>
                <w:szCs w:val="16"/>
              </w:rPr>
              <w:t>Indicateur 1.3.2</w:t>
            </w:r>
            <w:r w:rsidRPr="00CD5E7D">
              <w:rPr>
                <w:rStyle w:val="tlid-translation"/>
                <w:sz w:val="16"/>
                <w:szCs w:val="16"/>
              </w:rPr>
              <w:t xml:space="preserve">: </w:t>
            </w:r>
            <w:r w:rsidRPr="00CD5E7D">
              <w:rPr>
                <w:sz w:val="16"/>
                <w:szCs w:val="16"/>
              </w:rPr>
              <w:t>Nombre d'initiatives de gestion des conflits communautaires et de lutte contre l'extrémisme violent</w:t>
            </w:r>
            <w:r w:rsidRPr="00CD5E7D">
              <w:rPr>
                <w:sz w:val="16"/>
                <w:szCs w:val="16"/>
              </w:rPr>
              <w:br/>
            </w:r>
            <w:r w:rsidRPr="00CD5E7D">
              <w:rPr>
                <w:rStyle w:val="tlid-translation"/>
                <w:b/>
                <w:sz w:val="16"/>
                <w:szCs w:val="16"/>
              </w:rPr>
              <w:t>Référence</w:t>
            </w:r>
            <w:r w:rsidRPr="00CD5E7D">
              <w:rPr>
                <w:rStyle w:val="tlid-translation"/>
                <w:sz w:val="16"/>
                <w:szCs w:val="16"/>
              </w:rPr>
              <w:t xml:space="preserve">: 3 (2018) </w:t>
            </w:r>
            <w:r w:rsidRPr="00CD5E7D">
              <w:rPr>
                <w:sz w:val="16"/>
                <w:szCs w:val="16"/>
              </w:rPr>
              <w:br/>
            </w:r>
            <w:r w:rsidRPr="00CD5E7D">
              <w:rPr>
                <w:rStyle w:val="tlid-translation"/>
                <w:b/>
                <w:sz w:val="16"/>
                <w:szCs w:val="16"/>
              </w:rPr>
              <w:t>Cible</w:t>
            </w:r>
            <w:r w:rsidRPr="00CD5E7D">
              <w:rPr>
                <w:rStyle w:val="tlid-translation"/>
                <w:sz w:val="16"/>
                <w:szCs w:val="16"/>
              </w:rPr>
              <w:t>: 15</w:t>
            </w:r>
            <w:r w:rsidRPr="00CD5E7D">
              <w:rPr>
                <w:sz w:val="16"/>
                <w:szCs w:val="16"/>
              </w:rPr>
              <w:br/>
            </w:r>
            <w:r w:rsidRPr="00CD5E7D">
              <w:rPr>
                <w:rStyle w:val="tlid-translation"/>
                <w:b/>
                <w:sz w:val="16"/>
                <w:szCs w:val="16"/>
              </w:rPr>
              <w:t>Source de données, Fréquence</w:t>
            </w:r>
            <w:r w:rsidRPr="00CD5E7D">
              <w:rPr>
                <w:rStyle w:val="tlid-translation"/>
                <w:sz w:val="16"/>
                <w:szCs w:val="16"/>
              </w:rPr>
              <w:t xml:space="preserve">: </w:t>
            </w:r>
            <w:r>
              <w:rPr>
                <w:rStyle w:val="tlid-translation"/>
                <w:sz w:val="16"/>
                <w:szCs w:val="16"/>
              </w:rPr>
              <w:t>rapports de projets</w:t>
            </w:r>
            <w:r w:rsidRPr="00CD5E7D">
              <w:rPr>
                <w:rStyle w:val="tlid-translation"/>
                <w:sz w:val="16"/>
                <w:szCs w:val="16"/>
              </w:rPr>
              <w:t xml:space="preserve">, </w:t>
            </w:r>
            <w:r>
              <w:rPr>
                <w:rStyle w:val="tlid-translation"/>
                <w:sz w:val="16"/>
                <w:szCs w:val="16"/>
              </w:rPr>
              <w:t>annuelle</w:t>
            </w:r>
          </w:p>
          <w:p w14:paraId="2C0EC66F" w14:textId="77777777" w:rsidR="008F451B" w:rsidRPr="00CD5E7D" w:rsidRDefault="008F451B" w:rsidP="00DA7ED2">
            <w:pPr>
              <w:rPr>
                <w:iCs/>
                <w:sz w:val="16"/>
                <w:szCs w:val="16"/>
              </w:rPr>
            </w:pPr>
            <w:r w:rsidRPr="00CD5E7D">
              <w:rPr>
                <w:b/>
                <w:sz w:val="16"/>
                <w:u w:val="single"/>
              </w:rPr>
              <w:t>Résultat 1.4</w:t>
            </w:r>
            <w:r w:rsidRPr="00CD5E7D">
              <w:rPr>
                <w:sz w:val="16"/>
              </w:rPr>
              <w:t>:</w:t>
            </w:r>
            <w:r w:rsidRPr="00CD5E7D">
              <w:rPr>
                <w:iCs/>
                <w:sz w:val="16"/>
                <w:szCs w:val="16"/>
              </w:rPr>
              <w:t xml:space="preserve"> Renforcement des processus et institutions constitutionnels, électoraux et parlementaires pour promouvoir l'inclusion, la transparence et la redevabilité </w:t>
            </w:r>
          </w:p>
          <w:p w14:paraId="0CB6D8ED" w14:textId="77777777" w:rsidR="008F451B" w:rsidRPr="00CD5E7D" w:rsidRDefault="008F451B" w:rsidP="00DA7ED2">
            <w:pPr>
              <w:jc w:val="both"/>
              <w:rPr>
                <w:rStyle w:val="tlid-translation"/>
                <w:sz w:val="16"/>
                <w:szCs w:val="16"/>
              </w:rPr>
            </w:pPr>
            <w:r w:rsidRPr="00CD5E7D">
              <w:rPr>
                <w:rStyle w:val="tlid-translation"/>
                <w:b/>
                <w:sz w:val="16"/>
                <w:szCs w:val="16"/>
              </w:rPr>
              <w:t>Indicateur 1.4.1</w:t>
            </w:r>
            <w:r w:rsidRPr="00CD5E7D">
              <w:rPr>
                <w:rStyle w:val="tlid-translation"/>
                <w:sz w:val="16"/>
                <w:szCs w:val="16"/>
              </w:rPr>
              <w:t>: Nombre d'Organes de Gestion Electorale (OGE) dotés de capacités renforcées pour mener des élections inclusives et crédibles</w:t>
            </w:r>
          </w:p>
          <w:p w14:paraId="482E25AA" w14:textId="078F78E9" w:rsidR="008F451B" w:rsidRPr="008F451B" w:rsidRDefault="008F451B" w:rsidP="00DA7ED2">
            <w:pPr>
              <w:rPr>
                <w:iCs/>
                <w:sz w:val="16"/>
                <w:szCs w:val="16"/>
              </w:rPr>
            </w:pPr>
            <w:r w:rsidRPr="00CD5E7D">
              <w:rPr>
                <w:rStyle w:val="tlid-translation"/>
                <w:b/>
                <w:sz w:val="16"/>
                <w:szCs w:val="16"/>
              </w:rPr>
              <w:t>Référence</w:t>
            </w:r>
            <w:r w:rsidRPr="00CD5E7D">
              <w:rPr>
                <w:rStyle w:val="tlid-translation"/>
                <w:sz w:val="16"/>
                <w:szCs w:val="16"/>
              </w:rPr>
              <w:t>: 3</w:t>
            </w:r>
            <w:r w:rsidRPr="00CD5E7D">
              <w:rPr>
                <w:sz w:val="16"/>
                <w:szCs w:val="16"/>
              </w:rPr>
              <w:br/>
            </w:r>
            <w:r w:rsidRPr="00CD5E7D">
              <w:rPr>
                <w:rStyle w:val="tlid-translation"/>
                <w:b/>
                <w:sz w:val="16"/>
                <w:szCs w:val="16"/>
              </w:rPr>
              <w:t>Cible</w:t>
            </w:r>
            <w:r w:rsidRPr="00CD5E7D">
              <w:rPr>
                <w:rStyle w:val="tlid-translation"/>
                <w:sz w:val="16"/>
                <w:szCs w:val="16"/>
              </w:rPr>
              <w:t>: 4</w:t>
            </w:r>
            <w:r w:rsidRPr="00CD5E7D">
              <w:rPr>
                <w:sz w:val="16"/>
                <w:szCs w:val="16"/>
              </w:rPr>
              <w:br/>
            </w:r>
            <w:r w:rsidRPr="00CD5E7D">
              <w:rPr>
                <w:rStyle w:val="tlid-translation"/>
                <w:b/>
                <w:sz w:val="16"/>
                <w:szCs w:val="16"/>
              </w:rPr>
              <w:t>Source de données, Fréquence</w:t>
            </w:r>
            <w:r w:rsidRPr="00CD5E7D">
              <w:rPr>
                <w:rStyle w:val="tlid-translation"/>
                <w:sz w:val="16"/>
                <w:szCs w:val="16"/>
              </w:rPr>
              <w:t xml:space="preserve">: </w:t>
            </w:r>
            <w:r>
              <w:rPr>
                <w:rStyle w:val="tlid-translation"/>
                <w:sz w:val="16"/>
                <w:szCs w:val="16"/>
              </w:rPr>
              <w:t>rapports de projets</w:t>
            </w:r>
            <w:r w:rsidRPr="00CD5E7D">
              <w:rPr>
                <w:rStyle w:val="tlid-translation"/>
                <w:sz w:val="16"/>
                <w:szCs w:val="16"/>
              </w:rPr>
              <w:t xml:space="preserve">, </w:t>
            </w:r>
            <w:r>
              <w:rPr>
                <w:rStyle w:val="tlid-translation"/>
                <w:sz w:val="16"/>
                <w:szCs w:val="16"/>
              </w:rPr>
              <w:t>annuelle</w:t>
            </w:r>
          </w:p>
          <w:p w14:paraId="2D67C7D2" w14:textId="77777777" w:rsidR="008F451B" w:rsidRPr="00CD5E7D" w:rsidRDefault="008F451B" w:rsidP="00DA7ED2">
            <w:pPr>
              <w:rPr>
                <w:bCs/>
                <w:sz w:val="16"/>
                <w:szCs w:val="16"/>
              </w:rPr>
            </w:pPr>
            <w:r w:rsidRPr="00CD5E7D">
              <w:rPr>
                <w:b/>
                <w:bCs/>
                <w:sz w:val="16"/>
                <w:szCs w:val="16"/>
              </w:rPr>
              <w:t xml:space="preserve">Indicateur 1.4.2: </w:t>
            </w:r>
            <w:r w:rsidRPr="00CD5E7D">
              <w:rPr>
                <w:bCs/>
                <w:sz w:val="16"/>
                <w:szCs w:val="16"/>
              </w:rPr>
              <w:t>Participation des femmes aux élections</w:t>
            </w:r>
          </w:p>
          <w:p w14:paraId="01698DB2" w14:textId="77777777" w:rsidR="008F451B" w:rsidRPr="00CD5E7D" w:rsidRDefault="008F451B" w:rsidP="001A2A80">
            <w:pPr>
              <w:pStyle w:val="Paragraphedeliste"/>
              <w:numPr>
                <w:ilvl w:val="0"/>
                <w:numId w:val="11"/>
              </w:numPr>
              <w:suppressAutoHyphens/>
              <w:autoSpaceDN w:val="0"/>
              <w:spacing w:after="0" w:line="240" w:lineRule="auto"/>
              <w:contextualSpacing w:val="0"/>
              <w:textAlignment w:val="baseline"/>
              <w:rPr>
                <w:rStyle w:val="tlid-translation"/>
                <w:sz w:val="16"/>
                <w:szCs w:val="16"/>
              </w:rPr>
            </w:pPr>
            <w:r w:rsidRPr="00CD5E7D">
              <w:rPr>
                <w:rStyle w:val="tlid-translation"/>
                <w:sz w:val="16"/>
                <w:szCs w:val="16"/>
              </w:rPr>
              <w:t>Proportion de femmes dans le registre électoral</w:t>
            </w:r>
          </w:p>
          <w:p w14:paraId="0EB81350" w14:textId="7CC30AF6" w:rsidR="008F451B" w:rsidRPr="008F451B" w:rsidRDefault="008F451B" w:rsidP="00DA7ED2">
            <w:pPr>
              <w:rPr>
                <w:iCs/>
                <w:sz w:val="16"/>
                <w:szCs w:val="16"/>
              </w:rPr>
            </w:pPr>
            <w:r w:rsidRPr="00CD5E7D">
              <w:rPr>
                <w:rStyle w:val="tlid-translation"/>
                <w:b/>
                <w:sz w:val="16"/>
                <w:szCs w:val="16"/>
              </w:rPr>
              <w:t>Référence</w:t>
            </w:r>
            <w:r w:rsidRPr="00CD5E7D">
              <w:rPr>
                <w:rStyle w:val="tlid-translation"/>
                <w:sz w:val="16"/>
                <w:szCs w:val="16"/>
              </w:rPr>
              <w:t>: a) 48,67%</w:t>
            </w:r>
            <w:r w:rsidRPr="00CD5E7D">
              <w:rPr>
                <w:sz w:val="16"/>
                <w:szCs w:val="16"/>
              </w:rPr>
              <w:br/>
            </w:r>
            <w:r w:rsidRPr="00CD5E7D">
              <w:rPr>
                <w:rStyle w:val="tlid-translation"/>
                <w:b/>
                <w:sz w:val="16"/>
                <w:szCs w:val="16"/>
              </w:rPr>
              <w:t>Cible</w:t>
            </w:r>
            <w:r w:rsidRPr="00CD5E7D">
              <w:rPr>
                <w:rStyle w:val="tlid-translation"/>
                <w:sz w:val="16"/>
                <w:szCs w:val="16"/>
              </w:rPr>
              <w:t>: a) 51,47</w:t>
            </w:r>
            <w:r w:rsidRPr="00CD5E7D">
              <w:rPr>
                <w:sz w:val="16"/>
                <w:szCs w:val="16"/>
              </w:rPr>
              <w:br/>
            </w:r>
            <w:r w:rsidRPr="00CD5E7D">
              <w:rPr>
                <w:rStyle w:val="tlid-translation"/>
                <w:b/>
                <w:sz w:val="16"/>
                <w:szCs w:val="16"/>
              </w:rPr>
              <w:t>Source de données, Fréquence</w:t>
            </w:r>
            <w:r w:rsidRPr="00CD5E7D">
              <w:rPr>
                <w:rStyle w:val="tlid-translation"/>
                <w:sz w:val="16"/>
                <w:szCs w:val="16"/>
              </w:rPr>
              <w:t>: rapports sur les élections, cyclique</w:t>
            </w:r>
          </w:p>
        </w:tc>
        <w:tc>
          <w:tcPr>
            <w:tcW w:w="676" w:type="pct"/>
            <w:vMerge w:val="restart"/>
            <w:tcBorders>
              <w:top w:val="single" w:sz="4" w:space="0" w:color="auto"/>
              <w:left w:val="single" w:sz="4" w:space="0" w:color="auto"/>
              <w:bottom w:val="single" w:sz="4" w:space="0" w:color="auto"/>
            </w:tcBorders>
            <w:shd w:val="clear" w:color="auto" w:fill="auto"/>
          </w:tcPr>
          <w:p w14:paraId="46C996F0" w14:textId="77777777" w:rsidR="008F451B" w:rsidRPr="00BC1430" w:rsidRDefault="008F451B" w:rsidP="00DA7ED2">
            <w:pPr>
              <w:rPr>
                <w:iCs/>
                <w:sz w:val="16"/>
                <w:szCs w:val="16"/>
              </w:rPr>
            </w:pPr>
            <w:r w:rsidRPr="00BC1430">
              <w:rPr>
                <w:iCs/>
                <w:sz w:val="16"/>
                <w:szCs w:val="16"/>
              </w:rPr>
              <w:t>Ministères de la Réform</w:t>
            </w:r>
            <w:r>
              <w:rPr>
                <w:iCs/>
                <w:sz w:val="16"/>
                <w:szCs w:val="16"/>
              </w:rPr>
              <w:t>e</w:t>
            </w:r>
            <w:r w:rsidRPr="00BC1430">
              <w:rPr>
                <w:iCs/>
                <w:sz w:val="16"/>
                <w:szCs w:val="16"/>
              </w:rPr>
              <w:t xml:space="preserve"> institution</w:t>
            </w:r>
            <w:r>
              <w:rPr>
                <w:iCs/>
                <w:sz w:val="16"/>
                <w:szCs w:val="16"/>
              </w:rPr>
              <w:t>n</w:t>
            </w:r>
            <w:r w:rsidRPr="00BC1430">
              <w:rPr>
                <w:iCs/>
                <w:sz w:val="16"/>
                <w:szCs w:val="16"/>
              </w:rPr>
              <w:t>e</w:t>
            </w:r>
            <w:r>
              <w:rPr>
                <w:iCs/>
                <w:sz w:val="16"/>
                <w:szCs w:val="16"/>
              </w:rPr>
              <w:t>lle</w:t>
            </w:r>
            <w:r w:rsidRPr="00BC1430">
              <w:rPr>
                <w:iCs/>
                <w:sz w:val="16"/>
                <w:szCs w:val="16"/>
              </w:rPr>
              <w:t xml:space="preserve">, </w:t>
            </w:r>
            <w:r>
              <w:rPr>
                <w:iCs/>
                <w:sz w:val="16"/>
                <w:szCs w:val="16"/>
              </w:rPr>
              <w:t xml:space="preserve">de la </w:t>
            </w:r>
            <w:r w:rsidRPr="00BC1430">
              <w:rPr>
                <w:iCs/>
                <w:sz w:val="16"/>
                <w:szCs w:val="16"/>
              </w:rPr>
              <w:t xml:space="preserve">décentralisation, </w:t>
            </w:r>
            <w:r>
              <w:rPr>
                <w:iCs/>
                <w:sz w:val="16"/>
                <w:szCs w:val="16"/>
              </w:rPr>
              <w:t xml:space="preserve">des </w:t>
            </w:r>
            <w:r w:rsidRPr="00BC1430">
              <w:rPr>
                <w:iCs/>
                <w:sz w:val="16"/>
                <w:szCs w:val="16"/>
              </w:rPr>
              <w:t>Affair</w:t>
            </w:r>
            <w:r>
              <w:rPr>
                <w:iCs/>
                <w:sz w:val="16"/>
                <w:szCs w:val="16"/>
              </w:rPr>
              <w:t>é</w:t>
            </w:r>
            <w:r w:rsidRPr="00BC1430">
              <w:rPr>
                <w:iCs/>
                <w:sz w:val="16"/>
                <w:szCs w:val="16"/>
              </w:rPr>
              <w:t>s</w:t>
            </w:r>
            <w:r>
              <w:rPr>
                <w:iCs/>
                <w:sz w:val="16"/>
                <w:szCs w:val="16"/>
              </w:rPr>
              <w:t xml:space="preserve"> étrangères</w:t>
            </w:r>
            <w:r w:rsidRPr="00BC1430">
              <w:rPr>
                <w:iCs/>
                <w:sz w:val="16"/>
                <w:szCs w:val="16"/>
              </w:rPr>
              <w:t xml:space="preserve">, </w:t>
            </w:r>
            <w:r>
              <w:rPr>
                <w:iCs/>
                <w:sz w:val="16"/>
                <w:szCs w:val="16"/>
              </w:rPr>
              <w:t xml:space="preserve">des </w:t>
            </w:r>
            <w:r w:rsidRPr="00BC1430">
              <w:rPr>
                <w:iCs/>
                <w:sz w:val="16"/>
                <w:szCs w:val="16"/>
              </w:rPr>
              <w:t>Finance</w:t>
            </w:r>
            <w:r>
              <w:rPr>
                <w:iCs/>
                <w:sz w:val="16"/>
                <w:szCs w:val="16"/>
              </w:rPr>
              <w:t>s</w:t>
            </w:r>
            <w:r w:rsidRPr="00BC1430">
              <w:rPr>
                <w:iCs/>
                <w:sz w:val="16"/>
                <w:szCs w:val="16"/>
              </w:rPr>
              <w:t>,</w:t>
            </w:r>
          </w:p>
          <w:p w14:paraId="3EB05BD7" w14:textId="77777777" w:rsidR="008F451B" w:rsidRPr="00BC1430" w:rsidRDefault="008F451B" w:rsidP="00DA7ED2">
            <w:pPr>
              <w:rPr>
                <w:iCs/>
                <w:sz w:val="16"/>
                <w:szCs w:val="16"/>
              </w:rPr>
            </w:pPr>
            <w:r w:rsidRPr="00BC1430">
              <w:rPr>
                <w:iCs/>
                <w:sz w:val="16"/>
                <w:szCs w:val="16"/>
              </w:rPr>
              <w:t>CDI, ANICT, DGCT Luxembourg, Banque Mondiale, Canada, MINUSMA,</w:t>
            </w:r>
          </w:p>
          <w:p w14:paraId="0EC01B1A" w14:textId="77777777" w:rsidR="008F451B" w:rsidRPr="00C81084" w:rsidRDefault="008F451B" w:rsidP="00DA7ED2">
            <w:pPr>
              <w:rPr>
                <w:iCs/>
                <w:sz w:val="16"/>
                <w:szCs w:val="16"/>
              </w:rPr>
            </w:pPr>
            <w:r w:rsidRPr="00C81084">
              <w:rPr>
                <w:iCs/>
                <w:sz w:val="16"/>
                <w:szCs w:val="16"/>
              </w:rPr>
              <w:t>UNCDF, Allemagne, OSC</w:t>
            </w:r>
          </w:p>
          <w:p w14:paraId="7ADC7FAC" w14:textId="77777777" w:rsidR="008F451B" w:rsidRPr="00C81084" w:rsidRDefault="008F451B" w:rsidP="00DA7ED2">
            <w:pPr>
              <w:rPr>
                <w:iCs/>
                <w:sz w:val="16"/>
                <w:szCs w:val="16"/>
              </w:rPr>
            </w:pPr>
          </w:p>
          <w:p w14:paraId="781AD168" w14:textId="77777777" w:rsidR="008F451B" w:rsidRPr="00C81084" w:rsidRDefault="008F451B" w:rsidP="00DA7ED2">
            <w:pPr>
              <w:rPr>
                <w:iCs/>
                <w:sz w:val="16"/>
                <w:szCs w:val="16"/>
              </w:rPr>
            </w:pPr>
          </w:p>
          <w:p w14:paraId="37E08096" w14:textId="77777777" w:rsidR="008F451B" w:rsidRPr="00C81084" w:rsidRDefault="008F451B" w:rsidP="00DA7ED2">
            <w:pPr>
              <w:rPr>
                <w:iCs/>
                <w:sz w:val="16"/>
                <w:szCs w:val="16"/>
              </w:rPr>
            </w:pPr>
          </w:p>
          <w:p w14:paraId="2AE5D2D8" w14:textId="77777777" w:rsidR="008F451B" w:rsidRPr="00C81084" w:rsidRDefault="008F451B" w:rsidP="00DA7ED2">
            <w:pPr>
              <w:rPr>
                <w:iCs/>
                <w:sz w:val="16"/>
                <w:szCs w:val="16"/>
              </w:rPr>
            </w:pPr>
            <w:r w:rsidRPr="00C81084">
              <w:rPr>
                <w:iCs/>
                <w:sz w:val="16"/>
                <w:szCs w:val="16"/>
              </w:rPr>
              <w:t>Ministères de la Justice, Sécurit</w:t>
            </w:r>
            <w:r>
              <w:rPr>
                <w:iCs/>
                <w:sz w:val="16"/>
                <w:szCs w:val="16"/>
              </w:rPr>
              <w:t>é</w:t>
            </w:r>
            <w:r w:rsidRPr="00C81084">
              <w:rPr>
                <w:iCs/>
                <w:sz w:val="16"/>
                <w:szCs w:val="16"/>
              </w:rPr>
              <w:t xml:space="preserve">, CNDH, </w:t>
            </w:r>
          </w:p>
          <w:p w14:paraId="4DD6780B" w14:textId="77777777" w:rsidR="008F451B" w:rsidRPr="00C81084" w:rsidRDefault="008F451B" w:rsidP="00DA7ED2">
            <w:pPr>
              <w:rPr>
                <w:iCs/>
                <w:sz w:val="16"/>
                <w:szCs w:val="16"/>
              </w:rPr>
            </w:pPr>
            <w:r w:rsidRPr="00C81084">
              <w:rPr>
                <w:iCs/>
                <w:sz w:val="16"/>
                <w:szCs w:val="16"/>
              </w:rPr>
              <w:t xml:space="preserve">OSC, Pays-Bas, Japon, </w:t>
            </w:r>
          </w:p>
          <w:p w14:paraId="37C81417" w14:textId="77777777" w:rsidR="008F451B" w:rsidRPr="00C81084" w:rsidRDefault="008F451B" w:rsidP="00DA7ED2">
            <w:pPr>
              <w:rPr>
                <w:iCs/>
                <w:sz w:val="16"/>
                <w:szCs w:val="16"/>
              </w:rPr>
            </w:pPr>
            <w:r w:rsidRPr="00C81084">
              <w:rPr>
                <w:iCs/>
                <w:sz w:val="16"/>
                <w:szCs w:val="16"/>
              </w:rPr>
              <w:t>Allemagne, D</w:t>
            </w:r>
            <w:r>
              <w:rPr>
                <w:iCs/>
                <w:sz w:val="16"/>
                <w:szCs w:val="16"/>
              </w:rPr>
              <w:t>a</w:t>
            </w:r>
            <w:r w:rsidRPr="00C81084">
              <w:rPr>
                <w:iCs/>
                <w:sz w:val="16"/>
                <w:szCs w:val="16"/>
              </w:rPr>
              <w:t>n</w:t>
            </w:r>
            <w:r>
              <w:rPr>
                <w:iCs/>
                <w:sz w:val="16"/>
                <w:szCs w:val="16"/>
              </w:rPr>
              <w:t>e</w:t>
            </w:r>
            <w:r w:rsidRPr="00C81084">
              <w:rPr>
                <w:iCs/>
                <w:sz w:val="16"/>
                <w:szCs w:val="16"/>
              </w:rPr>
              <w:t xml:space="preserve">mark, </w:t>
            </w:r>
          </w:p>
          <w:p w14:paraId="11B784E2" w14:textId="77777777" w:rsidR="008F451B" w:rsidRPr="002C4FB5" w:rsidRDefault="008F451B" w:rsidP="00DA7ED2">
            <w:pPr>
              <w:rPr>
                <w:iCs/>
                <w:sz w:val="16"/>
                <w:szCs w:val="16"/>
              </w:rPr>
            </w:pPr>
            <w:r w:rsidRPr="002C4FB5">
              <w:rPr>
                <w:iCs/>
                <w:sz w:val="16"/>
                <w:szCs w:val="16"/>
              </w:rPr>
              <w:t>S</w:t>
            </w:r>
            <w:r>
              <w:rPr>
                <w:iCs/>
                <w:sz w:val="16"/>
                <w:szCs w:val="16"/>
              </w:rPr>
              <w:t>u</w:t>
            </w:r>
            <w:r w:rsidRPr="002C4FB5">
              <w:rPr>
                <w:iCs/>
                <w:sz w:val="16"/>
                <w:szCs w:val="16"/>
              </w:rPr>
              <w:t>ède, MINUSMA, Médiateur de la République</w:t>
            </w:r>
          </w:p>
          <w:p w14:paraId="1B8452FD" w14:textId="64F43483" w:rsidR="008F451B" w:rsidRPr="002C4FB5" w:rsidRDefault="008F451B" w:rsidP="00DA7ED2">
            <w:pPr>
              <w:rPr>
                <w:iCs/>
                <w:sz w:val="16"/>
                <w:szCs w:val="16"/>
              </w:rPr>
            </w:pPr>
            <w:r w:rsidRPr="00C81084">
              <w:rPr>
                <w:iCs/>
                <w:sz w:val="16"/>
                <w:szCs w:val="16"/>
              </w:rPr>
              <w:t>Ministères</w:t>
            </w:r>
            <w:r w:rsidRPr="002C4FB5">
              <w:rPr>
                <w:iCs/>
                <w:sz w:val="16"/>
                <w:szCs w:val="16"/>
              </w:rPr>
              <w:t xml:space="preserve"> </w:t>
            </w:r>
            <w:r>
              <w:rPr>
                <w:iCs/>
                <w:sz w:val="16"/>
                <w:szCs w:val="16"/>
              </w:rPr>
              <w:t>des</w:t>
            </w:r>
            <w:r w:rsidRPr="002C4FB5">
              <w:rPr>
                <w:iCs/>
                <w:sz w:val="16"/>
                <w:szCs w:val="16"/>
              </w:rPr>
              <w:t xml:space="preserve">  Affaires Religieuse</w:t>
            </w:r>
            <w:r>
              <w:rPr>
                <w:iCs/>
                <w:sz w:val="16"/>
                <w:szCs w:val="16"/>
              </w:rPr>
              <w:t>s</w:t>
            </w:r>
            <w:r w:rsidRPr="002C4FB5">
              <w:rPr>
                <w:iCs/>
                <w:sz w:val="16"/>
                <w:szCs w:val="16"/>
              </w:rPr>
              <w:t xml:space="preserve">,  Administration </w:t>
            </w:r>
            <w:r>
              <w:rPr>
                <w:iCs/>
                <w:sz w:val="16"/>
                <w:szCs w:val="16"/>
              </w:rPr>
              <w:t xml:space="preserve">du </w:t>
            </w:r>
            <w:r w:rsidRPr="002C4FB5">
              <w:rPr>
                <w:iCs/>
                <w:sz w:val="16"/>
                <w:szCs w:val="16"/>
              </w:rPr>
              <w:t>Territo</w:t>
            </w:r>
            <w:r>
              <w:rPr>
                <w:iCs/>
                <w:sz w:val="16"/>
                <w:szCs w:val="16"/>
              </w:rPr>
              <w:t>i</w:t>
            </w:r>
            <w:r w:rsidRPr="002C4FB5">
              <w:rPr>
                <w:iCs/>
                <w:sz w:val="16"/>
                <w:szCs w:val="16"/>
              </w:rPr>
              <w:t>r</w:t>
            </w:r>
            <w:r>
              <w:rPr>
                <w:iCs/>
                <w:sz w:val="16"/>
                <w:szCs w:val="16"/>
              </w:rPr>
              <w:t>e</w:t>
            </w:r>
            <w:r w:rsidRPr="002C4FB5">
              <w:rPr>
                <w:iCs/>
                <w:sz w:val="16"/>
                <w:szCs w:val="16"/>
              </w:rPr>
              <w:t>,  Réconciliation National</w:t>
            </w:r>
            <w:r>
              <w:rPr>
                <w:iCs/>
                <w:sz w:val="16"/>
                <w:szCs w:val="16"/>
              </w:rPr>
              <w:t>e</w:t>
            </w:r>
            <w:r w:rsidRPr="002C4FB5">
              <w:rPr>
                <w:iCs/>
                <w:sz w:val="16"/>
                <w:szCs w:val="16"/>
              </w:rPr>
              <w:t>, Justice, Danemark, S</w:t>
            </w:r>
            <w:r>
              <w:rPr>
                <w:iCs/>
                <w:sz w:val="16"/>
                <w:szCs w:val="16"/>
              </w:rPr>
              <w:t>u</w:t>
            </w:r>
            <w:r w:rsidRPr="002C4FB5">
              <w:rPr>
                <w:iCs/>
                <w:sz w:val="16"/>
                <w:szCs w:val="16"/>
              </w:rPr>
              <w:t>ède, PBF, MINUSMA, OSC religieuse</w:t>
            </w:r>
            <w:r>
              <w:rPr>
                <w:iCs/>
                <w:sz w:val="16"/>
                <w:szCs w:val="16"/>
              </w:rPr>
              <w:t>s</w:t>
            </w:r>
          </w:p>
          <w:p w14:paraId="3E7064D7" w14:textId="77777777" w:rsidR="008F451B" w:rsidRPr="002C4FB5" w:rsidRDefault="008F451B" w:rsidP="00DA7ED2">
            <w:pPr>
              <w:rPr>
                <w:iCs/>
                <w:sz w:val="16"/>
                <w:szCs w:val="16"/>
              </w:rPr>
            </w:pPr>
          </w:p>
          <w:p w14:paraId="78D95708" w14:textId="77777777" w:rsidR="008F451B" w:rsidRPr="002C4FB5" w:rsidRDefault="008F451B" w:rsidP="00DA7ED2">
            <w:pPr>
              <w:rPr>
                <w:iCs/>
                <w:sz w:val="16"/>
                <w:szCs w:val="16"/>
              </w:rPr>
            </w:pPr>
          </w:p>
          <w:p w14:paraId="26C83002" w14:textId="77777777" w:rsidR="008F451B" w:rsidRPr="002C4FB5" w:rsidRDefault="008F451B" w:rsidP="00DA7ED2">
            <w:pPr>
              <w:rPr>
                <w:iCs/>
                <w:sz w:val="16"/>
                <w:szCs w:val="16"/>
              </w:rPr>
            </w:pPr>
            <w:r w:rsidRPr="00C81084">
              <w:rPr>
                <w:iCs/>
                <w:sz w:val="16"/>
                <w:szCs w:val="16"/>
              </w:rPr>
              <w:t>Ministères</w:t>
            </w:r>
            <w:r w:rsidRPr="002C4FB5">
              <w:rPr>
                <w:iCs/>
                <w:sz w:val="16"/>
                <w:szCs w:val="16"/>
              </w:rPr>
              <w:t xml:space="preserve">  </w:t>
            </w:r>
            <w:r>
              <w:rPr>
                <w:iCs/>
                <w:sz w:val="16"/>
                <w:szCs w:val="16"/>
              </w:rPr>
              <w:t xml:space="preserve">de </w:t>
            </w:r>
            <w:r w:rsidRPr="00C81084">
              <w:rPr>
                <w:iCs/>
                <w:sz w:val="16"/>
                <w:szCs w:val="16"/>
              </w:rPr>
              <w:t xml:space="preserve"> </w:t>
            </w:r>
            <w:r>
              <w:rPr>
                <w:iCs/>
                <w:sz w:val="16"/>
                <w:szCs w:val="16"/>
              </w:rPr>
              <w:t>l’</w:t>
            </w:r>
            <w:r w:rsidRPr="00C81084">
              <w:rPr>
                <w:iCs/>
                <w:sz w:val="16"/>
                <w:szCs w:val="16"/>
              </w:rPr>
              <w:t>Administration du Territoire,</w:t>
            </w:r>
            <w:r w:rsidRPr="002C4FB5">
              <w:rPr>
                <w:iCs/>
                <w:sz w:val="16"/>
                <w:szCs w:val="16"/>
              </w:rPr>
              <w:t xml:space="preserve"> structures </w:t>
            </w:r>
            <w:r>
              <w:rPr>
                <w:iCs/>
                <w:sz w:val="16"/>
                <w:szCs w:val="16"/>
              </w:rPr>
              <w:t>de gestion des é</w:t>
            </w:r>
            <w:r w:rsidRPr="002C4FB5">
              <w:rPr>
                <w:iCs/>
                <w:sz w:val="16"/>
                <w:szCs w:val="16"/>
              </w:rPr>
              <w:t>lect</w:t>
            </w:r>
            <w:r>
              <w:rPr>
                <w:iCs/>
                <w:sz w:val="16"/>
                <w:szCs w:val="16"/>
              </w:rPr>
              <w:t>ions</w:t>
            </w:r>
            <w:r w:rsidRPr="002C4FB5">
              <w:rPr>
                <w:iCs/>
                <w:sz w:val="16"/>
                <w:szCs w:val="16"/>
              </w:rPr>
              <w:t>, Union Européen</w:t>
            </w:r>
            <w:r>
              <w:rPr>
                <w:iCs/>
                <w:sz w:val="16"/>
                <w:szCs w:val="16"/>
              </w:rPr>
              <w:t>ne</w:t>
            </w:r>
            <w:r w:rsidRPr="002C4FB5">
              <w:rPr>
                <w:iCs/>
                <w:sz w:val="16"/>
                <w:szCs w:val="16"/>
              </w:rPr>
              <w:t>, MINUSMA, Parlement, OSC</w:t>
            </w:r>
          </w:p>
          <w:p w14:paraId="68E68627" w14:textId="77777777" w:rsidR="008F451B" w:rsidRPr="002C4FB5" w:rsidRDefault="008F451B" w:rsidP="00DA7ED2">
            <w:pPr>
              <w:rPr>
                <w:iCs/>
                <w:sz w:val="16"/>
                <w:szCs w:val="16"/>
              </w:rPr>
            </w:pPr>
          </w:p>
          <w:p w14:paraId="6EB586AB" w14:textId="77777777" w:rsidR="008F451B" w:rsidRPr="002C4FB5" w:rsidRDefault="008F451B" w:rsidP="00DA7ED2">
            <w:pPr>
              <w:rPr>
                <w:iCs/>
                <w:sz w:val="16"/>
                <w:szCs w:val="16"/>
              </w:rPr>
            </w:pPr>
          </w:p>
          <w:p w14:paraId="44FC3BAB" w14:textId="77777777" w:rsidR="008F451B" w:rsidRPr="002C4FB5" w:rsidRDefault="008F451B" w:rsidP="00DA7ED2">
            <w:pPr>
              <w:rPr>
                <w:iCs/>
                <w:sz w:val="16"/>
                <w:szCs w:val="16"/>
              </w:rPr>
            </w:pPr>
          </w:p>
          <w:p w14:paraId="1B89D82E" w14:textId="77777777" w:rsidR="008F451B" w:rsidRPr="002C4FB5" w:rsidRDefault="008F451B" w:rsidP="00DA7ED2">
            <w:pPr>
              <w:rPr>
                <w:iCs/>
                <w:sz w:val="16"/>
                <w:szCs w:val="16"/>
              </w:rPr>
            </w:pPr>
          </w:p>
          <w:p w14:paraId="12371403" w14:textId="77777777" w:rsidR="008F451B" w:rsidRPr="002C4FB5" w:rsidRDefault="008F451B" w:rsidP="00DA7ED2">
            <w:pPr>
              <w:rPr>
                <w:iCs/>
                <w:sz w:val="16"/>
                <w:szCs w:val="16"/>
              </w:rPr>
            </w:pPr>
          </w:p>
          <w:p w14:paraId="66076C83" w14:textId="77777777" w:rsidR="008F451B" w:rsidRPr="002C4FB5" w:rsidRDefault="008F451B" w:rsidP="00DA7ED2">
            <w:pPr>
              <w:rPr>
                <w:iCs/>
                <w:sz w:val="16"/>
                <w:szCs w:val="16"/>
              </w:rPr>
            </w:pPr>
          </w:p>
          <w:p w14:paraId="45DACAFC" w14:textId="77777777" w:rsidR="008F451B" w:rsidRPr="002C4FB5" w:rsidRDefault="008F451B" w:rsidP="00DA7ED2">
            <w:pPr>
              <w:rPr>
                <w:iCs/>
                <w:sz w:val="16"/>
                <w:szCs w:val="16"/>
              </w:rPr>
            </w:pPr>
          </w:p>
          <w:p w14:paraId="75AA06E0" w14:textId="77777777" w:rsidR="008F451B" w:rsidRPr="002C4FB5" w:rsidRDefault="008F451B" w:rsidP="00DA7ED2">
            <w:pPr>
              <w:rPr>
                <w:iCs/>
                <w:sz w:val="16"/>
                <w:szCs w:val="16"/>
              </w:rPr>
            </w:pPr>
          </w:p>
        </w:tc>
        <w:tc>
          <w:tcPr>
            <w:tcW w:w="958"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6D6BDB5" w14:textId="77777777" w:rsidR="008F451B" w:rsidRPr="00B17BE1" w:rsidRDefault="008F451B" w:rsidP="00DA7ED2">
            <w:pPr>
              <w:rPr>
                <w:b/>
                <w:sz w:val="16"/>
                <w:szCs w:val="16"/>
              </w:rPr>
            </w:pPr>
            <w:r w:rsidRPr="00B17BE1">
              <w:rPr>
                <w:b/>
                <w:sz w:val="16"/>
                <w:szCs w:val="16"/>
              </w:rPr>
              <w:t>Régulier: 5</w:t>
            </w:r>
            <w:r>
              <w:rPr>
                <w:b/>
                <w:sz w:val="16"/>
                <w:szCs w:val="16"/>
              </w:rPr>
              <w:t> </w:t>
            </w:r>
            <w:r w:rsidRPr="00B17BE1">
              <w:rPr>
                <w:b/>
                <w:sz w:val="16"/>
                <w:szCs w:val="16"/>
              </w:rPr>
              <w:t>020</w:t>
            </w:r>
            <w:r>
              <w:rPr>
                <w:b/>
                <w:sz w:val="16"/>
                <w:szCs w:val="16"/>
              </w:rPr>
              <w:t xml:space="preserve"> </w:t>
            </w:r>
            <w:r w:rsidRPr="00B17BE1">
              <w:rPr>
                <w:b/>
                <w:sz w:val="16"/>
                <w:szCs w:val="16"/>
              </w:rPr>
              <w:t>134</w:t>
            </w:r>
          </w:p>
          <w:p w14:paraId="473885D2" w14:textId="77777777" w:rsidR="008F451B" w:rsidRPr="00BB70E8" w:rsidRDefault="008F451B" w:rsidP="00DA7ED2">
            <w:pPr>
              <w:rPr>
                <w:b/>
                <w:sz w:val="16"/>
                <w:szCs w:val="16"/>
              </w:rPr>
            </w:pPr>
            <w:r w:rsidRPr="00B17BE1">
              <w:rPr>
                <w:b/>
                <w:sz w:val="16"/>
                <w:szCs w:val="16"/>
              </w:rPr>
              <w:t>Autre:</w:t>
            </w:r>
            <w:r w:rsidRPr="00BB70E8">
              <w:rPr>
                <w:b/>
                <w:sz w:val="16"/>
                <w:szCs w:val="16"/>
              </w:rPr>
              <w:t xml:space="preserve"> 7</w:t>
            </w:r>
            <w:r>
              <w:rPr>
                <w:b/>
                <w:sz w:val="16"/>
                <w:szCs w:val="16"/>
              </w:rPr>
              <w:t> </w:t>
            </w:r>
            <w:r w:rsidRPr="00BB70E8">
              <w:rPr>
                <w:b/>
                <w:sz w:val="16"/>
                <w:szCs w:val="16"/>
              </w:rPr>
              <w:t>971</w:t>
            </w:r>
            <w:r>
              <w:rPr>
                <w:b/>
                <w:sz w:val="16"/>
                <w:szCs w:val="16"/>
              </w:rPr>
              <w:t xml:space="preserve"> </w:t>
            </w:r>
            <w:r w:rsidRPr="00BB70E8">
              <w:rPr>
                <w:b/>
                <w:sz w:val="16"/>
                <w:szCs w:val="16"/>
              </w:rPr>
              <w:t>235</w:t>
            </w:r>
          </w:p>
        </w:tc>
      </w:tr>
      <w:tr w:rsidR="008F451B" w:rsidRPr="00B17BE1" w14:paraId="2C394161" w14:textId="77777777" w:rsidTr="00DA7ED2">
        <w:trPr>
          <w:trHeight w:val="461"/>
        </w:trPr>
        <w:tc>
          <w:tcPr>
            <w:tcW w:w="82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6F1F9833" w14:textId="77777777" w:rsidR="008F451B" w:rsidRPr="003C26C1" w:rsidRDefault="008F451B" w:rsidP="00DA7ED2">
            <w:pPr>
              <w:rPr>
                <w:i/>
                <w:iCs/>
                <w:color w:val="000000"/>
                <w:sz w:val="16"/>
                <w:szCs w:val="16"/>
                <w:lang w:val="en-GB"/>
              </w:rPr>
            </w:pPr>
          </w:p>
        </w:tc>
        <w:tc>
          <w:tcPr>
            <w:tcW w:w="720" w:type="pct"/>
            <w:vMerge/>
            <w:tcBorders>
              <w:top w:val="single" w:sz="4" w:space="0" w:color="auto"/>
              <w:bottom w:val="single" w:sz="4" w:space="0" w:color="auto"/>
              <w:right w:val="single" w:sz="4" w:space="0" w:color="auto"/>
            </w:tcBorders>
          </w:tcPr>
          <w:p w14:paraId="2A1EDAB5" w14:textId="77777777" w:rsidR="008F451B" w:rsidRPr="003C26C1" w:rsidRDefault="008F451B" w:rsidP="00DA7ED2">
            <w:pPr>
              <w:rPr>
                <w:i/>
                <w:iCs/>
                <w:color w:val="000000"/>
                <w:sz w:val="16"/>
                <w:szCs w:val="16"/>
                <w:lang w:val="en-GB"/>
              </w:rPr>
            </w:pPr>
          </w:p>
        </w:tc>
        <w:tc>
          <w:tcPr>
            <w:tcW w:w="1817" w:type="pct"/>
            <w:vMerge/>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B92718" w14:textId="77777777" w:rsidR="008F451B" w:rsidRPr="00BB70E8" w:rsidRDefault="008F451B" w:rsidP="00DA7ED2">
            <w:pPr>
              <w:rPr>
                <w:i/>
                <w:iCs/>
                <w:sz w:val="16"/>
                <w:szCs w:val="16"/>
                <w:lang w:val="en-GB"/>
              </w:rPr>
            </w:pPr>
          </w:p>
        </w:tc>
        <w:tc>
          <w:tcPr>
            <w:tcW w:w="676" w:type="pct"/>
            <w:vMerge/>
            <w:tcBorders>
              <w:top w:val="single" w:sz="4" w:space="0" w:color="auto"/>
              <w:left w:val="single" w:sz="4" w:space="0" w:color="auto"/>
              <w:bottom w:val="single" w:sz="4" w:space="0" w:color="auto"/>
            </w:tcBorders>
            <w:shd w:val="clear" w:color="auto" w:fill="auto"/>
          </w:tcPr>
          <w:p w14:paraId="661DBFA6" w14:textId="77777777" w:rsidR="008F451B" w:rsidRPr="00BB70E8" w:rsidRDefault="008F451B" w:rsidP="00DA7ED2">
            <w:pPr>
              <w:rPr>
                <w:i/>
                <w:iCs/>
                <w:sz w:val="16"/>
                <w:szCs w:val="16"/>
                <w:lang w:val="en-GB"/>
              </w:rPr>
            </w:pPr>
          </w:p>
        </w:tc>
        <w:tc>
          <w:tcPr>
            <w:tcW w:w="958"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E4E2DEE" w14:textId="77777777" w:rsidR="008F451B" w:rsidRPr="00B17BE1" w:rsidRDefault="008F451B" w:rsidP="00DA7ED2">
            <w:pPr>
              <w:rPr>
                <w:b/>
                <w:sz w:val="16"/>
                <w:szCs w:val="16"/>
              </w:rPr>
            </w:pPr>
          </w:p>
          <w:p w14:paraId="3844C925" w14:textId="77777777" w:rsidR="008F451B" w:rsidRPr="00B17BE1" w:rsidRDefault="008F451B" w:rsidP="00DA7ED2">
            <w:pPr>
              <w:rPr>
                <w:b/>
                <w:sz w:val="16"/>
                <w:szCs w:val="16"/>
              </w:rPr>
            </w:pPr>
          </w:p>
          <w:p w14:paraId="41E5676F" w14:textId="77777777" w:rsidR="008F451B" w:rsidRPr="00B17BE1" w:rsidRDefault="008F451B" w:rsidP="00DA7ED2">
            <w:pPr>
              <w:rPr>
                <w:b/>
                <w:sz w:val="16"/>
                <w:szCs w:val="16"/>
              </w:rPr>
            </w:pPr>
          </w:p>
          <w:p w14:paraId="18BDE2BF" w14:textId="77777777" w:rsidR="008F451B" w:rsidRPr="00B17BE1" w:rsidRDefault="008F451B" w:rsidP="00DA7ED2">
            <w:pPr>
              <w:rPr>
                <w:b/>
                <w:sz w:val="16"/>
                <w:szCs w:val="16"/>
              </w:rPr>
            </w:pPr>
          </w:p>
          <w:p w14:paraId="47B06F8F" w14:textId="77777777" w:rsidR="008F451B" w:rsidRPr="00B17BE1" w:rsidRDefault="008F451B" w:rsidP="00DA7ED2">
            <w:pPr>
              <w:rPr>
                <w:b/>
                <w:sz w:val="16"/>
                <w:szCs w:val="16"/>
              </w:rPr>
            </w:pPr>
          </w:p>
          <w:p w14:paraId="56B4A74D" w14:textId="77777777" w:rsidR="008F451B" w:rsidRPr="00B17BE1" w:rsidRDefault="008F451B" w:rsidP="00DA7ED2">
            <w:pPr>
              <w:rPr>
                <w:b/>
                <w:sz w:val="16"/>
                <w:szCs w:val="16"/>
              </w:rPr>
            </w:pPr>
          </w:p>
          <w:p w14:paraId="6B831374" w14:textId="77777777" w:rsidR="008F451B" w:rsidRPr="00B17BE1" w:rsidRDefault="008F451B" w:rsidP="00DA7ED2">
            <w:pPr>
              <w:jc w:val="right"/>
              <w:rPr>
                <w:b/>
                <w:sz w:val="16"/>
                <w:szCs w:val="16"/>
              </w:rPr>
            </w:pPr>
          </w:p>
          <w:p w14:paraId="1E8E4B38" w14:textId="77777777" w:rsidR="008F451B" w:rsidRPr="00B17BE1" w:rsidRDefault="008F451B" w:rsidP="00DA7ED2">
            <w:pPr>
              <w:rPr>
                <w:b/>
                <w:sz w:val="16"/>
                <w:szCs w:val="16"/>
              </w:rPr>
            </w:pPr>
          </w:p>
          <w:p w14:paraId="5CC63CB3" w14:textId="77777777" w:rsidR="008F451B" w:rsidRPr="00B17BE1" w:rsidRDefault="008F451B" w:rsidP="00DA7ED2">
            <w:pPr>
              <w:rPr>
                <w:b/>
                <w:sz w:val="16"/>
                <w:szCs w:val="16"/>
              </w:rPr>
            </w:pPr>
            <w:r w:rsidRPr="00B17BE1">
              <w:rPr>
                <w:b/>
                <w:sz w:val="16"/>
                <w:szCs w:val="16"/>
              </w:rPr>
              <w:t>Régulier: 2</w:t>
            </w:r>
            <w:r>
              <w:rPr>
                <w:b/>
                <w:sz w:val="16"/>
                <w:szCs w:val="16"/>
              </w:rPr>
              <w:t> </w:t>
            </w:r>
            <w:r w:rsidRPr="00B17BE1">
              <w:rPr>
                <w:b/>
                <w:sz w:val="16"/>
                <w:szCs w:val="16"/>
              </w:rPr>
              <w:t>805</w:t>
            </w:r>
            <w:r>
              <w:rPr>
                <w:b/>
                <w:sz w:val="16"/>
                <w:szCs w:val="16"/>
              </w:rPr>
              <w:t xml:space="preserve"> </w:t>
            </w:r>
            <w:r w:rsidRPr="00B17BE1">
              <w:rPr>
                <w:b/>
                <w:sz w:val="16"/>
                <w:szCs w:val="16"/>
              </w:rPr>
              <w:t>369</w:t>
            </w:r>
          </w:p>
          <w:p w14:paraId="3C1395B7" w14:textId="77777777" w:rsidR="008F451B" w:rsidRPr="00B17BE1" w:rsidRDefault="008F451B" w:rsidP="00DA7ED2">
            <w:pPr>
              <w:rPr>
                <w:b/>
                <w:sz w:val="16"/>
                <w:szCs w:val="16"/>
              </w:rPr>
            </w:pPr>
            <w:r w:rsidRPr="00B17BE1">
              <w:rPr>
                <w:b/>
                <w:sz w:val="16"/>
                <w:szCs w:val="16"/>
              </w:rPr>
              <w:t>Autre: 9</w:t>
            </w:r>
            <w:r>
              <w:rPr>
                <w:b/>
                <w:sz w:val="16"/>
                <w:szCs w:val="16"/>
              </w:rPr>
              <w:t> </w:t>
            </w:r>
            <w:r w:rsidRPr="00B17BE1">
              <w:rPr>
                <w:b/>
                <w:sz w:val="16"/>
                <w:szCs w:val="16"/>
              </w:rPr>
              <w:t>793</w:t>
            </w:r>
            <w:r>
              <w:rPr>
                <w:b/>
                <w:sz w:val="16"/>
                <w:szCs w:val="16"/>
              </w:rPr>
              <w:t xml:space="preserve"> </w:t>
            </w:r>
            <w:r w:rsidRPr="00B17BE1">
              <w:rPr>
                <w:b/>
                <w:sz w:val="16"/>
                <w:szCs w:val="16"/>
              </w:rPr>
              <w:t>639</w:t>
            </w:r>
          </w:p>
          <w:p w14:paraId="56637388" w14:textId="77777777" w:rsidR="008F451B" w:rsidRPr="00B17BE1" w:rsidRDefault="008F451B" w:rsidP="00DA7ED2">
            <w:pPr>
              <w:rPr>
                <w:b/>
                <w:sz w:val="16"/>
                <w:szCs w:val="16"/>
              </w:rPr>
            </w:pPr>
          </w:p>
          <w:p w14:paraId="40541162" w14:textId="77777777" w:rsidR="008F451B" w:rsidRPr="00B17BE1" w:rsidRDefault="008F451B" w:rsidP="00DA7ED2">
            <w:pPr>
              <w:rPr>
                <w:b/>
                <w:sz w:val="16"/>
                <w:szCs w:val="16"/>
              </w:rPr>
            </w:pPr>
          </w:p>
          <w:p w14:paraId="742BA26F" w14:textId="77777777" w:rsidR="008F451B" w:rsidRPr="00B17BE1" w:rsidRDefault="008F451B" w:rsidP="00DA7ED2">
            <w:pPr>
              <w:rPr>
                <w:b/>
                <w:sz w:val="16"/>
                <w:szCs w:val="16"/>
              </w:rPr>
            </w:pPr>
          </w:p>
          <w:p w14:paraId="49036141" w14:textId="77777777" w:rsidR="008F451B" w:rsidRPr="00B17BE1" w:rsidRDefault="008F451B" w:rsidP="00DA7ED2">
            <w:pPr>
              <w:rPr>
                <w:b/>
                <w:sz w:val="16"/>
                <w:szCs w:val="16"/>
              </w:rPr>
            </w:pPr>
          </w:p>
          <w:p w14:paraId="21B6C7DE" w14:textId="77777777" w:rsidR="008F451B" w:rsidRPr="00B17BE1" w:rsidRDefault="008F451B" w:rsidP="00DA7ED2">
            <w:pPr>
              <w:rPr>
                <w:b/>
                <w:sz w:val="16"/>
                <w:szCs w:val="16"/>
              </w:rPr>
            </w:pPr>
          </w:p>
          <w:p w14:paraId="7C1E4D89" w14:textId="77777777" w:rsidR="008F451B" w:rsidRPr="00B17BE1" w:rsidRDefault="008F451B" w:rsidP="00DA7ED2">
            <w:pPr>
              <w:rPr>
                <w:b/>
                <w:sz w:val="16"/>
                <w:szCs w:val="16"/>
              </w:rPr>
            </w:pPr>
          </w:p>
          <w:p w14:paraId="31918252" w14:textId="77777777" w:rsidR="008F451B" w:rsidRPr="00B17BE1" w:rsidRDefault="008F451B" w:rsidP="00DA7ED2">
            <w:pPr>
              <w:rPr>
                <w:b/>
                <w:sz w:val="16"/>
                <w:szCs w:val="16"/>
              </w:rPr>
            </w:pPr>
          </w:p>
          <w:p w14:paraId="36415FE0" w14:textId="77777777" w:rsidR="008F451B" w:rsidRPr="00B17BE1" w:rsidRDefault="008F451B" w:rsidP="00DA7ED2">
            <w:pPr>
              <w:rPr>
                <w:b/>
                <w:sz w:val="16"/>
                <w:szCs w:val="16"/>
              </w:rPr>
            </w:pPr>
          </w:p>
          <w:p w14:paraId="0507F749" w14:textId="77777777" w:rsidR="008F451B" w:rsidRPr="00B17BE1" w:rsidRDefault="008F451B" w:rsidP="00DA7ED2">
            <w:pPr>
              <w:rPr>
                <w:b/>
                <w:sz w:val="16"/>
                <w:szCs w:val="16"/>
              </w:rPr>
            </w:pPr>
          </w:p>
          <w:p w14:paraId="1DA65602" w14:textId="77777777" w:rsidR="008F451B" w:rsidRPr="00B17BE1" w:rsidRDefault="008F451B" w:rsidP="00DA7ED2">
            <w:pPr>
              <w:rPr>
                <w:b/>
                <w:sz w:val="16"/>
                <w:szCs w:val="16"/>
              </w:rPr>
            </w:pPr>
          </w:p>
          <w:p w14:paraId="4FA4446D" w14:textId="77777777" w:rsidR="008F451B" w:rsidRPr="00B17BE1" w:rsidRDefault="008F451B" w:rsidP="00DA7ED2">
            <w:pPr>
              <w:rPr>
                <w:b/>
                <w:sz w:val="16"/>
                <w:szCs w:val="16"/>
              </w:rPr>
            </w:pPr>
            <w:r w:rsidRPr="00B17BE1">
              <w:rPr>
                <w:b/>
                <w:sz w:val="16"/>
                <w:szCs w:val="16"/>
              </w:rPr>
              <w:t>Régulier: 3</w:t>
            </w:r>
            <w:r>
              <w:rPr>
                <w:b/>
                <w:sz w:val="16"/>
                <w:szCs w:val="16"/>
              </w:rPr>
              <w:t> </w:t>
            </w:r>
            <w:r w:rsidRPr="00B17BE1">
              <w:rPr>
                <w:b/>
                <w:sz w:val="16"/>
                <w:szCs w:val="16"/>
              </w:rPr>
              <w:t>830</w:t>
            </w:r>
            <w:r>
              <w:rPr>
                <w:b/>
                <w:sz w:val="16"/>
                <w:szCs w:val="16"/>
              </w:rPr>
              <w:t xml:space="preserve"> </w:t>
            </w:r>
            <w:r w:rsidRPr="00B17BE1">
              <w:rPr>
                <w:b/>
                <w:sz w:val="16"/>
                <w:szCs w:val="16"/>
              </w:rPr>
              <w:t>384</w:t>
            </w:r>
          </w:p>
          <w:p w14:paraId="6BE1F2F2" w14:textId="77777777" w:rsidR="008F451B" w:rsidRPr="00B17BE1" w:rsidRDefault="008F451B" w:rsidP="00DA7ED2">
            <w:pPr>
              <w:rPr>
                <w:b/>
                <w:sz w:val="16"/>
                <w:szCs w:val="16"/>
              </w:rPr>
            </w:pPr>
            <w:r w:rsidRPr="00B17BE1">
              <w:rPr>
                <w:b/>
                <w:sz w:val="16"/>
                <w:szCs w:val="16"/>
              </w:rPr>
              <w:t>Autre: 8</w:t>
            </w:r>
            <w:r>
              <w:rPr>
                <w:b/>
                <w:sz w:val="16"/>
                <w:szCs w:val="16"/>
              </w:rPr>
              <w:t> </w:t>
            </w:r>
            <w:r w:rsidRPr="00B17BE1">
              <w:rPr>
                <w:b/>
                <w:sz w:val="16"/>
                <w:szCs w:val="16"/>
              </w:rPr>
              <w:t>578</w:t>
            </w:r>
            <w:r>
              <w:rPr>
                <w:b/>
                <w:sz w:val="16"/>
                <w:szCs w:val="16"/>
              </w:rPr>
              <w:t xml:space="preserve"> </w:t>
            </w:r>
            <w:r w:rsidRPr="00B17BE1">
              <w:rPr>
                <w:b/>
                <w:sz w:val="16"/>
                <w:szCs w:val="16"/>
              </w:rPr>
              <w:t>703</w:t>
            </w:r>
          </w:p>
          <w:p w14:paraId="56321696" w14:textId="77777777" w:rsidR="008F451B" w:rsidRPr="00B17BE1" w:rsidRDefault="008F451B" w:rsidP="00DA7ED2">
            <w:pPr>
              <w:rPr>
                <w:b/>
                <w:sz w:val="16"/>
                <w:szCs w:val="16"/>
              </w:rPr>
            </w:pPr>
          </w:p>
          <w:p w14:paraId="6D715310" w14:textId="77777777" w:rsidR="008F451B" w:rsidRDefault="008F451B" w:rsidP="00DA7ED2">
            <w:pPr>
              <w:rPr>
                <w:b/>
                <w:sz w:val="16"/>
                <w:szCs w:val="16"/>
              </w:rPr>
            </w:pPr>
          </w:p>
          <w:p w14:paraId="3E2482F6" w14:textId="77777777" w:rsidR="008F451B" w:rsidRDefault="008F451B" w:rsidP="00DA7ED2">
            <w:pPr>
              <w:rPr>
                <w:b/>
                <w:sz w:val="16"/>
                <w:szCs w:val="16"/>
              </w:rPr>
            </w:pPr>
          </w:p>
          <w:p w14:paraId="1A11EE81" w14:textId="77777777" w:rsidR="008F451B" w:rsidRDefault="008F451B" w:rsidP="00DA7ED2">
            <w:pPr>
              <w:rPr>
                <w:b/>
                <w:sz w:val="16"/>
                <w:szCs w:val="16"/>
              </w:rPr>
            </w:pPr>
          </w:p>
          <w:p w14:paraId="0259CBDF" w14:textId="77777777" w:rsidR="008F451B" w:rsidRDefault="008F451B" w:rsidP="00DA7ED2">
            <w:pPr>
              <w:rPr>
                <w:b/>
                <w:sz w:val="16"/>
                <w:szCs w:val="16"/>
              </w:rPr>
            </w:pPr>
          </w:p>
          <w:p w14:paraId="69890F0B" w14:textId="77777777" w:rsidR="008F451B" w:rsidRDefault="008F451B" w:rsidP="00DA7ED2">
            <w:pPr>
              <w:rPr>
                <w:b/>
                <w:sz w:val="16"/>
                <w:szCs w:val="16"/>
              </w:rPr>
            </w:pPr>
          </w:p>
          <w:p w14:paraId="2E0CA485" w14:textId="4A12FF20" w:rsidR="008F451B" w:rsidRPr="00B17BE1" w:rsidRDefault="008F451B" w:rsidP="00DA7ED2">
            <w:pPr>
              <w:rPr>
                <w:b/>
                <w:sz w:val="16"/>
                <w:szCs w:val="16"/>
              </w:rPr>
            </w:pPr>
            <w:r w:rsidRPr="00B17BE1">
              <w:rPr>
                <w:b/>
                <w:sz w:val="16"/>
                <w:szCs w:val="16"/>
              </w:rPr>
              <w:t>Régulier: 3</w:t>
            </w:r>
            <w:r>
              <w:rPr>
                <w:b/>
                <w:sz w:val="16"/>
                <w:szCs w:val="16"/>
              </w:rPr>
              <w:t> </w:t>
            </w:r>
            <w:r w:rsidRPr="00B17BE1">
              <w:rPr>
                <w:b/>
                <w:sz w:val="16"/>
                <w:szCs w:val="16"/>
              </w:rPr>
              <w:t>647</w:t>
            </w:r>
            <w:r>
              <w:rPr>
                <w:b/>
                <w:sz w:val="16"/>
                <w:szCs w:val="16"/>
              </w:rPr>
              <w:t xml:space="preserve"> </w:t>
            </w:r>
            <w:r w:rsidRPr="00B17BE1">
              <w:rPr>
                <w:b/>
                <w:sz w:val="16"/>
                <w:szCs w:val="16"/>
              </w:rPr>
              <w:t>346</w:t>
            </w:r>
          </w:p>
          <w:p w14:paraId="36105929" w14:textId="77777777" w:rsidR="008F451B" w:rsidRPr="00B17BE1" w:rsidRDefault="008F451B" w:rsidP="00DA7ED2">
            <w:pPr>
              <w:rPr>
                <w:b/>
                <w:sz w:val="16"/>
                <w:szCs w:val="16"/>
              </w:rPr>
            </w:pPr>
            <w:r w:rsidRPr="00B17BE1">
              <w:rPr>
                <w:b/>
                <w:sz w:val="16"/>
                <w:szCs w:val="16"/>
              </w:rPr>
              <w:t>Autre: 22</w:t>
            </w:r>
            <w:r>
              <w:rPr>
                <w:b/>
                <w:sz w:val="16"/>
                <w:szCs w:val="16"/>
              </w:rPr>
              <w:t> </w:t>
            </w:r>
            <w:r w:rsidRPr="00B17BE1">
              <w:rPr>
                <w:b/>
                <w:sz w:val="16"/>
                <w:szCs w:val="16"/>
              </w:rPr>
              <w:t>869</w:t>
            </w:r>
            <w:r>
              <w:rPr>
                <w:b/>
                <w:sz w:val="16"/>
                <w:szCs w:val="16"/>
              </w:rPr>
              <w:t xml:space="preserve"> </w:t>
            </w:r>
            <w:r w:rsidRPr="00B17BE1">
              <w:rPr>
                <w:b/>
                <w:sz w:val="16"/>
                <w:szCs w:val="16"/>
              </w:rPr>
              <w:t>394</w:t>
            </w:r>
          </w:p>
        </w:tc>
      </w:tr>
      <w:tr w:rsidR="008F451B" w:rsidRPr="003C26C1" w14:paraId="28A1FC99" w14:textId="77777777" w:rsidTr="00DA7ED2">
        <w:trPr>
          <w:trHeight w:val="233"/>
        </w:trPr>
        <w:tc>
          <w:tcPr>
            <w:tcW w:w="4042" w:type="pct"/>
            <w:gridSpan w:val="4"/>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B8DE4A8" w14:textId="77777777" w:rsidR="008F451B" w:rsidRPr="008D03F0" w:rsidRDefault="008F451B" w:rsidP="00DA7ED2">
            <w:pPr>
              <w:jc w:val="right"/>
              <w:rPr>
                <w:b/>
                <w:i/>
                <w:iCs/>
                <w:color w:val="000000"/>
                <w:sz w:val="16"/>
                <w:szCs w:val="16"/>
                <w:lang w:val="en-GB"/>
              </w:rPr>
            </w:pPr>
            <w:r>
              <w:rPr>
                <w:b/>
                <w:i/>
                <w:iCs/>
                <w:color w:val="000000"/>
                <w:sz w:val="16"/>
                <w:szCs w:val="16"/>
                <w:lang w:val="en-GB"/>
              </w:rPr>
              <w:t>Sous-Total</w:t>
            </w:r>
            <w:r w:rsidRPr="00802CEE">
              <w:rPr>
                <w:b/>
                <w:i/>
                <w:iCs/>
                <w:color w:val="000000"/>
                <w:sz w:val="16"/>
                <w:szCs w:val="16"/>
                <w:lang w:val="en-GB"/>
              </w:rPr>
              <w:t xml:space="preserve"> </w:t>
            </w:r>
            <w:proofErr w:type="spellStart"/>
            <w:r>
              <w:rPr>
                <w:b/>
                <w:i/>
                <w:iCs/>
                <w:color w:val="000000"/>
                <w:sz w:val="16"/>
                <w:szCs w:val="16"/>
                <w:lang w:val="en-GB"/>
              </w:rPr>
              <w:t>Résultat</w:t>
            </w:r>
            <w:proofErr w:type="spellEnd"/>
            <w:r w:rsidRPr="00802CEE">
              <w:rPr>
                <w:b/>
                <w:i/>
                <w:iCs/>
                <w:color w:val="000000"/>
                <w:sz w:val="16"/>
                <w:szCs w:val="16"/>
                <w:lang w:val="en-GB"/>
              </w:rPr>
              <w:t xml:space="preserve"> 1</w:t>
            </w:r>
            <w:r>
              <w:rPr>
                <w:iCs/>
                <w:color w:val="000000"/>
                <w:sz w:val="16"/>
                <w:szCs w:val="16"/>
                <w:lang w:val="en-GB"/>
              </w:rPr>
              <w:t xml:space="preserve"> </w:t>
            </w:r>
          </w:p>
        </w:tc>
        <w:tc>
          <w:tcPr>
            <w:tcW w:w="958"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D89C044" w14:textId="77777777" w:rsidR="008F451B" w:rsidRPr="003C26C1" w:rsidRDefault="008F451B" w:rsidP="00DA7ED2">
            <w:pPr>
              <w:rPr>
                <w:b/>
                <w:color w:val="000000"/>
                <w:sz w:val="16"/>
                <w:szCs w:val="16"/>
              </w:rPr>
            </w:pPr>
            <w:r>
              <w:rPr>
                <w:b/>
                <w:color w:val="000000"/>
                <w:sz w:val="16"/>
                <w:szCs w:val="16"/>
              </w:rPr>
              <w:t>Régulier: 15 303 233</w:t>
            </w:r>
          </w:p>
        </w:tc>
      </w:tr>
      <w:tr w:rsidR="008F451B" w:rsidRPr="003C26C1" w14:paraId="52C6E1DF" w14:textId="77777777" w:rsidTr="00DA7ED2">
        <w:trPr>
          <w:trHeight w:val="232"/>
        </w:trPr>
        <w:tc>
          <w:tcPr>
            <w:tcW w:w="4042" w:type="pct"/>
            <w:gridSpan w:val="4"/>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96431DA" w14:textId="77777777" w:rsidR="008F451B" w:rsidRPr="003C26C1" w:rsidRDefault="008F451B" w:rsidP="00DA7ED2">
            <w:pPr>
              <w:rPr>
                <w:i/>
                <w:iCs/>
                <w:color w:val="000000"/>
                <w:sz w:val="16"/>
                <w:szCs w:val="16"/>
                <w:lang w:val="en-GB"/>
              </w:rPr>
            </w:pPr>
          </w:p>
        </w:tc>
        <w:tc>
          <w:tcPr>
            <w:tcW w:w="958"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58B79A8" w14:textId="61888B08" w:rsidR="008F451B" w:rsidRPr="003C26C1" w:rsidRDefault="008F451B" w:rsidP="00DA7ED2">
            <w:pPr>
              <w:rPr>
                <w:b/>
                <w:color w:val="000000"/>
                <w:sz w:val="16"/>
                <w:szCs w:val="16"/>
              </w:rPr>
            </w:pPr>
            <w:r>
              <w:rPr>
                <w:b/>
                <w:color w:val="000000"/>
                <w:sz w:val="16"/>
                <w:szCs w:val="16"/>
              </w:rPr>
              <w:t>Autre: 49 212 971</w:t>
            </w:r>
          </w:p>
        </w:tc>
      </w:tr>
      <w:tr w:rsidR="008F451B" w:rsidRPr="007C2D1C" w14:paraId="08F369E8" w14:textId="77777777" w:rsidTr="00DA7ED2">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44" w:type="dxa"/>
              <w:bottom w:w="72" w:type="dxa"/>
              <w:right w:w="144" w:type="dxa"/>
            </w:tcMar>
          </w:tcPr>
          <w:p w14:paraId="32D3F890" w14:textId="77777777" w:rsidR="008F451B" w:rsidRPr="00AC7047" w:rsidRDefault="008F451B" w:rsidP="00DA7ED2">
            <w:pPr>
              <w:rPr>
                <w:color w:val="000000"/>
                <w:sz w:val="16"/>
                <w:szCs w:val="16"/>
              </w:rPr>
            </w:pPr>
            <w:bookmarkStart w:id="2" w:name="_Hlk7934922"/>
            <w:r w:rsidRPr="00AC7047">
              <w:rPr>
                <w:b/>
                <w:bCs/>
                <w:color w:val="000000"/>
                <w:sz w:val="16"/>
                <w:szCs w:val="16"/>
              </w:rPr>
              <w:t xml:space="preserve">PRIORITE OU OBJECTIF NATIONAL : </w:t>
            </w:r>
            <w:r w:rsidRPr="00AC7047">
              <w:rPr>
                <w:b/>
                <w:i/>
                <w:color w:val="4472C4" w:themeColor="accent1"/>
                <w:sz w:val="16"/>
                <w:szCs w:val="16"/>
              </w:rPr>
              <w:t xml:space="preserve">Croissance inclusive et transformation  structurelle </w:t>
            </w:r>
            <w:r>
              <w:rPr>
                <w:b/>
                <w:i/>
                <w:color w:val="4472C4" w:themeColor="accent1"/>
                <w:sz w:val="16"/>
                <w:szCs w:val="16"/>
              </w:rPr>
              <w:t>d</w:t>
            </w:r>
            <w:r w:rsidRPr="00AC7047">
              <w:rPr>
                <w:b/>
                <w:i/>
                <w:color w:val="4472C4" w:themeColor="accent1"/>
                <w:sz w:val="16"/>
                <w:szCs w:val="16"/>
              </w:rPr>
              <w:t xml:space="preserve">e </w:t>
            </w:r>
            <w:r>
              <w:rPr>
                <w:b/>
                <w:i/>
                <w:color w:val="4472C4" w:themeColor="accent1"/>
                <w:sz w:val="16"/>
                <w:szCs w:val="16"/>
              </w:rPr>
              <w:t>l’</w:t>
            </w:r>
            <w:r w:rsidRPr="00AC7047">
              <w:rPr>
                <w:b/>
                <w:i/>
                <w:color w:val="4472C4" w:themeColor="accent1"/>
                <w:sz w:val="16"/>
                <w:szCs w:val="16"/>
              </w:rPr>
              <w:t>économie</w:t>
            </w:r>
          </w:p>
        </w:tc>
      </w:tr>
      <w:tr w:rsidR="008F451B" w:rsidRPr="007C2D1C" w14:paraId="1B7ABBB8" w14:textId="77777777" w:rsidTr="00DA7ED2">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44" w:type="dxa"/>
              <w:bottom w:w="72" w:type="dxa"/>
              <w:right w:w="144" w:type="dxa"/>
            </w:tcMar>
          </w:tcPr>
          <w:p w14:paraId="7D32A898" w14:textId="77777777" w:rsidR="008F451B" w:rsidRPr="00AC7047" w:rsidRDefault="008F451B" w:rsidP="00DA7ED2">
            <w:pPr>
              <w:rPr>
                <w:color w:val="000000"/>
                <w:sz w:val="16"/>
                <w:szCs w:val="16"/>
              </w:rPr>
            </w:pPr>
            <w:r w:rsidRPr="00B93360">
              <w:rPr>
                <w:b/>
                <w:bCs/>
                <w:color w:val="000000"/>
                <w:sz w:val="16"/>
                <w:szCs w:val="16"/>
              </w:rPr>
              <w:t>RESULTATS DE L’UNSDCF (OU EQUIVALENT) IMPLIQUANT LE PNUD</w:t>
            </w:r>
            <w:r w:rsidRPr="00AC7047">
              <w:rPr>
                <w:b/>
                <w:bCs/>
                <w:color w:val="000000"/>
                <w:sz w:val="16"/>
                <w:szCs w:val="16"/>
              </w:rPr>
              <w:t xml:space="preserve"> #2:</w:t>
            </w:r>
            <w:r w:rsidRPr="00AC7047">
              <w:rPr>
                <w:color w:val="000000"/>
                <w:sz w:val="16"/>
                <w:szCs w:val="16"/>
              </w:rPr>
              <w:t xml:space="preserve"> </w:t>
            </w:r>
            <w:r w:rsidRPr="007A06D7">
              <w:rPr>
                <w:b/>
                <w:i/>
                <w:color w:val="4472C4" w:themeColor="accent1"/>
                <w:sz w:val="16"/>
                <w:szCs w:val="16"/>
              </w:rPr>
              <w:t xml:space="preserve">D'ici 2024, les populations maliennes, particulièrement les plus vulnérables, participent à l'économie et bénéficient des fruits d'une croissance forte, inclusive, résiliente et créatrice d'emplois décents                                                                             </w:t>
            </w:r>
          </w:p>
        </w:tc>
      </w:tr>
      <w:tr w:rsidR="008F451B" w:rsidRPr="00FC56E3" w14:paraId="27A15B6E" w14:textId="77777777" w:rsidTr="00DA7ED2">
        <w:trPr>
          <w:trHeight w:val="355"/>
        </w:trPr>
        <w:tc>
          <w:tcPr>
            <w:tcW w:w="5000"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72" w:type="dxa"/>
              <w:left w:w="144" w:type="dxa"/>
              <w:bottom w:w="72" w:type="dxa"/>
              <w:right w:w="144" w:type="dxa"/>
            </w:tcMar>
          </w:tcPr>
          <w:p w14:paraId="4E8035EB" w14:textId="77777777" w:rsidR="008F451B" w:rsidRPr="00AC7047" w:rsidRDefault="008F451B" w:rsidP="00DA7ED2">
            <w:pPr>
              <w:rPr>
                <w:b/>
                <w:bCs/>
                <w:color w:val="000000"/>
                <w:sz w:val="16"/>
                <w:szCs w:val="16"/>
              </w:rPr>
            </w:pPr>
            <w:r w:rsidRPr="00AC7047">
              <w:rPr>
                <w:b/>
                <w:bCs/>
                <w:color w:val="000000"/>
                <w:sz w:val="16"/>
                <w:szCs w:val="16"/>
              </w:rPr>
              <w:t xml:space="preserve">RÉSULTAT DU PLAN STRATÉGIQUE CONNEXE : </w:t>
            </w:r>
            <w:r w:rsidRPr="00AC7047">
              <w:rPr>
                <w:b/>
                <w:i/>
                <w:color w:val="4472C4" w:themeColor="accent1"/>
                <w:sz w:val="16"/>
                <w:szCs w:val="16"/>
              </w:rPr>
              <w:t xml:space="preserve">Réaliser des progrès en matière </w:t>
            </w:r>
            <w:r>
              <w:rPr>
                <w:b/>
                <w:i/>
                <w:color w:val="4472C4" w:themeColor="accent1"/>
                <w:sz w:val="16"/>
                <w:szCs w:val="16"/>
              </w:rPr>
              <w:t>d’</w:t>
            </w:r>
            <w:r w:rsidRPr="00AC7047">
              <w:rPr>
                <w:b/>
                <w:i/>
                <w:color w:val="4472C4" w:themeColor="accent1"/>
                <w:sz w:val="16"/>
                <w:szCs w:val="16"/>
              </w:rPr>
              <w:t xml:space="preserve">éradication  </w:t>
            </w:r>
            <w:r>
              <w:rPr>
                <w:b/>
                <w:i/>
                <w:color w:val="4472C4" w:themeColor="accent1"/>
                <w:sz w:val="16"/>
                <w:szCs w:val="16"/>
              </w:rPr>
              <w:t xml:space="preserve">de la pauvreté sous toutes ses </w:t>
            </w:r>
            <w:r w:rsidRPr="00AC7047">
              <w:rPr>
                <w:b/>
                <w:i/>
                <w:color w:val="4472C4" w:themeColor="accent1"/>
                <w:sz w:val="16"/>
                <w:szCs w:val="16"/>
              </w:rPr>
              <w:t>form</w:t>
            </w:r>
            <w:r>
              <w:rPr>
                <w:b/>
                <w:i/>
                <w:color w:val="4472C4" w:themeColor="accent1"/>
                <w:sz w:val="16"/>
                <w:szCs w:val="16"/>
              </w:rPr>
              <w:t>é</w:t>
            </w:r>
            <w:r w:rsidRPr="00AC7047">
              <w:rPr>
                <w:b/>
                <w:i/>
                <w:color w:val="4472C4" w:themeColor="accent1"/>
                <w:sz w:val="16"/>
                <w:szCs w:val="16"/>
              </w:rPr>
              <w:t xml:space="preserve">s </w:t>
            </w:r>
            <w:r>
              <w:rPr>
                <w:b/>
                <w:i/>
                <w:color w:val="4472C4" w:themeColor="accent1"/>
                <w:sz w:val="16"/>
                <w:szCs w:val="16"/>
              </w:rPr>
              <w:t>et</w:t>
            </w:r>
            <w:r w:rsidRPr="00AC7047">
              <w:rPr>
                <w:b/>
                <w:i/>
                <w:color w:val="4472C4" w:themeColor="accent1"/>
                <w:sz w:val="16"/>
                <w:szCs w:val="16"/>
              </w:rPr>
              <w:t xml:space="preserve"> dimensions</w:t>
            </w:r>
            <w:r w:rsidRPr="00AC7047">
              <w:rPr>
                <w:b/>
                <w:bCs/>
                <w:color w:val="000000"/>
                <w:sz w:val="16"/>
                <w:szCs w:val="16"/>
              </w:rPr>
              <w:t xml:space="preserve"> </w:t>
            </w:r>
          </w:p>
        </w:tc>
      </w:tr>
      <w:tr w:rsidR="008F451B" w:rsidRPr="007C2D1C" w14:paraId="0A870A6E" w14:textId="77777777" w:rsidTr="00DA7ED2">
        <w:trPr>
          <w:trHeight w:val="322"/>
        </w:trPr>
        <w:tc>
          <w:tcPr>
            <w:tcW w:w="829" w:type="pct"/>
            <w:tcBorders>
              <w:top w:val="single" w:sz="4" w:space="0" w:color="auto"/>
              <w:left w:val="single" w:sz="4" w:space="0" w:color="auto"/>
              <w:bottom w:val="single" w:sz="4" w:space="0" w:color="auto"/>
            </w:tcBorders>
            <w:shd w:val="clear" w:color="auto" w:fill="D9E2F3" w:themeFill="accent1" w:themeFillTint="33"/>
            <w:tcMar>
              <w:top w:w="72" w:type="dxa"/>
              <w:left w:w="144" w:type="dxa"/>
              <w:bottom w:w="72" w:type="dxa"/>
              <w:right w:w="144" w:type="dxa"/>
            </w:tcMar>
            <w:vAlign w:val="center"/>
          </w:tcPr>
          <w:p w14:paraId="6D4ED7D2" w14:textId="77777777" w:rsidR="008F451B" w:rsidRPr="00AC7047" w:rsidRDefault="008F451B" w:rsidP="008F451B">
            <w:pPr>
              <w:rPr>
                <w:color w:val="000000"/>
                <w:sz w:val="16"/>
                <w:szCs w:val="16"/>
              </w:rPr>
            </w:pPr>
            <w:r w:rsidRPr="00AC7047">
              <w:rPr>
                <w:b/>
                <w:sz w:val="16"/>
                <w:szCs w:val="16"/>
              </w:rPr>
              <w:t>INDICATEUR DE RÉSULTAT DE L’UNSDCF, REFERENCES, CIBLE(S)</w:t>
            </w:r>
          </w:p>
        </w:tc>
        <w:tc>
          <w:tcPr>
            <w:tcW w:w="720" w:type="pct"/>
            <w:tcBorders>
              <w:top w:val="single" w:sz="4" w:space="0" w:color="auto"/>
              <w:bottom w:val="single" w:sz="4" w:space="0" w:color="auto"/>
            </w:tcBorders>
            <w:shd w:val="clear" w:color="auto" w:fill="D9E2F3" w:themeFill="accent1" w:themeFillTint="33"/>
            <w:vAlign w:val="center"/>
          </w:tcPr>
          <w:p w14:paraId="0423A140" w14:textId="77777777" w:rsidR="008F451B" w:rsidRPr="00AC7047" w:rsidRDefault="008F451B" w:rsidP="008F451B">
            <w:pPr>
              <w:rPr>
                <w:b/>
                <w:color w:val="000000"/>
                <w:sz w:val="16"/>
                <w:szCs w:val="16"/>
              </w:rPr>
            </w:pPr>
            <w:r w:rsidRPr="00AC7047">
              <w:rPr>
                <w:b/>
                <w:sz w:val="16"/>
                <w:szCs w:val="16"/>
              </w:rPr>
              <w:t>SOURCE DE DONNÉES ET FRÉQUENCE DE LA COLLECTE DE DONNÉES ET RESPONSABILITÉS</w:t>
            </w:r>
          </w:p>
        </w:tc>
        <w:tc>
          <w:tcPr>
            <w:tcW w:w="1817" w:type="pct"/>
            <w:tcBorders>
              <w:top w:val="single" w:sz="4" w:space="0" w:color="auto"/>
              <w:bottom w:val="single" w:sz="4" w:space="0" w:color="auto"/>
            </w:tcBorders>
            <w:shd w:val="clear" w:color="auto" w:fill="D9E2F3" w:themeFill="accent1" w:themeFillTint="33"/>
            <w:tcMar>
              <w:top w:w="72" w:type="dxa"/>
              <w:left w:w="144" w:type="dxa"/>
              <w:bottom w:w="72" w:type="dxa"/>
              <w:right w:w="144" w:type="dxa"/>
            </w:tcMar>
            <w:vAlign w:val="center"/>
          </w:tcPr>
          <w:p w14:paraId="65EDBE5C" w14:textId="77777777" w:rsidR="008F451B" w:rsidRPr="00AC7047" w:rsidRDefault="008F451B" w:rsidP="008F451B">
            <w:pPr>
              <w:rPr>
                <w:color w:val="000000"/>
                <w:sz w:val="16"/>
                <w:szCs w:val="16"/>
              </w:rPr>
            </w:pPr>
            <w:r w:rsidRPr="00AC7047">
              <w:rPr>
                <w:b/>
                <w:sz w:val="16"/>
                <w:szCs w:val="16"/>
              </w:rPr>
              <w:t xml:space="preserve">RÉSULTATS INDICATIFS DU PROGRAMME PAYS </w:t>
            </w:r>
            <w:r w:rsidRPr="00AC7047">
              <w:rPr>
                <w:b/>
                <w:i/>
                <w:sz w:val="16"/>
                <w:szCs w:val="16"/>
              </w:rPr>
              <w:t>(notamment les indicateurs, les références et les cibles)</w:t>
            </w:r>
          </w:p>
        </w:tc>
        <w:tc>
          <w:tcPr>
            <w:tcW w:w="676" w:type="pct"/>
            <w:tcBorders>
              <w:top w:val="single" w:sz="4" w:space="0" w:color="auto"/>
              <w:bottom w:val="single" w:sz="4" w:space="0" w:color="auto"/>
            </w:tcBorders>
            <w:shd w:val="clear" w:color="auto" w:fill="D9E2F3" w:themeFill="accent1" w:themeFillTint="33"/>
            <w:vAlign w:val="center"/>
          </w:tcPr>
          <w:p w14:paraId="6CACAC68" w14:textId="77777777" w:rsidR="008F451B" w:rsidRPr="00AC7047" w:rsidRDefault="008F451B" w:rsidP="008F451B">
            <w:pPr>
              <w:rPr>
                <w:b/>
                <w:bCs/>
                <w:sz w:val="16"/>
                <w:szCs w:val="16"/>
              </w:rPr>
            </w:pPr>
            <w:r w:rsidRPr="00AC7047">
              <w:rPr>
                <w:b/>
                <w:bCs/>
                <w:sz w:val="16"/>
                <w:szCs w:val="16"/>
              </w:rPr>
              <w:t>PRINCIPAUX PARTENAIRES /  CADRES DE PARTENARIATS</w:t>
            </w:r>
          </w:p>
          <w:p w14:paraId="375EFB95" w14:textId="77777777" w:rsidR="008F451B" w:rsidRPr="003C26C1" w:rsidRDefault="008F451B" w:rsidP="00DA7ED2">
            <w:pPr>
              <w:jc w:val="center"/>
              <w:rPr>
                <w:b/>
                <w:bCs/>
                <w:color w:val="000000"/>
                <w:sz w:val="16"/>
                <w:szCs w:val="16"/>
                <w:lang w:val="en-GB"/>
              </w:rPr>
            </w:pPr>
          </w:p>
        </w:tc>
        <w:tc>
          <w:tcPr>
            <w:tcW w:w="958" w:type="pct"/>
            <w:tcBorders>
              <w:top w:val="single" w:sz="4" w:space="0" w:color="auto"/>
              <w:bottom w:val="single" w:sz="4" w:space="0" w:color="auto"/>
              <w:right w:val="single" w:sz="4" w:space="0" w:color="auto"/>
            </w:tcBorders>
            <w:shd w:val="clear" w:color="auto" w:fill="D9E2F3" w:themeFill="accent1" w:themeFillTint="33"/>
            <w:tcMar>
              <w:top w:w="15" w:type="dxa"/>
              <w:left w:w="108" w:type="dxa"/>
              <w:bottom w:w="0" w:type="dxa"/>
              <w:right w:w="108" w:type="dxa"/>
            </w:tcMar>
            <w:vAlign w:val="center"/>
          </w:tcPr>
          <w:p w14:paraId="51E648E3" w14:textId="77777777" w:rsidR="008F451B" w:rsidRPr="00AC7047" w:rsidRDefault="008F451B" w:rsidP="008F451B">
            <w:pPr>
              <w:rPr>
                <w:i/>
                <w:color w:val="0000FF"/>
                <w:sz w:val="16"/>
                <w:szCs w:val="16"/>
              </w:rPr>
            </w:pPr>
            <w:r w:rsidRPr="00AC7047">
              <w:rPr>
                <w:b/>
                <w:sz w:val="16"/>
                <w:szCs w:val="16"/>
              </w:rPr>
              <w:t>RESSOURCES INDICATIVES PAR RÉSULTAT (US $)</w:t>
            </w:r>
          </w:p>
        </w:tc>
      </w:tr>
      <w:tr w:rsidR="008F451B" w:rsidRPr="003C26C1" w14:paraId="718E7226" w14:textId="77777777" w:rsidTr="00DA7ED2">
        <w:trPr>
          <w:trHeight w:val="133"/>
        </w:trPr>
        <w:tc>
          <w:tcPr>
            <w:tcW w:w="829"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9A7C8E4" w14:textId="77777777" w:rsidR="008F451B" w:rsidRPr="00E918DB" w:rsidRDefault="008F451B" w:rsidP="00DA7ED2">
            <w:pPr>
              <w:pStyle w:val="Default"/>
              <w:rPr>
                <w:rStyle w:val="tlid-translation"/>
                <w:color w:val="auto"/>
                <w:sz w:val="16"/>
                <w:szCs w:val="16"/>
              </w:rPr>
            </w:pPr>
            <w:r>
              <w:rPr>
                <w:rStyle w:val="tlid-translation"/>
                <w:b/>
                <w:color w:val="auto"/>
                <w:sz w:val="16"/>
                <w:szCs w:val="16"/>
              </w:rPr>
              <w:t>Indicateur</w:t>
            </w:r>
            <w:r w:rsidRPr="00E918DB">
              <w:rPr>
                <w:rStyle w:val="tlid-translation"/>
                <w:b/>
                <w:color w:val="auto"/>
                <w:sz w:val="16"/>
                <w:szCs w:val="16"/>
              </w:rPr>
              <w:t xml:space="preserve"> 2.1</w:t>
            </w:r>
            <w:r w:rsidRPr="00E918DB">
              <w:rPr>
                <w:rStyle w:val="tlid-translation"/>
                <w:color w:val="auto"/>
                <w:sz w:val="16"/>
                <w:szCs w:val="16"/>
              </w:rPr>
              <w:t xml:space="preserve">: Proportion d’hommes, femmes de tous âges vivant dans la pauvreté dans toutes ses dimensions, </w:t>
            </w:r>
            <w:r>
              <w:rPr>
                <w:rStyle w:val="tlid-translation"/>
                <w:color w:val="auto"/>
                <w:sz w:val="16"/>
                <w:szCs w:val="16"/>
              </w:rPr>
              <w:t>par</w:t>
            </w:r>
            <w:r w:rsidRPr="00E918DB">
              <w:rPr>
                <w:rStyle w:val="tlid-translation"/>
                <w:color w:val="auto"/>
                <w:sz w:val="16"/>
                <w:szCs w:val="16"/>
              </w:rPr>
              <w:t xml:space="preserve"> mesures  sélect</w:t>
            </w:r>
            <w:r>
              <w:rPr>
                <w:rStyle w:val="tlid-translation"/>
                <w:color w:val="auto"/>
                <w:sz w:val="16"/>
                <w:szCs w:val="16"/>
              </w:rPr>
              <w:t>ionnées</w:t>
            </w:r>
            <w:r w:rsidRPr="00E918DB">
              <w:rPr>
                <w:rStyle w:val="tlid-translation"/>
                <w:color w:val="auto"/>
                <w:sz w:val="16"/>
                <w:szCs w:val="16"/>
              </w:rPr>
              <w:t xml:space="preserve"> </w:t>
            </w:r>
            <w:r>
              <w:rPr>
                <w:rStyle w:val="tlid-translation"/>
                <w:color w:val="auto"/>
                <w:sz w:val="16"/>
                <w:szCs w:val="16"/>
              </w:rPr>
              <w:t>de la</w:t>
            </w:r>
            <w:r w:rsidRPr="00E918DB">
              <w:rPr>
                <w:rStyle w:val="tlid-translation"/>
                <w:color w:val="auto"/>
                <w:sz w:val="16"/>
                <w:szCs w:val="16"/>
              </w:rPr>
              <w:t xml:space="preserve"> p</w:t>
            </w:r>
            <w:r>
              <w:rPr>
                <w:rStyle w:val="tlid-translation"/>
                <w:color w:val="auto"/>
                <w:sz w:val="16"/>
                <w:szCs w:val="16"/>
              </w:rPr>
              <w:t>au</w:t>
            </w:r>
            <w:r w:rsidRPr="00E918DB">
              <w:rPr>
                <w:rStyle w:val="tlid-translation"/>
                <w:color w:val="auto"/>
                <w:sz w:val="16"/>
                <w:szCs w:val="16"/>
              </w:rPr>
              <w:t>v</w:t>
            </w:r>
            <w:r>
              <w:rPr>
                <w:rStyle w:val="tlid-translation"/>
                <w:color w:val="auto"/>
                <w:sz w:val="16"/>
                <w:szCs w:val="16"/>
              </w:rPr>
              <w:t>r</w:t>
            </w:r>
            <w:r w:rsidRPr="00E918DB">
              <w:rPr>
                <w:rStyle w:val="tlid-translation"/>
                <w:color w:val="auto"/>
                <w:sz w:val="16"/>
                <w:szCs w:val="16"/>
              </w:rPr>
              <w:t>et</w:t>
            </w:r>
            <w:r>
              <w:rPr>
                <w:rStyle w:val="tlid-translation"/>
                <w:color w:val="auto"/>
                <w:sz w:val="16"/>
                <w:szCs w:val="16"/>
              </w:rPr>
              <w:t>é</w:t>
            </w:r>
            <w:r w:rsidRPr="00E918DB">
              <w:rPr>
                <w:rStyle w:val="tlid-translation"/>
                <w:color w:val="auto"/>
                <w:sz w:val="16"/>
                <w:szCs w:val="16"/>
              </w:rPr>
              <w:t xml:space="preserve"> multidimensionnel</w:t>
            </w:r>
            <w:r>
              <w:rPr>
                <w:rStyle w:val="tlid-translation"/>
                <w:color w:val="auto"/>
                <w:sz w:val="16"/>
                <w:szCs w:val="16"/>
              </w:rPr>
              <w:t>le</w:t>
            </w:r>
            <w:r w:rsidRPr="00E918DB">
              <w:rPr>
                <w:rStyle w:val="tlid-translation"/>
                <w:color w:val="auto"/>
                <w:sz w:val="16"/>
                <w:szCs w:val="16"/>
              </w:rPr>
              <w:t>, d</w:t>
            </w:r>
            <w:r>
              <w:rPr>
                <w:rStyle w:val="tlid-translation"/>
                <w:color w:val="auto"/>
                <w:sz w:val="16"/>
                <w:szCs w:val="16"/>
              </w:rPr>
              <w:t>é</w:t>
            </w:r>
            <w:r w:rsidRPr="00E918DB">
              <w:rPr>
                <w:rStyle w:val="tlid-translation"/>
                <w:color w:val="auto"/>
                <w:sz w:val="16"/>
                <w:szCs w:val="16"/>
              </w:rPr>
              <w:t>sagré</w:t>
            </w:r>
            <w:r>
              <w:rPr>
                <w:rStyle w:val="tlid-translation"/>
                <w:color w:val="auto"/>
                <w:sz w:val="16"/>
                <w:szCs w:val="16"/>
              </w:rPr>
              <w:t>g</w:t>
            </w:r>
            <w:r w:rsidRPr="00E918DB">
              <w:rPr>
                <w:rStyle w:val="tlid-translation"/>
                <w:color w:val="auto"/>
                <w:sz w:val="16"/>
                <w:szCs w:val="16"/>
              </w:rPr>
              <w:t>é</w:t>
            </w:r>
            <w:r>
              <w:rPr>
                <w:rStyle w:val="tlid-translation"/>
                <w:color w:val="auto"/>
                <w:sz w:val="16"/>
                <w:szCs w:val="16"/>
              </w:rPr>
              <w:t>es</w:t>
            </w:r>
            <w:r w:rsidRPr="00E918DB">
              <w:rPr>
                <w:rStyle w:val="tlid-translation"/>
                <w:color w:val="auto"/>
                <w:sz w:val="16"/>
                <w:szCs w:val="16"/>
              </w:rPr>
              <w:t xml:space="preserve"> </w:t>
            </w:r>
            <w:r>
              <w:rPr>
                <w:rStyle w:val="tlid-translation"/>
                <w:color w:val="auto"/>
                <w:sz w:val="16"/>
                <w:szCs w:val="16"/>
              </w:rPr>
              <w:t>par</w:t>
            </w:r>
            <w:r w:rsidRPr="00E918DB">
              <w:rPr>
                <w:rStyle w:val="tlid-translation"/>
                <w:color w:val="auto"/>
                <w:sz w:val="16"/>
                <w:szCs w:val="16"/>
              </w:rPr>
              <w:t xml:space="preserve"> sexe </w:t>
            </w:r>
            <w:r>
              <w:rPr>
                <w:rStyle w:val="tlid-translation"/>
                <w:color w:val="auto"/>
                <w:sz w:val="16"/>
                <w:szCs w:val="16"/>
              </w:rPr>
              <w:t>et</w:t>
            </w:r>
            <w:r w:rsidRPr="00E918DB">
              <w:rPr>
                <w:rStyle w:val="tlid-translation"/>
                <w:color w:val="auto"/>
                <w:sz w:val="16"/>
                <w:szCs w:val="16"/>
              </w:rPr>
              <w:t xml:space="preserve"> région (% </w:t>
            </w:r>
            <w:r>
              <w:rPr>
                <w:rStyle w:val="tlid-translation"/>
                <w:color w:val="auto"/>
                <w:sz w:val="16"/>
                <w:szCs w:val="16"/>
              </w:rPr>
              <w:t>d</w:t>
            </w:r>
            <w:r w:rsidRPr="00E918DB">
              <w:rPr>
                <w:rStyle w:val="tlid-translation"/>
                <w:color w:val="auto"/>
                <w:sz w:val="16"/>
                <w:szCs w:val="16"/>
              </w:rPr>
              <w:t xml:space="preserve">e </w:t>
            </w:r>
            <w:r>
              <w:rPr>
                <w:rStyle w:val="tlid-translation"/>
                <w:color w:val="auto"/>
                <w:sz w:val="16"/>
                <w:szCs w:val="16"/>
              </w:rPr>
              <w:t xml:space="preserve">la </w:t>
            </w:r>
            <w:r w:rsidRPr="00E918DB">
              <w:rPr>
                <w:rStyle w:val="tlid-translation"/>
                <w:color w:val="auto"/>
                <w:sz w:val="16"/>
                <w:szCs w:val="16"/>
              </w:rPr>
              <w:t>population)</w:t>
            </w:r>
          </w:p>
          <w:p w14:paraId="34D2D61A" w14:textId="77777777" w:rsidR="008F451B" w:rsidRPr="00D915B9" w:rsidRDefault="008F451B" w:rsidP="00DA7ED2">
            <w:pPr>
              <w:rPr>
                <w:rStyle w:val="tlid-translation"/>
                <w:sz w:val="16"/>
                <w:szCs w:val="16"/>
              </w:rPr>
            </w:pPr>
            <w:r w:rsidRPr="00D915B9">
              <w:rPr>
                <w:rStyle w:val="tlid-translation"/>
                <w:b/>
                <w:sz w:val="16"/>
                <w:szCs w:val="16"/>
              </w:rPr>
              <w:t>Référence:</w:t>
            </w:r>
            <w:r w:rsidRPr="00D915B9">
              <w:rPr>
                <w:rStyle w:val="tlid-translation"/>
                <w:sz w:val="16"/>
                <w:szCs w:val="16"/>
              </w:rPr>
              <w:t xml:space="preserve"> </w:t>
            </w:r>
          </w:p>
          <w:p w14:paraId="176C8647" w14:textId="77777777" w:rsidR="008F451B" w:rsidRPr="00E918DB" w:rsidRDefault="008F451B" w:rsidP="00DA7ED2">
            <w:pPr>
              <w:rPr>
                <w:rStyle w:val="tlid-translation"/>
                <w:sz w:val="16"/>
                <w:szCs w:val="16"/>
              </w:rPr>
            </w:pPr>
            <w:r w:rsidRPr="00E918DB">
              <w:rPr>
                <w:rStyle w:val="tlid-translation"/>
                <w:sz w:val="16"/>
                <w:szCs w:val="16"/>
              </w:rPr>
              <w:t>a) Taux de pauvr</w:t>
            </w:r>
            <w:r>
              <w:rPr>
                <w:rStyle w:val="tlid-translation"/>
                <w:sz w:val="16"/>
                <w:szCs w:val="16"/>
              </w:rPr>
              <w:t>e</w:t>
            </w:r>
            <w:r w:rsidRPr="00E918DB">
              <w:rPr>
                <w:rStyle w:val="tlid-translation"/>
                <w:sz w:val="16"/>
                <w:szCs w:val="16"/>
              </w:rPr>
              <w:t>t</w:t>
            </w:r>
            <w:r>
              <w:rPr>
                <w:rStyle w:val="tlid-translation"/>
                <w:sz w:val="16"/>
                <w:szCs w:val="16"/>
              </w:rPr>
              <w:t>é</w:t>
            </w:r>
            <w:r w:rsidRPr="00E918DB">
              <w:rPr>
                <w:rStyle w:val="tlid-translation"/>
                <w:sz w:val="16"/>
                <w:szCs w:val="16"/>
              </w:rPr>
              <w:t>: 44</w:t>
            </w:r>
            <w:r>
              <w:rPr>
                <w:rStyle w:val="tlid-translation"/>
                <w:sz w:val="16"/>
                <w:szCs w:val="16"/>
              </w:rPr>
              <w:t>,</w:t>
            </w:r>
            <w:r w:rsidRPr="00E918DB">
              <w:rPr>
                <w:rStyle w:val="tlid-translation"/>
                <w:sz w:val="16"/>
                <w:szCs w:val="16"/>
              </w:rPr>
              <w:t>7</w:t>
            </w:r>
          </w:p>
          <w:p w14:paraId="39681BAC" w14:textId="77777777" w:rsidR="008F451B" w:rsidRPr="00E918DB" w:rsidRDefault="008F451B" w:rsidP="00DA7ED2">
            <w:pPr>
              <w:rPr>
                <w:rStyle w:val="tlid-translation"/>
                <w:sz w:val="16"/>
                <w:szCs w:val="16"/>
              </w:rPr>
            </w:pPr>
            <w:r w:rsidRPr="00E918DB">
              <w:rPr>
                <w:rStyle w:val="tlid-translation"/>
                <w:sz w:val="16"/>
                <w:szCs w:val="16"/>
              </w:rPr>
              <w:t xml:space="preserve">b) Rural: 51,8 </w:t>
            </w:r>
          </w:p>
          <w:p w14:paraId="69FA7311" w14:textId="77777777" w:rsidR="008F451B" w:rsidRPr="00E918DB" w:rsidRDefault="008F451B" w:rsidP="00DA7ED2">
            <w:pPr>
              <w:rPr>
                <w:rStyle w:val="tlid-translation"/>
                <w:sz w:val="16"/>
                <w:szCs w:val="16"/>
              </w:rPr>
            </w:pPr>
            <w:r w:rsidRPr="00E918DB">
              <w:rPr>
                <w:rStyle w:val="tlid-translation"/>
                <w:sz w:val="16"/>
                <w:szCs w:val="16"/>
              </w:rPr>
              <w:t xml:space="preserve">c) Pauvreté des ménages dirigés </w:t>
            </w:r>
            <w:r>
              <w:rPr>
                <w:rStyle w:val="tlid-translation"/>
                <w:sz w:val="16"/>
                <w:szCs w:val="16"/>
              </w:rPr>
              <w:t>par un</w:t>
            </w:r>
            <w:r w:rsidRPr="00E918DB">
              <w:rPr>
                <w:rStyle w:val="tlid-translation"/>
                <w:sz w:val="16"/>
                <w:szCs w:val="16"/>
              </w:rPr>
              <w:t xml:space="preserve"> </w:t>
            </w:r>
            <w:r>
              <w:rPr>
                <w:rStyle w:val="tlid-translation"/>
                <w:sz w:val="16"/>
                <w:szCs w:val="16"/>
              </w:rPr>
              <w:t>homm</w:t>
            </w:r>
            <w:r w:rsidRPr="00E918DB">
              <w:rPr>
                <w:rStyle w:val="tlid-translation"/>
                <w:sz w:val="16"/>
                <w:szCs w:val="16"/>
              </w:rPr>
              <w:t>e: 46</w:t>
            </w:r>
            <w:r>
              <w:rPr>
                <w:rStyle w:val="tlid-translation"/>
                <w:sz w:val="16"/>
                <w:szCs w:val="16"/>
              </w:rPr>
              <w:t>,</w:t>
            </w:r>
            <w:r w:rsidRPr="00E918DB">
              <w:rPr>
                <w:rStyle w:val="tlid-translation"/>
                <w:sz w:val="16"/>
                <w:szCs w:val="16"/>
              </w:rPr>
              <w:t>1</w:t>
            </w:r>
          </w:p>
          <w:p w14:paraId="481D4E5C" w14:textId="77777777" w:rsidR="008F451B" w:rsidRPr="00E918DB" w:rsidRDefault="008F451B" w:rsidP="00DA7ED2">
            <w:pPr>
              <w:rPr>
                <w:rStyle w:val="tlid-translation"/>
                <w:sz w:val="16"/>
                <w:szCs w:val="16"/>
              </w:rPr>
            </w:pPr>
            <w:r w:rsidRPr="00E918DB">
              <w:rPr>
                <w:rStyle w:val="tlid-translation"/>
                <w:sz w:val="16"/>
                <w:szCs w:val="16"/>
              </w:rPr>
              <w:t xml:space="preserve">d)  Pauvreté  des ménages </w:t>
            </w:r>
            <w:r>
              <w:rPr>
                <w:rStyle w:val="tlid-translation"/>
                <w:sz w:val="16"/>
                <w:szCs w:val="16"/>
              </w:rPr>
              <w:t>dirigés par une</w:t>
            </w:r>
            <w:r w:rsidRPr="00E918DB">
              <w:rPr>
                <w:rStyle w:val="tlid-translation"/>
                <w:sz w:val="16"/>
                <w:szCs w:val="16"/>
              </w:rPr>
              <w:t xml:space="preserve"> fem</w:t>
            </w:r>
            <w:r>
              <w:rPr>
                <w:rStyle w:val="tlid-translation"/>
                <w:sz w:val="16"/>
                <w:szCs w:val="16"/>
              </w:rPr>
              <w:t>m</w:t>
            </w:r>
            <w:r w:rsidRPr="00E918DB">
              <w:rPr>
                <w:rStyle w:val="tlid-translation"/>
                <w:sz w:val="16"/>
                <w:szCs w:val="16"/>
              </w:rPr>
              <w:t>e: 25</w:t>
            </w:r>
            <w:r>
              <w:rPr>
                <w:rStyle w:val="tlid-translation"/>
                <w:sz w:val="16"/>
                <w:szCs w:val="16"/>
              </w:rPr>
              <w:t>,</w:t>
            </w:r>
            <w:r w:rsidRPr="00E918DB">
              <w:rPr>
                <w:rStyle w:val="tlid-translation"/>
                <w:sz w:val="16"/>
                <w:szCs w:val="16"/>
              </w:rPr>
              <w:t>7</w:t>
            </w:r>
            <w:r w:rsidRPr="00E918DB">
              <w:rPr>
                <w:rStyle w:val="tlid-translation"/>
              </w:rPr>
              <w:br/>
            </w:r>
            <w:r>
              <w:rPr>
                <w:rStyle w:val="tlid-translation"/>
                <w:b/>
                <w:sz w:val="16"/>
                <w:szCs w:val="16"/>
              </w:rPr>
              <w:t>Cible</w:t>
            </w:r>
            <w:r w:rsidRPr="00E918DB">
              <w:rPr>
                <w:rStyle w:val="tlid-translation"/>
                <w:b/>
                <w:sz w:val="16"/>
                <w:szCs w:val="16"/>
              </w:rPr>
              <w:t>:</w:t>
            </w:r>
            <w:r w:rsidRPr="00E918DB">
              <w:rPr>
                <w:rStyle w:val="tlid-translation"/>
                <w:sz w:val="16"/>
                <w:szCs w:val="16"/>
              </w:rPr>
              <w:t xml:space="preserve">  </w:t>
            </w:r>
            <w:r w:rsidRPr="00E918DB">
              <w:rPr>
                <w:rStyle w:val="tlid-translation"/>
              </w:rPr>
              <w:br/>
            </w:r>
            <w:r w:rsidRPr="00E918DB">
              <w:rPr>
                <w:rStyle w:val="tlid-translation"/>
                <w:sz w:val="16"/>
                <w:szCs w:val="16"/>
              </w:rPr>
              <w:t xml:space="preserve"> a)  Taux de pauvr</w:t>
            </w:r>
            <w:r>
              <w:rPr>
                <w:rStyle w:val="tlid-translation"/>
                <w:sz w:val="16"/>
                <w:szCs w:val="16"/>
              </w:rPr>
              <w:t>e</w:t>
            </w:r>
            <w:r w:rsidRPr="00E918DB">
              <w:rPr>
                <w:rStyle w:val="tlid-translation"/>
                <w:sz w:val="16"/>
                <w:szCs w:val="16"/>
              </w:rPr>
              <w:t>t</w:t>
            </w:r>
            <w:r>
              <w:rPr>
                <w:rStyle w:val="tlid-translation"/>
                <w:sz w:val="16"/>
                <w:szCs w:val="16"/>
              </w:rPr>
              <w:t>é</w:t>
            </w:r>
            <w:r w:rsidRPr="00E918DB">
              <w:rPr>
                <w:rStyle w:val="tlid-translation"/>
                <w:sz w:val="16"/>
                <w:szCs w:val="16"/>
              </w:rPr>
              <w:t xml:space="preserve"> : 35</w:t>
            </w:r>
          </w:p>
          <w:p w14:paraId="2753EA94" w14:textId="77777777" w:rsidR="008F451B" w:rsidRPr="00D915B9" w:rsidRDefault="008F451B" w:rsidP="00DA7ED2">
            <w:pPr>
              <w:rPr>
                <w:rStyle w:val="tlid-translation"/>
                <w:sz w:val="16"/>
                <w:szCs w:val="16"/>
              </w:rPr>
            </w:pPr>
            <w:r w:rsidRPr="00D915B9">
              <w:rPr>
                <w:rStyle w:val="tlid-translation"/>
                <w:sz w:val="16"/>
                <w:szCs w:val="16"/>
              </w:rPr>
              <w:t xml:space="preserve">b) Rural: 45 </w:t>
            </w:r>
          </w:p>
          <w:p w14:paraId="595AEA5C" w14:textId="77777777" w:rsidR="008F451B" w:rsidRPr="00E918DB" w:rsidRDefault="008F451B" w:rsidP="00DA7ED2">
            <w:pPr>
              <w:rPr>
                <w:rStyle w:val="tlid-translation"/>
                <w:sz w:val="16"/>
                <w:szCs w:val="16"/>
              </w:rPr>
            </w:pPr>
            <w:r w:rsidRPr="00E918DB">
              <w:rPr>
                <w:rStyle w:val="tlid-translation"/>
                <w:sz w:val="16"/>
                <w:szCs w:val="16"/>
              </w:rPr>
              <w:t xml:space="preserve">c)  Pauvreté des ménages dirigés </w:t>
            </w:r>
            <w:r>
              <w:rPr>
                <w:rStyle w:val="tlid-translation"/>
                <w:sz w:val="16"/>
                <w:szCs w:val="16"/>
              </w:rPr>
              <w:t>par un</w:t>
            </w:r>
            <w:r w:rsidRPr="00E918DB">
              <w:rPr>
                <w:rStyle w:val="tlid-translation"/>
                <w:sz w:val="16"/>
                <w:szCs w:val="16"/>
              </w:rPr>
              <w:t xml:space="preserve"> </w:t>
            </w:r>
            <w:r>
              <w:rPr>
                <w:rStyle w:val="tlid-translation"/>
                <w:sz w:val="16"/>
                <w:szCs w:val="16"/>
              </w:rPr>
              <w:t>homm</w:t>
            </w:r>
            <w:r w:rsidRPr="00E918DB">
              <w:rPr>
                <w:rStyle w:val="tlid-translation"/>
                <w:sz w:val="16"/>
                <w:szCs w:val="16"/>
              </w:rPr>
              <w:t>e : 40</w:t>
            </w:r>
          </w:p>
          <w:p w14:paraId="6BDC3072" w14:textId="77777777" w:rsidR="008F451B" w:rsidRDefault="008F451B" w:rsidP="00DA7ED2">
            <w:pPr>
              <w:rPr>
                <w:rStyle w:val="tlid-translation"/>
                <w:sz w:val="16"/>
                <w:szCs w:val="16"/>
              </w:rPr>
            </w:pPr>
            <w:r w:rsidRPr="00E918DB">
              <w:rPr>
                <w:rStyle w:val="tlid-translation"/>
                <w:sz w:val="16"/>
                <w:szCs w:val="16"/>
              </w:rPr>
              <w:t xml:space="preserve">d)   Pauvreté  des ménages </w:t>
            </w:r>
            <w:r>
              <w:rPr>
                <w:rStyle w:val="tlid-translation"/>
                <w:sz w:val="16"/>
                <w:szCs w:val="16"/>
              </w:rPr>
              <w:t>dirigés par une</w:t>
            </w:r>
            <w:r w:rsidRPr="00E918DB">
              <w:rPr>
                <w:rStyle w:val="tlid-translation"/>
                <w:sz w:val="16"/>
                <w:szCs w:val="16"/>
              </w:rPr>
              <w:t xml:space="preserve"> fem</w:t>
            </w:r>
            <w:r>
              <w:rPr>
                <w:rStyle w:val="tlid-translation"/>
                <w:sz w:val="16"/>
                <w:szCs w:val="16"/>
              </w:rPr>
              <w:t>m</w:t>
            </w:r>
            <w:r w:rsidRPr="00E918DB">
              <w:rPr>
                <w:rStyle w:val="tlid-translation"/>
                <w:sz w:val="16"/>
                <w:szCs w:val="16"/>
              </w:rPr>
              <w:t>e : 18</w:t>
            </w:r>
          </w:p>
          <w:p w14:paraId="603C8D28" w14:textId="387B4393" w:rsidR="008F451B" w:rsidRDefault="008F451B" w:rsidP="00DA7ED2">
            <w:pPr>
              <w:rPr>
                <w:rStyle w:val="tlid-translation"/>
                <w:sz w:val="16"/>
                <w:szCs w:val="16"/>
              </w:rPr>
            </w:pPr>
            <w:r>
              <w:rPr>
                <w:rStyle w:val="tlid-translation"/>
                <w:b/>
                <w:sz w:val="16"/>
                <w:szCs w:val="16"/>
              </w:rPr>
              <w:t>Indicateur</w:t>
            </w:r>
            <w:r w:rsidRPr="00B17BE1">
              <w:rPr>
                <w:rStyle w:val="tlid-translation"/>
                <w:b/>
                <w:sz w:val="16"/>
                <w:szCs w:val="16"/>
              </w:rPr>
              <w:t xml:space="preserve"> 2.2:</w:t>
            </w:r>
            <w:r w:rsidRPr="00B17BE1">
              <w:rPr>
                <w:rStyle w:val="tlid-translation"/>
                <w:sz w:val="16"/>
                <w:szCs w:val="16"/>
              </w:rPr>
              <w:t xml:space="preserve"> Classement </w:t>
            </w:r>
            <w:proofErr w:type="spellStart"/>
            <w:r w:rsidRPr="00B17BE1">
              <w:rPr>
                <w:rStyle w:val="tlid-translation"/>
                <w:sz w:val="16"/>
                <w:szCs w:val="16"/>
              </w:rPr>
              <w:t>Doing</w:t>
            </w:r>
            <w:proofErr w:type="spellEnd"/>
            <w:r w:rsidRPr="00B17BE1">
              <w:rPr>
                <w:rStyle w:val="tlid-translation"/>
                <w:sz w:val="16"/>
                <w:szCs w:val="16"/>
              </w:rPr>
              <w:t xml:space="preserve"> business</w:t>
            </w:r>
            <w:r w:rsidRPr="00B17BE1">
              <w:rPr>
                <w:rStyle w:val="tlid-translation"/>
              </w:rPr>
              <w:t xml:space="preserve"> </w:t>
            </w:r>
            <w:r w:rsidRPr="00B17BE1">
              <w:rPr>
                <w:rStyle w:val="tlid-translation"/>
              </w:rPr>
              <w:br/>
            </w:r>
            <w:r w:rsidRPr="00B17BE1">
              <w:rPr>
                <w:rStyle w:val="tlid-translation"/>
                <w:b/>
                <w:sz w:val="16"/>
                <w:szCs w:val="16"/>
              </w:rPr>
              <w:t>Référence</w:t>
            </w:r>
            <w:r w:rsidRPr="00B17BE1">
              <w:rPr>
                <w:rStyle w:val="tlid-translation"/>
                <w:sz w:val="16"/>
                <w:szCs w:val="16"/>
              </w:rPr>
              <w:t>: 53,50 (facilitation des affaires) pour reforme en 2019</w:t>
            </w:r>
          </w:p>
          <w:p w14:paraId="7165B25E" w14:textId="4AF2D0AE" w:rsidR="008F451B" w:rsidRPr="00B17BE1" w:rsidRDefault="008F451B" w:rsidP="00DA7ED2">
            <w:pPr>
              <w:rPr>
                <w:rStyle w:val="tlid-translation"/>
              </w:rPr>
            </w:pPr>
            <w:r>
              <w:rPr>
                <w:rStyle w:val="tlid-translation"/>
                <w:b/>
                <w:sz w:val="16"/>
                <w:szCs w:val="16"/>
              </w:rPr>
              <w:t>Cible</w:t>
            </w:r>
            <w:r w:rsidRPr="00B17BE1">
              <w:rPr>
                <w:rStyle w:val="tlid-translation"/>
                <w:b/>
                <w:sz w:val="16"/>
                <w:szCs w:val="16"/>
              </w:rPr>
              <w:t>:</w:t>
            </w:r>
            <w:r w:rsidRPr="00B17BE1">
              <w:rPr>
                <w:rStyle w:val="tlid-translation"/>
                <w:sz w:val="16"/>
                <w:szCs w:val="16"/>
              </w:rPr>
              <w:t xml:space="preserve"> 56</w:t>
            </w:r>
            <w:r w:rsidRPr="00B17BE1">
              <w:rPr>
                <w:rStyle w:val="tlid-translation"/>
              </w:rPr>
              <w:br/>
            </w:r>
          </w:p>
          <w:p w14:paraId="623EE80C" w14:textId="6989EF8A" w:rsidR="008F451B" w:rsidRPr="0093406F" w:rsidRDefault="008F451B" w:rsidP="00DA7ED2">
            <w:pPr>
              <w:rPr>
                <w:rStyle w:val="tlid-translation"/>
                <w:sz w:val="16"/>
                <w:szCs w:val="16"/>
              </w:rPr>
            </w:pPr>
            <w:r>
              <w:rPr>
                <w:rStyle w:val="tlid-translation"/>
                <w:b/>
                <w:sz w:val="16"/>
                <w:szCs w:val="16"/>
              </w:rPr>
              <w:t>Indicateur</w:t>
            </w:r>
            <w:r w:rsidRPr="0093406F">
              <w:rPr>
                <w:rStyle w:val="tlid-translation"/>
                <w:b/>
                <w:sz w:val="16"/>
                <w:szCs w:val="16"/>
              </w:rPr>
              <w:t xml:space="preserve"> 2.3</w:t>
            </w:r>
            <w:r w:rsidRPr="0093406F">
              <w:rPr>
                <w:rStyle w:val="tlid-translation"/>
                <w:sz w:val="16"/>
                <w:szCs w:val="16"/>
              </w:rPr>
              <w:t xml:space="preserve">: Taux de chômage pour la population totale, femmes et </w:t>
            </w:r>
            <w:r>
              <w:rPr>
                <w:rStyle w:val="tlid-translation"/>
                <w:sz w:val="16"/>
                <w:szCs w:val="16"/>
              </w:rPr>
              <w:t>jeunes</w:t>
            </w:r>
            <w:r w:rsidRPr="0093406F">
              <w:rPr>
                <w:rStyle w:val="tlid-translation"/>
                <w:sz w:val="16"/>
                <w:szCs w:val="16"/>
              </w:rPr>
              <w:t xml:space="preserve"> (% de la population active totale modélisée </w:t>
            </w:r>
            <w:r w:rsidRPr="0093406F">
              <w:rPr>
                <w:rStyle w:val="tlid-translation"/>
              </w:rPr>
              <w:t>OIT</w:t>
            </w:r>
            <w:r w:rsidRPr="0093406F">
              <w:rPr>
                <w:rStyle w:val="tlid-translation"/>
                <w:sz w:val="16"/>
                <w:szCs w:val="16"/>
              </w:rPr>
              <w:t>)</w:t>
            </w:r>
          </w:p>
          <w:p w14:paraId="2258FF0F" w14:textId="77777777" w:rsidR="008F451B" w:rsidRPr="003F3F26" w:rsidRDefault="008F451B" w:rsidP="00DA7ED2">
            <w:pPr>
              <w:rPr>
                <w:rStyle w:val="tlid-translation"/>
                <w:sz w:val="16"/>
                <w:szCs w:val="16"/>
                <w:lang w:val="en"/>
              </w:rPr>
            </w:pPr>
            <w:proofErr w:type="spellStart"/>
            <w:r>
              <w:rPr>
                <w:rStyle w:val="tlid-translation"/>
                <w:b/>
                <w:sz w:val="16"/>
                <w:szCs w:val="16"/>
                <w:lang w:val="en"/>
              </w:rPr>
              <w:t>Référence</w:t>
            </w:r>
            <w:proofErr w:type="spellEnd"/>
            <w:r w:rsidRPr="003F3F26">
              <w:rPr>
                <w:rStyle w:val="tlid-translation"/>
                <w:sz w:val="16"/>
                <w:szCs w:val="16"/>
                <w:lang w:val="en"/>
              </w:rPr>
              <w:t>:</w:t>
            </w:r>
          </w:p>
          <w:p w14:paraId="4B3DAF1A" w14:textId="77777777" w:rsidR="008F451B" w:rsidRPr="003F3F26" w:rsidRDefault="008F451B" w:rsidP="001A2A80">
            <w:pPr>
              <w:pStyle w:val="Paragraphedeliste"/>
              <w:numPr>
                <w:ilvl w:val="0"/>
                <w:numId w:val="13"/>
              </w:numPr>
              <w:suppressAutoHyphens/>
              <w:autoSpaceDN w:val="0"/>
              <w:spacing w:after="0" w:line="240" w:lineRule="auto"/>
              <w:contextualSpacing w:val="0"/>
              <w:textAlignment w:val="baseline"/>
              <w:rPr>
                <w:rStyle w:val="tlid-translation"/>
                <w:sz w:val="16"/>
                <w:szCs w:val="16"/>
                <w:lang w:val="en"/>
              </w:rPr>
            </w:pPr>
            <w:r w:rsidRPr="003F3F26">
              <w:rPr>
                <w:rStyle w:val="tlid-translation"/>
                <w:sz w:val="16"/>
                <w:szCs w:val="16"/>
                <w:lang w:val="en"/>
              </w:rPr>
              <w:t>Total: 9.3</w:t>
            </w:r>
          </w:p>
          <w:p w14:paraId="18734B52" w14:textId="77777777" w:rsidR="008F451B" w:rsidRPr="003F3F26" w:rsidRDefault="008F451B" w:rsidP="001A2A80">
            <w:pPr>
              <w:pStyle w:val="Paragraphedeliste"/>
              <w:numPr>
                <w:ilvl w:val="0"/>
                <w:numId w:val="13"/>
              </w:numPr>
              <w:suppressAutoHyphens/>
              <w:autoSpaceDN w:val="0"/>
              <w:spacing w:after="0" w:line="240" w:lineRule="auto"/>
              <w:contextualSpacing w:val="0"/>
              <w:textAlignment w:val="baseline"/>
              <w:rPr>
                <w:rStyle w:val="tlid-translation"/>
                <w:sz w:val="16"/>
                <w:szCs w:val="16"/>
                <w:lang w:val="en"/>
              </w:rPr>
            </w:pPr>
            <w:r>
              <w:rPr>
                <w:rStyle w:val="tlid-translation"/>
                <w:sz w:val="16"/>
                <w:szCs w:val="16"/>
                <w:lang w:val="en"/>
              </w:rPr>
              <w:t>Femmes</w:t>
            </w:r>
            <w:r w:rsidRPr="003F3F26">
              <w:rPr>
                <w:rStyle w:val="tlid-translation"/>
                <w:sz w:val="16"/>
                <w:szCs w:val="16"/>
                <w:lang w:val="en"/>
              </w:rPr>
              <w:t>: 10.6</w:t>
            </w:r>
          </w:p>
          <w:p w14:paraId="1A1D3839" w14:textId="77777777" w:rsidR="008F451B" w:rsidRPr="003F3F26" w:rsidRDefault="008F451B" w:rsidP="001A2A80">
            <w:pPr>
              <w:pStyle w:val="Paragraphedeliste"/>
              <w:numPr>
                <w:ilvl w:val="0"/>
                <w:numId w:val="13"/>
              </w:numPr>
              <w:suppressAutoHyphens/>
              <w:autoSpaceDN w:val="0"/>
              <w:spacing w:after="0" w:line="240" w:lineRule="auto"/>
              <w:contextualSpacing w:val="0"/>
              <w:textAlignment w:val="baseline"/>
              <w:rPr>
                <w:rStyle w:val="tlid-translation"/>
                <w:sz w:val="16"/>
                <w:szCs w:val="16"/>
                <w:lang w:val="en"/>
              </w:rPr>
            </w:pPr>
            <w:proofErr w:type="spellStart"/>
            <w:r>
              <w:rPr>
                <w:rStyle w:val="tlid-translation"/>
                <w:sz w:val="16"/>
                <w:szCs w:val="16"/>
                <w:lang w:val="en"/>
              </w:rPr>
              <w:t>Jeunes</w:t>
            </w:r>
            <w:proofErr w:type="spellEnd"/>
            <w:r w:rsidRPr="003F3F26">
              <w:rPr>
                <w:rStyle w:val="tlid-translation"/>
                <w:sz w:val="16"/>
                <w:szCs w:val="16"/>
                <w:lang w:val="en"/>
              </w:rPr>
              <w:t>: 16.5</w:t>
            </w:r>
          </w:p>
          <w:p w14:paraId="6E02955B" w14:textId="77777777" w:rsidR="008F451B" w:rsidRPr="00C01890" w:rsidRDefault="008F451B" w:rsidP="00DA7ED2">
            <w:pPr>
              <w:rPr>
                <w:rStyle w:val="tlid-translation"/>
                <w:b/>
                <w:sz w:val="16"/>
                <w:szCs w:val="16"/>
                <w:lang w:val="en"/>
              </w:rPr>
            </w:pPr>
            <w:proofErr w:type="spellStart"/>
            <w:r>
              <w:rPr>
                <w:rStyle w:val="tlid-translation"/>
                <w:b/>
                <w:sz w:val="16"/>
                <w:szCs w:val="16"/>
                <w:lang w:val="en"/>
              </w:rPr>
              <w:t>Cible</w:t>
            </w:r>
            <w:proofErr w:type="spellEnd"/>
            <w:r w:rsidRPr="00C01890">
              <w:rPr>
                <w:rStyle w:val="tlid-translation"/>
                <w:b/>
                <w:sz w:val="16"/>
                <w:szCs w:val="16"/>
                <w:lang w:val="en"/>
              </w:rPr>
              <w:t>:</w:t>
            </w:r>
          </w:p>
          <w:p w14:paraId="7428BC2A" w14:textId="77777777" w:rsidR="008F451B" w:rsidRPr="003F3F26" w:rsidRDefault="008F451B" w:rsidP="001A2A80">
            <w:pPr>
              <w:pStyle w:val="Paragraphedeliste"/>
              <w:numPr>
                <w:ilvl w:val="0"/>
                <w:numId w:val="14"/>
              </w:numPr>
              <w:suppressAutoHyphens/>
              <w:autoSpaceDN w:val="0"/>
              <w:spacing w:after="0" w:line="240" w:lineRule="auto"/>
              <w:contextualSpacing w:val="0"/>
              <w:textAlignment w:val="baseline"/>
              <w:rPr>
                <w:rStyle w:val="tlid-translation"/>
                <w:sz w:val="16"/>
                <w:szCs w:val="16"/>
                <w:lang w:val="en"/>
              </w:rPr>
            </w:pPr>
            <w:r w:rsidRPr="003F3F26">
              <w:rPr>
                <w:rStyle w:val="tlid-translation"/>
                <w:sz w:val="16"/>
                <w:szCs w:val="16"/>
                <w:lang w:val="en"/>
              </w:rPr>
              <w:t>Total: 5</w:t>
            </w:r>
          </w:p>
          <w:p w14:paraId="59C79E0D" w14:textId="77777777" w:rsidR="008F451B" w:rsidRPr="003F3F26" w:rsidRDefault="008F451B" w:rsidP="001A2A80">
            <w:pPr>
              <w:pStyle w:val="Paragraphedeliste"/>
              <w:numPr>
                <w:ilvl w:val="0"/>
                <w:numId w:val="14"/>
              </w:numPr>
              <w:suppressAutoHyphens/>
              <w:autoSpaceDN w:val="0"/>
              <w:spacing w:after="0" w:line="240" w:lineRule="auto"/>
              <w:contextualSpacing w:val="0"/>
              <w:textAlignment w:val="baseline"/>
              <w:rPr>
                <w:rStyle w:val="tlid-translation"/>
                <w:sz w:val="16"/>
                <w:szCs w:val="16"/>
                <w:lang w:val="en"/>
              </w:rPr>
            </w:pPr>
            <w:r>
              <w:rPr>
                <w:rStyle w:val="tlid-translation"/>
                <w:sz w:val="16"/>
                <w:szCs w:val="16"/>
                <w:lang w:val="en"/>
              </w:rPr>
              <w:t>Femmes</w:t>
            </w:r>
            <w:r w:rsidRPr="003F3F26">
              <w:rPr>
                <w:rStyle w:val="tlid-translation"/>
                <w:sz w:val="16"/>
                <w:szCs w:val="16"/>
                <w:lang w:val="en"/>
              </w:rPr>
              <w:t>: 5</w:t>
            </w:r>
          </w:p>
          <w:p w14:paraId="5A07503B" w14:textId="77777777" w:rsidR="008F451B" w:rsidRPr="004051DD" w:rsidRDefault="008F451B" w:rsidP="001A2A80">
            <w:pPr>
              <w:pStyle w:val="Paragraphedeliste"/>
              <w:numPr>
                <w:ilvl w:val="0"/>
                <w:numId w:val="14"/>
              </w:numPr>
              <w:suppressAutoHyphens/>
              <w:autoSpaceDN w:val="0"/>
              <w:spacing w:after="0" w:line="240" w:lineRule="auto"/>
              <w:contextualSpacing w:val="0"/>
              <w:textAlignment w:val="baseline"/>
              <w:rPr>
                <w:rStyle w:val="tlid-translation"/>
                <w:sz w:val="16"/>
                <w:szCs w:val="16"/>
                <w:lang w:val="en"/>
              </w:rPr>
            </w:pPr>
            <w:proofErr w:type="spellStart"/>
            <w:r>
              <w:rPr>
                <w:rStyle w:val="tlid-translation"/>
                <w:sz w:val="16"/>
                <w:szCs w:val="16"/>
                <w:lang w:val="en"/>
              </w:rPr>
              <w:t>Jeunes</w:t>
            </w:r>
            <w:proofErr w:type="spellEnd"/>
            <w:r w:rsidRPr="004051DD">
              <w:rPr>
                <w:rStyle w:val="tlid-translation"/>
                <w:sz w:val="16"/>
                <w:szCs w:val="16"/>
                <w:lang w:val="en"/>
              </w:rPr>
              <w:t xml:space="preserve">: </w:t>
            </w:r>
            <w:r w:rsidRPr="003067A5">
              <w:rPr>
                <w:rStyle w:val="tlid-translation"/>
                <w:sz w:val="16"/>
                <w:szCs w:val="16"/>
                <w:lang w:val="en"/>
              </w:rPr>
              <w:t>8</w:t>
            </w:r>
          </w:p>
          <w:p w14:paraId="659DDCC5" w14:textId="77777777" w:rsidR="008F451B" w:rsidRPr="004051DD" w:rsidRDefault="008F451B" w:rsidP="00DA7ED2">
            <w:pPr>
              <w:pStyle w:val="Paragraphedeliste"/>
              <w:rPr>
                <w:rStyle w:val="tlid-translation"/>
                <w:sz w:val="16"/>
                <w:szCs w:val="16"/>
                <w:lang w:val="en"/>
              </w:rPr>
            </w:pPr>
          </w:p>
          <w:p w14:paraId="742B5CA3" w14:textId="77777777" w:rsidR="008F451B" w:rsidRPr="004051DD" w:rsidRDefault="008F451B" w:rsidP="00DA7ED2">
            <w:pPr>
              <w:rPr>
                <w:rStyle w:val="tlid-translation"/>
                <w:sz w:val="16"/>
                <w:szCs w:val="16"/>
                <w:lang w:val="en"/>
              </w:rPr>
            </w:pPr>
          </w:p>
        </w:tc>
        <w:tc>
          <w:tcPr>
            <w:tcW w:w="720" w:type="pct"/>
            <w:vMerge w:val="restart"/>
            <w:tcBorders>
              <w:top w:val="single" w:sz="4" w:space="0" w:color="auto"/>
              <w:bottom w:val="single" w:sz="4" w:space="0" w:color="auto"/>
              <w:right w:val="single" w:sz="4" w:space="0" w:color="auto"/>
            </w:tcBorders>
          </w:tcPr>
          <w:p w14:paraId="3E8DC8B5" w14:textId="77777777" w:rsidR="008F451B" w:rsidRPr="00B17BE1" w:rsidRDefault="008F451B" w:rsidP="00DA7ED2">
            <w:pPr>
              <w:rPr>
                <w:rStyle w:val="tlid-translation"/>
                <w:b/>
                <w:sz w:val="16"/>
                <w:szCs w:val="16"/>
              </w:rPr>
            </w:pPr>
            <w:r w:rsidRPr="00B17BE1">
              <w:rPr>
                <w:rStyle w:val="tlid-translation"/>
                <w:b/>
                <w:sz w:val="16"/>
                <w:szCs w:val="16"/>
              </w:rPr>
              <w:t>Source de données:</w:t>
            </w:r>
            <w:r w:rsidRPr="00B17BE1">
              <w:rPr>
                <w:rStyle w:val="tlid-translation"/>
                <w:sz w:val="16"/>
                <w:szCs w:val="16"/>
              </w:rPr>
              <w:t xml:space="preserve"> Base de données </w:t>
            </w:r>
            <w:proofErr w:type="spellStart"/>
            <w:r w:rsidRPr="00B17BE1">
              <w:rPr>
                <w:rStyle w:val="tlid-translation"/>
                <w:sz w:val="16"/>
                <w:szCs w:val="16"/>
              </w:rPr>
              <w:t>Doing</w:t>
            </w:r>
            <w:proofErr w:type="spellEnd"/>
            <w:r w:rsidRPr="00B17BE1">
              <w:rPr>
                <w:rStyle w:val="tlid-translation"/>
                <w:sz w:val="16"/>
                <w:szCs w:val="16"/>
              </w:rPr>
              <w:t xml:space="preserve"> Business </w:t>
            </w:r>
          </w:p>
          <w:p w14:paraId="6059AC62" w14:textId="77777777" w:rsidR="008F451B" w:rsidRPr="00B17BE1" w:rsidRDefault="008F451B" w:rsidP="00DA7ED2">
            <w:pPr>
              <w:rPr>
                <w:rStyle w:val="tlid-translation"/>
                <w:sz w:val="16"/>
                <w:szCs w:val="16"/>
              </w:rPr>
            </w:pPr>
            <w:r>
              <w:rPr>
                <w:rStyle w:val="tlid-translation"/>
                <w:b/>
                <w:sz w:val="16"/>
                <w:szCs w:val="16"/>
              </w:rPr>
              <w:t>Fréquence</w:t>
            </w:r>
            <w:r w:rsidRPr="00B17BE1">
              <w:rPr>
                <w:rStyle w:val="tlid-translation"/>
                <w:sz w:val="16"/>
                <w:szCs w:val="16"/>
              </w:rPr>
              <w:t>: Annuelle</w:t>
            </w:r>
          </w:p>
          <w:p w14:paraId="6B370344" w14:textId="77777777" w:rsidR="008F451B" w:rsidRPr="00B17BE1" w:rsidRDefault="008F451B" w:rsidP="00DA7ED2">
            <w:pPr>
              <w:rPr>
                <w:b/>
                <w:sz w:val="16"/>
                <w:szCs w:val="16"/>
              </w:rPr>
            </w:pPr>
            <w:r>
              <w:rPr>
                <w:b/>
                <w:sz w:val="16"/>
                <w:szCs w:val="16"/>
              </w:rPr>
              <w:t>Responsabilité</w:t>
            </w:r>
            <w:r w:rsidRPr="00B17BE1">
              <w:rPr>
                <w:b/>
                <w:sz w:val="16"/>
                <w:szCs w:val="16"/>
              </w:rPr>
              <w:t xml:space="preserve">: </w:t>
            </w:r>
            <w:r w:rsidRPr="00B17BE1">
              <w:rPr>
                <w:sz w:val="16"/>
                <w:szCs w:val="16"/>
              </w:rPr>
              <w:t>Banque mondiale</w:t>
            </w:r>
          </w:p>
          <w:p w14:paraId="38853579" w14:textId="77777777" w:rsidR="008F451B" w:rsidRPr="00B17BE1" w:rsidRDefault="008F451B" w:rsidP="00DA7ED2">
            <w:pPr>
              <w:rPr>
                <w:b/>
                <w:bCs/>
                <w:color w:val="000000"/>
                <w:sz w:val="16"/>
                <w:szCs w:val="16"/>
              </w:rPr>
            </w:pPr>
          </w:p>
          <w:p w14:paraId="696140D7" w14:textId="77777777" w:rsidR="008F451B" w:rsidRPr="00B17BE1" w:rsidRDefault="008F451B" w:rsidP="00DA7ED2">
            <w:pPr>
              <w:rPr>
                <w:b/>
                <w:bCs/>
                <w:color w:val="000000"/>
                <w:sz w:val="16"/>
                <w:szCs w:val="16"/>
              </w:rPr>
            </w:pPr>
          </w:p>
          <w:p w14:paraId="530168CC" w14:textId="77777777" w:rsidR="008F451B" w:rsidRPr="00B17BE1" w:rsidRDefault="008F451B" w:rsidP="00DA7ED2">
            <w:pPr>
              <w:rPr>
                <w:b/>
                <w:bCs/>
                <w:color w:val="000000"/>
                <w:sz w:val="16"/>
                <w:szCs w:val="16"/>
              </w:rPr>
            </w:pPr>
          </w:p>
          <w:p w14:paraId="781E3B23" w14:textId="77777777" w:rsidR="008F451B" w:rsidRPr="00B17BE1" w:rsidRDefault="008F451B" w:rsidP="00DA7ED2">
            <w:pPr>
              <w:rPr>
                <w:b/>
                <w:bCs/>
                <w:color w:val="000000"/>
                <w:sz w:val="16"/>
                <w:szCs w:val="16"/>
              </w:rPr>
            </w:pPr>
          </w:p>
          <w:p w14:paraId="3ACFB689" w14:textId="77777777" w:rsidR="008F451B" w:rsidRPr="00B17BE1" w:rsidRDefault="008F451B" w:rsidP="00DA7ED2">
            <w:pPr>
              <w:rPr>
                <w:rStyle w:val="tlid-translation"/>
                <w:b/>
                <w:sz w:val="16"/>
                <w:szCs w:val="16"/>
              </w:rPr>
            </w:pPr>
            <w:r w:rsidRPr="00B17BE1">
              <w:rPr>
                <w:rStyle w:val="tlid-translation"/>
                <w:b/>
                <w:sz w:val="16"/>
                <w:szCs w:val="16"/>
              </w:rPr>
              <w:t xml:space="preserve">Source de données: </w:t>
            </w:r>
            <w:r w:rsidRPr="00B17BE1">
              <w:rPr>
                <w:rStyle w:val="tlid-translation"/>
                <w:sz w:val="16"/>
                <w:szCs w:val="16"/>
              </w:rPr>
              <w:t>EMOP</w:t>
            </w:r>
          </w:p>
          <w:p w14:paraId="4D9A7352" w14:textId="77777777" w:rsidR="008F451B" w:rsidRPr="002430CE" w:rsidRDefault="008F451B" w:rsidP="00DA7ED2">
            <w:pPr>
              <w:rPr>
                <w:b/>
                <w:sz w:val="16"/>
                <w:szCs w:val="16"/>
              </w:rPr>
            </w:pPr>
            <w:proofErr w:type="spellStart"/>
            <w:r>
              <w:rPr>
                <w:rStyle w:val="tlid-translation"/>
                <w:b/>
                <w:sz w:val="16"/>
                <w:szCs w:val="16"/>
                <w:lang w:val="en"/>
              </w:rPr>
              <w:t>Fréquence</w:t>
            </w:r>
            <w:proofErr w:type="spellEnd"/>
            <w:r w:rsidRPr="00334C40">
              <w:rPr>
                <w:rStyle w:val="tlid-translation"/>
                <w:sz w:val="16"/>
                <w:szCs w:val="16"/>
                <w:lang w:val="en"/>
              </w:rPr>
              <w:t xml:space="preserve">: </w:t>
            </w:r>
            <w:proofErr w:type="spellStart"/>
            <w:r w:rsidRPr="00334C40">
              <w:rPr>
                <w:rStyle w:val="tlid-translation"/>
                <w:sz w:val="16"/>
                <w:szCs w:val="16"/>
                <w:lang w:val="en"/>
              </w:rPr>
              <w:t>Annu</w:t>
            </w:r>
            <w:r>
              <w:rPr>
                <w:rStyle w:val="tlid-translation"/>
                <w:sz w:val="16"/>
                <w:szCs w:val="16"/>
                <w:lang w:val="en"/>
              </w:rPr>
              <w:t>e</w:t>
            </w:r>
            <w:r w:rsidRPr="00334C40">
              <w:rPr>
                <w:rStyle w:val="tlid-translation"/>
                <w:sz w:val="16"/>
                <w:szCs w:val="16"/>
                <w:lang w:val="en"/>
              </w:rPr>
              <w:t>l</w:t>
            </w:r>
            <w:r>
              <w:rPr>
                <w:rStyle w:val="tlid-translation"/>
                <w:sz w:val="16"/>
                <w:szCs w:val="16"/>
                <w:lang w:val="en"/>
              </w:rPr>
              <w:t>le</w:t>
            </w:r>
            <w:proofErr w:type="spellEnd"/>
          </w:p>
          <w:p w14:paraId="3946EA8E" w14:textId="77777777" w:rsidR="008F451B" w:rsidRDefault="008F451B" w:rsidP="00DA7ED2">
            <w:pPr>
              <w:rPr>
                <w:rStyle w:val="tlid-translation"/>
                <w:sz w:val="16"/>
                <w:szCs w:val="16"/>
                <w:lang w:val="en"/>
              </w:rPr>
            </w:pPr>
            <w:proofErr w:type="spellStart"/>
            <w:r>
              <w:rPr>
                <w:b/>
                <w:sz w:val="16"/>
                <w:szCs w:val="16"/>
                <w:lang w:val="en"/>
              </w:rPr>
              <w:t>Responsabilité</w:t>
            </w:r>
            <w:proofErr w:type="spellEnd"/>
            <w:r w:rsidRPr="00334C40">
              <w:rPr>
                <w:b/>
                <w:sz w:val="16"/>
                <w:szCs w:val="16"/>
                <w:lang w:val="en"/>
              </w:rPr>
              <w:t>:</w:t>
            </w:r>
            <w:r>
              <w:rPr>
                <w:rStyle w:val="tlid-translation"/>
                <w:sz w:val="16"/>
                <w:szCs w:val="16"/>
                <w:lang w:val="en"/>
              </w:rPr>
              <w:t xml:space="preserve"> IN</w:t>
            </w:r>
            <w:r w:rsidRPr="00334C40">
              <w:rPr>
                <w:rStyle w:val="tlid-translation"/>
                <w:sz w:val="16"/>
                <w:szCs w:val="16"/>
                <w:lang w:val="en"/>
              </w:rPr>
              <w:t>STAT</w:t>
            </w:r>
          </w:p>
          <w:p w14:paraId="70A11449" w14:textId="77777777" w:rsidR="008F451B" w:rsidRDefault="008F451B" w:rsidP="00DA7ED2">
            <w:pPr>
              <w:rPr>
                <w:rStyle w:val="tlid-translation"/>
                <w:sz w:val="16"/>
                <w:szCs w:val="16"/>
                <w:lang w:val="en"/>
              </w:rPr>
            </w:pPr>
          </w:p>
          <w:p w14:paraId="6E943864" w14:textId="77777777" w:rsidR="008F451B" w:rsidRPr="00334C40" w:rsidRDefault="008F451B" w:rsidP="00DA7ED2">
            <w:pPr>
              <w:rPr>
                <w:b/>
                <w:bCs/>
                <w:color w:val="000000"/>
                <w:sz w:val="16"/>
                <w:szCs w:val="16"/>
                <w:lang w:val="en-GB"/>
              </w:rPr>
            </w:pPr>
          </w:p>
        </w:tc>
        <w:tc>
          <w:tcPr>
            <w:tcW w:w="1817"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19FCBD9" w14:textId="72C343DA" w:rsidR="008F451B" w:rsidRPr="008F451B" w:rsidRDefault="008F451B" w:rsidP="00DA7ED2">
            <w:pPr>
              <w:rPr>
                <w:b/>
                <w:sz w:val="16"/>
                <w:szCs w:val="16"/>
              </w:rPr>
            </w:pPr>
            <w:r w:rsidRPr="00C72A3D">
              <w:rPr>
                <w:rStyle w:val="tlid-translation"/>
                <w:b/>
                <w:sz w:val="16"/>
                <w:szCs w:val="16"/>
                <w:u w:val="single"/>
              </w:rPr>
              <w:t>Résultat 2.1</w:t>
            </w:r>
            <w:r w:rsidRPr="00C72A3D">
              <w:rPr>
                <w:rStyle w:val="tlid-translation"/>
                <w:sz w:val="16"/>
                <w:szCs w:val="16"/>
                <w:u w:val="single"/>
              </w:rPr>
              <w:t xml:space="preserve"> </w:t>
            </w:r>
            <w:r w:rsidRPr="00C72A3D">
              <w:rPr>
                <w:rStyle w:val="tlid-translation"/>
                <w:sz w:val="16"/>
                <w:szCs w:val="16"/>
              </w:rPr>
              <w:t xml:space="preserve">Le système statistique national a renforcé ses capacités pour le suivi des progrès accomplis dans la réalisation des objectifs du CREDD et l’atteinte des cibles des ODD, en tenant compte  du genre et des dimensions régionales  </w:t>
            </w:r>
          </w:p>
          <w:p w14:paraId="07396BB5" w14:textId="480EF523" w:rsidR="008F451B" w:rsidRPr="00C72A3D" w:rsidRDefault="008F451B" w:rsidP="00DA7ED2">
            <w:pPr>
              <w:rPr>
                <w:iCs/>
                <w:sz w:val="16"/>
                <w:szCs w:val="16"/>
              </w:rPr>
            </w:pPr>
            <w:r w:rsidRPr="00C72A3D">
              <w:rPr>
                <w:rStyle w:val="tlid-translation"/>
                <w:b/>
                <w:sz w:val="16"/>
                <w:szCs w:val="16"/>
              </w:rPr>
              <w:t>Indicateur 2.1.1</w:t>
            </w:r>
            <w:r w:rsidRPr="00C72A3D">
              <w:rPr>
                <w:rStyle w:val="tlid-translation"/>
                <w:sz w:val="16"/>
                <w:szCs w:val="16"/>
              </w:rPr>
              <w:t>:</w:t>
            </w:r>
            <w:r w:rsidRPr="00C72A3D">
              <w:t xml:space="preserve"> </w:t>
            </w:r>
            <w:r w:rsidRPr="00C72A3D">
              <w:rPr>
                <w:rStyle w:val="tlid-translation"/>
                <w:sz w:val="16"/>
                <w:szCs w:val="16"/>
              </w:rPr>
              <w:t>Pourcentage de rapports d’enquête et de suivi intégrant des données désagrégées par sexe et par région</w:t>
            </w:r>
            <w:r w:rsidRPr="00C72A3D">
              <w:rPr>
                <w:sz w:val="16"/>
                <w:szCs w:val="16"/>
              </w:rPr>
              <w:br/>
            </w:r>
            <w:r w:rsidRPr="00C72A3D">
              <w:rPr>
                <w:rStyle w:val="tlid-translation"/>
                <w:b/>
                <w:sz w:val="16"/>
                <w:szCs w:val="16"/>
              </w:rPr>
              <w:t>Référence</w:t>
            </w:r>
            <w:r w:rsidRPr="00C72A3D">
              <w:rPr>
                <w:rStyle w:val="tlid-translation"/>
                <w:sz w:val="16"/>
                <w:szCs w:val="16"/>
              </w:rPr>
              <w:t>: 10%</w:t>
            </w:r>
            <w:r w:rsidRPr="00C72A3D">
              <w:rPr>
                <w:sz w:val="16"/>
                <w:szCs w:val="16"/>
              </w:rPr>
              <w:br/>
            </w:r>
            <w:r w:rsidRPr="00C72A3D">
              <w:rPr>
                <w:rStyle w:val="tlid-translation"/>
                <w:b/>
                <w:sz w:val="16"/>
                <w:szCs w:val="16"/>
              </w:rPr>
              <w:t>Cible</w:t>
            </w:r>
            <w:r w:rsidRPr="00C72A3D">
              <w:rPr>
                <w:rStyle w:val="tlid-translation"/>
                <w:sz w:val="16"/>
                <w:szCs w:val="16"/>
              </w:rPr>
              <w:t>: 50%</w:t>
            </w:r>
            <w:r w:rsidRPr="00C72A3D">
              <w:rPr>
                <w:sz w:val="16"/>
                <w:szCs w:val="16"/>
              </w:rPr>
              <w:br/>
            </w:r>
            <w:r w:rsidRPr="00C72A3D">
              <w:rPr>
                <w:rStyle w:val="tlid-translation"/>
                <w:b/>
                <w:sz w:val="16"/>
                <w:szCs w:val="16"/>
              </w:rPr>
              <w:t>Source de données, Fréquence</w:t>
            </w:r>
            <w:r w:rsidRPr="00C72A3D">
              <w:rPr>
                <w:rStyle w:val="tlid-translation"/>
                <w:sz w:val="16"/>
                <w:szCs w:val="16"/>
              </w:rPr>
              <w:t>: Rapports INSTAT, CPS, annuelle</w:t>
            </w:r>
          </w:p>
          <w:p w14:paraId="40E5BEE5" w14:textId="77777777" w:rsidR="008F451B" w:rsidRPr="00C72A3D" w:rsidRDefault="008F451B" w:rsidP="00DA7ED2">
            <w:pPr>
              <w:rPr>
                <w:iCs/>
                <w:sz w:val="16"/>
                <w:szCs w:val="16"/>
              </w:rPr>
            </w:pPr>
            <w:r w:rsidRPr="00C72A3D">
              <w:rPr>
                <w:b/>
                <w:iCs/>
                <w:sz w:val="16"/>
                <w:szCs w:val="16"/>
              </w:rPr>
              <w:t>Indicateur 2.2.2</w:t>
            </w:r>
            <w:r w:rsidRPr="00C72A3D">
              <w:rPr>
                <w:iCs/>
                <w:sz w:val="16"/>
                <w:szCs w:val="16"/>
              </w:rPr>
              <w:t>: Existence de mécanismes de traitement des données fournissant des données désagrégées permettant de suivre les progrès accomplis dans la réalisation des ODD</w:t>
            </w:r>
          </w:p>
          <w:p w14:paraId="48D91D40" w14:textId="77777777" w:rsidR="008F451B" w:rsidRPr="00C72A3D" w:rsidRDefault="008F451B" w:rsidP="001A2A80">
            <w:pPr>
              <w:pStyle w:val="Paragraphedeliste"/>
              <w:numPr>
                <w:ilvl w:val="0"/>
                <w:numId w:val="12"/>
              </w:numPr>
              <w:suppressAutoHyphens/>
              <w:autoSpaceDN w:val="0"/>
              <w:spacing w:after="0" w:line="240" w:lineRule="auto"/>
              <w:contextualSpacing w:val="0"/>
              <w:textAlignment w:val="baseline"/>
              <w:rPr>
                <w:iCs/>
                <w:sz w:val="16"/>
                <w:szCs w:val="16"/>
              </w:rPr>
            </w:pPr>
            <w:r w:rsidRPr="00C72A3D">
              <w:rPr>
                <w:iCs/>
                <w:sz w:val="16"/>
                <w:szCs w:val="16"/>
              </w:rPr>
              <w:t>Systèmes de rapports administratifs</w:t>
            </w:r>
          </w:p>
          <w:p w14:paraId="65E9C105" w14:textId="00DF0BC5" w:rsidR="008F451B" w:rsidRPr="008F451B" w:rsidRDefault="008F451B" w:rsidP="00DA7ED2">
            <w:pPr>
              <w:rPr>
                <w:b/>
                <w:bCs/>
                <w:sz w:val="16"/>
                <w:szCs w:val="16"/>
              </w:rPr>
            </w:pPr>
            <w:r w:rsidRPr="00C72A3D">
              <w:rPr>
                <w:rStyle w:val="tlid-translation"/>
                <w:b/>
                <w:sz w:val="16"/>
                <w:szCs w:val="16"/>
              </w:rPr>
              <w:t>Référence</w:t>
            </w:r>
            <w:r w:rsidRPr="00C72A3D">
              <w:rPr>
                <w:rStyle w:val="tlid-translation"/>
                <w:sz w:val="16"/>
                <w:szCs w:val="16"/>
              </w:rPr>
              <w:t>: 1</w:t>
            </w:r>
            <w:r w:rsidRPr="00C72A3D">
              <w:rPr>
                <w:sz w:val="16"/>
                <w:szCs w:val="16"/>
              </w:rPr>
              <w:br/>
            </w:r>
            <w:r w:rsidRPr="00C72A3D">
              <w:rPr>
                <w:rStyle w:val="tlid-translation"/>
                <w:b/>
                <w:sz w:val="16"/>
                <w:szCs w:val="16"/>
              </w:rPr>
              <w:t>Cible</w:t>
            </w:r>
            <w:r w:rsidRPr="00C72A3D">
              <w:rPr>
                <w:rStyle w:val="tlid-translation"/>
                <w:sz w:val="16"/>
                <w:szCs w:val="16"/>
              </w:rPr>
              <w:t>: 3</w:t>
            </w:r>
            <w:r w:rsidRPr="00C72A3D">
              <w:rPr>
                <w:sz w:val="16"/>
                <w:szCs w:val="16"/>
              </w:rPr>
              <w:br/>
            </w:r>
            <w:r w:rsidRPr="00C72A3D">
              <w:rPr>
                <w:rStyle w:val="tlid-translation"/>
                <w:b/>
                <w:sz w:val="16"/>
                <w:szCs w:val="16"/>
              </w:rPr>
              <w:t>Source de données, Fréquence</w:t>
            </w:r>
            <w:r w:rsidRPr="00C72A3D">
              <w:rPr>
                <w:rStyle w:val="tlid-translation"/>
                <w:sz w:val="16"/>
                <w:szCs w:val="16"/>
              </w:rPr>
              <w:t>: Rapports ODHD / INSTAT / CPS, biennaux</w:t>
            </w:r>
          </w:p>
          <w:p w14:paraId="0B8174D1" w14:textId="07D3460F" w:rsidR="008F451B" w:rsidRPr="008F451B" w:rsidRDefault="008F451B" w:rsidP="00DA7ED2">
            <w:pPr>
              <w:rPr>
                <w:sz w:val="16"/>
                <w:szCs w:val="16"/>
              </w:rPr>
            </w:pPr>
            <w:r w:rsidRPr="00C72A3D">
              <w:rPr>
                <w:rStyle w:val="tlid-translation"/>
                <w:b/>
                <w:sz w:val="16"/>
                <w:szCs w:val="16"/>
                <w:u w:val="single"/>
              </w:rPr>
              <w:t>Résultat 2.2</w:t>
            </w:r>
            <w:r w:rsidRPr="00C72A3D">
              <w:rPr>
                <w:rStyle w:val="tlid-translation"/>
                <w:sz w:val="16"/>
                <w:szCs w:val="16"/>
              </w:rPr>
              <w:t>: Les institutions nationales et locales ont renforcé leurs capacités de planification, budgétisation, mise en œuvre, suivi/évaluation des politiques et stratégies pour l’atteinte des ODD</w:t>
            </w:r>
          </w:p>
          <w:p w14:paraId="2CA12940" w14:textId="069E6942" w:rsidR="008F451B" w:rsidRPr="008F451B" w:rsidRDefault="008F451B" w:rsidP="00DA7ED2">
            <w:pPr>
              <w:rPr>
                <w:rStyle w:val="tlid-translation"/>
                <w:iCs/>
                <w:sz w:val="16"/>
                <w:szCs w:val="16"/>
              </w:rPr>
            </w:pPr>
            <w:r w:rsidRPr="00C72A3D">
              <w:rPr>
                <w:rStyle w:val="tlid-translation"/>
                <w:b/>
                <w:sz w:val="16"/>
                <w:szCs w:val="16"/>
              </w:rPr>
              <w:t>Indicateur 2.2.1</w:t>
            </w:r>
            <w:r w:rsidRPr="00C72A3D">
              <w:rPr>
                <w:rStyle w:val="tlid-translation"/>
                <w:sz w:val="16"/>
                <w:szCs w:val="16"/>
              </w:rPr>
              <w:t xml:space="preserve">: Pourcentage de ministères dotés d'un plan approuvé sensibles au genre </w:t>
            </w:r>
            <w:r w:rsidRPr="00C72A3D">
              <w:rPr>
                <w:sz w:val="16"/>
                <w:szCs w:val="16"/>
              </w:rPr>
              <w:br/>
            </w:r>
            <w:r w:rsidRPr="00C72A3D">
              <w:rPr>
                <w:rStyle w:val="tlid-translation"/>
                <w:b/>
                <w:sz w:val="16"/>
                <w:szCs w:val="16"/>
              </w:rPr>
              <w:t>Référence</w:t>
            </w:r>
            <w:r w:rsidRPr="00C72A3D">
              <w:rPr>
                <w:rStyle w:val="tlid-translation"/>
                <w:sz w:val="16"/>
                <w:szCs w:val="16"/>
              </w:rPr>
              <w:t xml:space="preserve">: 50% </w:t>
            </w:r>
            <w:r w:rsidRPr="00C72A3D">
              <w:rPr>
                <w:sz w:val="16"/>
                <w:szCs w:val="16"/>
              </w:rPr>
              <w:br/>
            </w:r>
            <w:r w:rsidRPr="00C72A3D">
              <w:rPr>
                <w:rStyle w:val="tlid-translation"/>
                <w:b/>
                <w:sz w:val="16"/>
                <w:szCs w:val="16"/>
              </w:rPr>
              <w:t>Cible</w:t>
            </w:r>
            <w:r w:rsidRPr="00C72A3D">
              <w:rPr>
                <w:rStyle w:val="tlid-translation"/>
                <w:sz w:val="16"/>
                <w:szCs w:val="16"/>
              </w:rPr>
              <w:t>: 100%</w:t>
            </w:r>
            <w:r w:rsidRPr="00C72A3D">
              <w:rPr>
                <w:sz w:val="16"/>
                <w:szCs w:val="16"/>
              </w:rPr>
              <w:br/>
            </w:r>
            <w:r w:rsidRPr="00C72A3D">
              <w:rPr>
                <w:rStyle w:val="tlid-translation"/>
                <w:b/>
                <w:sz w:val="16"/>
                <w:szCs w:val="16"/>
              </w:rPr>
              <w:t>Source de données, Fréquence</w:t>
            </w:r>
            <w:r w:rsidRPr="00C72A3D">
              <w:rPr>
                <w:rStyle w:val="tlid-translation"/>
                <w:sz w:val="16"/>
                <w:szCs w:val="16"/>
              </w:rPr>
              <w:t>: loi de finances / budget sectoriel, annuelle</w:t>
            </w:r>
          </w:p>
          <w:p w14:paraId="3DB8575D" w14:textId="77777777" w:rsidR="008F451B" w:rsidRPr="00C72A3D" w:rsidRDefault="008F451B" w:rsidP="00DA7ED2">
            <w:pPr>
              <w:rPr>
                <w:iCs/>
                <w:sz w:val="16"/>
                <w:szCs w:val="16"/>
              </w:rPr>
            </w:pPr>
            <w:r w:rsidRPr="00C72A3D">
              <w:rPr>
                <w:rStyle w:val="tlid-translation"/>
                <w:b/>
                <w:sz w:val="16"/>
                <w:szCs w:val="16"/>
              </w:rPr>
              <w:t>Indicateur 2.2.2</w:t>
            </w:r>
            <w:r w:rsidRPr="00C72A3D">
              <w:rPr>
                <w:rStyle w:val="tlid-translation"/>
                <w:sz w:val="16"/>
                <w:szCs w:val="16"/>
              </w:rPr>
              <w:t>: Nombre de politiques et stratégies nationales évaluées</w:t>
            </w:r>
            <w:r w:rsidRPr="00C72A3D">
              <w:rPr>
                <w:sz w:val="16"/>
                <w:szCs w:val="16"/>
              </w:rPr>
              <w:br/>
            </w:r>
            <w:r w:rsidRPr="00C72A3D">
              <w:rPr>
                <w:rStyle w:val="tlid-translation"/>
                <w:b/>
                <w:sz w:val="16"/>
                <w:szCs w:val="16"/>
              </w:rPr>
              <w:t>Référence</w:t>
            </w:r>
            <w:r w:rsidRPr="00C72A3D">
              <w:rPr>
                <w:rStyle w:val="tlid-translation"/>
                <w:sz w:val="16"/>
                <w:szCs w:val="16"/>
              </w:rPr>
              <w:t>: 1</w:t>
            </w:r>
            <w:r w:rsidRPr="00C72A3D">
              <w:rPr>
                <w:sz w:val="16"/>
                <w:szCs w:val="16"/>
              </w:rPr>
              <w:br/>
            </w:r>
            <w:r w:rsidRPr="00C72A3D">
              <w:rPr>
                <w:rStyle w:val="tlid-translation"/>
                <w:b/>
                <w:sz w:val="16"/>
                <w:szCs w:val="16"/>
              </w:rPr>
              <w:t>Cible</w:t>
            </w:r>
            <w:r w:rsidRPr="00C72A3D">
              <w:rPr>
                <w:rStyle w:val="tlid-translation"/>
                <w:sz w:val="16"/>
                <w:szCs w:val="16"/>
              </w:rPr>
              <w:t>: 5</w:t>
            </w:r>
            <w:r w:rsidRPr="00C72A3D">
              <w:rPr>
                <w:sz w:val="16"/>
                <w:szCs w:val="16"/>
              </w:rPr>
              <w:br/>
            </w:r>
            <w:r w:rsidRPr="00C72A3D">
              <w:rPr>
                <w:rStyle w:val="tlid-translation"/>
                <w:b/>
                <w:sz w:val="16"/>
                <w:szCs w:val="16"/>
              </w:rPr>
              <w:t>Source de données, Fréquence</w:t>
            </w:r>
            <w:r w:rsidRPr="00C72A3D">
              <w:rPr>
                <w:rStyle w:val="tlid-translation"/>
                <w:sz w:val="16"/>
                <w:szCs w:val="16"/>
              </w:rPr>
              <w:t xml:space="preserve">: Revues CREDD, BVG, </w:t>
            </w:r>
            <w:r w:rsidRPr="00C72A3D">
              <w:t xml:space="preserve"> </w:t>
            </w:r>
            <w:r w:rsidRPr="00C72A3D">
              <w:rPr>
                <w:rStyle w:val="tlid-translation"/>
                <w:sz w:val="16"/>
                <w:szCs w:val="16"/>
              </w:rPr>
              <w:t>Direction Nationale du Contrôle Financier, rapports d'évaluation, annuelle</w:t>
            </w:r>
          </w:p>
          <w:p w14:paraId="6E4923A5" w14:textId="77777777" w:rsidR="008F451B" w:rsidRPr="00C72A3D" w:rsidRDefault="008F451B" w:rsidP="00DA7ED2">
            <w:pPr>
              <w:rPr>
                <w:sz w:val="16"/>
                <w:szCs w:val="16"/>
              </w:rPr>
            </w:pPr>
            <w:r w:rsidRPr="00C72A3D">
              <w:rPr>
                <w:rStyle w:val="tlid-translation"/>
                <w:b/>
                <w:sz w:val="16"/>
                <w:szCs w:val="16"/>
                <w:u w:val="single"/>
              </w:rPr>
              <w:t>Résultat 2.3</w:t>
            </w:r>
            <w:r w:rsidRPr="00C72A3D">
              <w:rPr>
                <w:rStyle w:val="tlid-translation"/>
                <w:sz w:val="16"/>
                <w:szCs w:val="16"/>
              </w:rPr>
              <w:t>: Environnement  inclusif et  favorable renforcé pour élargir des partenariats public-privé, le dialogue et le financement en vue de l’atteinte des ODD</w:t>
            </w:r>
          </w:p>
          <w:p w14:paraId="44C048F3" w14:textId="26585BD9" w:rsidR="008F451B" w:rsidRPr="00C72A3D" w:rsidRDefault="008F451B" w:rsidP="00DA7ED2">
            <w:pPr>
              <w:rPr>
                <w:b/>
                <w:bCs/>
                <w:sz w:val="16"/>
                <w:szCs w:val="16"/>
              </w:rPr>
            </w:pPr>
            <w:r>
              <w:rPr>
                <w:b/>
                <w:bCs/>
                <w:sz w:val="16"/>
                <w:szCs w:val="16"/>
              </w:rPr>
              <w:t>I</w:t>
            </w:r>
            <w:r w:rsidRPr="00C72A3D">
              <w:rPr>
                <w:b/>
                <w:bCs/>
                <w:sz w:val="16"/>
                <w:szCs w:val="16"/>
              </w:rPr>
              <w:t xml:space="preserve">ndicateur 2.3.1: </w:t>
            </w:r>
            <w:r w:rsidRPr="00C72A3D">
              <w:rPr>
                <w:bCs/>
                <w:sz w:val="16"/>
                <w:szCs w:val="16"/>
              </w:rPr>
              <w:t>Nombre de PME / PMI créées par an</w:t>
            </w:r>
          </w:p>
          <w:p w14:paraId="1FBB6CF1" w14:textId="77777777" w:rsidR="008F451B" w:rsidRPr="00B17BE1" w:rsidRDefault="008F451B" w:rsidP="00DA7ED2">
            <w:pPr>
              <w:rPr>
                <w:b/>
                <w:bCs/>
                <w:sz w:val="16"/>
                <w:szCs w:val="16"/>
              </w:rPr>
            </w:pPr>
            <w:r w:rsidRPr="00B17BE1">
              <w:rPr>
                <w:b/>
                <w:bCs/>
                <w:sz w:val="16"/>
                <w:szCs w:val="16"/>
              </w:rPr>
              <w:t>Référence: 6.500</w:t>
            </w:r>
          </w:p>
          <w:p w14:paraId="744F2B25" w14:textId="77777777" w:rsidR="008F451B" w:rsidRPr="00B17BE1" w:rsidRDefault="008F451B" w:rsidP="00DA7ED2">
            <w:pPr>
              <w:rPr>
                <w:b/>
                <w:bCs/>
                <w:sz w:val="16"/>
                <w:szCs w:val="16"/>
              </w:rPr>
            </w:pPr>
            <w:r w:rsidRPr="00B17BE1">
              <w:rPr>
                <w:b/>
                <w:bCs/>
                <w:sz w:val="16"/>
                <w:szCs w:val="16"/>
              </w:rPr>
              <w:t>Cible:  10.000</w:t>
            </w:r>
          </w:p>
          <w:p w14:paraId="237930A8" w14:textId="77777777" w:rsidR="008F451B" w:rsidRDefault="008F451B" w:rsidP="00DA7ED2">
            <w:pPr>
              <w:rPr>
                <w:rStyle w:val="tlid-translation"/>
                <w:sz w:val="16"/>
                <w:szCs w:val="16"/>
              </w:rPr>
            </w:pPr>
            <w:r w:rsidRPr="00B17BE1">
              <w:rPr>
                <w:rStyle w:val="tlid-translation"/>
                <w:b/>
                <w:sz w:val="16"/>
                <w:szCs w:val="16"/>
              </w:rPr>
              <w:t xml:space="preserve">Source de données, </w:t>
            </w:r>
            <w:r>
              <w:rPr>
                <w:rStyle w:val="tlid-translation"/>
                <w:b/>
                <w:sz w:val="16"/>
                <w:szCs w:val="16"/>
              </w:rPr>
              <w:t>Fréquence</w:t>
            </w:r>
            <w:r w:rsidRPr="00B17BE1">
              <w:rPr>
                <w:rStyle w:val="tlid-translation"/>
                <w:b/>
                <w:sz w:val="16"/>
                <w:szCs w:val="16"/>
              </w:rPr>
              <w:t>:</w:t>
            </w:r>
            <w:r w:rsidRPr="00B17BE1">
              <w:rPr>
                <w:rStyle w:val="tlid-translation"/>
                <w:sz w:val="16"/>
                <w:szCs w:val="16"/>
              </w:rPr>
              <w:t xml:space="preserve"> API, CNP</w:t>
            </w:r>
          </w:p>
          <w:p w14:paraId="1C80E640" w14:textId="6DA664E2" w:rsidR="008F451B" w:rsidRPr="00C72A3D" w:rsidRDefault="008F451B" w:rsidP="00DA7ED2">
            <w:pPr>
              <w:rPr>
                <w:b/>
                <w:bCs/>
                <w:sz w:val="16"/>
                <w:szCs w:val="16"/>
              </w:rPr>
            </w:pPr>
            <w:r w:rsidRPr="00C72A3D">
              <w:rPr>
                <w:b/>
                <w:bCs/>
                <w:sz w:val="16"/>
                <w:szCs w:val="16"/>
              </w:rPr>
              <w:t xml:space="preserve">Indicateur 2.3.2: </w:t>
            </w:r>
            <w:r w:rsidRPr="00C72A3D">
              <w:rPr>
                <w:bCs/>
                <w:sz w:val="16"/>
                <w:szCs w:val="16"/>
              </w:rPr>
              <w:t>Existence d'un environnement favorable exploitant des ressources supplémentaires provenant de sources publiques et privées pour les ODD</w:t>
            </w:r>
          </w:p>
          <w:p w14:paraId="180DF4C0" w14:textId="77777777" w:rsidR="008F451B" w:rsidRPr="00C72A3D" w:rsidRDefault="008F451B" w:rsidP="00DA7ED2">
            <w:pPr>
              <w:rPr>
                <w:b/>
                <w:bCs/>
                <w:sz w:val="16"/>
                <w:szCs w:val="16"/>
              </w:rPr>
            </w:pPr>
            <w:r w:rsidRPr="00C72A3D">
              <w:rPr>
                <w:b/>
                <w:bCs/>
                <w:sz w:val="16"/>
                <w:szCs w:val="16"/>
              </w:rPr>
              <w:t>a) Cadres de partenariat et d'investissement</w:t>
            </w:r>
          </w:p>
          <w:p w14:paraId="6A7338DF" w14:textId="77777777" w:rsidR="008F451B" w:rsidRPr="00C72A3D" w:rsidRDefault="008F451B" w:rsidP="00DA7ED2">
            <w:pPr>
              <w:rPr>
                <w:b/>
                <w:bCs/>
                <w:sz w:val="16"/>
                <w:szCs w:val="16"/>
              </w:rPr>
            </w:pPr>
            <w:r w:rsidRPr="00C72A3D">
              <w:rPr>
                <w:b/>
                <w:bCs/>
                <w:sz w:val="16"/>
                <w:szCs w:val="16"/>
              </w:rPr>
              <w:t>b) Mécanismes institutionnels</w:t>
            </w:r>
          </w:p>
          <w:p w14:paraId="6159BC05" w14:textId="77777777" w:rsidR="008F451B" w:rsidRPr="00C72A3D" w:rsidRDefault="008F451B" w:rsidP="00DA7ED2">
            <w:pPr>
              <w:rPr>
                <w:b/>
                <w:bCs/>
                <w:sz w:val="16"/>
                <w:szCs w:val="16"/>
              </w:rPr>
            </w:pPr>
            <w:r w:rsidRPr="00C72A3D">
              <w:rPr>
                <w:b/>
                <w:bCs/>
                <w:sz w:val="16"/>
                <w:szCs w:val="16"/>
              </w:rPr>
              <w:t xml:space="preserve">Référence: </w:t>
            </w:r>
            <w:r w:rsidRPr="00C72A3D">
              <w:rPr>
                <w:bCs/>
                <w:sz w:val="16"/>
                <w:szCs w:val="16"/>
              </w:rPr>
              <w:t>a) 0 b) 0</w:t>
            </w:r>
          </w:p>
          <w:p w14:paraId="4A8EF311" w14:textId="77777777" w:rsidR="008F451B" w:rsidRPr="00C72A3D" w:rsidRDefault="008F451B" w:rsidP="00DA7ED2">
            <w:pPr>
              <w:rPr>
                <w:b/>
                <w:bCs/>
                <w:sz w:val="16"/>
                <w:szCs w:val="16"/>
              </w:rPr>
            </w:pPr>
            <w:r w:rsidRPr="00C72A3D">
              <w:rPr>
                <w:b/>
                <w:bCs/>
                <w:sz w:val="16"/>
                <w:szCs w:val="16"/>
              </w:rPr>
              <w:t xml:space="preserve">Cible: </w:t>
            </w:r>
            <w:r w:rsidRPr="00C72A3D">
              <w:rPr>
                <w:bCs/>
                <w:sz w:val="16"/>
                <w:szCs w:val="16"/>
              </w:rPr>
              <w:t>a) 2 b) 1</w:t>
            </w:r>
          </w:p>
          <w:p w14:paraId="1B27F036" w14:textId="3E486864" w:rsidR="008F451B" w:rsidRPr="00C72A3D" w:rsidRDefault="008F451B" w:rsidP="00DA7ED2">
            <w:pPr>
              <w:rPr>
                <w:rStyle w:val="tlid-translation"/>
                <w:sz w:val="16"/>
                <w:szCs w:val="16"/>
              </w:rPr>
            </w:pPr>
            <w:r w:rsidRPr="00C72A3D">
              <w:rPr>
                <w:rStyle w:val="tlid-translation"/>
                <w:b/>
                <w:sz w:val="16"/>
                <w:szCs w:val="16"/>
              </w:rPr>
              <w:t>Source de données, Fréquence</w:t>
            </w:r>
            <w:r w:rsidRPr="00C72A3D">
              <w:rPr>
                <w:rStyle w:val="tlid-translation"/>
                <w:sz w:val="16"/>
                <w:szCs w:val="16"/>
              </w:rPr>
              <w:t>: Primature, API, CNP, annuelle</w:t>
            </w:r>
          </w:p>
          <w:p w14:paraId="68DAFBE7" w14:textId="7B4C6EED" w:rsidR="008F451B" w:rsidRPr="008F451B" w:rsidRDefault="008F451B" w:rsidP="008F451B">
            <w:pPr>
              <w:jc w:val="both"/>
              <w:rPr>
                <w:sz w:val="16"/>
                <w:szCs w:val="16"/>
              </w:rPr>
            </w:pPr>
            <w:r w:rsidRPr="00C72A3D">
              <w:rPr>
                <w:rStyle w:val="tlid-translation"/>
                <w:b/>
                <w:sz w:val="16"/>
                <w:szCs w:val="16"/>
                <w:u w:val="single"/>
              </w:rPr>
              <w:t>Résultat 2.4</w:t>
            </w:r>
            <w:r w:rsidRPr="00C72A3D">
              <w:rPr>
                <w:rStyle w:val="tlid-translation"/>
                <w:sz w:val="16"/>
                <w:szCs w:val="16"/>
              </w:rPr>
              <w:t xml:space="preserve">: </w:t>
            </w:r>
            <w:r w:rsidRPr="00C72A3D">
              <w:rPr>
                <w:iCs/>
                <w:sz w:val="16"/>
                <w:szCs w:val="16"/>
              </w:rPr>
              <w:t>Populations vulnérables, en particulier les femmes et les jeunes habilités à accéder à des actifs financiers et non financiers pour renforcer leurs capacités de production et bénéficier de moyens de subsistance et d'emplois durables</w:t>
            </w:r>
          </w:p>
          <w:p w14:paraId="33FEB9CA" w14:textId="77777777" w:rsidR="008F451B" w:rsidRPr="00C72A3D" w:rsidRDefault="008F451B" w:rsidP="00DA7ED2">
            <w:pPr>
              <w:rPr>
                <w:rStyle w:val="tlid-translation"/>
                <w:sz w:val="16"/>
                <w:szCs w:val="16"/>
              </w:rPr>
            </w:pPr>
            <w:r w:rsidRPr="00C72A3D">
              <w:rPr>
                <w:rStyle w:val="tlid-translation"/>
                <w:b/>
                <w:sz w:val="16"/>
                <w:szCs w:val="16"/>
              </w:rPr>
              <w:t>Indicateur 2.4.1</w:t>
            </w:r>
            <w:r w:rsidRPr="00C72A3D">
              <w:rPr>
                <w:rStyle w:val="tlid-translation"/>
                <w:sz w:val="16"/>
                <w:szCs w:val="16"/>
              </w:rPr>
              <w:t>: Nombre d’emplois créés pour les jeunes et les femmes grâce aux PME soutenues</w:t>
            </w:r>
            <w:r w:rsidRPr="00C72A3D">
              <w:rPr>
                <w:sz w:val="16"/>
                <w:szCs w:val="16"/>
              </w:rPr>
              <w:br/>
            </w:r>
            <w:r w:rsidRPr="00C72A3D">
              <w:rPr>
                <w:rStyle w:val="tlid-translation"/>
                <w:b/>
                <w:sz w:val="16"/>
                <w:szCs w:val="16"/>
              </w:rPr>
              <w:t>Référence</w:t>
            </w:r>
            <w:r w:rsidRPr="00C72A3D">
              <w:rPr>
                <w:rStyle w:val="tlid-translation"/>
                <w:sz w:val="16"/>
                <w:szCs w:val="16"/>
              </w:rPr>
              <w:t>: 1 400</w:t>
            </w:r>
            <w:r w:rsidRPr="00C72A3D">
              <w:rPr>
                <w:sz w:val="16"/>
                <w:szCs w:val="16"/>
              </w:rPr>
              <w:br/>
            </w:r>
            <w:r w:rsidRPr="00C72A3D">
              <w:rPr>
                <w:rStyle w:val="tlid-translation"/>
                <w:b/>
                <w:sz w:val="16"/>
                <w:szCs w:val="16"/>
              </w:rPr>
              <w:t>Cible</w:t>
            </w:r>
            <w:r w:rsidRPr="00C72A3D">
              <w:rPr>
                <w:rStyle w:val="tlid-translation"/>
                <w:sz w:val="16"/>
                <w:szCs w:val="16"/>
              </w:rPr>
              <w:t>: 2 400</w:t>
            </w:r>
            <w:r w:rsidRPr="00C72A3D">
              <w:rPr>
                <w:sz w:val="16"/>
                <w:szCs w:val="16"/>
              </w:rPr>
              <w:br/>
            </w:r>
            <w:r w:rsidRPr="00C72A3D">
              <w:rPr>
                <w:rStyle w:val="tlid-translation"/>
                <w:b/>
                <w:sz w:val="16"/>
                <w:szCs w:val="16"/>
              </w:rPr>
              <w:t>Source de données, Fréquence</w:t>
            </w:r>
            <w:r w:rsidRPr="00C72A3D">
              <w:rPr>
                <w:rStyle w:val="tlid-translation"/>
                <w:sz w:val="16"/>
                <w:szCs w:val="16"/>
              </w:rPr>
              <w:t>: rapports de projet, annuelle</w:t>
            </w:r>
          </w:p>
          <w:p w14:paraId="4E2A514D" w14:textId="77777777" w:rsidR="008F451B" w:rsidRPr="00C72A3D" w:rsidRDefault="008F451B" w:rsidP="00DA7ED2"/>
          <w:p w14:paraId="487DC56C" w14:textId="77777777" w:rsidR="008F451B" w:rsidRPr="00C72A3D" w:rsidRDefault="008F451B" w:rsidP="00DA7ED2">
            <w:pPr>
              <w:rPr>
                <w:iCs/>
                <w:sz w:val="16"/>
                <w:szCs w:val="16"/>
              </w:rPr>
            </w:pPr>
            <w:r w:rsidRPr="00C72A3D">
              <w:rPr>
                <w:rStyle w:val="tlid-translation"/>
                <w:b/>
                <w:sz w:val="16"/>
                <w:szCs w:val="16"/>
              </w:rPr>
              <w:t>Indicateur 2.4.2</w:t>
            </w:r>
            <w:r w:rsidRPr="00C72A3D">
              <w:rPr>
                <w:rStyle w:val="tlid-translation"/>
                <w:sz w:val="16"/>
                <w:szCs w:val="16"/>
              </w:rPr>
              <w:t xml:space="preserve">: </w:t>
            </w:r>
            <w:r w:rsidRPr="00C72A3D">
              <w:rPr>
                <w:iCs/>
                <w:sz w:val="16"/>
                <w:szCs w:val="16"/>
              </w:rPr>
              <w:t>Nombre de personnes ayant accès à des services financiers et non financiers, désagrégé par groupes cibles:</w:t>
            </w:r>
          </w:p>
          <w:p w14:paraId="1C0BA0E5" w14:textId="77777777" w:rsidR="008F451B" w:rsidRPr="00C72A3D" w:rsidRDefault="008F451B" w:rsidP="008F451B">
            <w:pPr>
              <w:spacing w:after="0" w:line="240" w:lineRule="auto"/>
              <w:rPr>
                <w:iCs/>
                <w:sz w:val="16"/>
                <w:szCs w:val="16"/>
              </w:rPr>
            </w:pPr>
            <w:r w:rsidRPr="00C72A3D">
              <w:rPr>
                <w:iCs/>
                <w:sz w:val="16"/>
                <w:szCs w:val="16"/>
              </w:rPr>
              <w:t>a) Services financiers</w:t>
            </w:r>
          </w:p>
          <w:p w14:paraId="052830CF" w14:textId="77777777" w:rsidR="008F451B" w:rsidRPr="00C72A3D" w:rsidRDefault="008F451B" w:rsidP="008F451B">
            <w:pPr>
              <w:spacing w:after="0" w:line="240" w:lineRule="auto"/>
              <w:ind w:left="720"/>
              <w:rPr>
                <w:iCs/>
                <w:sz w:val="16"/>
                <w:szCs w:val="16"/>
              </w:rPr>
            </w:pPr>
            <w:r w:rsidRPr="00C72A3D">
              <w:rPr>
                <w:iCs/>
                <w:sz w:val="16"/>
                <w:szCs w:val="16"/>
              </w:rPr>
              <w:t>a1) Pauvres</w:t>
            </w:r>
          </w:p>
          <w:p w14:paraId="71E530D7" w14:textId="77777777" w:rsidR="008F451B" w:rsidRPr="00C72A3D" w:rsidRDefault="008F451B" w:rsidP="008F451B">
            <w:pPr>
              <w:spacing w:after="0" w:line="240" w:lineRule="auto"/>
              <w:ind w:left="720"/>
              <w:rPr>
                <w:iCs/>
                <w:sz w:val="16"/>
                <w:szCs w:val="16"/>
              </w:rPr>
            </w:pPr>
            <w:r w:rsidRPr="00C72A3D">
              <w:rPr>
                <w:iCs/>
                <w:sz w:val="16"/>
                <w:szCs w:val="16"/>
              </w:rPr>
              <w:t>a2) Femmes</w:t>
            </w:r>
          </w:p>
          <w:p w14:paraId="008F986D" w14:textId="77777777" w:rsidR="008F451B" w:rsidRPr="00C72A3D" w:rsidRDefault="008F451B" w:rsidP="008F451B">
            <w:pPr>
              <w:spacing w:after="0" w:line="240" w:lineRule="auto"/>
              <w:ind w:left="720"/>
              <w:rPr>
                <w:iCs/>
                <w:sz w:val="16"/>
                <w:szCs w:val="16"/>
              </w:rPr>
            </w:pPr>
            <w:r w:rsidRPr="00C72A3D">
              <w:rPr>
                <w:iCs/>
                <w:sz w:val="16"/>
                <w:szCs w:val="16"/>
              </w:rPr>
              <w:t>a3) Jeunes</w:t>
            </w:r>
          </w:p>
          <w:p w14:paraId="1FD74BDE" w14:textId="77777777" w:rsidR="008F451B" w:rsidRPr="00C72A3D" w:rsidRDefault="008F451B" w:rsidP="008F451B">
            <w:pPr>
              <w:spacing w:after="0" w:line="240" w:lineRule="auto"/>
              <w:rPr>
                <w:iCs/>
                <w:sz w:val="16"/>
                <w:szCs w:val="16"/>
              </w:rPr>
            </w:pPr>
            <w:r w:rsidRPr="00C72A3D">
              <w:rPr>
                <w:iCs/>
                <w:sz w:val="16"/>
                <w:szCs w:val="16"/>
              </w:rPr>
              <w:t>b) Actifs non financiers</w:t>
            </w:r>
          </w:p>
          <w:p w14:paraId="218634F4" w14:textId="77777777" w:rsidR="008F451B" w:rsidRPr="00C72A3D" w:rsidRDefault="008F451B" w:rsidP="008F451B">
            <w:pPr>
              <w:spacing w:after="0" w:line="240" w:lineRule="auto"/>
              <w:ind w:left="720"/>
              <w:rPr>
                <w:iCs/>
                <w:sz w:val="16"/>
                <w:szCs w:val="16"/>
              </w:rPr>
            </w:pPr>
            <w:r w:rsidRPr="00C72A3D">
              <w:rPr>
                <w:iCs/>
                <w:sz w:val="16"/>
                <w:szCs w:val="16"/>
              </w:rPr>
              <w:t>b1) Pauvres</w:t>
            </w:r>
          </w:p>
          <w:p w14:paraId="34AA478D" w14:textId="77777777" w:rsidR="008F451B" w:rsidRPr="00C72A3D" w:rsidRDefault="008F451B" w:rsidP="008F451B">
            <w:pPr>
              <w:spacing w:after="0" w:line="240" w:lineRule="auto"/>
              <w:ind w:left="720"/>
              <w:rPr>
                <w:iCs/>
                <w:sz w:val="16"/>
                <w:szCs w:val="16"/>
              </w:rPr>
            </w:pPr>
            <w:r w:rsidRPr="00C72A3D">
              <w:rPr>
                <w:iCs/>
                <w:sz w:val="16"/>
                <w:szCs w:val="16"/>
              </w:rPr>
              <w:t>b2) Femmes</w:t>
            </w:r>
          </w:p>
          <w:p w14:paraId="0387B252" w14:textId="77777777" w:rsidR="008F451B" w:rsidRPr="00C72A3D" w:rsidRDefault="008F451B" w:rsidP="008F451B">
            <w:pPr>
              <w:spacing w:after="0" w:line="240" w:lineRule="auto"/>
              <w:ind w:left="720"/>
              <w:rPr>
                <w:iCs/>
                <w:sz w:val="16"/>
                <w:szCs w:val="16"/>
              </w:rPr>
            </w:pPr>
            <w:r w:rsidRPr="00C72A3D">
              <w:rPr>
                <w:iCs/>
                <w:sz w:val="16"/>
                <w:szCs w:val="16"/>
              </w:rPr>
              <w:t>b3) Jeunes</w:t>
            </w:r>
          </w:p>
          <w:p w14:paraId="07D0B791" w14:textId="77777777" w:rsidR="008F451B" w:rsidRPr="00D915B9" w:rsidRDefault="008F451B" w:rsidP="00DA7ED2">
            <w:pPr>
              <w:rPr>
                <w:iCs/>
                <w:sz w:val="16"/>
                <w:szCs w:val="16"/>
              </w:rPr>
            </w:pPr>
            <w:r w:rsidRPr="00D915B9">
              <w:rPr>
                <w:b/>
                <w:iCs/>
                <w:sz w:val="16"/>
                <w:szCs w:val="16"/>
              </w:rPr>
              <w:t>Référence</w:t>
            </w:r>
            <w:r w:rsidRPr="00D915B9">
              <w:rPr>
                <w:iCs/>
                <w:sz w:val="16"/>
                <w:szCs w:val="16"/>
              </w:rPr>
              <w:t xml:space="preserve">: a1) 954.000 a2) 248.000 a3) 105.000; </w:t>
            </w:r>
          </w:p>
          <w:p w14:paraId="6D1EE13F" w14:textId="77777777" w:rsidR="008F451B" w:rsidRPr="00C72A3D" w:rsidRDefault="008F451B" w:rsidP="00DA7ED2">
            <w:pPr>
              <w:rPr>
                <w:iCs/>
                <w:sz w:val="16"/>
                <w:szCs w:val="16"/>
              </w:rPr>
            </w:pPr>
            <w:r w:rsidRPr="00C72A3D">
              <w:rPr>
                <w:iCs/>
                <w:sz w:val="16"/>
                <w:szCs w:val="16"/>
              </w:rPr>
              <w:t xml:space="preserve">                b1) </w:t>
            </w:r>
            <w:r w:rsidRPr="00C72A3D">
              <w:t xml:space="preserve"> </w:t>
            </w:r>
            <w:r w:rsidRPr="00C72A3D">
              <w:rPr>
                <w:iCs/>
                <w:sz w:val="16"/>
                <w:szCs w:val="16"/>
              </w:rPr>
              <w:t xml:space="preserve">à déterminer ; b2) </w:t>
            </w:r>
            <w:r w:rsidRPr="00C72A3D">
              <w:t xml:space="preserve"> </w:t>
            </w:r>
            <w:r w:rsidRPr="00C72A3D">
              <w:rPr>
                <w:iCs/>
                <w:sz w:val="16"/>
                <w:szCs w:val="16"/>
              </w:rPr>
              <w:t xml:space="preserve">à confirmer ; b3) </w:t>
            </w:r>
            <w:r w:rsidRPr="00C72A3D">
              <w:t xml:space="preserve"> </w:t>
            </w:r>
            <w:r w:rsidRPr="00C72A3D">
              <w:rPr>
                <w:iCs/>
                <w:sz w:val="16"/>
                <w:szCs w:val="16"/>
              </w:rPr>
              <w:t xml:space="preserve">à confirmer  </w:t>
            </w:r>
          </w:p>
          <w:p w14:paraId="54B40C7C" w14:textId="77777777" w:rsidR="008F451B" w:rsidRPr="00C72A3D" w:rsidRDefault="008F451B" w:rsidP="00DA7ED2">
            <w:pPr>
              <w:rPr>
                <w:iCs/>
                <w:sz w:val="16"/>
                <w:szCs w:val="16"/>
              </w:rPr>
            </w:pPr>
            <w:r w:rsidRPr="00C72A3D">
              <w:rPr>
                <w:b/>
                <w:iCs/>
                <w:sz w:val="16"/>
                <w:szCs w:val="16"/>
              </w:rPr>
              <w:t>Cible:</w:t>
            </w:r>
            <w:r w:rsidRPr="00C72A3D">
              <w:rPr>
                <w:iCs/>
                <w:sz w:val="16"/>
                <w:szCs w:val="16"/>
              </w:rPr>
              <w:t xml:space="preserve"> a1) 2.000.000 a2) 1.000.000 a3) à confirmer</w:t>
            </w:r>
          </w:p>
          <w:p w14:paraId="1A4FC425" w14:textId="77777777" w:rsidR="008F451B" w:rsidRPr="00C72A3D" w:rsidRDefault="008F451B" w:rsidP="00DA7ED2">
            <w:pPr>
              <w:rPr>
                <w:iCs/>
                <w:sz w:val="16"/>
                <w:szCs w:val="16"/>
              </w:rPr>
            </w:pPr>
            <w:r w:rsidRPr="00C72A3D">
              <w:rPr>
                <w:iCs/>
                <w:sz w:val="16"/>
                <w:szCs w:val="16"/>
              </w:rPr>
              <w:t xml:space="preserve">             b1) </w:t>
            </w:r>
            <w:r w:rsidRPr="00C72A3D">
              <w:t xml:space="preserve"> </w:t>
            </w:r>
            <w:r w:rsidRPr="00C72A3D">
              <w:rPr>
                <w:iCs/>
                <w:sz w:val="16"/>
                <w:szCs w:val="16"/>
              </w:rPr>
              <w:t xml:space="preserve">à déterminer ; b2) </w:t>
            </w:r>
            <w:r w:rsidRPr="00C72A3D">
              <w:t xml:space="preserve"> </w:t>
            </w:r>
            <w:r w:rsidRPr="00C72A3D">
              <w:rPr>
                <w:iCs/>
                <w:sz w:val="16"/>
                <w:szCs w:val="16"/>
              </w:rPr>
              <w:t xml:space="preserve">à déterminer ; b3) </w:t>
            </w:r>
            <w:r w:rsidRPr="00C72A3D">
              <w:t xml:space="preserve"> </w:t>
            </w:r>
            <w:r w:rsidRPr="00C72A3D">
              <w:rPr>
                <w:iCs/>
                <w:sz w:val="16"/>
                <w:szCs w:val="16"/>
              </w:rPr>
              <w:t>à déterminer</w:t>
            </w:r>
          </w:p>
          <w:p w14:paraId="012483C8" w14:textId="77777777" w:rsidR="008F451B" w:rsidRPr="00CF0601" w:rsidRDefault="008F451B" w:rsidP="00DA7ED2">
            <w:pPr>
              <w:rPr>
                <w:b/>
                <w:bCs/>
                <w:sz w:val="16"/>
                <w:szCs w:val="16"/>
              </w:rPr>
            </w:pPr>
            <w:r w:rsidRPr="00C72A3D">
              <w:rPr>
                <w:rStyle w:val="tlid-translation"/>
                <w:b/>
                <w:sz w:val="16"/>
                <w:szCs w:val="16"/>
              </w:rPr>
              <w:t>Source de données, Fréquence</w:t>
            </w:r>
            <w:r w:rsidRPr="00C72A3D">
              <w:rPr>
                <w:rStyle w:val="tlid-translation"/>
                <w:sz w:val="16"/>
                <w:szCs w:val="16"/>
              </w:rPr>
              <w:t>,</w:t>
            </w:r>
            <w:r w:rsidRPr="00C72A3D">
              <w:t xml:space="preserve"> </w:t>
            </w:r>
            <w:r w:rsidRPr="00C72A3D">
              <w:rPr>
                <w:rStyle w:val="tlid-translation"/>
                <w:sz w:val="16"/>
                <w:szCs w:val="16"/>
              </w:rPr>
              <w:t>Bureau du contrôle et de la</w:t>
            </w:r>
            <w:r w:rsidRPr="00C72A3D">
              <w:t xml:space="preserve"> </w:t>
            </w:r>
            <w:r w:rsidRPr="00C72A3D">
              <w:rPr>
                <w:rStyle w:val="tlid-translation"/>
                <w:sz w:val="16"/>
                <w:szCs w:val="16"/>
              </w:rPr>
              <w:t xml:space="preserve">Supervision des systèmes financiers décentralisés du Mali (CCS-SFD), Ministère de l'économie et des finances,  Ministère de la Jeunesses et des Femmes </w:t>
            </w:r>
          </w:p>
        </w:tc>
        <w:tc>
          <w:tcPr>
            <w:tcW w:w="676" w:type="pct"/>
            <w:vMerge w:val="restart"/>
            <w:tcBorders>
              <w:top w:val="single" w:sz="4" w:space="0" w:color="auto"/>
              <w:left w:val="single" w:sz="4" w:space="0" w:color="auto"/>
              <w:bottom w:val="single" w:sz="4" w:space="0" w:color="auto"/>
              <w:right w:val="single" w:sz="4" w:space="0" w:color="auto"/>
            </w:tcBorders>
          </w:tcPr>
          <w:p w14:paraId="54E9D497" w14:textId="4F33577C" w:rsidR="008F451B" w:rsidRPr="008F451B" w:rsidRDefault="008F451B" w:rsidP="00DA7ED2">
            <w:pPr>
              <w:rPr>
                <w:iCs/>
                <w:color w:val="000000"/>
                <w:sz w:val="16"/>
                <w:szCs w:val="16"/>
              </w:rPr>
            </w:pPr>
            <w:r w:rsidRPr="0093406F">
              <w:rPr>
                <w:iCs/>
                <w:color w:val="000000"/>
                <w:sz w:val="16"/>
                <w:szCs w:val="16"/>
              </w:rPr>
              <w:t>INSTAT, Ministères de l’</w:t>
            </w:r>
            <w:r>
              <w:rPr>
                <w:iCs/>
                <w:color w:val="000000"/>
                <w:sz w:val="16"/>
                <w:szCs w:val="16"/>
              </w:rPr>
              <w:t>E</w:t>
            </w:r>
            <w:r w:rsidRPr="0093406F">
              <w:rPr>
                <w:iCs/>
                <w:color w:val="000000"/>
                <w:sz w:val="16"/>
                <w:szCs w:val="16"/>
              </w:rPr>
              <w:t xml:space="preserve">conomie, </w:t>
            </w:r>
            <w:r>
              <w:rPr>
                <w:iCs/>
                <w:color w:val="000000"/>
                <w:sz w:val="16"/>
                <w:szCs w:val="16"/>
              </w:rPr>
              <w:t xml:space="preserve">des </w:t>
            </w:r>
            <w:r w:rsidRPr="0093406F">
              <w:rPr>
                <w:iCs/>
                <w:color w:val="000000"/>
                <w:sz w:val="16"/>
                <w:szCs w:val="16"/>
              </w:rPr>
              <w:t>Affaires</w:t>
            </w:r>
            <w:r>
              <w:rPr>
                <w:iCs/>
                <w:color w:val="000000"/>
                <w:sz w:val="16"/>
                <w:szCs w:val="16"/>
              </w:rPr>
              <w:t xml:space="preserve"> Etrangères</w:t>
            </w:r>
            <w:r w:rsidRPr="0093406F">
              <w:rPr>
                <w:iCs/>
                <w:color w:val="000000"/>
                <w:sz w:val="16"/>
                <w:szCs w:val="16"/>
              </w:rPr>
              <w:t>,</w:t>
            </w:r>
            <w:r>
              <w:rPr>
                <w:iCs/>
                <w:color w:val="000000"/>
                <w:sz w:val="16"/>
                <w:szCs w:val="16"/>
              </w:rPr>
              <w:t xml:space="preserve"> de l’</w:t>
            </w:r>
            <w:r w:rsidRPr="0093406F">
              <w:rPr>
                <w:iCs/>
                <w:color w:val="000000"/>
                <w:sz w:val="16"/>
                <w:szCs w:val="16"/>
              </w:rPr>
              <w:t>Environnement, PTF, Sociét</w:t>
            </w:r>
            <w:r>
              <w:rPr>
                <w:iCs/>
                <w:color w:val="000000"/>
                <w:sz w:val="16"/>
                <w:szCs w:val="16"/>
              </w:rPr>
              <w:t>é</w:t>
            </w:r>
            <w:r w:rsidRPr="0093406F">
              <w:rPr>
                <w:iCs/>
                <w:color w:val="000000"/>
                <w:sz w:val="16"/>
                <w:szCs w:val="16"/>
              </w:rPr>
              <w:t xml:space="preserve"> Civil</w:t>
            </w:r>
            <w:r>
              <w:rPr>
                <w:iCs/>
                <w:color w:val="000000"/>
                <w:sz w:val="16"/>
                <w:szCs w:val="16"/>
              </w:rPr>
              <w:t>e</w:t>
            </w:r>
          </w:p>
          <w:p w14:paraId="314D0A79" w14:textId="22D20EF3" w:rsidR="008F451B" w:rsidRDefault="008F451B" w:rsidP="00DA7ED2">
            <w:pPr>
              <w:rPr>
                <w:iCs/>
                <w:color w:val="000000"/>
                <w:sz w:val="16"/>
                <w:szCs w:val="16"/>
              </w:rPr>
            </w:pPr>
            <w:r w:rsidRPr="00776027">
              <w:rPr>
                <w:iCs/>
                <w:color w:val="000000"/>
                <w:sz w:val="16"/>
                <w:szCs w:val="16"/>
              </w:rPr>
              <w:t>Ministères de l’Economie,  de la D</w:t>
            </w:r>
            <w:r>
              <w:rPr>
                <w:iCs/>
                <w:color w:val="000000"/>
                <w:sz w:val="16"/>
                <w:szCs w:val="16"/>
              </w:rPr>
              <w:t>é</w:t>
            </w:r>
            <w:r w:rsidRPr="00776027">
              <w:rPr>
                <w:iCs/>
                <w:color w:val="000000"/>
                <w:sz w:val="16"/>
                <w:szCs w:val="16"/>
              </w:rPr>
              <w:t xml:space="preserve">centralisation, secteur </w:t>
            </w:r>
            <w:r>
              <w:rPr>
                <w:iCs/>
                <w:color w:val="000000"/>
                <w:sz w:val="16"/>
                <w:szCs w:val="16"/>
              </w:rPr>
              <w:t>p</w:t>
            </w:r>
            <w:r w:rsidRPr="00776027">
              <w:rPr>
                <w:iCs/>
                <w:color w:val="000000"/>
                <w:sz w:val="16"/>
                <w:szCs w:val="16"/>
              </w:rPr>
              <w:t>riv</w:t>
            </w:r>
            <w:r>
              <w:rPr>
                <w:iCs/>
                <w:color w:val="000000"/>
                <w:sz w:val="16"/>
                <w:szCs w:val="16"/>
              </w:rPr>
              <w:t>é</w:t>
            </w:r>
            <w:r w:rsidRPr="00776027">
              <w:rPr>
                <w:iCs/>
                <w:color w:val="000000"/>
                <w:sz w:val="16"/>
                <w:szCs w:val="16"/>
              </w:rPr>
              <w:t>, Soci</w:t>
            </w:r>
            <w:r>
              <w:rPr>
                <w:iCs/>
                <w:color w:val="000000"/>
                <w:sz w:val="16"/>
                <w:szCs w:val="16"/>
              </w:rPr>
              <w:t>é</w:t>
            </w:r>
            <w:r w:rsidRPr="00776027">
              <w:rPr>
                <w:iCs/>
                <w:color w:val="000000"/>
                <w:sz w:val="16"/>
                <w:szCs w:val="16"/>
              </w:rPr>
              <w:t>t</w:t>
            </w:r>
            <w:r>
              <w:rPr>
                <w:iCs/>
                <w:color w:val="000000"/>
                <w:sz w:val="16"/>
                <w:szCs w:val="16"/>
              </w:rPr>
              <w:t>é</w:t>
            </w:r>
            <w:r w:rsidRPr="00776027">
              <w:rPr>
                <w:iCs/>
                <w:color w:val="000000"/>
                <w:sz w:val="16"/>
                <w:szCs w:val="16"/>
              </w:rPr>
              <w:t xml:space="preserve"> </w:t>
            </w:r>
            <w:r>
              <w:rPr>
                <w:iCs/>
                <w:color w:val="000000"/>
                <w:sz w:val="16"/>
                <w:szCs w:val="16"/>
              </w:rPr>
              <w:t>c</w:t>
            </w:r>
            <w:r w:rsidRPr="00776027">
              <w:rPr>
                <w:iCs/>
                <w:color w:val="000000"/>
                <w:sz w:val="16"/>
                <w:szCs w:val="16"/>
              </w:rPr>
              <w:t>ivi</w:t>
            </w:r>
            <w:r>
              <w:rPr>
                <w:iCs/>
                <w:color w:val="000000"/>
                <w:sz w:val="16"/>
                <w:szCs w:val="16"/>
              </w:rPr>
              <w:t xml:space="preserve">le, </w:t>
            </w:r>
            <w:r w:rsidRPr="002C4FB5">
              <w:rPr>
                <w:iCs/>
                <w:color w:val="000000"/>
                <w:sz w:val="16"/>
                <w:szCs w:val="16"/>
              </w:rPr>
              <w:t>Patronat, Primature,</w:t>
            </w:r>
            <w:r>
              <w:rPr>
                <w:iCs/>
                <w:color w:val="000000"/>
                <w:sz w:val="16"/>
                <w:szCs w:val="16"/>
              </w:rPr>
              <w:t xml:space="preserve"> API</w:t>
            </w:r>
          </w:p>
          <w:p w14:paraId="7397A18A" w14:textId="77777777" w:rsidR="008F451B" w:rsidRPr="002C4FB5" w:rsidRDefault="008F451B" w:rsidP="00DA7ED2">
            <w:pPr>
              <w:rPr>
                <w:iCs/>
                <w:color w:val="000000"/>
                <w:sz w:val="16"/>
                <w:szCs w:val="16"/>
              </w:rPr>
            </w:pPr>
          </w:p>
          <w:p w14:paraId="1B1D2651" w14:textId="77777777" w:rsidR="008F451B" w:rsidRPr="002C4FB5" w:rsidRDefault="008F451B" w:rsidP="00DA7ED2">
            <w:pPr>
              <w:rPr>
                <w:i/>
                <w:iCs/>
                <w:color w:val="000000"/>
                <w:sz w:val="16"/>
                <w:szCs w:val="16"/>
              </w:rPr>
            </w:pPr>
          </w:p>
          <w:p w14:paraId="4853BC94" w14:textId="77777777" w:rsidR="008F451B" w:rsidRPr="002C4FB5" w:rsidRDefault="008F451B" w:rsidP="00DA7ED2">
            <w:pPr>
              <w:rPr>
                <w:i/>
                <w:iCs/>
                <w:color w:val="000000"/>
                <w:sz w:val="16"/>
                <w:szCs w:val="16"/>
              </w:rPr>
            </w:pPr>
          </w:p>
          <w:p w14:paraId="4F765AB9" w14:textId="77777777" w:rsidR="008F451B" w:rsidRPr="002C4FB5" w:rsidRDefault="008F451B" w:rsidP="00DA7ED2">
            <w:pPr>
              <w:rPr>
                <w:i/>
                <w:iCs/>
                <w:color w:val="000000"/>
                <w:sz w:val="16"/>
                <w:szCs w:val="16"/>
              </w:rPr>
            </w:pPr>
          </w:p>
          <w:p w14:paraId="0A8346B3" w14:textId="77777777" w:rsidR="008F451B" w:rsidRPr="002C4FB5" w:rsidRDefault="008F451B" w:rsidP="00DA7ED2">
            <w:pPr>
              <w:rPr>
                <w:i/>
                <w:iCs/>
                <w:color w:val="000000"/>
                <w:sz w:val="16"/>
                <w:szCs w:val="16"/>
              </w:rPr>
            </w:pPr>
          </w:p>
          <w:p w14:paraId="693BEC2F" w14:textId="77777777" w:rsidR="008F451B" w:rsidRPr="002C4FB5" w:rsidRDefault="008F451B" w:rsidP="00DA7ED2">
            <w:pPr>
              <w:rPr>
                <w:i/>
                <w:iCs/>
                <w:color w:val="000000"/>
                <w:sz w:val="16"/>
                <w:szCs w:val="16"/>
              </w:rPr>
            </w:pPr>
          </w:p>
          <w:p w14:paraId="3AE0B8E4" w14:textId="77777777" w:rsidR="008F451B" w:rsidRPr="002C4FB5" w:rsidRDefault="008F451B" w:rsidP="00DA7ED2">
            <w:pPr>
              <w:rPr>
                <w:i/>
                <w:iCs/>
                <w:color w:val="000000"/>
                <w:sz w:val="16"/>
                <w:szCs w:val="16"/>
              </w:rPr>
            </w:pPr>
          </w:p>
          <w:p w14:paraId="5A21D94B" w14:textId="77777777" w:rsidR="008F451B" w:rsidRPr="002C4FB5" w:rsidRDefault="008F451B" w:rsidP="00DA7ED2">
            <w:pPr>
              <w:rPr>
                <w:i/>
                <w:iCs/>
                <w:color w:val="000000"/>
                <w:sz w:val="16"/>
                <w:szCs w:val="16"/>
              </w:rPr>
            </w:pPr>
          </w:p>
          <w:p w14:paraId="5F9A039C" w14:textId="77777777" w:rsidR="008F451B" w:rsidRPr="002C4FB5" w:rsidRDefault="008F451B" w:rsidP="00DA7ED2">
            <w:pPr>
              <w:rPr>
                <w:i/>
                <w:iCs/>
                <w:color w:val="000000"/>
                <w:sz w:val="16"/>
                <w:szCs w:val="16"/>
              </w:rPr>
            </w:pPr>
          </w:p>
          <w:p w14:paraId="3289710F" w14:textId="77777777" w:rsidR="008F451B" w:rsidRPr="002C4FB5" w:rsidRDefault="008F451B" w:rsidP="00DA7ED2">
            <w:pPr>
              <w:rPr>
                <w:i/>
                <w:iCs/>
                <w:color w:val="000000"/>
                <w:sz w:val="16"/>
                <w:szCs w:val="16"/>
              </w:rPr>
            </w:pPr>
          </w:p>
          <w:p w14:paraId="5DC309D0" w14:textId="77777777" w:rsidR="008F451B" w:rsidRPr="002C4FB5" w:rsidRDefault="008F451B" w:rsidP="00DA7ED2">
            <w:pPr>
              <w:rPr>
                <w:i/>
                <w:iCs/>
                <w:color w:val="000000"/>
                <w:sz w:val="16"/>
                <w:szCs w:val="16"/>
              </w:rPr>
            </w:pPr>
          </w:p>
          <w:p w14:paraId="1E5C67B3" w14:textId="77777777" w:rsidR="008F451B" w:rsidRPr="002C4FB5" w:rsidRDefault="008F451B" w:rsidP="00DA7ED2">
            <w:pPr>
              <w:rPr>
                <w:i/>
                <w:iCs/>
                <w:color w:val="000000"/>
                <w:sz w:val="16"/>
                <w:szCs w:val="16"/>
              </w:rPr>
            </w:pPr>
          </w:p>
          <w:p w14:paraId="5A031086" w14:textId="77777777" w:rsidR="008F451B" w:rsidRPr="002C4FB5" w:rsidRDefault="008F451B" w:rsidP="00DA7ED2">
            <w:pPr>
              <w:rPr>
                <w:i/>
                <w:iCs/>
                <w:color w:val="000000"/>
                <w:sz w:val="16"/>
                <w:szCs w:val="16"/>
              </w:rPr>
            </w:pPr>
          </w:p>
          <w:p w14:paraId="429DBDFF" w14:textId="77777777" w:rsidR="008F451B" w:rsidRPr="002C4FB5" w:rsidRDefault="008F451B" w:rsidP="00DA7ED2">
            <w:pPr>
              <w:rPr>
                <w:i/>
                <w:iCs/>
                <w:color w:val="000000"/>
                <w:sz w:val="16"/>
                <w:szCs w:val="16"/>
              </w:rPr>
            </w:pPr>
          </w:p>
          <w:p w14:paraId="388EA6E5" w14:textId="77777777" w:rsidR="008F451B" w:rsidRPr="002C4FB5" w:rsidRDefault="008F451B" w:rsidP="00DA7ED2">
            <w:pPr>
              <w:rPr>
                <w:i/>
                <w:iCs/>
                <w:color w:val="000000"/>
                <w:sz w:val="16"/>
                <w:szCs w:val="16"/>
              </w:rPr>
            </w:pPr>
          </w:p>
          <w:p w14:paraId="53A56F10" w14:textId="77777777" w:rsidR="008F451B" w:rsidRPr="002C4FB5" w:rsidRDefault="008F451B" w:rsidP="00DA7ED2">
            <w:pPr>
              <w:rPr>
                <w:i/>
                <w:iCs/>
                <w:color w:val="000000"/>
                <w:sz w:val="16"/>
                <w:szCs w:val="16"/>
              </w:rPr>
            </w:pPr>
          </w:p>
        </w:tc>
        <w:tc>
          <w:tcPr>
            <w:tcW w:w="958"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29E92DCA" w14:textId="77777777" w:rsidR="008F451B" w:rsidRPr="003C26C1" w:rsidRDefault="008F451B" w:rsidP="00DA7ED2">
            <w:pPr>
              <w:rPr>
                <w:b/>
                <w:color w:val="000000"/>
                <w:sz w:val="16"/>
                <w:szCs w:val="16"/>
              </w:rPr>
            </w:pPr>
            <w:r>
              <w:rPr>
                <w:b/>
                <w:color w:val="000000"/>
                <w:sz w:val="16"/>
                <w:szCs w:val="16"/>
              </w:rPr>
              <w:t>Régulier: 3 830 384</w:t>
            </w:r>
          </w:p>
        </w:tc>
      </w:tr>
      <w:tr w:rsidR="008F451B" w:rsidRPr="00B17BE1" w14:paraId="04690384" w14:textId="77777777" w:rsidTr="00DA7ED2">
        <w:trPr>
          <w:trHeight w:val="461"/>
        </w:trPr>
        <w:tc>
          <w:tcPr>
            <w:tcW w:w="82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00BE1EDC" w14:textId="77777777" w:rsidR="008F451B" w:rsidRPr="003C26C1" w:rsidRDefault="008F451B" w:rsidP="00DA7ED2">
            <w:pPr>
              <w:rPr>
                <w:i/>
                <w:iCs/>
                <w:color w:val="000000"/>
                <w:sz w:val="16"/>
                <w:szCs w:val="16"/>
                <w:lang w:val="en-GB"/>
              </w:rPr>
            </w:pPr>
          </w:p>
        </w:tc>
        <w:tc>
          <w:tcPr>
            <w:tcW w:w="720" w:type="pct"/>
            <w:vMerge/>
            <w:tcBorders>
              <w:top w:val="single" w:sz="4" w:space="0" w:color="auto"/>
              <w:bottom w:val="single" w:sz="4" w:space="0" w:color="auto"/>
              <w:right w:val="single" w:sz="4" w:space="0" w:color="auto"/>
            </w:tcBorders>
          </w:tcPr>
          <w:p w14:paraId="18B28590" w14:textId="77777777" w:rsidR="008F451B" w:rsidRPr="003C26C1" w:rsidRDefault="008F451B" w:rsidP="00DA7ED2">
            <w:pPr>
              <w:rPr>
                <w:i/>
                <w:iCs/>
                <w:color w:val="000000"/>
                <w:sz w:val="16"/>
                <w:szCs w:val="16"/>
                <w:lang w:val="en-GB"/>
              </w:rPr>
            </w:pPr>
          </w:p>
        </w:tc>
        <w:tc>
          <w:tcPr>
            <w:tcW w:w="181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3BA9C2A" w14:textId="77777777" w:rsidR="008F451B" w:rsidRPr="003C26C1" w:rsidRDefault="008F451B" w:rsidP="00DA7ED2">
            <w:pPr>
              <w:rPr>
                <w:i/>
                <w:iCs/>
                <w:color w:val="000000"/>
                <w:sz w:val="16"/>
                <w:szCs w:val="16"/>
                <w:lang w:val="en-GB"/>
              </w:rPr>
            </w:pPr>
          </w:p>
        </w:tc>
        <w:tc>
          <w:tcPr>
            <w:tcW w:w="676" w:type="pct"/>
            <w:vMerge/>
            <w:tcBorders>
              <w:top w:val="single" w:sz="4" w:space="0" w:color="auto"/>
              <w:left w:val="single" w:sz="4" w:space="0" w:color="auto"/>
              <w:bottom w:val="nil"/>
              <w:right w:val="single" w:sz="4" w:space="0" w:color="auto"/>
            </w:tcBorders>
          </w:tcPr>
          <w:p w14:paraId="7905B4BC" w14:textId="77777777" w:rsidR="008F451B" w:rsidRPr="003C26C1" w:rsidRDefault="008F451B" w:rsidP="00DA7ED2">
            <w:pPr>
              <w:rPr>
                <w:i/>
                <w:iCs/>
                <w:color w:val="000000"/>
                <w:sz w:val="16"/>
                <w:szCs w:val="16"/>
                <w:lang w:val="en-GB"/>
              </w:rPr>
            </w:pPr>
          </w:p>
        </w:tc>
        <w:tc>
          <w:tcPr>
            <w:tcW w:w="958" w:type="pct"/>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AF37EB4" w14:textId="77777777" w:rsidR="008F451B" w:rsidRPr="00B17BE1" w:rsidRDefault="008F451B" w:rsidP="00DA7ED2">
            <w:pPr>
              <w:rPr>
                <w:b/>
                <w:color w:val="000000"/>
                <w:sz w:val="16"/>
                <w:szCs w:val="16"/>
              </w:rPr>
            </w:pPr>
            <w:r w:rsidRPr="00B17BE1">
              <w:rPr>
                <w:b/>
                <w:color w:val="000000"/>
                <w:sz w:val="16"/>
                <w:szCs w:val="16"/>
              </w:rPr>
              <w:t>Autre:   5 720 029</w:t>
            </w:r>
          </w:p>
          <w:p w14:paraId="1A509EED" w14:textId="77777777" w:rsidR="008F451B" w:rsidRPr="00B17BE1" w:rsidRDefault="008F451B" w:rsidP="00DA7ED2">
            <w:pPr>
              <w:rPr>
                <w:b/>
                <w:color w:val="000000"/>
                <w:sz w:val="16"/>
                <w:szCs w:val="16"/>
              </w:rPr>
            </w:pPr>
          </w:p>
          <w:p w14:paraId="21EDB45B" w14:textId="77777777" w:rsidR="008F451B" w:rsidRPr="00B17BE1" w:rsidRDefault="008F451B" w:rsidP="00DA7ED2">
            <w:pPr>
              <w:rPr>
                <w:b/>
                <w:color w:val="000000"/>
                <w:sz w:val="16"/>
                <w:szCs w:val="16"/>
              </w:rPr>
            </w:pPr>
          </w:p>
          <w:p w14:paraId="372CBAC3" w14:textId="77777777" w:rsidR="008F451B" w:rsidRPr="00B17BE1" w:rsidRDefault="008F451B" w:rsidP="00DA7ED2">
            <w:pPr>
              <w:rPr>
                <w:b/>
                <w:color w:val="000000"/>
                <w:sz w:val="16"/>
                <w:szCs w:val="16"/>
              </w:rPr>
            </w:pPr>
          </w:p>
          <w:p w14:paraId="4A058B0E" w14:textId="77777777" w:rsidR="008F451B" w:rsidRPr="00B17BE1" w:rsidRDefault="008F451B" w:rsidP="00DA7ED2">
            <w:pPr>
              <w:rPr>
                <w:b/>
                <w:color w:val="000000"/>
                <w:sz w:val="16"/>
                <w:szCs w:val="16"/>
              </w:rPr>
            </w:pPr>
          </w:p>
          <w:p w14:paraId="209EBDD8" w14:textId="77777777" w:rsidR="008F451B" w:rsidRDefault="008F451B" w:rsidP="00DA7ED2">
            <w:pPr>
              <w:rPr>
                <w:b/>
                <w:color w:val="000000"/>
                <w:sz w:val="16"/>
                <w:szCs w:val="16"/>
              </w:rPr>
            </w:pPr>
          </w:p>
          <w:p w14:paraId="01606C9E" w14:textId="77777777" w:rsidR="008F451B" w:rsidRDefault="008F451B" w:rsidP="00DA7ED2">
            <w:pPr>
              <w:rPr>
                <w:b/>
                <w:color w:val="000000"/>
                <w:sz w:val="16"/>
                <w:szCs w:val="16"/>
              </w:rPr>
            </w:pPr>
          </w:p>
          <w:p w14:paraId="361BCECA" w14:textId="77777777" w:rsidR="008F451B" w:rsidRDefault="008F451B" w:rsidP="00DA7ED2">
            <w:pPr>
              <w:rPr>
                <w:b/>
                <w:color w:val="000000"/>
                <w:sz w:val="16"/>
                <w:szCs w:val="16"/>
              </w:rPr>
            </w:pPr>
          </w:p>
          <w:p w14:paraId="15B19878" w14:textId="77777777" w:rsidR="008F451B" w:rsidRDefault="008F451B" w:rsidP="00DA7ED2">
            <w:pPr>
              <w:rPr>
                <w:b/>
                <w:color w:val="000000"/>
                <w:sz w:val="16"/>
                <w:szCs w:val="16"/>
              </w:rPr>
            </w:pPr>
          </w:p>
          <w:p w14:paraId="104D756C" w14:textId="77777777" w:rsidR="008F451B" w:rsidRDefault="008F451B" w:rsidP="00DA7ED2">
            <w:pPr>
              <w:rPr>
                <w:b/>
                <w:color w:val="000000"/>
                <w:sz w:val="16"/>
                <w:szCs w:val="16"/>
              </w:rPr>
            </w:pPr>
          </w:p>
          <w:p w14:paraId="6248684E" w14:textId="5932E379" w:rsidR="008F451B" w:rsidRPr="00B17BE1" w:rsidRDefault="008F451B" w:rsidP="00DA7ED2">
            <w:pPr>
              <w:rPr>
                <w:b/>
                <w:color w:val="000000"/>
                <w:sz w:val="16"/>
                <w:szCs w:val="16"/>
              </w:rPr>
            </w:pPr>
            <w:r w:rsidRPr="00B17BE1">
              <w:rPr>
                <w:b/>
                <w:color w:val="000000"/>
                <w:sz w:val="16"/>
                <w:szCs w:val="16"/>
              </w:rPr>
              <w:t>Régulier: 3 491 153</w:t>
            </w:r>
          </w:p>
          <w:p w14:paraId="0ED65F5E" w14:textId="77777777" w:rsidR="008F451B" w:rsidRPr="00B17BE1" w:rsidRDefault="008F451B" w:rsidP="00DA7ED2">
            <w:pPr>
              <w:rPr>
                <w:b/>
                <w:color w:val="000000"/>
                <w:sz w:val="16"/>
                <w:szCs w:val="16"/>
              </w:rPr>
            </w:pPr>
            <w:r w:rsidRPr="00B17BE1">
              <w:rPr>
                <w:b/>
                <w:color w:val="000000"/>
                <w:sz w:val="16"/>
                <w:szCs w:val="16"/>
              </w:rPr>
              <w:t>Autre: 11 440 057</w:t>
            </w:r>
          </w:p>
          <w:p w14:paraId="51154342" w14:textId="77777777" w:rsidR="008F451B" w:rsidRPr="00B17BE1" w:rsidRDefault="008F451B" w:rsidP="00DA7ED2">
            <w:pPr>
              <w:rPr>
                <w:b/>
                <w:color w:val="000000"/>
                <w:sz w:val="16"/>
                <w:szCs w:val="16"/>
              </w:rPr>
            </w:pPr>
          </w:p>
          <w:p w14:paraId="37C217F7" w14:textId="77777777" w:rsidR="008F451B" w:rsidRPr="00B17BE1" w:rsidRDefault="008F451B" w:rsidP="00DA7ED2">
            <w:pPr>
              <w:rPr>
                <w:b/>
                <w:color w:val="000000"/>
                <w:sz w:val="16"/>
                <w:szCs w:val="16"/>
              </w:rPr>
            </w:pPr>
          </w:p>
          <w:p w14:paraId="2C1E222B" w14:textId="77777777" w:rsidR="008F451B" w:rsidRPr="00B17BE1" w:rsidRDefault="008F451B" w:rsidP="00DA7ED2">
            <w:pPr>
              <w:rPr>
                <w:b/>
                <w:color w:val="000000"/>
                <w:sz w:val="16"/>
                <w:szCs w:val="16"/>
              </w:rPr>
            </w:pPr>
          </w:p>
          <w:p w14:paraId="1B119162" w14:textId="77777777" w:rsidR="008F451B" w:rsidRPr="00B17BE1" w:rsidRDefault="008F451B" w:rsidP="00DA7ED2">
            <w:pPr>
              <w:rPr>
                <w:b/>
                <w:color w:val="000000"/>
                <w:sz w:val="16"/>
                <w:szCs w:val="16"/>
              </w:rPr>
            </w:pPr>
          </w:p>
          <w:p w14:paraId="0C031434" w14:textId="77777777" w:rsidR="008F451B" w:rsidRPr="00B17BE1" w:rsidRDefault="008F451B" w:rsidP="00DA7ED2">
            <w:pPr>
              <w:rPr>
                <w:b/>
                <w:color w:val="000000"/>
                <w:sz w:val="16"/>
                <w:szCs w:val="16"/>
              </w:rPr>
            </w:pPr>
          </w:p>
          <w:p w14:paraId="760FFE60" w14:textId="77777777" w:rsidR="008F451B" w:rsidRPr="00B17BE1" w:rsidRDefault="008F451B" w:rsidP="00DA7ED2">
            <w:pPr>
              <w:rPr>
                <w:b/>
                <w:color w:val="000000"/>
                <w:sz w:val="16"/>
                <w:szCs w:val="16"/>
              </w:rPr>
            </w:pPr>
          </w:p>
          <w:p w14:paraId="05A14ED9" w14:textId="77777777" w:rsidR="008F451B" w:rsidRPr="00B17BE1" w:rsidRDefault="008F451B" w:rsidP="00DA7ED2">
            <w:pPr>
              <w:rPr>
                <w:b/>
                <w:color w:val="000000"/>
                <w:sz w:val="16"/>
                <w:szCs w:val="16"/>
              </w:rPr>
            </w:pPr>
            <w:r w:rsidRPr="00B17BE1">
              <w:rPr>
                <w:b/>
                <w:color w:val="000000"/>
                <w:sz w:val="16"/>
                <w:szCs w:val="16"/>
              </w:rPr>
              <w:t>Régulier: 4 660 769</w:t>
            </w:r>
          </w:p>
          <w:p w14:paraId="185A8671" w14:textId="77777777" w:rsidR="008F451B" w:rsidRPr="00B17BE1" w:rsidRDefault="008F451B" w:rsidP="00DA7ED2">
            <w:pPr>
              <w:rPr>
                <w:b/>
                <w:color w:val="000000"/>
                <w:sz w:val="16"/>
                <w:szCs w:val="16"/>
              </w:rPr>
            </w:pPr>
            <w:r w:rsidRPr="00B17BE1">
              <w:rPr>
                <w:b/>
                <w:color w:val="000000"/>
                <w:sz w:val="16"/>
                <w:szCs w:val="16"/>
              </w:rPr>
              <w:t>Autre: 13 293 371</w:t>
            </w:r>
          </w:p>
          <w:p w14:paraId="63E46BF3" w14:textId="77777777" w:rsidR="008F451B" w:rsidRPr="00B17BE1" w:rsidRDefault="008F451B" w:rsidP="00DA7ED2">
            <w:pPr>
              <w:rPr>
                <w:b/>
                <w:color w:val="000000"/>
                <w:sz w:val="16"/>
                <w:szCs w:val="16"/>
              </w:rPr>
            </w:pPr>
          </w:p>
          <w:p w14:paraId="4D0E2D62" w14:textId="77777777" w:rsidR="008F451B" w:rsidRPr="00B17BE1" w:rsidRDefault="008F451B" w:rsidP="00DA7ED2">
            <w:pPr>
              <w:rPr>
                <w:b/>
                <w:color w:val="000000"/>
                <w:sz w:val="16"/>
                <w:szCs w:val="16"/>
              </w:rPr>
            </w:pPr>
          </w:p>
          <w:p w14:paraId="33EFD5DB" w14:textId="77777777" w:rsidR="008F451B" w:rsidRPr="00B17BE1" w:rsidRDefault="008F451B" w:rsidP="00DA7ED2">
            <w:pPr>
              <w:rPr>
                <w:b/>
                <w:color w:val="000000"/>
                <w:sz w:val="16"/>
                <w:szCs w:val="16"/>
              </w:rPr>
            </w:pPr>
          </w:p>
          <w:p w14:paraId="12EBF074" w14:textId="77777777" w:rsidR="008F451B" w:rsidRPr="00B17BE1" w:rsidRDefault="008F451B" w:rsidP="00DA7ED2">
            <w:pPr>
              <w:rPr>
                <w:b/>
                <w:color w:val="000000"/>
                <w:sz w:val="16"/>
                <w:szCs w:val="16"/>
              </w:rPr>
            </w:pPr>
          </w:p>
          <w:p w14:paraId="007446F8" w14:textId="77777777" w:rsidR="008F451B" w:rsidRPr="00B17BE1" w:rsidRDefault="008F451B" w:rsidP="00DA7ED2">
            <w:pPr>
              <w:rPr>
                <w:b/>
                <w:color w:val="000000"/>
                <w:sz w:val="16"/>
                <w:szCs w:val="16"/>
              </w:rPr>
            </w:pPr>
          </w:p>
          <w:p w14:paraId="07D34DBF" w14:textId="77777777" w:rsidR="008F451B" w:rsidRPr="00B17BE1" w:rsidRDefault="008F451B" w:rsidP="00DA7ED2">
            <w:pPr>
              <w:rPr>
                <w:b/>
                <w:color w:val="000000"/>
                <w:sz w:val="16"/>
                <w:szCs w:val="16"/>
              </w:rPr>
            </w:pPr>
          </w:p>
          <w:p w14:paraId="505A4DF6" w14:textId="77777777" w:rsidR="008F451B" w:rsidRPr="00B17BE1" w:rsidRDefault="008F451B" w:rsidP="00DA7ED2">
            <w:pPr>
              <w:rPr>
                <w:b/>
                <w:color w:val="000000"/>
                <w:sz w:val="16"/>
                <w:szCs w:val="16"/>
              </w:rPr>
            </w:pPr>
          </w:p>
          <w:p w14:paraId="336DB6D7" w14:textId="77777777" w:rsidR="008F451B" w:rsidRPr="00B17BE1" w:rsidRDefault="008F451B" w:rsidP="00DA7ED2">
            <w:pPr>
              <w:rPr>
                <w:b/>
                <w:color w:val="000000"/>
                <w:sz w:val="16"/>
                <w:szCs w:val="16"/>
              </w:rPr>
            </w:pPr>
          </w:p>
          <w:p w14:paraId="130C1772" w14:textId="77777777" w:rsidR="008F451B" w:rsidRPr="00B17BE1" w:rsidRDefault="008F451B" w:rsidP="00DA7ED2">
            <w:pPr>
              <w:rPr>
                <w:b/>
                <w:color w:val="000000"/>
                <w:sz w:val="16"/>
                <w:szCs w:val="16"/>
              </w:rPr>
            </w:pPr>
          </w:p>
          <w:p w14:paraId="51EC32E0" w14:textId="77777777" w:rsidR="008F451B" w:rsidRPr="00B17BE1" w:rsidRDefault="008F451B" w:rsidP="00DA7ED2">
            <w:pPr>
              <w:rPr>
                <w:b/>
                <w:color w:val="000000"/>
                <w:sz w:val="16"/>
                <w:szCs w:val="16"/>
              </w:rPr>
            </w:pPr>
          </w:p>
          <w:p w14:paraId="6D6899A2" w14:textId="77777777" w:rsidR="008F451B" w:rsidRPr="00B17BE1" w:rsidRDefault="008F451B" w:rsidP="00DA7ED2">
            <w:pPr>
              <w:rPr>
                <w:b/>
                <w:color w:val="000000"/>
                <w:sz w:val="16"/>
                <w:szCs w:val="16"/>
              </w:rPr>
            </w:pPr>
          </w:p>
          <w:p w14:paraId="60DAC905" w14:textId="77777777" w:rsidR="008F451B" w:rsidRPr="00B17BE1" w:rsidRDefault="008F451B" w:rsidP="00DA7ED2">
            <w:pPr>
              <w:rPr>
                <w:b/>
                <w:color w:val="000000"/>
                <w:sz w:val="16"/>
                <w:szCs w:val="16"/>
              </w:rPr>
            </w:pPr>
          </w:p>
          <w:p w14:paraId="0A02389C" w14:textId="77777777" w:rsidR="008F451B" w:rsidRPr="001C75AB" w:rsidRDefault="008F451B" w:rsidP="00DA7ED2">
            <w:pPr>
              <w:rPr>
                <w:b/>
                <w:color w:val="000000"/>
                <w:sz w:val="16"/>
                <w:szCs w:val="16"/>
              </w:rPr>
            </w:pPr>
            <w:r>
              <w:rPr>
                <w:b/>
                <w:color w:val="000000"/>
                <w:sz w:val="16"/>
                <w:szCs w:val="16"/>
              </w:rPr>
              <w:t>Régulier</w:t>
            </w:r>
            <w:r w:rsidRPr="001C75AB">
              <w:rPr>
                <w:b/>
                <w:color w:val="000000"/>
                <w:sz w:val="16"/>
                <w:szCs w:val="16"/>
              </w:rPr>
              <w:t xml:space="preserve">: </w:t>
            </w:r>
            <w:r>
              <w:rPr>
                <w:b/>
                <w:color w:val="000000"/>
                <w:sz w:val="16"/>
                <w:szCs w:val="16"/>
              </w:rPr>
              <w:t>6 011 538</w:t>
            </w:r>
          </w:p>
          <w:p w14:paraId="12427691" w14:textId="77777777" w:rsidR="008F451B" w:rsidRPr="00B17BE1" w:rsidRDefault="008F451B" w:rsidP="00DA7ED2">
            <w:pPr>
              <w:rPr>
                <w:b/>
                <w:color w:val="000000"/>
                <w:sz w:val="16"/>
                <w:szCs w:val="16"/>
              </w:rPr>
            </w:pPr>
            <w:r>
              <w:rPr>
                <w:b/>
                <w:color w:val="000000"/>
                <w:sz w:val="16"/>
                <w:szCs w:val="16"/>
              </w:rPr>
              <w:t xml:space="preserve">Autre : </w:t>
            </w:r>
            <w:r w:rsidRPr="00B17BE1">
              <w:rPr>
                <w:b/>
                <w:color w:val="000000"/>
                <w:sz w:val="16"/>
                <w:szCs w:val="16"/>
              </w:rPr>
              <w:t>25 013 400</w:t>
            </w:r>
          </w:p>
          <w:p w14:paraId="1ACB4D81" w14:textId="77777777" w:rsidR="008F451B" w:rsidRPr="00B17BE1" w:rsidRDefault="008F451B" w:rsidP="00DA7ED2">
            <w:pPr>
              <w:rPr>
                <w:b/>
                <w:color w:val="000000"/>
                <w:sz w:val="16"/>
                <w:szCs w:val="16"/>
              </w:rPr>
            </w:pPr>
          </w:p>
        </w:tc>
      </w:tr>
      <w:tr w:rsidR="008F451B" w:rsidRPr="007C2D1C" w14:paraId="6629BA81" w14:textId="77777777" w:rsidTr="00DA7ED2">
        <w:trPr>
          <w:trHeight w:val="461"/>
        </w:trPr>
        <w:tc>
          <w:tcPr>
            <w:tcW w:w="829"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BB89487" w14:textId="77777777" w:rsidR="008F451B" w:rsidRPr="00B17BE1" w:rsidRDefault="008F451B" w:rsidP="00DA7ED2">
            <w:pPr>
              <w:rPr>
                <w:i/>
                <w:iCs/>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tcPr>
          <w:p w14:paraId="0326D404" w14:textId="77777777" w:rsidR="008F451B" w:rsidRPr="00B17BE1" w:rsidRDefault="008F451B" w:rsidP="00DA7ED2">
            <w:pPr>
              <w:rPr>
                <w:i/>
                <w:iCs/>
                <w:color w:val="000000"/>
                <w:sz w:val="16"/>
                <w:szCs w:val="16"/>
              </w:rPr>
            </w:pPr>
          </w:p>
        </w:tc>
        <w:tc>
          <w:tcPr>
            <w:tcW w:w="181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3A0502F" w14:textId="77777777" w:rsidR="008F451B" w:rsidRPr="00B17BE1" w:rsidRDefault="008F451B" w:rsidP="00DA7ED2">
            <w:pPr>
              <w:rPr>
                <w:iCs/>
                <w:sz w:val="16"/>
                <w:szCs w:val="16"/>
              </w:rPr>
            </w:pPr>
          </w:p>
        </w:tc>
        <w:tc>
          <w:tcPr>
            <w:tcW w:w="676" w:type="pct"/>
            <w:tcBorders>
              <w:top w:val="nil"/>
              <w:left w:val="single" w:sz="4" w:space="0" w:color="auto"/>
              <w:bottom w:val="single" w:sz="4" w:space="0" w:color="auto"/>
              <w:right w:val="single" w:sz="4" w:space="0" w:color="auto"/>
            </w:tcBorders>
          </w:tcPr>
          <w:p w14:paraId="3830CD6E" w14:textId="77777777" w:rsidR="008F451B" w:rsidRPr="00776027" w:rsidRDefault="008F451B" w:rsidP="00DA7ED2">
            <w:pPr>
              <w:rPr>
                <w:iCs/>
                <w:color w:val="000000"/>
                <w:sz w:val="16"/>
                <w:szCs w:val="16"/>
              </w:rPr>
            </w:pPr>
            <w:r w:rsidRPr="00776027">
              <w:rPr>
                <w:iCs/>
                <w:color w:val="000000"/>
                <w:sz w:val="16"/>
                <w:szCs w:val="16"/>
              </w:rPr>
              <w:t>Ministères de la Jeunes</w:t>
            </w:r>
            <w:r>
              <w:rPr>
                <w:iCs/>
                <w:color w:val="000000"/>
                <w:sz w:val="16"/>
                <w:szCs w:val="16"/>
              </w:rPr>
              <w:t>se</w:t>
            </w:r>
            <w:r w:rsidRPr="00776027">
              <w:rPr>
                <w:iCs/>
                <w:color w:val="000000"/>
                <w:sz w:val="16"/>
                <w:szCs w:val="16"/>
              </w:rPr>
              <w:t xml:space="preserve"> </w:t>
            </w:r>
            <w:r>
              <w:rPr>
                <w:iCs/>
                <w:color w:val="000000"/>
                <w:sz w:val="16"/>
                <w:szCs w:val="16"/>
              </w:rPr>
              <w:t>et de la</w:t>
            </w:r>
            <w:r w:rsidRPr="00776027">
              <w:rPr>
                <w:iCs/>
                <w:color w:val="000000"/>
                <w:sz w:val="16"/>
                <w:szCs w:val="16"/>
              </w:rPr>
              <w:t xml:space="preserve"> </w:t>
            </w:r>
            <w:r>
              <w:rPr>
                <w:iCs/>
                <w:color w:val="000000"/>
                <w:sz w:val="16"/>
                <w:szCs w:val="16"/>
              </w:rPr>
              <w:t>Femme</w:t>
            </w:r>
            <w:r w:rsidRPr="00776027">
              <w:rPr>
                <w:iCs/>
                <w:color w:val="000000"/>
                <w:sz w:val="16"/>
                <w:szCs w:val="16"/>
              </w:rPr>
              <w:t>, Affaires Social</w:t>
            </w:r>
            <w:r>
              <w:rPr>
                <w:iCs/>
                <w:color w:val="000000"/>
                <w:sz w:val="16"/>
                <w:szCs w:val="16"/>
              </w:rPr>
              <w:t>es</w:t>
            </w:r>
            <w:r w:rsidRPr="00776027">
              <w:rPr>
                <w:iCs/>
                <w:color w:val="000000"/>
                <w:sz w:val="16"/>
                <w:szCs w:val="16"/>
              </w:rPr>
              <w:t>, Economie, Patronat</w:t>
            </w:r>
          </w:p>
        </w:tc>
        <w:tc>
          <w:tcPr>
            <w:tcW w:w="958" w:type="pct"/>
            <w:vMerge/>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4345C1D4" w14:textId="77777777" w:rsidR="008F451B" w:rsidRPr="00776027" w:rsidRDefault="008F451B" w:rsidP="00DA7ED2">
            <w:pPr>
              <w:rPr>
                <w:b/>
                <w:color w:val="000000"/>
                <w:sz w:val="16"/>
                <w:szCs w:val="16"/>
              </w:rPr>
            </w:pPr>
          </w:p>
        </w:tc>
      </w:tr>
      <w:bookmarkEnd w:id="2"/>
      <w:tr w:rsidR="008F451B" w:rsidRPr="003C26C1" w14:paraId="4DE45B3A" w14:textId="77777777" w:rsidTr="00DA7ED2">
        <w:trPr>
          <w:trHeight w:val="233"/>
        </w:trPr>
        <w:tc>
          <w:tcPr>
            <w:tcW w:w="4042" w:type="pct"/>
            <w:gridSpan w:val="4"/>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69E4D48E" w14:textId="77777777" w:rsidR="008F451B" w:rsidRPr="00802CEE" w:rsidRDefault="008F451B" w:rsidP="00DA7ED2">
            <w:pPr>
              <w:jc w:val="right"/>
              <w:rPr>
                <w:b/>
                <w:i/>
                <w:iCs/>
                <w:color w:val="000000"/>
                <w:sz w:val="16"/>
                <w:szCs w:val="16"/>
                <w:lang w:val="en-GB"/>
              </w:rPr>
            </w:pPr>
            <w:r>
              <w:rPr>
                <w:b/>
                <w:i/>
                <w:iCs/>
                <w:color w:val="000000"/>
                <w:sz w:val="16"/>
                <w:szCs w:val="16"/>
                <w:lang w:val="en-GB"/>
              </w:rPr>
              <w:t>Sous-Total</w:t>
            </w:r>
            <w:r w:rsidRPr="00802CEE">
              <w:rPr>
                <w:b/>
                <w:i/>
                <w:iCs/>
                <w:color w:val="000000"/>
                <w:sz w:val="16"/>
                <w:szCs w:val="16"/>
                <w:lang w:val="en-GB"/>
              </w:rPr>
              <w:t xml:space="preserve"> </w:t>
            </w:r>
            <w:proofErr w:type="spellStart"/>
            <w:r>
              <w:rPr>
                <w:b/>
                <w:i/>
                <w:iCs/>
                <w:color w:val="000000"/>
                <w:sz w:val="16"/>
                <w:szCs w:val="16"/>
                <w:lang w:val="en-GB"/>
              </w:rPr>
              <w:t>Résultat</w:t>
            </w:r>
            <w:proofErr w:type="spellEnd"/>
            <w:r w:rsidRPr="00802CEE">
              <w:rPr>
                <w:b/>
                <w:i/>
                <w:iCs/>
                <w:color w:val="000000"/>
                <w:sz w:val="16"/>
                <w:szCs w:val="16"/>
                <w:lang w:val="en-GB"/>
              </w:rPr>
              <w:t xml:space="preserve"> 2</w:t>
            </w: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0ABB48CB" w14:textId="77777777" w:rsidR="008F451B" w:rsidRPr="003C26C1" w:rsidRDefault="008F451B" w:rsidP="00DA7ED2">
            <w:pPr>
              <w:rPr>
                <w:b/>
                <w:color w:val="000000"/>
                <w:sz w:val="16"/>
                <w:szCs w:val="16"/>
              </w:rPr>
            </w:pPr>
            <w:r>
              <w:rPr>
                <w:b/>
                <w:color w:val="000000"/>
                <w:sz w:val="16"/>
                <w:szCs w:val="16"/>
              </w:rPr>
              <w:t>Régulier: 17 993 844</w:t>
            </w:r>
          </w:p>
        </w:tc>
      </w:tr>
      <w:tr w:rsidR="008F451B" w:rsidRPr="003C26C1" w14:paraId="03D9CDDB" w14:textId="77777777" w:rsidTr="00DA7ED2">
        <w:trPr>
          <w:trHeight w:val="232"/>
        </w:trPr>
        <w:tc>
          <w:tcPr>
            <w:tcW w:w="4042" w:type="pct"/>
            <w:gridSpan w:val="4"/>
            <w:vMerge/>
            <w:tcBorders>
              <w:top w:val="single" w:sz="4" w:space="0" w:color="auto"/>
              <w:left w:val="single" w:sz="4" w:space="0" w:color="auto"/>
              <w:bottom w:val="single" w:sz="4" w:space="0" w:color="auto"/>
            </w:tcBorders>
            <w:tcMar>
              <w:top w:w="72" w:type="dxa"/>
              <w:left w:w="144" w:type="dxa"/>
              <w:bottom w:w="72" w:type="dxa"/>
              <w:right w:w="144" w:type="dxa"/>
            </w:tcMar>
          </w:tcPr>
          <w:p w14:paraId="4C8CA4D9" w14:textId="77777777" w:rsidR="008F451B" w:rsidRPr="003C26C1" w:rsidRDefault="008F451B" w:rsidP="00DA7ED2">
            <w:pPr>
              <w:rPr>
                <w:i/>
                <w:iCs/>
                <w:color w:val="000000"/>
                <w:sz w:val="16"/>
                <w:szCs w:val="16"/>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4A9CFE6F" w14:textId="77777777" w:rsidR="008F451B" w:rsidRPr="003C26C1" w:rsidRDefault="008F451B" w:rsidP="00DA7ED2">
            <w:pPr>
              <w:rPr>
                <w:b/>
                <w:color w:val="000000"/>
                <w:sz w:val="16"/>
                <w:szCs w:val="16"/>
              </w:rPr>
            </w:pPr>
            <w:r>
              <w:rPr>
                <w:b/>
                <w:color w:val="000000"/>
                <w:sz w:val="16"/>
                <w:szCs w:val="16"/>
              </w:rPr>
              <w:t>Autre: 55 466 857</w:t>
            </w:r>
          </w:p>
        </w:tc>
      </w:tr>
    </w:tbl>
    <w:p w14:paraId="5FF43CA7" w14:textId="68007F85" w:rsidR="008F451B" w:rsidRDefault="008F451B" w:rsidP="000547A0">
      <w:pPr>
        <w:shd w:val="clear" w:color="auto" w:fill="FFFFFF"/>
        <w:spacing w:after="240" w:line="240" w:lineRule="auto"/>
        <w:jc w:val="both"/>
        <w:rPr>
          <w:rFonts w:asciiTheme="minorHAnsi" w:eastAsiaTheme="minorHAnsi" w:hAnsiTheme="minorHAnsi" w:cstheme="minorBidi"/>
          <w:lang w:eastAsia="en-US"/>
        </w:rPr>
      </w:pPr>
    </w:p>
    <w:tbl>
      <w:tblPr>
        <w:tblpPr w:leftFromText="141" w:rightFromText="141" w:vertAnchor="text"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098"/>
        <w:gridCol w:w="2098"/>
        <w:gridCol w:w="4920"/>
        <w:gridCol w:w="1828"/>
        <w:gridCol w:w="2594"/>
      </w:tblGrid>
      <w:tr w:rsidR="00CC69F0" w:rsidRPr="007C2D1C" w14:paraId="42A39213" w14:textId="77777777" w:rsidTr="003A4364">
        <w:trPr>
          <w:trHeight w:val="25"/>
        </w:trPr>
        <w:tc>
          <w:tcPr>
            <w:tcW w:w="5000" w:type="pct"/>
            <w:gridSpan w:val="5"/>
            <w:shd w:val="clear" w:color="auto" w:fill="D9E2F3" w:themeFill="accent1" w:themeFillTint="33"/>
            <w:tcMar>
              <w:top w:w="72" w:type="dxa"/>
              <w:left w:w="144" w:type="dxa"/>
              <w:bottom w:w="72" w:type="dxa"/>
              <w:right w:w="144" w:type="dxa"/>
            </w:tcMar>
          </w:tcPr>
          <w:p w14:paraId="204CF018" w14:textId="77777777" w:rsidR="00CC69F0" w:rsidRPr="00776027" w:rsidRDefault="00CC69F0" w:rsidP="003A4364">
            <w:pPr>
              <w:rPr>
                <w:color w:val="000000"/>
                <w:sz w:val="16"/>
                <w:szCs w:val="16"/>
              </w:rPr>
            </w:pPr>
            <w:r w:rsidRPr="00AC7047">
              <w:rPr>
                <w:b/>
                <w:bCs/>
                <w:color w:val="000000"/>
                <w:sz w:val="16"/>
                <w:szCs w:val="16"/>
              </w:rPr>
              <w:t>PRIORITE OU OBJECTIF NATIONAL</w:t>
            </w:r>
            <w:r w:rsidRPr="00776027">
              <w:rPr>
                <w:b/>
                <w:bCs/>
                <w:color w:val="000000"/>
                <w:sz w:val="16"/>
                <w:szCs w:val="16"/>
              </w:rPr>
              <w:t xml:space="preserve"> : </w:t>
            </w:r>
            <w:r w:rsidRPr="00776027">
              <w:rPr>
                <w:b/>
                <w:i/>
                <w:color w:val="4472C4" w:themeColor="accent1"/>
                <w:sz w:val="16"/>
                <w:szCs w:val="16"/>
              </w:rPr>
              <w:t xml:space="preserve">Protection de l’environnement </w:t>
            </w:r>
            <w:r>
              <w:rPr>
                <w:b/>
                <w:i/>
                <w:color w:val="4472C4" w:themeColor="accent1"/>
                <w:sz w:val="16"/>
                <w:szCs w:val="16"/>
              </w:rPr>
              <w:t>et</w:t>
            </w:r>
            <w:r w:rsidRPr="00776027">
              <w:rPr>
                <w:b/>
                <w:i/>
                <w:color w:val="4472C4" w:themeColor="accent1"/>
                <w:sz w:val="16"/>
                <w:szCs w:val="16"/>
              </w:rPr>
              <w:t xml:space="preserve"> résilience </w:t>
            </w:r>
            <w:r>
              <w:rPr>
                <w:b/>
                <w:i/>
                <w:color w:val="4472C4" w:themeColor="accent1"/>
                <w:sz w:val="16"/>
                <w:szCs w:val="16"/>
              </w:rPr>
              <w:t>au</w:t>
            </w:r>
            <w:r w:rsidRPr="00776027">
              <w:rPr>
                <w:b/>
                <w:i/>
                <w:color w:val="4472C4" w:themeColor="accent1"/>
                <w:sz w:val="16"/>
                <w:szCs w:val="16"/>
              </w:rPr>
              <w:t xml:space="preserve"> change</w:t>
            </w:r>
            <w:r>
              <w:rPr>
                <w:b/>
                <w:i/>
                <w:color w:val="4472C4" w:themeColor="accent1"/>
                <w:sz w:val="16"/>
                <w:szCs w:val="16"/>
              </w:rPr>
              <w:t>ment</w:t>
            </w:r>
            <w:r w:rsidRPr="00776027">
              <w:rPr>
                <w:b/>
                <w:i/>
                <w:color w:val="4472C4" w:themeColor="accent1"/>
                <w:sz w:val="16"/>
                <w:szCs w:val="16"/>
              </w:rPr>
              <w:t xml:space="preserve"> climat</w:t>
            </w:r>
            <w:r>
              <w:rPr>
                <w:b/>
                <w:i/>
                <w:color w:val="4472C4" w:themeColor="accent1"/>
                <w:sz w:val="16"/>
                <w:szCs w:val="16"/>
              </w:rPr>
              <w:t>ique</w:t>
            </w:r>
          </w:p>
        </w:tc>
      </w:tr>
      <w:tr w:rsidR="00CC69F0" w:rsidRPr="0009224A" w14:paraId="4680C235" w14:textId="77777777" w:rsidTr="003A4364">
        <w:trPr>
          <w:trHeight w:val="124"/>
        </w:trPr>
        <w:tc>
          <w:tcPr>
            <w:tcW w:w="5000" w:type="pct"/>
            <w:gridSpan w:val="5"/>
            <w:shd w:val="clear" w:color="auto" w:fill="D9E2F3" w:themeFill="accent1" w:themeFillTint="33"/>
            <w:tcMar>
              <w:top w:w="72" w:type="dxa"/>
              <w:left w:w="144" w:type="dxa"/>
              <w:bottom w:w="72" w:type="dxa"/>
              <w:right w:w="144" w:type="dxa"/>
            </w:tcMar>
          </w:tcPr>
          <w:p w14:paraId="1827B613" w14:textId="77777777" w:rsidR="00CC69F0" w:rsidRPr="00C72A3D" w:rsidRDefault="00CC69F0" w:rsidP="003A4364">
            <w:pPr>
              <w:rPr>
                <w:b/>
                <w:i/>
                <w:color w:val="4472C4" w:themeColor="accent1"/>
                <w:sz w:val="16"/>
                <w:szCs w:val="16"/>
              </w:rPr>
            </w:pPr>
            <w:r w:rsidRPr="00C72A3D">
              <w:rPr>
                <w:b/>
                <w:bCs/>
                <w:color w:val="000000"/>
                <w:sz w:val="16"/>
                <w:szCs w:val="16"/>
              </w:rPr>
              <w:t>RESULTATS DE L’UNSDCF (OU EQUIVALENT) IMPLIQUANT LE PNUD #2:</w:t>
            </w:r>
            <w:r w:rsidRPr="00C72A3D">
              <w:rPr>
                <w:color w:val="000000"/>
                <w:sz w:val="16"/>
                <w:szCs w:val="16"/>
              </w:rPr>
              <w:t xml:space="preserve"> </w:t>
            </w:r>
            <w:r w:rsidRPr="00C72A3D">
              <w:rPr>
                <w:b/>
                <w:i/>
                <w:color w:val="4472C4" w:themeColor="accent1"/>
                <w:sz w:val="16"/>
                <w:szCs w:val="16"/>
              </w:rPr>
              <w:t xml:space="preserve">D’ici 2024, les communautés </w:t>
            </w:r>
            <w:r>
              <w:rPr>
                <w:b/>
                <w:i/>
                <w:color w:val="4472C4" w:themeColor="accent1"/>
                <w:sz w:val="16"/>
                <w:szCs w:val="16"/>
              </w:rPr>
              <w:t>gèrent durablement et de façon é</w:t>
            </w:r>
            <w:r w:rsidRPr="00C72A3D">
              <w:rPr>
                <w:b/>
                <w:i/>
                <w:color w:val="4472C4" w:themeColor="accent1"/>
                <w:sz w:val="16"/>
                <w:szCs w:val="16"/>
              </w:rPr>
              <w:t>quitabl</w:t>
            </w:r>
            <w:r>
              <w:rPr>
                <w:b/>
                <w:i/>
                <w:color w:val="4472C4" w:themeColor="accent1"/>
                <w:sz w:val="16"/>
                <w:szCs w:val="16"/>
              </w:rPr>
              <w:t>e</w:t>
            </w:r>
            <w:r w:rsidRPr="00C72A3D">
              <w:rPr>
                <w:b/>
                <w:i/>
                <w:color w:val="4472C4" w:themeColor="accent1"/>
                <w:sz w:val="16"/>
                <w:szCs w:val="16"/>
              </w:rPr>
              <w:t xml:space="preserve"> </w:t>
            </w:r>
            <w:r>
              <w:rPr>
                <w:b/>
                <w:i/>
                <w:color w:val="4472C4" w:themeColor="accent1"/>
                <w:sz w:val="16"/>
                <w:szCs w:val="16"/>
              </w:rPr>
              <w:t xml:space="preserve">les </w:t>
            </w:r>
            <w:r w:rsidRPr="00C72A3D">
              <w:rPr>
                <w:b/>
                <w:i/>
                <w:color w:val="4472C4" w:themeColor="accent1"/>
                <w:sz w:val="16"/>
                <w:szCs w:val="16"/>
              </w:rPr>
              <w:t>ressources  naturel</w:t>
            </w:r>
            <w:r>
              <w:rPr>
                <w:b/>
                <w:i/>
                <w:color w:val="4472C4" w:themeColor="accent1"/>
                <w:sz w:val="16"/>
                <w:szCs w:val="16"/>
              </w:rPr>
              <w:t>les</w:t>
            </w:r>
            <w:r w:rsidRPr="00C72A3D">
              <w:rPr>
                <w:b/>
                <w:i/>
                <w:color w:val="4472C4" w:themeColor="accent1"/>
                <w:sz w:val="16"/>
                <w:szCs w:val="16"/>
              </w:rPr>
              <w:t xml:space="preserve"> </w:t>
            </w:r>
            <w:r>
              <w:rPr>
                <w:b/>
                <w:i/>
                <w:color w:val="4472C4" w:themeColor="accent1"/>
                <w:sz w:val="16"/>
                <w:szCs w:val="16"/>
              </w:rPr>
              <w:t>et</w:t>
            </w:r>
            <w:r w:rsidRPr="00C72A3D">
              <w:rPr>
                <w:b/>
                <w:i/>
                <w:color w:val="4472C4" w:themeColor="accent1"/>
                <w:sz w:val="16"/>
                <w:szCs w:val="16"/>
              </w:rPr>
              <w:t xml:space="preserve"> </w:t>
            </w:r>
            <w:r>
              <w:rPr>
                <w:b/>
                <w:i/>
                <w:color w:val="4472C4" w:themeColor="accent1"/>
                <w:sz w:val="16"/>
                <w:szCs w:val="16"/>
              </w:rPr>
              <w:t>l’</w:t>
            </w:r>
            <w:r w:rsidRPr="00C72A3D">
              <w:rPr>
                <w:b/>
                <w:i/>
                <w:color w:val="4472C4" w:themeColor="accent1"/>
                <w:sz w:val="16"/>
                <w:szCs w:val="16"/>
              </w:rPr>
              <w:t xml:space="preserve">environnement </w:t>
            </w:r>
            <w:r>
              <w:rPr>
                <w:b/>
                <w:i/>
                <w:color w:val="4472C4" w:themeColor="accent1"/>
                <w:sz w:val="16"/>
                <w:szCs w:val="16"/>
              </w:rPr>
              <w:t xml:space="preserve">et sont plus </w:t>
            </w:r>
            <w:r w:rsidRPr="00C72A3D">
              <w:rPr>
                <w:b/>
                <w:i/>
                <w:color w:val="4472C4" w:themeColor="accent1"/>
                <w:sz w:val="16"/>
                <w:szCs w:val="16"/>
              </w:rPr>
              <w:t>résilient</w:t>
            </w:r>
            <w:r>
              <w:rPr>
                <w:b/>
                <w:i/>
                <w:color w:val="4472C4" w:themeColor="accent1"/>
                <w:sz w:val="16"/>
                <w:szCs w:val="16"/>
              </w:rPr>
              <w:t>es</w:t>
            </w:r>
            <w:r w:rsidRPr="00C72A3D">
              <w:rPr>
                <w:b/>
                <w:i/>
                <w:color w:val="4472C4" w:themeColor="accent1"/>
                <w:sz w:val="16"/>
                <w:szCs w:val="16"/>
              </w:rPr>
              <w:t xml:space="preserve"> </w:t>
            </w:r>
            <w:r>
              <w:rPr>
                <w:b/>
                <w:i/>
                <w:color w:val="4472C4" w:themeColor="accent1"/>
                <w:sz w:val="16"/>
                <w:szCs w:val="16"/>
              </w:rPr>
              <w:t>aux</w:t>
            </w:r>
            <w:r w:rsidRPr="00C72A3D">
              <w:rPr>
                <w:b/>
                <w:i/>
                <w:color w:val="4472C4" w:themeColor="accent1"/>
                <w:sz w:val="16"/>
                <w:szCs w:val="16"/>
              </w:rPr>
              <w:t xml:space="preserve"> effets </w:t>
            </w:r>
            <w:r>
              <w:rPr>
                <w:b/>
                <w:i/>
                <w:color w:val="4472C4" w:themeColor="accent1"/>
                <w:sz w:val="16"/>
                <w:szCs w:val="16"/>
              </w:rPr>
              <w:t>néfastes du</w:t>
            </w:r>
            <w:r w:rsidRPr="00C72A3D">
              <w:rPr>
                <w:b/>
                <w:i/>
                <w:color w:val="4472C4" w:themeColor="accent1"/>
                <w:sz w:val="16"/>
                <w:szCs w:val="16"/>
              </w:rPr>
              <w:t xml:space="preserve"> change</w:t>
            </w:r>
            <w:r>
              <w:rPr>
                <w:b/>
                <w:i/>
                <w:color w:val="4472C4" w:themeColor="accent1"/>
                <w:sz w:val="16"/>
                <w:szCs w:val="16"/>
              </w:rPr>
              <w:t>ment</w:t>
            </w:r>
            <w:r w:rsidRPr="00C72A3D">
              <w:rPr>
                <w:b/>
                <w:i/>
                <w:color w:val="4472C4" w:themeColor="accent1"/>
                <w:sz w:val="16"/>
                <w:szCs w:val="16"/>
              </w:rPr>
              <w:t xml:space="preserve"> climat</w:t>
            </w:r>
            <w:r>
              <w:rPr>
                <w:b/>
                <w:i/>
                <w:color w:val="4472C4" w:themeColor="accent1"/>
                <w:sz w:val="16"/>
                <w:szCs w:val="16"/>
              </w:rPr>
              <w:t>iqu</w:t>
            </w:r>
            <w:r w:rsidRPr="00C72A3D">
              <w:rPr>
                <w:b/>
                <w:i/>
                <w:color w:val="4472C4" w:themeColor="accent1"/>
                <w:sz w:val="16"/>
                <w:szCs w:val="16"/>
              </w:rPr>
              <w:t>e</w:t>
            </w:r>
          </w:p>
        </w:tc>
      </w:tr>
      <w:tr w:rsidR="00CC69F0" w:rsidRPr="0009224A" w14:paraId="2D7A7944" w14:textId="77777777" w:rsidTr="003A4364">
        <w:trPr>
          <w:trHeight w:val="355"/>
        </w:trPr>
        <w:tc>
          <w:tcPr>
            <w:tcW w:w="5000" w:type="pct"/>
            <w:gridSpan w:val="5"/>
            <w:shd w:val="clear" w:color="auto" w:fill="D9E2F3" w:themeFill="accent1" w:themeFillTint="33"/>
            <w:tcMar>
              <w:top w:w="72" w:type="dxa"/>
              <w:left w:w="144" w:type="dxa"/>
              <w:bottom w:w="72" w:type="dxa"/>
              <w:right w:w="144" w:type="dxa"/>
            </w:tcMar>
          </w:tcPr>
          <w:p w14:paraId="54A733C9" w14:textId="77777777" w:rsidR="00CC69F0" w:rsidRPr="00C72A3D" w:rsidRDefault="00CC69F0" w:rsidP="003A4364">
            <w:pPr>
              <w:rPr>
                <w:b/>
                <w:i/>
                <w:color w:val="4472C4" w:themeColor="accent1"/>
                <w:sz w:val="16"/>
                <w:szCs w:val="16"/>
              </w:rPr>
            </w:pPr>
            <w:r w:rsidRPr="00776027">
              <w:rPr>
                <w:b/>
                <w:bCs/>
                <w:color w:val="000000"/>
                <w:sz w:val="16"/>
                <w:szCs w:val="16"/>
              </w:rPr>
              <w:t>RÉSULTAT DU PLAN STRATÉGIQUE CONNEXE</w:t>
            </w:r>
            <w:r w:rsidRPr="00C72A3D">
              <w:rPr>
                <w:b/>
                <w:bCs/>
                <w:color w:val="000000"/>
                <w:sz w:val="16"/>
                <w:szCs w:val="16"/>
              </w:rPr>
              <w:t xml:space="preserve"> : </w:t>
            </w:r>
            <w:r w:rsidRPr="00C72A3D">
              <w:rPr>
                <w:b/>
                <w:i/>
                <w:color w:val="4472C4" w:themeColor="accent1"/>
                <w:sz w:val="16"/>
                <w:szCs w:val="16"/>
              </w:rPr>
              <w:t xml:space="preserve">Renforcer la résilience aux </w:t>
            </w:r>
            <w:r>
              <w:rPr>
                <w:b/>
                <w:i/>
                <w:color w:val="4472C4" w:themeColor="accent1"/>
                <w:sz w:val="16"/>
                <w:szCs w:val="16"/>
              </w:rPr>
              <w:t>c</w:t>
            </w:r>
            <w:r w:rsidRPr="00C72A3D">
              <w:rPr>
                <w:b/>
                <w:i/>
                <w:color w:val="4472C4" w:themeColor="accent1"/>
                <w:sz w:val="16"/>
                <w:szCs w:val="16"/>
              </w:rPr>
              <w:t xml:space="preserve">hocs </w:t>
            </w:r>
            <w:r>
              <w:rPr>
                <w:b/>
                <w:i/>
                <w:color w:val="4472C4" w:themeColor="accent1"/>
                <w:sz w:val="16"/>
                <w:szCs w:val="16"/>
              </w:rPr>
              <w:t xml:space="preserve">et aux </w:t>
            </w:r>
            <w:r w:rsidRPr="00C72A3D">
              <w:rPr>
                <w:b/>
                <w:i/>
                <w:color w:val="4472C4" w:themeColor="accent1"/>
                <w:sz w:val="16"/>
                <w:szCs w:val="16"/>
              </w:rPr>
              <w:t>cris</w:t>
            </w:r>
            <w:r>
              <w:rPr>
                <w:b/>
                <w:i/>
                <w:color w:val="4472C4" w:themeColor="accent1"/>
                <w:sz w:val="16"/>
                <w:szCs w:val="16"/>
              </w:rPr>
              <w:t>e</w:t>
            </w:r>
            <w:r w:rsidRPr="00C72A3D">
              <w:rPr>
                <w:b/>
                <w:i/>
                <w:color w:val="4472C4" w:themeColor="accent1"/>
                <w:sz w:val="16"/>
                <w:szCs w:val="16"/>
              </w:rPr>
              <w:t>s, Acc</w:t>
            </w:r>
            <w:r>
              <w:rPr>
                <w:b/>
                <w:i/>
                <w:color w:val="4472C4" w:themeColor="accent1"/>
                <w:sz w:val="16"/>
                <w:szCs w:val="16"/>
              </w:rPr>
              <w:t>é</w:t>
            </w:r>
            <w:r w:rsidRPr="00C72A3D">
              <w:rPr>
                <w:b/>
                <w:i/>
                <w:color w:val="4472C4" w:themeColor="accent1"/>
                <w:sz w:val="16"/>
                <w:szCs w:val="16"/>
              </w:rPr>
              <w:t>l</w:t>
            </w:r>
            <w:r>
              <w:rPr>
                <w:b/>
                <w:i/>
                <w:color w:val="4472C4" w:themeColor="accent1"/>
                <w:sz w:val="16"/>
                <w:szCs w:val="16"/>
              </w:rPr>
              <w:t>é</w:t>
            </w:r>
            <w:r w:rsidRPr="00C72A3D">
              <w:rPr>
                <w:b/>
                <w:i/>
                <w:color w:val="4472C4" w:themeColor="accent1"/>
                <w:sz w:val="16"/>
                <w:szCs w:val="16"/>
              </w:rPr>
              <w:t>r</w:t>
            </w:r>
            <w:r>
              <w:rPr>
                <w:b/>
                <w:i/>
                <w:color w:val="4472C4" w:themeColor="accent1"/>
                <w:sz w:val="16"/>
                <w:szCs w:val="16"/>
              </w:rPr>
              <w:t>er</w:t>
            </w:r>
            <w:r w:rsidRPr="00C72A3D">
              <w:rPr>
                <w:b/>
                <w:i/>
                <w:color w:val="4472C4" w:themeColor="accent1"/>
                <w:sz w:val="16"/>
                <w:szCs w:val="16"/>
              </w:rPr>
              <w:t xml:space="preserve"> </w:t>
            </w:r>
            <w:r>
              <w:rPr>
                <w:b/>
                <w:i/>
                <w:color w:val="4472C4" w:themeColor="accent1"/>
                <w:sz w:val="16"/>
                <w:szCs w:val="16"/>
              </w:rPr>
              <w:t xml:space="preserve">les </w:t>
            </w:r>
            <w:r w:rsidRPr="00C72A3D">
              <w:rPr>
                <w:b/>
                <w:i/>
                <w:color w:val="4472C4" w:themeColor="accent1"/>
                <w:sz w:val="16"/>
                <w:szCs w:val="16"/>
              </w:rPr>
              <w:t>transformations  structur</w:t>
            </w:r>
            <w:r>
              <w:rPr>
                <w:b/>
                <w:i/>
                <w:color w:val="4472C4" w:themeColor="accent1"/>
                <w:sz w:val="16"/>
                <w:szCs w:val="16"/>
              </w:rPr>
              <w:t>e</w:t>
            </w:r>
            <w:r w:rsidRPr="00C72A3D">
              <w:rPr>
                <w:b/>
                <w:i/>
                <w:color w:val="4472C4" w:themeColor="accent1"/>
                <w:sz w:val="16"/>
                <w:szCs w:val="16"/>
              </w:rPr>
              <w:t>l</w:t>
            </w:r>
            <w:r>
              <w:rPr>
                <w:b/>
                <w:i/>
                <w:color w:val="4472C4" w:themeColor="accent1"/>
                <w:sz w:val="16"/>
                <w:szCs w:val="16"/>
              </w:rPr>
              <w:t>les</w:t>
            </w:r>
            <w:r w:rsidRPr="00C72A3D">
              <w:rPr>
                <w:b/>
                <w:i/>
                <w:color w:val="4472C4" w:themeColor="accent1"/>
                <w:sz w:val="16"/>
                <w:szCs w:val="16"/>
              </w:rPr>
              <w:t xml:space="preserve"> </w:t>
            </w:r>
            <w:r>
              <w:rPr>
                <w:b/>
                <w:i/>
                <w:color w:val="4472C4" w:themeColor="accent1"/>
                <w:sz w:val="16"/>
                <w:szCs w:val="16"/>
              </w:rPr>
              <w:t>p</w:t>
            </w:r>
            <w:r w:rsidRPr="00C72A3D">
              <w:rPr>
                <w:b/>
                <w:i/>
                <w:color w:val="4472C4" w:themeColor="accent1"/>
                <w:sz w:val="16"/>
                <w:szCs w:val="16"/>
              </w:rPr>
              <w:t>o</w:t>
            </w:r>
            <w:r>
              <w:rPr>
                <w:b/>
                <w:i/>
                <w:color w:val="4472C4" w:themeColor="accent1"/>
                <w:sz w:val="16"/>
                <w:szCs w:val="16"/>
              </w:rPr>
              <w:t>u</w:t>
            </w:r>
            <w:r w:rsidRPr="00C72A3D">
              <w:rPr>
                <w:b/>
                <w:i/>
                <w:color w:val="4472C4" w:themeColor="accent1"/>
                <w:sz w:val="16"/>
                <w:szCs w:val="16"/>
              </w:rPr>
              <w:t xml:space="preserve">r </w:t>
            </w:r>
            <w:r>
              <w:rPr>
                <w:b/>
                <w:i/>
                <w:color w:val="4472C4" w:themeColor="accent1"/>
                <w:sz w:val="16"/>
                <w:szCs w:val="16"/>
              </w:rPr>
              <w:t xml:space="preserve">le </w:t>
            </w:r>
            <w:r w:rsidRPr="00C72A3D">
              <w:rPr>
                <w:b/>
                <w:i/>
                <w:color w:val="4472C4" w:themeColor="accent1"/>
                <w:sz w:val="16"/>
                <w:szCs w:val="16"/>
              </w:rPr>
              <w:t xml:space="preserve">développement </w:t>
            </w:r>
            <w:r>
              <w:rPr>
                <w:b/>
                <w:i/>
                <w:color w:val="4472C4" w:themeColor="accent1"/>
                <w:sz w:val="16"/>
                <w:szCs w:val="16"/>
              </w:rPr>
              <w:t>d</w:t>
            </w:r>
            <w:r w:rsidRPr="00C72A3D">
              <w:rPr>
                <w:b/>
                <w:i/>
                <w:color w:val="4472C4" w:themeColor="accent1"/>
                <w:sz w:val="16"/>
                <w:szCs w:val="16"/>
              </w:rPr>
              <w:t>u</w:t>
            </w:r>
            <w:r>
              <w:rPr>
                <w:b/>
                <w:i/>
                <w:color w:val="4472C4" w:themeColor="accent1"/>
                <w:sz w:val="16"/>
                <w:szCs w:val="16"/>
              </w:rPr>
              <w:t>r</w:t>
            </w:r>
            <w:r w:rsidRPr="00C72A3D">
              <w:rPr>
                <w:b/>
                <w:i/>
                <w:color w:val="4472C4" w:themeColor="accent1"/>
                <w:sz w:val="16"/>
                <w:szCs w:val="16"/>
              </w:rPr>
              <w:t>able</w:t>
            </w:r>
          </w:p>
        </w:tc>
      </w:tr>
      <w:tr w:rsidR="00CC69F0" w:rsidRPr="007C2D1C" w14:paraId="2D54871D" w14:textId="77777777" w:rsidTr="003A4364">
        <w:trPr>
          <w:trHeight w:val="322"/>
        </w:trPr>
        <w:tc>
          <w:tcPr>
            <w:tcW w:w="775" w:type="pct"/>
            <w:shd w:val="clear" w:color="auto" w:fill="D9E2F3" w:themeFill="accent1" w:themeFillTint="33"/>
            <w:tcMar>
              <w:top w:w="72" w:type="dxa"/>
              <w:left w:w="144" w:type="dxa"/>
              <w:bottom w:w="72" w:type="dxa"/>
              <w:right w:w="144" w:type="dxa"/>
            </w:tcMar>
            <w:vAlign w:val="center"/>
          </w:tcPr>
          <w:p w14:paraId="4E8AF7F9" w14:textId="77777777" w:rsidR="00CC69F0" w:rsidRPr="00776027" w:rsidRDefault="00CC69F0" w:rsidP="003A4364">
            <w:pPr>
              <w:jc w:val="center"/>
              <w:rPr>
                <w:color w:val="000000"/>
                <w:sz w:val="16"/>
                <w:szCs w:val="16"/>
              </w:rPr>
            </w:pPr>
            <w:r w:rsidRPr="00AC7047">
              <w:rPr>
                <w:b/>
                <w:sz w:val="16"/>
                <w:szCs w:val="16"/>
              </w:rPr>
              <w:t>INDICATEUR DE RÉSULTAT DE L’UNSDCF, REFERENCES, CIBLE(S)</w:t>
            </w:r>
          </w:p>
        </w:tc>
        <w:tc>
          <w:tcPr>
            <w:tcW w:w="775" w:type="pct"/>
            <w:shd w:val="clear" w:color="auto" w:fill="D9E2F3" w:themeFill="accent1" w:themeFillTint="33"/>
            <w:vAlign w:val="center"/>
          </w:tcPr>
          <w:p w14:paraId="4457F63B" w14:textId="77777777" w:rsidR="00CC69F0" w:rsidRPr="00776027" w:rsidRDefault="00CC69F0" w:rsidP="003A4364">
            <w:pPr>
              <w:jc w:val="center"/>
              <w:rPr>
                <w:b/>
                <w:color w:val="000000"/>
                <w:sz w:val="16"/>
                <w:szCs w:val="16"/>
              </w:rPr>
            </w:pPr>
            <w:r w:rsidRPr="00AC7047">
              <w:rPr>
                <w:b/>
                <w:sz w:val="16"/>
                <w:szCs w:val="16"/>
              </w:rPr>
              <w:t>SOURCE DE DONNÉES ET FRÉQUENCE DE LA COLLECTE DE DONNÉES ET RESPONSABILITÉS</w:t>
            </w:r>
          </w:p>
        </w:tc>
        <w:tc>
          <w:tcPr>
            <w:tcW w:w="1817" w:type="pct"/>
            <w:shd w:val="clear" w:color="auto" w:fill="D9E2F3" w:themeFill="accent1" w:themeFillTint="33"/>
            <w:tcMar>
              <w:top w:w="72" w:type="dxa"/>
              <w:left w:w="144" w:type="dxa"/>
              <w:bottom w:w="72" w:type="dxa"/>
              <w:right w:w="144" w:type="dxa"/>
            </w:tcMar>
            <w:vAlign w:val="center"/>
          </w:tcPr>
          <w:p w14:paraId="7D8E090D" w14:textId="77777777" w:rsidR="00CC69F0" w:rsidRPr="00776027" w:rsidRDefault="00CC69F0" w:rsidP="003A4364">
            <w:pPr>
              <w:jc w:val="center"/>
              <w:rPr>
                <w:color w:val="000000"/>
                <w:sz w:val="16"/>
                <w:szCs w:val="16"/>
              </w:rPr>
            </w:pPr>
            <w:r w:rsidRPr="00AC7047">
              <w:rPr>
                <w:b/>
                <w:sz w:val="16"/>
                <w:szCs w:val="16"/>
              </w:rPr>
              <w:t xml:space="preserve">RÉSULTATS INDICATIFS DU PROGRAMME PAYS </w:t>
            </w:r>
            <w:r w:rsidRPr="00AC7047">
              <w:rPr>
                <w:b/>
                <w:i/>
                <w:sz w:val="16"/>
                <w:szCs w:val="16"/>
              </w:rPr>
              <w:t>(notamment les indicateurs, les références et les cibles)</w:t>
            </w:r>
          </w:p>
        </w:tc>
        <w:tc>
          <w:tcPr>
            <w:tcW w:w="675" w:type="pct"/>
            <w:tcBorders>
              <w:bottom w:val="single" w:sz="4" w:space="0" w:color="auto"/>
            </w:tcBorders>
            <w:shd w:val="clear" w:color="auto" w:fill="D9E2F3" w:themeFill="accent1" w:themeFillTint="33"/>
            <w:vAlign w:val="center"/>
          </w:tcPr>
          <w:p w14:paraId="4CFE2CD6" w14:textId="77777777" w:rsidR="00CC69F0" w:rsidRPr="00AC7047" w:rsidRDefault="00CC69F0" w:rsidP="003A4364">
            <w:pPr>
              <w:jc w:val="center"/>
              <w:rPr>
                <w:b/>
                <w:bCs/>
                <w:sz w:val="16"/>
                <w:szCs w:val="16"/>
              </w:rPr>
            </w:pPr>
            <w:r w:rsidRPr="00AC7047">
              <w:rPr>
                <w:b/>
                <w:bCs/>
                <w:sz w:val="16"/>
                <w:szCs w:val="16"/>
              </w:rPr>
              <w:t>PRINCIPAUX PARTENAIRES /  CADRES DE PARTENARIATS</w:t>
            </w:r>
          </w:p>
          <w:p w14:paraId="4E0AE3FC" w14:textId="77777777" w:rsidR="00CC69F0" w:rsidRPr="003C26C1" w:rsidRDefault="00CC69F0" w:rsidP="003A4364">
            <w:pPr>
              <w:jc w:val="center"/>
              <w:rPr>
                <w:b/>
                <w:bCs/>
                <w:color w:val="000000"/>
                <w:sz w:val="16"/>
                <w:szCs w:val="16"/>
                <w:lang w:val="en-GB"/>
              </w:rPr>
            </w:pPr>
          </w:p>
        </w:tc>
        <w:tc>
          <w:tcPr>
            <w:tcW w:w="958" w:type="pct"/>
            <w:tcBorders>
              <w:bottom w:val="single" w:sz="4" w:space="0" w:color="auto"/>
            </w:tcBorders>
            <w:shd w:val="clear" w:color="auto" w:fill="D9E2F3" w:themeFill="accent1" w:themeFillTint="33"/>
            <w:tcMar>
              <w:top w:w="15" w:type="dxa"/>
              <w:left w:w="108" w:type="dxa"/>
              <w:bottom w:w="0" w:type="dxa"/>
              <w:right w:w="108" w:type="dxa"/>
            </w:tcMar>
            <w:vAlign w:val="center"/>
          </w:tcPr>
          <w:p w14:paraId="12D91703" w14:textId="77777777" w:rsidR="00CC69F0" w:rsidRPr="00776027" w:rsidRDefault="00CC69F0" w:rsidP="003A4364">
            <w:pPr>
              <w:jc w:val="center"/>
              <w:rPr>
                <w:i/>
                <w:color w:val="0000FF"/>
                <w:sz w:val="16"/>
                <w:szCs w:val="16"/>
              </w:rPr>
            </w:pPr>
            <w:r w:rsidRPr="00AC7047">
              <w:rPr>
                <w:b/>
                <w:sz w:val="16"/>
                <w:szCs w:val="16"/>
              </w:rPr>
              <w:t>RESSOURCES INDICATIVES PAR RÉSULTAT (US $)</w:t>
            </w:r>
          </w:p>
        </w:tc>
      </w:tr>
      <w:tr w:rsidR="00CC69F0" w:rsidRPr="003C26C1" w14:paraId="1AD276DC" w14:textId="77777777" w:rsidTr="003A4364">
        <w:trPr>
          <w:trHeight w:val="133"/>
        </w:trPr>
        <w:tc>
          <w:tcPr>
            <w:tcW w:w="775" w:type="pct"/>
            <w:vMerge w:val="restart"/>
            <w:tcMar>
              <w:top w:w="72" w:type="dxa"/>
              <w:left w:w="144" w:type="dxa"/>
              <w:bottom w:w="72" w:type="dxa"/>
              <w:right w:w="144" w:type="dxa"/>
            </w:tcMar>
          </w:tcPr>
          <w:p w14:paraId="1ED01FC8" w14:textId="77777777" w:rsidR="00CC69F0" w:rsidRPr="00D915B9" w:rsidRDefault="00CC69F0" w:rsidP="003A4364">
            <w:pPr>
              <w:rPr>
                <w:rStyle w:val="tlid-translation"/>
                <w:b/>
                <w:sz w:val="16"/>
                <w:szCs w:val="16"/>
              </w:rPr>
            </w:pPr>
            <w:r w:rsidRPr="00D915B9">
              <w:rPr>
                <w:rStyle w:val="tlid-translation"/>
                <w:b/>
                <w:sz w:val="16"/>
                <w:szCs w:val="16"/>
              </w:rPr>
              <w:t>Indicateur 3.1:</w:t>
            </w:r>
          </w:p>
          <w:p w14:paraId="315FF0A2" w14:textId="77777777" w:rsidR="00CC69F0" w:rsidRPr="007E03FE" w:rsidRDefault="00CC69F0" w:rsidP="003A4364">
            <w:pPr>
              <w:rPr>
                <w:rStyle w:val="tlid-translation"/>
                <w:sz w:val="16"/>
                <w:szCs w:val="16"/>
              </w:rPr>
            </w:pPr>
            <w:r w:rsidRPr="007E03FE">
              <w:rPr>
                <w:rStyle w:val="tlid-translation"/>
                <w:sz w:val="16"/>
                <w:szCs w:val="16"/>
              </w:rPr>
              <w:t>Pourcentage des énergies  renouvelables dans le portefeuille de l’Energie</w:t>
            </w:r>
          </w:p>
          <w:p w14:paraId="489F3A70" w14:textId="77777777" w:rsidR="00CC69F0" w:rsidRPr="007E03FE" w:rsidRDefault="00CC69F0" w:rsidP="003A4364">
            <w:pPr>
              <w:autoSpaceDE w:val="0"/>
              <w:jc w:val="both"/>
              <w:rPr>
                <w:rStyle w:val="tlid-translation"/>
                <w:sz w:val="16"/>
                <w:szCs w:val="16"/>
              </w:rPr>
            </w:pPr>
            <w:r w:rsidRPr="007E03FE">
              <w:rPr>
                <w:rStyle w:val="tlid-translation"/>
                <w:sz w:val="16"/>
                <w:szCs w:val="16"/>
              </w:rPr>
              <w:t>Référence: 5%</w:t>
            </w:r>
          </w:p>
          <w:p w14:paraId="1F91AE62" w14:textId="77777777" w:rsidR="00CC69F0" w:rsidRPr="007E03FE" w:rsidRDefault="00CC69F0" w:rsidP="003A4364">
            <w:pPr>
              <w:autoSpaceDE w:val="0"/>
              <w:jc w:val="both"/>
              <w:rPr>
                <w:rStyle w:val="tlid-translation"/>
                <w:sz w:val="16"/>
                <w:szCs w:val="16"/>
              </w:rPr>
            </w:pPr>
            <w:r w:rsidRPr="007E03FE">
              <w:rPr>
                <w:rStyle w:val="tlid-translation"/>
                <w:sz w:val="16"/>
                <w:szCs w:val="16"/>
              </w:rPr>
              <w:t>Cible: 15%</w:t>
            </w:r>
          </w:p>
          <w:p w14:paraId="32DBBB52" w14:textId="77777777" w:rsidR="00CC69F0" w:rsidRPr="007E03FE" w:rsidRDefault="00CC69F0" w:rsidP="003A4364">
            <w:pPr>
              <w:rPr>
                <w:rStyle w:val="tlid-translation"/>
                <w:sz w:val="16"/>
                <w:szCs w:val="16"/>
              </w:rPr>
            </w:pPr>
          </w:p>
          <w:p w14:paraId="32AE0AD6" w14:textId="77777777" w:rsidR="00CC69F0" w:rsidRPr="007E03FE" w:rsidRDefault="00CC69F0" w:rsidP="003A4364">
            <w:pPr>
              <w:rPr>
                <w:rStyle w:val="tlid-translation"/>
                <w:sz w:val="16"/>
                <w:szCs w:val="16"/>
              </w:rPr>
            </w:pPr>
          </w:p>
          <w:p w14:paraId="59E2899C" w14:textId="77777777" w:rsidR="00CC69F0" w:rsidRPr="007E03FE" w:rsidRDefault="00CC69F0" w:rsidP="003A4364">
            <w:pPr>
              <w:rPr>
                <w:rStyle w:val="tlid-translation"/>
                <w:sz w:val="16"/>
                <w:szCs w:val="16"/>
              </w:rPr>
            </w:pPr>
          </w:p>
          <w:p w14:paraId="62C605A7" w14:textId="77777777" w:rsidR="00CC69F0" w:rsidRPr="007E03FE" w:rsidRDefault="00CC69F0" w:rsidP="003A4364">
            <w:pPr>
              <w:rPr>
                <w:rStyle w:val="tlid-translation"/>
                <w:b/>
                <w:sz w:val="16"/>
                <w:szCs w:val="16"/>
              </w:rPr>
            </w:pPr>
          </w:p>
          <w:p w14:paraId="61D3CBA8" w14:textId="77777777" w:rsidR="00CC69F0" w:rsidRPr="007E03FE" w:rsidRDefault="00CC69F0" w:rsidP="003A4364">
            <w:pPr>
              <w:rPr>
                <w:rStyle w:val="tlid-translation"/>
                <w:b/>
                <w:sz w:val="16"/>
                <w:szCs w:val="16"/>
              </w:rPr>
            </w:pPr>
          </w:p>
          <w:p w14:paraId="1538CCC4" w14:textId="77777777" w:rsidR="00CC69F0" w:rsidRPr="007E03FE" w:rsidRDefault="00CC69F0" w:rsidP="003A4364">
            <w:pPr>
              <w:rPr>
                <w:rStyle w:val="tlid-translation"/>
                <w:b/>
                <w:sz w:val="16"/>
                <w:szCs w:val="16"/>
              </w:rPr>
            </w:pPr>
            <w:r w:rsidRPr="007E03FE">
              <w:rPr>
                <w:rStyle w:val="tlid-translation"/>
                <w:b/>
                <w:sz w:val="16"/>
                <w:szCs w:val="16"/>
              </w:rPr>
              <w:t xml:space="preserve">Indicateur 3.2: </w:t>
            </w:r>
          </w:p>
          <w:p w14:paraId="3F1441C9" w14:textId="77777777" w:rsidR="00CC69F0" w:rsidRPr="007E03FE" w:rsidRDefault="00CC69F0" w:rsidP="003A4364">
            <w:pPr>
              <w:rPr>
                <w:rStyle w:val="tlid-translation"/>
                <w:sz w:val="16"/>
                <w:szCs w:val="16"/>
              </w:rPr>
            </w:pPr>
            <w:r w:rsidRPr="007E03FE">
              <w:rPr>
                <w:rStyle w:val="tlid-translation"/>
                <w:sz w:val="16"/>
                <w:szCs w:val="16"/>
              </w:rPr>
              <w:t>Nombre de personnes sur 100 000 couvertes par des informations d'alerte précoce par le biais des autorités locales ou des mécanismes de diffusion nationaux (désagrégés par sexe)</w:t>
            </w:r>
          </w:p>
          <w:p w14:paraId="072C99E9" w14:textId="77777777" w:rsidR="00CC69F0" w:rsidRPr="007E03FE" w:rsidRDefault="00CC69F0" w:rsidP="003A4364">
            <w:pPr>
              <w:rPr>
                <w:rStyle w:val="tlid-translation"/>
                <w:sz w:val="16"/>
                <w:szCs w:val="16"/>
              </w:rPr>
            </w:pPr>
            <w:r w:rsidRPr="007E03FE">
              <w:rPr>
                <w:rStyle w:val="tlid-translation"/>
                <w:b/>
                <w:sz w:val="16"/>
                <w:szCs w:val="16"/>
              </w:rPr>
              <w:t>Référence:</w:t>
            </w:r>
            <w:r w:rsidRPr="007E03FE">
              <w:rPr>
                <w:rStyle w:val="tlid-translation"/>
                <w:sz w:val="16"/>
                <w:szCs w:val="16"/>
              </w:rPr>
              <w:t xml:space="preserve"> a) Femmes: 3,03 b) 2,97</w:t>
            </w:r>
          </w:p>
          <w:p w14:paraId="5519239C" w14:textId="77777777" w:rsidR="00CC69F0" w:rsidRPr="007E03FE" w:rsidRDefault="00CC69F0" w:rsidP="003A4364">
            <w:pPr>
              <w:rPr>
                <w:rStyle w:val="tlid-translation"/>
                <w:sz w:val="16"/>
                <w:szCs w:val="16"/>
              </w:rPr>
            </w:pPr>
            <w:r w:rsidRPr="007E03FE">
              <w:rPr>
                <w:rStyle w:val="tlid-translation"/>
                <w:b/>
                <w:sz w:val="16"/>
                <w:szCs w:val="16"/>
              </w:rPr>
              <w:t>Cible:</w:t>
            </w:r>
            <w:r w:rsidRPr="007E03FE">
              <w:rPr>
                <w:rStyle w:val="tlid-translation"/>
                <w:sz w:val="16"/>
                <w:szCs w:val="16"/>
              </w:rPr>
              <w:t xml:space="preserve"> a) Femmes: 9,90 b) 1,01</w:t>
            </w:r>
          </w:p>
          <w:p w14:paraId="4077F8B4" w14:textId="77777777" w:rsidR="00CC69F0" w:rsidRPr="007E03FE" w:rsidRDefault="00CC69F0" w:rsidP="003A4364">
            <w:pPr>
              <w:rPr>
                <w:rStyle w:val="tlid-translation"/>
                <w:sz w:val="16"/>
                <w:szCs w:val="16"/>
              </w:rPr>
            </w:pPr>
          </w:p>
          <w:p w14:paraId="558CF3D8" w14:textId="77777777" w:rsidR="00CC69F0" w:rsidRPr="007E03FE" w:rsidRDefault="00CC69F0" w:rsidP="003A4364">
            <w:pPr>
              <w:rPr>
                <w:rStyle w:val="tlid-translation"/>
                <w:sz w:val="16"/>
                <w:szCs w:val="16"/>
              </w:rPr>
            </w:pPr>
          </w:p>
          <w:p w14:paraId="1B73993C" w14:textId="77777777" w:rsidR="00CC69F0" w:rsidRPr="007E03FE" w:rsidRDefault="00CC69F0" w:rsidP="003A4364">
            <w:pPr>
              <w:rPr>
                <w:rStyle w:val="tlid-translation"/>
                <w:sz w:val="16"/>
                <w:szCs w:val="16"/>
              </w:rPr>
            </w:pPr>
          </w:p>
        </w:tc>
        <w:tc>
          <w:tcPr>
            <w:tcW w:w="775" w:type="pct"/>
            <w:vMerge w:val="restart"/>
          </w:tcPr>
          <w:p w14:paraId="3CCA5EA0" w14:textId="77777777" w:rsidR="00CC69F0" w:rsidRPr="007E03FE" w:rsidRDefault="00CC69F0" w:rsidP="003A4364">
            <w:pPr>
              <w:rPr>
                <w:rStyle w:val="tlid-translation"/>
                <w:sz w:val="16"/>
                <w:szCs w:val="16"/>
              </w:rPr>
            </w:pPr>
            <w:r w:rsidRPr="007E03FE">
              <w:rPr>
                <w:rStyle w:val="tlid-translation"/>
                <w:b/>
                <w:sz w:val="16"/>
                <w:szCs w:val="16"/>
              </w:rPr>
              <w:t>Source de données :</w:t>
            </w:r>
            <w:r w:rsidRPr="007E03FE">
              <w:rPr>
                <w:rStyle w:val="tlid-translation"/>
                <w:sz w:val="16"/>
                <w:szCs w:val="16"/>
              </w:rPr>
              <w:t xml:space="preserve"> « Agence de l’Environnement pour le Développement Durable (AEDD) »</w:t>
            </w:r>
          </w:p>
          <w:p w14:paraId="3A9CF312" w14:textId="77777777" w:rsidR="00CC69F0" w:rsidRPr="007E03FE" w:rsidRDefault="00CC69F0" w:rsidP="003A4364">
            <w:pPr>
              <w:rPr>
                <w:rStyle w:val="tlid-translation"/>
                <w:sz w:val="16"/>
                <w:szCs w:val="16"/>
              </w:rPr>
            </w:pPr>
            <w:r w:rsidRPr="007E03FE">
              <w:rPr>
                <w:rStyle w:val="tlid-translation"/>
                <w:b/>
                <w:sz w:val="16"/>
                <w:szCs w:val="16"/>
              </w:rPr>
              <w:t>Fréquence :</w:t>
            </w:r>
            <w:r w:rsidRPr="007E03FE">
              <w:rPr>
                <w:rStyle w:val="tlid-translation"/>
                <w:sz w:val="16"/>
                <w:szCs w:val="16"/>
              </w:rPr>
              <w:t xml:space="preserve"> Annuelle</w:t>
            </w:r>
          </w:p>
          <w:p w14:paraId="3225D64D" w14:textId="77777777" w:rsidR="00CC69F0" w:rsidRPr="007E03FE" w:rsidRDefault="00CC69F0" w:rsidP="003A4364">
            <w:pPr>
              <w:rPr>
                <w:rStyle w:val="tlid-translation"/>
                <w:sz w:val="16"/>
                <w:szCs w:val="16"/>
              </w:rPr>
            </w:pPr>
            <w:r w:rsidRPr="007E03FE">
              <w:rPr>
                <w:rStyle w:val="tlid-translation"/>
                <w:b/>
                <w:sz w:val="16"/>
                <w:szCs w:val="16"/>
              </w:rPr>
              <w:t>Responsabilité :</w:t>
            </w:r>
            <w:r w:rsidRPr="007E03FE">
              <w:rPr>
                <w:rStyle w:val="tlid-translation"/>
                <w:sz w:val="16"/>
                <w:szCs w:val="16"/>
              </w:rPr>
              <w:t xml:space="preserve"> Agence de l’Environnement pour le Développement Durable (AEDD)</w:t>
            </w:r>
          </w:p>
          <w:p w14:paraId="709B1CDD" w14:textId="77777777" w:rsidR="00CC69F0" w:rsidRPr="007E03FE" w:rsidRDefault="00CC69F0" w:rsidP="003A4364">
            <w:pPr>
              <w:rPr>
                <w:rStyle w:val="tlid-translation"/>
                <w:sz w:val="16"/>
                <w:szCs w:val="16"/>
              </w:rPr>
            </w:pPr>
          </w:p>
          <w:p w14:paraId="09AF42C6" w14:textId="77777777" w:rsidR="00CC69F0" w:rsidRPr="007E03FE" w:rsidRDefault="00CC69F0" w:rsidP="003A4364">
            <w:pPr>
              <w:rPr>
                <w:rStyle w:val="tlid-translation"/>
                <w:sz w:val="16"/>
                <w:szCs w:val="16"/>
              </w:rPr>
            </w:pPr>
          </w:p>
          <w:p w14:paraId="23A15C68" w14:textId="77777777" w:rsidR="00CC69F0" w:rsidRPr="007E03FE" w:rsidRDefault="00CC69F0" w:rsidP="003A4364">
            <w:pPr>
              <w:rPr>
                <w:rStyle w:val="tlid-translation"/>
                <w:sz w:val="16"/>
                <w:szCs w:val="16"/>
              </w:rPr>
            </w:pPr>
            <w:r w:rsidRPr="007E03FE">
              <w:rPr>
                <w:rStyle w:val="tlid-translation"/>
                <w:b/>
                <w:sz w:val="16"/>
                <w:szCs w:val="16"/>
              </w:rPr>
              <w:t>Source de données:</w:t>
            </w:r>
            <w:r w:rsidRPr="007E03FE">
              <w:rPr>
                <w:rStyle w:val="tlid-translation"/>
                <w:sz w:val="16"/>
                <w:szCs w:val="16"/>
              </w:rPr>
              <w:t xml:space="preserve"> DGPC</w:t>
            </w:r>
          </w:p>
          <w:p w14:paraId="0062B749" w14:textId="77777777" w:rsidR="00CC69F0" w:rsidRPr="007E03FE" w:rsidRDefault="00CC69F0" w:rsidP="003A4364">
            <w:pPr>
              <w:rPr>
                <w:rStyle w:val="tlid-translation"/>
                <w:sz w:val="16"/>
                <w:szCs w:val="16"/>
              </w:rPr>
            </w:pPr>
            <w:r w:rsidRPr="007E03FE">
              <w:rPr>
                <w:rStyle w:val="tlid-translation"/>
                <w:b/>
                <w:sz w:val="16"/>
                <w:szCs w:val="16"/>
              </w:rPr>
              <w:t>Fréquence:</w:t>
            </w:r>
            <w:r w:rsidRPr="007E03FE">
              <w:rPr>
                <w:rStyle w:val="tlid-translation"/>
                <w:sz w:val="16"/>
                <w:szCs w:val="16"/>
              </w:rPr>
              <w:t xml:space="preserve"> Annuelle</w:t>
            </w:r>
          </w:p>
          <w:p w14:paraId="661E1328" w14:textId="77777777" w:rsidR="00CC69F0" w:rsidRPr="00D915B9" w:rsidRDefault="00CC69F0" w:rsidP="003A4364">
            <w:pPr>
              <w:rPr>
                <w:rStyle w:val="tlid-translation"/>
                <w:sz w:val="16"/>
                <w:szCs w:val="16"/>
              </w:rPr>
            </w:pPr>
            <w:r w:rsidRPr="00D915B9">
              <w:rPr>
                <w:rStyle w:val="tlid-translation"/>
                <w:b/>
                <w:sz w:val="16"/>
                <w:szCs w:val="16"/>
              </w:rPr>
              <w:t>Responsabilité</w:t>
            </w:r>
            <w:r w:rsidRPr="00D915B9">
              <w:rPr>
                <w:rStyle w:val="tlid-translation"/>
                <w:sz w:val="16"/>
                <w:szCs w:val="16"/>
              </w:rPr>
              <w:t>: DGPC</w:t>
            </w:r>
          </w:p>
          <w:p w14:paraId="2AD1C2BF" w14:textId="77777777" w:rsidR="00CC69F0" w:rsidRPr="00D915B9" w:rsidRDefault="00CC69F0" w:rsidP="003A4364">
            <w:pPr>
              <w:rPr>
                <w:rStyle w:val="tlid-translation"/>
                <w:sz w:val="16"/>
                <w:szCs w:val="16"/>
              </w:rPr>
            </w:pPr>
          </w:p>
          <w:p w14:paraId="4C28D9C0" w14:textId="77777777" w:rsidR="00CC69F0" w:rsidRPr="00D915B9" w:rsidRDefault="00CC69F0" w:rsidP="003A4364">
            <w:pPr>
              <w:rPr>
                <w:rStyle w:val="tlid-translation"/>
                <w:sz w:val="16"/>
                <w:szCs w:val="16"/>
              </w:rPr>
            </w:pPr>
          </w:p>
          <w:p w14:paraId="563675B6" w14:textId="77777777" w:rsidR="00CC69F0" w:rsidRPr="00D915B9" w:rsidRDefault="00CC69F0" w:rsidP="003A4364">
            <w:pPr>
              <w:rPr>
                <w:rStyle w:val="tlid-translation"/>
                <w:sz w:val="16"/>
                <w:szCs w:val="16"/>
              </w:rPr>
            </w:pPr>
          </w:p>
          <w:p w14:paraId="024EB497" w14:textId="77777777" w:rsidR="00CC69F0" w:rsidRPr="00D915B9" w:rsidRDefault="00CC69F0" w:rsidP="003A4364">
            <w:pPr>
              <w:rPr>
                <w:rStyle w:val="tlid-translation"/>
                <w:sz w:val="16"/>
                <w:szCs w:val="16"/>
              </w:rPr>
            </w:pPr>
          </w:p>
          <w:p w14:paraId="2072C6CB" w14:textId="77777777" w:rsidR="00CC69F0" w:rsidRPr="007E03FE" w:rsidRDefault="00CC69F0" w:rsidP="003A4364">
            <w:pPr>
              <w:rPr>
                <w:rStyle w:val="tlid-translation"/>
                <w:sz w:val="16"/>
                <w:szCs w:val="16"/>
              </w:rPr>
            </w:pPr>
            <w:r w:rsidRPr="007E03FE">
              <w:rPr>
                <w:rStyle w:val="tlid-translation"/>
                <w:b/>
                <w:sz w:val="16"/>
                <w:szCs w:val="16"/>
              </w:rPr>
              <w:t>Source de données:</w:t>
            </w:r>
            <w:r w:rsidRPr="007E03FE">
              <w:rPr>
                <w:rStyle w:val="tlid-translation"/>
                <w:sz w:val="16"/>
                <w:szCs w:val="16"/>
              </w:rPr>
              <w:t xml:space="preserve"> DGPC, Mali Météo</w:t>
            </w:r>
          </w:p>
          <w:p w14:paraId="6E412D97" w14:textId="77777777" w:rsidR="00CC69F0" w:rsidRPr="007E03FE" w:rsidRDefault="00CC69F0" w:rsidP="003A4364">
            <w:pPr>
              <w:rPr>
                <w:rStyle w:val="tlid-translation"/>
                <w:sz w:val="16"/>
                <w:szCs w:val="16"/>
              </w:rPr>
            </w:pPr>
            <w:r w:rsidRPr="007E03FE">
              <w:rPr>
                <w:rStyle w:val="tlid-translation"/>
                <w:b/>
                <w:sz w:val="16"/>
                <w:szCs w:val="16"/>
              </w:rPr>
              <w:t>Fréquence:</w:t>
            </w:r>
            <w:r w:rsidRPr="007E03FE">
              <w:rPr>
                <w:rStyle w:val="tlid-translation"/>
                <w:sz w:val="16"/>
                <w:szCs w:val="16"/>
              </w:rPr>
              <w:t xml:space="preserve"> Annuelle</w:t>
            </w:r>
          </w:p>
          <w:p w14:paraId="557EF483" w14:textId="77777777" w:rsidR="00CC69F0" w:rsidRPr="007E03FE" w:rsidRDefault="00CC69F0" w:rsidP="003A4364">
            <w:pPr>
              <w:rPr>
                <w:rStyle w:val="tlid-translation"/>
                <w:sz w:val="16"/>
                <w:szCs w:val="16"/>
              </w:rPr>
            </w:pPr>
            <w:r w:rsidRPr="007E03FE">
              <w:rPr>
                <w:rStyle w:val="tlid-translation"/>
                <w:b/>
                <w:sz w:val="16"/>
                <w:szCs w:val="16"/>
              </w:rPr>
              <w:t>Responsabilité</w:t>
            </w:r>
            <w:r w:rsidRPr="007E03FE">
              <w:rPr>
                <w:rStyle w:val="tlid-translation"/>
                <w:sz w:val="16"/>
                <w:szCs w:val="16"/>
              </w:rPr>
              <w:t>: DGPC, Mali Météo</w:t>
            </w:r>
          </w:p>
          <w:p w14:paraId="02772CC5" w14:textId="77777777" w:rsidR="00CC69F0" w:rsidRPr="007E03FE" w:rsidRDefault="00CC69F0" w:rsidP="003A4364">
            <w:pPr>
              <w:rPr>
                <w:rStyle w:val="tlid-translation"/>
                <w:sz w:val="16"/>
                <w:szCs w:val="16"/>
              </w:rPr>
            </w:pPr>
          </w:p>
        </w:tc>
        <w:tc>
          <w:tcPr>
            <w:tcW w:w="1817" w:type="pct"/>
            <w:vMerge w:val="restart"/>
            <w:tcMar>
              <w:top w:w="72" w:type="dxa"/>
              <w:left w:w="144" w:type="dxa"/>
              <w:bottom w:w="72" w:type="dxa"/>
              <w:right w:w="144" w:type="dxa"/>
            </w:tcMar>
          </w:tcPr>
          <w:p w14:paraId="30FD399D" w14:textId="77777777" w:rsidR="00CC69F0" w:rsidRPr="007E03FE" w:rsidRDefault="00CC69F0" w:rsidP="003A4364">
            <w:pPr>
              <w:rPr>
                <w:rStyle w:val="tlid-translation"/>
                <w:sz w:val="16"/>
                <w:szCs w:val="16"/>
              </w:rPr>
            </w:pPr>
            <w:r w:rsidRPr="007E03FE">
              <w:rPr>
                <w:rStyle w:val="tlid-translation"/>
                <w:b/>
                <w:sz w:val="16"/>
                <w:szCs w:val="16"/>
                <w:u w:val="single"/>
              </w:rPr>
              <w:t>Résultat 3.1</w:t>
            </w:r>
            <w:r w:rsidRPr="007E03FE">
              <w:rPr>
                <w:rStyle w:val="tlid-translation"/>
                <w:sz w:val="16"/>
                <w:szCs w:val="16"/>
              </w:rPr>
              <w:t>: Les acteurs nationaux et locaux, dont les communautés vulnérables, ont renforcé leurs capacités techniques et opérationnelles pour la prévention des risques et l'adaptation au changement climatique</w:t>
            </w:r>
          </w:p>
          <w:p w14:paraId="7D9810C7" w14:textId="77777777" w:rsidR="00CC69F0" w:rsidRPr="007E03FE" w:rsidRDefault="00CC69F0" w:rsidP="003A4364">
            <w:pPr>
              <w:rPr>
                <w:rStyle w:val="tlid-translation"/>
                <w:sz w:val="16"/>
                <w:szCs w:val="16"/>
              </w:rPr>
            </w:pPr>
          </w:p>
          <w:p w14:paraId="4DC8A3D8" w14:textId="77777777" w:rsidR="00CC69F0" w:rsidRPr="007E03FE" w:rsidRDefault="00CC69F0" w:rsidP="003A4364">
            <w:pPr>
              <w:rPr>
                <w:rStyle w:val="tlid-translation"/>
                <w:sz w:val="16"/>
                <w:szCs w:val="16"/>
              </w:rPr>
            </w:pPr>
            <w:r w:rsidRPr="007E03FE">
              <w:rPr>
                <w:rStyle w:val="tlid-translation"/>
                <w:b/>
                <w:sz w:val="16"/>
                <w:szCs w:val="16"/>
              </w:rPr>
              <w:t>Indicateur 3.1.1</w:t>
            </w:r>
            <w:r w:rsidRPr="007E03FE">
              <w:rPr>
                <w:rStyle w:val="tlid-translation"/>
                <w:sz w:val="16"/>
                <w:szCs w:val="16"/>
              </w:rPr>
              <w:t>: Nombre de ménages utilisant les informations climatologiques et les systèmes d'alerte précoce pour l'agriculture et la prévention des risques d'inondation</w:t>
            </w:r>
            <w:r w:rsidRPr="007E03FE">
              <w:rPr>
                <w:rStyle w:val="tlid-translation"/>
                <w:sz w:val="16"/>
                <w:szCs w:val="16"/>
              </w:rPr>
              <w:br/>
            </w:r>
            <w:r w:rsidRPr="007E03FE">
              <w:rPr>
                <w:rStyle w:val="tlid-translation"/>
                <w:b/>
                <w:sz w:val="16"/>
                <w:szCs w:val="16"/>
              </w:rPr>
              <w:t>Référence:</w:t>
            </w:r>
            <w:r w:rsidRPr="007E03FE">
              <w:rPr>
                <w:rStyle w:val="tlid-translation"/>
                <w:sz w:val="16"/>
                <w:szCs w:val="16"/>
              </w:rPr>
              <w:t xml:space="preserve"> 45 000</w:t>
            </w:r>
            <w:r w:rsidRPr="007E03FE">
              <w:rPr>
                <w:rStyle w:val="tlid-translation"/>
                <w:sz w:val="16"/>
                <w:szCs w:val="16"/>
              </w:rPr>
              <w:br/>
            </w:r>
            <w:r w:rsidRPr="007E03FE">
              <w:rPr>
                <w:rStyle w:val="tlid-translation"/>
                <w:b/>
                <w:sz w:val="16"/>
                <w:szCs w:val="16"/>
              </w:rPr>
              <w:t>Cible:</w:t>
            </w:r>
            <w:r w:rsidRPr="007E03FE">
              <w:rPr>
                <w:rStyle w:val="tlid-translation"/>
                <w:sz w:val="16"/>
                <w:szCs w:val="16"/>
              </w:rPr>
              <w:t xml:space="preserve"> 271 252</w:t>
            </w:r>
            <w:r w:rsidRPr="007E03FE">
              <w:rPr>
                <w:rStyle w:val="tlid-translation"/>
                <w:sz w:val="16"/>
                <w:szCs w:val="16"/>
              </w:rPr>
              <w:br/>
            </w:r>
            <w:r w:rsidRPr="007E03FE">
              <w:rPr>
                <w:rStyle w:val="tlid-translation"/>
                <w:b/>
                <w:sz w:val="16"/>
                <w:szCs w:val="16"/>
              </w:rPr>
              <w:t>Source de données, Fréquence</w:t>
            </w:r>
            <w:r w:rsidRPr="007E03FE">
              <w:rPr>
                <w:rStyle w:val="tlid-translation"/>
                <w:sz w:val="16"/>
                <w:szCs w:val="16"/>
              </w:rPr>
              <w:t>: rapports de projet, annuelle</w:t>
            </w:r>
          </w:p>
          <w:p w14:paraId="2542718F" w14:textId="77777777" w:rsidR="00CC69F0" w:rsidRPr="007E03FE" w:rsidRDefault="00CC69F0" w:rsidP="003A4364">
            <w:pPr>
              <w:rPr>
                <w:rStyle w:val="tlid-translation"/>
                <w:sz w:val="16"/>
                <w:szCs w:val="16"/>
              </w:rPr>
            </w:pPr>
          </w:p>
          <w:p w14:paraId="010B377F" w14:textId="77777777" w:rsidR="00CC69F0" w:rsidRPr="007E03FE" w:rsidRDefault="00CC69F0" w:rsidP="003A4364">
            <w:pPr>
              <w:rPr>
                <w:rStyle w:val="tlid-translation"/>
                <w:sz w:val="16"/>
                <w:szCs w:val="16"/>
              </w:rPr>
            </w:pPr>
            <w:r w:rsidRPr="007E03FE">
              <w:rPr>
                <w:rStyle w:val="tlid-translation"/>
                <w:b/>
                <w:sz w:val="16"/>
                <w:szCs w:val="16"/>
              </w:rPr>
              <w:t>Indicateur 3.1.2</w:t>
            </w:r>
            <w:r w:rsidRPr="007E03FE">
              <w:rPr>
                <w:rStyle w:val="tlid-translation"/>
                <w:sz w:val="16"/>
                <w:szCs w:val="16"/>
              </w:rPr>
              <w:t>: Nombre de partenariats et d'investissements publics et privés favorisant l'adaptation et l'atténuation des effets des changements climatiques</w:t>
            </w:r>
          </w:p>
          <w:p w14:paraId="265CAD9F" w14:textId="77777777" w:rsidR="00CC69F0" w:rsidRPr="007E03FE" w:rsidRDefault="00CC69F0" w:rsidP="003A4364">
            <w:pPr>
              <w:rPr>
                <w:rStyle w:val="tlid-translation"/>
                <w:sz w:val="16"/>
                <w:szCs w:val="16"/>
              </w:rPr>
            </w:pPr>
            <w:r w:rsidRPr="007E03FE">
              <w:rPr>
                <w:rStyle w:val="tlid-translation"/>
                <w:b/>
                <w:sz w:val="16"/>
                <w:szCs w:val="16"/>
              </w:rPr>
              <w:t>Référence</w:t>
            </w:r>
            <w:r w:rsidRPr="007E03FE">
              <w:rPr>
                <w:rStyle w:val="tlid-translation"/>
                <w:sz w:val="16"/>
                <w:szCs w:val="16"/>
              </w:rPr>
              <w:t>: 0</w:t>
            </w:r>
            <w:r w:rsidRPr="007E03FE">
              <w:rPr>
                <w:rStyle w:val="tlid-translation"/>
                <w:sz w:val="16"/>
                <w:szCs w:val="16"/>
              </w:rPr>
              <w:br/>
            </w:r>
            <w:r w:rsidRPr="007E03FE">
              <w:rPr>
                <w:rStyle w:val="tlid-translation"/>
                <w:b/>
                <w:sz w:val="16"/>
                <w:szCs w:val="16"/>
              </w:rPr>
              <w:t>Cible</w:t>
            </w:r>
            <w:r w:rsidRPr="007E03FE">
              <w:rPr>
                <w:rStyle w:val="tlid-translation"/>
                <w:sz w:val="16"/>
                <w:szCs w:val="16"/>
              </w:rPr>
              <w:t>: 15</w:t>
            </w:r>
            <w:r w:rsidRPr="007E03FE">
              <w:rPr>
                <w:rStyle w:val="tlid-translation"/>
                <w:sz w:val="16"/>
                <w:szCs w:val="16"/>
              </w:rPr>
              <w:br/>
            </w:r>
            <w:r w:rsidRPr="007E03FE">
              <w:rPr>
                <w:rStyle w:val="tlid-translation"/>
                <w:b/>
                <w:sz w:val="16"/>
                <w:szCs w:val="16"/>
              </w:rPr>
              <w:t>Source de données, Fréquence:</w:t>
            </w:r>
            <w:r w:rsidRPr="007E03FE">
              <w:rPr>
                <w:rStyle w:val="tlid-translation"/>
                <w:sz w:val="16"/>
                <w:szCs w:val="16"/>
              </w:rPr>
              <w:t xml:space="preserve"> rapports de projet, annuelle</w:t>
            </w:r>
          </w:p>
          <w:p w14:paraId="4C7D863A" w14:textId="77777777" w:rsidR="00CC69F0" w:rsidRPr="007E03FE" w:rsidRDefault="00CC69F0" w:rsidP="003A4364">
            <w:pPr>
              <w:rPr>
                <w:rStyle w:val="tlid-translation"/>
                <w:sz w:val="16"/>
                <w:szCs w:val="16"/>
              </w:rPr>
            </w:pPr>
          </w:p>
          <w:p w14:paraId="06933FC5" w14:textId="77777777" w:rsidR="00CC69F0" w:rsidRPr="007E03FE" w:rsidRDefault="00CC69F0" w:rsidP="003A4364">
            <w:pPr>
              <w:rPr>
                <w:rStyle w:val="tlid-translation"/>
                <w:sz w:val="16"/>
                <w:szCs w:val="16"/>
              </w:rPr>
            </w:pPr>
            <w:r w:rsidRPr="007E03FE">
              <w:rPr>
                <w:rStyle w:val="tlid-translation"/>
                <w:b/>
                <w:sz w:val="16"/>
                <w:szCs w:val="16"/>
              </w:rPr>
              <w:t>Indicateur 3.1.3:</w:t>
            </w:r>
            <w:r w:rsidRPr="007E03FE">
              <w:rPr>
                <w:rStyle w:val="tlid-translation"/>
                <w:sz w:val="16"/>
                <w:szCs w:val="16"/>
              </w:rPr>
              <w:t xml:space="preserve"> Nombre de producteurs utilisant des techniques de gestion des terres et des ressources en eau durables, innovantes et résilientes</w:t>
            </w:r>
            <w:r w:rsidRPr="007E03FE">
              <w:rPr>
                <w:rStyle w:val="tlid-translation"/>
                <w:sz w:val="16"/>
                <w:szCs w:val="16"/>
              </w:rPr>
              <w:br/>
              <w:t>Référence: 52 000</w:t>
            </w:r>
            <w:r w:rsidRPr="007E03FE">
              <w:rPr>
                <w:rStyle w:val="tlid-translation"/>
                <w:sz w:val="16"/>
                <w:szCs w:val="16"/>
              </w:rPr>
              <w:br/>
              <w:t>Cible: 180 000</w:t>
            </w:r>
            <w:r w:rsidRPr="007E03FE">
              <w:rPr>
                <w:rStyle w:val="tlid-translation"/>
                <w:sz w:val="16"/>
                <w:szCs w:val="16"/>
              </w:rPr>
              <w:br/>
            </w:r>
            <w:r w:rsidRPr="007E03FE">
              <w:rPr>
                <w:rStyle w:val="tlid-translation"/>
                <w:b/>
                <w:sz w:val="16"/>
                <w:szCs w:val="16"/>
              </w:rPr>
              <w:t>Source de données, Fréquence</w:t>
            </w:r>
            <w:r w:rsidRPr="007E03FE">
              <w:rPr>
                <w:rStyle w:val="tlid-translation"/>
                <w:sz w:val="16"/>
                <w:szCs w:val="16"/>
              </w:rPr>
              <w:t>: rapports de projet, rapports nationaux sur l'environnement, annuelle</w:t>
            </w:r>
          </w:p>
          <w:p w14:paraId="5A021885" w14:textId="77777777" w:rsidR="00CC69F0" w:rsidRPr="007E03FE" w:rsidRDefault="00CC69F0" w:rsidP="003A4364">
            <w:pPr>
              <w:rPr>
                <w:rStyle w:val="tlid-translation"/>
                <w:sz w:val="16"/>
                <w:szCs w:val="16"/>
              </w:rPr>
            </w:pPr>
          </w:p>
          <w:p w14:paraId="1D7389C0" w14:textId="77777777" w:rsidR="00CC69F0" w:rsidRPr="007E03FE" w:rsidRDefault="00CC69F0" w:rsidP="003A4364">
            <w:pPr>
              <w:rPr>
                <w:rStyle w:val="tlid-translation"/>
                <w:sz w:val="16"/>
                <w:szCs w:val="16"/>
              </w:rPr>
            </w:pPr>
            <w:r w:rsidRPr="007E03FE">
              <w:rPr>
                <w:rStyle w:val="tlid-translation"/>
                <w:b/>
                <w:sz w:val="16"/>
                <w:szCs w:val="16"/>
                <w:u w:val="single"/>
              </w:rPr>
              <w:t>Résultat 3.2</w:t>
            </w:r>
            <w:r w:rsidRPr="007E03FE">
              <w:rPr>
                <w:rStyle w:val="tlid-translation"/>
                <w:sz w:val="16"/>
                <w:szCs w:val="16"/>
              </w:rPr>
              <w:t>: Communautés capables de gérer durablement les ressources naturelles et l'environnement en tenant compte de la prévention des conflits, de la gestion des risques et de la lutte contre la pollution</w:t>
            </w:r>
          </w:p>
          <w:p w14:paraId="74783FA6" w14:textId="77777777" w:rsidR="00CC69F0" w:rsidRPr="007E03FE" w:rsidRDefault="00CC69F0" w:rsidP="003A4364">
            <w:pPr>
              <w:rPr>
                <w:rStyle w:val="tlid-translation"/>
                <w:sz w:val="16"/>
                <w:szCs w:val="16"/>
              </w:rPr>
            </w:pPr>
          </w:p>
          <w:p w14:paraId="442EA649" w14:textId="77777777" w:rsidR="00CC69F0" w:rsidRPr="007E03FE" w:rsidRDefault="00CC69F0" w:rsidP="003A4364">
            <w:pPr>
              <w:rPr>
                <w:rStyle w:val="tlid-translation"/>
                <w:sz w:val="16"/>
                <w:szCs w:val="16"/>
              </w:rPr>
            </w:pPr>
            <w:r w:rsidRPr="007E03FE">
              <w:rPr>
                <w:rStyle w:val="tlid-translation"/>
                <w:b/>
                <w:sz w:val="16"/>
                <w:szCs w:val="16"/>
              </w:rPr>
              <w:t>Indicateur 3.2.1:</w:t>
            </w:r>
            <w:r w:rsidRPr="007E03FE">
              <w:rPr>
                <w:rStyle w:val="tlid-translation"/>
                <w:sz w:val="16"/>
                <w:szCs w:val="16"/>
              </w:rPr>
              <w:t xml:space="preserve"> Ressources naturelles gérées dans le cadre d'un régime  durable d'utilisation, de conservation, d'accès et de partage  des avantages:</w:t>
            </w:r>
          </w:p>
          <w:p w14:paraId="4CAE1669" w14:textId="77777777" w:rsidR="00CC69F0" w:rsidRPr="007E03FE" w:rsidRDefault="00CC69F0" w:rsidP="003A4364">
            <w:pPr>
              <w:rPr>
                <w:rStyle w:val="tlid-translation"/>
                <w:sz w:val="16"/>
                <w:szCs w:val="16"/>
              </w:rPr>
            </w:pPr>
            <w:r w:rsidRPr="007E03FE">
              <w:rPr>
                <w:rStyle w:val="tlid-translation"/>
                <w:sz w:val="16"/>
                <w:szCs w:val="16"/>
              </w:rPr>
              <w:t>a) Zone d'aménagement forestier durable (ha)</w:t>
            </w:r>
          </w:p>
          <w:p w14:paraId="4D9E9675" w14:textId="77777777" w:rsidR="00CC69F0" w:rsidRPr="007E03FE" w:rsidRDefault="00CC69F0" w:rsidP="003A4364">
            <w:pPr>
              <w:rPr>
                <w:rStyle w:val="tlid-translation"/>
                <w:sz w:val="16"/>
                <w:szCs w:val="16"/>
              </w:rPr>
            </w:pPr>
            <w:r w:rsidRPr="007E03FE">
              <w:rPr>
                <w:rStyle w:val="tlid-translation"/>
                <w:b/>
                <w:sz w:val="16"/>
                <w:szCs w:val="16"/>
              </w:rPr>
              <w:t>Référence</w:t>
            </w:r>
            <w:r w:rsidRPr="007E03FE">
              <w:rPr>
                <w:rStyle w:val="tlid-translation"/>
                <w:sz w:val="16"/>
                <w:szCs w:val="16"/>
              </w:rPr>
              <w:t xml:space="preserve">: a) 10 634 049 ha (8,56 % </w:t>
            </w:r>
            <w:r w:rsidRPr="007E03FE">
              <w:t xml:space="preserve"> </w:t>
            </w:r>
            <w:r w:rsidRPr="007E03FE">
              <w:rPr>
                <w:rStyle w:val="tlid-translation"/>
                <w:sz w:val="16"/>
                <w:szCs w:val="16"/>
              </w:rPr>
              <w:t>du territoire national)</w:t>
            </w:r>
          </w:p>
          <w:p w14:paraId="57FED7F3" w14:textId="77777777" w:rsidR="00CC69F0" w:rsidRPr="007E03FE" w:rsidRDefault="00CC69F0" w:rsidP="003A4364">
            <w:pPr>
              <w:rPr>
                <w:rStyle w:val="tlid-translation"/>
                <w:sz w:val="16"/>
                <w:szCs w:val="16"/>
              </w:rPr>
            </w:pPr>
            <w:r w:rsidRPr="007E03FE">
              <w:rPr>
                <w:rStyle w:val="tlid-translation"/>
                <w:b/>
                <w:sz w:val="16"/>
                <w:szCs w:val="16"/>
              </w:rPr>
              <w:t>Cible:</w:t>
            </w:r>
            <w:r w:rsidRPr="007E03FE">
              <w:rPr>
                <w:rStyle w:val="tlid-translation"/>
                <w:sz w:val="16"/>
                <w:szCs w:val="16"/>
              </w:rPr>
              <w:t xml:space="preserve"> a) 23 047 003 ha (18,56%)</w:t>
            </w:r>
          </w:p>
          <w:p w14:paraId="66AF7020" w14:textId="77777777" w:rsidR="00CC69F0" w:rsidRPr="007E03FE" w:rsidRDefault="00CC69F0" w:rsidP="003A4364">
            <w:pPr>
              <w:rPr>
                <w:rStyle w:val="tlid-translation"/>
                <w:sz w:val="16"/>
                <w:szCs w:val="16"/>
              </w:rPr>
            </w:pPr>
            <w:r w:rsidRPr="007E03FE">
              <w:rPr>
                <w:rStyle w:val="tlid-translation"/>
                <w:b/>
                <w:sz w:val="16"/>
                <w:szCs w:val="16"/>
              </w:rPr>
              <w:t>Source de données, Fréquence:</w:t>
            </w:r>
            <w:r w:rsidRPr="007E03FE">
              <w:rPr>
                <w:rStyle w:val="tlid-translation"/>
                <w:sz w:val="16"/>
                <w:szCs w:val="16"/>
              </w:rPr>
              <w:t xml:space="preserve"> revue CREDD, DNEF, annuelle</w:t>
            </w:r>
          </w:p>
          <w:p w14:paraId="736D5636" w14:textId="77777777" w:rsidR="00CC69F0" w:rsidRPr="007E03FE" w:rsidRDefault="00CC69F0" w:rsidP="003A4364">
            <w:pPr>
              <w:rPr>
                <w:rStyle w:val="tlid-translation"/>
                <w:sz w:val="16"/>
                <w:szCs w:val="16"/>
              </w:rPr>
            </w:pPr>
          </w:p>
          <w:p w14:paraId="4491469C" w14:textId="77777777" w:rsidR="00CC69F0" w:rsidRPr="007E03FE" w:rsidRDefault="00CC69F0" w:rsidP="003A4364">
            <w:pPr>
              <w:rPr>
                <w:rStyle w:val="tlid-translation"/>
                <w:sz w:val="16"/>
                <w:szCs w:val="16"/>
              </w:rPr>
            </w:pPr>
            <w:r w:rsidRPr="007E03FE">
              <w:rPr>
                <w:rStyle w:val="tlid-translation"/>
                <w:b/>
                <w:sz w:val="16"/>
                <w:szCs w:val="16"/>
              </w:rPr>
              <w:t>Indicateur 3.2.2:</w:t>
            </w:r>
            <w:r w:rsidRPr="007E03FE">
              <w:rPr>
                <w:rStyle w:val="tlid-translation"/>
                <w:sz w:val="16"/>
                <w:szCs w:val="16"/>
              </w:rPr>
              <w:t xml:space="preserve"> Nombre de mécanismes et de stratégies mis en place au niveau communautaire pour (a) la gestion des risques liés au climat et aux catastrophes et (b) la prévention / gestion des conflits liés aux ressources naturelles</w:t>
            </w:r>
            <w:r w:rsidRPr="007E03FE">
              <w:rPr>
                <w:rStyle w:val="tlid-translation"/>
                <w:sz w:val="16"/>
                <w:szCs w:val="16"/>
              </w:rPr>
              <w:br/>
            </w:r>
            <w:r w:rsidRPr="007E03FE">
              <w:rPr>
                <w:rStyle w:val="tlid-translation"/>
                <w:b/>
                <w:sz w:val="16"/>
                <w:szCs w:val="16"/>
              </w:rPr>
              <w:t>Référence:</w:t>
            </w:r>
            <w:r w:rsidRPr="007E03FE">
              <w:rPr>
                <w:rStyle w:val="tlid-translation"/>
                <w:sz w:val="16"/>
                <w:szCs w:val="16"/>
              </w:rPr>
              <w:t xml:space="preserve"> 20 (2018) </w:t>
            </w:r>
            <w:r w:rsidRPr="007E03FE">
              <w:rPr>
                <w:rStyle w:val="tlid-translation"/>
                <w:sz w:val="16"/>
                <w:szCs w:val="16"/>
              </w:rPr>
              <w:br/>
            </w:r>
            <w:r w:rsidRPr="007E03FE">
              <w:rPr>
                <w:rStyle w:val="tlid-translation"/>
                <w:b/>
                <w:sz w:val="16"/>
                <w:szCs w:val="16"/>
              </w:rPr>
              <w:t>Cible:</w:t>
            </w:r>
            <w:r w:rsidRPr="007E03FE">
              <w:rPr>
                <w:rStyle w:val="tlid-translation"/>
                <w:sz w:val="16"/>
                <w:szCs w:val="16"/>
              </w:rPr>
              <w:t xml:space="preserve"> 45</w:t>
            </w:r>
            <w:r w:rsidRPr="007E03FE">
              <w:rPr>
                <w:rStyle w:val="tlid-translation"/>
                <w:sz w:val="16"/>
                <w:szCs w:val="16"/>
              </w:rPr>
              <w:br/>
            </w:r>
            <w:r w:rsidRPr="007E03FE">
              <w:rPr>
                <w:rStyle w:val="tlid-translation"/>
                <w:b/>
                <w:sz w:val="16"/>
                <w:szCs w:val="16"/>
              </w:rPr>
              <w:t>Source de données, Fréquence:</w:t>
            </w:r>
            <w:r w:rsidRPr="007E03FE">
              <w:rPr>
                <w:rStyle w:val="tlid-translation"/>
                <w:sz w:val="16"/>
                <w:szCs w:val="16"/>
              </w:rPr>
              <w:t xml:space="preserve"> rapports de projet, annuelle</w:t>
            </w:r>
            <w:r w:rsidRPr="007E03FE">
              <w:rPr>
                <w:rStyle w:val="tlid-translation"/>
                <w:sz w:val="16"/>
                <w:szCs w:val="16"/>
              </w:rPr>
              <w:br/>
            </w:r>
          </w:p>
          <w:p w14:paraId="144EA538" w14:textId="77777777" w:rsidR="00CC69F0" w:rsidRPr="007E03FE" w:rsidRDefault="00CC69F0" w:rsidP="003A4364">
            <w:pPr>
              <w:rPr>
                <w:rStyle w:val="tlid-translation"/>
                <w:sz w:val="16"/>
                <w:szCs w:val="16"/>
              </w:rPr>
            </w:pPr>
            <w:r w:rsidRPr="007E03FE">
              <w:rPr>
                <w:rStyle w:val="tlid-translation"/>
                <w:b/>
                <w:sz w:val="16"/>
                <w:szCs w:val="16"/>
              </w:rPr>
              <w:t>Indicateur 3.2.3:</w:t>
            </w:r>
            <w:r w:rsidRPr="007E03FE">
              <w:rPr>
                <w:rStyle w:val="tlid-translation"/>
                <w:sz w:val="16"/>
                <w:szCs w:val="16"/>
              </w:rPr>
              <w:t xml:space="preserve"> Pourcentage de ménages ayant accès à des services d'assainissement</w:t>
            </w:r>
            <w:r w:rsidRPr="007E03FE">
              <w:rPr>
                <w:rStyle w:val="tlid-translation"/>
                <w:sz w:val="16"/>
                <w:szCs w:val="16"/>
              </w:rPr>
              <w:br/>
            </w:r>
            <w:r w:rsidRPr="007E03FE">
              <w:rPr>
                <w:rStyle w:val="tlid-translation"/>
                <w:b/>
                <w:sz w:val="16"/>
                <w:szCs w:val="16"/>
              </w:rPr>
              <w:t>Référence</w:t>
            </w:r>
            <w:r w:rsidRPr="007E03FE">
              <w:rPr>
                <w:rStyle w:val="tlid-translation"/>
                <w:sz w:val="16"/>
                <w:szCs w:val="16"/>
              </w:rPr>
              <w:t>: 45%</w:t>
            </w:r>
            <w:r w:rsidRPr="007E03FE">
              <w:rPr>
                <w:rStyle w:val="tlid-translation"/>
                <w:sz w:val="16"/>
                <w:szCs w:val="16"/>
              </w:rPr>
              <w:br/>
            </w:r>
            <w:r w:rsidRPr="007E03FE">
              <w:rPr>
                <w:rStyle w:val="tlid-translation"/>
                <w:b/>
                <w:sz w:val="16"/>
                <w:szCs w:val="16"/>
              </w:rPr>
              <w:t>Cible:</w:t>
            </w:r>
            <w:r w:rsidRPr="007E03FE">
              <w:rPr>
                <w:rStyle w:val="tlid-translation"/>
                <w:sz w:val="16"/>
                <w:szCs w:val="16"/>
              </w:rPr>
              <w:t xml:space="preserve"> 65%</w:t>
            </w:r>
            <w:r w:rsidRPr="007E03FE">
              <w:rPr>
                <w:rStyle w:val="tlid-translation"/>
                <w:sz w:val="16"/>
                <w:szCs w:val="16"/>
              </w:rPr>
              <w:br/>
            </w:r>
            <w:r w:rsidRPr="007E03FE">
              <w:rPr>
                <w:rStyle w:val="tlid-translation"/>
                <w:b/>
                <w:sz w:val="16"/>
                <w:szCs w:val="16"/>
              </w:rPr>
              <w:t>Source de données, Fréquence :</w:t>
            </w:r>
            <w:r w:rsidRPr="007E03FE">
              <w:rPr>
                <w:rStyle w:val="tlid-translation"/>
                <w:sz w:val="16"/>
                <w:szCs w:val="16"/>
              </w:rPr>
              <w:t xml:space="preserve"> rapports de revues CREDD / DNACPN, annuelle</w:t>
            </w:r>
          </w:p>
          <w:p w14:paraId="282500F4" w14:textId="77777777" w:rsidR="00CC69F0" w:rsidRPr="007E03FE" w:rsidRDefault="00CC69F0" w:rsidP="003A4364">
            <w:pPr>
              <w:rPr>
                <w:rStyle w:val="tlid-translation"/>
                <w:sz w:val="16"/>
                <w:szCs w:val="16"/>
              </w:rPr>
            </w:pPr>
          </w:p>
          <w:p w14:paraId="2EA25F8B" w14:textId="77777777" w:rsidR="00CC69F0" w:rsidRPr="007E03FE" w:rsidRDefault="00CC69F0" w:rsidP="003A4364">
            <w:pPr>
              <w:rPr>
                <w:rStyle w:val="tlid-translation"/>
                <w:sz w:val="16"/>
                <w:szCs w:val="16"/>
              </w:rPr>
            </w:pPr>
            <w:r w:rsidRPr="007E03FE">
              <w:rPr>
                <w:rStyle w:val="tlid-translation"/>
                <w:b/>
                <w:sz w:val="16"/>
                <w:szCs w:val="16"/>
                <w:u w:val="single"/>
              </w:rPr>
              <w:t>Résultat 3.3</w:t>
            </w:r>
            <w:r w:rsidRPr="007E03FE">
              <w:rPr>
                <w:rStyle w:val="tlid-translation"/>
                <w:sz w:val="16"/>
                <w:szCs w:val="16"/>
              </w:rPr>
              <w:t xml:space="preserve">: Solutions adoptées pour assurer l'accès universel à une énergie propre, abordable et durable et pour générer des revenus pour les femmes et les jeunes grâce à des technologies  et à un financement innovants </w:t>
            </w:r>
          </w:p>
          <w:p w14:paraId="2638153D" w14:textId="77777777" w:rsidR="00CC69F0" w:rsidRPr="007E03FE" w:rsidRDefault="00CC69F0" w:rsidP="003A4364">
            <w:pPr>
              <w:rPr>
                <w:rStyle w:val="tlid-translation"/>
                <w:sz w:val="16"/>
                <w:szCs w:val="16"/>
              </w:rPr>
            </w:pPr>
          </w:p>
          <w:p w14:paraId="50939269" w14:textId="77777777" w:rsidR="00CC69F0" w:rsidRPr="007E03FE" w:rsidRDefault="00CC69F0" w:rsidP="003A4364">
            <w:pPr>
              <w:rPr>
                <w:rStyle w:val="tlid-translation"/>
                <w:sz w:val="16"/>
                <w:szCs w:val="16"/>
              </w:rPr>
            </w:pPr>
            <w:r w:rsidRPr="007E03FE">
              <w:rPr>
                <w:rStyle w:val="tlid-translation"/>
                <w:b/>
                <w:sz w:val="16"/>
                <w:szCs w:val="16"/>
              </w:rPr>
              <w:t>Indicateur 3.3.1:</w:t>
            </w:r>
            <w:r w:rsidRPr="007E03FE">
              <w:rPr>
                <w:rStyle w:val="tlid-translation"/>
                <w:sz w:val="16"/>
                <w:szCs w:val="16"/>
              </w:rPr>
              <w:t xml:space="preserve"> Nombre et proportion de ménages bénéficiant d'un accès à une énergie propre, abordable et durable:</w:t>
            </w:r>
          </w:p>
          <w:p w14:paraId="4864AA66" w14:textId="77777777" w:rsidR="00CC69F0" w:rsidRPr="007E03FE" w:rsidRDefault="00CC69F0" w:rsidP="003A4364">
            <w:pPr>
              <w:rPr>
                <w:rStyle w:val="tlid-translation"/>
                <w:sz w:val="16"/>
                <w:szCs w:val="16"/>
              </w:rPr>
            </w:pPr>
            <w:r w:rsidRPr="007E03FE">
              <w:rPr>
                <w:rStyle w:val="tlid-translation"/>
                <w:sz w:val="16"/>
                <w:szCs w:val="16"/>
              </w:rPr>
              <w:t xml:space="preserve">   a) Dirigés par des femmes</w:t>
            </w:r>
          </w:p>
          <w:p w14:paraId="58E9E63E" w14:textId="77777777" w:rsidR="00CC69F0" w:rsidRPr="007E03FE" w:rsidRDefault="00CC69F0" w:rsidP="003A4364">
            <w:pPr>
              <w:rPr>
                <w:rStyle w:val="tlid-translation"/>
                <w:sz w:val="16"/>
                <w:szCs w:val="16"/>
              </w:rPr>
            </w:pPr>
            <w:r w:rsidRPr="007E03FE">
              <w:rPr>
                <w:rStyle w:val="tlid-translation"/>
                <w:sz w:val="16"/>
                <w:szCs w:val="16"/>
              </w:rPr>
              <w:t xml:space="preserve">   b) En zones rurales</w:t>
            </w:r>
          </w:p>
          <w:p w14:paraId="2032B48A" w14:textId="77777777" w:rsidR="00CC69F0" w:rsidRPr="007E03FE" w:rsidRDefault="00CC69F0" w:rsidP="003A4364">
            <w:pPr>
              <w:rPr>
                <w:rStyle w:val="tlid-translation"/>
                <w:sz w:val="16"/>
                <w:szCs w:val="16"/>
              </w:rPr>
            </w:pPr>
            <w:r w:rsidRPr="007E03FE">
              <w:rPr>
                <w:rStyle w:val="tlid-translation"/>
                <w:sz w:val="16"/>
                <w:szCs w:val="16"/>
              </w:rPr>
              <w:t xml:space="preserve">   c) En zones urbaines et périurbaines</w:t>
            </w:r>
          </w:p>
          <w:p w14:paraId="5444C7B5" w14:textId="77777777" w:rsidR="00CC69F0" w:rsidRPr="007E03FE" w:rsidRDefault="00CC69F0" w:rsidP="003A4364">
            <w:pPr>
              <w:rPr>
                <w:rStyle w:val="tlid-translation"/>
                <w:sz w:val="16"/>
                <w:szCs w:val="16"/>
              </w:rPr>
            </w:pPr>
            <w:r w:rsidRPr="007E03FE">
              <w:rPr>
                <w:rStyle w:val="tlid-translation"/>
                <w:b/>
                <w:sz w:val="16"/>
                <w:szCs w:val="16"/>
              </w:rPr>
              <w:t>Référence</w:t>
            </w:r>
            <w:r w:rsidRPr="007E03FE">
              <w:rPr>
                <w:rStyle w:val="tlid-translation"/>
                <w:sz w:val="16"/>
                <w:szCs w:val="16"/>
              </w:rPr>
              <w:t xml:space="preserve">: a) </w:t>
            </w:r>
            <w:r w:rsidRPr="007E03FE">
              <w:t xml:space="preserve"> </w:t>
            </w:r>
            <w:r w:rsidRPr="007E03FE">
              <w:rPr>
                <w:rStyle w:val="tlid-translation"/>
                <w:sz w:val="16"/>
                <w:szCs w:val="16"/>
              </w:rPr>
              <w:t xml:space="preserve">À confirmer , b) </w:t>
            </w:r>
            <w:r w:rsidRPr="007E03FE">
              <w:t xml:space="preserve"> </w:t>
            </w:r>
            <w:r w:rsidRPr="007E03FE">
              <w:rPr>
                <w:rStyle w:val="tlid-translation"/>
                <w:sz w:val="16"/>
                <w:szCs w:val="16"/>
              </w:rPr>
              <w:t xml:space="preserve">À confirmer , C) </w:t>
            </w:r>
            <w:r w:rsidRPr="007E03FE">
              <w:t xml:space="preserve"> </w:t>
            </w:r>
            <w:r w:rsidRPr="007E03FE">
              <w:rPr>
                <w:rStyle w:val="tlid-translation"/>
                <w:sz w:val="16"/>
                <w:szCs w:val="16"/>
              </w:rPr>
              <w:t xml:space="preserve">À confirmer </w:t>
            </w:r>
            <w:r w:rsidRPr="007E03FE">
              <w:rPr>
                <w:rStyle w:val="tlid-translation"/>
                <w:sz w:val="16"/>
                <w:szCs w:val="16"/>
              </w:rPr>
              <w:br/>
            </w:r>
            <w:r w:rsidRPr="007E03FE">
              <w:rPr>
                <w:rStyle w:val="tlid-translation"/>
                <w:b/>
                <w:sz w:val="16"/>
                <w:szCs w:val="16"/>
              </w:rPr>
              <w:t>Cible:</w:t>
            </w:r>
            <w:r w:rsidRPr="007E03FE">
              <w:rPr>
                <w:rStyle w:val="tlid-translation"/>
                <w:sz w:val="16"/>
                <w:szCs w:val="16"/>
              </w:rPr>
              <w:t xml:space="preserve">  a) </w:t>
            </w:r>
            <w:r w:rsidRPr="007E03FE">
              <w:t xml:space="preserve"> </w:t>
            </w:r>
            <w:r w:rsidRPr="007E03FE">
              <w:rPr>
                <w:rStyle w:val="tlid-translation"/>
                <w:sz w:val="16"/>
                <w:szCs w:val="16"/>
              </w:rPr>
              <w:t xml:space="preserve">À confirmer , b) </w:t>
            </w:r>
            <w:r w:rsidRPr="007E03FE">
              <w:t xml:space="preserve"> </w:t>
            </w:r>
            <w:r w:rsidRPr="007E03FE">
              <w:rPr>
                <w:rStyle w:val="tlid-translation"/>
                <w:sz w:val="16"/>
                <w:szCs w:val="16"/>
              </w:rPr>
              <w:t xml:space="preserve">À confirmer , C) </w:t>
            </w:r>
            <w:r w:rsidRPr="007E03FE">
              <w:t xml:space="preserve"> </w:t>
            </w:r>
            <w:r w:rsidRPr="007E03FE">
              <w:rPr>
                <w:rStyle w:val="tlid-translation"/>
                <w:sz w:val="16"/>
                <w:szCs w:val="16"/>
              </w:rPr>
              <w:t xml:space="preserve">À confirmer </w:t>
            </w:r>
            <w:r w:rsidRPr="007E03FE">
              <w:rPr>
                <w:rStyle w:val="tlid-translation"/>
                <w:sz w:val="16"/>
                <w:szCs w:val="16"/>
              </w:rPr>
              <w:br/>
            </w:r>
            <w:r w:rsidRPr="007E03FE">
              <w:rPr>
                <w:rStyle w:val="tlid-translation"/>
                <w:b/>
                <w:sz w:val="16"/>
                <w:szCs w:val="16"/>
              </w:rPr>
              <w:t>Source de données, Fréquence:</w:t>
            </w:r>
            <w:r w:rsidRPr="007E03FE">
              <w:rPr>
                <w:rStyle w:val="tlid-translation"/>
                <w:sz w:val="16"/>
                <w:szCs w:val="16"/>
              </w:rPr>
              <w:t xml:space="preserve"> AER, annuelle</w:t>
            </w:r>
          </w:p>
          <w:p w14:paraId="6DAE3FB8" w14:textId="77777777" w:rsidR="00CC69F0" w:rsidRPr="007E03FE" w:rsidRDefault="00CC69F0" w:rsidP="003A4364">
            <w:pPr>
              <w:rPr>
                <w:rStyle w:val="tlid-translation"/>
                <w:sz w:val="16"/>
                <w:szCs w:val="16"/>
              </w:rPr>
            </w:pPr>
          </w:p>
          <w:p w14:paraId="50CF754C" w14:textId="77777777" w:rsidR="00CC69F0" w:rsidRPr="007E03FE" w:rsidRDefault="00CC69F0" w:rsidP="003A4364">
            <w:pPr>
              <w:rPr>
                <w:rStyle w:val="tlid-translation"/>
                <w:sz w:val="16"/>
                <w:szCs w:val="16"/>
              </w:rPr>
            </w:pPr>
            <w:r w:rsidRPr="007E03FE">
              <w:rPr>
                <w:rStyle w:val="tlid-translation"/>
                <w:b/>
                <w:sz w:val="16"/>
                <w:szCs w:val="16"/>
              </w:rPr>
              <w:t>Indicateur 3.3.2:</w:t>
            </w:r>
            <w:r w:rsidRPr="007E03FE">
              <w:rPr>
                <w:rStyle w:val="tlid-translation"/>
                <w:sz w:val="16"/>
                <w:szCs w:val="16"/>
              </w:rPr>
              <w:t xml:space="preserve"> Nombre d’emplois créés dans le secteur des énergies renouvelables pour les femmes et les jeunes</w:t>
            </w:r>
            <w:r w:rsidRPr="007E03FE">
              <w:rPr>
                <w:rStyle w:val="tlid-translation"/>
                <w:sz w:val="16"/>
                <w:szCs w:val="16"/>
              </w:rPr>
              <w:br/>
            </w:r>
            <w:r w:rsidRPr="007E03FE">
              <w:rPr>
                <w:rStyle w:val="tlid-translation"/>
                <w:b/>
                <w:sz w:val="16"/>
                <w:szCs w:val="16"/>
              </w:rPr>
              <w:t>Référence:</w:t>
            </w:r>
            <w:r w:rsidRPr="007E03FE">
              <w:rPr>
                <w:rStyle w:val="tlid-translation"/>
                <w:sz w:val="16"/>
                <w:szCs w:val="16"/>
              </w:rPr>
              <w:t xml:space="preserve"> 2074 dont 841 femmes et 1233 jeunes </w:t>
            </w:r>
            <w:r w:rsidRPr="007E03FE">
              <w:rPr>
                <w:rStyle w:val="tlid-translation"/>
                <w:sz w:val="16"/>
                <w:szCs w:val="16"/>
              </w:rPr>
              <w:br/>
            </w:r>
            <w:r w:rsidRPr="007E03FE">
              <w:rPr>
                <w:rStyle w:val="tlid-translation"/>
                <w:b/>
                <w:sz w:val="16"/>
                <w:szCs w:val="16"/>
              </w:rPr>
              <w:t>Cible:</w:t>
            </w:r>
            <w:r w:rsidRPr="007E03FE">
              <w:rPr>
                <w:rStyle w:val="tlid-translation"/>
                <w:sz w:val="16"/>
                <w:szCs w:val="16"/>
              </w:rPr>
              <w:t xml:space="preserve"> 6 222 dont 2523 femmes et 3699 jeunes</w:t>
            </w:r>
          </w:p>
          <w:p w14:paraId="41D3BD66" w14:textId="77777777" w:rsidR="00CC69F0" w:rsidRPr="007E03FE" w:rsidRDefault="00CC69F0" w:rsidP="003A4364">
            <w:pPr>
              <w:rPr>
                <w:rStyle w:val="tlid-translation"/>
                <w:sz w:val="16"/>
                <w:szCs w:val="16"/>
              </w:rPr>
            </w:pPr>
            <w:r w:rsidRPr="007E03FE">
              <w:rPr>
                <w:rStyle w:val="tlid-translation"/>
                <w:b/>
                <w:sz w:val="16"/>
                <w:szCs w:val="16"/>
              </w:rPr>
              <w:t>Source de données, Fréquence :</w:t>
            </w:r>
            <w:r w:rsidRPr="007E03FE">
              <w:rPr>
                <w:rStyle w:val="tlid-translation"/>
                <w:sz w:val="16"/>
                <w:szCs w:val="16"/>
              </w:rPr>
              <w:t xml:space="preserve"> AER, annuelle</w:t>
            </w:r>
          </w:p>
        </w:tc>
        <w:tc>
          <w:tcPr>
            <w:tcW w:w="675" w:type="pct"/>
            <w:vMerge w:val="restart"/>
            <w:tcBorders>
              <w:top w:val="single" w:sz="4" w:space="0" w:color="auto"/>
              <w:bottom w:val="single" w:sz="4" w:space="0" w:color="auto"/>
              <w:right w:val="single" w:sz="4" w:space="0" w:color="auto"/>
            </w:tcBorders>
          </w:tcPr>
          <w:p w14:paraId="7315D542" w14:textId="77777777" w:rsidR="00CC69F0" w:rsidRPr="007E03FE" w:rsidRDefault="00CC69F0" w:rsidP="003A4364">
            <w:pPr>
              <w:rPr>
                <w:rStyle w:val="tlid-translation"/>
                <w:sz w:val="16"/>
                <w:szCs w:val="16"/>
              </w:rPr>
            </w:pPr>
            <w:r w:rsidRPr="007E03FE">
              <w:rPr>
                <w:rStyle w:val="tlid-translation"/>
                <w:sz w:val="16"/>
                <w:szCs w:val="16"/>
              </w:rPr>
              <w:t>Ministères de l’Environnement (AEDD), de l’Energie, des Finances, de l’Agriculture, Sécurité et  Protection Civile,  secteur privé, Société civile, autorités locales</w:t>
            </w:r>
          </w:p>
          <w:p w14:paraId="27A331B3" w14:textId="77777777" w:rsidR="00CC69F0" w:rsidRPr="007E03FE" w:rsidRDefault="00CC69F0" w:rsidP="003A4364">
            <w:pPr>
              <w:rPr>
                <w:rStyle w:val="tlid-translation"/>
                <w:sz w:val="16"/>
                <w:szCs w:val="16"/>
              </w:rPr>
            </w:pPr>
          </w:p>
          <w:p w14:paraId="3AB66915" w14:textId="77777777" w:rsidR="00CC69F0" w:rsidRPr="007E03FE" w:rsidRDefault="00CC69F0" w:rsidP="003A4364">
            <w:pPr>
              <w:rPr>
                <w:rStyle w:val="tlid-translation"/>
                <w:sz w:val="16"/>
                <w:szCs w:val="16"/>
              </w:rPr>
            </w:pPr>
          </w:p>
          <w:p w14:paraId="02EA284B" w14:textId="77777777" w:rsidR="00CC69F0" w:rsidRPr="007E03FE" w:rsidRDefault="00CC69F0" w:rsidP="003A4364">
            <w:pPr>
              <w:rPr>
                <w:rStyle w:val="tlid-translation"/>
                <w:sz w:val="16"/>
                <w:szCs w:val="16"/>
              </w:rPr>
            </w:pPr>
          </w:p>
          <w:p w14:paraId="6C187AAB" w14:textId="77777777" w:rsidR="00CC69F0" w:rsidRPr="007E03FE" w:rsidRDefault="00CC69F0" w:rsidP="003A4364">
            <w:pPr>
              <w:rPr>
                <w:rStyle w:val="tlid-translation"/>
                <w:sz w:val="16"/>
                <w:szCs w:val="16"/>
              </w:rPr>
            </w:pPr>
          </w:p>
          <w:p w14:paraId="0226DF86" w14:textId="77777777" w:rsidR="00CC69F0" w:rsidRPr="007E03FE" w:rsidRDefault="00CC69F0" w:rsidP="003A4364">
            <w:pPr>
              <w:rPr>
                <w:rStyle w:val="tlid-translation"/>
                <w:sz w:val="16"/>
                <w:szCs w:val="16"/>
              </w:rPr>
            </w:pPr>
          </w:p>
          <w:p w14:paraId="2859C35D" w14:textId="77777777" w:rsidR="00CC69F0" w:rsidRPr="007E03FE" w:rsidRDefault="00CC69F0" w:rsidP="003A4364">
            <w:pPr>
              <w:rPr>
                <w:rStyle w:val="tlid-translation"/>
                <w:sz w:val="16"/>
                <w:szCs w:val="16"/>
              </w:rPr>
            </w:pPr>
          </w:p>
          <w:p w14:paraId="16A89CA8" w14:textId="77777777" w:rsidR="00CC69F0" w:rsidRPr="007E03FE" w:rsidRDefault="00CC69F0" w:rsidP="003A4364">
            <w:pPr>
              <w:rPr>
                <w:rStyle w:val="tlid-translation"/>
                <w:sz w:val="16"/>
                <w:szCs w:val="16"/>
              </w:rPr>
            </w:pPr>
          </w:p>
          <w:p w14:paraId="5D8EA9A7" w14:textId="77777777" w:rsidR="00CC69F0" w:rsidRPr="007E03FE" w:rsidRDefault="00CC69F0" w:rsidP="003A4364">
            <w:pPr>
              <w:rPr>
                <w:rStyle w:val="tlid-translation"/>
                <w:sz w:val="16"/>
                <w:szCs w:val="16"/>
              </w:rPr>
            </w:pPr>
          </w:p>
          <w:p w14:paraId="450F5697" w14:textId="77777777" w:rsidR="00CC69F0" w:rsidRPr="007E03FE" w:rsidRDefault="00CC69F0" w:rsidP="003A4364">
            <w:pPr>
              <w:rPr>
                <w:rStyle w:val="tlid-translation"/>
                <w:sz w:val="16"/>
                <w:szCs w:val="16"/>
              </w:rPr>
            </w:pPr>
          </w:p>
          <w:p w14:paraId="7879C069" w14:textId="77777777" w:rsidR="00CC69F0" w:rsidRPr="007E03FE" w:rsidRDefault="00CC69F0" w:rsidP="003A4364">
            <w:pPr>
              <w:rPr>
                <w:rStyle w:val="tlid-translation"/>
                <w:sz w:val="16"/>
                <w:szCs w:val="16"/>
              </w:rPr>
            </w:pPr>
          </w:p>
          <w:p w14:paraId="71D76903" w14:textId="77777777" w:rsidR="00CC69F0" w:rsidRPr="007E03FE" w:rsidRDefault="00CC69F0" w:rsidP="003A4364">
            <w:pPr>
              <w:rPr>
                <w:rStyle w:val="tlid-translation"/>
                <w:sz w:val="16"/>
                <w:szCs w:val="16"/>
              </w:rPr>
            </w:pPr>
          </w:p>
          <w:p w14:paraId="6FE49571" w14:textId="77777777" w:rsidR="00CC69F0" w:rsidRPr="007E03FE" w:rsidRDefault="00CC69F0" w:rsidP="003A4364">
            <w:pPr>
              <w:rPr>
                <w:rStyle w:val="tlid-translation"/>
                <w:sz w:val="16"/>
                <w:szCs w:val="16"/>
              </w:rPr>
            </w:pPr>
          </w:p>
          <w:p w14:paraId="2F460BE9" w14:textId="77777777" w:rsidR="00CC69F0" w:rsidRPr="007E03FE" w:rsidRDefault="00CC69F0" w:rsidP="003A4364">
            <w:pPr>
              <w:rPr>
                <w:rStyle w:val="tlid-translation"/>
                <w:sz w:val="16"/>
                <w:szCs w:val="16"/>
              </w:rPr>
            </w:pPr>
          </w:p>
          <w:p w14:paraId="2D43A6DD" w14:textId="77777777" w:rsidR="00CC69F0" w:rsidRPr="007E03FE" w:rsidRDefault="00CC69F0" w:rsidP="003A4364">
            <w:pPr>
              <w:rPr>
                <w:rStyle w:val="tlid-translation"/>
                <w:sz w:val="16"/>
                <w:szCs w:val="16"/>
              </w:rPr>
            </w:pPr>
          </w:p>
          <w:p w14:paraId="17652F20" w14:textId="77777777" w:rsidR="00CC69F0" w:rsidRPr="007E03FE" w:rsidRDefault="00CC69F0" w:rsidP="003A4364">
            <w:pPr>
              <w:rPr>
                <w:rStyle w:val="tlid-translation"/>
                <w:sz w:val="16"/>
                <w:szCs w:val="16"/>
              </w:rPr>
            </w:pPr>
          </w:p>
          <w:p w14:paraId="1FCD9301" w14:textId="77777777" w:rsidR="00CC69F0" w:rsidRPr="007E03FE" w:rsidRDefault="00CC69F0" w:rsidP="003A4364">
            <w:pPr>
              <w:rPr>
                <w:rStyle w:val="tlid-translation"/>
                <w:sz w:val="16"/>
                <w:szCs w:val="16"/>
              </w:rPr>
            </w:pPr>
          </w:p>
          <w:p w14:paraId="2C8D3F91" w14:textId="77777777" w:rsidR="00CC69F0" w:rsidRPr="007E03FE" w:rsidRDefault="00CC69F0" w:rsidP="003A4364">
            <w:pPr>
              <w:rPr>
                <w:rStyle w:val="tlid-translation"/>
                <w:sz w:val="16"/>
                <w:szCs w:val="16"/>
              </w:rPr>
            </w:pPr>
          </w:p>
          <w:p w14:paraId="41CC6BFA" w14:textId="77777777" w:rsidR="00CC69F0" w:rsidRPr="007E03FE" w:rsidRDefault="00CC69F0" w:rsidP="003A4364">
            <w:pPr>
              <w:rPr>
                <w:rStyle w:val="tlid-translation"/>
                <w:sz w:val="16"/>
                <w:szCs w:val="16"/>
              </w:rPr>
            </w:pPr>
            <w:r w:rsidRPr="007E03FE">
              <w:rPr>
                <w:rStyle w:val="tlid-translation"/>
                <w:sz w:val="16"/>
                <w:szCs w:val="16"/>
              </w:rPr>
              <w:t xml:space="preserve">Ministères de l’Environnement (AEDD), Finance, Agriculture, Sécurité et Protection civile, Société civile, autorités locales </w:t>
            </w:r>
          </w:p>
          <w:p w14:paraId="5A57288A" w14:textId="77777777" w:rsidR="00CC69F0" w:rsidRPr="007E03FE" w:rsidRDefault="00CC69F0" w:rsidP="003A4364">
            <w:pPr>
              <w:rPr>
                <w:rStyle w:val="tlid-translation"/>
                <w:sz w:val="16"/>
                <w:szCs w:val="16"/>
              </w:rPr>
            </w:pPr>
          </w:p>
          <w:p w14:paraId="5CBB245A" w14:textId="77777777" w:rsidR="00CC69F0" w:rsidRPr="007E03FE" w:rsidRDefault="00CC69F0" w:rsidP="003A4364">
            <w:pPr>
              <w:rPr>
                <w:rStyle w:val="tlid-translation"/>
                <w:sz w:val="16"/>
                <w:szCs w:val="16"/>
              </w:rPr>
            </w:pPr>
          </w:p>
          <w:p w14:paraId="126E71F5" w14:textId="77777777" w:rsidR="00CC69F0" w:rsidRPr="007E03FE" w:rsidRDefault="00CC69F0" w:rsidP="003A4364">
            <w:pPr>
              <w:rPr>
                <w:rStyle w:val="tlid-translation"/>
                <w:sz w:val="16"/>
                <w:szCs w:val="16"/>
              </w:rPr>
            </w:pPr>
          </w:p>
          <w:p w14:paraId="32166EA4" w14:textId="77777777" w:rsidR="00CC69F0" w:rsidRPr="007E03FE" w:rsidRDefault="00CC69F0" w:rsidP="003A4364">
            <w:pPr>
              <w:rPr>
                <w:rStyle w:val="tlid-translation"/>
                <w:sz w:val="16"/>
                <w:szCs w:val="16"/>
              </w:rPr>
            </w:pPr>
          </w:p>
          <w:p w14:paraId="219F4A9E" w14:textId="77777777" w:rsidR="00CC69F0" w:rsidRPr="007E03FE" w:rsidRDefault="00CC69F0" w:rsidP="003A4364">
            <w:pPr>
              <w:rPr>
                <w:rStyle w:val="tlid-translation"/>
                <w:sz w:val="16"/>
                <w:szCs w:val="16"/>
              </w:rPr>
            </w:pPr>
          </w:p>
          <w:p w14:paraId="76FE5C59" w14:textId="77777777" w:rsidR="00CC69F0" w:rsidRPr="007E03FE" w:rsidRDefault="00CC69F0" w:rsidP="003A4364">
            <w:pPr>
              <w:rPr>
                <w:rStyle w:val="tlid-translation"/>
                <w:sz w:val="16"/>
                <w:szCs w:val="16"/>
              </w:rPr>
            </w:pPr>
          </w:p>
          <w:p w14:paraId="1729B114" w14:textId="77777777" w:rsidR="00CC69F0" w:rsidRPr="007E03FE" w:rsidRDefault="00CC69F0" w:rsidP="003A4364">
            <w:pPr>
              <w:rPr>
                <w:rStyle w:val="tlid-translation"/>
                <w:sz w:val="16"/>
                <w:szCs w:val="16"/>
              </w:rPr>
            </w:pPr>
          </w:p>
          <w:p w14:paraId="357B11BA" w14:textId="77777777" w:rsidR="00CC69F0" w:rsidRPr="007E03FE" w:rsidRDefault="00CC69F0" w:rsidP="003A4364">
            <w:pPr>
              <w:rPr>
                <w:rStyle w:val="tlid-translation"/>
                <w:sz w:val="16"/>
                <w:szCs w:val="16"/>
              </w:rPr>
            </w:pPr>
          </w:p>
          <w:p w14:paraId="4D63CEA8" w14:textId="77777777" w:rsidR="00CC69F0" w:rsidRPr="007E03FE" w:rsidRDefault="00CC69F0" w:rsidP="003A4364">
            <w:pPr>
              <w:rPr>
                <w:rStyle w:val="tlid-translation"/>
                <w:sz w:val="16"/>
                <w:szCs w:val="16"/>
              </w:rPr>
            </w:pPr>
          </w:p>
          <w:p w14:paraId="08FBE4D1" w14:textId="77777777" w:rsidR="00CC69F0" w:rsidRPr="007E03FE" w:rsidRDefault="00CC69F0" w:rsidP="003A4364">
            <w:pPr>
              <w:rPr>
                <w:rStyle w:val="tlid-translation"/>
                <w:sz w:val="16"/>
                <w:szCs w:val="16"/>
              </w:rPr>
            </w:pPr>
          </w:p>
          <w:p w14:paraId="4285DAFA" w14:textId="77777777" w:rsidR="00CC69F0" w:rsidRPr="007E03FE" w:rsidRDefault="00CC69F0" w:rsidP="003A4364">
            <w:pPr>
              <w:rPr>
                <w:rStyle w:val="tlid-translation"/>
                <w:sz w:val="16"/>
                <w:szCs w:val="16"/>
              </w:rPr>
            </w:pPr>
          </w:p>
          <w:p w14:paraId="242E7360" w14:textId="77777777" w:rsidR="00CC69F0" w:rsidRPr="007E03FE" w:rsidRDefault="00CC69F0" w:rsidP="003A4364">
            <w:pPr>
              <w:rPr>
                <w:rStyle w:val="tlid-translation"/>
                <w:sz w:val="16"/>
                <w:szCs w:val="16"/>
              </w:rPr>
            </w:pPr>
          </w:p>
          <w:p w14:paraId="250CF973" w14:textId="77777777" w:rsidR="00CC69F0" w:rsidRPr="007E03FE" w:rsidRDefault="00CC69F0" w:rsidP="003A4364">
            <w:pPr>
              <w:rPr>
                <w:rStyle w:val="tlid-translation"/>
                <w:sz w:val="16"/>
                <w:szCs w:val="16"/>
              </w:rPr>
            </w:pPr>
          </w:p>
          <w:p w14:paraId="7DCA86DE" w14:textId="77777777" w:rsidR="00CC69F0" w:rsidRPr="007E03FE" w:rsidRDefault="00CC69F0" w:rsidP="003A4364">
            <w:pPr>
              <w:rPr>
                <w:rStyle w:val="tlid-translation"/>
                <w:sz w:val="16"/>
                <w:szCs w:val="16"/>
              </w:rPr>
            </w:pPr>
          </w:p>
          <w:p w14:paraId="5DA4E789" w14:textId="77777777" w:rsidR="00CC69F0" w:rsidRPr="007E03FE" w:rsidRDefault="00CC69F0" w:rsidP="003A4364">
            <w:pPr>
              <w:rPr>
                <w:rStyle w:val="tlid-translation"/>
                <w:sz w:val="16"/>
                <w:szCs w:val="16"/>
              </w:rPr>
            </w:pPr>
          </w:p>
          <w:p w14:paraId="1A535A66" w14:textId="77777777" w:rsidR="00CC69F0" w:rsidRPr="007E03FE" w:rsidRDefault="00CC69F0" w:rsidP="003A4364">
            <w:pPr>
              <w:rPr>
                <w:rStyle w:val="tlid-translation"/>
                <w:sz w:val="16"/>
                <w:szCs w:val="16"/>
              </w:rPr>
            </w:pPr>
          </w:p>
          <w:p w14:paraId="0ABFB68D" w14:textId="77777777" w:rsidR="00CC69F0" w:rsidRPr="007E03FE" w:rsidRDefault="00CC69F0" w:rsidP="003A4364">
            <w:pPr>
              <w:rPr>
                <w:rStyle w:val="tlid-translation"/>
                <w:sz w:val="16"/>
                <w:szCs w:val="16"/>
              </w:rPr>
            </w:pPr>
          </w:p>
          <w:p w14:paraId="77CAFB3D" w14:textId="77777777" w:rsidR="00CC69F0" w:rsidRPr="007E03FE" w:rsidRDefault="00CC69F0" w:rsidP="003A4364">
            <w:pPr>
              <w:rPr>
                <w:rStyle w:val="tlid-translation"/>
                <w:sz w:val="16"/>
                <w:szCs w:val="16"/>
              </w:rPr>
            </w:pPr>
          </w:p>
          <w:p w14:paraId="41153FF5" w14:textId="77777777" w:rsidR="00CC69F0" w:rsidRPr="007E03FE" w:rsidRDefault="00CC69F0" w:rsidP="003A4364">
            <w:pPr>
              <w:rPr>
                <w:rStyle w:val="tlid-translation"/>
                <w:sz w:val="16"/>
                <w:szCs w:val="16"/>
              </w:rPr>
            </w:pPr>
          </w:p>
          <w:p w14:paraId="674369F3" w14:textId="77777777" w:rsidR="00CC69F0" w:rsidRPr="007E03FE" w:rsidRDefault="00CC69F0" w:rsidP="003A4364">
            <w:pPr>
              <w:rPr>
                <w:rStyle w:val="tlid-translation"/>
                <w:sz w:val="16"/>
                <w:szCs w:val="16"/>
              </w:rPr>
            </w:pPr>
            <w:r w:rsidRPr="007E03FE">
              <w:rPr>
                <w:rStyle w:val="tlid-translation"/>
                <w:sz w:val="16"/>
                <w:szCs w:val="16"/>
              </w:rPr>
              <w:t>Ministères de l’Environnement (AEDD), Energie, Finance</w:t>
            </w:r>
            <w:r>
              <w:rPr>
                <w:rStyle w:val="tlid-translation"/>
                <w:sz w:val="16"/>
                <w:szCs w:val="16"/>
              </w:rPr>
              <w:t>s</w:t>
            </w:r>
            <w:r w:rsidRPr="007E03FE">
              <w:rPr>
                <w:rStyle w:val="tlid-translation"/>
                <w:sz w:val="16"/>
                <w:szCs w:val="16"/>
              </w:rPr>
              <w:t xml:space="preserve">, Agriculture, Jeunesse et de la Femme, secteur privé, Société civile, autorités locale </w:t>
            </w:r>
          </w:p>
          <w:p w14:paraId="20448837" w14:textId="77777777" w:rsidR="00CC69F0" w:rsidRPr="007E03FE" w:rsidRDefault="00CC69F0" w:rsidP="003A4364">
            <w:pPr>
              <w:rPr>
                <w:rStyle w:val="tlid-translation"/>
                <w:sz w:val="16"/>
                <w:szCs w:val="16"/>
              </w:rPr>
            </w:pPr>
          </w:p>
        </w:tc>
        <w:tc>
          <w:tcPr>
            <w:tcW w:w="958"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02A5FE7" w14:textId="77777777" w:rsidR="00CC69F0" w:rsidRPr="007E03FE" w:rsidRDefault="00CC69F0" w:rsidP="003A4364">
            <w:pPr>
              <w:rPr>
                <w:rStyle w:val="tlid-translation"/>
                <w:b/>
                <w:sz w:val="16"/>
                <w:szCs w:val="16"/>
                <w:lang w:val="en"/>
              </w:rPr>
            </w:pPr>
            <w:proofErr w:type="spellStart"/>
            <w:r w:rsidRPr="007E03FE">
              <w:rPr>
                <w:rStyle w:val="tlid-translation"/>
                <w:b/>
                <w:sz w:val="16"/>
                <w:szCs w:val="16"/>
                <w:lang w:val="en"/>
              </w:rPr>
              <w:t>Régulier</w:t>
            </w:r>
            <w:proofErr w:type="spellEnd"/>
            <w:r w:rsidRPr="007E03FE">
              <w:rPr>
                <w:rStyle w:val="tlid-translation"/>
                <w:b/>
                <w:sz w:val="16"/>
                <w:szCs w:val="16"/>
                <w:lang w:val="en"/>
              </w:rPr>
              <w:t>: 6 830 384</w:t>
            </w:r>
          </w:p>
          <w:p w14:paraId="74ADE40D" w14:textId="77777777" w:rsidR="00CC69F0" w:rsidRPr="007E03FE" w:rsidRDefault="00CC69F0" w:rsidP="003A4364">
            <w:pPr>
              <w:rPr>
                <w:rStyle w:val="tlid-translation"/>
                <w:b/>
                <w:sz w:val="16"/>
                <w:szCs w:val="16"/>
                <w:lang w:val="en"/>
              </w:rPr>
            </w:pPr>
            <w:proofErr w:type="spellStart"/>
            <w:r w:rsidRPr="007E03FE">
              <w:rPr>
                <w:rStyle w:val="tlid-translation"/>
                <w:b/>
                <w:sz w:val="16"/>
                <w:szCs w:val="16"/>
                <w:lang w:val="en"/>
              </w:rPr>
              <w:t>Autre</w:t>
            </w:r>
            <w:proofErr w:type="spellEnd"/>
            <w:r w:rsidRPr="007E03FE">
              <w:rPr>
                <w:rStyle w:val="tlid-translation"/>
                <w:b/>
                <w:sz w:val="16"/>
                <w:szCs w:val="16"/>
                <w:lang w:val="en"/>
              </w:rPr>
              <w:t>: 20 013 400</w:t>
            </w:r>
          </w:p>
          <w:p w14:paraId="4E12BD56" w14:textId="77777777" w:rsidR="00CC69F0" w:rsidRPr="007E03FE" w:rsidRDefault="00CC69F0" w:rsidP="003A4364">
            <w:pPr>
              <w:rPr>
                <w:rStyle w:val="tlid-translation"/>
                <w:sz w:val="16"/>
                <w:szCs w:val="16"/>
                <w:lang w:val="en"/>
              </w:rPr>
            </w:pPr>
          </w:p>
          <w:p w14:paraId="3FF662C9" w14:textId="77777777" w:rsidR="00CC69F0" w:rsidRPr="007E03FE" w:rsidRDefault="00CC69F0" w:rsidP="003A4364">
            <w:pPr>
              <w:rPr>
                <w:rStyle w:val="tlid-translation"/>
                <w:sz w:val="16"/>
                <w:szCs w:val="16"/>
                <w:lang w:val="en"/>
              </w:rPr>
            </w:pPr>
          </w:p>
          <w:p w14:paraId="6A388AFD" w14:textId="77777777" w:rsidR="00CC69F0" w:rsidRPr="007E03FE" w:rsidRDefault="00CC69F0" w:rsidP="003A4364">
            <w:pPr>
              <w:rPr>
                <w:rStyle w:val="tlid-translation"/>
                <w:sz w:val="16"/>
                <w:szCs w:val="16"/>
                <w:lang w:val="en"/>
              </w:rPr>
            </w:pPr>
          </w:p>
          <w:p w14:paraId="1639012D" w14:textId="77777777" w:rsidR="00CC69F0" w:rsidRPr="007E03FE" w:rsidRDefault="00CC69F0" w:rsidP="003A4364">
            <w:pPr>
              <w:rPr>
                <w:rStyle w:val="tlid-translation"/>
                <w:sz w:val="16"/>
                <w:szCs w:val="16"/>
                <w:lang w:val="en"/>
              </w:rPr>
            </w:pPr>
          </w:p>
          <w:p w14:paraId="23EED917" w14:textId="77777777" w:rsidR="00CC69F0" w:rsidRPr="007E03FE" w:rsidRDefault="00CC69F0" w:rsidP="003A4364">
            <w:pPr>
              <w:rPr>
                <w:rStyle w:val="tlid-translation"/>
                <w:sz w:val="16"/>
                <w:szCs w:val="16"/>
                <w:lang w:val="en"/>
              </w:rPr>
            </w:pPr>
          </w:p>
          <w:p w14:paraId="1D0B149C" w14:textId="77777777" w:rsidR="00CC69F0" w:rsidRPr="007E03FE" w:rsidRDefault="00CC69F0" w:rsidP="003A4364">
            <w:pPr>
              <w:rPr>
                <w:rStyle w:val="tlid-translation"/>
                <w:sz w:val="16"/>
                <w:szCs w:val="16"/>
                <w:lang w:val="en"/>
              </w:rPr>
            </w:pPr>
          </w:p>
          <w:p w14:paraId="4D226290" w14:textId="77777777" w:rsidR="00CC69F0" w:rsidRPr="007E03FE" w:rsidRDefault="00CC69F0" w:rsidP="003A4364">
            <w:pPr>
              <w:rPr>
                <w:rStyle w:val="tlid-translation"/>
                <w:sz w:val="16"/>
                <w:szCs w:val="16"/>
                <w:lang w:val="en"/>
              </w:rPr>
            </w:pPr>
          </w:p>
          <w:p w14:paraId="3B2C0980" w14:textId="77777777" w:rsidR="00CC69F0" w:rsidRPr="007E03FE" w:rsidRDefault="00CC69F0" w:rsidP="003A4364">
            <w:pPr>
              <w:rPr>
                <w:rStyle w:val="tlid-translation"/>
                <w:sz w:val="16"/>
                <w:szCs w:val="16"/>
                <w:lang w:val="en"/>
              </w:rPr>
            </w:pPr>
          </w:p>
          <w:p w14:paraId="23754F84" w14:textId="77777777" w:rsidR="00CC69F0" w:rsidRPr="007E03FE" w:rsidRDefault="00CC69F0" w:rsidP="003A4364">
            <w:pPr>
              <w:rPr>
                <w:rStyle w:val="tlid-translation"/>
                <w:sz w:val="16"/>
                <w:szCs w:val="16"/>
                <w:lang w:val="en"/>
              </w:rPr>
            </w:pPr>
          </w:p>
          <w:p w14:paraId="66783086" w14:textId="77777777" w:rsidR="00CC69F0" w:rsidRPr="007E03FE" w:rsidRDefault="00CC69F0" w:rsidP="003A4364">
            <w:pPr>
              <w:rPr>
                <w:rStyle w:val="tlid-translation"/>
                <w:sz w:val="16"/>
                <w:szCs w:val="16"/>
                <w:lang w:val="en"/>
              </w:rPr>
            </w:pPr>
          </w:p>
          <w:p w14:paraId="2BEA8003" w14:textId="77777777" w:rsidR="00CC69F0" w:rsidRPr="007E03FE" w:rsidRDefault="00CC69F0" w:rsidP="003A4364">
            <w:pPr>
              <w:rPr>
                <w:rStyle w:val="tlid-translation"/>
                <w:sz w:val="16"/>
                <w:szCs w:val="16"/>
                <w:lang w:val="en"/>
              </w:rPr>
            </w:pPr>
          </w:p>
          <w:p w14:paraId="5E3DCC2E" w14:textId="77777777" w:rsidR="00CC69F0" w:rsidRPr="007E03FE" w:rsidRDefault="00CC69F0" w:rsidP="003A4364">
            <w:pPr>
              <w:rPr>
                <w:rStyle w:val="tlid-translation"/>
                <w:sz w:val="16"/>
                <w:szCs w:val="16"/>
                <w:lang w:val="en"/>
              </w:rPr>
            </w:pPr>
          </w:p>
          <w:p w14:paraId="03CED96E" w14:textId="77777777" w:rsidR="00CC69F0" w:rsidRPr="007E03FE" w:rsidRDefault="00CC69F0" w:rsidP="003A4364">
            <w:pPr>
              <w:rPr>
                <w:rStyle w:val="tlid-translation"/>
                <w:sz w:val="16"/>
                <w:szCs w:val="16"/>
                <w:lang w:val="en"/>
              </w:rPr>
            </w:pPr>
          </w:p>
          <w:p w14:paraId="317806D6" w14:textId="77777777" w:rsidR="00CC69F0" w:rsidRPr="007E03FE" w:rsidRDefault="00CC69F0" w:rsidP="003A4364">
            <w:pPr>
              <w:rPr>
                <w:rStyle w:val="tlid-translation"/>
                <w:sz w:val="16"/>
                <w:szCs w:val="16"/>
                <w:lang w:val="en"/>
              </w:rPr>
            </w:pPr>
          </w:p>
          <w:p w14:paraId="64AB0A38" w14:textId="77777777" w:rsidR="00CC69F0" w:rsidRPr="007E03FE" w:rsidRDefault="00CC69F0" w:rsidP="003A4364">
            <w:pPr>
              <w:rPr>
                <w:rStyle w:val="tlid-translation"/>
                <w:sz w:val="16"/>
                <w:szCs w:val="16"/>
                <w:lang w:val="en"/>
              </w:rPr>
            </w:pPr>
          </w:p>
          <w:p w14:paraId="10B3F551" w14:textId="77777777" w:rsidR="00CC69F0" w:rsidRPr="007E03FE" w:rsidRDefault="00CC69F0" w:rsidP="003A4364">
            <w:pPr>
              <w:rPr>
                <w:rStyle w:val="tlid-translation"/>
                <w:sz w:val="16"/>
                <w:szCs w:val="16"/>
                <w:lang w:val="en"/>
              </w:rPr>
            </w:pPr>
          </w:p>
          <w:p w14:paraId="62D6D846" w14:textId="77777777" w:rsidR="00CC69F0" w:rsidRPr="007E03FE" w:rsidRDefault="00CC69F0" w:rsidP="003A4364">
            <w:pPr>
              <w:rPr>
                <w:rStyle w:val="tlid-translation"/>
                <w:sz w:val="16"/>
                <w:szCs w:val="16"/>
                <w:lang w:val="en"/>
              </w:rPr>
            </w:pPr>
          </w:p>
          <w:p w14:paraId="6733E9F1" w14:textId="77777777" w:rsidR="00CC69F0" w:rsidRPr="007E03FE" w:rsidRDefault="00CC69F0" w:rsidP="003A4364">
            <w:pPr>
              <w:rPr>
                <w:rStyle w:val="tlid-translation"/>
                <w:sz w:val="16"/>
                <w:szCs w:val="16"/>
                <w:lang w:val="en"/>
              </w:rPr>
            </w:pPr>
          </w:p>
          <w:p w14:paraId="4DA2ADB3" w14:textId="77777777" w:rsidR="00CC69F0" w:rsidRPr="007E03FE" w:rsidRDefault="00CC69F0" w:rsidP="003A4364">
            <w:pPr>
              <w:rPr>
                <w:rStyle w:val="tlid-translation"/>
                <w:sz w:val="16"/>
                <w:szCs w:val="16"/>
                <w:lang w:val="en"/>
              </w:rPr>
            </w:pPr>
          </w:p>
          <w:p w14:paraId="74EE7C1F" w14:textId="77777777" w:rsidR="00CC69F0" w:rsidRPr="007E03FE" w:rsidRDefault="00CC69F0" w:rsidP="003A4364">
            <w:pPr>
              <w:rPr>
                <w:rStyle w:val="tlid-translation"/>
                <w:sz w:val="16"/>
                <w:szCs w:val="16"/>
                <w:lang w:val="en"/>
              </w:rPr>
            </w:pPr>
          </w:p>
          <w:p w14:paraId="7C1CB821" w14:textId="77777777" w:rsidR="00CC69F0" w:rsidRPr="007E03FE" w:rsidRDefault="00CC69F0" w:rsidP="003A4364">
            <w:pPr>
              <w:rPr>
                <w:rStyle w:val="tlid-translation"/>
                <w:sz w:val="16"/>
                <w:szCs w:val="16"/>
                <w:lang w:val="en"/>
              </w:rPr>
            </w:pPr>
          </w:p>
          <w:p w14:paraId="74D0C864" w14:textId="77777777" w:rsidR="00CC69F0" w:rsidRPr="007E03FE" w:rsidRDefault="00CC69F0" w:rsidP="003A4364">
            <w:pPr>
              <w:rPr>
                <w:rStyle w:val="tlid-translation"/>
                <w:sz w:val="16"/>
                <w:szCs w:val="16"/>
                <w:lang w:val="en"/>
              </w:rPr>
            </w:pPr>
          </w:p>
          <w:tbl>
            <w:tblPr>
              <w:tblW w:w="4837" w:type="pct"/>
              <w:tblLayout w:type="fixed"/>
              <w:tblCellMar>
                <w:left w:w="29" w:type="dxa"/>
                <w:right w:w="29" w:type="dxa"/>
              </w:tblCellMar>
              <w:tblLook w:val="00A0" w:firstRow="1" w:lastRow="0" w:firstColumn="1" w:lastColumn="0" w:noHBand="0" w:noVBand="0"/>
            </w:tblPr>
            <w:tblGrid>
              <w:gridCol w:w="2300"/>
            </w:tblGrid>
            <w:tr w:rsidR="00CC69F0" w:rsidRPr="007E03FE" w14:paraId="2C016CEB" w14:textId="77777777" w:rsidTr="003A4364">
              <w:trPr>
                <w:trHeight w:val="133"/>
              </w:trPr>
              <w:tc>
                <w:tcPr>
                  <w:tcW w:w="958" w:type="pct"/>
                  <w:tcMar>
                    <w:top w:w="15" w:type="dxa"/>
                    <w:left w:w="108" w:type="dxa"/>
                    <w:bottom w:w="0" w:type="dxa"/>
                    <w:right w:w="108" w:type="dxa"/>
                  </w:tcMar>
                </w:tcPr>
                <w:p w14:paraId="08A48EA8" w14:textId="77777777" w:rsidR="00CC69F0" w:rsidRPr="007E03FE" w:rsidRDefault="00CC69F0" w:rsidP="00401346">
                  <w:pPr>
                    <w:framePr w:hSpace="141" w:wrap="around" w:vAnchor="text" w:hAnchor="text" w:y="1"/>
                    <w:suppressOverlap/>
                    <w:rPr>
                      <w:rStyle w:val="tlid-translation"/>
                      <w:b/>
                      <w:sz w:val="16"/>
                      <w:szCs w:val="16"/>
                      <w:lang w:val="en"/>
                    </w:rPr>
                  </w:pPr>
                  <w:proofErr w:type="spellStart"/>
                  <w:r w:rsidRPr="007E03FE">
                    <w:rPr>
                      <w:rStyle w:val="tlid-translation"/>
                      <w:b/>
                      <w:sz w:val="16"/>
                      <w:szCs w:val="16"/>
                      <w:lang w:val="en"/>
                    </w:rPr>
                    <w:t>Régulier</w:t>
                  </w:r>
                  <w:proofErr w:type="spellEnd"/>
                  <w:r w:rsidRPr="007E03FE">
                    <w:rPr>
                      <w:rStyle w:val="tlid-translation"/>
                      <w:b/>
                      <w:sz w:val="16"/>
                      <w:szCs w:val="16"/>
                      <w:lang w:val="en"/>
                    </w:rPr>
                    <w:t>: 5 098 231</w:t>
                  </w:r>
                </w:p>
              </w:tc>
            </w:tr>
            <w:tr w:rsidR="00CC69F0" w:rsidRPr="007E03FE" w14:paraId="75C8022F" w14:textId="77777777" w:rsidTr="003A4364">
              <w:trPr>
                <w:trHeight w:val="461"/>
              </w:trPr>
              <w:tc>
                <w:tcPr>
                  <w:tcW w:w="958" w:type="pct"/>
                  <w:tcMar>
                    <w:top w:w="15" w:type="dxa"/>
                    <w:left w:w="108" w:type="dxa"/>
                    <w:bottom w:w="0" w:type="dxa"/>
                    <w:right w:w="108" w:type="dxa"/>
                  </w:tcMar>
                </w:tcPr>
                <w:p w14:paraId="4DBC3B74" w14:textId="77777777" w:rsidR="00CC69F0" w:rsidRPr="007E03FE" w:rsidRDefault="00CC69F0" w:rsidP="00401346">
                  <w:pPr>
                    <w:framePr w:hSpace="141" w:wrap="around" w:vAnchor="text" w:hAnchor="text" w:y="1"/>
                    <w:suppressOverlap/>
                    <w:rPr>
                      <w:rStyle w:val="tlid-translation"/>
                      <w:b/>
                      <w:sz w:val="16"/>
                      <w:szCs w:val="16"/>
                      <w:lang w:val="en"/>
                    </w:rPr>
                  </w:pPr>
                  <w:proofErr w:type="spellStart"/>
                  <w:r w:rsidRPr="007E03FE">
                    <w:rPr>
                      <w:rStyle w:val="tlid-translation"/>
                      <w:b/>
                      <w:sz w:val="16"/>
                      <w:szCs w:val="16"/>
                      <w:lang w:val="en"/>
                    </w:rPr>
                    <w:t>Autre</w:t>
                  </w:r>
                  <w:proofErr w:type="spellEnd"/>
                  <w:r w:rsidRPr="007E03FE">
                    <w:rPr>
                      <w:rStyle w:val="tlid-translation"/>
                      <w:b/>
                      <w:sz w:val="16"/>
                      <w:szCs w:val="16"/>
                      <w:lang w:val="en"/>
                    </w:rPr>
                    <w:t>: 24 440 057</w:t>
                  </w:r>
                </w:p>
                <w:p w14:paraId="4941A0F0" w14:textId="77777777" w:rsidR="00CC69F0" w:rsidRPr="007E03FE" w:rsidRDefault="00CC69F0" w:rsidP="00401346">
                  <w:pPr>
                    <w:framePr w:hSpace="141" w:wrap="around" w:vAnchor="text" w:hAnchor="text" w:y="1"/>
                    <w:suppressOverlap/>
                    <w:rPr>
                      <w:rStyle w:val="tlid-translation"/>
                      <w:b/>
                      <w:sz w:val="16"/>
                      <w:szCs w:val="16"/>
                      <w:lang w:val="en"/>
                    </w:rPr>
                  </w:pPr>
                </w:p>
              </w:tc>
            </w:tr>
          </w:tbl>
          <w:p w14:paraId="1508AD9A" w14:textId="77777777" w:rsidR="00CC69F0" w:rsidRPr="007E03FE" w:rsidRDefault="00CC69F0" w:rsidP="003A4364">
            <w:pPr>
              <w:rPr>
                <w:rStyle w:val="tlid-translation"/>
                <w:sz w:val="16"/>
                <w:szCs w:val="16"/>
                <w:lang w:val="en"/>
              </w:rPr>
            </w:pPr>
          </w:p>
          <w:p w14:paraId="08F8AF69" w14:textId="77777777" w:rsidR="00CC69F0" w:rsidRPr="007E03FE" w:rsidRDefault="00CC69F0" w:rsidP="003A4364">
            <w:pPr>
              <w:rPr>
                <w:rStyle w:val="tlid-translation"/>
                <w:sz w:val="16"/>
                <w:szCs w:val="16"/>
                <w:lang w:val="en"/>
              </w:rPr>
            </w:pPr>
          </w:p>
          <w:p w14:paraId="476E070A" w14:textId="77777777" w:rsidR="00CC69F0" w:rsidRPr="007E03FE" w:rsidRDefault="00CC69F0" w:rsidP="003A4364">
            <w:pPr>
              <w:rPr>
                <w:rStyle w:val="tlid-translation"/>
                <w:sz w:val="16"/>
                <w:szCs w:val="16"/>
                <w:lang w:val="en"/>
              </w:rPr>
            </w:pPr>
          </w:p>
          <w:p w14:paraId="6310F7CD" w14:textId="77777777" w:rsidR="00CC69F0" w:rsidRPr="007E03FE" w:rsidRDefault="00CC69F0" w:rsidP="003A4364">
            <w:pPr>
              <w:rPr>
                <w:rStyle w:val="tlid-translation"/>
                <w:sz w:val="16"/>
                <w:szCs w:val="16"/>
                <w:lang w:val="en"/>
              </w:rPr>
            </w:pPr>
          </w:p>
          <w:p w14:paraId="1CFF6644" w14:textId="77777777" w:rsidR="00CC69F0" w:rsidRPr="007E03FE" w:rsidRDefault="00CC69F0" w:rsidP="003A4364">
            <w:pPr>
              <w:rPr>
                <w:rStyle w:val="tlid-translation"/>
                <w:sz w:val="16"/>
                <w:szCs w:val="16"/>
                <w:lang w:val="en"/>
              </w:rPr>
            </w:pPr>
          </w:p>
          <w:p w14:paraId="0D02FCAC" w14:textId="77777777" w:rsidR="00CC69F0" w:rsidRPr="007E03FE" w:rsidRDefault="00CC69F0" w:rsidP="003A4364">
            <w:pPr>
              <w:rPr>
                <w:rStyle w:val="tlid-translation"/>
                <w:sz w:val="16"/>
                <w:szCs w:val="16"/>
                <w:lang w:val="en"/>
              </w:rPr>
            </w:pPr>
          </w:p>
          <w:p w14:paraId="46A40E47" w14:textId="77777777" w:rsidR="00CC69F0" w:rsidRPr="007E03FE" w:rsidRDefault="00CC69F0" w:rsidP="003A4364">
            <w:pPr>
              <w:rPr>
                <w:rStyle w:val="tlid-translation"/>
                <w:sz w:val="16"/>
                <w:szCs w:val="16"/>
                <w:lang w:val="en"/>
              </w:rPr>
            </w:pPr>
          </w:p>
          <w:p w14:paraId="1EC491B0" w14:textId="77777777" w:rsidR="00CC69F0" w:rsidRPr="007E03FE" w:rsidRDefault="00CC69F0" w:rsidP="003A4364">
            <w:pPr>
              <w:rPr>
                <w:rStyle w:val="tlid-translation"/>
                <w:sz w:val="16"/>
                <w:szCs w:val="16"/>
                <w:lang w:val="en"/>
              </w:rPr>
            </w:pPr>
          </w:p>
          <w:p w14:paraId="7615C2E2" w14:textId="77777777" w:rsidR="00CC69F0" w:rsidRPr="007E03FE" w:rsidRDefault="00CC69F0" w:rsidP="003A4364">
            <w:pPr>
              <w:rPr>
                <w:rStyle w:val="tlid-translation"/>
                <w:sz w:val="16"/>
                <w:szCs w:val="16"/>
                <w:lang w:val="en"/>
              </w:rPr>
            </w:pPr>
          </w:p>
          <w:p w14:paraId="3BE24FEA" w14:textId="77777777" w:rsidR="00CC69F0" w:rsidRPr="007E03FE" w:rsidRDefault="00CC69F0" w:rsidP="003A4364">
            <w:pPr>
              <w:rPr>
                <w:rStyle w:val="tlid-translation"/>
                <w:sz w:val="16"/>
                <w:szCs w:val="16"/>
                <w:lang w:val="en"/>
              </w:rPr>
            </w:pPr>
          </w:p>
          <w:p w14:paraId="74208890" w14:textId="77777777" w:rsidR="00CC69F0" w:rsidRPr="007E03FE" w:rsidRDefault="00CC69F0" w:rsidP="003A4364">
            <w:pPr>
              <w:rPr>
                <w:rStyle w:val="tlid-translation"/>
                <w:sz w:val="16"/>
                <w:szCs w:val="16"/>
                <w:lang w:val="en"/>
              </w:rPr>
            </w:pPr>
          </w:p>
          <w:p w14:paraId="1F24043C" w14:textId="77777777" w:rsidR="00CC69F0" w:rsidRPr="007E03FE" w:rsidRDefault="00CC69F0" w:rsidP="003A4364">
            <w:pPr>
              <w:rPr>
                <w:rStyle w:val="tlid-translation"/>
                <w:sz w:val="16"/>
                <w:szCs w:val="16"/>
                <w:lang w:val="en"/>
              </w:rPr>
            </w:pPr>
          </w:p>
          <w:p w14:paraId="43C33874" w14:textId="77777777" w:rsidR="00CC69F0" w:rsidRPr="007E03FE" w:rsidRDefault="00CC69F0" w:rsidP="003A4364">
            <w:pPr>
              <w:rPr>
                <w:rStyle w:val="tlid-translation"/>
                <w:sz w:val="16"/>
                <w:szCs w:val="16"/>
                <w:lang w:val="en"/>
              </w:rPr>
            </w:pPr>
          </w:p>
          <w:p w14:paraId="33599EFF" w14:textId="77777777" w:rsidR="00CC69F0" w:rsidRPr="007E03FE" w:rsidRDefault="00CC69F0" w:rsidP="003A4364">
            <w:pPr>
              <w:rPr>
                <w:rStyle w:val="tlid-translation"/>
                <w:sz w:val="16"/>
                <w:szCs w:val="16"/>
                <w:lang w:val="en"/>
              </w:rPr>
            </w:pPr>
          </w:p>
          <w:p w14:paraId="103562D9" w14:textId="77777777" w:rsidR="00CC69F0" w:rsidRPr="007E03FE" w:rsidRDefault="00CC69F0" w:rsidP="003A4364">
            <w:pPr>
              <w:rPr>
                <w:rStyle w:val="tlid-translation"/>
                <w:sz w:val="16"/>
                <w:szCs w:val="16"/>
                <w:lang w:val="en"/>
              </w:rPr>
            </w:pPr>
          </w:p>
          <w:p w14:paraId="6B1DD9E0" w14:textId="77777777" w:rsidR="00CC69F0" w:rsidRPr="007E03FE" w:rsidRDefault="00CC69F0" w:rsidP="003A4364">
            <w:pPr>
              <w:rPr>
                <w:rStyle w:val="tlid-translation"/>
                <w:sz w:val="16"/>
                <w:szCs w:val="16"/>
                <w:lang w:val="en"/>
              </w:rPr>
            </w:pPr>
          </w:p>
          <w:p w14:paraId="733C454E" w14:textId="77777777" w:rsidR="00CC69F0" w:rsidRPr="007E03FE" w:rsidRDefault="00CC69F0" w:rsidP="003A4364">
            <w:pPr>
              <w:rPr>
                <w:rStyle w:val="tlid-translation"/>
                <w:sz w:val="16"/>
                <w:szCs w:val="16"/>
                <w:lang w:val="en"/>
              </w:rPr>
            </w:pPr>
          </w:p>
          <w:p w14:paraId="6A3BC6EE" w14:textId="77777777" w:rsidR="00CC69F0" w:rsidRPr="007E03FE" w:rsidRDefault="00CC69F0" w:rsidP="003A4364">
            <w:pPr>
              <w:rPr>
                <w:rStyle w:val="tlid-translation"/>
                <w:sz w:val="16"/>
                <w:szCs w:val="16"/>
                <w:lang w:val="en"/>
              </w:rPr>
            </w:pPr>
          </w:p>
          <w:p w14:paraId="124B9392" w14:textId="77777777" w:rsidR="00CC69F0" w:rsidRPr="007E03FE" w:rsidRDefault="00CC69F0" w:rsidP="003A4364">
            <w:pPr>
              <w:rPr>
                <w:rStyle w:val="tlid-translation"/>
                <w:sz w:val="16"/>
                <w:szCs w:val="16"/>
                <w:lang w:val="en"/>
              </w:rPr>
            </w:pPr>
          </w:p>
          <w:p w14:paraId="78690C38" w14:textId="77777777" w:rsidR="00CC69F0" w:rsidRPr="007E03FE" w:rsidRDefault="00CC69F0" w:rsidP="003A4364">
            <w:pPr>
              <w:rPr>
                <w:rStyle w:val="tlid-translation"/>
                <w:sz w:val="16"/>
                <w:szCs w:val="16"/>
                <w:lang w:val="en"/>
              </w:rPr>
            </w:pPr>
          </w:p>
          <w:p w14:paraId="7106CBC8" w14:textId="77777777" w:rsidR="00CC69F0" w:rsidRPr="007E03FE" w:rsidRDefault="00CC69F0" w:rsidP="003A4364">
            <w:pPr>
              <w:rPr>
                <w:rStyle w:val="tlid-translation"/>
                <w:sz w:val="16"/>
                <w:szCs w:val="16"/>
                <w:lang w:val="en"/>
              </w:rPr>
            </w:pPr>
          </w:p>
          <w:p w14:paraId="2CC4B935" w14:textId="77777777" w:rsidR="00CC69F0" w:rsidRPr="007E03FE" w:rsidRDefault="00CC69F0" w:rsidP="003A4364">
            <w:pPr>
              <w:rPr>
                <w:rStyle w:val="tlid-translation"/>
                <w:sz w:val="16"/>
                <w:szCs w:val="16"/>
                <w:lang w:val="en"/>
              </w:rPr>
            </w:pPr>
          </w:p>
          <w:tbl>
            <w:tblPr>
              <w:tblW w:w="4837" w:type="pct"/>
              <w:tblLayout w:type="fixed"/>
              <w:tblCellMar>
                <w:left w:w="29" w:type="dxa"/>
                <w:right w:w="29" w:type="dxa"/>
              </w:tblCellMar>
              <w:tblLook w:val="00A0" w:firstRow="1" w:lastRow="0" w:firstColumn="1" w:lastColumn="0" w:noHBand="0" w:noVBand="0"/>
            </w:tblPr>
            <w:tblGrid>
              <w:gridCol w:w="2300"/>
            </w:tblGrid>
            <w:tr w:rsidR="00CC69F0" w:rsidRPr="007E03FE" w14:paraId="7220A682" w14:textId="77777777" w:rsidTr="003A4364">
              <w:trPr>
                <w:trHeight w:val="133"/>
              </w:trPr>
              <w:tc>
                <w:tcPr>
                  <w:tcW w:w="958" w:type="pct"/>
                  <w:tcMar>
                    <w:top w:w="15" w:type="dxa"/>
                    <w:left w:w="108" w:type="dxa"/>
                    <w:bottom w:w="0" w:type="dxa"/>
                    <w:right w:w="108" w:type="dxa"/>
                  </w:tcMar>
                </w:tcPr>
                <w:p w14:paraId="12020258" w14:textId="77777777" w:rsidR="00CC69F0" w:rsidRPr="007E03FE" w:rsidRDefault="00CC69F0" w:rsidP="00401346">
                  <w:pPr>
                    <w:framePr w:hSpace="141" w:wrap="around" w:vAnchor="text" w:hAnchor="text" w:y="1"/>
                    <w:suppressOverlap/>
                    <w:rPr>
                      <w:rStyle w:val="tlid-translation"/>
                      <w:b/>
                      <w:sz w:val="16"/>
                      <w:szCs w:val="16"/>
                      <w:lang w:val="en"/>
                    </w:rPr>
                  </w:pPr>
                  <w:proofErr w:type="spellStart"/>
                  <w:r w:rsidRPr="007E03FE">
                    <w:rPr>
                      <w:rStyle w:val="tlid-translation"/>
                      <w:b/>
                      <w:sz w:val="16"/>
                      <w:szCs w:val="16"/>
                      <w:lang w:val="en"/>
                    </w:rPr>
                    <w:t>Régulier</w:t>
                  </w:r>
                  <w:proofErr w:type="spellEnd"/>
                  <w:r w:rsidRPr="007E03FE">
                    <w:rPr>
                      <w:rStyle w:val="tlid-translation"/>
                      <w:b/>
                      <w:sz w:val="16"/>
                      <w:szCs w:val="16"/>
                      <w:lang w:val="en"/>
                    </w:rPr>
                    <w:t>: 4 464 308</w:t>
                  </w:r>
                </w:p>
              </w:tc>
            </w:tr>
            <w:tr w:rsidR="00CC69F0" w:rsidRPr="007E03FE" w14:paraId="3EE037CA" w14:textId="77777777" w:rsidTr="003A4364">
              <w:trPr>
                <w:trHeight w:val="461"/>
              </w:trPr>
              <w:tc>
                <w:tcPr>
                  <w:tcW w:w="958" w:type="pct"/>
                  <w:tcMar>
                    <w:top w:w="15" w:type="dxa"/>
                    <w:left w:w="108" w:type="dxa"/>
                    <w:bottom w:w="0" w:type="dxa"/>
                    <w:right w:w="108" w:type="dxa"/>
                  </w:tcMar>
                </w:tcPr>
                <w:p w14:paraId="69A0C06F" w14:textId="77777777" w:rsidR="00CC69F0" w:rsidRPr="007E03FE" w:rsidRDefault="00CC69F0" w:rsidP="00401346">
                  <w:pPr>
                    <w:framePr w:hSpace="141" w:wrap="around" w:vAnchor="text" w:hAnchor="text" w:y="1"/>
                    <w:suppressOverlap/>
                    <w:rPr>
                      <w:rStyle w:val="tlid-translation"/>
                      <w:b/>
                      <w:sz w:val="16"/>
                      <w:szCs w:val="16"/>
                      <w:lang w:val="en"/>
                    </w:rPr>
                  </w:pPr>
                  <w:proofErr w:type="spellStart"/>
                  <w:r w:rsidRPr="007E03FE">
                    <w:rPr>
                      <w:rStyle w:val="tlid-translation"/>
                      <w:b/>
                      <w:sz w:val="16"/>
                      <w:szCs w:val="16"/>
                      <w:lang w:val="en"/>
                    </w:rPr>
                    <w:t>Autre</w:t>
                  </w:r>
                  <w:proofErr w:type="spellEnd"/>
                  <w:r w:rsidRPr="007E03FE">
                    <w:rPr>
                      <w:rStyle w:val="tlid-translation"/>
                      <w:b/>
                      <w:sz w:val="16"/>
                      <w:szCs w:val="16"/>
                      <w:lang w:val="en"/>
                    </w:rPr>
                    <w:t>: 24 866 715</w:t>
                  </w:r>
                </w:p>
                <w:p w14:paraId="5703623A" w14:textId="77777777" w:rsidR="00CC69F0" w:rsidRPr="007E03FE" w:rsidRDefault="00CC69F0" w:rsidP="00401346">
                  <w:pPr>
                    <w:framePr w:hSpace="141" w:wrap="around" w:vAnchor="text" w:hAnchor="text" w:y="1"/>
                    <w:suppressOverlap/>
                    <w:rPr>
                      <w:rStyle w:val="tlid-translation"/>
                      <w:b/>
                      <w:sz w:val="16"/>
                      <w:szCs w:val="16"/>
                      <w:lang w:val="en"/>
                    </w:rPr>
                  </w:pPr>
                </w:p>
                <w:p w14:paraId="37DC273C" w14:textId="77777777" w:rsidR="00CC69F0" w:rsidRPr="007E03FE" w:rsidRDefault="00CC69F0" w:rsidP="00401346">
                  <w:pPr>
                    <w:framePr w:hSpace="141" w:wrap="around" w:vAnchor="text" w:hAnchor="text" w:y="1"/>
                    <w:suppressOverlap/>
                    <w:rPr>
                      <w:rStyle w:val="tlid-translation"/>
                      <w:b/>
                      <w:sz w:val="16"/>
                      <w:szCs w:val="16"/>
                      <w:lang w:val="en"/>
                    </w:rPr>
                  </w:pPr>
                </w:p>
                <w:p w14:paraId="13D9EC4F" w14:textId="77777777" w:rsidR="00CC69F0" w:rsidRPr="007E03FE" w:rsidRDefault="00CC69F0" w:rsidP="00401346">
                  <w:pPr>
                    <w:framePr w:hSpace="141" w:wrap="around" w:vAnchor="text" w:hAnchor="text" w:y="1"/>
                    <w:suppressOverlap/>
                    <w:rPr>
                      <w:rStyle w:val="tlid-translation"/>
                      <w:b/>
                      <w:sz w:val="16"/>
                      <w:szCs w:val="16"/>
                      <w:lang w:val="en"/>
                    </w:rPr>
                  </w:pPr>
                </w:p>
                <w:p w14:paraId="2A4B5F6D" w14:textId="77777777" w:rsidR="00CC69F0" w:rsidRPr="007E03FE" w:rsidRDefault="00CC69F0" w:rsidP="00401346">
                  <w:pPr>
                    <w:framePr w:hSpace="141" w:wrap="around" w:vAnchor="text" w:hAnchor="text" w:y="1"/>
                    <w:suppressOverlap/>
                    <w:rPr>
                      <w:rStyle w:val="tlid-translation"/>
                      <w:b/>
                      <w:sz w:val="16"/>
                      <w:szCs w:val="16"/>
                      <w:lang w:val="en"/>
                    </w:rPr>
                  </w:pPr>
                </w:p>
                <w:p w14:paraId="2898B270" w14:textId="77777777" w:rsidR="00CC69F0" w:rsidRPr="007E03FE" w:rsidRDefault="00CC69F0" w:rsidP="00401346">
                  <w:pPr>
                    <w:framePr w:hSpace="141" w:wrap="around" w:vAnchor="text" w:hAnchor="text" w:y="1"/>
                    <w:suppressOverlap/>
                    <w:rPr>
                      <w:rStyle w:val="tlid-translation"/>
                      <w:b/>
                      <w:sz w:val="16"/>
                      <w:szCs w:val="16"/>
                      <w:lang w:val="en"/>
                    </w:rPr>
                  </w:pPr>
                </w:p>
                <w:p w14:paraId="0502445D" w14:textId="77777777" w:rsidR="00CC69F0" w:rsidRPr="007E03FE" w:rsidRDefault="00CC69F0" w:rsidP="00401346">
                  <w:pPr>
                    <w:framePr w:hSpace="141" w:wrap="around" w:vAnchor="text" w:hAnchor="text" w:y="1"/>
                    <w:suppressOverlap/>
                    <w:rPr>
                      <w:rStyle w:val="tlid-translation"/>
                      <w:b/>
                      <w:sz w:val="16"/>
                      <w:szCs w:val="16"/>
                      <w:lang w:val="en"/>
                    </w:rPr>
                  </w:pPr>
                </w:p>
                <w:p w14:paraId="430556D0" w14:textId="77777777" w:rsidR="00CC69F0" w:rsidRPr="007E03FE" w:rsidRDefault="00CC69F0" w:rsidP="00401346">
                  <w:pPr>
                    <w:framePr w:hSpace="141" w:wrap="around" w:vAnchor="text" w:hAnchor="text" w:y="1"/>
                    <w:suppressOverlap/>
                    <w:rPr>
                      <w:rStyle w:val="tlid-translation"/>
                      <w:b/>
                      <w:sz w:val="16"/>
                      <w:szCs w:val="16"/>
                      <w:lang w:val="en"/>
                    </w:rPr>
                  </w:pPr>
                </w:p>
              </w:tc>
            </w:tr>
          </w:tbl>
          <w:p w14:paraId="3AC90C23" w14:textId="77777777" w:rsidR="00CC69F0" w:rsidRPr="007E03FE" w:rsidRDefault="00CC69F0" w:rsidP="003A4364">
            <w:pPr>
              <w:rPr>
                <w:rStyle w:val="tlid-translation"/>
                <w:sz w:val="16"/>
                <w:szCs w:val="16"/>
                <w:lang w:val="en"/>
              </w:rPr>
            </w:pPr>
          </w:p>
          <w:p w14:paraId="4DE366B1" w14:textId="77777777" w:rsidR="00CC69F0" w:rsidRPr="007E03FE" w:rsidRDefault="00CC69F0" w:rsidP="003A4364">
            <w:pPr>
              <w:rPr>
                <w:rStyle w:val="tlid-translation"/>
                <w:sz w:val="16"/>
                <w:szCs w:val="16"/>
                <w:lang w:val="en"/>
              </w:rPr>
            </w:pPr>
          </w:p>
          <w:p w14:paraId="27E7752F" w14:textId="77777777" w:rsidR="00CC69F0" w:rsidRPr="007E03FE" w:rsidRDefault="00CC69F0" w:rsidP="003A4364">
            <w:pPr>
              <w:rPr>
                <w:rStyle w:val="tlid-translation"/>
                <w:sz w:val="16"/>
                <w:szCs w:val="16"/>
                <w:lang w:val="en"/>
              </w:rPr>
            </w:pPr>
          </w:p>
          <w:p w14:paraId="75876097" w14:textId="77777777" w:rsidR="00CC69F0" w:rsidRPr="007E03FE" w:rsidRDefault="00CC69F0" w:rsidP="003A4364">
            <w:pPr>
              <w:rPr>
                <w:rStyle w:val="tlid-translation"/>
                <w:sz w:val="16"/>
                <w:szCs w:val="16"/>
                <w:lang w:val="en"/>
              </w:rPr>
            </w:pPr>
          </w:p>
          <w:p w14:paraId="65917CDC" w14:textId="77777777" w:rsidR="00CC69F0" w:rsidRPr="007E03FE" w:rsidRDefault="00CC69F0" w:rsidP="003A4364">
            <w:pPr>
              <w:rPr>
                <w:rStyle w:val="tlid-translation"/>
                <w:sz w:val="16"/>
                <w:szCs w:val="16"/>
                <w:lang w:val="en"/>
              </w:rPr>
            </w:pPr>
          </w:p>
          <w:p w14:paraId="196FF571" w14:textId="77777777" w:rsidR="00CC69F0" w:rsidRPr="007E03FE" w:rsidRDefault="00CC69F0" w:rsidP="003A4364">
            <w:pPr>
              <w:rPr>
                <w:rStyle w:val="tlid-translation"/>
                <w:sz w:val="16"/>
                <w:szCs w:val="16"/>
                <w:lang w:val="en"/>
              </w:rPr>
            </w:pPr>
          </w:p>
          <w:p w14:paraId="7727AAA4" w14:textId="77777777" w:rsidR="00CC69F0" w:rsidRPr="007E03FE" w:rsidRDefault="00CC69F0" w:rsidP="003A4364">
            <w:pPr>
              <w:rPr>
                <w:rStyle w:val="tlid-translation"/>
                <w:sz w:val="16"/>
                <w:szCs w:val="16"/>
                <w:lang w:val="en"/>
              </w:rPr>
            </w:pPr>
          </w:p>
          <w:p w14:paraId="47CA576E" w14:textId="77777777" w:rsidR="00CC69F0" w:rsidRPr="007E03FE" w:rsidRDefault="00CC69F0" w:rsidP="003A4364">
            <w:pPr>
              <w:rPr>
                <w:rStyle w:val="tlid-translation"/>
                <w:sz w:val="16"/>
                <w:szCs w:val="16"/>
                <w:lang w:val="en"/>
              </w:rPr>
            </w:pPr>
          </w:p>
          <w:p w14:paraId="3888E88F" w14:textId="77777777" w:rsidR="00CC69F0" w:rsidRPr="007E03FE" w:rsidRDefault="00CC69F0" w:rsidP="003A4364">
            <w:pPr>
              <w:rPr>
                <w:rStyle w:val="tlid-translation"/>
                <w:sz w:val="16"/>
                <w:szCs w:val="16"/>
                <w:lang w:val="en"/>
              </w:rPr>
            </w:pPr>
          </w:p>
          <w:p w14:paraId="774E885E" w14:textId="77777777" w:rsidR="00CC69F0" w:rsidRPr="007E03FE" w:rsidRDefault="00CC69F0" w:rsidP="003A4364">
            <w:pPr>
              <w:rPr>
                <w:rStyle w:val="tlid-translation"/>
                <w:sz w:val="16"/>
                <w:szCs w:val="16"/>
                <w:lang w:val="en"/>
              </w:rPr>
            </w:pPr>
          </w:p>
        </w:tc>
      </w:tr>
      <w:tr w:rsidR="00CC69F0" w:rsidRPr="003C26C1" w14:paraId="6217B27E" w14:textId="77777777" w:rsidTr="003A4364">
        <w:trPr>
          <w:trHeight w:val="20"/>
        </w:trPr>
        <w:tc>
          <w:tcPr>
            <w:tcW w:w="775" w:type="pct"/>
            <w:vMerge/>
            <w:tcMar>
              <w:top w:w="72" w:type="dxa"/>
              <w:left w:w="144" w:type="dxa"/>
              <w:bottom w:w="72" w:type="dxa"/>
              <w:right w:w="144" w:type="dxa"/>
            </w:tcMar>
          </w:tcPr>
          <w:p w14:paraId="1726A161" w14:textId="77777777" w:rsidR="00CC69F0" w:rsidRPr="003C26C1" w:rsidRDefault="00CC69F0" w:rsidP="003A4364">
            <w:pPr>
              <w:rPr>
                <w:i/>
                <w:iCs/>
                <w:color w:val="000000"/>
                <w:sz w:val="16"/>
                <w:szCs w:val="16"/>
                <w:lang w:val="en-GB"/>
              </w:rPr>
            </w:pPr>
          </w:p>
        </w:tc>
        <w:tc>
          <w:tcPr>
            <w:tcW w:w="775" w:type="pct"/>
            <w:vMerge/>
          </w:tcPr>
          <w:p w14:paraId="4009B658" w14:textId="77777777" w:rsidR="00CC69F0" w:rsidRPr="00E64C11" w:rsidRDefault="00CC69F0" w:rsidP="003A4364">
            <w:pPr>
              <w:rPr>
                <w:rStyle w:val="tlid-translation"/>
                <w:lang w:val="en"/>
              </w:rPr>
            </w:pPr>
          </w:p>
        </w:tc>
        <w:tc>
          <w:tcPr>
            <w:tcW w:w="1817" w:type="pct"/>
            <w:vMerge/>
            <w:tcMar>
              <w:top w:w="72" w:type="dxa"/>
              <w:left w:w="144" w:type="dxa"/>
              <w:bottom w:w="72" w:type="dxa"/>
              <w:right w:w="144" w:type="dxa"/>
            </w:tcMar>
          </w:tcPr>
          <w:p w14:paraId="4FA518F9" w14:textId="77777777" w:rsidR="00CC69F0" w:rsidRPr="00E64C11" w:rsidRDefault="00CC69F0" w:rsidP="003A4364">
            <w:pPr>
              <w:rPr>
                <w:rStyle w:val="tlid-translation"/>
                <w:lang w:val="en"/>
              </w:rPr>
            </w:pPr>
          </w:p>
        </w:tc>
        <w:tc>
          <w:tcPr>
            <w:tcW w:w="675" w:type="pct"/>
            <w:vMerge/>
            <w:tcBorders>
              <w:top w:val="single" w:sz="4" w:space="0" w:color="auto"/>
              <w:bottom w:val="single" w:sz="4" w:space="0" w:color="auto"/>
              <w:right w:val="single" w:sz="4" w:space="0" w:color="auto"/>
            </w:tcBorders>
          </w:tcPr>
          <w:p w14:paraId="0BBBDB7B" w14:textId="77777777" w:rsidR="00CC69F0" w:rsidRPr="00E64C11" w:rsidRDefault="00CC69F0" w:rsidP="003A4364">
            <w:pPr>
              <w:rPr>
                <w:rStyle w:val="tlid-translation"/>
                <w:lang w:val="en"/>
              </w:rPr>
            </w:pPr>
          </w:p>
        </w:tc>
        <w:tc>
          <w:tcPr>
            <w:tcW w:w="958"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40DFBB0D" w14:textId="77777777" w:rsidR="00CC69F0" w:rsidRPr="00721BBA" w:rsidRDefault="00CC69F0" w:rsidP="003A4364">
            <w:pPr>
              <w:rPr>
                <w:rStyle w:val="tlid-translation"/>
                <w:sz w:val="16"/>
                <w:szCs w:val="16"/>
                <w:lang w:val="en"/>
              </w:rPr>
            </w:pPr>
          </w:p>
        </w:tc>
      </w:tr>
      <w:tr w:rsidR="00CC69F0" w:rsidRPr="003C26C1" w14:paraId="13CA7CE2" w14:textId="77777777" w:rsidTr="003A4364">
        <w:trPr>
          <w:trHeight w:val="233"/>
        </w:trPr>
        <w:tc>
          <w:tcPr>
            <w:tcW w:w="4042" w:type="pct"/>
            <w:gridSpan w:val="4"/>
            <w:vMerge w:val="restart"/>
            <w:tcMar>
              <w:top w:w="72" w:type="dxa"/>
              <w:left w:w="144" w:type="dxa"/>
              <w:bottom w:w="72" w:type="dxa"/>
              <w:right w:w="144" w:type="dxa"/>
            </w:tcMar>
          </w:tcPr>
          <w:p w14:paraId="422784A2" w14:textId="77777777" w:rsidR="00CC69F0" w:rsidRPr="00802CEE" w:rsidRDefault="00CC69F0" w:rsidP="003A4364">
            <w:pPr>
              <w:jc w:val="right"/>
              <w:rPr>
                <w:b/>
                <w:i/>
                <w:iCs/>
                <w:color w:val="000000"/>
                <w:sz w:val="16"/>
                <w:szCs w:val="16"/>
                <w:lang w:val="en-GB"/>
              </w:rPr>
            </w:pPr>
            <w:r>
              <w:rPr>
                <w:b/>
                <w:i/>
                <w:iCs/>
                <w:color w:val="000000"/>
                <w:sz w:val="16"/>
                <w:szCs w:val="16"/>
                <w:lang w:val="en-GB"/>
              </w:rPr>
              <w:t xml:space="preserve"> Sous-Total</w:t>
            </w:r>
            <w:r w:rsidRPr="00802CEE">
              <w:rPr>
                <w:b/>
                <w:i/>
                <w:iCs/>
                <w:color w:val="000000"/>
                <w:sz w:val="16"/>
                <w:szCs w:val="16"/>
                <w:lang w:val="en-GB"/>
              </w:rPr>
              <w:t xml:space="preserve"> </w:t>
            </w:r>
            <w:proofErr w:type="spellStart"/>
            <w:r>
              <w:rPr>
                <w:b/>
                <w:i/>
                <w:iCs/>
                <w:color w:val="000000"/>
                <w:sz w:val="16"/>
                <w:szCs w:val="16"/>
                <w:lang w:val="en-GB"/>
              </w:rPr>
              <w:t>Résultat</w:t>
            </w:r>
            <w:proofErr w:type="spellEnd"/>
            <w:r>
              <w:rPr>
                <w:b/>
                <w:i/>
                <w:iCs/>
                <w:color w:val="000000"/>
                <w:sz w:val="16"/>
                <w:szCs w:val="16"/>
                <w:lang w:val="en-GB"/>
              </w:rPr>
              <w:t xml:space="preserve"> </w:t>
            </w:r>
            <w:r w:rsidRPr="00802CEE">
              <w:rPr>
                <w:b/>
                <w:i/>
                <w:iCs/>
                <w:color w:val="000000"/>
                <w:sz w:val="16"/>
                <w:szCs w:val="16"/>
                <w:lang w:val="en-GB"/>
              </w:rPr>
              <w:t>3</w:t>
            </w:r>
          </w:p>
        </w:tc>
        <w:tc>
          <w:tcPr>
            <w:tcW w:w="958" w:type="pct"/>
            <w:tcBorders>
              <w:top w:val="nil"/>
            </w:tcBorders>
            <w:shd w:val="clear" w:color="auto" w:fill="auto"/>
            <w:tcMar>
              <w:top w:w="15" w:type="dxa"/>
              <w:left w:w="108" w:type="dxa"/>
              <w:bottom w:w="0" w:type="dxa"/>
              <w:right w:w="108" w:type="dxa"/>
            </w:tcMar>
          </w:tcPr>
          <w:p w14:paraId="0118142C" w14:textId="77777777" w:rsidR="00CC69F0" w:rsidRPr="003C26C1" w:rsidRDefault="00CC69F0" w:rsidP="003A4364">
            <w:pPr>
              <w:rPr>
                <w:b/>
                <w:color w:val="000000"/>
                <w:sz w:val="16"/>
                <w:szCs w:val="16"/>
              </w:rPr>
            </w:pPr>
            <w:r>
              <w:rPr>
                <w:b/>
                <w:color w:val="000000"/>
                <w:sz w:val="16"/>
                <w:szCs w:val="16"/>
              </w:rPr>
              <w:t>Régulier:   16 392 923</w:t>
            </w:r>
          </w:p>
        </w:tc>
      </w:tr>
      <w:tr w:rsidR="00CC69F0" w:rsidRPr="003C26C1" w14:paraId="0F43C2CF" w14:textId="77777777" w:rsidTr="003A4364">
        <w:trPr>
          <w:trHeight w:val="232"/>
        </w:trPr>
        <w:tc>
          <w:tcPr>
            <w:tcW w:w="4042" w:type="pct"/>
            <w:gridSpan w:val="4"/>
            <w:vMerge/>
            <w:tcMar>
              <w:top w:w="72" w:type="dxa"/>
              <w:left w:w="144" w:type="dxa"/>
              <w:bottom w:w="72" w:type="dxa"/>
              <w:right w:w="144" w:type="dxa"/>
            </w:tcMar>
          </w:tcPr>
          <w:p w14:paraId="5A25939D" w14:textId="77777777" w:rsidR="00CC69F0" w:rsidRPr="003C26C1" w:rsidRDefault="00CC69F0" w:rsidP="003A4364">
            <w:pPr>
              <w:rPr>
                <w:i/>
                <w:iCs/>
                <w:color w:val="000000"/>
                <w:sz w:val="16"/>
                <w:szCs w:val="16"/>
                <w:lang w:val="en-GB"/>
              </w:rPr>
            </w:pPr>
          </w:p>
        </w:tc>
        <w:tc>
          <w:tcPr>
            <w:tcW w:w="958" w:type="pct"/>
            <w:shd w:val="clear" w:color="auto" w:fill="auto"/>
            <w:tcMar>
              <w:top w:w="15" w:type="dxa"/>
              <w:left w:w="108" w:type="dxa"/>
              <w:bottom w:w="0" w:type="dxa"/>
              <w:right w:w="108" w:type="dxa"/>
            </w:tcMar>
          </w:tcPr>
          <w:p w14:paraId="6E9CC523" w14:textId="77777777" w:rsidR="00CC69F0" w:rsidRPr="003C26C1" w:rsidRDefault="00CC69F0" w:rsidP="003A4364">
            <w:pPr>
              <w:rPr>
                <w:b/>
                <w:color w:val="000000"/>
                <w:sz w:val="16"/>
                <w:szCs w:val="16"/>
              </w:rPr>
            </w:pPr>
            <w:r>
              <w:rPr>
                <w:b/>
                <w:color w:val="000000"/>
                <w:sz w:val="16"/>
                <w:szCs w:val="16"/>
              </w:rPr>
              <w:t>Autre:     69 320 172</w:t>
            </w:r>
          </w:p>
        </w:tc>
      </w:tr>
      <w:tr w:rsidR="00CC69F0" w:rsidRPr="003C26C1" w14:paraId="3E760FB5" w14:textId="77777777" w:rsidTr="003A4364">
        <w:trPr>
          <w:trHeight w:val="233"/>
        </w:trPr>
        <w:tc>
          <w:tcPr>
            <w:tcW w:w="4042" w:type="pct"/>
            <w:gridSpan w:val="4"/>
            <w:vMerge w:val="restart"/>
            <w:tcMar>
              <w:top w:w="72" w:type="dxa"/>
              <w:left w:w="144" w:type="dxa"/>
              <w:bottom w:w="72" w:type="dxa"/>
              <w:right w:w="144" w:type="dxa"/>
            </w:tcMar>
          </w:tcPr>
          <w:p w14:paraId="359532AD" w14:textId="77777777" w:rsidR="00CC69F0" w:rsidRPr="00802CEE" w:rsidRDefault="00CC69F0" w:rsidP="003A4364">
            <w:pPr>
              <w:jc w:val="right"/>
              <w:rPr>
                <w:b/>
                <w:i/>
                <w:iCs/>
                <w:color w:val="000000"/>
                <w:sz w:val="16"/>
                <w:szCs w:val="16"/>
                <w:lang w:val="en-GB"/>
              </w:rPr>
            </w:pPr>
            <w:r>
              <w:rPr>
                <w:b/>
                <w:i/>
                <w:iCs/>
                <w:color w:val="000000"/>
                <w:sz w:val="16"/>
                <w:szCs w:val="16"/>
                <w:lang w:val="en-GB"/>
              </w:rPr>
              <w:t>Total</w:t>
            </w:r>
            <w:r w:rsidRPr="00802CEE">
              <w:rPr>
                <w:b/>
                <w:i/>
                <w:iCs/>
                <w:color w:val="000000"/>
                <w:sz w:val="16"/>
                <w:szCs w:val="16"/>
                <w:lang w:val="en-GB"/>
              </w:rPr>
              <w:t xml:space="preserve"> </w:t>
            </w:r>
            <w:r>
              <w:rPr>
                <w:b/>
                <w:i/>
                <w:iCs/>
                <w:color w:val="000000"/>
                <w:sz w:val="16"/>
                <w:szCs w:val="16"/>
                <w:lang w:val="en-GB"/>
              </w:rPr>
              <w:t xml:space="preserve">des </w:t>
            </w:r>
            <w:proofErr w:type="spellStart"/>
            <w:r>
              <w:rPr>
                <w:b/>
                <w:i/>
                <w:iCs/>
                <w:color w:val="000000"/>
                <w:sz w:val="16"/>
                <w:szCs w:val="16"/>
                <w:lang w:val="en-GB"/>
              </w:rPr>
              <w:t>Résultats</w:t>
            </w:r>
            <w:proofErr w:type="spellEnd"/>
            <w:r>
              <w:rPr>
                <w:b/>
                <w:i/>
                <w:iCs/>
                <w:color w:val="000000"/>
                <w:sz w:val="16"/>
                <w:szCs w:val="16"/>
                <w:lang w:val="en-GB"/>
              </w:rPr>
              <w:t xml:space="preserve"> 1, 2,</w:t>
            </w:r>
            <w:r w:rsidRPr="00802CEE">
              <w:rPr>
                <w:b/>
                <w:i/>
                <w:iCs/>
                <w:color w:val="000000"/>
                <w:sz w:val="16"/>
                <w:szCs w:val="16"/>
                <w:lang w:val="en-GB"/>
              </w:rPr>
              <w:t xml:space="preserve"> 3</w:t>
            </w:r>
          </w:p>
        </w:tc>
        <w:tc>
          <w:tcPr>
            <w:tcW w:w="958" w:type="pct"/>
            <w:tcBorders>
              <w:top w:val="nil"/>
            </w:tcBorders>
            <w:shd w:val="clear" w:color="auto" w:fill="auto"/>
            <w:tcMar>
              <w:top w:w="15" w:type="dxa"/>
              <w:left w:w="108" w:type="dxa"/>
              <w:bottom w:w="0" w:type="dxa"/>
              <w:right w:w="108" w:type="dxa"/>
            </w:tcMar>
          </w:tcPr>
          <w:p w14:paraId="37C5E885" w14:textId="77777777" w:rsidR="00CC69F0" w:rsidRPr="003C26C1" w:rsidRDefault="00CC69F0" w:rsidP="003A4364">
            <w:pPr>
              <w:rPr>
                <w:b/>
                <w:color w:val="000000"/>
                <w:sz w:val="16"/>
                <w:szCs w:val="16"/>
              </w:rPr>
            </w:pPr>
            <w:r>
              <w:rPr>
                <w:b/>
                <w:color w:val="000000"/>
                <w:sz w:val="16"/>
                <w:szCs w:val="16"/>
              </w:rPr>
              <w:t>Régulier: 49 690 000</w:t>
            </w:r>
          </w:p>
        </w:tc>
      </w:tr>
      <w:tr w:rsidR="00CC69F0" w:rsidRPr="003C26C1" w14:paraId="6848EB2A" w14:textId="77777777" w:rsidTr="003A4364">
        <w:trPr>
          <w:trHeight w:val="232"/>
        </w:trPr>
        <w:tc>
          <w:tcPr>
            <w:tcW w:w="4042" w:type="pct"/>
            <w:gridSpan w:val="4"/>
            <w:vMerge/>
            <w:tcMar>
              <w:top w:w="72" w:type="dxa"/>
              <w:left w:w="144" w:type="dxa"/>
              <w:bottom w:w="72" w:type="dxa"/>
              <w:right w:w="144" w:type="dxa"/>
            </w:tcMar>
          </w:tcPr>
          <w:p w14:paraId="524560FA" w14:textId="77777777" w:rsidR="00CC69F0" w:rsidRPr="003C26C1" w:rsidRDefault="00CC69F0" w:rsidP="003A4364">
            <w:pPr>
              <w:rPr>
                <w:i/>
                <w:iCs/>
                <w:color w:val="000000"/>
                <w:sz w:val="16"/>
                <w:szCs w:val="16"/>
                <w:lang w:val="en-GB"/>
              </w:rPr>
            </w:pPr>
          </w:p>
        </w:tc>
        <w:tc>
          <w:tcPr>
            <w:tcW w:w="958" w:type="pct"/>
            <w:shd w:val="clear" w:color="auto" w:fill="auto"/>
            <w:tcMar>
              <w:top w:w="15" w:type="dxa"/>
              <w:left w:w="108" w:type="dxa"/>
              <w:bottom w:w="0" w:type="dxa"/>
              <w:right w:w="108" w:type="dxa"/>
            </w:tcMar>
          </w:tcPr>
          <w:p w14:paraId="4AA648F0" w14:textId="77777777" w:rsidR="00CC69F0" w:rsidRPr="003C26C1" w:rsidRDefault="00CC69F0" w:rsidP="003A4364">
            <w:pPr>
              <w:rPr>
                <w:b/>
                <w:color w:val="000000"/>
                <w:sz w:val="16"/>
                <w:szCs w:val="16"/>
              </w:rPr>
            </w:pPr>
            <w:r>
              <w:rPr>
                <w:b/>
                <w:color w:val="000000"/>
                <w:sz w:val="16"/>
                <w:szCs w:val="16"/>
              </w:rPr>
              <w:t>Autre:174 000 000</w:t>
            </w:r>
          </w:p>
        </w:tc>
      </w:tr>
    </w:tbl>
    <w:p w14:paraId="76290FB8" w14:textId="77777777" w:rsidR="00CC69F0" w:rsidRDefault="00CC69F0" w:rsidP="000547A0">
      <w:pPr>
        <w:shd w:val="clear" w:color="auto" w:fill="FFFFFF"/>
        <w:spacing w:after="240" w:line="240" w:lineRule="auto"/>
        <w:jc w:val="both"/>
        <w:rPr>
          <w:rFonts w:asciiTheme="minorHAnsi" w:eastAsiaTheme="minorHAnsi" w:hAnsiTheme="minorHAnsi" w:cstheme="minorBidi"/>
          <w:lang w:eastAsia="en-US"/>
        </w:rPr>
      </w:pPr>
    </w:p>
    <w:sectPr w:rsidR="00CC69F0" w:rsidSect="008F451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AC07" w14:textId="77777777" w:rsidR="00401346" w:rsidRDefault="00401346" w:rsidP="00060CE7">
      <w:pPr>
        <w:spacing w:after="0" w:line="240" w:lineRule="auto"/>
      </w:pPr>
      <w:r>
        <w:separator/>
      </w:r>
    </w:p>
  </w:endnote>
  <w:endnote w:type="continuationSeparator" w:id="0">
    <w:p w14:paraId="4BA69BAD" w14:textId="77777777" w:rsidR="00401346" w:rsidRDefault="00401346" w:rsidP="0006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aslon-Regular">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E9F2" w14:textId="77777777" w:rsidR="00401346" w:rsidRDefault="00401346" w:rsidP="00060CE7">
      <w:pPr>
        <w:spacing w:after="0" w:line="240" w:lineRule="auto"/>
      </w:pPr>
      <w:r>
        <w:separator/>
      </w:r>
    </w:p>
  </w:footnote>
  <w:footnote w:type="continuationSeparator" w:id="0">
    <w:p w14:paraId="3B652404" w14:textId="77777777" w:rsidR="00401346" w:rsidRDefault="00401346" w:rsidP="00060CE7">
      <w:pPr>
        <w:spacing w:after="0" w:line="240" w:lineRule="auto"/>
      </w:pPr>
      <w:r>
        <w:continuationSeparator/>
      </w:r>
    </w:p>
  </w:footnote>
  <w:footnote w:id="1">
    <w:p w14:paraId="52E21899" w14:textId="77777777" w:rsidR="000B5496" w:rsidRPr="001826FC" w:rsidRDefault="000B5496" w:rsidP="000B5496">
      <w:pPr>
        <w:pStyle w:val="Notedebasdepage"/>
      </w:pPr>
      <w:r>
        <w:rPr>
          <w:rStyle w:val="Appelnotedebasdep"/>
        </w:rPr>
        <w:footnoteRef/>
      </w:r>
      <w:r>
        <w:t xml:space="preserve"> </w:t>
      </w:r>
      <w:r w:rsidRPr="002F7782">
        <w:t xml:space="preserve">http://www.ipcinfo.org › </w:t>
      </w:r>
      <w:proofErr w:type="spellStart"/>
      <w:r w:rsidRPr="002F7782">
        <w:t>pdf_files</w:t>
      </w:r>
      <w:proofErr w:type="spellEnd"/>
      <w:r w:rsidRPr="002F7782">
        <w:t xml:space="preserve"> › </w:t>
      </w:r>
      <w:proofErr w:type="spellStart"/>
      <w:r w:rsidRPr="002F7782">
        <w:t>MLI_mali_cp</w:t>
      </w:r>
      <w:proofErr w:type="spellEnd"/>
    </w:p>
  </w:footnote>
  <w:footnote w:id="2">
    <w:p w14:paraId="46D68B2F" w14:textId="77777777" w:rsidR="000B5496" w:rsidRPr="00E76635" w:rsidRDefault="000B5496" w:rsidP="000B5496">
      <w:pPr>
        <w:pStyle w:val="Notedebasdepage"/>
      </w:pPr>
      <w:r>
        <w:rPr>
          <w:rStyle w:val="Appelnotedebasdep"/>
        </w:rPr>
        <w:footnoteRef/>
      </w:r>
      <w:r>
        <w:t xml:space="preserve"> </w:t>
      </w:r>
      <w:r w:rsidRPr="00C30718">
        <w:t>https://www.instat-mali.org/storage/171/anuair20_pub.pdf</w:t>
      </w:r>
    </w:p>
  </w:footnote>
  <w:footnote w:id="3">
    <w:p w14:paraId="2FA66F9A" w14:textId="77777777" w:rsidR="000B5496" w:rsidRPr="004B33A3" w:rsidRDefault="000B5496" w:rsidP="000B5496">
      <w:pPr>
        <w:pStyle w:val="Notedebasdepage"/>
      </w:pPr>
      <w:r>
        <w:rPr>
          <w:rStyle w:val="Appelnotedebasdep"/>
        </w:rPr>
        <w:footnoteRef/>
      </w:r>
      <w:r>
        <w:t xml:space="preserve"> </w:t>
      </w:r>
      <w:r w:rsidRPr="00E7284E">
        <w:t>www.crisisgroup.org : Transition au Mali : préserver l’aspiration au changement, Rapport Afrique N°304 | 21 septembre 2021</w:t>
      </w:r>
    </w:p>
  </w:footnote>
  <w:footnote w:id="4">
    <w:p w14:paraId="1F144582" w14:textId="77777777" w:rsidR="000B5496" w:rsidRPr="004F67CD" w:rsidRDefault="000B5496" w:rsidP="000B5496">
      <w:pPr>
        <w:pStyle w:val="Notedebasdepage"/>
        <w:rPr>
          <w:lang w:val="fr-FR"/>
        </w:rPr>
      </w:pPr>
      <w:r>
        <w:rPr>
          <w:rStyle w:val="Appelnotedebasdep"/>
        </w:rPr>
        <w:footnoteRef/>
      </w:r>
      <w:r>
        <w:t xml:space="preserve"> </w:t>
      </w:r>
      <w:r w:rsidRPr="004F67CD">
        <w:t>https://www.ml.undp.org/content/mali/fr/home/library/rapport-mensuel-de-lenquete-sur-limpact-de-coronavirus-sur-les-c.html</w:t>
      </w:r>
    </w:p>
  </w:footnote>
  <w:footnote w:id="5">
    <w:p w14:paraId="67BB488B" w14:textId="77777777" w:rsidR="000B5496" w:rsidRPr="0087242B" w:rsidRDefault="000B5496" w:rsidP="000B5496">
      <w:pPr>
        <w:pStyle w:val="Notedebasdepage"/>
        <w:rPr>
          <w:lang w:val="fr-FR"/>
        </w:rPr>
      </w:pPr>
      <w:r>
        <w:rPr>
          <w:rStyle w:val="Appelnotedebasdep"/>
        </w:rPr>
        <w:footnoteRef/>
      </w:r>
      <w:r>
        <w:t xml:space="preserve"> </w:t>
      </w:r>
      <w:r w:rsidRPr="0087242B">
        <w:t xml:space="preserve">www.finances.gouv.ml : </w:t>
      </w:r>
      <w:r>
        <w:t>M</w:t>
      </w:r>
      <w:r w:rsidRPr="0087242B">
        <w:t>inistère de l’Économie et des Finances du Mali, Projet de Loi de finances rectificative 2021, Août 2021</w:t>
      </w:r>
    </w:p>
  </w:footnote>
  <w:footnote w:id="6">
    <w:p w14:paraId="16DADECE" w14:textId="77777777" w:rsidR="000B5496" w:rsidRPr="00107AAB" w:rsidRDefault="000B5496" w:rsidP="000B5496">
      <w:pPr>
        <w:pStyle w:val="Notedebasdepage"/>
        <w:rPr>
          <w:lang w:val="fr-FR"/>
        </w:rPr>
      </w:pPr>
      <w:r>
        <w:rPr>
          <w:rStyle w:val="Appelnotedebasdep"/>
        </w:rPr>
        <w:footnoteRef/>
      </w:r>
      <w:r>
        <w:t xml:space="preserve"> </w:t>
      </w:r>
      <w:r w:rsidRPr="00107AAB">
        <w:t>www.umoatitres.org : Note d’information sur le Mali, août 2021</w:t>
      </w:r>
    </w:p>
  </w:footnote>
  <w:footnote w:id="7">
    <w:p w14:paraId="65A2444C" w14:textId="77777777" w:rsidR="000B5496" w:rsidRPr="00D739B9" w:rsidRDefault="000B5496" w:rsidP="000B5496">
      <w:pPr>
        <w:pStyle w:val="Notedebasdepage"/>
        <w:rPr>
          <w:lang w:val="fr-FR"/>
        </w:rPr>
      </w:pPr>
      <w:r>
        <w:rPr>
          <w:rStyle w:val="Appelnotedebasdep"/>
        </w:rPr>
        <w:footnoteRef/>
      </w:r>
      <w:r>
        <w:t xml:space="preserve"> </w:t>
      </w:r>
      <w:r w:rsidRPr="0008487F">
        <w:t>www.banquemondiale.org : Note sur la situation de l’économie et de la pauvreté en temps de COVID-191, Édition juin 2020</w:t>
      </w:r>
    </w:p>
  </w:footnote>
  <w:footnote w:id="8">
    <w:p w14:paraId="1D23120B" w14:textId="77777777" w:rsidR="000B5496" w:rsidRPr="00CC648E" w:rsidRDefault="000B5496" w:rsidP="000B5496">
      <w:pPr>
        <w:pStyle w:val="Notedebasdepage"/>
        <w:rPr>
          <w:lang w:val="fr-FR"/>
        </w:rPr>
      </w:pPr>
      <w:r>
        <w:rPr>
          <w:rStyle w:val="Appelnotedebasdep"/>
        </w:rPr>
        <w:footnoteRef/>
      </w:r>
      <w:r>
        <w:t xml:space="preserve"> </w:t>
      </w:r>
      <w:r w:rsidRPr="00E12B73">
        <w:t>https://www.maliapd.org/documents-de-reference/</w:t>
      </w:r>
    </w:p>
  </w:footnote>
  <w:footnote w:id="9">
    <w:p w14:paraId="0A42DEC8" w14:textId="77777777" w:rsidR="00081281" w:rsidRPr="005321AC" w:rsidRDefault="00081281" w:rsidP="00081281">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10">
    <w:p w14:paraId="42696038" w14:textId="77777777" w:rsidR="00081281" w:rsidRPr="00645905" w:rsidRDefault="00081281" w:rsidP="00081281">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CE8"/>
    <w:multiLevelType w:val="multilevel"/>
    <w:tmpl w:val="C18EF6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86BB2"/>
    <w:multiLevelType w:val="hybridMultilevel"/>
    <w:tmpl w:val="600AE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86A0E"/>
    <w:multiLevelType w:val="hybridMultilevel"/>
    <w:tmpl w:val="2BEA15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900F96"/>
    <w:multiLevelType w:val="hybridMultilevel"/>
    <w:tmpl w:val="E6F4AF78"/>
    <w:lvl w:ilvl="0" w:tplc="EE06085A">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D34BFA"/>
    <w:multiLevelType w:val="multilevel"/>
    <w:tmpl w:val="13BC8C3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C61079"/>
    <w:multiLevelType w:val="hybridMultilevel"/>
    <w:tmpl w:val="981CDF84"/>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F328BE"/>
    <w:multiLevelType w:val="hybridMultilevel"/>
    <w:tmpl w:val="CEB2FC60"/>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F251BF"/>
    <w:multiLevelType w:val="hybridMultilevel"/>
    <w:tmpl w:val="14405C88"/>
    <w:lvl w:ilvl="0" w:tplc="EE06085A">
      <w:numFmt w:val="bullet"/>
      <w:lvlText w:val="-"/>
      <w:lvlJc w:val="left"/>
      <w:pPr>
        <w:ind w:left="720" w:hanging="360"/>
      </w:pPr>
      <w:rPr>
        <w:rFonts w:ascii="TimesNewRomanPSMT" w:eastAsiaTheme="minorHAnsi" w:hAnsi="TimesNewRomanPSMT" w:cs="TimesNewRomanPSMT"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9" w15:restartNumberingAfterBreak="0">
    <w:nsid w:val="574E058D"/>
    <w:multiLevelType w:val="hybridMultilevel"/>
    <w:tmpl w:val="6702330A"/>
    <w:lvl w:ilvl="0" w:tplc="178EEAF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C671BE4"/>
    <w:multiLevelType w:val="hybridMultilevel"/>
    <w:tmpl w:val="42B0C146"/>
    <w:lvl w:ilvl="0" w:tplc="340C0005">
      <w:start w:val="1"/>
      <w:numFmt w:val="bullet"/>
      <w:lvlText w:val=""/>
      <w:lvlJc w:val="left"/>
      <w:pPr>
        <w:ind w:left="2484" w:hanging="360"/>
      </w:pPr>
      <w:rPr>
        <w:rFonts w:ascii="Wingdings" w:hAnsi="Wingdings" w:hint="default"/>
      </w:rPr>
    </w:lvl>
    <w:lvl w:ilvl="1" w:tplc="340C0003" w:tentative="1">
      <w:start w:val="1"/>
      <w:numFmt w:val="bullet"/>
      <w:lvlText w:val="o"/>
      <w:lvlJc w:val="left"/>
      <w:pPr>
        <w:ind w:left="3204" w:hanging="360"/>
      </w:pPr>
      <w:rPr>
        <w:rFonts w:ascii="Courier New" w:hAnsi="Courier New" w:cs="Courier New" w:hint="default"/>
      </w:rPr>
    </w:lvl>
    <w:lvl w:ilvl="2" w:tplc="340C0005" w:tentative="1">
      <w:start w:val="1"/>
      <w:numFmt w:val="bullet"/>
      <w:lvlText w:val=""/>
      <w:lvlJc w:val="left"/>
      <w:pPr>
        <w:ind w:left="3924" w:hanging="360"/>
      </w:pPr>
      <w:rPr>
        <w:rFonts w:ascii="Wingdings" w:hAnsi="Wingdings" w:hint="default"/>
      </w:rPr>
    </w:lvl>
    <w:lvl w:ilvl="3" w:tplc="340C0001" w:tentative="1">
      <w:start w:val="1"/>
      <w:numFmt w:val="bullet"/>
      <w:lvlText w:val=""/>
      <w:lvlJc w:val="left"/>
      <w:pPr>
        <w:ind w:left="4644" w:hanging="360"/>
      </w:pPr>
      <w:rPr>
        <w:rFonts w:ascii="Symbol" w:hAnsi="Symbol" w:hint="default"/>
      </w:rPr>
    </w:lvl>
    <w:lvl w:ilvl="4" w:tplc="340C0003" w:tentative="1">
      <w:start w:val="1"/>
      <w:numFmt w:val="bullet"/>
      <w:lvlText w:val="o"/>
      <w:lvlJc w:val="left"/>
      <w:pPr>
        <w:ind w:left="5364" w:hanging="360"/>
      </w:pPr>
      <w:rPr>
        <w:rFonts w:ascii="Courier New" w:hAnsi="Courier New" w:cs="Courier New" w:hint="default"/>
      </w:rPr>
    </w:lvl>
    <w:lvl w:ilvl="5" w:tplc="340C0005" w:tentative="1">
      <w:start w:val="1"/>
      <w:numFmt w:val="bullet"/>
      <w:lvlText w:val=""/>
      <w:lvlJc w:val="left"/>
      <w:pPr>
        <w:ind w:left="6084" w:hanging="360"/>
      </w:pPr>
      <w:rPr>
        <w:rFonts w:ascii="Wingdings" w:hAnsi="Wingdings" w:hint="default"/>
      </w:rPr>
    </w:lvl>
    <w:lvl w:ilvl="6" w:tplc="340C0001" w:tentative="1">
      <w:start w:val="1"/>
      <w:numFmt w:val="bullet"/>
      <w:lvlText w:val=""/>
      <w:lvlJc w:val="left"/>
      <w:pPr>
        <w:ind w:left="6804" w:hanging="360"/>
      </w:pPr>
      <w:rPr>
        <w:rFonts w:ascii="Symbol" w:hAnsi="Symbol" w:hint="default"/>
      </w:rPr>
    </w:lvl>
    <w:lvl w:ilvl="7" w:tplc="340C0003" w:tentative="1">
      <w:start w:val="1"/>
      <w:numFmt w:val="bullet"/>
      <w:lvlText w:val="o"/>
      <w:lvlJc w:val="left"/>
      <w:pPr>
        <w:ind w:left="7524" w:hanging="360"/>
      </w:pPr>
      <w:rPr>
        <w:rFonts w:ascii="Courier New" w:hAnsi="Courier New" w:cs="Courier New" w:hint="default"/>
      </w:rPr>
    </w:lvl>
    <w:lvl w:ilvl="8" w:tplc="340C0005" w:tentative="1">
      <w:start w:val="1"/>
      <w:numFmt w:val="bullet"/>
      <w:lvlText w:val=""/>
      <w:lvlJc w:val="left"/>
      <w:pPr>
        <w:ind w:left="8244" w:hanging="360"/>
      </w:pPr>
      <w:rPr>
        <w:rFonts w:ascii="Wingdings" w:hAnsi="Wingdings" w:hint="default"/>
      </w:rPr>
    </w:lvl>
  </w:abstractNum>
  <w:abstractNum w:abstractNumId="11" w15:restartNumberingAfterBreak="0">
    <w:nsid w:val="65960AB5"/>
    <w:multiLevelType w:val="hybridMultilevel"/>
    <w:tmpl w:val="38687A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D32B8C"/>
    <w:multiLevelType w:val="hybridMultilevel"/>
    <w:tmpl w:val="F59616F4"/>
    <w:lvl w:ilvl="0" w:tplc="D82CC1CE">
      <w:start w:val="1"/>
      <w:numFmt w:val="decimal"/>
      <w:lvlText w:val="%1)"/>
      <w:lvlJc w:val="left"/>
      <w:pPr>
        <w:ind w:left="1080" w:hanging="72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1D2584"/>
    <w:multiLevelType w:val="hybridMultilevel"/>
    <w:tmpl w:val="20500E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061544"/>
    <w:multiLevelType w:val="hybridMultilevel"/>
    <w:tmpl w:val="0DA02C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14"/>
  </w:num>
  <w:num w:numId="6">
    <w:abstractNumId w:val="5"/>
  </w:num>
  <w:num w:numId="7">
    <w:abstractNumId w:val="0"/>
  </w:num>
  <w:num w:numId="8">
    <w:abstractNumId w:val="8"/>
  </w:num>
  <w:num w:numId="9">
    <w:abstractNumId w:val="15"/>
  </w:num>
  <w:num w:numId="10">
    <w:abstractNumId w:val="2"/>
  </w:num>
  <w:num w:numId="11">
    <w:abstractNumId w:val="1"/>
  </w:num>
  <w:num w:numId="12">
    <w:abstractNumId w:val="3"/>
  </w:num>
  <w:num w:numId="13">
    <w:abstractNumId w:val="11"/>
  </w:num>
  <w:num w:numId="14">
    <w:abstractNumId w:val="13"/>
  </w:num>
  <w:num w:numId="15">
    <w:abstractNumId w:val="10"/>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04"/>
    <w:rsid w:val="00024B6D"/>
    <w:rsid w:val="000547A0"/>
    <w:rsid w:val="00060CE7"/>
    <w:rsid w:val="00065471"/>
    <w:rsid w:val="00081281"/>
    <w:rsid w:val="0009257C"/>
    <w:rsid w:val="000B5496"/>
    <w:rsid w:val="00185583"/>
    <w:rsid w:val="001A2A80"/>
    <w:rsid w:val="001C024B"/>
    <w:rsid w:val="001C4CAA"/>
    <w:rsid w:val="001D27C7"/>
    <w:rsid w:val="001D3356"/>
    <w:rsid w:val="0020373A"/>
    <w:rsid w:val="0025171D"/>
    <w:rsid w:val="0026005B"/>
    <w:rsid w:val="00264290"/>
    <w:rsid w:val="00275E94"/>
    <w:rsid w:val="002C6966"/>
    <w:rsid w:val="00313B6F"/>
    <w:rsid w:val="00316EF1"/>
    <w:rsid w:val="00350C5E"/>
    <w:rsid w:val="00370CA1"/>
    <w:rsid w:val="00370FCC"/>
    <w:rsid w:val="0038676A"/>
    <w:rsid w:val="003B4699"/>
    <w:rsid w:val="003D39EE"/>
    <w:rsid w:val="003E0B63"/>
    <w:rsid w:val="003F5DE9"/>
    <w:rsid w:val="00401346"/>
    <w:rsid w:val="00452185"/>
    <w:rsid w:val="00465A26"/>
    <w:rsid w:val="004725D4"/>
    <w:rsid w:val="004C6A54"/>
    <w:rsid w:val="004E39E2"/>
    <w:rsid w:val="0051492E"/>
    <w:rsid w:val="0051579E"/>
    <w:rsid w:val="005244E6"/>
    <w:rsid w:val="005552F4"/>
    <w:rsid w:val="00562B8A"/>
    <w:rsid w:val="00575496"/>
    <w:rsid w:val="005845DA"/>
    <w:rsid w:val="00597D43"/>
    <w:rsid w:val="005C392C"/>
    <w:rsid w:val="005D63C1"/>
    <w:rsid w:val="00606768"/>
    <w:rsid w:val="00612DAA"/>
    <w:rsid w:val="00615330"/>
    <w:rsid w:val="00651B75"/>
    <w:rsid w:val="00665E33"/>
    <w:rsid w:val="00671E4F"/>
    <w:rsid w:val="006769AD"/>
    <w:rsid w:val="006C4E8F"/>
    <w:rsid w:val="006E29D4"/>
    <w:rsid w:val="006F736C"/>
    <w:rsid w:val="00713DE1"/>
    <w:rsid w:val="00743FF4"/>
    <w:rsid w:val="007524E3"/>
    <w:rsid w:val="00753160"/>
    <w:rsid w:val="00763A10"/>
    <w:rsid w:val="00780BA0"/>
    <w:rsid w:val="007840D5"/>
    <w:rsid w:val="00785E17"/>
    <w:rsid w:val="007A31C7"/>
    <w:rsid w:val="007D4831"/>
    <w:rsid w:val="007D726D"/>
    <w:rsid w:val="00800463"/>
    <w:rsid w:val="00807243"/>
    <w:rsid w:val="00840C00"/>
    <w:rsid w:val="008440BC"/>
    <w:rsid w:val="00874F6C"/>
    <w:rsid w:val="008A08E2"/>
    <w:rsid w:val="008A16F7"/>
    <w:rsid w:val="008D1895"/>
    <w:rsid w:val="008E07B1"/>
    <w:rsid w:val="008E1C2F"/>
    <w:rsid w:val="008F2803"/>
    <w:rsid w:val="008F451B"/>
    <w:rsid w:val="00945376"/>
    <w:rsid w:val="00955FB3"/>
    <w:rsid w:val="0097446B"/>
    <w:rsid w:val="009B0690"/>
    <w:rsid w:val="009D6795"/>
    <w:rsid w:val="009E1FDF"/>
    <w:rsid w:val="009F4438"/>
    <w:rsid w:val="00A61274"/>
    <w:rsid w:val="00A627EC"/>
    <w:rsid w:val="00A9604D"/>
    <w:rsid w:val="00AB4097"/>
    <w:rsid w:val="00AB773F"/>
    <w:rsid w:val="00AC36B4"/>
    <w:rsid w:val="00AD51A4"/>
    <w:rsid w:val="00AE1987"/>
    <w:rsid w:val="00B2083E"/>
    <w:rsid w:val="00B23B9F"/>
    <w:rsid w:val="00B427B2"/>
    <w:rsid w:val="00B433E6"/>
    <w:rsid w:val="00B613D1"/>
    <w:rsid w:val="00B73011"/>
    <w:rsid w:val="00BB6C37"/>
    <w:rsid w:val="00BC1256"/>
    <w:rsid w:val="00BC22D1"/>
    <w:rsid w:val="00BC6A00"/>
    <w:rsid w:val="00BD03D3"/>
    <w:rsid w:val="00BF4B19"/>
    <w:rsid w:val="00C22818"/>
    <w:rsid w:val="00C3362E"/>
    <w:rsid w:val="00C50749"/>
    <w:rsid w:val="00C75DA5"/>
    <w:rsid w:val="00C83AFE"/>
    <w:rsid w:val="00C91F89"/>
    <w:rsid w:val="00C97404"/>
    <w:rsid w:val="00CB00B9"/>
    <w:rsid w:val="00CC69F0"/>
    <w:rsid w:val="00CD3FB1"/>
    <w:rsid w:val="00CE6735"/>
    <w:rsid w:val="00CF463F"/>
    <w:rsid w:val="00D25F0A"/>
    <w:rsid w:val="00D31981"/>
    <w:rsid w:val="00D338BD"/>
    <w:rsid w:val="00D44404"/>
    <w:rsid w:val="00D517D9"/>
    <w:rsid w:val="00D556C2"/>
    <w:rsid w:val="00D6105F"/>
    <w:rsid w:val="00D73449"/>
    <w:rsid w:val="00D9611F"/>
    <w:rsid w:val="00DB1F6A"/>
    <w:rsid w:val="00DC2B23"/>
    <w:rsid w:val="00DD0E89"/>
    <w:rsid w:val="00DE742F"/>
    <w:rsid w:val="00E00BF7"/>
    <w:rsid w:val="00E0672D"/>
    <w:rsid w:val="00E25994"/>
    <w:rsid w:val="00E32E70"/>
    <w:rsid w:val="00E419FE"/>
    <w:rsid w:val="00E43454"/>
    <w:rsid w:val="00E53CBE"/>
    <w:rsid w:val="00E54E7C"/>
    <w:rsid w:val="00E616A6"/>
    <w:rsid w:val="00E62BD2"/>
    <w:rsid w:val="00E63F1B"/>
    <w:rsid w:val="00E951C1"/>
    <w:rsid w:val="00EA42F2"/>
    <w:rsid w:val="00F32085"/>
    <w:rsid w:val="00F4484F"/>
    <w:rsid w:val="00F44B1B"/>
    <w:rsid w:val="00F804AB"/>
    <w:rsid w:val="00F8486F"/>
    <w:rsid w:val="00F97B79"/>
    <w:rsid w:val="00FC0212"/>
    <w:rsid w:val="00FD6B63"/>
  </w:rsids>
  <m:mathPr>
    <m:mathFont m:val="Cambria Math"/>
    <m:brkBin m:val="before"/>
    <m:brkBinSub m:val="--"/>
    <m:smallFrac m:val="0"/>
    <m:dispDef/>
    <m:lMargin m:val="0"/>
    <m:rMargin m:val="0"/>
    <m:defJc m:val="centerGroup"/>
    <m:wrapIndent m:val="1440"/>
    <m:intLim m:val="subSup"/>
    <m:naryLim m:val="undOvr"/>
  </m:mathPr>
  <w:themeFontLang w:val="fr-M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1474"/>
  <w15:chartTrackingRefBased/>
  <w15:docId w15:val="{6C0FEB02-234F-49B4-B329-9B44DBC9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4404"/>
    <w:pPr>
      <w:spacing w:after="200" w:line="276" w:lineRule="auto"/>
    </w:pPr>
    <w:rPr>
      <w:rFonts w:ascii="Calibri" w:eastAsia="Times New Roman" w:hAnsi="Calibri" w:cs="Times New Roman"/>
      <w:lang w:val="fr-FR" w:eastAsia="fr-FR"/>
    </w:rPr>
  </w:style>
  <w:style w:type="paragraph" w:styleId="Titre1">
    <w:name w:val="heading 1"/>
    <w:basedOn w:val="Normal"/>
    <w:next w:val="Normal"/>
    <w:link w:val="Titre1Car"/>
    <w:uiPriority w:val="9"/>
    <w:qFormat/>
    <w:rsid w:val="008F451B"/>
    <w:pPr>
      <w:keepNext/>
      <w:widowControl w:val="0"/>
      <w:suppressAutoHyphens/>
      <w:autoSpaceDN w:val="0"/>
      <w:spacing w:after="0" w:line="240" w:lineRule="auto"/>
      <w:textAlignment w:val="baseline"/>
      <w:outlineLvl w:val="0"/>
    </w:pPr>
    <w:rPr>
      <w:rFonts w:ascii="Courier" w:hAnsi="Courier"/>
      <w:b/>
      <w:spacing w:val="-3"/>
      <w:sz w:val="28"/>
      <w:szCs w:val="20"/>
      <w:lang w:val="en-US" w:eastAsia="en-US"/>
    </w:rPr>
  </w:style>
  <w:style w:type="paragraph" w:styleId="Titre2">
    <w:name w:val="heading 2"/>
    <w:basedOn w:val="Normal"/>
    <w:next w:val="Normal"/>
    <w:link w:val="Titre2Car"/>
    <w:uiPriority w:val="9"/>
    <w:unhideWhenUsed/>
    <w:qFormat/>
    <w:rsid w:val="008F451B"/>
    <w:pPr>
      <w:keepNext/>
      <w:suppressAutoHyphens/>
      <w:autoSpaceDN w:val="0"/>
      <w:spacing w:after="0" w:line="240" w:lineRule="auto"/>
      <w:jc w:val="center"/>
      <w:textAlignment w:val="baseline"/>
      <w:outlineLvl w:val="1"/>
    </w:pPr>
    <w:rPr>
      <w:rFonts w:ascii="Arial" w:hAnsi="Arial"/>
      <w:b/>
      <w:sz w:val="28"/>
      <w:szCs w:val="20"/>
      <w:lang w:val="en-US" w:eastAsia="en-US"/>
    </w:rPr>
  </w:style>
  <w:style w:type="paragraph" w:styleId="Titre4">
    <w:name w:val="heading 4"/>
    <w:basedOn w:val="Normal"/>
    <w:next w:val="Normal"/>
    <w:link w:val="Titre4Car"/>
    <w:uiPriority w:val="9"/>
    <w:semiHidden/>
    <w:unhideWhenUsed/>
    <w:qFormat/>
    <w:rsid w:val="008F451B"/>
    <w:pPr>
      <w:keepNext/>
      <w:suppressAutoHyphens/>
      <w:autoSpaceDN w:val="0"/>
      <w:spacing w:after="0" w:line="240" w:lineRule="auto"/>
      <w:textAlignment w:val="baseline"/>
      <w:outlineLvl w:val="3"/>
    </w:pPr>
    <w:rPr>
      <w:rFonts w:ascii="Arial" w:hAnsi="Arial"/>
      <w:b/>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Titre1,kepala,Citation List,Graphic,Table of contents numbered,List Paragraph (bulleted list),Bullet 1 List,Bullet Styles para,Figure_name,Equipment,Numbered Indented Text,List Paragraph Char Char Char,3,L_4"/>
    <w:basedOn w:val="Normal"/>
    <w:link w:val="ParagraphedelisteCar"/>
    <w:uiPriority w:val="34"/>
    <w:qFormat/>
    <w:rsid w:val="00316EF1"/>
    <w:pPr>
      <w:spacing w:after="160" w:line="259" w:lineRule="auto"/>
      <w:ind w:left="720"/>
      <w:contextualSpacing/>
    </w:pPr>
    <w:rPr>
      <w:rFonts w:asciiTheme="minorHAnsi" w:eastAsiaTheme="minorHAnsi" w:hAnsiTheme="minorHAnsi" w:cstheme="minorBidi"/>
      <w:lang w:eastAsia="en-US"/>
    </w:rPr>
  </w:style>
  <w:style w:type="paragraph" w:customStyle="1" w:styleId="SingleTxt">
    <w:name w:val="__Single Txt"/>
    <w:basedOn w:val="Normal"/>
    <w:qFormat/>
    <w:rsid w:val="00060CE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spacing w:val="4"/>
      <w:w w:val="103"/>
      <w:kern w:val="14"/>
      <w:sz w:val="20"/>
      <w:lang w:val="fr-CA" w:eastAsia="en-US"/>
    </w:rPr>
  </w:style>
  <w:style w:type="character" w:styleId="Appelnotedebasdep">
    <w:name w:val="footnote reference"/>
    <w:aliases w:val="Note de bas de page Car1,ftref,Footnote Reference Superscript,BVI fnr,16 Point,Superscript 6 Point,Footnote Reference Char Char Char,Carattere Char Carattere Carattere Char Carattere Char Carattere Char Char Char1 Char,4_G,R,fr,o"/>
    <w:link w:val="Char2"/>
    <w:uiPriority w:val="99"/>
    <w:qFormat/>
    <w:rsid w:val="00060CE7"/>
    <w:rPr>
      <w:spacing w:val="5"/>
      <w:w w:val="103"/>
      <w:kern w:val="14"/>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ADB,fn"/>
    <w:basedOn w:val="Normal"/>
    <w:link w:val="NotedebasdepageCar2"/>
    <w:qFormat/>
    <w:rsid w:val="00060CE7"/>
    <w:pPr>
      <w:spacing w:after="0" w:line="210" w:lineRule="exact"/>
    </w:pPr>
    <w:rPr>
      <w:rFonts w:ascii="Times New Roman" w:eastAsiaTheme="minorHAnsi" w:hAnsi="Times New Roman"/>
      <w:spacing w:val="4"/>
      <w:w w:val="103"/>
      <w:kern w:val="14"/>
      <w:sz w:val="17"/>
      <w:szCs w:val="20"/>
      <w:lang w:val="fr-CA" w:eastAsia="en-US"/>
    </w:rPr>
  </w:style>
  <w:style w:type="character" w:customStyle="1" w:styleId="NotedebasdepageCar">
    <w:name w:val="Note de bas de page Car"/>
    <w:aliases w:val="Footnote Text Char2 Car,Footnote Text Char1 Char1 Car,Footnote Text Char2 Char Char Char Car,FOOTNOTES Car,fn Car"/>
    <w:basedOn w:val="Policepardfaut"/>
    <w:rsid w:val="00060CE7"/>
    <w:rPr>
      <w:rFonts w:ascii="Calibri" w:eastAsia="Times New Roman" w:hAnsi="Calibri" w:cs="Times New Roman"/>
      <w:sz w:val="20"/>
      <w:szCs w:val="20"/>
      <w:lang w:val="fr-FR" w:eastAsia="fr-FR"/>
    </w:rPr>
  </w:style>
  <w:style w:type="character" w:customStyle="1" w:styleId="NotedebasdepageCar2">
    <w:name w:val="Note de bas de page Car2"/>
    <w:aliases w:val="Geneva 9 Car,Font: Geneva 9 Car,Boston 10 Car,f Car,single space Car,Footnote Car,otnote Text Car,ft Car,Footnote Text Char Char Char Car,Footnote Text Char Char Char Char Car,Footnote Text Char Char Car,ADB Car,fn Car1"/>
    <w:link w:val="Notedebasdepage"/>
    <w:rsid w:val="00060CE7"/>
    <w:rPr>
      <w:rFonts w:ascii="Times New Roman" w:hAnsi="Times New Roman" w:cs="Times New Roman"/>
      <w:spacing w:val="4"/>
      <w:w w:val="103"/>
      <w:kern w:val="14"/>
      <w:sz w:val="17"/>
      <w:szCs w:val="20"/>
      <w:lang w:val="fr-CA"/>
    </w:rPr>
  </w:style>
  <w:style w:type="paragraph" w:customStyle="1" w:styleId="Char2">
    <w:name w:val="Char2"/>
    <w:basedOn w:val="Normal"/>
    <w:link w:val="Appelnotedebasdep"/>
    <w:uiPriority w:val="99"/>
    <w:rsid w:val="00060CE7"/>
    <w:pPr>
      <w:spacing w:after="160" w:line="240" w:lineRule="exact"/>
    </w:pPr>
    <w:rPr>
      <w:rFonts w:asciiTheme="minorHAnsi" w:eastAsiaTheme="minorHAnsi" w:hAnsiTheme="minorHAnsi" w:cstheme="minorBidi"/>
      <w:spacing w:val="5"/>
      <w:w w:val="103"/>
      <w:kern w:val="14"/>
      <w:vertAlign w:val="superscript"/>
      <w:lang w:val="fr-ML" w:eastAsia="en-US"/>
    </w:rPr>
  </w:style>
  <w:style w:type="character" w:styleId="Lienhypertexte">
    <w:name w:val="Hyperlink"/>
    <w:basedOn w:val="Policepardfaut"/>
    <w:unhideWhenUsed/>
    <w:rsid w:val="003D39EE"/>
    <w:rPr>
      <w:color w:val="0563C1" w:themeColor="hyperlink"/>
      <w:u w:val="single"/>
    </w:rPr>
  </w:style>
  <w:style w:type="character" w:customStyle="1" w:styleId="ParagraphedelisteCar">
    <w:name w:val="Paragraphe de liste Car"/>
    <w:aliases w:val="Bullets Car,List Paragraph1 Car,Titre1 Car,kepala Car,Citation List Car,Graphic Car,Table of contents numbered Car,List Paragraph (bulleted list) Car,Bullet 1 List Car,Bullet Styles para Car,Figure_name Car,Equipment Car,3 Car"/>
    <w:link w:val="Paragraphedeliste"/>
    <w:uiPriority w:val="34"/>
    <w:qFormat/>
    <w:rsid w:val="00C3362E"/>
    <w:rPr>
      <w:lang w:val="fr-FR"/>
    </w:rPr>
  </w:style>
  <w:style w:type="paragraph" w:styleId="NormalWeb">
    <w:name w:val="Normal (Web)"/>
    <w:basedOn w:val="Normal"/>
    <w:uiPriority w:val="99"/>
    <w:unhideWhenUsed/>
    <w:rsid w:val="00C3362E"/>
    <w:pPr>
      <w:spacing w:after="0" w:line="240" w:lineRule="auto"/>
    </w:pPr>
    <w:rPr>
      <w:rFonts w:ascii="Times New Roman" w:eastAsia="Calibri" w:hAnsi="Times New Roman"/>
      <w:sz w:val="24"/>
      <w:szCs w:val="24"/>
    </w:rPr>
  </w:style>
  <w:style w:type="character" w:customStyle="1" w:styleId="jlqj4b">
    <w:name w:val="jlqj4b"/>
    <w:basedOn w:val="Policepardfaut"/>
    <w:rsid w:val="00606768"/>
  </w:style>
  <w:style w:type="table" w:styleId="Grilledutableau">
    <w:name w:val="Table Grid"/>
    <w:basedOn w:val="TableauNormal"/>
    <w:uiPriority w:val="59"/>
    <w:rsid w:val="002C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4C6A54"/>
  </w:style>
  <w:style w:type="character" w:styleId="lev">
    <w:name w:val="Strong"/>
    <w:qFormat/>
    <w:rsid w:val="004C6A54"/>
    <w:rPr>
      <w:b/>
      <w:bCs/>
    </w:rPr>
  </w:style>
  <w:style w:type="paragraph" w:customStyle="1" w:styleId="Default">
    <w:name w:val="Default"/>
    <w:rsid w:val="00FC0212"/>
    <w:pPr>
      <w:autoSpaceDE w:val="0"/>
      <w:autoSpaceDN w:val="0"/>
      <w:adjustRightInd w:val="0"/>
      <w:spacing w:after="0" w:line="240" w:lineRule="auto"/>
    </w:pPr>
    <w:rPr>
      <w:rFonts w:ascii="Calibri" w:hAnsi="Calibri" w:cs="Calibri"/>
      <w:color w:val="000000"/>
      <w:sz w:val="24"/>
      <w:szCs w:val="24"/>
      <w:lang w:val="fr-FR"/>
    </w:rPr>
  </w:style>
  <w:style w:type="paragraph" w:customStyle="1" w:styleId="p28">
    <w:name w:val="p28"/>
    <w:basedOn w:val="Normal"/>
    <w:rsid w:val="00562B8A"/>
    <w:pPr>
      <w:widowControl w:val="0"/>
      <w:tabs>
        <w:tab w:val="left" w:pos="680"/>
        <w:tab w:val="left" w:pos="1060"/>
      </w:tabs>
      <w:spacing w:after="0" w:line="240" w:lineRule="atLeast"/>
      <w:ind w:left="432" w:hanging="288"/>
    </w:pPr>
    <w:rPr>
      <w:rFonts w:ascii="Times New Roman" w:hAnsi="Times New Roman"/>
      <w:snapToGrid w:val="0"/>
      <w:sz w:val="24"/>
      <w:szCs w:val="20"/>
      <w:lang w:val="en-US" w:eastAsia="en-US"/>
    </w:rPr>
  </w:style>
  <w:style w:type="character" w:customStyle="1" w:styleId="shorttext1">
    <w:name w:val="short_text1"/>
    <w:rsid w:val="00562B8A"/>
    <w:rPr>
      <w:sz w:val="29"/>
      <w:szCs w:val="29"/>
    </w:rPr>
  </w:style>
  <w:style w:type="paragraph" w:styleId="Corpsdetexte3">
    <w:name w:val="Body Text 3"/>
    <w:basedOn w:val="Normal"/>
    <w:link w:val="Corpsdetexte3Car"/>
    <w:unhideWhenUsed/>
    <w:rsid w:val="00562B8A"/>
    <w:pPr>
      <w:spacing w:after="120" w:line="240" w:lineRule="auto"/>
    </w:pPr>
    <w:rPr>
      <w:rFonts w:ascii="Times New Roman" w:eastAsia="Calibri" w:hAnsi="Times New Roman"/>
      <w:sz w:val="16"/>
      <w:szCs w:val="16"/>
      <w:lang w:val="en-CA" w:eastAsia="en-US"/>
    </w:rPr>
  </w:style>
  <w:style w:type="character" w:customStyle="1" w:styleId="Corpsdetexte3Car">
    <w:name w:val="Corps de texte 3 Car"/>
    <w:basedOn w:val="Policepardfaut"/>
    <w:link w:val="Corpsdetexte3"/>
    <w:uiPriority w:val="99"/>
    <w:rsid w:val="00562B8A"/>
    <w:rPr>
      <w:rFonts w:ascii="Times New Roman" w:eastAsia="Calibri" w:hAnsi="Times New Roman" w:cs="Times New Roman"/>
      <w:sz w:val="16"/>
      <w:szCs w:val="16"/>
      <w:lang w:val="en-CA"/>
    </w:rPr>
  </w:style>
  <w:style w:type="character" w:customStyle="1" w:styleId="Titre1Car">
    <w:name w:val="Titre 1 Car"/>
    <w:basedOn w:val="Policepardfaut"/>
    <w:link w:val="Titre1"/>
    <w:uiPriority w:val="9"/>
    <w:rsid w:val="008F451B"/>
    <w:rPr>
      <w:rFonts w:ascii="Courier" w:eastAsia="Times New Roman" w:hAnsi="Courier" w:cs="Times New Roman"/>
      <w:b/>
      <w:spacing w:val="-3"/>
      <w:sz w:val="28"/>
      <w:szCs w:val="20"/>
      <w:lang w:val="en-US"/>
    </w:rPr>
  </w:style>
  <w:style w:type="character" w:customStyle="1" w:styleId="Titre2Car">
    <w:name w:val="Titre 2 Car"/>
    <w:basedOn w:val="Policepardfaut"/>
    <w:link w:val="Titre2"/>
    <w:uiPriority w:val="9"/>
    <w:rsid w:val="008F451B"/>
    <w:rPr>
      <w:rFonts w:ascii="Arial" w:eastAsia="Times New Roman" w:hAnsi="Arial" w:cs="Times New Roman"/>
      <w:b/>
      <w:sz w:val="28"/>
      <w:szCs w:val="20"/>
      <w:lang w:val="en-US"/>
    </w:rPr>
  </w:style>
  <w:style w:type="character" w:customStyle="1" w:styleId="Titre4Car">
    <w:name w:val="Titre 4 Car"/>
    <w:basedOn w:val="Policepardfaut"/>
    <w:link w:val="Titre4"/>
    <w:uiPriority w:val="9"/>
    <w:semiHidden/>
    <w:rsid w:val="008F451B"/>
    <w:rPr>
      <w:rFonts w:ascii="Arial" w:eastAsia="Times New Roman" w:hAnsi="Arial" w:cs="Times New Roman"/>
      <w:b/>
      <w:szCs w:val="20"/>
      <w:lang w:val="en-US"/>
    </w:rPr>
  </w:style>
  <w:style w:type="paragraph" w:styleId="En-tte">
    <w:name w:val="header"/>
    <w:basedOn w:val="Normal"/>
    <w:link w:val="En-tteCar"/>
    <w:rsid w:val="008F451B"/>
    <w:pPr>
      <w:widowControl w:val="0"/>
      <w:tabs>
        <w:tab w:val="center" w:pos="4320"/>
        <w:tab w:val="right" w:pos="8640"/>
      </w:tabs>
      <w:suppressAutoHyphens/>
      <w:autoSpaceDN w:val="0"/>
      <w:spacing w:after="0" w:line="240" w:lineRule="auto"/>
      <w:textAlignment w:val="baseline"/>
    </w:pPr>
    <w:rPr>
      <w:rFonts w:ascii="Courier" w:hAnsi="Courier"/>
      <w:szCs w:val="20"/>
      <w:lang w:val="en-US" w:eastAsia="en-US"/>
    </w:rPr>
  </w:style>
  <w:style w:type="character" w:customStyle="1" w:styleId="En-tteCar">
    <w:name w:val="En-tête Car"/>
    <w:basedOn w:val="Policepardfaut"/>
    <w:link w:val="En-tte"/>
    <w:rsid w:val="008F451B"/>
    <w:rPr>
      <w:rFonts w:ascii="Courier" w:eastAsia="Times New Roman" w:hAnsi="Courier" w:cs="Times New Roman"/>
      <w:szCs w:val="20"/>
      <w:lang w:val="en-US"/>
    </w:rPr>
  </w:style>
  <w:style w:type="paragraph" w:styleId="Sous-titre">
    <w:name w:val="Subtitle"/>
    <w:basedOn w:val="Normal"/>
    <w:link w:val="Sous-titreCar"/>
    <w:qFormat/>
    <w:rsid w:val="008F451B"/>
    <w:pPr>
      <w:suppressAutoHyphens/>
      <w:autoSpaceDN w:val="0"/>
      <w:spacing w:after="60" w:line="240" w:lineRule="auto"/>
      <w:jc w:val="center"/>
      <w:textAlignment w:val="baseline"/>
      <w:outlineLvl w:val="1"/>
    </w:pPr>
    <w:rPr>
      <w:rFonts w:ascii="Arial" w:hAnsi="Arial" w:cs="Arial"/>
      <w:sz w:val="24"/>
      <w:szCs w:val="24"/>
      <w:lang w:val="en-US" w:eastAsia="en-US"/>
    </w:rPr>
  </w:style>
  <w:style w:type="character" w:customStyle="1" w:styleId="Sous-titreCar">
    <w:name w:val="Sous-titre Car"/>
    <w:basedOn w:val="Policepardfaut"/>
    <w:link w:val="Sous-titre"/>
    <w:rsid w:val="008F451B"/>
    <w:rPr>
      <w:rFonts w:ascii="Arial" w:eastAsia="Times New Roman" w:hAnsi="Arial" w:cs="Arial"/>
      <w:sz w:val="24"/>
      <w:szCs w:val="24"/>
      <w:lang w:val="en-US"/>
    </w:rPr>
  </w:style>
  <w:style w:type="paragraph" w:styleId="Pieddepage">
    <w:name w:val="footer"/>
    <w:basedOn w:val="Normal"/>
    <w:link w:val="PieddepageCar"/>
    <w:rsid w:val="008F451B"/>
    <w:pPr>
      <w:tabs>
        <w:tab w:val="center" w:pos="4320"/>
        <w:tab w:val="right" w:pos="8640"/>
      </w:tabs>
      <w:suppressAutoHyphens/>
      <w:autoSpaceDN w:val="0"/>
      <w:spacing w:after="0" w:line="240" w:lineRule="auto"/>
      <w:textAlignment w:val="baseline"/>
    </w:pPr>
    <w:rPr>
      <w:rFonts w:ascii="Times New Roman" w:hAnsi="Times New Roman"/>
      <w:sz w:val="20"/>
      <w:szCs w:val="20"/>
      <w:lang w:val="en-US" w:eastAsia="en-US"/>
    </w:rPr>
  </w:style>
  <w:style w:type="character" w:customStyle="1" w:styleId="PieddepageCar">
    <w:name w:val="Pied de page Car"/>
    <w:basedOn w:val="Policepardfaut"/>
    <w:link w:val="Pieddepage"/>
    <w:rsid w:val="008F451B"/>
    <w:rPr>
      <w:rFonts w:ascii="Times New Roman" w:eastAsia="Times New Roman" w:hAnsi="Times New Roman" w:cs="Times New Roman"/>
      <w:sz w:val="20"/>
      <w:szCs w:val="20"/>
      <w:lang w:val="en-US"/>
    </w:rPr>
  </w:style>
  <w:style w:type="paragraph" w:customStyle="1" w:styleId="HCh">
    <w:name w:val="_ H _Ch"/>
    <w:basedOn w:val="Normal"/>
    <w:next w:val="Normal"/>
    <w:rsid w:val="008F451B"/>
    <w:pPr>
      <w:keepNext/>
      <w:keepLines/>
      <w:suppressAutoHyphens/>
      <w:autoSpaceDN w:val="0"/>
      <w:spacing w:after="0" w:line="300" w:lineRule="exact"/>
      <w:textAlignment w:val="baseline"/>
      <w:outlineLvl w:val="0"/>
    </w:pPr>
    <w:rPr>
      <w:rFonts w:ascii="Times New Roman" w:hAnsi="Times New Roman"/>
      <w:b/>
      <w:spacing w:val="-2"/>
      <w:w w:val="103"/>
      <w:kern w:val="3"/>
      <w:sz w:val="28"/>
      <w:szCs w:val="20"/>
      <w:lang w:val="en-GB" w:eastAsia="en-US"/>
    </w:rPr>
  </w:style>
  <w:style w:type="paragraph" w:customStyle="1" w:styleId="XLarge">
    <w:name w:val="XLarge"/>
    <w:basedOn w:val="Normal"/>
    <w:rsid w:val="008F451B"/>
    <w:pPr>
      <w:keepNext/>
      <w:keepLines/>
      <w:tabs>
        <w:tab w:val="right" w:leader="dot" w:pos="360"/>
      </w:tabs>
      <w:suppressAutoHyphens/>
      <w:autoSpaceDN w:val="0"/>
      <w:spacing w:after="0" w:line="390" w:lineRule="exact"/>
      <w:textAlignment w:val="baseline"/>
      <w:outlineLvl w:val="0"/>
    </w:pPr>
    <w:rPr>
      <w:rFonts w:ascii="Times New Roman" w:hAnsi="Times New Roman"/>
      <w:b/>
      <w:spacing w:val="-4"/>
      <w:w w:val="98"/>
      <w:kern w:val="3"/>
      <w:sz w:val="40"/>
      <w:szCs w:val="20"/>
      <w:lang w:val="en-GB" w:eastAsia="en-US"/>
    </w:rPr>
  </w:style>
  <w:style w:type="paragraph" w:styleId="Textedebulles">
    <w:name w:val="Balloon Text"/>
    <w:basedOn w:val="Normal"/>
    <w:link w:val="TextedebullesCar"/>
    <w:rsid w:val="008F451B"/>
    <w:pPr>
      <w:suppressAutoHyphens/>
      <w:autoSpaceDN w:val="0"/>
      <w:spacing w:after="0" w:line="240" w:lineRule="auto"/>
      <w:textAlignment w:val="baseline"/>
    </w:pPr>
    <w:rPr>
      <w:rFonts w:ascii="Tahoma" w:hAnsi="Tahoma" w:cs="Tahoma"/>
      <w:sz w:val="16"/>
      <w:szCs w:val="16"/>
      <w:lang w:val="en-US" w:eastAsia="en-US"/>
    </w:rPr>
  </w:style>
  <w:style w:type="character" w:customStyle="1" w:styleId="TextedebullesCar">
    <w:name w:val="Texte de bulles Car"/>
    <w:basedOn w:val="Policepardfaut"/>
    <w:link w:val="Textedebulles"/>
    <w:rsid w:val="008F451B"/>
    <w:rPr>
      <w:rFonts w:ascii="Tahoma" w:eastAsia="Times New Roman" w:hAnsi="Tahoma" w:cs="Tahoma"/>
      <w:sz w:val="16"/>
      <w:szCs w:val="16"/>
      <w:lang w:val="en-US"/>
    </w:rPr>
  </w:style>
  <w:style w:type="paragraph" w:styleId="Explorateurdedocuments">
    <w:name w:val="Document Map"/>
    <w:basedOn w:val="Normal"/>
    <w:link w:val="ExplorateurdedocumentsCar"/>
    <w:rsid w:val="008F451B"/>
    <w:pPr>
      <w:suppressAutoHyphens/>
      <w:autoSpaceDN w:val="0"/>
      <w:spacing w:after="0" w:line="240" w:lineRule="auto"/>
      <w:textAlignment w:val="baseline"/>
    </w:pPr>
    <w:rPr>
      <w:rFonts w:ascii="Tahoma" w:hAnsi="Tahoma"/>
      <w:sz w:val="16"/>
      <w:szCs w:val="16"/>
      <w:lang w:val="en-US" w:eastAsia="en-US"/>
    </w:rPr>
  </w:style>
  <w:style w:type="character" w:customStyle="1" w:styleId="ExplorateurdedocumentsCar">
    <w:name w:val="Explorateur de documents Car"/>
    <w:basedOn w:val="Policepardfaut"/>
    <w:link w:val="Explorateurdedocuments"/>
    <w:rsid w:val="008F451B"/>
    <w:rPr>
      <w:rFonts w:ascii="Tahoma" w:eastAsia="Times New Roman" w:hAnsi="Tahoma" w:cs="Times New Roman"/>
      <w:sz w:val="16"/>
      <w:szCs w:val="16"/>
      <w:lang w:val="en-US"/>
    </w:rPr>
  </w:style>
  <w:style w:type="character" w:customStyle="1" w:styleId="DocumentMapChar">
    <w:name w:val="Document Map Char"/>
    <w:rsid w:val="008F451B"/>
    <w:rPr>
      <w:rFonts w:ascii="Tahoma" w:hAnsi="Tahoma" w:cs="Tahoma"/>
      <w:sz w:val="16"/>
      <w:szCs w:val="16"/>
    </w:rPr>
  </w:style>
  <w:style w:type="character" w:styleId="Marquedecommentaire">
    <w:name w:val="annotation reference"/>
    <w:rsid w:val="008F451B"/>
    <w:rPr>
      <w:rFonts w:cs="Times New Roman"/>
      <w:sz w:val="6"/>
      <w:szCs w:val="6"/>
    </w:rPr>
  </w:style>
  <w:style w:type="character" w:customStyle="1" w:styleId="FooterChar">
    <w:name w:val="Footer Char"/>
    <w:rsid w:val="008F451B"/>
    <w:rPr>
      <w:rFonts w:cs="Times New Roman"/>
    </w:rPr>
  </w:style>
  <w:style w:type="paragraph" w:styleId="Commentaire">
    <w:name w:val="annotation text"/>
    <w:basedOn w:val="Normal"/>
    <w:link w:val="CommentaireCar"/>
    <w:rsid w:val="008F451B"/>
    <w:pPr>
      <w:suppressAutoHyphens/>
      <w:autoSpaceDN w:val="0"/>
      <w:spacing w:after="0" w:line="240" w:lineRule="auto"/>
      <w:textAlignment w:val="baseline"/>
    </w:pPr>
    <w:rPr>
      <w:rFonts w:ascii="Times New Roman" w:hAnsi="Times New Roman"/>
      <w:sz w:val="20"/>
      <w:szCs w:val="20"/>
      <w:lang w:val="en-US" w:eastAsia="en-US"/>
    </w:rPr>
  </w:style>
  <w:style w:type="character" w:customStyle="1" w:styleId="CommentaireCar">
    <w:name w:val="Commentaire Car"/>
    <w:basedOn w:val="Policepardfaut"/>
    <w:link w:val="Commentaire"/>
    <w:rsid w:val="008F451B"/>
    <w:rPr>
      <w:rFonts w:ascii="Times New Roman" w:eastAsia="Times New Roman" w:hAnsi="Times New Roman" w:cs="Times New Roman"/>
      <w:sz w:val="20"/>
      <w:szCs w:val="20"/>
      <w:lang w:val="en-US"/>
    </w:rPr>
  </w:style>
  <w:style w:type="character" w:customStyle="1" w:styleId="CommentTextChar">
    <w:name w:val="Comment Text Char"/>
    <w:basedOn w:val="Policepardfaut"/>
    <w:rsid w:val="008F451B"/>
  </w:style>
  <w:style w:type="paragraph" w:styleId="Objetducommentaire">
    <w:name w:val="annotation subject"/>
    <w:basedOn w:val="Commentaire"/>
    <w:next w:val="Commentaire"/>
    <w:link w:val="ObjetducommentaireCar"/>
    <w:rsid w:val="008F451B"/>
    <w:rPr>
      <w:b/>
      <w:bCs/>
    </w:rPr>
  </w:style>
  <w:style w:type="character" w:customStyle="1" w:styleId="ObjetducommentaireCar">
    <w:name w:val="Objet du commentaire Car"/>
    <w:basedOn w:val="CommentaireCar"/>
    <w:link w:val="Objetducommentaire"/>
    <w:rsid w:val="008F451B"/>
    <w:rPr>
      <w:rFonts w:ascii="Times New Roman" w:eastAsia="Times New Roman" w:hAnsi="Times New Roman" w:cs="Times New Roman"/>
      <w:b/>
      <w:bCs/>
      <w:sz w:val="20"/>
      <w:szCs w:val="20"/>
      <w:lang w:val="en-US"/>
    </w:rPr>
  </w:style>
  <w:style w:type="character" w:customStyle="1" w:styleId="CommentSubjectChar">
    <w:name w:val="Comment Subject Char"/>
    <w:rsid w:val="008F451B"/>
    <w:rPr>
      <w:b/>
      <w:bCs/>
    </w:rPr>
  </w:style>
  <w:style w:type="character" w:customStyle="1" w:styleId="Heading1Char">
    <w:name w:val="Heading 1 Char"/>
    <w:rsid w:val="008F451B"/>
    <w:rPr>
      <w:rFonts w:ascii="Courier" w:hAnsi="Courier"/>
      <w:b/>
      <w:spacing w:val="-3"/>
      <w:sz w:val="28"/>
    </w:rPr>
  </w:style>
  <w:style w:type="character" w:customStyle="1" w:styleId="HeaderChar">
    <w:name w:val="Header Char"/>
    <w:rsid w:val="008F451B"/>
    <w:rPr>
      <w:rFonts w:ascii="Courier" w:hAnsi="Courier"/>
      <w:sz w:val="22"/>
    </w:rPr>
  </w:style>
  <w:style w:type="character" w:styleId="Numrodepage">
    <w:name w:val="page number"/>
    <w:basedOn w:val="Policepardfaut"/>
    <w:rsid w:val="008F451B"/>
  </w:style>
  <w:style w:type="character" w:customStyle="1" w:styleId="SubtitleChar">
    <w:name w:val="Subtitle Char"/>
    <w:basedOn w:val="Policepardfaut"/>
    <w:rsid w:val="008F451B"/>
    <w:rPr>
      <w:rFonts w:ascii="Arial" w:hAnsi="Arial" w:cs="Arial"/>
      <w:sz w:val="24"/>
      <w:szCs w:val="24"/>
      <w:lang w:val="en-US" w:eastAsia="en-US"/>
    </w:rPr>
  </w:style>
  <w:style w:type="paragraph" w:styleId="Corpsdetexte">
    <w:name w:val="Body Text"/>
    <w:basedOn w:val="Normal"/>
    <w:link w:val="CorpsdetexteCar"/>
    <w:rsid w:val="008F451B"/>
    <w:pPr>
      <w:suppressAutoHyphens/>
      <w:autoSpaceDN w:val="0"/>
      <w:spacing w:after="0" w:line="240" w:lineRule="auto"/>
      <w:textAlignment w:val="baseline"/>
    </w:pPr>
    <w:rPr>
      <w:rFonts w:ascii="Times New Roman" w:hAnsi="Times New Roman"/>
      <w:b/>
      <w:bCs/>
      <w:sz w:val="24"/>
      <w:szCs w:val="20"/>
      <w:lang w:val="en-US" w:eastAsia="en-US"/>
    </w:rPr>
  </w:style>
  <w:style w:type="character" w:customStyle="1" w:styleId="CorpsdetexteCar">
    <w:name w:val="Corps de texte Car"/>
    <w:basedOn w:val="Policepardfaut"/>
    <w:link w:val="Corpsdetexte"/>
    <w:rsid w:val="008F451B"/>
    <w:rPr>
      <w:rFonts w:ascii="Times New Roman" w:eastAsia="Times New Roman" w:hAnsi="Times New Roman" w:cs="Times New Roman"/>
      <w:b/>
      <w:bCs/>
      <w:sz w:val="24"/>
      <w:szCs w:val="20"/>
      <w:lang w:val="en-US"/>
    </w:rPr>
  </w:style>
  <w:style w:type="character" w:customStyle="1" w:styleId="BodyTextChar">
    <w:name w:val="Body Text Char"/>
    <w:basedOn w:val="Policepardfaut"/>
    <w:rsid w:val="008F451B"/>
    <w:rPr>
      <w:b/>
      <w:bCs/>
      <w:sz w:val="24"/>
      <w:lang w:val="en-US" w:eastAsia="en-US"/>
    </w:rPr>
  </w:style>
  <w:style w:type="paragraph" w:styleId="Corpsdetexte2">
    <w:name w:val="Body Text 2"/>
    <w:basedOn w:val="Normal"/>
    <w:link w:val="Corpsdetexte2Car"/>
    <w:rsid w:val="008F451B"/>
    <w:pPr>
      <w:suppressAutoHyphens/>
      <w:autoSpaceDN w:val="0"/>
      <w:spacing w:after="0" w:line="240" w:lineRule="auto"/>
      <w:textAlignment w:val="baseline"/>
    </w:pPr>
    <w:rPr>
      <w:rFonts w:ascii="Times New Roman" w:hAnsi="Times New Roman"/>
      <w:sz w:val="24"/>
      <w:szCs w:val="20"/>
      <w:lang w:val="en-US" w:eastAsia="en-US"/>
    </w:rPr>
  </w:style>
  <w:style w:type="character" w:customStyle="1" w:styleId="Corpsdetexte2Car">
    <w:name w:val="Corps de texte 2 Car"/>
    <w:basedOn w:val="Policepardfaut"/>
    <w:link w:val="Corpsdetexte2"/>
    <w:rsid w:val="008F451B"/>
    <w:rPr>
      <w:rFonts w:ascii="Times New Roman" w:eastAsia="Times New Roman" w:hAnsi="Times New Roman" w:cs="Times New Roman"/>
      <w:sz w:val="24"/>
      <w:szCs w:val="20"/>
      <w:lang w:val="en-US"/>
    </w:rPr>
  </w:style>
  <w:style w:type="character" w:customStyle="1" w:styleId="BodyText2Char">
    <w:name w:val="Body Text 2 Char"/>
    <w:basedOn w:val="Policepardfaut"/>
    <w:rsid w:val="008F451B"/>
    <w:rPr>
      <w:sz w:val="24"/>
      <w:lang w:val="en-US" w:eastAsia="en-US"/>
    </w:rPr>
  </w:style>
  <w:style w:type="character" w:customStyle="1" w:styleId="BodyText3Char">
    <w:name w:val="Body Text 3 Char"/>
    <w:basedOn w:val="Policepardfaut"/>
    <w:rsid w:val="008F451B"/>
    <w:rPr>
      <w:sz w:val="24"/>
      <w:lang w:val="en-US" w:eastAsia="en-US"/>
    </w:rPr>
  </w:style>
  <w:style w:type="character" w:customStyle="1" w:styleId="FootnoteTextChar">
    <w:name w:val="Footnote Text Char"/>
    <w:basedOn w:val="Policepardfaut"/>
    <w:rsid w:val="008F451B"/>
    <w:rPr>
      <w:rFonts w:ascii="Courier" w:hAnsi="Courier"/>
      <w:lang w:val="en-US" w:eastAsia="en-US"/>
    </w:rPr>
  </w:style>
  <w:style w:type="character" w:customStyle="1" w:styleId="ListParagraphChar">
    <w:name w:val="List Paragraph Char"/>
    <w:rsid w:val="008F451B"/>
    <w:rPr>
      <w:lang w:val="en-US" w:eastAsia="en-US"/>
    </w:rPr>
  </w:style>
  <w:style w:type="paragraph" w:styleId="Rvision">
    <w:name w:val="Revision"/>
    <w:rsid w:val="008F451B"/>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character" w:styleId="Lienhypertextesuivivisit">
    <w:name w:val="FollowedHyperlink"/>
    <w:basedOn w:val="Policepardfaut"/>
    <w:rsid w:val="008F451B"/>
    <w:rPr>
      <w:color w:val="800080"/>
      <w:u w:val="single"/>
    </w:rPr>
  </w:style>
  <w:style w:type="paragraph" w:customStyle="1" w:styleId="BVIfnrCarChar">
    <w:name w:val="BVI fnr Car Char"/>
    <w:basedOn w:val="Normal"/>
    <w:rsid w:val="008F451B"/>
    <w:pPr>
      <w:suppressAutoHyphens/>
      <w:autoSpaceDN w:val="0"/>
      <w:spacing w:after="160" w:line="240" w:lineRule="exact"/>
      <w:textAlignment w:val="baseline"/>
    </w:pPr>
    <w:rPr>
      <w:rFonts w:ascii="Times New Roman" w:hAnsi="Times New Roman"/>
      <w:sz w:val="20"/>
      <w:szCs w:val="20"/>
      <w:vertAlign w:val="superscript"/>
      <w:lang w:val="en-GB" w:eastAsia="en-GB"/>
    </w:rPr>
  </w:style>
  <w:style w:type="paragraph" w:customStyle="1" w:styleId="BVIfnrCarattereCharCharCharCarattereCharCharCharCharCharChar1CharCharCharCarattereChar">
    <w:name w:val="BVI fnr Carattere Char Char Char Carattere Char Char Char Char Char Char1 Char Char Char Carattere Char"/>
    <w:basedOn w:val="Normal"/>
    <w:rsid w:val="008F451B"/>
    <w:pPr>
      <w:suppressAutoHyphens/>
      <w:autoSpaceDN w:val="0"/>
      <w:spacing w:after="160" w:line="240" w:lineRule="exact"/>
      <w:textAlignment w:val="baseline"/>
    </w:pPr>
    <w:rPr>
      <w:rFonts w:eastAsia="Calibri"/>
      <w:vertAlign w:val="superscript"/>
      <w:lang w:val="en-US" w:eastAsia="en-US"/>
    </w:rPr>
  </w:style>
  <w:style w:type="character" w:customStyle="1" w:styleId="UnresolvedMention1">
    <w:name w:val="Unresolved Mention1"/>
    <w:basedOn w:val="Policepardfaut"/>
    <w:rsid w:val="008F451B"/>
    <w:rPr>
      <w:color w:val="605E5C"/>
      <w:shd w:val="clear" w:color="auto" w:fill="E1DFDD"/>
    </w:rPr>
  </w:style>
  <w:style w:type="character" w:customStyle="1" w:styleId="apple-converted-space">
    <w:name w:val="apple-converted-space"/>
    <w:basedOn w:val="Policepardfaut"/>
    <w:rsid w:val="008F451B"/>
  </w:style>
  <w:style w:type="character" w:customStyle="1" w:styleId="UnresolvedMention2">
    <w:name w:val="Unresolved Mention2"/>
    <w:basedOn w:val="Policepardfaut"/>
    <w:rsid w:val="008F451B"/>
    <w:rPr>
      <w:color w:val="605E5C"/>
      <w:shd w:val="clear" w:color="auto" w:fill="E1DFDD"/>
    </w:rPr>
  </w:style>
  <w:style w:type="paragraph" w:customStyle="1" w:styleId="xmsonormal">
    <w:name w:val="x_msonormal"/>
    <w:basedOn w:val="Normal"/>
    <w:rsid w:val="008F451B"/>
    <w:pPr>
      <w:suppressAutoHyphens/>
      <w:autoSpaceDN w:val="0"/>
      <w:spacing w:before="100" w:after="100" w:line="240" w:lineRule="auto"/>
      <w:textAlignment w:val="baseline"/>
    </w:pPr>
    <w:rPr>
      <w:rFonts w:ascii="Times New Roman" w:eastAsia="Calibri" w:hAnsi="Times New Roman"/>
      <w:sz w:val="24"/>
      <w:szCs w:val="24"/>
      <w:lang w:val="en-IN" w:eastAsia="en-US"/>
    </w:rPr>
  </w:style>
  <w:style w:type="paragraph" w:customStyle="1" w:styleId="m8309888527664910462msonormal">
    <w:name w:val="m_8309888527664910462msonormal"/>
    <w:basedOn w:val="Normal"/>
    <w:rsid w:val="008F451B"/>
    <w:pPr>
      <w:suppressAutoHyphens/>
      <w:autoSpaceDN w:val="0"/>
      <w:spacing w:before="100" w:after="100" w:line="240" w:lineRule="auto"/>
      <w:textAlignment w:val="baseline"/>
    </w:pPr>
    <w:rPr>
      <w:rFonts w:eastAsia="Calibri" w:cs="Calibri"/>
      <w:lang w:val="en-IN" w:eastAsia="en-IN"/>
    </w:rPr>
  </w:style>
  <w:style w:type="paragraph" w:styleId="Sansinterligne">
    <w:name w:val="No Spacing"/>
    <w:uiPriority w:val="1"/>
    <w:qFormat/>
    <w:rsid w:val="008F451B"/>
    <w:pPr>
      <w:spacing w:after="0" w:line="240" w:lineRule="auto"/>
    </w:pPr>
    <w:rPr>
      <w:lang w:val="en-US"/>
    </w:rPr>
  </w:style>
  <w:style w:type="paragraph" w:styleId="PrformatHTML">
    <w:name w:val="HTML Preformatted"/>
    <w:basedOn w:val="Normal"/>
    <w:link w:val="PrformatHTMLCar"/>
    <w:uiPriority w:val="99"/>
    <w:semiHidden/>
    <w:unhideWhenUsed/>
    <w:rsid w:val="008F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F451B"/>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French/documents/update-2021/UNDP_Evaluation_Guidelines_FR_June%20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uation.org/unegcodeofcondu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ethicalguideli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9CF6108E7564B95DE47BEEDEBAE62" ma:contentTypeVersion="11" ma:contentTypeDescription="Crée un document." ma:contentTypeScope="" ma:versionID="4ed91e4f76bf10b68083eac9c02bc25b">
  <xsd:schema xmlns:xsd="http://www.w3.org/2001/XMLSchema" xmlns:xs="http://www.w3.org/2001/XMLSchema" xmlns:p="http://schemas.microsoft.com/office/2006/metadata/properties" xmlns:ns2="c848efb5-fe8b-472d-a5a4-7e6e8984cb43" xmlns:ns3="b495c73d-3944-4a94-8abb-d6fe9109056d" targetNamespace="http://schemas.microsoft.com/office/2006/metadata/properties" ma:root="true" ma:fieldsID="807bcb1582a7aabd9b6197b26e1364e2" ns2:_="" ns3:_="">
    <xsd:import namespace="c848efb5-fe8b-472d-a5a4-7e6e8984cb43"/>
    <xsd:import namespace="b495c73d-3944-4a94-8abb-d6fe910905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5c73d-3944-4a94-8abb-d6fe910905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BA3B-98BD-4AE1-A9FF-0220B3D7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8efb5-fe8b-472d-a5a4-7e6e8984cb43"/>
    <ds:schemaRef ds:uri="b495c73d-3944-4a94-8abb-d6fe9109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3C169-5179-4A65-9BC1-A48F1081971E}">
  <ds:schemaRefs>
    <ds:schemaRef ds:uri="http://schemas.microsoft.com/sharepoint/v3/contenttype/forms"/>
  </ds:schemaRefs>
</ds:datastoreItem>
</file>

<file path=customXml/itemProps3.xml><?xml version="1.0" encoding="utf-8"?>
<ds:datastoreItem xmlns:ds="http://schemas.openxmlformats.org/officeDocument/2006/customXml" ds:itemID="{5AD91BC3-5187-4152-B0B5-7604AB82C5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B360B-E3D3-4404-8E62-D9ED7C12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6985</Words>
  <Characters>38420</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 Guindo</dc:creator>
  <cp:keywords/>
  <dc:description/>
  <cp:lastModifiedBy>Safia Guindo</cp:lastModifiedBy>
  <cp:revision>2</cp:revision>
  <dcterms:created xsi:type="dcterms:W3CDTF">2022-06-01T14:20:00Z</dcterms:created>
  <dcterms:modified xsi:type="dcterms:W3CDTF">2022-06-01T14:20:00Z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0x0101003CF9CF6108E7564B95DE47BEEDEBAE62</vt:lpwstr>
  </property>
</Properties>
</file>