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F8EE7" w14:textId="1FD00A71" w:rsidR="00A932DD" w:rsidRDefault="00A932DD" w:rsidP="00981FE1">
      <w:pPr>
        <w:pStyle w:val="TableParagraph"/>
        <w:rPr>
          <w:rFonts w:ascii="Segoe UI" w:hAnsi="Segoe UI" w:cs="Segoe UI"/>
          <w:color w:val="2F5496" w:themeColor="accent1" w:themeShade="BF"/>
          <w:sz w:val="20"/>
          <w:szCs w:val="20"/>
        </w:rPr>
      </w:pPr>
      <w:r>
        <w:rPr>
          <w:noProof/>
        </w:rPr>
        <w:drawing>
          <wp:anchor distT="0" distB="0" distL="0" distR="0" simplePos="0" relativeHeight="251652608" behindDoc="0" locked="0" layoutInCell="1" allowOverlap="1" wp14:anchorId="4DBAF433" wp14:editId="792EE5D4">
            <wp:simplePos x="0" y="0"/>
            <wp:positionH relativeFrom="page">
              <wp:posOffset>5791200</wp:posOffset>
            </wp:positionH>
            <wp:positionV relativeFrom="paragraph">
              <wp:posOffset>187960</wp:posOffset>
            </wp:positionV>
            <wp:extent cx="782635" cy="914876"/>
            <wp:effectExtent l="0" t="0" r="0" b="0"/>
            <wp:wrapTopAndBottom/>
            <wp:docPr id="225" name="image3.jpeg"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82635" cy="914876"/>
                    </a:xfrm>
                    <a:prstGeom prst="rect">
                      <a:avLst/>
                    </a:prstGeom>
                  </pic:spPr>
                </pic:pic>
              </a:graphicData>
            </a:graphic>
          </wp:anchor>
        </w:drawing>
      </w:r>
    </w:p>
    <w:p w14:paraId="7CC15DCF" w14:textId="4649FF32" w:rsidR="00A932DD" w:rsidRDefault="00A932DD" w:rsidP="00BA2312">
      <w:pPr>
        <w:pBdr>
          <w:bottom w:val="single" w:sz="12" w:space="1" w:color="auto"/>
        </w:pBdr>
        <w:spacing w:after="0" w:line="240" w:lineRule="auto"/>
        <w:rPr>
          <w:rFonts w:ascii="Segoe UI" w:hAnsi="Segoe UI" w:cs="Segoe UI"/>
          <w:b/>
          <w:color w:val="2F5496" w:themeColor="accent1" w:themeShade="BF"/>
          <w:sz w:val="20"/>
          <w:szCs w:val="20"/>
        </w:rPr>
      </w:pPr>
      <w:r>
        <w:rPr>
          <w:noProof/>
        </w:rPr>
        <w:drawing>
          <wp:anchor distT="0" distB="0" distL="0" distR="0" simplePos="0" relativeHeight="251651584" behindDoc="0" locked="0" layoutInCell="1" allowOverlap="1" wp14:anchorId="641BC042" wp14:editId="3C99F9AC">
            <wp:simplePos x="0" y="0"/>
            <wp:positionH relativeFrom="page">
              <wp:posOffset>914400</wp:posOffset>
            </wp:positionH>
            <wp:positionV relativeFrom="paragraph">
              <wp:posOffset>171450</wp:posOffset>
            </wp:positionV>
            <wp:extent cx="467654" cy="933259"/>
            <wp:effectExtent l="0" t="0" r="0" b="0"/>
            <wp:wrapTopAndBottom/>
            <wp:docPr id="3" name="image2.png"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Icono&#10;&#10;Descripción generada automáticamente"/>
                    <pic:cNvPicPr/>
                  </pic:nvPicPr>
                  <pic:blipFill>
                    <a:blip r:embed="rId9" cstate="print"/>
                    <a:stretch>
                      <a:fillRect/>
                    </a:stretch>
                  </pic:blipFill>
                  <pic:spPr>
                    <a:xfrm>
                      <a:off x="0" y="0"/>
                      <a:ext cx="467654" cy="933259"/>
                    </a:xfrm>
                    <a:prstGeom prst="rect">
                      <a:avLst/>
                    </a:prstGeom>
                  </pic:spPr>
                </pic:pic>
              </a:graphicData>
            </a:graphic>
          </wp:anchor>
        </w:drawing>
      </w:r>
    </w:p>
    <w:p w14:paraId="3576CD7F" w14:textId="29B65A01" w:rsidR="00A932DD" w:rsidRDefault="00A932DD" w:rsidP="00BA2312">
      <w:pPr>
        <w:spacing w:after="0" w:line="240" w:lineRule="auto"/>
        <w:rPr>
          <w:rFonts w:ascii="Segoe UI" w:hAnsi="Segoe UI" w:cs="Segoe UI"/>
          <w:b/>
          <w:color w:val="2F5496" w:themeColor="accent1" w:themeShade="BF"/>
          <w:sz w:val="20"/>
          <w:szCs w:val="20"/>
        </w:rPr>
      </w:pPr>
    </w:p>
    <w:p w14:paraId="53A79C2C" w14:textId="2F10A4E6" w:rsidR="00A932DD" w:rsidRPr="00413812" w:rsidRDefault="00A932DD" w:rsidP="00FE5736">
      <w:pPr>
        <w:spacing w:after="0" w:line="240" w:lineRule="auto"/>
        <w:jc w:val="right"/>
        <w:rPr>
          <w:rFonts w:ascii="Cambria" w:hAnsi="Cambria" w:cs="Segoe UI"/>
          <w:b/>
          <w:color w:val="2F5496" w:themeColor="accent1" w:themeShade="BF"/>
          <w:sz w:val="48"/>
          <w:szCs w:val="48"/>
        </w:rPr>
      </w:pPr>
      <w:r w:rsidRPr="00413812">
        <w:rPr>
          <w:rFonts w:ascii="Cambria" w:hAnsi="Cambria" w:cs="Segoe UI"/>
          <w:b/>
          <w:color w:val="2F5496" w:themeColor="accent1" w:themeShade="BF"/>
          <w:sz w:val="48"/>
          <w:szCs w:val="48"/>
        </w:rPr>
        <w:t>TERMINAL EVALUATION</w:t>
      </w:r>
    </w:p>
    <w:p w14:paraId="2C92E266" w14:textId="238D4E5C" w:rsidR="00A932DD" w:rsidRDefault="00A932DD" w:rsidP="00FE5736">
      <w:pPr>
        <w:spacing w:after="0" w:line="240" w:lineRule="auto"/>
        <w:jc w:val="right"/>
        <w:rPr>
          <w:rFonts w:ascii="Cambria" w:hAnsi="Cambria" w:cs="Segoe UI"/>
          <w:b/>
          <w:color w:val="2F5496" w:themeColor="accent1" w:themeShade="BF"/>
          <w:sz w:val="36"/>
          <w:szCs w:val="36"/>
        </w:rPr>
      </w:pPr>
      <w:r>
        <w:rPr>
          <w:rFonts w:ascii="Cambria" w:hAnsi="Cambria" w:cs="Segoe UI"/>
          <w:b/>
          <w:color w:val="2F5496" w:themeColor="accent1" w:themeShade="BF"/>
          <w:sz w:val="36"/>
          <w:szCs w:val="36"/>
        </w:rPr>
        <w:t>Final Report</w:t>
      </w:r>
    </w:p>
    <w:p w14:paraId="3889E4E2" w14:textId="4C5954AA" w:rsidR="00A932DD" w:rsidRDefault="00A932DD" w:rsidP="00FE5736">
      <w:pPr>
        <w:spacing w:after="0" w:line="240" w:lineRule="auto"/>
        <w:jc w:val="right"/>
        <w:rPr>
          <w:rFonts w:ascii="Cambria" w:hAnsi="Cambria" w:cs="Segoe UI"/>
          <w:b/>
          <w:color w:val="2F5496" w:themeColor="accent1" w:themeShade="BF"/>
          <w:sz w:val="28"/>
          <w:szCs w:val="28"/>
        </w:rPr>
      </w:pPr>
      <w:r>
        <w:rPr>
          <w:rFonts w:ascii="Cambria" w:hAnsi="Cambria" w:cs="Segoe UI"/>
          <w:b/>
          <w:color w:val="2F5496" w:themeColor="accent1" w:themeShade="BF"/>
          <w:sz w:val="28"/>
          <w:szCs w:val="28"/>
        </w:rPr>
        <w:t>UNDP/GEF Project</w:t>
      </w:r>
    </w:p>
    <w:p w14:paraId="16CBE60F" w14:textId="697E64EB" w:rsidR="00A932DD" w:rsidRDefault="00A932DD" w:rsidP="00BA2312">
      <w:pPr>
        <w:spacing w:after="0" w:line="240" w:lineRule="auto"/>
        <w:rPr>
          <w:rFonts w:ascii="Cambria" w:hAnsi="Cambria" w:cs="Segoe UI"/>
          <w:b/>
          <w:color w:val="2F5496" w:themeColor="accent1" w:themeShade="BF"/>
          <w:sz w:val="28"/>
          <w:szCs w:val="28"/>
        </w:rPr>
      </w:pPr>
    </w:p>
    <w:p w14:paraId="30F281E9" w14:textId="6077EFB0" w:rsidR="009B64E8" w:rsidRPr="009B64E8" w:rsidRDefault="009B64E8" w:rsidP="00FE5736">
      <w:pPr>
        <w:spacing w:after="0" w:line="240" w:lineRule="auto"/>
        <w:jc w:val="center"/>
        <w:rPr>
          <w:rFonts w:ascii="Cambria" w:hAnsi="Cambria" w:cs="Segoe UI"/>
          <w:b/>
          <w:i/>
          <w:iCs/>
          <w:color w:val="2F5496" w:themeColor="accent1" w:themeShade="BF"/>
          <w:sz w:val="28"/>
          <w:szCs w:val="28"/>
        </w:rPr>
      </w:pPr>
      <w:r w:rsidRPr="009B64E8">
        <w:rPr>
          <w:rFonts w:ascii="Cambria" w:hAnsi="Cambria" w:cs="Segoe UI"/>
          <w:b/>
          <w:i/>
          <w:iCs/>
          <w:color w:val="2F5496" w:themeColor="accent1" w:themeShade="BF"/>
          <w:sz w:val="28"/>
          <w:szCs w:val="28"/>
        </w:rPr>
        <w:t>Adaptive Management and Learning for the Commodities IAP</w:t>
      </w:r>
    </w:p>
    <w:p w14:paraId="74331DC8" w14:textId="77777777" w:rsidR="009B64E8" w:rsidRDefault="009B64E8" w:rsidP="00BA2312">
      <w:pPr>
        <w:spacing w:after="0" w:line="240" w:lineRule="auto"/>
        <w:rPr>
          <w:rFonts w:ascii="Cambria" w:hAnsi="Cambria" w:cs="Segoe UI"/>
          <w:b/>
          <w:color w:val="2F5496" w:themeColor="accent1" w:themeShade="BF"/>
          <w:sz w:val="24"/>
          <w:szCs w:val="24"/>
        </w:rPr>
      </w:pPr>
    </w:p>
    <w:tbl>
      <w:tblPr>
        <w:tblStyle w:val="PlainTable1"/>
        <w:tblW w:w="0" w:type="auto"/>
        <w:jc w:val="center"/>
        <w:tblLayout w:type="fixed"/>
        <w:tblLook w:val="01E0" w:firstRow="1" w:lastRow="1" w:firstColumn="1" w:lastColumn="1" w:noHBand="0" w:noVBand="0"/>
      </w:tblPr>
      <w:tblGrid>
        <w:gridCol w:w="4258"/>
        <w:gridCol w:w="4258"/>
        <w:gridCol w:w="10"/>
      </w:tblGrid>
      <w:tr w:rsidR="00D223F9" w:rsidRPr="009B64E8" w14:paraId="345B6D98" w14:textId="77777777" w:rsidTr="009B64E8">
        <w:trPr>
          <w:gridAfter w:val="1"/>
          <w:cnfStyle w:val="100000000000" w:firstRow="1" w:lastRow="0" w:firstColumn="0" w:lastColumn="0" w:oddVBand="0" w:evenVBand="0" w:oddHBand="0" w:evenHBand="0" w:firstRowFirstColumn="0" w:firstRowLastColumn="0" w:lastRowFirstColumn="0" w:lastRowLastColumn="0"/>
          <w:wAfter w:w="10" w:type="dxa"/>
          <w:trHeight w:val="230"/>
          <w:jc w:val="center"/>
        </w:trPr>
        <w:tc>
          <w:tcPr>
            <w:cnfStyle w:val="001000000000" w:firstRow="0" w:lastRow="0" w:firstColumn="1" w:lastColumn="0" w:oddVBand="0" w:evenVBand="0" w:oddHBand="0" w:evenHBand="0" w:firstRowFirstColumn="0" w:firstRowLastColumn="0" w:lastRowFirstColumn="0" w:lastRowLastColumn="0"/>
            <w:tcW w:w="4258" w:type="dxa"/>
          </w:tcPr>
          <w:p w14:paraId="299984DA"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UNDP Project ID (PIMS #): 5665</w:t>
            </w:r>
          </w:p>
        </w:tc>
        <w:tc>
          <w:tcPr>
            <w:cnfStyle w:val="000100000000" w:firstRow="0" w:lastRow="0" w:firstColumn="0" w:lastColumn="1" w:oddVBand="0" w:evenVBand="0" w:oddHBand="0" w:evenHBand="0" w:firstRowFirstColumn="0" w:firstRowLastColumn="0" w:lastRowFirstColumn="0" w:lastRowLastColumn="0"/>
            <w:tcW w:w="4258" w:type="dxa"/>
          </w:tcPr>
          <w:p w14:paraId="018A5E97"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PIF Approval Date: 4/06/2015</w:t>
            </w:r>
          </w:p>
        </w:tc>
      </w:tr>
      <w:tr w:rsidR="00D223F9" w:rsidRPr="009B64E8" w14:paraId="74A400F0" w14:textId="77777777" w:rsidTr="009B64E8">
        <w:trPr>
          <w:gridAfter w:val="1"/>
          <w:cnfStyle w:val="000000100000" w:firstRow="0" w:lastRow="0" w:firstColumn="0" w:lastColumn="0" w:oddVBand="0" w:evenVBand="0" w:oddHBand="1" w:evenHBand="0" w:firstRowFirstColumn="0" w:firstRowLastColumn="0" w:lastRowFirstColumn="0" w:lastRowLastColumn="0"/>
          <w:wAfter w:w="10" w:type="dxa"/>
          <w:trHeight w:val="230"/>
          <w:jc w:val="center"/>
        </w:trPr>
        <w:tc>
          <w:tcPr>
            <w:cnfStyle w:val="001000000000" w:firstRow="0" w:lastRow="0" w:firstColumn="1" w:lastColumn="0" w:oddVBand="0" w:evenVBand="0" w:oddHBand="0" w:evenHBand="0" w:firstRowFirstColumn="0" w:firstRowLastColumn="0" w:lastRowFirstColumn="0" w:lastRowLastColumn="0"/>
            <w:tcW w:w="4258" w:type="dxa"/>
          </w:tcPr>
          <w:p w14:paraId="3288368A"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GEF Project ID (PMIS #): 9179</w:t>
            </w:r>
          </w:p>
        </w:tc>
        <w:tc>
          <w:tcPr>
            <w:cnfStyle w:val="000100000000" w:firstRow="0" w:lastRow="0" w:firstColumn="0" w:lastColumn="1" w:oddVBand="0" w:evenVBand="0" w:oddHBand="0" w:evenHBand="0" w:firstRowFirstColumn="0" w:firstRowLastColumn="0" w:lastRowFirstColumn="0" w:lastRowLastColumn="0"/>
            <w:tcW w:w="4258" w:type="dxa"/>
          </w:tcPr>
          <w:p w14:paraId="2EA114B4"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CEO Endorsement Date: 10/01/ 2017</w:t>
            </w:r>
          </w:p>
        </w:tc>
      </w:tr>
      <w:tr w:rsidR="00D223F9" w:rsidRPr="009B64E8" w14:paraId="23FDE33D" w14:textId="77777777" w:rsidTr="009B64E8">
        <w:trPr>
          <w:gridAfter w:val="1"/>
          <w:wAfter w:w="10" w:type="dxa"/>
          <w:trHeight w:val="460"/>
          <w:jc w:val="center"/>
        </w:trPr>
        <w:tc>
          <w:tcPr>
            <w:cnfStyle w:val="001000000000" w:firstRow="0" w:lastRow="0" w:firstColumn="1" w:lastColumn="0" w:oddVBand="0" w:evenVBand="0" w:oddHBand="0" w:evenHBand="0" w:firstRowFirstColumn="0" w:firstRowLastColumn="0" w:lastRowFirstColumn="0" w:lastRowLastColumn="0"/>
            <w:tcW w:w="4258" w:type="dxa"/>
          </w:tcPr>
          <w:p w14:paraId="52C4DA94" w14:textId="77777777" w:rsidR="00D223F9" w:rsidRPr="002B34CC" w:rsidRDefault="00D223F9" w:rsidP="00BA2312">
            <w:pPr>
              <w:pStyle w:val="TableParagraph"/>
              <w:spacing w:line="23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ATLAS Business Unit, Award # Project. ID: 00097946</w:t>
            </w:r>
          </w:p>
        </w:tc>
        <w:tc>
          <w:tcPr>
            <w:cnfStyle w:val="000100000000" w:firstRow="0" w:lastRow="0" w:firstColumn="0" w:lastColumn="1" w:oddVBand="0" w:evenVBand="0" w:oddHBand="0" w:evenHBand="0" w:firstRowFirstColumn="0" w:firstRowLastColumn="0" w:lastRowFirstColumn="0" w:lastRowLastColumn="0"/>
            <w:tcW w:w="4258" w:type="dxa"/>
          </w:tcPr>
          <w:p w14:paraId="65024AD6" w14:textId="77777777" w:rsidR="00D223F9" w:rsidRPr="002B34CC" w:rsidRDefault="00D223F9" w:rsidP="00BA2312">
            <w:pPr>
              <w:pStyle w:val="TableParagraph"/>
              <w:spacing w:line="23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Project Document (ProDoc) Signature Date (date project began): 03/03/2017</w:t>
            </w:r>
          </w:p>
        </w:tc>
      </w:tr>
      <w:tr w:rsidR="00D223F9" w:rsidRPr="009B64E8" w14:paraId="79B4321B" w14:textId="77777777" w:rsidTr="009B64E8">
        <w:trPr>
          <w:gridAfter w:val="1"/>
          <w:cnfStyle w:val="000000100000" w:firstRow="0" w:lastRow="0" w:firstColumn="0" w:lastColumn="0" w:oddVBand="0" w:evenVBand="0" w:oddHBand="1" w:evenHBand="0" w:firstRowFirstColumn="0" w:firstRowLastColumn="0" w:lastRowFirstColumn="0" w:lastRowLastColumn="0"/>
          <w:wAfter w:w="10" w:type="dxa"/>
          <w:trHeight w:val="230"/>
          <w:jc w:val="center"/>
        </w:trPr>
        <w:tc>
          <w:tcPr>
            <w:cnfStyle w:val="001000000000" w:firstRow="0" w:lastRow="0" w:firstColumn="1" w:lastColumn="0" w:oddVBand="0" w:evenVBand="0" w:oddHBand="0" w:evenHBand="0" w:firstRowFirstColumn="0" w:firstRowLastColumn="0" w:lastRowFirstColumn="0" w:lastRowLastColumn="0"/>
            <w:tcW w:w="4258" w:type="dxa"/>
          </w:tcPr>
          <w:p w14:paraId="5E03596D"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Country(ies): Global</w:t>
            </w:r>
          </w:p>
        </w:tc>
        <w:tc>
          <w:tcPr>
            <w:cnfStyle w:val="000100000000" w:firstRow="0" w:lastRow="0" w:firstColumn="0" w:lastColumn="1" w:oddVBand="0" w:evenVBand="0" w:oddHBand="0" w:evenHBand="0" w:firstRowFirstColumn="0" w:firstRowLastColumn="0" w:lastRowFirstColumn="0" w:lastRowLastColumn="0"/>
            <w:tcW w:w="4258" w:type="dxa"/>
          </w:tcPr>
          <w:p w14:paraId="418A8244"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Date project manager hired: 30/08/2017</w:t>
            </w:r>
          </w:p>
        </w:tc>
      </w:tr>
      <w:tr w:rsidR="00D223F9" w:rsidRPr="009B64E8" w14:paraId="637B186F" w14:textId="77777777" w:rsidTr="009B64E8">
        <w:trPr>
          <w:gridAfter w:val="1"/>
          <w:wAfter w:w="10" w:type="dxa"/>
          <w:trHeight w:val="460"/>
          <w:jc w:val="center"/>
        </w:trPr>
        <w:tc>
          <w:tcPr>
            <w:cnfStyle w:val="001000000000" w:firstRow="0" w:lastRow="0" w:firstColumn="1" w:lastColumn="0" w:oddVBand="0" w:evenVBand="0" w:oddHBand="0" w:evenHBand="0" w:firstRowFirstColumn="0" w:firstRowLastColumn="0" w:lastRowFirstColumn="0" w:lastRowLastColumn="0"/>
            <w:tcW w:w="4258" w:type="dxa"/>
          </w:tcPr>
          <w:p w14:paraId="10F339FC" w14:textId="77777777" w:rsidR="00D223F9" w:rsidRPr="002B34CC" w:rsidRDefault="00D223F9" w:rsidP="00BA2312">
            <w:pPr>
              <w:pStyle w:val="TableParagraph"/>
              <w:spacing w:line="229"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Region: NA</w:t>
            </w:r>
          </w:p>
        </w:tc>
        <w:tc>
          <w:tcPr>
            <w:cnfStyle w:val="000100000000" w:firstRow="0" w:lastRow="0" w:firstColumn="0" w:lastColumn="1" w:oddVBand="0" w:evenVBand="0" w:oddHBand="0" w:evenHBand="0" w:firstRowFirstColumn="0" w:firstRowLastColumn="0" w:lastRowFirstColumn="0" w:lastRowLastColumn="0"/>
            <w:tcW w:w="4258" w:type="dxa"/>
          </w:tcPr>
          <w:p w14:paraId="5E043BE8" w14:textId="77777777" w:rsidR="00D223F9" w:rsidRPr="002B34CC" w:rsidRDefault="00D223F9" w:rsidP="00BA2312">
            <w:pPr>
              <w:pStyle w:val="TableParagraph"/>
              <w:spacing w:line="230" w:lineRule="exact"/>
              <w:ind w:left="165" w:right="133"/>
              <w:rPr>
                <w:rFonts w:asciiTheme="minorHAnsi" w:hAnsiTheme="minorHAnsi" w:cstheme="minorHAnsi"/>
                <w:b w:val="0"/>
                <w:bCs w:val="0"/>
                <w:sz w:val="20"/>
              </w:rPr>
            </w:pPr>
            <w:r w:rsidRPr="002B34CC">
              <w:rPr>
                <w:rFonts w:asciiTheme="minorHAnsi" w:hAnsiTheme="minorHAnsi" w:cstheme="minorHAnsi"/>
                <w:b w:val="0"/>
                <w:bCs w:val="0"/>
                <w:sz w:val="20"/>
              </w:rPr>
              <w:t>Inception Workshop date: 24/11/2017</w:t>
            </w:r>
          </w:p>
        </w:tc>
      </w:tr>
      <w:tr w:rsidR="00D223F9" w:rsidRPr="009B64E8" w14:paraId="206503D3" w14:textId="77777777" w:rsidTr="009B64E8">
        <w:trPr>
          <w:gridAfter w:val="1"/>
          <w:cnfStyle w:val="000000100000" w:firstRow="0" w:lastRow="0" w:firstColumn="0" w:lastColumn="0" w:oddVBand="0" w:evenVBand="0" w:oddHBand="1" w:evenHBand="0" w:firstRowFirstColumn="0" w:firstRowLastColumn="0" w:lastRowFirstColumn="0" w:lastRowLastColumn="0"/>
          <w:wAfter w:w="10" w:type="dxa"/>
          <w:trHeight w:val="305"/>
          <w:jc w:val="center"/>
        </w:trPr>
        <w:tc>
          <w:tcPr>
            <w:cnfStyle w:val="001000000000" w:firstRow="0" w:lastRow="0" w:firstColumn="1" w:lastColumn="0" w:oddVBand="0" w:evenVBand="0" w:oddHBand="0" w:evenHBand="0" w:firstRowFirstColumn="0" w:firstRowLastColumn="0" w:lastRowFirstColumn="0" w:lastRowLastColumn="0"/>
            <w:tcW w:w="4258" w:type="dxa"/>
          </w:tcPr>
          <w:p w14:paraId="04653C69" w14:textId="77777777" w:rsidR="00D223F9" w:rsidRPr="002B34CC" w:rsidRDefault="00D223F9" w:rsidP="00BA2312">
            <w:pPr>
              <w:pStyle w:val="TableParagraph"/>
              <w:spacing w:line="229"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Focal Area: NA</w:t>
            </w:r>
          </w:p>
        </w:tc>
        <w:tc>
          <w:tcPr>
            <w:cnfStyle w:val="000100000000" w:firstRow="0" w:lastRow="0" w:firstColumn="0" w:lastColumn="1" w:oddVBand="0" w:evenVBand="0" w:oddHBand="0" w:evenHBand="0" w:firstRowFirstColumn="0" w:firstRowLastColumn="0" w:lastRowFirstColumn="0" w:lastRowLastColumn="0"/>
            <w:tcW w:w="4258" w:type="dxa"/>
          </w:tcPr>
          <w:p w14:paraId="3ACB32B4" w14:textId="77777777" w:rsidR="00D223F9" w:rsidRPr="002B34CC" w:rsidRDefault="00D223F9" w:rsidP="00BA2312">
            <w:pPr>
              <w:pStyle w:val="TableParagraph"/>
              <w:tabs>
                <w:tab w:val="left" w:pos="1264"/>
                <w:tab w:val="left" w:pos="2298"/>
                <w:tab w:val="left" w:pos="3643"/>
              </w:tabs>
              <w:spacing w:line="230" w:lineRule="exact"/>
              <w:ind w:left="165" w:right="158"/>
              <w:rPr>
                <w:rFonts w:asciiTheme="minorHAnsi" w:hAnsiTheme="minorHAnsi" w:cstheme="minorHAnsi"/>
                <w:b w:val="0"/>
                <w:bCs w:val="0"/>
                <w:sz w:val="20"/>
              </w:rPr>
            </w:pPr>
            <w:r w:rsidRPr="002B34CC">
              <w:rPr>
                <w:rFonts w:asciiTheme="minorHAnsi" w:hAnsiTheme="minorHAnsi" w:cstheme="minorHAnsi"/>
                <w:b w:val="0"/>
                <w:bCs w:val="0"/>
                <w:sz w:val="20"/>
              </w:rPr>
              <w:t xml:space="preserve">Midterm Review completion </w:t>
            </w:r>
            <w:r w:rsidRPr="002B34CC">
              <w:rPr>
                <w:rFonts w:asciiTheme="minorHAnsi" w:hAnsiTheme="minorHAnsi" w:cstheme="minorHAnsi"/>
                <w:b w:val="0"/>
                <w:bCs w:val="0"/>
                <w:spacing w:val="-4"/>
                <w:sz w:val="20"/>
              </w:rPr>
              <w:t xml:space="preserve">date: </w:t>
            </w:r>
            <w:r w:rsidRPr="002B34CC">
              <w:rPr>
                <w:rFonts w:asciiTheme="minorHAnsi" w:hAnsiTheme="minorHAnsi" w:cstheme="minorHAnsi"/>
                <w:b w:val="0"/>
                <w:bCs w:val="0"/>
                <w:sz w:val="20"/>
              </w:rPr>
              <w:t xml:space="preserve">19/11/2019 </w:t>
            </w:r>
          </w:p>
        </w:tc>
      </w:tr>
      <w:tr w:rsidR="00D223F9" w:rsidRPr="009B64E8" w14:paraId="7BD8D798" w14:textId="77777777" w:rsidTr="009B64E8">
        <w:trPr>
          <w:gridAfter w:val="1"/>
          <w:wAfter w:w="10" w:type="dxa"/>
          <w:trHeight w:val="230"/>
          <w:jc w:val="center"/>
        </w:trPr>
        <w:tc>
          <w:tcPr>
            <w:cnfStyle w:val="001000000000" w:firstRow="0" w:lastRow="0" w:firstColumn="1" w:lastColumn="0" w:oddVBand="0" w:evenVBand="0" w:oddHBand="0" w:evenHBand="0" w:firstRowFirstColumn="0" w:firstRowLastColumn="0" w:lastRowFirstColumn="0" w:lastRowLastColumn="0"/>
            <w:tcW w:w="4258" w:type="dxa"/>
          </w:tcPr>
          <w:p w14:paraId="5E5086B9" w14:textId="34643259"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GEF Focal Area Strategic Objective:</w:t>
            </w:r>
            <w:r w:rsidR="00F973B8" w:rsidRPr="002B34CC">
              <w:rPr>
                <w:rFonts w:asciiTheme="minorHAnsi" w:hAnsiTheme="minorHAnsi" w:cstheme="minorHAnsi"/>
                <w:b w:val="0"/>
                <w:bCs w:val="0"/>
                <w:sz w:val="20"/>
              </w:rPr>
              <w:t xml:space="preserve">  IAP-Commodity Supply Chain, BD-4, CCM-2, SFM-1</w:t>
            </w:r>
          </w:p>
        </w:tc>
        <w:tc>
          <w:tcPr>
            <w:cnfStyle w:val="000100000000" w:firstRow="0" w:lastRow="0" w:firstColumn="0" w:lastColumn="1" w:oddVBand="0" w:evenVBand="0" w:oddHBand="0" w:evenHBand="0" w:firstRowFirstColumn="0" w:firstRowLastColumn="0" w:lastRowFirstColumn="0" w:lastRowLastColumn="0"/>
            <w:tcW w:w="4258" w:type="dxa"/>
          </w:tcPr>
          <w:p w14:paraId="524D5593"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Planned closing date:  28/02/2021</w:t>
            </w:r>
          </w:p>
        </w:tc>
      </w:tr>
      <w:tr w:rsidR="00D223F9" w:rsidRPr="009B64E8" w14:paraId="463BA078" w14:textId="77777777" w:rsidTr="009B64E8">
        <w:trPr>
          <w:gridAfter w:val="1"/>
          <w:cnfStyle w:val="000000100000" w:firstRow="0" w:lastRow="0" w:firstColumn="0" w:lastColumn="0" w:oddVBand="0" w:evenVBand="0" w:oddHBand="1" w:evenHBand="0" w:firstRowFirstColumn="0" w:firstRowLastColumn="0" w:lastRowFirstColumn="0" w:lastRowLastColumn="0"/>
          <w:wAfter w:w="10" w:type="dxa"/>
          <w:trHeight w:val="460"/>
          <w:jc w:val="center"/>
        </w:trPr>
        <w:tc>
          <w:tcPr>
            <w:cnfStyle w:val="001000000000" w:firstRow="0" w:lastRow="0" w:firstColumn="1" w:lastColumn="0" w:oddVBand="0" w:evenVBand="0" w:oddHBand="0" w:evenHBand="0" w:firstRowFirstColumn="0" w:firstRowLastColumn="0" w:lastRowFirstColumn="0" w:lastRowLastColumn="0"/>
            <w:tcW w:w="4258" w:type="dxa"/>
          </w:tcPr>
          <w:p w14:paraId="48D3D156" w14:textId="77777777" w:rsidR="00D223F9" w:rsidRPr="002B34CC" w:rsidRDefault="00D223F9" w:rsidP="00BA2312">
            <w:pPr>
              <w:pStyle w:val="TableParagraph"/>
              <w:spacing w:line="23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Trust Fund [indicate GEF TF, LDCF, SCCF, NPIF]: GEF TF</w:t>
            </w:r>
          </w:p>
        </w:tc>
        <w:tc>
          <w:tcPr>
            <w:cnfStyle w:val="000100000000" w:firstRow="0" w:lastRow="0" w:firstColumn="0" w:lastColumn="1" w:oddVBand="0" w:evenVBand="0" w:oddHBand="0" w:evenHBand="0" w:firstRowFirstColumn="0" w:firstRowLastColumn="0" w:lastRowFirstColumn="0" w:lastRowLastColumn="0"/>
            <w:tcW w:w="4258" w:type="dxa"/>
          </w:tcPr>
          <w:p w14:paraId="0112B879" w14:textId="77777777" w:rsidR="00D223F9" w:rsidRPr="002B34CC" w:rsidRDefault="00D223F9" w:rsidP="00BA2312">
            <w:pPr>
              <w:pStyle w:val="TableParagraph"/>
              <w:spacing w:line="23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If revised, proposed operational closing date: 31/03/2022</w:t>
            </w:r>
          </w:p>
        </w:tc>
      </w:tr>
      <w:tr w:rsidR="00D223F9" w:rsidRPr="009B64E8" w14:paraId="4278EFFA" w14:textId="77777777" w:rsidTr="009B64E8">
        <w:trPr>
          <w:trHeight w:val="460"/>
          <w:jc w:val="center"/>
        </w:trPr>
        <w:tc>
          <w:tcPr>
            <w:cnfStyle w:val="001000000000" w:firstRow="0" w:lastRow="0" w:firstColumn="1" w:lastColumn="0" w:oddVBand="0" w:evenVBand="0" w:oddHBand="0" w:evenHBand="0" w:firstRowFirstColumn="0" w:firstRowLastColumn="0" w:lastRowFirstColumn="0" w:lastRowLastColumn="0"/>
            <w:tcW w:w="4258" w:type="dxa"/>
          </w:tcPr>
          <w:p w14:paraId="7888035E" w14:textId="77777777" w:rsidR="00D223F9" w:rsidRPr="002B34CC" w:rsidRDefault="00D223F9" w:rsidP="00BA2312">
            <w:pPr>
              <w:pStyle w:val="TableParagraph"/>
              <w:spacing w:line="230" w:lineRule="exact"/>
              <w:ind w:left="165"/>
              <w:rPr>
                <w:rFonts w:asciiTheme="minorHAnsi" w:hAnsiTheme="minorHAnsi" w:cstheme="minorHAnsi"/>
                <w:b w:val="0"/>
                <w:bCs w:val="0"/>
                <w:sz w:val="20"/>
              </w:rPr>
            </w:pPr>
          </w:p>
        </w:tc>
        <w:tc>
          <w:tcPr>
            <w:cnfStyle w:val="000100000000" w:firstRow="0" w:lastRow="0" w:firstColumn="0" w:lastColumn="1" w:oddVBand="0" w:evenVBand="0" w:oddHBand="0" w:evenHBand="0" w:firstRowFirstColumn="0" w:firstRowLastColumn="0" w:lastRowFirstColumn="0" w:lastRowLastColumn="0"/>
            <w:tcW w:w="4258" w:type="dxa"/>
            <w:gridSpan w:val="2"/>
          </w:tcPr>
          <w:p w14:paraId="14F62869" w14:textId="77777777" w:rsidR="00D223F9" w:rsidRPr="002B34CC" w:rsidRDefault="00D223F9" w:rsidP="00BA2312">
            <w:pPr>
              <w:pStyle w:val="TableParagraph"/>
              <w:spacing w:line="23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Technical closing date: 31/12/2021</w:t>
            </w:r>
          </w:p>
        </w:tc>
      </w:tr>
      <w:tr w:rsidR="00D223F9" w:rsidRPr="009B64E8" w14:paraId="40322ADE" w14:textId="77777777" w:rsidTr="009B64E8">
        <w:trPr>
          <w:gridAfter w:val="1"/>
          <w:cnfStyle w:val="000000100000" w:firstRow="0" w:lastRow="0" w:firstColumn="0" w:lastColumn="0" w:oddVBand="0" w:evenVBand="0" w:oddHBand="1" w:evenHBand="0" w:firstRowFirstColumn="0" w:firstRowLastColumn="0" w:lastRowFirstColumn="0" w:lastRowLastColumn="0"/>
          <w:wAfter w:w="10" w:type="dxa"/>
          <w:trHeight w:val="457"/>
          <w:jc w:val="center"/>
        </w:trPr>
        <w:tc>
          <w:tcPr>
            <w:cnfStyle w:val="001000000000" w:firstRow="0" w:lastRow="0" w:firstColumn="1" w:lastColumn="0" w:oddVBand="0" w:evenVBand="0" w:oddHBand="0" w:evenHBand="0" w:firstRowFirstColumn="0" w:firstRowLastColumn="0" w:lastRowFirstColumn="0" w:lastRowLastColumn="0"/>
            <w:tcW w:w="8516" w:type="dxa"/>
            <w:gridSpan w:val="2"/>
          </w:tcPr>
          <w:p w14:paraId="349B2DA0" w14:textId="77777777" w:rsidR="00D223F9" w:rsidRPr="002B34CC" w:rsidRDefault="00D223F9" w:rsidP="00BA2312">
            <w:pPr>
              <w:pStyle w:val="TableParagraph"/>
              <w:spacing w:line="228"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Executing Agency/ Implementing Partner: UNDP - Regional Hub for Latin America and the Caribbean</w:t>
            </w:r>
          </w:p>
        </w:tc>
      </w:tr>
      <w:tr w:rsidR="00D223F9" w:rsidRPr="009B64E8" w14:paraId="1801A0DF" w14:textId="77777777" w:rsidTr="009B64E8">
        <w:trPr>
          <w:gridAfter w:val="1"/>
          <w:wAfter w:w="10" w:type="dxa"/>
          <w:trHeight w:val="230"/>
          <w:jc w:val="center"/>
        </w:trPr>
        <w:tc>
          <w:tcPr>
            <w:cnfStyle w:val="001000000000" w:firstRow="0" w:lastRow="0" w:firstColumn="1" w:lastColumn="0" w:oddVBand="0" w:evenVBand="0" w:oddHBand="0" w:evenHBand="0" w:firstRowFirstColumn="0" w:firstRowLastColumn="0" w:lastRowFirstColumn="0" w:lastRowLastColumn="0"/>
            <w:tcW w:w="8516" w:type="dxa"/>
            <w:gridSpan w:val="2"/>
          </w:tcPr>
          <w:p w14:paraId="5FA35506" w14:textId="77777777" w:rsidR="00D223F9" w:rsidRPr="002B34CC" w:rsidRDefault="00D223F9" w:rsidP="00BA2312">
            <w:pPr>
              <w:pStyle w:val="TableParagraph"/>
              <w:spacing w:line="210" w:lineRule="exact"/>
              <w:ind w:left="165"/>
              <w:rPr>
                <w:rFonts w:asciiTheme="minorHAnsi" w:hAnsiTheme="minorHAnsi" w:cstheme="minorHAnsi"/>
                <w:b w:val="0"/>
                <w:bCs w:val="0"/>
                <w:sz w:val="20"/>
              </w:rPr>
            </w:pPr>
            <w:r w:rsidRPr="002B34CC">
              <w:rPr>
                <w:rFonts w:asciiTheme="minorHAnsi" w:hAnsiTheme="minorHAnsi" w:cstheme="minorHAnsi"/>
                <w:b w:val="0"/>
                <w:bCs w:val="0"/>
                <w:sz w:val="20"/>
              </w:rPr>
              <w:t>Other execution partners: WWF, ISEAL Alliance</w:t>
            </w:r>
          </w:p>
        </w:tc>
      </w:tr>
      <w:tr w:rsidR="00D223F9" w:rsidRPr="00F03640" w14:paraId="422AD705" w14:textId="77777777" w:rsidTr="009B64E8">
        <w:trPr>
          <w:gridAfter w:val="1"/>
          <w:cnfStyle w:val="010000000000" w:firstRow="0" w:lastRow="1" w:firstColumn="0" w:lastColumn="0" w:oddVBand="0" w:evenVBand="0" w:oddHBand="0" w:evenHBand="0" w:firstRowFirstColumn="0" w:firstRowLastColumn="0" w:lastRowFirstColumn="0" w:lastRowLastColumn="0"/>
          <w:wAfter w:w="10" w:type="dxa"/>
          <w:trHeight w:val="460"/>
          <w:jc w:val="center"/>
        </w:trPr>
        <w:tc>
          <w:tcPr>
            <w:cnfStyle w:val="001000000000" w:firstRow="0" w:lastRow="0" w:firstColumn="1" w:lastColumn="0" w:oddVBand="0" w:evenVBand="0" w:oddHBand="0" w:evenHBand="0" w:firstRowFirstColumn="0" w:firstRowLastColumn="0" w:lastRowFirstColumn="0" w:lastRowLastColumn="0"/>
            <w:tcW w:w="8516" w:type="dxa"/>
            <w:gridSpan w:val="2"/>
          </w:tcPr>
          <w:p w14:paraId="11854EC0" w14:textId="77777777" w:rsidR="00D223F9" w:rsidRPr="002B34CC" w:rsidRDefault="00D223F9" w:rsidP="00BA2312">
            <w:pPr>
              <w:pStyle w:val="TableParagraph"/>
              <w:spacing w:line="230" w:lineRule="exact"/>
              <w:ind w:left="165"/>
              <w:rPr>
                <w:rFonts w:asciiTheme="minorHAnsi" w:hAnsiTheme="minorHAnsi" w:cstheme="minorHAnsi"/>
                <w:b w:val="0"/>
                <w:bCs w:val="0"/>
                <w:sz w:val="20"/>
                <w:lang w:val="pt-BR"/>
              </w:rPr>
            </w:pPr>
            <w:r w:rsidRPr="002B34CC">
              <w:rPr>
                <w:rFonts w:asciiTheme="minorHAnsi" w:hAnsiTheme="minorHAnsi" w:cstheme="minorHAnsi"/>
                <w:b w:val="0"/>
                <w:bCs w:val="0"/>
                <w:sz w:val="20"/>
                <w:lang w:val="pt-BR"/>
              </w:rPr>
              <w:t>TE Team members: Guido Fernández de Velasco, Robert W. Crowley, Mario Zenteno, Yarkpazuo Kolva, Dyah Puspitaloka, Roberto López</w:t>
            </w:r>
          </w:p>
        </w:tc>
      </w:tr>
    </w:tbl>
    <w:p w14:paraId="70643C71" w14:textId="77777777" w:rsidR="00413812" w:rsidRDefault="00413812" w:rsidP="00BA2312">
      <w:pPr>
        <w:rPr>
          <w:rFonts w:ascii="Segoe UI" w:hAnsi="Segoe UI" w:cs="Segoe UI"/>
          <w:color w:val="2F5496" w:themeColor="accent1" w:themeShade="BF"/>
          <w:sz w:val="20"/>
          <w:szCs w:val="20"/>
          <w:lang w:val="pt-BR"/>
        </w:rPr>
      </w:pPr>
    </w:p>
    <w:p w14:paraId="66955F35" w14:textId="05B319A3" w:rsidR="00413812" w:rsidRPr="00413812" w:rsidRDefault="00413812" w:rsidP="00413812">
      <w:pPr>
        <w:spacing w:after="0" w:line="240" w:lineRule="auto"/>
        <w:rPr>
          <w:sz w:val="24"/>
          <w:szCs w:val="24"/>
          <w:lang w:val="es-ES"/>
        </w:rPr>
      </w:pPr>
      <w:r w:rsidRPr="005811BB">
        <w:rPr>
          <w:sz w:val="24"/>
          <w:szCs w:val="24"/>
          <w:lang w:val="es-DO"/>
        </w:rPr>
        <w:t>Submitted by</w:t>
      </w:r>
      <w:r w:rsidRPr="00413812">
        <w:rPr>
          <w:sz w:val="24"/>
          <w:szCs w:val="24"/>
          <w:lang w:val="es-ES"/>
        </w:rPr>
        <w:t xml:space="preserve">: </w:t>
      </w:r>
      <w:r w:rsidRPr="00413812">
        <w:rPr>
          <w:sz w:val="24"/>
          <w:szCs w:val="24"/>
          <w:lang w:val="es-ES"/>
        </w:rPr>
        <w:tab/>
        <w:t>Asesoramiento Ambiental Estratégico (AAE)</w:t>
      </w:r>
    </w:p>
    <w:p w14:paraId="3DC88242" w14:textId="6C839419" w:rsidR="00413812" w:rsidRPr="00413812" w:rsidRDefault="00413812" w:rsidP="00413812">
      <w:pPr>
        <w:spacing w:after="0" w:line="240" w:lineRule="auto"/>
        <w:rPr>
          <w:sz w:val="24"/>
          <w:szCs w:val="24"/>
          <w:lang w:val="en-GB"/>
        </w:rPr>
      </w:pPr>
      <w:r w:rsidRPr="005811BB">
        <w:rPr>
          <w:sz w:val="24"/>
          <w:szCs w:val="24"/>
          <w:lang w:val="es-DO"/>
        </w:rPr>
        <w:tab/>
      </w:r>
      <w:r w:rsidRPr="005811BB">
        <w:rPr>
          <w:sz w:val="24"/>
          <w:szCs w:val="24"/>
          <w:lang w:val="es-DO"/>
        </w:rPr>
        <w:tab/>
      </w:r>
      <w:r w:rsidRPr="005811BB">
        <w:rPr>
          <w:sz w:val="24"/>
          <w:szCs w:val="24"/>
          <w:lang w:val="es-DO"/>
        </w:rPr>
        <w:tab/>
      </w:r>
      <w:r w:rsidR="003E1E18">
        <w:rPr>
          <w:sz w:val="24"/>
          <w:szCs w:val="24"/>
          <w:lang w:val="en-GB"/>
        </w:rPr>
        <w:t>Dec</w:t>
      </w:r>
      <w:r w:rsidR="003E1E18" w:rsidRPr="00413812">
        <w:rPr>
          <w:sz w:val="24"/>
          <w:szCs w:val="24"/>
          <w:lang w:val="en-GB"/>
        </w:rPr>
        <w:t xml:space="preserve">ember </w:t>
      </w:r>
      <w:r w:rsidRPr="00413812">
        <w:rPr>
          <w:sz w:val="24"/>
          <w:szCs w:val="24"/>
          <w:lang w:val="en-GB"/>
        </w:rPr>
        <w:t>2021</w:t>
      </w:r>
    </w:p>
    <w:p w14:paraId="4E3C5E1C" w14:textId="2F9D4CB5" w:rsidR="00D25D9E" w:rsidRPr="00AE7836" w:rsidRDefault="009B64E8" w:rsidP="00BA2312">
      <w:pPr>
        <w:rPr>
          <w:rFonts w:ascii="Segoe UI" w:hAnsi="Segoe UI" w:cs="Segoe UI"/>
          <w:color w:val="2F5496" w:themeColor="accent1" w:themeShade="BF"/>
          <w:sz w:val="20"/>
          <w:szCs w:val="20"/>
        </w:rPr>
      </w:pPr>
      <w:r w:rsidRPr="009E7CE1">
        <w:rPr>
          <w:rFonts w:ascii="Segoe UI" w:hAnsi="Segoe UI" w:cs="Segoe UI"/>
          <w:noProof/>
          <w:sz w:val="20"/>
          <w:szCs w:val="20"/>
        </w:rPr>
        <w:drawing>
          <wp:anchor distT="0" distB="0" distL="0" distR="0" simplePos="0" relativeHeight="251653632" behindDoc="0" locked="0" layoutInCell="1" allowOverlap="1" wp14:anchorId="546F8252" wp14:editId="01734267">
            <wp:simplePos x="0" y="0"/>
            <wp:positionH relativeFrom="page">
              <wp:posOffset>914400</wp:posOffset>
            </wp:positionH>
            <wp:positionV relativeFrom="paragraph">
              <wp:posOffset>285115</wp:posOffset>
            </wp:positionV>
            <wp:extent cx="5957539" cy="1056513"/>
            <wp:effectExtent l="0" t="0" r="0" b="0"/>
            <wp:wrapTopAndBottom/>
            <wp:docPr id="2" name="image6.png"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descr="Aplicación&#10;&#10;Descripción generada automáticamente con confianza media"/>
                    <pic:cNvPicPr/>
                  </pic:nvPicPr>
                  <pic:blipFill>
                    <a:blip r:embed="rId10" cstate="print"/>
                    <a:stretch>
                      <a:fillRect/>
                    </a:stretch>
                  </pic:blipFill>
                  <pic:spPr>
                    <a:xfrm>
                      <a:off x="0" y="0"/>
                      <a:ext cx="5957539" cy="1056513"/>
                    </a:xfrm>
                    <a:prstGeom prst="rect">
                      <a:avLst/>
                    </a:prstGeom>
                  </pic:spPr>
                </pic:pic>
              </a:graphicData>
            </a:graphic>
          </wp:anchor>
        </w:drawing>
      </w:r>
      <w:bookmarkStart w:id="0" w:name="_heading=h.gjdgxs" w:colFirst="0" w:colLast="0"/>
      <w:bookmarkEnd w:id="0"/>
    </w:p>
    <w:p w14:paraId="28A3DD3F" w14:textId="656C7E6E" w:rsidR="00D25D9E" w:rsidRPr="005811BB" w:rsidRDefault="00D25D9E" w:rsidP="00BA2312">
      <w:pPr>
        <w:rPr>
          <w:rFonts w:ascii="Segoe UI" w:hAnsi="Segoe UI" w:cs="Segoe UI"/>
          <w:color w:val="2F5496" w:themeColor="accent1" w:themeShade="BF"/>
          <w:sz w:val="20"/>
          <w:szCs w:val="20"/>
        </w:rPr>
      </w:pPr>
    </w:p>
    <w:p w14:paraId="0B3FA274" w14:textId="713DD271" w:rsidR="008915FE" w:rsidRDefault="008915FE" w:rsidP="008915FE">
      <w:r>
        <w:rPr>
          <w:rFonts w:ascii="Segoe UI" w:hAnsi="Segoe UI" w:cs="Segoe UI"/>
          <w:noProof/>
          <w:sz w:val="20"/>
          <w:szCs w:val="20"/>
          <w:lang w:eastAsia="en-US"/>
        </w:rPr>
        <w:lastRenderedPageBreak/>
        <w:drawing>
          <wp:anchor distT="0" distB="0" distL="114300" distR="114300" simplePos="0" relativeHeight="251649536" behindDoc="1" locked="0" layoutInCell="1" allowOverlap="1" wp14:anchorId="1B14C40F" wp14:editId="57071403">
            <wp:simplePos x="0" y="0"/>
            <wp:positionH relativeFrom="column">
              <wp:posOffset>44450</wp:posOffset>
            </wp:positionH>
            <wp:positionV relativeFrom="paragraph">
              <wp:posOffset>22860</wp:posOffset>
            </wp:positionV>
            <wp:extent cx="1533525" cy="1533525"/>
            <wp:effectExtent l="0" t="0" r="9525" b="9525"/>
            <wp:wrapTight wrapText="bothSides">
              <wp:wrapPolygon edited="0">
                <wp:start x="0" y="0"/>
                <wp:lineTo x="0" y="21466"/>
                <wp:lineTo x="21466" y="21466"/>
                <wp:lineTo x="21466" y="0"/>
                <wp:lineTo x="0" y="0"/>
              </wp:wrapPolygon>
            </wp:wrapTight>
            <wp:docPr id="236" name="Imagen 23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descr="Imagen que contiene 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EE2C7" w14:textId="7BB31F50" w:rsidR="008915FE" w:rsidRDefault="008915FE" w:rsidP="008915FE"/>
    <w:p w14:paraId="05E2EBDC" w14:textId="0A16BE4B" w:rsidR="008915FE" w:rsidRDefault="008915FE" w:rsidP="008915FE"/>
    <w:p w14:paraId="2FA971E4" w14:textId="4979DDE5" w:rsidR="008915FE" w:rsidRDefault="008915FE" w:rsidP="008915FE"/>
    <w:p w14:paraId="0E92CCB3" w14:textId="2D8F5850" w:rsidR="008915FE" w:rsidRDefault="008915FE" w:rsidP="008915FE"/>
    <w:p w14:paraId="53FC7A85" w14:textId="4AEC711C" w:rsidR="008915FE" w:rsidRDefault="008915FE" w:rsidP="008915FE"/>
    <w:p w14:paraId="2C860BBC" w14:textId="2B2B00D3" w:rsidR="008915FE" w:rsidRDefault="008915FE" w:rsidP="008915FE"/>
    <w:p w14:paraId="691EA926" w14:textId="059C9794" w:rsidR="00F96470" w:rsidRPr="008915FE" w:rsidRDefault="00F96470" w:rsidP="00E64686">
      <w:pPr>
        <w:pStyle w:val="Heading2"/>
        <w:rPr>
          <w:sz w:val="28"/>
          <w:szCs w:val="28"/>
        </w:rPr>
      </w:pPr>
      <w:bookmarkStart w:id="1" w:name="_Toc96772454"/>
      <w:r w:rsidRPr="008915FE">
        <w:rPr>
          <w:sz w:val="28"/>
          <w:szCs w:val="28"/>
        </w:rPr>
        <w:t>Acknowledgements</w:t>
      </w:r>
      <w:bookmarkEnd w:id="1"/>
    </w:p>
    <w:p w14:paraId="300FCAEB" w14:textId="77777777" w:rsidR="000D4B26" w:rsidRPr="009E7CE1" w:rsidRDefault="000D4B26" w:rsidP="00BA2312">
      <w:pPr>
        <w:widowControl w:val="0"/>
        <w:tabs>
          <w:tab w:val="left" w:pos="820"/>
          <w:tab w:val="left" w:pos="821"/>
        </w:tabs>
        <w:autoSpaceDE w:val="0"/>
        <w:autoSpaceDN w:val="0"/>
        <w:spacing w:before="23" w:after="0" w:line="240" w:lineRule="auto"/>
        <w:ind w:left="820"/>
        <w:rPr>
          <w:rFonts w:ascii="Segoe UI" w:eastAsia="Times New Roman" w:hAnsi="Segoe UI" w:cs="Segoe UI"/>
          <w:sz w:val="20"/>
          <w:szCs w:val="20"/>
          <w:lang w:eastAsia="en-US"/>
        </w:rPr>
      </w:pPr>
    </w:p>
    <w:p w14:paraId="573DED42" w14:textId="30492DF5" w:rsidR="000C24B3" w:rsidRPr="008915FE" w:rsidRDefault="008915FE" w:rsidP="000C24B3">
      <w:pPr>
        <w:jc w:val="both"/>
        <w:rPr>
          <w:rFonts w:ascii="Segoe UI" w:hAnsi="Segoe UI" w:cs="Segoe UI"/>
          <w:sz w:val="24"/>
          <w:szCs w:val="24"/>
        </w:rPr>
      </w:pPr>
      <w:r>
        <w:rPr>
          <w:rFonts w:ascii="Segoe UI" w:hAnsi="Segoe UI" w:cs="Segoe UI"/>
          <w:sz w:val="24"/>
          <w:szCs w:val="24"/>
        </w:rPr>
        <w:t>AAE</w:t>
      </w:r>
      <w:r w:rsidR="000C24B3" w:rsidRPr="008915FE">
        <w:rPr>
          <w:rFonts w:ascii="Segoe UI" w:hAnsi="Segoe UI" w:cs="Segoe UI"/>
          <w:sz w:val="24"/>
          <w:szCs w:val="24"/>
        </w:rPr>
        <w:t xml:space="preserve"> would like to thank the UNDP </w:t>
      </w:r>
      <w:r w:rsidR="00D40376" w:rsidRPr="008915FE">
        <w:rPr>
          <w:rFonts w:ascii="Segoe UI" w:hAnsi="Segoe UI" w:cs="Segoe UI"/>
          <w:sz w:val="24"/>
          <w:szCs w:val="24"/>
        </w:rPr>
        <w:t>Regional Hub for Latin America</w:t>
      </w:r>
      <w:r w:rsidR="0011424D">
        <w:rPr>
          <w:rFonts w:ascii="Segoe UI" w:hAnsi="Segoe UI" w:cs="Segoe UI"/>
          <w:sz w:val="24"/>
          <w:szCs w:val="24"/>
        </w:rPr>
        <w:t xml:space="preserve"> and</w:t>
      </w:r>
      <w:r w:rsidR="00D40376" w:rsidRPr="008915FE">
        <w:rPr>
          <w:rFonts w:ascii="Segoe UI" w:hAnsi="Segoe UI" w:cs="Segoe UI"/>
          <w:sz w:val="24"/>
          <w:szCs w:val="24"/>
        </w:rPr>
        <w:t xml:space="preserve"> in particular the A</w:t>
      </w:r>
      <w:r w:rsidR="00F3113C">
        <w:rPr>
          <w:rFonts w:ascii="Segoe UI" w:hAnsi="Segoe UI" w:cs="Segoe UI"/>
          <w:sz w:val="24"/>
          <w:szCs w:val="24"/>
        </w:rPr>
        <w:t>&amp;</w:t>
      </w:r>
      <w:r w:rsidR="00D40376" w:rsidRPr="008915FE">
        <w:rPr>
          <w:rFonts w:ascii="Segoe UI" w:hAnsi="Segoe UI" w:cs="Segoe UI"/>
          <w:sz w:val="24"/>
          <w:szCs w:val="24"/>
        </w:rPr>
        <w:t xml:space="preserve">L project </w:t>
      </w:r>
      <w:r w:rsidR="000C24B3" w:rsidRPr="008915FE">
        <w:rPr>
          <w:rFonts w:ascii="Segoe UI" w:hAnsi="Segoe UI" w:cs="Segoe UI"/>
          <w:sz w:val="24"/>
          <w:szCs w:val="24"/>
        </w:rPr>
        <w:t>team for their excellent support as well as for</w:t>
      </w:r>
      <w:r w:rsidR="00D40376" w:rsidRPr="008915FE">
        <w:rPr>
          <w:rFonts w:ascii="Segoe UI" w:hAnsi="Segoe UI" w:cs="Segoe UI"/>
          <w:sz w:val="24"/>
          <w:szCs w:val="24"/>
        </w:rPr>
        <w:t xml:space="preserve"> </w:t>
      </w:r>
      <w:r w:rsidR="000C24B3" w:rsidRPr="008915FE">
        <w:rPr>
          <w:rFonts w:ascii="Segoe UI" w:hAnsi="Segoe UI" w:cs="Segoe UI"/>
          <w:sz w:val="24"/>
          <w:szCs w:val="24"/>
        </w:rPr>
        <w:t xml:space="preserve">the </w:t>
      </w:r>
      <w:r w:rsidR="00D40376" w:rsidRPr="008915FE">
        <w:rPr>
          <w:rFonts w:ascii="Segoe UI" w:hAnsi="Segoe UI" w:cs="Segoe UI"/>
          <w:sz w:val="24"/>
          <w:szCs w:val="24"/>
        </w:rPr>
        <w:t xml:space="preserve">detailed </w:t>
      </w:r>
      <w:r w:rsidR="000C24B3" w:rsidRPr="008915FE">
        <w:rPr>
          <w:rFonts w:ascii="Segoe UI" w:hAnsi="Segoe UI" w:cs="Segoe UI"/>
          <w:sz w:val="24"/>
          <w:szCs w:val="24"/>
        </w:rPr>
        <w:t xml:space="preserve">information and feedback provided during the Terminal Evaluation </w:t>
      </w:r>
      <w:r w:rsidR="00D40376" w:rsidRPr="008915FE">
        <w:rPr>
          <w:rFonts w:ascii="Segoe UI" w:hAnsi="Segoe UI" w:cs="Segoe UI"/>
          <w:sz w:val="24"/>
          <w:szCs w:val="24"/>
        </w:rPr>
        <w:t>process</w:t>
      </w:r>
      <w:r w:rsidR="0042541C" w:rsidRPr="008915FE">
        <w:rPr>
          <w:rFonts w:ascii="Segoe UI" w:hAnsi="Segoe UI" w:cs="Segoe UI"/>
          <w:sz w:val="24"/>
          <w:szCs w:val="24"/>
        </w:rPr>
        <w:t xml:space="preserve">. Your efforts </w:t>
      </w:r>
      <w:r w:rsidR="00D40376" w:rsidRPr="008915FE">
        <w:rPr>
          <w:rFonts w:ascii="Segoe UI" w:hAnsi="Segoe UI" w:cs="Segoe UI"/>
          <w:sz w:val="24"/>
          <w:szCs w:val="24"/>
        </w:rPr>
        <w:t>greatly facilitated our team in the development of this report.</w:t>
      </w:r>
      <w:r w:rsidR="000C24B3" w:rsidRPr="008915FE">
        <w:rPr>
          <w:rFonts w:ascii="Segoe UI" w:hAnsi="Segoe UI" w:cs="Segoe UI"/>
          <w:sz w:val="24"/>
          <w:szCs w:val="24"/>
        </w:rPr>
        <w:t xml:space="preserve"> We would </w:t>
      </w:r>
      <w:r w:rsidR="0042541C" w:rsidRPr="008915FE">
        <w:rPr>
          <w:rFonts w:ascii="Segoe UI" w:hAnsi="Segoe UI" w:cs="Segoe UI"/>
          <w:sz w:val="24"/>
          <w:szCs w:val="24"/>
        </w:rPr>
        <w:t xml:space="preserve">also </w:t>
      </w:r>
      <w:r w:rsidR="000C24B3" w:rsidRPr="008915FE">
        <w:rPr>
          <w:rFonts w:ascii="Segoe UI" w:hAnsi="Segoe UI" w:cs="Segoe UI"/>
          <w:sz w:val="24"/>
          <w:szCs w:val="24"/>
        </w:rPr>
        <w:t xml:space="preserve">like to extend a special thank you to </w:t>
      </w:r>
      <w:r w:rsidR="00125CB0" w:rsidRPr="008915FE">
        <w:rPr>
          <w:rFonts w:ascii="Segoe UI" w:hAnsi="Segoe UI" w:cs="Segoe UI"/>
          <w:sz w:val="24"/>
          <w:szCs w:val="24"/>
        </w:rPr>
        <w:t xml:space="preserve">Pascale Bonzom, </w:t>
      </w:r>
      <w:r w:rsidR="000C24B3" w:rsidRPr="008915FE">
        <w:rPr>
          <w:rFonts w:ascii="Segoe UI" w:hAnsi="Segoe UI" w:cs="Segoe UI"/>
          <w:sz w:val="24"/>
          <w:szCs w:val="24"/>
        </w:rPr>
        <w:t>Aline Da Silva</w:t>
      </w:r>
      <w:r w:rsidR="00D40376" w:rsidRPr="008915FE">
        <w:rPr>
          <w:rFonts w:ascii="Segoe UI" w:hAnsi="Segoe UI" w:cs="Segoe UI"/>
          <w:sz w:val="24"/>
          <w:szCs w:val="24"/>
        </w:rPr>
        <w:t xml:space="preserve">, </w:t>
      </w:r>
      <w:r w:rsidR="000C24B3" w:rsidRPr="008915FE">
        <w:rPr>
          <w:rFonts w:ascii="Segoe UI" w:hAnsi="Segoe UI" w:cs="Segoe UI"/>
          <w:sz w:val="24"/>
          <w:szCs w:val="24"/>
        </w:rPr>
        <w:t>Lavinia Gasperini</w:t>
      </w:r>
      <w:r w:rsidR="00D40376" w:rsidRPr="008915FE">
        <w:rPr>
          <w:rFonts w:ascii="Segoe UI" w:hAnsi="Segoe UI" w:cs="Segoe UI"/>
          <w:sz w:val="24"/>
          <w:szCs w:val="24"/>
        </w:rPr>
        <w:t>, Andrea Bina, Mar</w:t>
      </w:r>
      <w:r w:rsidR="0011424D">
        <w:rPr>
          <w:rFonts w:ascii="Segoe UI" w:hAnsi="Segoe UI" w:cs="Segoe UI"/>
          <w:sz w:val="24"/>
          <w:szCs w:val="24"/>
        </w:rPr>
        <w:t>c</w:t>
      </w:r>
      <w:r w:rsidR="00D40376" w:rsidRPr="008915FE">
        <w:rPr>
          <w:rFonts w:ascii="Segoe UI" w:hAnsi="Segoe UI" w:cs="Segoe UI"/>
          <w:sz w:val="24"/>
          <w:szCs w:val="24"/>
        </w:rPr>
        <w:t xml:space="preserve"> Gallego, Pascal Fabi</w:t>
      </w:r>
      <w:r w:rsidR="008A4FE3">
        <w:rPr>
          <w:rFonts w:ascii="Segoe UI" w:hAnsi="Segoe UI" w:cs="Segoe UI"/>
          <w:sz w:val="24"/>
          <w:szCs w:val="24"/>
        </w:rPr>
        <w:t>é</w:t>
      </w:r>
      <w:r w:rsidR="00D40376" w:rsidRPr="008915FE">
        <w:rPr>
          <w:rFonts w:ascii="Segoe UI" w:hAnsi="Segoe UI" w:cs="Segoe UI"/>
          <w:sz w:val="24"/>
          <w:szCs w:val="24"/>
        </w:rPr>
        <w:t xml:space="preserve"> </w:t>
      </w:r>
      <w:r w:rsidR="00125CB0" w:rsidRPr="008915FE">
        <w:rPr>
          <w:rFonts w:ascii="Segoe UI" w:hAnsi="Segoe UI" w:cs="Segoe UI"/>
          <w:sz w:val="24"/>
          <w:szCs w:val="24"/>
        </w:rPr>
        <w:t xml:space="preserve">for their kind support </w:t>
      </w:r>
      <w:r w:rsidR="00D40376" w:rsidRPr="008915FE">
        <w:rPr>
          <w:rFonts w:ascii="Segoe UI" w:hAnsi="Segoe UI" w:cs="Segoe UI"/>
          <w:sz w:val="24"/>
          <w:szCs w:val="24"/>
        </w:rPr>
        <w:t xml:space="preserve">to the evaluation team, which </w:t>
      </w:r>
      <w:r w:rsidR="00125CB0" w:rsidRPr="008915FE">
        <w:rPr>
          <w:rFonts w:ascii="Segoe UI" w:hAnsi="Segoe UI" w:cs="Segoe UI"/>
          <w:sz w:val="24"/>
          <w:szCs w:val="24"/>
        </w:rPr>
        <w:t xml:space="preserve">was particularly impacted by the Covid-19 during </w:t>
      </w:r>
      <w:r w:rsidR="00D40376" w:rsidRPr="008915FE">
        <w:rPr>
          <w:rFonts w:ascii="Segoe UI" w:hAnsi="Segoe UI" w:cs="Segoe UI"/>
          <w:sz w:val="24"/>
          <w:szCs w:val="24"/>
        </w:rPr>
        <w:t>the evaluation period.</w:t>
      </w:r>
      <w:r w:rsidR="0011424D">
        <w:rPr>
          <w:rFonts w:ascii="Segoe UI" w:hAnsi="Segoe UI" w:cs="Segoe UI"/>
          <w:sz w:val="24"/>
          <w:szCs w:val="24"/>
        </w:rPr>
        <w:t xml:space="preserve"> </w:t>
      </w:r>
      <w:r w:rsidR="0042541C" w:rsidRPr="008915FE">
        <w:rPr>
          <w:rFonts w:ascii="Segoe UI" w:hAnsi="Segoe UI" w:cs="Segoe UI"/>
          <w:sz w:val="24"/>
          <w:szCs w:val="24"/>
        </w:rPr>
        <w:t xml:space="preserve">In addition, special thanks to WWF and the ISEAL Alliance in addition to all </w:t>
      </w:r>
      <w:r w:rsidR="004A5F15">
        <w:rPr>
          <w:rFonts w:ascii="Segoe UI" w:hAnsi="Segoe UI" w:cs="Segoe UI"/>
          <w:sz w:val="24"/>
          <w:szCs w:val="24"/>
        </w:rPr>
        <w:t>other</w:t>
      </w:r>
      <w:r w:rsidR="004A5F15" w:rsidRPr="008915FE">
        <w:rPr>
          <w:rFonts w:ascii="Segoe UI" w:hAnsi="Segoe UI" w:cs="Segoe UI"/>
          <w:sz w:val="24"/>
          <w:szCs w:val="24"/>
        </w:rPr>
        <w:t xml:space="preserve"> </w:t>
      </w:r>
      <w:r w:rsidR="0042541C" w:rsidRPr="008915FE">
        <w:rPr>
          <w:rFonts w:ascii="Segoe UI" w:hAnsi="Segoe UI" w:cs="Segoe UI"/>
          <w:sz w:val="24"/>
          <w:szCs w:val="24"/>
        </w:rPr>
        <w:t xml:space="preserve">participants </w:t>
      </w:r>
      <w:r w:rsidR="000C24B3" w:rsidRPr="008915FE">
        <w:rPr>
          <w:rFonts w:ascii="Segoe UI" w:hAnsi="Segoe UI" w:cs="Segoe UI"/>
          <w:sz w:val="24"/>
          <w:szCs w:val="24"/>
        </w:rPr>
        <w:t xml:space="preserve">listed in </w:t>
      </w:r>
      <w:hyperlink w:anchor="_Annex_5._List" w:history="1">
        <w:r w:rsidR="000C24B3" w:rsidRPr="00D13A97">
          <w:rPr>
            <w:rStyle w:val="Hyperlink"/>
            <w:rFonts w:ascii="Segoe UI" w:hAnsi="Segoe UI" w:cs="Segoe UI"/>
            <w:sz w:val="24"/>
            <w:szCs w:val="24"/>
          </w:rPr>
          <w:t xml:space="preserve">Annex </w:t>
        </w:r>
        <w:r w:rsidR="00D13A97" w:rsidRPr="00D13A97">
          <w:rPr>
            <w:rStyle w:val="Hyperlink"/>
            <w:rFonts w:ascii="Segoe UI" w:hAnsi="Segoe UI" w:cs="Segoe UI"/>
            <w:sz w:val="24"/>
            <w:szCs w:val="24"/>
          </w:rPr>
          <w:t>5</w:t>
        </w:r>
      </w:hyperlink>
      <w:r w:rsidR="000C24B3" w:rsidRPr="008915FE">
        <w:rPr>
          <w:rFonts w:ascii="Segoe UI" w:hAnsi="Segoe UI" w:cs="Segoe UI"/>
          <w:sz w:val="24"/>
          <w:szCs w:val="24"/>
        </w:rPr>
        <w:t xml:space="preserve"> </w:t>
      </w:r>
      <w:r w:rsidR="004A5F15">
        <w:rPr>
          <w:rFonts w:ascii="Segoe UI" w:hAnsi="Segoe UI" w:cs="Segoe UI"/>
          <w:sz w:val="24"/>
          <w:szCs w:val="24"/>
        </w:rPr>
        <w:t xml:space="preserve">for </w:t>
      </w:r>
      <w:r w:rsidR="000C24B3" w:rsidRPr="008915FE">
        <w:rPr>
          <w:rFonts w:ascii="Segoe UI" w:hAnsi="Segoe UI" w:cs="Segoe UI"/>
          <w:sz w:val="24"/>
          <w:szCs w:val="24"/>
        </w:rPr>
        <w:t>kindly provid</w:t>
      </w:r>
      <w:r w:rsidR="004A5F15">
        <w:rPr>
          <w:rFonts w:ascii="Segoe UI" w:hAnsi="Segoe UI" w:cs="Segoe UI"/>
          <w:sz w:val="24"/>
          <w:szCs w:val="24"/>
        </w:rPr>
        <w:t>ing</w:t>
      </w:r>
      <w:r w:rsidR="000C24B3" w:rsidRPr="008915FE">
        <w:rPr>
          <w:rFonts w:ascii="Segoe UI" w:hAnsi="Segoe UI" w:cs="Segoe UI"/>
          <w:sz w:val="24"/>
          <w:szCs w:val="24"/>
        </w:rPr>
        <w:t xml:space="preserve"> information during virtual interviews</w:t>
      </w:r>
      <w:r w:rsidR="0042541C" w:rsidRPr="008915FE">
        <w:rPr>
          <w:rFonts w:ascii="Segoe UI" w:hAnsi="Segoe UI" w:cs="Segoe UI"/>
          <w:sz w:val="24"/>
          <w:szCs w:val="24"/>
        </w:rPr>
        <w:t xml:space="preserve">. Without your support, this evaluation would not be possible. </w:t>
      </w:r>
    </w:p>
    <w:p w14:paraId="000CE733" w14:textId="77777777" w:rsidR="000D4B26" w:rsidRPr="009E7CE1" w:rsidRDefault="000D4B26" w:rsidP="00BA2312">
      <w:pPr>
        <w:pStyle w:val="BodyText"/>
        <w:rPr>
          <w:rFonts w:ascii="Segoe UI" w:hAnsi="Segoe UI" w:cs="Segoe UI"/>
        </w:rPr>
      </w:pPr>
    </w:p>
    <w:p w14:paraId="3FE4F7FC" w14:textId="77777777" w:rsidR="000D4B26" w:rsidRPr="009E7CE1" w:rsidRDefault="000D4B26" w:rsidP="00BA2312">
      <w:pPr>
        <w:widowControl w:val="0"/>
        <w:tabs>
          <w:tab w:val="left" w:pos="820"/>
          <w:tab w:val="left" w:pos="821"/>
        </w:tabs>
        <w:autoSpaceDE w:val="0"/>
        <w:autoSpaceDN w:val="0"/>
        <w:spacing w:before="23" w:after="0" w:line="240" w:lineRule="auto"/>
        <w:ind w:left="820"/>
        <w:rPr>
          <w:rFonts w:ascii="Segoe UI" w:eastAsia="Times New Roman" w:hAnsi="Segoe UI" w:cs="Segoe UI"/>
          <w:sz w:val="20"/>
          <w:szCs w:val="20"/>
          <w:lang w:eastAsia="en-US"/>
        </w:rPr>
      </w:pPr>
    </w:p>
    <w:p w14:paraId="2F7E4783" w14:textId="69CC7A95" w:rsidR="00F96470" w:rsidRPr="009E7CE1" w:rsidRDefault="00F96470" w:rsidP="00BA2312">
      <w:pPr>
        <w:rPr>
          <w:rFonts w:ascii="Segoe UI" w:eastAsia="Times New Roman" w:hAnsi="Segoe UI" w:cs="Segoe UI"/>
          <w:sz w:val="20"/>
          <w:szCs w:val="20"/>
          <w:lang w:eastAsia="en-US"/>
        </w:rPr>
      </w:pPr>
      <w:r w:rsidRPr="009E7CE1">
        <w:rPr>
          <w:rFonts w:ascii="Segoe UI" w:eastAsia="Times New Roman" w:hAnsi="Segoe UI" w:cs="Segoe UI"/>
          <w:sz w:val="20"/>
          <w:szCs w:val="20"/>
          <w:lang w:eastAsia="en-US"/>
        </w:rPr>
        <w:br w:type="page"/>
      </w:r>
    </w:p>
    <w:p w14:paraId="2F1E871D" w14:textId="77777777" w:rsidR="000D4B26" w:rsidRPr="009E7CE1" w:rsidRDefault="000D4B26" w:rsidP="00BA2312">
      <w:pPr>
        <w:rPr>
          <w:rFonts w:ascii="Segoe UI" w:eastAsia="Times New Roman" w:hAnsi="Segoe UI" w:cs="Segoe UI"/>
          <w:sz w:val="20"/>
          <w:szCs w:val="20"/>
          <w:lang w:eastAsia="en-US"/>
        </w:rPr>
      </w:pPr>
    </w:p>
    <w:sdt>
      <w:sdtPr>
        <w:rPr>
          <w:rFonts w:ascii="Calibri" w:eastAsia="Calibri" w:hAnsi="Calibri" w:cs="Calibri"/>
          <w:color w:val="auto"/>
          <w:sz w:val="22"/>
          <w:szCs w:val="22"/>
          <w:lang w:val="en-US"/>
        </w:rPr>
        <w:id w:val="-1208643690"/>
        <w:docPartObj>
          <w:docPartGallery w:val="Table of Contents"/>
          <w:docPartUnique/>
        </w:docPartObj>
      </w:sdtPr>
      <w:sdtEndPr>
        <w:rPr>
          <w:b/>
          <w:bCs/>
        </w:rPr>
      </w:sdtEndPr>
      <w:sdtContent>
        <w:p w14:paraId="48A716E8" w14:textId="483C4220" w:rsidR="00C06156" w:rsidRPr="00804491" w:rsidRDefault="00C06156" w:rsidP="00BA2312">
          <w:pPr>
            <w:pStyle w:val="TOCHeading"/>
            <w:rPr>
              <w:lang w:val="en-US"/>
            </w:rPr>
          </w:pPr>
          <w:r w:rsidRPr="00804491">
            <w:rPr>
              <w:lang w:val="en-US"/>
            </w:rPr>
            <w:t>Table of Contents</w:t>
          </w:r>
        </w:p>
        <w:p w14:paraId="40BCB1BC" w14:textId="341F888E" w:rsidR="002B2A3E" w:rsidRDefault="00C06156">
          <w:pPr>
            <w:pStyle w:val="TOC2"/>
            <w:tabs>
              <w:tab w:val="right" w:leader="dot" w:pos="9350"/>
            </w:tabs>
            <w:rPr>
              <w:rFonts w:asciiTheme="minorHAnsi" w:eastAsiaTheme="minorEastAsia" w:hAnsiTheme="minorHAnsi" w:cstheme="minorBidi"/>
              <w:noProof/>
              <w:lang w:val="es-ES"/>
            </w:rPr>
          </w:pPr>
          <w:r>
            <w:fldChar w:fldCharType="begin"/>
          </w:r>
          <w:r>
            <w:instrText xml:space="preserve"> TOC \o "1-3" \h \z \u </w:instrText>
          </w:r>
          <w:r>
            <w:fldChar w:fldCharType="separate"/>
          </w:r>
          <w:hyperlink w:anchor="_Toc96772454" w:history="1">
            <w:r w:rsidR="002B2A3E" w:rsidRPr="00693298">
              <w:rPr>
                <w:rStyle w:val="Hyperlink"/>
                <w:noProof/>
              </w:rPr>
              <w:t>Acknowledgements</w:t>
            </w:r>
            <w:r w:rsidR="002B2A3E">
              <w:rPr>
                <w:noProof/>
                <w:webHidden/>
              </w:rPr>
              <w:tab/>
            </w:r>
            <w:r w:rsidR="002B2A3E">
              <w:rPr>
                <w:noProof/>
                <w:webHidden/>
              </w:rPr>
              <w:fldChar w:fldCharType="begin"/>
            </w:r>
            <w:r w:rsidR="002B2A3E">
              <w:rPr>
                <w:noProof/>
                <w:webHidden/>
              </w:rPr>
              <w:instrText xml:space="preserve"> PAGEREF _Toc96772454 \h </w:instrText>
            </w:r>
            <w:r w:rsidR="002B2A3E">
              <w:rPr>
                <w:noProof/>
                <w:webHidden/>
              </w:rPr>
            </w:r>
            <w:r w:rsidR="002B2A3E">
              <w:rPr>
                <w:noProof/>
                <w:webHidden/>
              </w:rPr>
              <w:fldChar w:fldCharType="separate"/>
            </w:r>
            <w:r w:rsidR="002B2A3E">
              <w:rPr>
                <w:noProof/>
                <w:webHidden/>
              </w:rPr>
              <w:t>ii</w:t>
            </w:r>
            <w:r w:rsidR="002B2A3E">
              <w:rPr>
                <w:noProof/>
                <w:webHidden/>
              </w:rPr>
              <w:fldChar w:fldCharType="end"/>
            </w:r>
          </w:hyperlink>
        </w:p>
        <w:p w14:paraId="21FB4820" w14:textId="4B7F7C3E" w:rsidR="002B2A3E" w:rsidRDefault="006D7FD6">
          <w:pPr>
            <w:pStyle w:val="TOC2"/>
            <w:tabs>
              <w:tab w:val="right" w:leader="dot" w:pos="9350"/>
            </w:tabs>
            <w:rPr>
              <w:rFonts w:asciiTheme="minorHAnsi" w:eastAsiaTheme="minorEastAsia" w:hAnsiTheme="minorHAnsi" w:cstheme="minorBidi"/>
              <w:noProof/>
              <w:lang w:val="es-ES"/>
            </w:rPr>
          </w:pPr>
          <w:hyperlink w:anchor="_Toc96772455" w:history="1">
            <w:r w:rsidR="002B2A3E" w:rsidRPr="00693298">
              <w:rPr>
                <w:rStyle w:val="Hyperlink"/>
                <w:noProof/>
              </w:rPr>
              <w:t>Acronyms and Abbreviations</w:t>
            </w:r>
            <w:r w:rsidR="002B2A3E">
              <w:rPr>
                <w:noProof/>
                <w:webHidden/>
              </w:rPr>
              <w:tab/>
            </w:r>
            <w:r w:rsidR="002B2A3E">
              <w:rPr>
                <w:noProof/>
                <w:webHidden/>
              </w:rPr>
              <w:fldChar w:fldCharType="begin"/>
            </w:r>
            <w:r w:rsidR="002B2A3E">
              <w:rPr>
                <w:noProof/>
                <w:webHidden/>
              </w:rPr>
              <w:instrText xml:space="preserve"> PAGEREF _Toc96772455 \h </w:instrText>
            </w:r>
            <w:r w:rsidR="002B2A3E">
              <w:rPr>
                <w:noProof/>
                <w:webHidden/>
              </w:rPr>
            </w:r>
            <w:r w:rsidR="002B2A3E">
              <w:rPr>
                <w:noProof/>
                <w:webHidden/>
              </w:rPr>
              <w:fldChar w:fldCharType="separate"/>
            </w:r>
            <w:r w:rsidR="002B2A3E">
              <w:rPr>
                <w:noProof/>
                <w:webHidden/>
              </w:rPr>
              <w:t>vi</w:t>
            </w:r>
            <w:r w:rsidR="002B2A3E">
              <w:rPr>
                <w:noProof/>
                <w:webHidden/>
              </w:rPr>
              <w:fldChar w:fldCharType="end"/>
            </w:r>
          </w:hyperlink>
        </w:p>
        <w:p w14:paraId="400AAA66" w14:textId="61D7523D" w:rsidR="002B2A3E" w:rsidRDefault="006D7FD6">
          <w:pPr>
            <w:pStyle w:val="TOC1"/>
            <w:rPr>
              <w:rFonts w:asciiTheme="minorHAnsi" w:eastAsiaTheme="minorEastAsia" w:hAnsiTheme="minorHAnsi" w:cstheme="minorBidi"/>
              <w:noProof/>
              <w:lang w:val="es-ES"/>
            </w:rPr>
          </w:pPr>
          <w:hyperlink w:anchor="_Toc96772456" w:history="1">
            <w:r w:rsidR="002B2A3E" w:rsidRPr="00693298">
              <w:rPr>
                <w:rStyle w:val="Hyperlink"/>
                <w:noProof/>
              </w:rPr>
              <w:t>1.</w:t>
            </w:r>
            <w:r w:rsidR="002B2A3E">
              <w:rPr>
                <w:rFonts w:asciiTheme="minorHAnsi" w:eastAsiaTheme="minorEastAsia" w:hAnsiTheme="minorHAnsi" w:cstheme="minorBidi"/>
                <w:noProof/>
                <w:lang w:val="es-ES"/>
              </w:rPr>
              <w:tab/>
            </w:r>
            <w:r w:rsidR="002B2A3E" w:rsidRPr="00693298">
              <w:rPr>
                <w:rStyle w:val="Hyperlink"/>
                <w:noProof/>
              </w:rPr>
              <w:t>Executive Summary</w:t>
            </w:r>
            <w:r w:rsidR="002B2A3E">
              <w:rPr>
                <w:noProof/>
                <w:webHidden/>
              </w:rPr>
              <w:tab/>
            </w:r>
            <w:r w:rsidR="002B2A3E">
              <w:rPr>
                <w:noProof/>
                <w:webHidden/>
              </w:rPr>
              <w:fldChar w:fldCharType="begin"/>
            </w:r>
            <w:r w:rsidR="002B2A3E">
              <w:rPr>
                <w:noProof/>
                <w:webHidden/>
              </w:rPr>
              <w:instrText xml:space="preserve"> PAGEREF _Toc96772456 \h </w:instrText>
            </w:r>
            <w:r w:rsidR="002B2A3E">
              <w:rPr>
                <w:noProof/>
                <w:webHidden/>
              </w:rPr>
            </w:r>
            <w:r w:rsidR="002B2A3E">
              <w:rPr>
                <w:noProof/>
                <w:webHidden/>
              </w:rPr>
              <w:fldChar w:fldCharType="separate"/>
            </w:r>
            <w:r w:rsidR="002B2A3E">
              <w:rPr>
                <w:noProof/>
                <w:webHidden/>
              </w:rPr>
              <w:t>1</w:t>
            </w:r>
            <w:r w:rsidR="002B2A3E">
              <w:rPr>
                <w:noProof/>
                <w:webHidden/>
              </w:rPr>
              <w:fldChar w:fldCharType="end"/>
            </w:r>
          </w:hyperlink>
        </w:p>
        <w:p w14:paraId="7437DC6D" w14:textId="1BB94301" w:rsidR="002B2A3E" w:rsidRDefault="006D7FD6" w:rsidP="00AC41DE">
          <w:pPr>
            <w:pStyle w:val="TOC3"/>
            <w:rPr>
              <w:rFonts w:asciiTheme="minorHAnsi" w:eastAsiaTheme="minorEastAsia" w:hAnsiTheme="minorHAnsi" w:cstheme="minorBidi"/>
              <w:noProof/>
              <w:lang w:val="es-ES"/>
            </w:rPr>
          </w:pPr>
          <w:hyperlink w:anchor="_Toc96772457" w:history="1">
            <w:r w:rsidR="002B2A3E" w:rsidRPr="00693298">
              <w:rPr>
                <w:rStyle w:val="Hyperlink"/>
                <w:noProof/>
              </w:rPr>
              <w:t>1.1.  Project Summary Table</w:t>
            </w:r>
            <w:r w:rsidR="002B2A3E">
              <w:rPr>
                <w:noProof/>
                <w:webHidden/>
              </w:rPr>
              <w:tab/>
            </w:r>
            <w:r w:rsidR="002B2A3E">
              <w:rPr>
                <w:noProof/>
                <w:webHidden/>
              </w:rPr>
              <w:fldChar w:fldCharType="begin"/>
            </w:r>
            <w:r w:rsidR="002B2A3E">
              <w:rPr>
                <w:noProof/>
                <w:webHidden/>
              </w:rPr>
              <w:instrText xml:space="preserve"> PAGEREF _Toc96772457 \h </w:instrText>
            </w:r>
            <w:r w:rsidR="002B2A3E">
              <w:rPr>
                <w:noProof/>
                <w:webHidden/>
              </w:rPr>
            </w:r>
            <w:r w:rsidR="002B2A3E">
              <w:rPr>
                <w:noProof/>
                <w:webHidden/>
              </w:rPr>
              <w:fldChar w:fldCharType="separate"/>
            </w:r>
            <w:r w:rsidR="002B2A3E">
              <w:rPr>
                <w:noProof/>
                <w:webHidden/>
              </w:rPr>
              <w:t>1</w:t>
            </w:r>
            <w:r w:rsidR="002B2A3E">
              <w:rPr>
                <w:noProof/>
                <w:webHidden/>
              </w:rPr>
              <w:fldChar w:fldCharType="end"/>
            </w:r>
          </w:hyperlink>
        </w:p>
        <w:p w14:paraId="1E10257B" w14:textId="40CBF145" w:rsidR="002B2A3E" w:rsidRDefault="006D7FD6">
          <w:pPr>
            <w:pStyle w:val="TOC2"/>
            <w:tabs>
              <w:tab w:val="right" w:leader="dot" w:pos="9350"/>
            </w:tabs>
            <w:rPr>
              <w:rFonts w:asciiTheme="minorHAnsi" w:eastAsiaTheme="minorEastAsia" w:hAnsiTheme="minorHAnsi" w:cstheme="minorBidi"/>
              <w:noProof/>
              <w:lang w:val="es-ES"/>
            </w:rPr>
          </w:pPr>
          <w:hyperlink w:anchor="_Toc96772458" w:history="1">
            <w:r w:rsidR="002B2A3E" w:rsidRPr="00693298">
              <w:rPr>
                <w:rStyle w:val="Hyperlink"/>
                <w:noProof/>
              </w:rPr>
              <w:t>1.2 Project Description</w:t>
            </w:r>
            <w:r w:rsidR="002B2A3E">
              <w:rPr>
                <w:noProof/>
                <w:webHidden/>
              </w:rPr>
              <w:tab/>
            </w:r>
            <w:r w:rsidR="002B2A3E">
              <w:rPr>
                <w:noProof/>
                <w:webHidden/>
              </w:rPr>
              <w:fldChar w:fldCharType="begin"/>
            </w:r>
            <w:r w:rsidR="002B2A3E">
              <w:rPr>
                <w:noProof/>
                <w:webHidden/>
              </w:rPr>
              <w:instrText xml:space="preserve"> PAGEREF _Toc96772458 \h </w:instrText>
            </w:r>
            <w:r w:rsidR="002B2A3E">
              <w:rPr>
                <w:noProof/>
                <w:webHidden/>
              </w:rPr>
            </w:r>
            <w:r w:rsidR="002B2A3E">
              <w:rPr>
                <w:noProof/>
                <w:webHidden/>
              </w:rPr>
              <w:fldChar w:fldCharType="separate"/>
            </w:r>
            <w:r w:rsidR="002B2A3E">
              <w:rPr>
                <w:noProof/>
                <w:webHidden/>
              </w:rPr>
              <w:t>2</w:t>
            </w:r>
            <w:r w:rsidR="002B2A3E">
              <w:rPr>
                <w:noProof/>
                <w:webHidden/>
              </w:rPr>
              <w:fldChar w:fldCharType="end"/>
            </w:r>
          </w:hyperlink>
        </w:p>
        <w:p w14:paraId="6C7A981A" w14:textId="636C6935" w:rsidR="002B2A3E" w:rsidRDefault="006D7FD6">
          <w:pPr>
            <w:pStyle w:val="TOC2"/>
            <w:tabs>
              <w:tab w:val="right" w:leader="dot" w:pos="9350"/>
            </w:tabs>
            <w:rPr>
              <w:rFonts w:asciiTheme="minorHAnsi" w:eastAsiaTheme="minorEastAsia" w:hAnsiTheme="minorHAnsi" w:cstheme="minorBidi"/>
              <w:noProof/>
              <w:lang w:val="es-ES"/>
            </w:rPr>
          </w:pPr>
          <w:hyperlink w:anchor="_Toc96772459" w:history="1">
            <w:r w:rsidR="002B2A3E" w:rsidRPr="00693298">
              <w:rPr>
                <w:rStyle w:val="Hyperlink"/>
                <w:noProof/>
              </w:rPr>
              <w:t>1.3 Evaluation Ratings Summary</w:t>
            </w:r>
            <w:r w:rsidR="002B2A3E">
              <w:rPr>
                <w:noProof/>
                <w:webHidden/>
              </w:rPr>
              <w:tab/>
            </w:r>
            <w:r w:rsidR="002B2A3E">
              <w:rPr>
                <w:noProof/>
                <w:webHidden/>
              </w:rPr>
              <w:fldChar w:fldCharType="begin"/>
            </w:r>
            <w:r w:rsidR="002B2A3E">
              <w:rPr>
                <w:noProof/>
                <w:webHidden/>
              </w:rPr>
              <w:instrText xml:space="preserve"> PAGEREF _Toc96772459 \h </w:instrText>
            </w:r>
            <w:r w:rsidR="002B2A3E">
              <w:rPr>
                <w:noProof/>
                <w:webHidden/>
              </w:rPr>
            </w:r>
            <w:r w:rsidR="002B2A3E">
              <w:rPr>
                <w:noProof/>
                <w:webHidden/>
              </w:rPr>
              <w:fldChar w:fldCharType="separate"/>
            </w:r>
            <w:r w:rsidR="002B2A3E">
              <w:rPr>
                <w:noProof/>
                <w:webHidden/>
              </w:rPr>
              <w:t>3</w:t>
            </w:r>
            <w:r w:rsidR="002B2A3E">
              <w:rPr>
                <w:noProof/>
                <w:webHidden/>
              </w:rPr>
              <w:fldChar w:fldCharType="end"/>
            </w:r>
          </w:hyperlink>
        </w:p>
        <w:p w14:paraId="362A1508" w14:textId="694975CC" w:rsidR="002B2A3E" w:rsidRDefault="006D7FD6">
          <w:pPr>
            <w:pStyle w:val="TOC2"/>
            <w:tabs>
              <w:tab w:val="right" w:leader="dot" w:pos="9350"/>
            </w:tabs>
            <w:rPr>
              <w:rFonts w:asciiTheme="minorHAnsi" w:eastAsiaTheme="minorEastAsia" w:hAnsiTheme="minorHAnsi" w:cstheme="minorBidi"/>
              <w:noProof/>
              <w:lang w:val="es-ES"/>
            </w:rPr>
          </w:pPr>
          <w:hyperlink w:anchor="_Toc96772460" w:history="1">
            <w:r w:rsidR="002B2A3E" w:rsidRPr="00693298">
              <w:rPr>
                <w:rStyle w:val="Hyperlink"/>
                <w:noProof/>
              </w:rPr>
              <w:t>1.5 Recommendations Summary</w:t>
            </w:r>
            <w:r w:rsidR="002B2A3E">
              <w:rPr>
                <w:noProof/>
                <w:webHidden/>
              </w:rPr>
              <w:tab/>
            </w:r>
            <w:r w:rsidR="002B2A3E">
              <w:rPr>
                <w:noProof/>
                <w:webHidden/>
              </w:rPr>
              <w:fldChar w:fldCharType="begin"/>
            </w:r>
            <w:r w:rsidR="002B2A3E">
              <w:rPr>
                <w:noProof/>
                <w:webHidden/>
              </w:rPr>
              <w:instrText xml:space="preserve"> PAGEREF _Toc96772460 \h </w:instrText>
            </w:r>
            <w:r w:rsidR="002B2A3E">
              <w:rPr>
                <w:noProof/>
                <w:webHidden/>
              </w:rPr>
            </w:r>
            <w:r w:rsidR="002B2A3E">
              <w:rPr>
                <w:noProof/>
                <w:webHidden/>
              </w:rPr>
              <w:fldChar w:fldCharType="separate"/>
            </w:r>
            <w:r w:rsidR="002B2A3E">
              <w:rPr>
                <w:noProof/>
                <w:webHidden/>
              </w:rPr>
              <w:t>8</w:t>
            </w:r>
            <w:r w:rsidR="002B2A3E">
              <w:rPr>
                <w:noProof/>
                <w:webHidden/>
              </w:rPr>
              <w:fldChar w:fldCharType="end"/>
            </w:r>
          </w:hyperlink>
        </w:p>
        <w:p w14:paraId="0775A9DA" w14:textId="01B9ED45" w:rsidR="002B2A3E" w:rsidRDefault="006D7FD6">
          <w:pPr>
            <w:pStyle w:val="TOC1"/>
            <w:rPr>
              <w:rFonts w:asciiTheme="minorHAnsi" w:eastAsiaTheme="minorEastAsia" w:hAnsiTheme="minorHAnsi" w:cstheme="minorBidi"/>
              <w:noProof/>
              <w:lang w:val="es-ES"/>
            </w:rPr>
          </w:pPr>
          <w:hyperlink w:anchor="_Toc96772461" w:history="1">
            <w:r w:rsidR="002B2A3E" w:rsidRPr="00693298">
              <w:rPr>
                <w:rStyle w:val="Hyperlink"/>
                <w:noProof/>
              </w:rPr>
              <w:t>2.</w:t>
            </w:r>
            <w:r w:rsidR="002B2A3E">
              <w:rPr>
                <w:rFonts w:asciiTheme="minorHAnsi" w:eastAsiaTheme="minorEastAsia" w:hAnsiTheme="minorHAnsi" w:cstheme="minorBidi"/>
                <w:noProof/>
                <w:lang w:val="es-ES"/>
              </w:rPr>
              <w:tab/>
            </w:r>
            <w:r w:rsidR="002B2A3E" w:rsidRPr="00693298">
              <w:rPr>
                <w:rStyle w:val="Hyperlink"/>
                <w:rFonts w:cstheme="minorHAnsi"/>
                <w:noProof/>
              </w:rPr>
              <w:t>Introduction</w:t>
            </w:r>
            <w:r w:rsidR="002B2A3E">
              <w:rPr>
                <w:noProof/>
                <w:webHidden/>
              </w:rPr>
              <w:tab/>
            </w:r>
            <w:r w:rsidR="002B2A3E">
              <w:rPr>
                <w:noProof/>
                <w:webHidden/>
              </w:rPr>
              <w:fldChar w:fldCharType="begin"/>
            </w:r>
            <w:r w:rsidR="002B2A3E">
              <w:rPr>
                <w:noProof/>
                <w:webHidden/>
              </w:rPr>
              <w:instrText xml:space="preserve"> PAGEREF _Toc96772461 \h </w:instrText>
            </w:r>
            <w:r w:rsidR="002B2A3E">
              <w:rPr>
                <w:noProof/>
                <w:webHidden/>
              </w:rPr>
            </w:r>
            <w:r w:rsidR="002B2A3E">
              <w:rPr>
                <w:noProof/>
                <w:webHidden/>
              </w:rPr>
              <w:fldChar w:fldCharType="separate"/>
            </w:r>
            <w:r w:rsidR="002B2A3E">
              <w:rPr>
                <w:noProof/>
                <w:webHidden/>
              </w:rPr>
              <w:t>10</w:t>
            </w:r>
            <w:r w:rsidR="002B2A3E">
              <w:rPr>
                <w:noProof/>
                <w:webHidden/>
              </w:rPr>
              <w:fldChar w:fldCharType="end"/>
            </w:r>
          </w:hyperlink>
        </w:p>
        <w:p w14:paraId="4801D0C9" w14:textId="112E6142" w:rsidR="002B2A3E" w:rsidRDefault="006D7FD6">
          <w:pPr>
            <w:pStyle w:val="TOC2"/>
            <w:tabs>
              <w:tab w:val="right" w:leader="dot" w:pos="9350"/>
            </w:tabs>
            <w:rPr>
              <w:rFonts w:asciiTheme="minorHAnsi" w:eastAsiaTheme="minorEastAsia" w:hAnsiTheme="minorHAnsi" w:cstheme="minorBidi"/>
              <w:noProof/>
              <w:lang w:val="es-ES"/>
            </w:rPr>
          </w:pPr>
          <w:hyperlink w:anchor="_Toc96772462" w:history="1">
            <w:r w:rsidR="002B2A3E" w:rsidRPr="00693298">
              <w:rPr>
                <w:rStyle w:val="Hyperlink"/>
                <w:noProof/>
              </w:rPr>
              <w:t>2.1 Purpose, Objective, and Scope of the Terminal Evaluation</w:t>
            </w:r>
            <w:r w:rsidR="002B2A3E">
              <w:rPr>
                <w:noProof/>
                <w:webHidden/>
              </w:rPr>
              <w:tab/>
            </w:r>
            <w:r w:rsidR="002B2A3E">
              <w:rPr>
                <w:noProof/>
                <w:webHidden/>
              </w:rPr>
              <w:fldChar w:fldCharType="begin"/>
            </w:r>
            <w:r w:rsidR="002B2A3E">
              <w:rPr>
                <w:noProof/>
                <w:webHidden/>
              </w:rPr>
              <w:instrText xml:space="preserve"> PAGEREF _Toc96772462 \h </w:instrText>
            </w:r>
            <w:r w:rsidR="002B2A3E">
              <w:rPr>
                <w:noProof/>
                <w:webHidden/>
              </w:rPr>
            </w:r>
            <w:r w:rsidR="002B2A3E">
              <w:rPr>
                <w:noProof/>
                <w:webHidden/>
              </w:rPr>
              <w:fldChar w:fldCharType="separate"/>
            </w:r>
            <w:r w:rsidR="002B2A3E">
              <w:rPr>
                <w:noProof/>
                <w:webHidden/>
              </w:rPr>
              <w:t>10</w:t>
            </w:r>
            <w:r w:rsidR="002B2A3E">
              <w:rPr>
                <w:noProof/>
                <w:webHidden/>
              </w:rPr>
              <w:fldChar w:fldCharType="end"/>
            </w:r>
          </w:hyperlink>
        </w:p>
        <w:p w14:paraId="08B37887" w14:textId="5853F77F" w:rsidR="002B2A3E" w:rsidRDefault="006D7FD6">
          <w:pPr>
            <w:pStyle w:val="TOC2"/>
            <w:tabs>
              <w:tab w:val="right" w:leader="dot" w:pos="9350"/>
            </w:tabs>
            <w:rPr>
              <w:rFonts w:asciiTheme="minorHAnsi" w:eastAsiaTheme="minorEastAsia" w:hAnsiTheme="minorHAnsi" w:cstheme="minorBidi"/>
              <w:noProof/>
              <w:lang w:val="es-ES"/>
            </w:rPr>
          </w:pPr>
          <w:hyperlink w:anchor="_Toc96772463" w:history="1">
            <w:r w:rsidR="002B2A3E" w:rsidRPr="00693298">
              <w:rPr>
                <w:rStyle w:val="Hyperlink"/>
                <w:noProof/>
              </w:rPr>
              <w:t>2.2 Methodology</w:t>
            </w:r>
            <w:r w:rsidR="002B2A3E">
              <w:rPr>
                <w:noProof/>
                <w:webHidden/>
              </w:rPr>
              <w:tab/>
            </w:r>
            <w:r w:rsidR="002B2A3E">
              <w:rPr>
                <w:noProof/>
                <w:webHidden/>
              </w:rPr>
              <w:fldChar w:fldCharType="begin"/>
            </w:r>
            <w:r w:rsidR="002B2A3E">
              <w:rPr>
                <w:noProof/>
                <w:webHidden/>
              </w:rPr>
              <w:instrText xml:space="preserve"> PAGEREF _Toc96772463 \h </w:instrText>
            </w:r>
            <w:r w:rsidR="002B2A3E">
              <w:rPr>
                <w:noProof/>
                <w:webHidden/>
              </w:rPr>
            </w:r>
            <w:r w:rsidR="002B2A3E">
              <w:rPr>
                <w:noProof/>
                <w:webHidden/>
              </w:rPr>
              <w:fldChar w:fldCharType="separate"/>
            </w:r>
            <w:r w:rsidR="002B2A3E">
              <w:rPr>
                <w:noProof/>
                <w:webHidden/>
              </w:rPr>
              <w:t>11</w:t>
            </w:r>
            <w:r w:rsidR="002B2A3E">
              <w:rPr>
                <w:noProof/>
                <w:webHidden/>
              </w:rPr>
              <w:fldChar w:fldCharType="end"/>
            </w:r>
          </w:hyperlink>
        </w:p>
        <w:p w14:paraId="68238DC9" w14:textId="2B6B29B6" w:rsidR="002B2A3E" w:rsidRDefault="006D7FD6">
          <w:pPr>
            <w:pStyle w:val="TOC2"/>
            <w:tabs>
              <w:tab w:val="right" w:leader="dot" w:pos="9350"/>
            </w:tabs>
            <w:rPr>
              <w:rFonts w:asciiTheme="minorHAnsi" w:eastAsiaTheme="minorEastAsia" w:hAnsiTheme="minorHAnsi" w:cstheme="minorBidi"/>
              <w:noProof/>
              <w:lang w:val="es-ES"/>
            </w:rPr>
          </w:pPr>
          <w:hyperlink w:anchor="_Toc96772464" w:history="1">
            <w:r w:rsidR="002B2A3E" w:rsidRPr="00693298">
              <w:rPr>
                <w:rStyle w:val="Hyperlink"/>
                <w:noProof/>
              </w:rPr>
              <w:t>2.3 Ethics</w:t>
            </w:r>
            <w:r w:rsidR="002B2A3E">
              <w:rPr>
                <w:noProof/>
                <w:webHidden/>
              </w:rPr>
              <w:tab/>
            </w:r>
            <w:r w:rsidR="002B2A3E">
              <w:rPr>
                <w:noProof/>
                <w:webHidden/>
              </w:rPr>
              <w:fldChar w:fldCharType="begin"/>
            </w:r>
            <w:r w:rsidR="002B2A3E">
              <w:rPr>
                <w:noProof/>
                <w:webHidden/>
              </w:rPr>
              <w:instrText xml:space="preserve"> PAGEREF _Toc96772464 \h </w:instrText>
            </w:r>
            <w:r w:rsidR="002B2A3E">
              <w:rPr>
                <w:noProof/>
                <w:webHidden/>
              </w:rPr>
            </w:r>
            <w:r w:rsidR="002B2A3E">
              <w:rPr>
                <w:noProof/>
                <w:webHidden/>
              </w:rPr>
              <w:fldChar w:fldCharType="separate"/>
            </w:r>
            <w:r w:rsidR="002B2A3E">
              <w:rPr>
                <w:noProof/>
                <w:webHidden/>
              </w:rPr>
              <w:t>12</w:t>
            </w:r>
            <w:r w:rsidR="002B2A3E">
              <w:rPr>
                <w:noProof/>
                <w:webHidden/>
              </w:rPr>
              <w:fldChar w:fldCharType="end"/>
            </w:r>
          </w:hyperlink>
        </w:p>
        <w:p w14:paraId="37034172" w14:textId="772B7751" w:rsidR="002B2A3E" w:rsidRDefault="006D7FD6">
          <w:pPr>
            <w:pStyle w:val="TOC2"/>
            <w:tabs>
              <w:tab w:val="right" w:leader="dot" w:pos="9350"/>
            </w:tabs>
            <w:rPr>
              <w:rFonts w:asciiTheme="minorHAnsi" w:eastAsiaTheme="minorEastAsia" w:hAnsiTheme="minorHAnsi" w:cstheme="minorBidi"/>
              <w:noProof/>
              <w:lang w:val="es-ES"/>
            </w:rPr>
          </w:pPr>
          <w:hyperlink w:anchor="_Toc96772465" w:history="1">
            <w:r w:rsidR="002B2A3E" w:rsidRPr="00693298">
              <w:rPr>
                <w:rStyle w:val="Hyperlink"/>
                <w:noProof/>
              </w:rPr>
              <w:t>2.4 Limitations to the Evaluation</w:t>
            </w:r>
            <w:r w:rsidR="002B2A3E">
              <w:rPr>
                <w:noProof/>
                <w:webHidden/>
              </w:rPr>
              <w:tab/>
            </w:r>
            <w:r w:rsidR="002B2A3E">
              <w:rPr>
                <w:noProof/>
                <w:webHidden/>
              </w:rPr>
              <w:fldChar w:fldCharType="begin"/>
            </w:r>
            <w:r w:rsidR="002B2A3E">
              <w:rPr>
                <w:noProof/>
                <w:webHidden/>
              </w:rPr>
              <w:instrText xml:space="preserve"> PAGEREF _Toc96772465 \h </w:instrText>
            </w:r>
            <w:r w:rsidR="002B2A3E">
              <w:rPr>
                <w:noProof/>
                <w:webHidden/>
              </w:rPr>
            </w:r>
            <w:r w:rsidR="002B2A3E">
              <w:rPr>
                <w:noProof/>
                <w:webHidden/>
              </w:rPr>
              <w:fldChar w:fldCharType="separate"/>
            </w:r>
            <w:r w:rsidR="002B2A3E">
              <w:rPr>
                <w:noProof/>
                <w:webHidden/>
              </w:rPr>
              <w:t>12</w:t>
            </w:r>
            <w:r w:rsidR="002B2A3E">
              <w:rPr>
                <w:noProof/>
                <w:webHidden/>
              </w:rPr>
              <w:fldChar w:fldCharType="end"/>
            </w:r>
          </w:hyperlink>
        </w:p>
        <w:p w14:paraId="12F27BB2" w14:textId="22E9CCCC" w:rsidR="002B2A3E" w:rsidRDefault="006D7FD6">
          <w:pPr>
            <w:pStyle w:val="TOC2"/>
            <w:tabs>
              <w:tab w:val="right" w:leader="dot" w:pos="9350"/>
            </w:tabs>
            <w:rPr>
              <w:rFonts w:asciiTheme="minorHAnsi" w:eastAsiaTheme="minorEastAsia" w:hAnsiTheme="minorHAnsi" w:cstheme="minorBidi"/>
              <w:noProof/>
              <w:lang w:val="es-ES"/>
            </w:rPr>
          </w:pPr>
          <w:hyperlink w:anchor="_Toc96772466" w:history="1">
            <w:r w:rsidR="002B2A3E" w:rsidRPr="00693298">
              <w:rPr>
                <w:rStyle w:val="Hyperlink"/>
                <w:rFonts w:eastAsia="Times New Roman"/>
                <w:noProof/>
              </w:rPr>
              <w:t>2.5 Structure of the TE</w:t>
            </w:r>
            <w:r w:rsidR="002B2A3E" w:rsidRPr="00693298">
              <w:rPr>
                <w:rStyle w:val="Hyperlink"/>
                <w:rFonts w:eastAsia="Times New Roman"/>
                <w:noProof/>
                <w:spacing w:val="-2"/>
              </w:rPr>
              <w:t xml:space="preserve"> </w:t>
            </w:r>
            <w:r w:rsidR="002B2A3E" w:rsidRPr="00693298">
              <w:rPr>
                <w:rStyle w:val="Hyperlink"/>
                <w:rFonts w:eastAsia="Times New Roman"/>
                <w:noProof/>
              </w:rPr>
              <w:t>report</w:t>
            </w:r>
            <w:r w:rsidR="002B2A3E">
              <w:rPr>
                <w:noProof/>
                <w:webHidden/>
              </w:rPr>
              <w:tab/>
            </w:r>
            <w:r w:rsidR="002B2A3E">
              <w:rPr>
                <w:noProof/>
                <w:webHidden/>
              </w:rPr>
              <w:fldChar w:fldCharType="begin"/>
            </w:r>
            <w:r w:rsidR="002B2A3E">
              <w:rPr>
                <w:noProof/>
                <w:webHidden/>
              </w:rPr>
              <w:instrText xml:space="preserve"> PAGEREF _Toc96772466 \h </w:instrText>
            </w:r>
            <w:r w:rsidR="002B2A3E">
              <w:rPr>
                <w:noProof/>
                <w:webHidden/>
              </w:rPr>
            </w:r>
            <w:r w:rsidR="002B2A3E">
              <w:rPr>
                <w:noProof/>
                <w:webHidden/>
              </w:rPr>
              <w:fldChar w:fldCharType="separate"/>
            </w:r>
            <w:r w:rsidR="002B2A3E">
              <w:rPr>
                <w:noProof/>
                <w:webHidden/>
              </w:rPr>
              <w:t>13</w:t>
            </w:r>
            <w:r w:rsidR="002B2A3E">
              <w:rPr>
                <w:noProof/>
                <w:webHidden/>
              </w:rPr>
              <w:fldChar w:fldCharType="end"/>
            </w:r>
          </w:hyperlink>
        </w:p>
        <w:p w14:paraId="7B8027DD" w14:textId="02326ABB" w:rsidR="002B2A3E" w:rsidRDefault="006D7FD6">
          <w:pPr>
            <w:pStyle w:val="TOC1"/>
            <w:rPr>
              <w:rFonts w:asciiTheme="minorHAnsi" w:eastAsiaTheme="minorEastAsia" w:hAnsiTheme="minorHAnsi" w:cstheme="minorBidi"/>
              <w:noProof/>
              <w:lang w:val="es-ES"/>
            </w:rPr>
          </w:pPr>
          <w:hyperlink w:anchor="_Toc96772467" w:history="1">
            <w:r w:rsidR="002B2A3E" w:rsidRPr="00693298">
              <w:rPr>
                <w:rStyle w:val="Hyperlink"/>
                <w:noProof/>
              </w:rPr>
              <w:t>3.</w:t>
            </w:r>
            <w:r w:rsidR="002B2A3E">
              <w:rPr>
                <w:rFonts w:asciiTheme="minorHAnsi" w:eastAsiaTheme="minorEastAsia" w:hAnsiTheme="minorHAnsi" w:cstheme="minorBidi"/>
                <w:noProof/>
                <w:lang w:val="es-ES"/>
              </w:rPr>
              <w:tab/>
            </w:r>
            <w:r w:rsidR="002B2A3E" w:rsidRPr="00693298">
              <w:rPr>
                <w:rStyle w:val="Hyperlink"/>
                <w:rFonts w:cstheme="minorHAnsi"/>
                <w:noProof/>
              </w:rPr>
              <w:t>Project</w:t>
            </w:r>
            <w:r w:rsidR="002B2A3E" w:rsidRPr="00693298">
              <w:rPr>
                <w:rStyle w:val="Hyperlink"/>
                <w:noProof/>
              </w:rPr>
              <w:t xml:space="preserve"> </w:t>
            </w:r>
            <w:r w:rsidR="002B2A3E" w:rsidRPr="00693298">
              <w:rPr>
                <w:rStyle w:val="Hyperlink"/>
                <w:rFonts w:cstheme="minorHAnsi"/>
                <w:noProof/>
              </w:rPr>
              <w:t>Description</w:t>
            </w:r>
            <w:r w:rsidR="002B2A3E">
              <w:rPr>
                <w:noProof/>
                <w:webHidden/>
              </w:rPr>
              <w:tab/>
            </w:r>
            <w:r w:rsidR="002B2A3E">
              <w:rPr>
                <w:noProof/>
                <w:webHidden/>
              </w:rPr>
              <w:fldChar w:fldCharType="begin"/>
            </w:r>
            <w:r w:rsidR="002B2A3E">
              <w:rPr>
                <w:noProof/>
                <w:webHidden/>
              </w:rPr>
              <w:instrText xml:space="preserve"> PAGEREF _Toc96772467 \h </w:instrText>
            </w:r>
            <w:r w:rsidR="002B2A3E">
              <w:rPr>
                <w:noProof/>
                <w:webHidden/>
              </w:rPr>
            </w:r>
            <w:r w:rsidR="002B2A3E">
              <w:rPr>
                <w:noProof/>
                <w:webHidden/>
              </w:rPr>
              <w:fldChar w:fldCharType="separate"/>
            </w:r>
            <w:r w:rsidR="002B2A3E">
              <w:rPr>
                <w:noProof/>
                <w:webHidden/>
              </w:rPr>
              <w:t>13</w:t>
            </w:r>
            <w:r w:rsidR="002B2A3E">
              <w:rPr>
                <w:noProof/>
                <w:webHidden/>
              </w:rPr>
              <w:fldChar w:fldCharType="end"/>
            </w:r>
          </w:hyperlink>
        </w:p>
        <w:p w14:paraId="7E863F12" w14:textId="41513F87" w:rsidR="002B2A3E" w:rsidRDefault="006D7FD6">
          <w:pPr>
            <w:pStyle w:val="TOC2"/>
            <w:tabs>
              <w:tab w:val="left" w:pos="880"/>
              <w:tab w:val="right" w:leader="dot" w:pos="9350"/>
            </w:tabs>
            <w:rPr>
              <w:rFonts w:asciiTheme="minorHAnsi" w:eastAsiaTheme="minorEastAsia" w:hAnsiTheme="minorHAnsi" w:cstheme="minorBidi"/>
              <w:noProof/>
              <w:lang w:val="es-ES"/>
            </w:rPr>
          </w:pPr>
          <w:hyperlink w:anchor="_Toc96772468" w:history="1">
            <w:r w:rsidR="002B2A3E" w:rsidRPr="00693298">
              <w:rPr>
                <w:rStyle w:val="Hyperlink"/>
                <w:noProof/>
              </w:rPr>
              <w:t>3.1</w:t>
            </w:r>
            <w:r w:rsidR="002B2A3E">
              <w:rPr>
                <w:rFonts w:asciiTheme="minorHAnsi" w:eastAsiaTheme="minorEastAsia" w:hAnsiTheme="minorHAnsi" w:cstheme="minorBidi"/>
                <w:noProof/>
                <w:lang w:val="es-ES"/>
              </w:rPr>
              <w:tab/>
            </w:r>
            <w:r w:rsidR="002B2A3E" w:rsidRPr="00693298">
              <w:rPr>
                <w:rStyle w:val="Hyperlink"/>
                <w:noProof/>
              </w:rPr>
              <w:t>Project Start and Duration</w:t>
            </w:r>
            <w:r w:rsidR="002B2A3E">
              <w:rPr>
                <w:noProof/>
                <w:webHidden/>
              </w:rPr>
              <w:tab/>
            </w:r>
            <w:r w:rsidR="002B2A3E">
              <w:rPr>
                <w:noProof/>
                <w:webHidden/>
              </w:rPr>
              <w:fldChar w:fldCharType="begin"/>
            </w:r>
            <w:r w:rsidR="002B2A3E">
              <w:rPr>
                <w:noProof/>
                <w:webHidden/>
              </w:rPr>
              <w:instrText xml:space="preserve"> PAGEREF _Toc96772468 \h </w:instrText>
            </w:r>
            <w:r w:rsidR="002B2A3E">
              <w:rPr>
                <w:noProof/>
                <w:webHidden/>
              </w:rPr>
            </w:r>
            <w:r w:rsidR="002B2A3E">
              <w:rPr>
                <w:noProof/>
                <w:webHidden/>
              </w:rPr>
              <w:fldChar w:fldCharType="separate"/>
            </w:r>
            <w:r w:rsidR="002B2A3E">
              <w:rPr>
                <w:noProof/>
                <w:webHidden/>
              </w:rPr>
              <w:t>13</w:t>
            </w:r>
            <w:r w:rsidR="002B2A3E">
              <w:rPr>
                <w:noProof/>
                <w:webHidden/>
              </w:rPr>
              <w:fldChar w:fldCharType="end"/>
            </w:r>
          </w:hyperlink>
        </w:p>
        <w:p w14:paraId="7F2E840E" w14:textId="640BFDAB" w:rsidR="002B2A3E" w:rsidRDefault="006D7FD6">
          <w:pPr>
            <w:pStyle w:val="TOC2"/>
            <w:tabs>
              <w:tab w:val="right" w:leader="dot" w:pos="9350"/>
            </w:tabs>
            <w:rPr>
              <w:rFonts w:asciiTheme="minorHAnsi" w:eastAsiaTheme="minorEastAsia" w:hAnsiTheme="minorHAnsi" w:cstheme="minorBidi"/>
              <w:noProof/>
              <w:lang w:val="es-ES"/>
            </w:rPr>
          </w:pPr>
          <w:hyperlink w:anchor="_Toc96772469" w:history="1">
            <w:r w:rsidR="002B2A3E" w:rsidRPr="00693298">
              <w:rPr>
                <w:rStyle w:val="Hyperlink"/>
                <w:noProof/>
              </w:rPr>
              <w:t>3.2 Development Context</w:t>
            </w:r>
            <w:r w:rsidR="002B2A3E">
              <w:rPr>
                <w:noProof/>
                <w:webHidden/>
              </w:rPr>
              <w:tab/>
            </w:r>
            <w:r w:rsidR="002B2A3E">
              <w:rPr>
                <w:noProof/>
                <w:webHidden/>
              </w:rPr>
              <w:fldChar w:fldCharType="begin"/>
            </w:r>
            <w:r w:rsidR="002B2A3E">
              <w:rPr>
                <w:noProof/>
                <w:webHidden/>
              </w:rPr>
              <w:instrText xml:space="preserve"> PAGEREF _Toc96772469 \h </w:instrText>
            </w:r>
            <w:r w:rsidR="002B2A3E">
              <w:rPr>
                <w:noProof/>
                <w:webHidden/>
              </w:rPr>
            </w:r>
            <w:r w:rsidR="002B2A3E">
              <w:rPr>
                <w:noProof/>
                <w:webHidden/>
              </w:rPr>
              <w:fldChar w:fldCharType="separate"/>
            </w:r>
            <w:r w:rsidR="002B2A3E">
              <w:rPr>
                <w:noProof/>
                <w:webHidden/>
              </w:rPr>
              <w:t>13</w:t>
            </w:r>
            <w:r w:rsidR="002B2A3E">
              <w:rPr>
                <w:noProof/>
                <w:webHidden/>
              </w:rPr>
              <w:fldChar w:fldCharType="end"/>
            </w:r>
          </w:hyperlink>
        </w:p>
        <w:p w14:paraId="368D0A4B" w14:textId="2A2092E6" w:rsidR="002B2A3E" w:rsidRDefault="006D7FD6">
          <w:pPr>
            <w:pStyle w:val="TOC2"/>
            <w:tabs>
              <w:tab w:val="right" w:leader="dot" w:pos="9350"/>
            </w:tabs>
            <w:rPr>
              <w:rFonts w:asciiTheme="minorHAnsi" w:eastAsiaTheme="minorEastAsia" w:hAnsiTheme="minorHAnsi" w:cstheme="minorBidi"/>
              <w:noProof/>
              <w:lang w:val="es-ES"/>
            </w:rPr>
          </w:pPr>
          <w:hyperlink w:anchor="_Toc96772470" w:history="1">
            <w:r w:rsidR="002B2A3E" w:rsidRPr="00693298">
              <w:rPr>
                <w:rStyle w:val="Hyperlink"/>
                <w:noProof/>
              </w:rPr>
              <w:t>3.3 Problems that the Project sought to address, threats and barriers targeted</w:t>
            </w:r>
            <w:r w:rsidR="002B2A3E">
              <w:rPr>
                <w:noProof/>
                <w:webHidden/>
              </w:rPr>
              <w:tab/>
            </w:r>
            <w:r w:rsidR="002B2A3E">
              <w:rPr>
                <w:noProof/>
                <w:webHidden/>
              </w:rPr>
              <w:fldChar w:fldCharType="begin"/>
            </w:r>
            <w:r w:rsidR="002B2A3E">
              <w:rPr>
                <w:noProof/>
                <w:webHidden/>
              </w:rPr>
              <w:instrText xml:space="preserve"> PAGEREF _Toc96772470 \h </w:instrText>
            </w:r>
            <w:r w:rsidR="002B2A3E">
              <w:rPr>
                <w:noProof/>
                <w:webHidden/>
              </w:rPr>
            </w:r>
            <w:r w:rsidR="002B2A3E">
              <w:rPr>
                <w:noProof/>
                <w:webHidden/>
              </w:rPr>
              <w:fldChar w:fldCharType="separate"/>
            </w:r>
            <w:r w:rsidR="002B2A3E">
              <w:rPr>
                <w:noProof/>
                <w:webHidden/>
              </w:rPr>
              <w:t>14</w:t>
            </w:r>
            <w:r w:rsidR="002B2A3E">
              <w:rPr>
                <w:noProof/>
                <w:webHidden/>
              </w:rPr>
              <w:fldChar w:fldCharType="end"/>
            </w:r>
          </w:hyperlink>
        </w:p>
        <w:p w14:paraId="5BD0A6CD" w14:textId="441E100A" w:rsidR="002B2A3E" w:rsidRDefault="006D7FD6">
          <w:pPr>
            <w:pStyle w:val="TOC2"/>
            <w:tabs>
              <w:tab w:val="right" w:leader="dot" w:pos="9350"/>
            </w:tabs>
            <w:rPr>
              <w:rFonts w:asciiTheme="minorHAnsi" w:eastAsiaTheme="minorEastAsia" w:hAnsiTheme="minorHAnsi" w:cstheme="minorBidi"/>
              <w:noProof/>
              <w:lang w:val="es-ES"/>
            </w:rPr>
          </w:pPr>
          <w:hyperlink w:anchor="_Toc96772471" w:history="1">
            <w:r w:rsidR="002B2A3E" w:rsidRPr="00693298">
              <w:rPr>
                <w:rStyle w:val="Hyperlink"/>
                <w:noProof/>
              </w:rPr>
              <w:t>3.4 Immediate and Development Objectives of the Project</w:t>
            </w:r>
            <w:r w:rsidR="002B2A3E">
              <w:rPr>
                <w:noProof/>
                <w:webHidden/>
              </w:rPr>
              <w:tab/>
            </w:r>
            <w:r w:rsidR="002B2A3E">
              <w:rPr>
                <w:noProof/>
                <w:webHidden/>
              </w:rPr>
              <w:fldChar w:fldCharType="begin"/>
            </w:r>
            <w:r w:rsidR="002B2A3E">
              <w:rPr>
                <w:noProof/>
                <w:webHidden/>
              </w:rPr>
              <w:instrText xml:space="preserve"> PAGEREF _Toc96772471 \h </w:instrText>
            </w:r>
            <w:r w:rsidR="002B2A3E">
              <w:rPr>
                <w:noProof/>
                <w:webHidden/>
              </w:rPr>
            </w:r>
            <w:r w:rsidR="002B2A3E">
              <w:rPr>
                <w:noProof/>
                <w:webHidden/>
              </w:rPr>
              <w:fldChar w:fldCharType="separate"/>
            </w:r>
            <w:r w:rsidR="002B2A3E">
              <w:rPr>
                <w:noProof/>
                <w:webHidden/>
              </w:rPr>
              <w:t>14</w:t>
            </w:r>
            <w:r w:rsidR="002B2A3E">
              <w:rPr>
                <w:noProof/>
                <w:webHidden/>
              </w:rPr>
              <w:fldChar w:fldCharType="end"/>
            </w:r>
          </w:hyperlink>
        </w:p>
        <w:p w14:paraId="6E9BF238" w14:textId="6C04E5B2" w:rsidR="002B2A3E" w:rsidRDefault="006D7FD6">
          <w:pPr>
            <w:pStyle w:val="TOC2"/>
            <w:tabs>
              <w:tab w:val="right" w:leader="dot" w:pos="9350"/>
            </w:tabs>
            <w:rPr>
              <w:rFonts w:asciiTheme="minorHAnsi" w:eastAsiaTheme="minorEastAsia" w:hAnsiTheme="minorHAnsi" w:cstheme="minorBidi"/>
              <w:noProof/>
              <w:lang w:val="es-ES"/>
            </w:rPr>
          </w:pPr>
          <w:hyperlink w:anchor="_Toc96772472" w:history="1">
            <w:r w:rsidR="002B2A3E" w:rsidRPr="00693298">
              <w:rPr>
                <w:rStyle w:val="Hyperlink"/>
                <w:noProof/>
              </w:rPr>
              <w:t>3.5 Expected Results</w:t>
            </w:r>
            <w:r w:rsidR="002B2A3E">
              <w:rPr>
                <w:noProof/>
                <w:webHidden/>
              </w:rPr>
              <w:tab/>
            </w:r>
            <w:r w:rsidR="002B2A3E">
              <w:rPr>
                <w:noProof/>
                <w:webHidden/>
              </w:rPr>
              <w:fldChar w:fldCharType="begin"/>
            </w:r>
            <w:r w:rsidR="002B2A3E">
              <w:rPr>
                <w:noProof/>
                <w:webHidden/>
              </w:rPr>
              <w:instrText xml:space="preserve"> PAGEREF _Toc96772472 \h </w:instrText>
            </w:r>
            <w:r w:rsidR="002B2A3E">
              <w:rPr>
                <w:noProof/>
                <w:webHidden/>
              </w:rPr>
            </w:r>
            <w:r w:rsidR="002B2A3E">
              <w:rPr>
                <w:noProof/>
                <w:webHidden/>
              </w:rPr>
              <w:fldChar w:fldCharType="separate"/>
            </w:r>
            <w:r w:rsidR="002B2A3E">
              <w:rPr>
                <w:noProof/>
                <w:webHidden/>
              </w:rPr>
              <w:t>15</w:t>
            </w:r>
            <w:r w:rsidR="002B2A3E">
              <w:rPr>
                <w:noProof/>
                <w:webHidden/>
              </w:rPr>
              <w:fldChar w:fldCharType="end"/>
            </w:r>
          </w:hyperlink>
        </w:p>
        <w:p w14:paraId="6FA82FD3" w14:textId="1DDE379D" w:rsidR="002B2A3E" w:rsidRDefault="006D7FD6">
          <w:pPr>
            <w:pStyle w:val="TOC2"/>
            <w:tabs>
              <w:tab w:val="right" w:leader="dot" w:pos="9350"/>
            </w:tabs>
            <w:rPr>
              <w:rFonts w:asciiTheme="minorHAnsi" w:eastAsiaTheme="minorEastAsia" w:hAnsiTheme="minorHAnsi" w:cstheme="minorBidi"/>
              <w:noProof/>
              <w:lang w:val="es-ES"/>
            </w:rPr>
          </w:pPr>
          <w:hyperlink w:anchor="_Toc96772473" w:history="1">
            <w:r w:rsidR="002B2A3E" w:rsidRPr="00693298">
              <w:rPr>
                <w:rStyle w:val="Hyperlink"/>
                <w:noProof/>
              </w:rPr>
              <w:t>3.6 Main Stakeholders: Summary List</w:t>
            </w:r>
            <w:r w:rsidR="002B2A3E">
              <w:rPr>
                <w:noProof/>
                <w:webHidden/>
              </w:rPr>
              <w:tab/>
            </w:r>
            <w:r w:rsidR="002B2A3E">
              <w:rPr>
                <w:noProof/>
                <w:webHidden/>
              </w:rPr>
              <w:fldChar w:fldCharType="begin"/>
            </w:r>
            <w:r w:rsidR="002B2A3E">
              <w:rPr>
                <w:noProof/>
                <w:webHidden/>
              </w:rPr>
              <w:instrText xml:space="preserve"> PAGEREF _Toc96772473 \h </w:instrText>
            </w:r>
            <w:r w:rsidR="002B2A3E">
              <w:rPr>
                <w:noProof/>
                <w:webHidden/>
              </w:rPr>
            </w:r>
            <w:r w:rsidR="002B2A3E">
              <w:rPr>
                <w:noProof/>
                <w:webHidden/>
              </w:rPr>
              <w:fldChar w:fldCharType="separate"/>
            </w:r>
            <w:r w:rsidR="002B2A3E">
              <w:rPr>
                <w:noProof/>
                <w:webHidden/>
              </w:rPr>
              <w:t>16</w:t>
            </w:r>
            <w:r w:rsidR="002B2A3E">
              <w:rPr>
                <w:noProof/>
                <w:webHidden/>
              </w:rPr>
              <w:fldChar w:fldCharType="end"/>
            </w:r>
          </w:hyperlink>
        </w:p>
        <w:p w14:paraId="223F97A2" w14:textId="67617BB5" w:rsidR="002B2A3E" w:rsidRDefault="006D7FD6">
          <w:pPr>
            <w:pStyle w:val="TOC2"/>
            <w:tabs>
              <w:tab w:val="right" w:leader="dot" w:pos="9350"/>
            </w:tabs>
            <w:rPr>
              <w:rFonts w:asciiTheme="minorHAnsi" w:eastAsiaTheme="minorEastAsia" w:hAnsiTheme="minorHAnsi" w:cstheme="minorBidi"/>
              <w:noProof/>
              <w:lang w:val="es-ES"/>
            </w:rPr>
          </w:pPr>
          <w:hyperlink w:anchor="_Toc96772474" w:history="1">
            <w:r w:rsidR="002B2A3E" w:rsidRPr="00693298">
              <w:rPr>
                <w:rStyle w:val="Hyperlink"/>
                <w:noProof/>
              </w:rPr>
              <w:t>3.7 Theory of Change</w:t>
            </w:r>
            <w:r w:rsidR="002B2A3E">
              <w:rPr>
                <w:noProof/>
                <w:webHidden/>
              </w:rPr>
              <w:tab/>
            </w:r>
            <w:r w:rsidR="002B2A3E">
              <w:rPr>
                <w:noProof/>
                <w:webHidden/>
              </w:rPr>
              <w:fldChar w:fldCharType="begin"/>
            </w:r>
            <w:r w:rsidR="002B2A3E">
              <w:rPr>
                <w:noProof/>
                <w:webHidden/>
              </w:rPr>
              <w:instrText xml:space="preserve"> PAGEREF _Toc96772474 \h </w:instrText>
            </w:r>
            <w:r w:rsidR="002B2A3E">
              <w:rPr>
                <w:noProof/>
                <w:webHidden/>
              </w:rPr>
            </w:r>
            <w:r w:rsidR="002B2A3E">
              <w:rPr>
                <w:noProof/>
                <w:webHidden/>
              </w:rPr>
              <w:fldChar w:fldCharType="separate"/>
            </w:r>
            <w:r w:rsidR="002B2A3E">
              <w:rPr>
                <w:noProof/>
                <w:webHidden/>
              </w:rPr>
              <w:t>16</w:t>
            </w:r>
            <w:r w:rsidR="002B2A3E">
              <w:rPr>
                <w:noProof/>
                <w:webHidden/>
              </w:rPr>
              <w:fldChar w:fldCharType="end"/>
            </w:r>
          </w:hyperlink>
        </w:p>
        <w:p w14:paraId="7CA8DD91" w14:textId="3DEE7089" w:rsidR="002B2A3E" w:rsidRDefault="006D7FD6">
          <w:pPr>
            <w:pStyle w:val="TOC1"/>
            <w:rPr>
              <w:rFonts w:asciiTheme="minorHAnsi" w:eastAsiaTheme="minorEastAsia" w:hAnsiTheme="minorHAnsi" w:cstheme="minorBidi"/>
              <w:noProof/>
              <w:lang w:val="es-ES"/>
            </w:rPr>
          </w:pPr>
          <w:hyperlink w:anchor="_Toc96772475" w:history="1">
            <w:r w:rsidR="002B2A3E" w:rsidRPr="00693298">
              <w:rPr>
                <w:rStyle w:val="Hyperlink"/>
                <w:noProof/>
              </w:rPr>
              <w:t>4.</w:t>
            </w:r>
            <w:r w:rsidR="002B2A3E">
              <w:rPr>
                <w:rFonts w:asciiTheme="minorHAnsi" w:eastAsiaTheme="minorEastAsia" w:hAnsiTheme="minorHAnsi" w:cstheme="minorBidi"/>
                <w:noProof/>
                <w:lang w:val="es-ES"/>
              </w:rPr>
              <w:tab/>
            </w:r>
            <w:r w:rsidR="002B2A3E" w:rsidRPr="00693298">
              <w:rPr>
                <w:rStyle w:val="Hyperlink"/>
                <w:rFonts w:cstheme="minorHAnsi"/>
                <w:noProof/>
              </w:rPr>
              <w:t>Findings</w:t>
            </w:r>
            <w:r w:rsidR="002B2A3E">
              <w:rPr>
                <w:noProof/>
                <w:webHidden/>
              </w:rPr>
              <w:tab/>
            </w:r>
            <w:r w:rsidR="002B2A3E">
              <w:rPr>
                <w:noProof/>
                <w:webHidden/>
              </w:rPr>
              <w:fldChar w:fldCharType="begin"/>
            </w:r>
            <w:r w:rsidR="002B2A3E">
              <w:rPr>
                <w:noProof/>
                <w:webHidden/>
              </w:rPr>
              <w:instrText xml:space="preserve"> PAGEREF _Toc96772475 \h </w:instrText>
            </w:r>
            <w:r w:rsidR="002B2A3E">
              <w:rPr>
                <w:noProof/>
                <w:webHidden/>
              </w:rPr>
            </w:r>
            <w:r w:rsidR="002B2A3E">
              <w:rPr>
                <w:noProof/>
                <w:webHidden/>
              </w:rPr>
              <w:fldChar w:fldCharType="separate"/>
            </w:r>
            <w:r w:rsidR="002B2A3E">
              <w:rPr>
                <w:noProof/>
                <w:webHidden/>
              </w:rPr>
              <w:t>17</w:t>
            </w:r>
            <w:r w:rsidR="002B2A3E">
              <w:rPr>
                <w:noProof/>
                <w:webHidden/>
              </w:rPr>
              <w:fldChar w:fldCharType="end"/>
            </w:r>
          </w:hyperlink>
        </w:p>
        <w:p w14:paraId="7548FAF5" w14:textId="78CD9897" w:rsidR="002B2A3E" w:rsidRDefault="006D7FD6">
          <w:pPr>
            <w:pStyle w:val="TOC2"/>
            <w:tabs>
              <w:tab w:val="right" w:leader="dot" w:pos="9350"/>
            </w:tabs>
            <w:rPr>
              <w:rFonts w:asciiTheme="minorHAnsi" w:eastAsiaTheme="minorEastAsia" w:hAnsiTheme="minorHAnsi" w:cstheme="minorBidi"/>
              <w:noProof/>
              <w:lang w:val="es-ES"/>
            </w:rPr>
          </w:pPr>
          <w:hyperlink w:anchor="_Toc96772476" w:history="1">
            <w:r w:rsidR="002B2A3E" w:rsidRPr="00693298">
              <w:rPr>
                <w:rStyle w:val="Hyperlink"/>
                <w:noProof/>
              </w:rPr>
              <w:t>4.1 Project Design/Formulation: Project Justification</w:t>
            </w:r>
            <w:r w:rsidR="002B2A3E">
              <w:rPr>
                <w:noProof/>
                <w:webHidden/>
              </w:rPr>
              <w:tab/>
            </w:r>
            <w:r w:rsidR="002B2A3E">
              <w:rPr>
                <w:noProof/>
                <w:webHidden/>
              </w:rPr>
              <w:fldChar w:fldCharType="begin"/>
            </w:r>
            <w:r w:rsidR="002B2A3E">
              <w:rPr>
                <w:noProof/>
                <w:webHidden/>
              </w:rPr>
              <w:instrText xml:space="preserve"> PAGEREF _Toc96772476 \h </w:instrText>
            </w:r>
            <w:r w:rsidR="002B2A3E">
              <w:rPr>
                <w:noProof/>
                <w:webHidden/>
              </w:rPr>
            </w:r>
            <w:r w:rsidR="002B2A3E">
              <w:rPr>
                <w:noProof/>
                <w:webHidden/>
              </w:rPr>
              <w:fldChar w:fldCharType="separate"/>
            </w:r>
            <w:r w:rsidR="002B2A3E">
              <w:rPr>
                <w:noProof/>
                <w:webHidden/>
              </w:rPr>
              <w:t>17</w:t>
            </w:r>
            <w:r w:rsidR="002B2A3E">
              <w:rPr>
                <w:noProof/>
                <w:webHidden/>
              </w:rPr>
              <w:fldChar w:fldCharType="end"/>
            </w:r>
          </w:hyperlink>
        </w:p>
        <w:p w14:paraId="0BD08FCE" w14:textId="15386AF2" w:rsidR="002B2A3E" w:rsidRDefault="006D7FD6" w:rsidP="00AC41DE">
          <w:pPr>
            <w:pStyle w:val="TOC3"/>
            <w:rPr>
              <w:rFonts w:asciiTheme="minorHAnsi" w:eastAsiaTheme="minorEastAsia" w:hAnsiTheme="minorHAnsi" w:cstheme="minorBidi"/>
              <w:noProof/>
              <w:lang w:val="es-ES"/>
            </w:rPr>
          </w:pPr>
          <w:hyperlink w:anchor="_Toc96772477" w:history="1">
            <w:r w:rsidR="002B2A3E" w:rsidRPr="00693298">
              <w:rPr>
                <w:rStyle w:val="Hyperlink"/>
                <w:noProof/>
              </w:rPr>
              <w:t>4.1.1</w:t>
            </w:r>
            <w:r w:rsidR="002B2A3E">
              <w:rPr>
                <w:rFonts w:asciiTheme="minorHAnsi" w:eastAsiaTheme="minorEastAsia" w:hAnsiTheme="minorHAnsi" w:cstheme="minorBidi"/>
                <w:noProof/>
                <w:lang w:val="es-ES"/>
              </w:rPr>
              <w:tab/>
            </w:r>
            <w:r w:rsidR="002B2A3E" w:rsidRPr="00693298">
              <w:rPr>
                <w:rStyle w:val="Hyperlink"/>
                <w:noProof/>
              </w:rPr>
              <w:t>Project Context and Justification</w:t>
            </w:r>
            <w:r w:rsidR="002B2A3E">
              <w:rPr>
                <w:noProof/>
                <w:webHidden/>
              </w:rPr>
              <w:tab/>
            </w:r>
            <w:r w:rsidR="002B2A3E">
              <w:rPr>
                <w:noProof/>
                <w:webHidden/>
              </w:rPr>
              <w:fldChar w:fldCharType="begin"/>
            </w:r>
            <w:r w:rsidR="002B2A3E">
              <w:rPr>
                <w:noProof/>
                <w:webHidden/>
              </w:rPr>
              <w:instrText xml:space="preserve"> PAGEREF _Toc96772477 \h </w:instrText>
            </w:r>
            <w:r w:rsidR="002B2A3E">
              <w:rPr>
                <w:noProof/>
                <w:webHidden/>
              </w:rPr>
            </w:r>
            <w:r w:rsidR="002B2A3E">
              <w:rPr>
                <w:noProof/>
                <w:webHidden/>
              </w:rPr>
              <w:fldChar w:fldCharType="separate"/>
            </w:r>
            <w:r w:rsidR="002B2A3E">
              <w:rPr>
                <w:noProof/>
                <w:webHidden/>
              </w:rPr>
              <w:t>17</w:t>
            </w:r>
            <w:r w:rsidR="002B2A3E">
              <w:rPr>
                <w:noProof/>
                <w:webHidden/>
              </w:rPr>
              <w:fldChar w:fldCharType="end"/>
            </w:r>
          </w:hyperlink>
        </w:p>
        <w:p w14:paraId="5B297C9E" w14:textId="416DD235" w:rsidR="002B2A3E" w:rsidRDefault="006D7FD6" w:rsidP="00AC41DE">
          <w:pPr>
            <w:pStyle w:val="TOC3"/>
            <w:rPr>
              <w:rFonts w:asciiTheme="minorHAnsi" w:eastAsiaTheme="minorEastAsia" w:hAnsiTheme="minorHAnsi" w:cstheme="minorBidi"/>
              <w:noProof/>
              <w:lang w:val="es-ES"/>
            </w:rPr>
          </w:pPr>
          <w:hyperlink w:anchor="_Toc96772478" w:history="1">
            <w:r w:rsidR="002B2A3E" w:rsidRPr="00693298">
              <w:rPr>
                <w:rStyle w:val="Hyperlink"/>
                <w:noProof/>
              </w:rPr>
              <w:t>4.1.2. Results Framework: Project Strategy, Design</w:t>
            </w:r>
            <w:r w:rsidR="002B2A3E" w:rsidRPr="00693298">
              <w:rPr>
                <w:rStyle w:val="Hyperlink"/>
                <w:b/>
                <w:bCs/>
                <w:noProof/>
              </w:rPr>
              <w:t xml:space="preserve">, </w:t>
            </w:r>
            <w:r w:rsidR="002B2A3E" w:rsidRPr="00693298">
              <w:rPr>
                <w:rStyle w:val="Hyperlink"/>
                <w:noProof/>
              </w:rPr>
              <w:t>Logic, and Indicators</w:t>
            </w:r>
            <w:r w:rsidR="002B2A3E">
              <w:rPr>
                <w:noProof/>
                <w:webHidden/>
              </w:rPr>
              <w:tab/>
            </w:r>
            <w:r w:rsidR="002B2A3E">
              <w:rPr>
                <w:noProof/>
                <w:webHidden/>
              </w:rPr>
              <w:fldChar w:fldCharType="begin"/>
            </w:r>
            <w:r w:rsidR="002B2A3E">
              <w:rPr>
                <w:noProof/>
                <w:webHidden/>
              </w:rPr>
              <w:instrText xml:space="preserve"> PAGEREF _Toc96772478 \h </w:instrText>
            </w:r>
            <w:r w:rsidR="002B2A3E">
              <w:rPr>
                <w:noProof/>
                <w:webHidden/>
              </w:rPr>
            </w:r>
            <w:r w:rsidR="002B2A3E">
              <w:rPr>
                <w:noProof/>
                <w:webHidden/>
              </w:rPr>
              <w:fldChar w:fldCharType="separate"/>
            </w:r>
            <w:r w:rsidR="002B2A3E">
              <w:rPr>
                <w:noProof/>
                <w:webHidden/>
              </w:rPr>
              <w:t>19</w:t>
            </w:r>
            <w:r w:rsidR="002B2A3E">
              <w:rPr>
                <w:noProof/>
                <w:webHidden/>
              </w:rPr>
              <w:fldChar w:fldCharType="end"/>
            </w:r>
          </w:hyperlink>
        </w:p>
        <w:p w14:paraId="619EAEBC" w14:textId="2EE352F3" w:rsidR="002B2A3E" w:rsidRDefault="006D7FD6" w:rsidP="00AC41DE">
          <w:pPr>
            <w:pStyle w:val="TOC3"/>
            <w:rPr>
              <w:rFonts w:asciiTheme="minorHAnsi" w:eastAsiaTheme="minorEastAsia" w:hAnsiTheme="minorHAnsi" w:cstheme="minorBidi"/>
              <w:noProof/>
              <w:lang w:val="es-ES"/>
            </w:rPr>
          </w:pPr>
          <w:hyperlink w:anchor="_Toc96772479" w:history="1">
            <w:r w:rsidR="002B2A3E" w:rsidRPr="00693298">
              <w:rPr>
                <w:rStyle w:val="Hyperlink"/>
                <w:noProof/>
              </w:rPr>
              <w:t>4.1.3. Assumptions and Risks</w:t>
            </w:r>
            <w:r w:rsidR="002B2A3E">
              <w:rPr>
                <w:noProof/>
                <w:webHidden/>
              </w:rPr>
              <w:tab/>
            </w:r>
            <w:r w:rsidR="002B2A3E">
              <w:rPr>
                <w:noProof/>
                <w:webHidden/>
              </w:rPr>
              <w:fldChar w:fldCharType="begin"/>
            </w:r>
            <w:r w:rsidR="002B2A3E">
              <w:rPr>
                <w:noProof/>
                <w:webHidden/>
              </w:rPr>
              <w:instrText xml:space="preserve"> PAGEREF _Toc96772479 \h </w:instrText>
            </w:r>
            <w:r w:rsidR="002B2A3E">
              <w:rPr>
                <w:noProof/>
                <w:webHidden/>
              </w:rPr>
            </w:r>
            <w:r w:rsidR="002B2A3E">
              <w:rPr>
                <w:noProof/>
                <w:webHidden/>
              </w:rPr>
              <w:fldChar w:fldCharType="separate"/>
            </w:r>
            <w:r w:rsidR="002B2A3E">
              <w:rPr>
                <w:noProof/>
                <w:webHidden/>
              </w:rPr>
              <w:t>23</w:t>
            </w:r>
            <w:r w:rsidR="002B2A3E">
              <w:rPr>
                <w:noProof/>
                <w:webHidden/>
              </w:rPr>
              <w:fldChar w:fldCharType="end"/>
            </w:r>
          </w:hyperlink>
        </w:p>
        <w:p w14:paraId="1FA24D5F" w14:textId="27FCD185" w:rsidR="002B2A3E" w:rsidRDefault="006D7FD6" w:rsidP="00AC41DE">
          <w:pPr>
            <w:pStyle w:val="TOC3"/>
            <w:rPr>
              <w:rFonts w:asciiTheme="minorHAnsi" w:eastAsiaTheme="minorEastAsia" w:hAnsiTheme="minorHAnsi" w:cstheme="minorBidi"/>
              <w:noProof/>
              <w:lang w:val="es-ES"/>
            </w:rPr>
          </w:pPr>
          <w:hyperlink w:anchor="_Toc96772480" w:history="1">
            <w:r w:rsidR="002B2A3E" w:rsidRPr="00693298">
              <w:rPr>
                <w:rStyle w:val="Hyperlink"/>
                <w:noProof/>
              </w:rPr>
              <w:t>4.1.4 Lessons from other sector-relevant projects incorporated into project design</w:t>
            </w:r>
            <w:r w:rsidR="002B2A3E">
              <w:rPr>
                <w:noProof/>
                <w:webHidden/>
              </w:rPr>
              <w:tab/>
            </w:r>
            <w:r w:rsidR="002B2A3E">
              <w:rPr>
                <w:noProof/>
                <w:webHidden/>
              </w:rPr>
              <w:fldChar w:fldCharType="begin"/>
            </w:r>
            <w:r w:rsidR="002B2A3E">
              <w:rPr>
                <w:noProof/>
                <w:webHidden/>
              </w:rPr>
              <w:instrText xml:space="preserve"> PAGEREF _Toc96772480 \h </w:instrText>
            </w:r>
            <w:r w:rsidR="002B2A3E">
              <w:rPr>
                <w:noProof/>
                <w:webHidden/>
              </w:rPr>
            </w:r>
            <w:r w:rsidR="002B2A3E">
              <w:rPr>
                <w:noProof/>
                <w:webHidden/>
              </w:rPr>
              <w:fldChar w:fldCharType="separate"/>
            </w:r>
            <w:r w:rsidR="002B2A3E">
              <w:rPr>
                <w:noProof/>
                <w:webHidden/>
              </w:rPr>
              <w:t>25</w:t>
            </w:r>
            <w:r w:rsidR="002B2A3E">
              <w:rPr>
                <w:noProof/>
                <w:webHidden/>
              </w:rPr>
              <w:fldChar w:fldCharType="end"/>
            </w:r>
          </w:hyperlink>
        </w:p>
        <w:p w14:paraId="307EFEA5" w14:textId="2909845A" w:rsidR="002B2A3E" w:rsidRDefault="006D7FD6" w:rsidP="00AC41DE">
          <w:pPr>
            <w:pStyle w:val="TOC3"/>
            <w:rPr>
              <w:rFonts w:asciiTheme="minorHAnsi" w:eastAsiaTheme="minorEastAsia" w:hAnsiTheme="minorHAnsi" w:cstheme="minorBidi"/>
              <w:noProof/>
              <w:lang w:val="es-ES"/>
            </w:rPr>
          </w:pPr>
          <w:hyperlink w:anchor="_Toc96772481" w:history="1">
            <w:r w:rsidR="002B2A3E" w:rsidRPr="00693298">
              <w:rPr>
                <w:rStyle w:val="Hyperlink"/>
                <w:noProof/>
              </w:rPr>
              <w:t>4.1.5 Planned stakeholder participation</w:t>
            </w:r>
            <w:r w:rsidR="002B2A3E">
              <w:rPr>
                <w:noProof/>
                <w:webHidden/>
              </w:rPr>
              <w:tab/>
            </w:r>
            <w:r w:rsidR="002B2A3E">
              <w:rPr>
                <w:noProof/>
                <w:webHidden/>
              </w:rPr>
              <w:fldChar w:fldCharType="begin"/>
            </w:r>
            <w:r w:rsidR="002B2A3E">
              <w:rPr>
                <w:noProof/>
                <w:webHidden/>
              </w:rPr>
              <w:instrText xml:space="preserve"> PAGEREF _Toc96772481 \h </w:instrText>
            </w:r>
            <w:r w:rsidR="002B2A3E">
              <w:rPr>
                <w:noProof/>
                <w:webHidden/>
              </w:rPr>
            </w:r>
            <w:r w:rsidR="002B2A3E">
              <w:rPr>
                <w:noProof/>
                <w:webHidden/>
              </w:rPr>
              <w:fldChar w:fldCharType="separate"/>
            </w:r>
            <w:r w:rsidR="002B2A3E">
              <w:rPr>
                <w:noProof/>
                <w:webHidden/>
              </w:rPr>
              <w:t>26</w:t>
            </w:r>
            <w:r w:rsidR="002B2A3E">
              <w:rPr>
                <w:noProof/>
                <w:webHidden/>
              </w:rPr>
              <w:fldChar w:fldCharType="end"/>
            </w:r>
          </w:hyperlink>
        </w:p>
        <w:p w14:paraId="12FBBE36" w14:textId="39750274" w:rsidR="002B2A3E" w:rsidRDefault="006D7FD6" w:rsidP="00AC41DE">
          <w:pPr>
            <w:pStyle w:val="TOC3"/>
            <w:rPr>
              <w:rFonts w:asciiTheme="minorHAnsi" w:eastAsiaTheme="minorEastAsia" w:hAnsiTheme="minorHAnsi" w:cstheme="minorBidi"/>
              <w:noProof/>
              <w:lang w:val="es-ES"/>
            </w:rPr>
          </w:pPr>
          <w:hyperlink w:anchor="_Toc96772482" w:history="1">
            <w:r w:rsidR="002B2A3E" w:rsidRPr="00693298">
              <w:rPr>
                <w:rStyle w:val="Hyperlink"/>
                <w:noProof/>
              </w:rPr>
              <w:t>4.1.6 Linkages between the project and other interventions within the sector</w:t>
            </w:r>
            <w:r w:rsidR="002B2A3E">
              <w:rPr>
                <w:noProof/>
                <w:webHidden/>
              </w:rPr>
              <w:tab/>
            </w:r>
            <w:r w:rsidR="002B2A3E">
              <w:rPr>
                <w:noProof/>
                <w:webHidden/>
              </w:rPr>
              <w:fldChar w:fldCharType="begin"/>
            </w:r>
            <w:r w:rsidR="002B2A3E">
              <w:rPr>
                <w:noProof/>
                <w:webHidden/>
              </w:rPr>
              <w:instrText xml:space="preserve"> PAGEREF _Toc96772482 \h </w:instrText>
            </w:r>
            <w:r w:rsidR="002B2A3E">
              <w:rPr>
                <w:noProof/>
                <w:webHidden/>
              </w:rPr>
            </w:r>
            <w:r w:rsidR="002B2A3E">
              <w:rPr>
                <w:noProof/>
                <w:webHidden/>
              </w:rPr>
              <w:fldChar w:fldCharType="separate"/>
            </w:r>
            <w:r w:rsidR="002B2A3E">
              <w:rPr>
                <w:noProof/>
                <w:webHidden/>
              </w:rPr>
              <w:t>26</w:t>
            </w:r>
            <w:r w:rsidR="002B2A3E">
              <w:rPr>
                <w:noProof/>
                <w:webHidden/>
              </w:rPr>
              <w:fldChar w:fldCharType="end"/>
            </w:r>
          </w:hyperlink>
        </w:p>
        <w:p w14:paraId="5EBCCEEB" w14:textId="1A72D398" w:rsidR="002B2A3E" w:rsidRDefault="006D7FD6" w:rsidP="00AC41DE">
          <w:pPr>
            <w:pStyle w:val="TOC3"/>
            <w:rPr>
              <w:rFonts w:asciiTheme="minorHAnsi" w:eastAsiaTheme="minorEastAsia" w:hAnsiTheme="minorHAnsi" w:cstheme="minorBidi"/>
              <w:noProof/>
              <w:lang w:val="es-ES"/>
            </w:rPr>
          </w:pPr>
          <w:hyperlink w:anchor="_Toc96772483" w:history="1">
            <w:r w:rsidR="002B2A3E" w:rsidRPr="00693298">
              <w:rPr>
                <w:rStyle w:val="Hyperlink"/>
                <w:noProof/>
              </w:rPr>
              <w:t>4.1.7 Gender Responsiveness of Project Design:</w:t>
            </w:r>
            <w:r w:rsidR="002B2A3E">
              <w:rPr>
                <w:noProof/>
                <w:webHidden/>
              </w:rPr>
              <w:tab/>
            </w:r>
            <w:r w:rsidR="002B2A3E">
              <w:rPr>
                <w:noProof/>
                <w:webHidden/>
              </w:rPr>
              <w:fldChar w:fldCharType="begin"/>
            </w:r>
            <w:r w:rsidR="002B2A3E">
              <w:rPr>
                <w:noProof/>
                <w:webHidden/>
              </w:rPr>
              <w:instrText xml:space="preserve"> PAGEREF _Toc96772483 \h </w:instrText>
            </w:r>
            <w:r w:rsidR="002B2A3E">
              <w:rPr>
                <w:noProof/>
                <w:webHidden/>
              </w:rPr>
            </w:r>
            <w:r w:rsidR="002B2A3E">
              <w:rPr>
                <w:noProof/>
                <w:webHidden/>
              </w:rPr>
              <w:fldChar w:fldCharType="separate"/>
            </w:r>
            <w:r w:rsidR="002B2A3E">
              <w:rPr>
                <w:noProof/>
                <w:webHidden/>
              </w:rPr>
              <w:t>27</w:t>
            </w:r>
            <w:r w:rsidR="002B2A3E">
              <w:rPr>
                <w:noProof/>
                <w:webHidden/>
              </w:rPr>
              <w:fldChar w:fldCharType="end"/>
            </w:r>
          </w:hyperlink>
        </w:p>
        <w:p w14:paraId="0C5AFB25" w14:textId="203CC145" w:rsidR="002B2A3E" w:rsidRDefault="006D7FD6" w:rsidP="00AC41DE">
          <w:pPr>
            <w:pStyle w:val="TOC3"/>
            <w:rPr>
              <w:rFonts w:asciiTheme="minorHAnsi" w:eastAsiaTheme="minorEastAsia" w:hAnsiTheme="minorHAnsi" w:cstheme="minorBidi"/>
              <w:noProof/>
              <w:lang w:val="es-ES"/>
            </w:rPr>
          </w:pPr>
          <w:hyperlink w:anchor="_Toc96772484" w:history="1">
            <w:r w:rsidR="002B2A3E" w:rsidRPr="00693298">
              <w:rPr>
                <w:rStyle w:val="Hyperlink"/>
                <w:noProof/>
              </w:rPr>
              <w:t>4.1.8</w:t>
            </w:r>
            <w:r w:rsidR="002B2A3E">
              <w:rPr>
                <w:rFonts w:asciiTheme="minorHAnsi" w:eastAsiaTheme="minorEastAsia" w:hAnsiTheme="minorHAnsi" w:cstheme="minorBidi"/>
                <w:noProof/>
                <w:lang w:val="es-ES"/>
              </w:rPr>
              <w:tab/>
            </w:r>
            <w:r w:rsidR="002B2A3E" w:rsidRPr="00693298">
              <w:rPr>
                <w:rStyle w:val="Hyperlink"/>
                <w:noProof/>
              </w:rPr>
              <w:t>Social and Environmental Safeguards</w:t>
            </w:r>
            <w:r w:rsidR="002B2A3E">
              <w:rPr>
                <w:noProof/>
                <w:webHidden/>
              </w:rPr>
              <w:tab/>
            </w:r>
            <w:r w:rsidR="002B2A3E">
              <w:rPr>
                <w:noProof/>
                <w:webHidden/>
              </w:rPr>
              <w:fldChar w:fldCharType="begin"/>
            </w:r>
            <w:r w:rsidR="002B2A3E">
              <w:rPr>
                <w:noProof/>
                <w:webHidden/>
              </w:rPr>
              <w:instrText xml:space="preserve"> PAGEREF _Toc96772484 \h </w:instrText>
            </w:r>
            <w:r w:rsidR="002B2A3E">
              <w:rPr>
                <w:noProof/>
                <w:webHidden/>
              </w:rPr>
            </w:r>
            <w:r w:rsidR="002B2A3E">
              <w:rPr>
                <w:noProof/>
                <w:webHidden/>
              </w:rPr>
              <w:fldChar w:fldCharType="separate"/>
            </w:r>
            <w:r w:rsidR="002B2A3E">
              <w:rPr>
                <w:noProof/>
                <w:webHidden/>
              </w:rPr>
              <w:t>27</w:t>
            </w:r>
            <w:r w:rsidR="002B2A3E">
              <w:rPr>
                <w:noProof/>
                <w:webHidden/>
              </w:rPr>
              <w:fldChar w:fldCharType="end"/>
            </w:r>
          </w:hyperlink>
        </w:p>
        <w:p w14:paraId="196171E4" w14:textId="1718FEF7" w:rsidR="002B2A3E" w:rsidRDefault="006D7FD6" w:rsidP="00AC41DE">
          <w:pPr>
            <w:pStyle w:val="TOC3"/>
            <w:rPr>
              <w:rFonts w:asciiTheme="minorHAnsi" w:eastAsiaTheme="minorEastAsia" w:hAnsiTheme="minorHAnsi" w:cstheme="minorBidi"/>
              <w:noProof/>
              <w:lang w:val="es-ES"/>
            </w:rPr>
          </w:pPr>
          <w:hyperlink w:anchor="_Toc96772485" w:history="1">
            <w:r w:rsidR="002B2A3E" w:rsidRPr="00693298">
              <w:rPr>
                <w:rStyle w:val="Hyperlink"/>
                <w:rFonts w:eastAsia="Arial"/>
                <w:noProof/>
              </w:rPr>
              <w:t>4.1.9</w:t>
            </w:r>
            <w:r w:rsidR="002B2A3E">
              <w:rPr>
                <w:rFonts w:asciiTheme="minorHAnsi" w:eastAsiaTheme="minorEastAsia" w:hAnsiTheme="minorHAnsi" w:cstheme="minorBidi"/>
                <w:noProof/>
                <w:lang w:val="es-ES"/>
              </w:rPr>
              <w:tab/>
            </w:r>
            <w:r w:rsidR="002B2A3E" w:rsidRPr="00693298">
              <w:rPr>
                <w:rStyle w:val="Hyperlink"/>
                <w:rFonts w:eastAsia="Arial"/>
                <w:noProof/>
              </w:rPr>
              <w:t>Management Arrangements: Governance</w:t>
            </w:r>
            <w:r w:rsidR="002B2A3E">
              <w:rPr>
                <w:noProof/>
                <w:webHidden/>
              </w:rPr>
              <w:tab/>
            </w:r>
            <w:r w:rsidR="002B2A3E">
              <w:rPr>
                <w:noProof/>
                <w:webHidden/>
              </w:rPr>
              <w:fldChar w:fldCharType="begin"/>
            </w:r>
            <w:r w:rsidR="002B2A3E">
              <w:rPr>
                <w:noProof/>
                <w:webHidden/>
              </w:rPr>
              <w:instrText xml:space="preserve"> PAGEREF _Toc96772485 \h </w:instrText>
            </w:r>
            <w:r w:rsidR="002B2A3E">
              <w:rPr>
                <w:noProof/>
                <w:webHidden/>
              </w:rPr>
            </w:r>
            <w:r w:rsidR="002B2A3E">
              <w:rPr>
                <w:noProof/>
                <w:webHidden/>
              </w:rPr>
              <w:fldChar w:fldCharType="separate"/>
            </w:r>
            <w:r w:rsidR="002B2A3E">
              <w:rPr>
                <w:noProof/>
                <w:webHidden/>
              </w:rPr>
              <w:t>28</w:t>
            </w:r>
            <w:r w:rsidR="002B2A3E">
              <w:rPr>
                <w:noProof/>
                <w:webHidden/>
              </w:rPr>
              <w:fldChar w:fldCharType="end"/>
            </w:r>
          </w:hyperlink>
        </w:p>
        <w:p w14:paraId="4A5AFB30" w14:textId="007741CA" w:rsidR="002B2A3E" w:rsidRDefault="006D7FD6">
          <w:pPr>
            <w:pStyle w:val="TOC2"/>
            <w:tabs>
              <w:tab w:val="left" w:pos="880"/>
              <w:tab w:val="right" w:leader="dot" w:pos="9350"/>
            </w:tabs>
            <w:rPr>
              <w:rFonts w:asciiTheme="minorHAnsi" w:eastAsiaTheme="minorEastAsia" w:hAnsiTheme="minorHAnsi" w:cstheme="minorBidi"/>
              <w:noProof/>
              <w:lang w:val="es-ES"/>
            </w:rPr>
          </w:pPr>
          <w:hyperlink w:anchor="_Toc96772486" w:history="1">
            <w:r w:rsidR="002B2A3E" w:rsidRPr="00693298">
              <w:rPr>
                <w:rStyle w:val="Hyperlink"/>
                <w:noProof/>
              </w:rPr>
              <w:t>4.2</w:t>
            </w:r>
            <w:r w:rsidR="002B2A3E">
              <w:rPr>
                <w:rFonts w:asciiTheme="minorHAnsi" w:eastAsiaTheme="minorEastAsia" w:hAnsiTheme="minorHAnsi" w:cstheme="minorBidi"/>
                <w:noProof/>
                <w:lang w:val="es-ES"/>
              </w:rPr>
              <w:tab/>
            </w:r>
            <w:r w:rsidR="002B2A3E" w:rsidRPr="00693298">
              <w:rPr>
                <w:rStyle w:val="Hyperlink"/>
                <w:noProof/>
              </w:rPr>
              <w:t>Project</w:t>
            </w:r>
            <w:r w:rsidR="002B2A3E" w:rsidRPr="00693298">
              <w:rPr>
                <w:rStyle w:val="Hyperlink"/>
                <w:noProof/>
                <w:spacing w:val="-3"/>
              </w:rPr>
              <w:t xml:space="preserve"> </w:t>
            </w:r>
            <w:r w:rsidR="002B2A3E" w:rsidRPr="00693298">
              <w:rPr>
                <w:rStyle w:val="Hyperlink"/>
                <w:noProof/>
              </w:rPr>
              <w:t>Implementation</w:t>
            </w:r>
            <w:r w:rsidR="002B2A3E">
              <w:rPr>
                <w:noProof/>
                <w:webHidden/>
              </w:rPr>
              <w:tab/>
            </w:r>
            <w:r w:rsidR="002B2A3E">
              <w:rPr>
                <w:noProof/>
                <w:webHidden/>
              </w:rPr>
              <w:fldChar w:fldCharType="begin"/>
            </w:r>
            <w:r w:rsidR="002B2A3E">
              <w:rPr>
                <w:noProof/>
                <w:webHidden/>
              </w:rPr>
              <w:instrText xml:space="preserve"> PAGEREF _Toc96772486 \h </w:instrText>
            </w:r>
            <w:r w:rsidR="002B2A3E">
              <w:rPr>
                <w:noProof/>
                <w:webHidden/>
              </w:rPr>
            </w:r>
            <w:r w:rsidR="002B2A3E">
              <w:rPr>
                <w:noProof/>
                <w:webHidden/>
              </w:rPr>
              <w:fldChar w:fldCharType="separate"/>
            </w:r>
            <w:r w:rsidR="002B2A3E">
              <w:rPr>
                <w:noProof/>
                <w:webHidden/>
              </w:rPr>
              <w:t>29</w:t>
            </w:r>
            <w:r w:rsidR="002B2A3E">
              <w:rPr>
                <w:noProof/>
                <w:webHidden/>
              </w:rPr>
              <w:fldChar w:fldCharType="end"/>
            </w:r>
          </w:hyperlink>
        </w:p>
        <w:p w14:paraId="1F634598" w14:textId="0BB2DEF7" w:rsidR="002B2A3E" w:rsidRDefault="006D7FD6" w:rsidP="00AC41DE">
          <w:pPr>
            <w:pStyle w:val="TOC3"/>
            <w:rPr>
              <w:rFonts w:asciiTheme="minorHAnsi" w:eastAsiaTheme="minorEastAsia" w:hAnsiTheme="minorHAnsi" w:cstheme="minorBidi"/>
              <w:noProof/>
              <w:lang w:val="es-ES"/>
            </w:rPr>
          </w:pPr>
          <w:hyperlink w:anchor="_Toc96772487" w:history="1">
            <w:r w:rsidR="002B2A3E" w:rsidRPr="00693298">
              <w:rPr>
                <w:rStyle w:val="Hyperlink"/>
                <w:noProof/>
              </w:rPr>
              <w:t>4.2.1</w:t>
            </w:r>
            <w:r w:rsidR="002B2A3E">
              <w:rPr>
                <w:rFonts w:asciiTheme="minorHAnsi" w:eastAsiaTheme="minorEastAsia" w:hAnsiTheme="minorHAnsi" w:cstheme="minorBidi"/>
                <w:noProof/>
                <w:lang w:val="es-ES"/>
              </w:rPr>
              <w:tab/>
            </w:r>
            <w:r w:rsidR="002B2A3E" w:rsidRPr="00693298">
              <w:rPr>
                <w:rStyle w:val="Hyperlink"/>
                <w:noProof/>
              </w:rPr>
              <w:t>Adaptive Management</w:t>
            </w:r>
            <w:r w:rsidR="002B2A3E">
              <w:rPr>
                <w:noProof/>
                <w:webHidden/>
              </w:rPr>
              <w:tab/>
            </w:r>
            <w:r w:rsidR="002B2A3E">
              <w:rPr>
                <w:noProof/>
                <w:webHidden/>
              </w:rPr>
              <w:fldChar w:fldCharType="begin"/>
            </w:r>
            <w:r w:rsidR="002B2A3E">
              <w:rPr>
                <w:noProof/>
                <w:webHidden/>
              </w:rPr>
              <w:instrText xml:space="preserve"> PAGEREF _Toc96772487 \h </w:instrText>
            </w:r>
            <w:r w:rsidR="002B2A3E">
              <w:rPr>
                <w:noProof/>
                <w:webHidden/>
              </w:rPr>
            </w:r>
            <w:r w:rsidR="002B2A3E">
              <w:rPr>
                <w:noProof/>
                <w:webHidden/>
              </w:rPr>
              <w:fldChar w:fldCharType="separate"/>
            </w:r>
            <w:r w:rsidR="002B2A3E">
              <w:rPr>
                <w:noProof/>
                <w:webHidden/>
              </w:rPr>
              <w:t>29</w:t>
            </w:r>
            <w:r w:rsidR="002B2A3E">
              <w:rPr>
                <w:noProof/>
                <w:webHidden/>
              </w:rPr>
              <w:fldChar w:fldCharType="end"/>
            </w:r>
          </w:hyperlink>
        </w:p>
        <w:p w14:paraId="3E7193F0" w14:textId="182AA287" w:rsidR="002B2A3E" w:rsidRDefault="006D7FD6" w:rsidP="00AC41DE">
          <w:pPr>
            <w:pStyle w:val="TOC3"/>
            <w:rPr>
              <w:rFonts w:asciiTheme="minorHAnsi" w:eastAsiaTheme="minorEastAsia" w:hAnsiTheme="minorHAnsi" w:cstheme="minorBidi"/>
              <w:noProof/>
              <w:lang w:val="es-ES"/>
            </w:rPr>
          </w:pPr>
          <w:hyperlink w:anchor="_Toc96772488" w:history="1">
            <w:r w:rsidR="002B2A3E" w:rsidRPr="00693298">
              <w:rPr>
                <w:rStyle w:val="Hyperlink"/>
                <w:noProof/>
              </w:rPr>
              <w:t>4.2.2</w:t>
            </w:r>
            <w:r w:rsidR="002B2A3E">
              <w:rPr>
                <w:rFonts w:asciiTheme="minorHAnsi" w:eastAsiaTheme="minorEastAsia" w:hAnsiTheme="minorHAnsi" w:cstheme="minorBidi"/>
                <w:noProof/>
                <w:lang w:val="es-ES"/>
              </w:rPr>
              <w:tab/>
            </w:r>
            <w:r w:rsidR="002B2A3E" w:rsidRPr="00693298">
              <w:rPr>
                <w:rStyle w:val="Hyperlink"/>
                <w:noProof/>
              </w:rPr>
              <w:t>Actual Stakeholder Participation and Partnership Arrangements</w:t>
            </w:r>
            <w:r w:rsidR="002B2A3E">
              <w:rPr>
                <w:noProof/>
                <w:webHidden/>
              </w:rPr>
              <w:tab/>
            </w:r>
            <w:r w:rsidR="002B2A3E">
              <w:rPr>
                <w:noProof/>
                <w:webHidden/>
              </w:rPr>
              <w:fldChar w:fldCharType="begin"/>
            </w:r>
            <w:r w:rsidR="002B2A3E">
              <w:rPr>
                <w:noProof/>
                <w:webHidden/>
              </w:rPr>
              <w:instrText xml:space="preserve"> PAGEREF _Toc96772488 \h </w:instrText>
            </w:r>
            <w:r w:rsidR="002B2A3E">
              <w:rPr>
                <w:noProof/>
                <w:webHidden/>
              </w:rPr>
            </w:r>
            <w:r w:rsidR="002B2A3E">
              <w:rPr>
                <w:noProof/>
                <w:webHidden/>
              </w:rPr>
              <w:fldChar w:fldCharType="separate"/>
            </w:r>
            <w:r w:rsidR="002B2A3E">
              <w:rPr>
                <w:noProof/>
                <w:webHidden/>
              </w:rPr>
              <w:t>30</w:t>
            </w:r>
            <w:r w:rsidR="002B2A3E">
              <w:rPr>
                <w:noProof/>
                <w:webHidden/>
              </w:rPr>
              <w:fldChar w:fldCharType="end"/>
            </w:r>
          </w:hyperlink>
        </w:p>
        <w:p w14:paraId="26452F1D" w14:textId="115A01A8" w:rsidR="002B2A3E" w:rsidRDefault="006D7FD6" w:rsidP="00AC41DE">
          <w:pPr>
            <w:pStyle w:val="TOC3"/>
            <w:rPr>
              <w:rFonts w:asciiTheme="minorHAnsi" w:eastAsiaTheme="minorEastAsia" w:hAnsiTheme="minorHAnsi" w:cstheme="minorBidi"/>
              <w:noProof/>
              <w:lang w:val="es-ES"/>
            </w:rPr>
          </w:pPr>
          <w:hyperlink w:anchor="_Toc96772489" w:history="1">
            <w:r w:rsidR="002B2A3E" w:rsidRPr="00693298">
              <w:rPr>
                <w:rStyle w:val="Hyperlink"/>
                <w:noProof/>
              </w:rPr>
              <w:t>4.2.3</w:t>
            </w:r>
            <w:r w:rsidR="002B2A3E">
              <w:rPr>
                <w:rFonts w:asciiTheme="minorHAnsi" w:eastAsiaTheme="minorEastAsia" w:hAnsiTheme="minorHAnsi" w:cstheme="minorBidi"/>
                <w:noProof/>
                <w:lang w:val="es-ES"/>
              </w:rPr>
              <w:tab/>
            </w:r>
            <w:r w:rsidR="002B2A3E" w:rsidRPr="00693298">
              <w:rPr>
                <w:rStyle w:val="Hyperlink"/>
                <w:noProof/>
              </w:rPr>
              <w:t>Project Finance and Co-finance</w:t>
            </w:r>
            <w:r w:rsidR="002B2A3E">
              <w:rPr>
                <w:noProof/>
                <w:webHidden/>
              </w:rPr>
              <w:tab/>
            </w:r>
            <w:r w:rsidR="002B2A3E">
              <w:rPr>
                <w:noProof/>
                <w:webHidden/>
              </w:rPr>
              <w:fldChar w:fldCharType="begin"/>
            </w:r>
            <w:r w:rsidR="002B2A3E">
              <w:rPr>
                <w:noProof/>
                <w:webHidden/>
              </w:rPr>
              <w:instrText xml:space="preserve"> PAGEREF _Toc96772489 \h </w:instrText>
            </w:r>
            <w:r w:rsidR="002B2A3E">
              <w:rPr>
                <w:noProof/>
                <w:webHidden/>
              </w:rPr>
            </w:r>
            <w:r w:rsidR="002B2A3E">
              <w:rPr>
                <w:noProof/>
                <w:webHidden/>
              </w:rPr>
              <w:fldChar w:fldCharType="separate"/>
            </w:r>
            <w:r w:rsidR="002B2A3E">
              <w:rPr>
                <w:noProof/>
                <w:webHidden/>
              </w:rPr>
              <w:t>33</w:t>
            </w:r>
            <w:r w:rsidR="002B2A3E">
              <w:rPr>
                <w:noProof/>
                <w:webHidden/>
              </w:rPr>
              <w:fldChar w:fldCharType="end"/>
            </w:r>
          </w:hyperlink>
        </w:p>
        <w:p w14:paraId="472D259B" w14:textId="5383BBE5" w:rsidR="002B2A3E" w:rsidRDefault="006D7FD6" w:rsidP="00AC41DE">
          <w:pPr>
            <w:pStyle w:val="TOC3"/>
            <w:rPr>
              <w:rFonts w:asciiTheme="minorHAnsi" w:eastAsiaTheme="minorEastAsia" w:hAnsiTheme="minorHAnsi" w:cstheme="minorBidi"/>
              <w:noProof/>
              <w:lang w:val="es-ES"/>
            </w:rPr>
          </w:pPr>
          <w:hyperlink w:anchor="_Toc96772490" w:history="1">
            <w:r w:rsidR="002B2A3E" w:rsidRPr="00693298">
              <w:rPr>
                <w:rStyle w:val="Hyperlink"/>
                <w:noProof/>
              </w:rPr>
              <w:t>4.2.4</w:t>
            </w:r>
            <w:r w:rsidR="002B2A3E">
              <w:rPr>
                <w:rFonts w:asciiTheme="minorHAnsi" w:eastAsiaTheme="minorEastAsia" w:hAnsiTheme="minorHAnsi" w:cstheme="minorBidi"/>
                <w:noProof/>
                <w:lang w:val="es-ES"/>
              </w:rPr>
              <w:tab/>
            </w:r>
            <w:r w:rsidR="002B2A3E" w:rsidRPr="00693298">
              <w:rPr>
                <w:rStyle w:val="Hyperlink"/>
                <w:noProof/>
              </w:rPr>
              <w:t>Monitoring &amp; Evaluation: design at entry (*), implementation (*), overall assessment of M&amp;E (*)</w:t>
            </w:r>
            <w:r w:rsidR="002B2A3E">
              <w:rPr>
                <w:noProof/>
                <w:webHidden/>
              </w:rPr>
              <w:tab/>
            </w:r>
            <w:r w:rsidR="002B2A3E">
              <w:rPr>
                <w:noProof/>
                <w:webHidden/>
              </w:rPr>
              <w:fldChar w:fldCharType="begin"/>
            </w:r>
            <w:r w:rsidR="002B2A3E">
              <w:rPr>
                <w:noProof/>
                <w:webHidden/>
              </w:rPr>
              <w:instrText xml:space="preserve"> PAGEREF _Toc96772490 \h </w:instrText>
            </w:r>
            <w:r w:rsidR="002B2A3E">
              <w:rPr>
                <w:noProof/>
                <w:webHidden/>
              </w:rPr>
            </w:r>
            <w:r w:rsidR="002B2A3E">
              <w:rPr>
                <w:noProof/>
                <w:webHidden/>
              </w:rPr>
              <w:fldChar w:fldCharType="separate"/>
            </w:r>
            <w:r w:rsidR="002B2A3E">
              <w:rPr>
                <w:noProof/>
                <w:webHidden/>
              </w:rPr>
              <w:t>35</w:t>
            </w:r>
            <w:r w:rsidR="002B2A3E">
              <w:rPr>
                <w:noProof/>
                <w:webHidden/>
              </w:rPr>
              <w:fldChar w:fldCharType="end"/>
            </w:r>
          </w:hyperlink>
        </w:p>
        <w:p w14:paraId="2A087C62" w14:textId="71050563" w:rsidR="002B2A3E" w:rsidRDefault="006D7FD6" w:rsidP="00AC41DE">
          <w:pPr>
            <w:pStyle w:val="TOC3"/>
            <w:rPr>
              <w:rFonts w:asciiTheme="minorHAnsi" w:eastAsiaTheme="minorEastAsia" w:hAnsiTheme="minorHAnsi" w:cstheme="minorBidi"/>
              <w:noProof/>
              <w:lang w:val="es-ES"/>
            </w:rPr>
          </w:pPr>
          <w:hyperlink w:anchor="_Toc96772491" w:history="1">
            <w:r w:rsidR="002B2A3E" w:rsidRPr="00693298">
              <w:rPr>
                <w:rStyle w:val="Hyperlink"/>
                <w:noProof/>
              </w:rPr>
              <w:t>4.2.5</w:t>
            </w:r>
            <w:r w:rsidR="002B2A3E">
              <w:rPr>
                <w:rFonts w:asciiTheme="minorHAnsi" w:eastAsiaTheme="minorEastAsia" w:hAnsiTheme="minorHAnsi" w:cstheme="minorBidi"/>
                <w:noProof/>
                <w:lang w:val="es-ES"/>
              </w:rPr>
              <w:tab/>
            </w:r>
            <w:r w:rsidR="002B2A3E" w:rsidRPr="00693298">
              <w:rPr>
                <w:rStyle w:val="Hyperlink"/>
                <w:noProof/>
              </w:rPr>
              <w:t>UNDP implementation/oversight (*), Implementing Partner execution (*) and overall assessment of implementation/oversight and execution (*)</w:t>
            </w:r>
            <w:r w:rsidR="002B2A3E">
              <w:rPr>
                <w:noProof/>
                <w:webHidden/>
              </w:rPr>
              <w:tab/>
            </w:r>
            <w:r w:rsidR="002B2A3E">
              <w:rPr>
                <w:noProof/>
                <w:webHidden/>
              </w:rPr>
              <w:fldChar w:fldCharType="begin"/>
            </w:r>
            <w:r w:rsidR="002B2A3E">
              <w:rPr>
                <w:noProof/>
                <w:webHidden/>
              </w:rPr>
              <w:instrText xml:space="preserve"> PAGEREF _Toc96772491 \h </w:instrText>
            </w:r>
            <w:r w:rsidR="002B2A3E">
              <w:rPr>
                <w:noProof/>
                <w:webHidden/>
              </w:rPr>
            </w:r>
            <w:r w:rsidR="002B2A3E">
              <w:rPr>
                <w:noProof/>
                <w:webHidden/>
              </w:rPr>
              <w:fldChar w:fldCharType="separate"/>
            </w:r>
            <w:r w:rsidR="002B2A3E">
              <w:rPr>
                <w:noProof/>
                <w:webHidden/>
              </w:rPr>
              <w:t>37</w:t>
            </w:r>
            <w:r w:rsidR="002B2A3E">
              <w:rPr>
                <w:noProof/>
                <w:webHidden/>
              </w:rPr>
              <w:fldChar w:fldCharType="end"/>
            </w:r>
          </w:hyperlink>
        </w:p>
        <w:p w14:paraId="2298839C" w14:textId="597A8D15" w:rsidR="002B2A3E" w:rsidRDefault="006D7FD6" w:rsidP="00AC41DE">
          <w:pPr>
            <w:pStyle w:val="TOC3"/>
            <w:rPr>
              <w:rFonts w:asciiTheme="minorHAnsi" w:eastAsiaTheme="minorEastAsia" w:hAnsiTheme="minorHAnsi" w:cstheme="minorBidi"/>
              <w:noProof/>
              <w:lang w:val="es-ES"/>
            </w:rPr>
          </w:pPr>
          <w:hyperlink w:anchor="_Toc96772492" w:history="1">
            <w:r w:rsidR="002B2A3E" w:rsidRPr="00693298">
              <w:rPr>
                <w:rStyle w:val="Hyperlink"/>
                <w:noProof/>
              </w:rPr>
              <w:t>4.2.6</w:t>
            </w:r>
            <w:r w:rsidR="002B2A3E">
              <w:rPr>
                <w:rFonts w:asciiTheme="minorHAnsi" w:eastAsiaTheme="minorEastAsia" w:hAnsiTheme="minorHAnsi" w:cstheme="minorBidi"/>
                <w:noProof/>
                <w:lang w:val="es-ES"/>
              </w:rPr>
              <w:tab/>
            </w:r>
            <w:r w:rsidR="002B2A3E" w:rsidRPr="00693298">
              <w:rPr>
                <w:rStyle w:val="Hyperlink"/>
                <w:noProof/>
              </w:rPr>
              <w:t>Risk Management</w:t>
            </w:r>
            <w:r w:rsidR="002B2A3E">
              <w:rPr>
                <w:noProof/>
                <w:webHidden/>
              </w:rPr>
              <w:tab/>
            </w:r>
            <w:r w:rsidR="002B2A3E">
              <w:rPr>
                <w:noProof/>
                <w:webHidden/>
              </w:rPr>
              <w:fldChar w:fldCharType="begin"/>
            </w:r>
            <w:r w:rsidR="002B2A3E">
              <w:rPr>
                <w:noProof/>
                <w:webHidden/>
              </w:rPr>
              <w:instrText xml:space="preserve"> PAGEREF _Toc96772492 \h </w:instrText>
            </w:r>
            <w:r w:rsidR="002B2A3E">
              <w:rPr>
                <w:noProof/>
                <w:webHidden/>
              </w:rPr>
            </w:r>
            <w:r w:rsidR="002B2A3E">
              <w:rPr>
                <w:noProof/>
                <w:webHidden/>
              </w:rPr>
              <w:fldChar w:fldCharType="separate"/>
            </w:r>
            <w:r w:rsidR="002B2A3E">
              <w:rPr>
                <w:noProof/>
                <w:webHidden/>
              </w:rPr>
              <w:t>39</w:t>
            </w:r>
            <w:r w:rsidR="002B2A3E">
              <w:rPr>
                <w:noProof/>
                <w:webHidden/>
              </w:rPr>
              <w:fldChar w:fldCharType="end"/>
            </w:r>
          </w:hyperlink>
        </w:p>
        <w:p w14:paraId="4FFDC080" w14:textId="1E2D70D8" w:rsidR="002B2A3E" w:rsidRDefault="006D7FD6">
          <w:pPr>
            <w:pStyle w:val="TOC2"/>
            <w:tabs>
              <w:tab w:val="right" w:leader="dot" w:pos="9350"/>
            </w:tabs>
            <w:rPr>
              <w:rFonts w:asciiTheme="minorHAnsi" w:eastAsiaTheme="minorEastAsia" w:hAnsiTheme="minorHAnsi" w:cstheme="minorBidi"/>
              <w:noProof/>
              <w:lang w:val="es-ES"/>
            </w:rPr>
          </w:pPr>
          <w:hyperlink w:anchor="_Toc96772493" w:history="1">
            <w:r w:rsidR="002B2A3E" w:rsidRPr="00693298">
              <w:rPr>
                <w:rStyle w:val="Hyperlink"/>
                <w:noProof/>
              </w:rPr>
              <w:t>4.3. Project Results</w:t>
            </w:r>
            <w:r w:rsidR="002B2A3E">
              <w:rPr>
                <w:noProof/>
                <w:webHidden/>
              </w:rPr>
              <w:tab/>
            </w:r>
            <w:r w:rsidR="002B2A3E">
              <w:rPr>
                <w:noProof/>
                <w:webHidden/>
              </w:rPr>
              <w:fldChar w:fldCharType="begin"/>
            </w:r>
            <w:r w:rsidR="002B2A3E">
              <w:rPr>
                <w:noProof/>
                <w:webHidden/>
              </w:rPr>
              <w:instrText xml:space="preserve"> PAGEREF _Toc96772493 \h </w:instrText>
            </w:r>
            <w:r w:rsidR="002B2A3E">
              <w:rPr>
                <w:noProof/>
                <w:webHidden/>
              </w:rPr>
            </w:r>
            <w:r w:rsidR="002B2A3E">
              <w:rPr>
                <w:noProof/>
                <w:webHidden/>
              </w:rPr>
              <w:fldChar w:fldCharType="separate"/>
            </w:r>
            <w:r w:rsidR="002B2A3E">
              <w:rPr>
                <w:noProof/>
                <w:webHidden/>
              </w:rPr>
              <w:t>39</w:t>
            </w:r>
            <w:r w:rsidR="002B2A3E">
              <w:rPr>
                <w:noProof/>
                <w:webHidden/>
              </w:rPr>
              <w:fldChar w:fldCharType="end"/>
            </w:r>
          </w:hyperlink>
        </w:p>
        <w:p w14:paraId="54CEDD9E" w14:textId="0B86AF0A" w:rsidR="002B2A3E" w:rsidRDefault="006D7FD6" w:rsidP="00AC41DE">
          <w:pPr>
            <w:pStyle w:val="TOC3"/>
            <w:rPr>
              <w:rFonts w:asciiTheme="minorHAnsi" w:eastAsiaTheme="minorEastAsia" w:hAnsiTheme="minorHAnsi" w:cstheme="minorBidi"/>
              <w:noProof/>
              <w:lang w:val="es-ES"/>
            </w:rPr>
          </w:pPr>
          <w:hyperlink w:anchor="_Toc96772494" w:history="1">
            <w:r w:rsidR="002B2A3E" w:rsidRPr="00693298">
              <w:rPr>
                <w:rStyle w:val="Hyperlink"/>
                <w:noProof/>
              </w:rPr>
              <w:t>4.3.1</w:t>
            </w:r>
            <w:r w:rsidR="002B2A3E">
              <w:rPr>
                <w:rFonts w:asciiTheme="minorHAnsi" w:eastAsiaTheme="minorEastAsia" w:hAnsiTheme="minorHAnsi" w:cstheme="minorBidi"/>
                <w:noProof/>
                <w:lang w:val="es-ES"/>
              </w:rPr>
              <w:tab/>
            </w:r>
            <w:r w:rsidR="002B2A3E" w:rsidRPr="00693298">
              <w:rPr>
                <w:rStyle w:val="Hyperlink"/>
                <w:noProof/>
              </w:rPr>
              <w:t>Progress Towards Objective and Expected Outcomes</w:t>
            </w:r>
            <w:r w:rsidR="002B2A3E">
              <w:rPr>
                <w:noProof/>
                <w:webHidden/>
              </w:rPr>
              <w:tab/>
            </w:r>
            <w:r w:rsidR="002B2A3E">
              <w:rPr>
                <w:noProof/>
                <w:webHidden/>
              </w:rPr>
              <w:fldChar w:fldCharType="begin"/>
            </w:r>
            <w:r w:rsidR="002B2A3E">
              <w:rPr>
                <w:noProof/>
                <w:webHidden/>
              </w:rPr>
              <w:instrText xml:space="preserve"> PAGEREF _Toc96772494 \h </w:instrText>
            </w:r>
            <w:r w:rsidR="002B2A3E">
              <w:rPr>
                <w:noProof/>
                <w:webHidden/>
              </w:rPr>
            </w:r>
            <w:r w:rsidR="002B2A3E">
              <w:rPr>
                <w:noProof/>
                <w:webHidden/>
              </w:rPr>
              <w:fldChar w:fldCharType="separate"/>
            </w:r>
            <w:r w:rsidR="002B2A3E">
              <w:rPr>
                <w:noProof/>
                <w:webHidden/>
              </w:rPr>
              <w:t>39</w:t>
            </w:r>
            <w:r w:rsidR="002B2A3E">
              <w:rPr>
                <w:noProof/>
                <w:webHidden/>
              </w:rPr>
              <w:fldChar w:fldCharType="end"/>
            </w:r>
          </w:hyperlink>
        </w:p>
        <w:p w14:paraId="1F18DE8D" w14:textId="18CF51BA" w:rsidR="002B2A3E" w:rsidRDefault="006D7FD6" w:rsidP="00AC41DE">
          <w:pPr>
            <w:pStyle w:val="TOC3"/>
            <w:rPr>
              <w:rFonts w:asciiTheme="minorHAnsi" w:eastAsiaTheme="minorEastAsia" w:hAnsiTheme="minorHAnsi" w:cstheme="minorBidi"/>
              <w:noProof/>
              <w:lang w:val="es-ES"/>
            </w:rPr>
          </w:pPr>
          <w:hyperlink w:anchor="_Toc96772495" w:history="1">
            <w:r w:rsidR="002B2A3E" w:rsidRPr="00693298">
              <w:rPr>
                <w:rStyle w:val="Hyperlink"/>
                <w:rFonts w:cstheme="minorHAnsi"/>
                <w:noProof/>
              </w:rPr>
              <w:t>4.3.2</w:t>
            </w:r>
            <w:r w:rsidR="002B2A3E">
              <w:rPr>
                <w:rFonts w:asciiTheme="minorHAnsi" w:eastAsiaTheme="minorEastAsia" w:hAnsiTheme="minorHAnsi" w:cstheme="minorBidi"/>
                <w:noProof/>
                <w:lang w:val="es-ES"/>
              </w:rPr>
              <w:tab/>
            </w:r>
            <w:r w:rsidR="002B2A3E" w:rsidRPr="00693298">
              <w:rPr>
                <w:rStyle w:val="Hyperlink"/>
                <w:rFonts w:cstheme="minorHAnsi"/>
                <w:noProof/>
              </w:rPr>
              <w:t>Relevance (*)</w:t>
            </w:r>
            <w:r w:rsidR="002B2A3E">
              <w:rPr>
                <w:noProof/>
                <w:webHidden/>
              </w:rPr>
              <w:tab/>
            </w:r>
            <w:r w:rsidR="002B2A3E">
              <w:rPr>
                <w:noProof/>
                <w:webHidden/>
              </w:rPr>
              <w:fldChar w:fldCharType="begin"/>
            </w:r>
            <w:r w:rsidR="002B2A3E">
              <w:rPr>
                <w:noProof/>
                <w:webHidden/>
              </w:rPr>
              <w:instrText xml:space="preserve"> PAGEREF _Toc96772495 \h </w:instrText>
            </w:r>
            <w:r w:rsidR="002B2A3E">
              <w:rPr>
                <w:noProof/>
                <w:webHidden/>
              </w:rPr>
            </w:r>
            <w:r w:rsidR="002B2A3E">
              <w:rPr>
                <w:noProof/>
                <w:webHidden/>
              </w:rPr>
              <w:fldChar w:fldCharType="separate"/>
            </w:r>
            <w:r w:rsidR="002B2A3E">
              <w:rPr>
                <w:noProof/>
                <w:webHidden/>
              </w:rPr>
              <w:t>50</w:t>
            </w:r>
            <w:r w:rsidR="002B2A3E">
              <w:rPr>
                <w:noProof/>
                <w:webHidden/>
              </w:rPr>
              <w:fldChar w:fldCharType="end"/>
            </w:r>
          </w:hyperlink>
        </w:p>
        <w:p w14:paraId="181E8D22" w14:textId="44057E7F" w:rsidR="002B2A3E" w:rsidRDefault="006D7FD6" w:rsidP="00AC41DE">
          <w:pPr>
            <w:pStyle w:val="TOC3"/>
            <w:rPr>
              <w:rFonts w:asciiTheme="minorHAnsi" w:eastAsiaTheme="minorEastAsia" w:hAnsiTheme="minorHAnsi" w:cstheme="minorBidi"/>
              <w:noProof/>
              <w:lang w:val="es-ES"/>
            </w:rPr>
          </w:pPr>
          <w:hyperlink w:anchor="_Toc96772496" w:history="1">
            <w:r w:rsidR="002B2A3E" w:rsidRPr="00693298">
              <w:rPr>
                <w:rStyle w:val="Hyperlink"/>
                <w:noProof/>
              </w:rPr>
              <w:t>4.3.3</w:t>
            </w:r>
            <w:r w:rsidR="002B2A3E">
              <w:rPr>
                <w:rFonts w:asciiTheme="minorHAnsi" w:eastAsiaTheme="minorEastAsia" w:hAnsiTheme="minorHAnsi" w:cstheme="minorBidi"/>
                <w:noProof/>
                <w:lang w:val="es-ES"/>
              </w:rPr>
              <w:tab/>
            </w:r>
            <w:r w:rsidR="002B2A3E" w:rsidRPr="00693298">
              <w:rPr>
                <w:rStyle w:val="Hyperlink"/>
                <w:noProof/>
              </w:rPr>
              <w:t>Effectiveness (*)</w:t>
            </w:r>
            <w:r w:rsidR="002B2A3E">
              <w:rPr>
                <w:noProof/>
                <w:webHidden/>
              </w:rPr>
              <w:tab/>
            </w:r>
            <w:r w:rsidR="002B2A3E">
              <w:rPr>
                <w:noProof/>
                <w:webHidden/>
              </w:rPr>
              <w:fldChar w:fldCharType="begin"/>
            </w:r>
            <w:r w:rsidR="002B2A3E">
              <w:rPr>
                <w:noProof/>
                <w:webHidden/>
              </w:rPr>
              <w:instrText xml:space="preserve"> PAGEREF _Toc96772496 \h </w:instrText>
            </w:r>
            <w:r w:rsidR="002B2A3E">
              <w:rPr>
                <w:noProof/>
                <w:webHidden/>
              </w:rPr>
            </w:r>
            <w:r w:rsidR="002B2A3E">
              <w:rPr>
                <w:noProof/>
                <w:webHidden/>
              </w:rPr>
              <w:fldChar w:fldCharType="separate"/>
            </w:r>
            <w:r w:rsidR="002B2A3E">
              <w:rPr>
                <w:noProof/>
                <w:webHidden/>
              </w:rPr>
              <w:t>52</w:t>
            </w:r>
            <w:r w:rsidR="002B2A3E">
              <w:rPr>
                <w:noProof/>
                <w:webHidden/>
              </w:rPr>
              <w:fldChar w:fldCharType="end"/>
            </w:r>
          </w:hyperlink>
        </w:p>
        <w:p w14:paraId="671916E2" w14:textId="0F3AD771" w:rsidR="002B2A3E" w:rsidRDefault="006D7FD6" w:rsidP="00AC41DE">
          <w:pPr>
            <w:pStyle w:val="TOC3"/>
            <w:rPr>
              <w:rFonts w:asciiTheme="minorHAnsi" w:eastAsiaTheme="minorEastAsia" w:hAnsiTheme="minorHAnsi" w:cstheme="minorBidi"/>
              <w:noProof/>
              <w:lang w:val="es-ES"/>
            </w:rPr>
          </w:pPr>
          <w:hyperlink w:anchor="_Toc96772497" w:history="1">
            <w:r w:rsidR="002B2A3E" w:rsidRPr="00693298">
              <w:rPr>
                <w:rStyle w:val="Hyperlink"/>
                <w:noProof/>
              </w:rPr>
              <w:t>4.3.4</w:t>
            </w:r>
            <w:r w:rsidR="002B2A3E">
              <w:rPr>
                <w:rFonts w:asciiTheme="minorHAnsi" w:eastAsiaTheme="minorEastAsia" w:hAnsiTheme="minorHAnsi" w:cstheme="minorBidi"/>
                <w:noProof/>
                <w:lang w:val="es-ES"/>
              </w:rPr>
              <w:tab/>
            </w:r>
            <w:r w:rsidR="002B2A3E" w:rsidRPr="00693298">
              <w:rPr>
                <w:rStyle w:val="Hyperlink"/>
                <w:noProof/>
              </w:rPr>
              <w:t>Efficiency (*)</w:t>
            </w:r>
            <w:r w:rsidR="002B2A3E">
              <w:rPr>
                <w:noProof/>
                <w:webHidden/>
              </w:rPr>
              <w:tab/>
            </w:r>
            <w:r w:rsidR="002B2A3E">
              <w:rPr>
                <w:noProof/>
                <w:webHidden/>
              </w:rPr>
              <w:fldChar w:fldCharType="begin"/>
            </w:r>
            <w:r w:rsidR="002B2A3E">
              <w:rPr>
                <w:noProof/>
                <w:webHidden/>
              </w:rPr>
              <w:instrText xml:space="preserve"> PAGEREF _Toc96772497 \h </w:instrText>
            </w:r>
            <w:r w:rsidR="002B2A3E">
              <w:rPr>
                <w:noProof/>
                <w:webHidden/>
              </w:rPr>
            </w:r>
            <w:r w:rsidR="002B2A3E">
              <w:rPr>
                <w:noProof/>
                <w:webHidden/>
              </w:rPr>
              <w:fldChar w:fldCharType="separate"/>
            </w:r>
            <w:r w:rsidR="002B2A3E">
              <w:rPr>
                <w:noProof/>
                <w:webHidden/>
              </w:rPr>
              <w:t>52</w:t>
            </w:r>
            <w:r w:rsidR="002B2A3E">
              <w:rPr>
                <w:noProof/>
                <w:webHidden/>
              </w:rPr>
              <w:fldChar w:fldCharType="end"/>
            </w:r>
          </w:hyperlink>
        </w:p>
        <w:p w14:paraId="488FCB85" w14:textId="6C88423C" w:rsidR="002B2A3E" w:rsidRDefault="006D7FD6" w:rsidP="00AC41DE">
          <w:pPr>
            <w:pStyle w:val="TOC3"/>
            <w:rPr>
              <w:rFonts w:asciiTheme="minorHAnsi" w:eastAsiaTheme="minorEastAsia" w:hAnsiTheme="minorHAnsi" w:cstheme="minorBidi"/>
              <w:noProof/>
              <w:lang w:val="es-ES"/>
            </w:rPr>
          </w:pPr>
          <w:hyperlink w:anchor="_Toc96772498" w:history="1">
            <w:r w:rsidR="002B2A3E" w:rsidRPr="00693298">
              <w:rPr>
                <w:rStyle w:val="Hyperlink"/>
                <w:noProof/>
              </w:rPr>
              <w:t>4.3.5</w:t>
            </w:r>
            <w:r w:rsidR="002B2A3E">
              <w:rPr>
                <w:rFonts w:asciiTheme="minorHAnsi" w:eastAsiaTheme="minorEastAsia" w:hAnsiTheme="minorHAnsi" w:cstheme="minorBidi"/>
                <w:noProof/>
                <w:lang w:val="es-ES"/>
              </w:rPr>
              <w:tab/>
            </w:r>
            <w:r w:rsidR="002B2A3E" w:rsidRPr="00693298">
              <w:rPr>
                <w:rStyle w:val="Hyperlink"/>
                <w:noProof/>
              </w:rPr>
              <w:t>Overall Project Outcome Rating</w:t>
            </w:r>
            <w:r w:rsidR="002B2A3E">
              <w:rPr>
                <w:noProof/>
                <w:webHidden/>
              </w:rPr>
              <w:tab/>
            </w:r>
            <w:r w:rsidR="002B2A3E">
              <w:rPr>
                <w:noProof/>
                <w:webHidden/>
              </w:rPr>
              <w:fldChar w:fldCharType="begin"/>
            </w:r>
            <w:r w:rsidR="002B2A3E">
              <w:rPr>
                <w:noProof/>
                <w:webHidden/>
              </w:rPr>
              <w:instrText xml:space="preserve"> PAGEREF _Toc96772498 \h </w:instrText>
            </w:r>
            <w:r w:rsidR="002B2A3E">
              <w:rPr>
                <w:noProof/>
                <w:webHidden/>
              </w:rPr>
            </w:r>
            <w:r w:rsidR="002B2A3E">
              <w:rPr>
                <w:noProof/>
                <w:webHidden/>
              </w:rPr>
              <w:fldChar w:fldCharType="separate"/>
            </w:r>
            <w:r w:rsidR="002B2A3E">
              <w:rPr>
                <w:noProof/>
                <w:webHidden/>
              </w:rPr>
              <w:t>53</w:t>
            </w:r>
            <w:r w:rsidR="002B2A3E">
              <w:rPr>
                <w:noProof/>
                <w:webHidden/>
              </w:rPr>
              <w:fldChar w:fldCharType="end"/>
            </w:r>
          </w:hyperlink>
        </w:p>
        <w:p w14:paraId="4F7F8AFA" w14:textId="37427024" w:rsidR="002B2A3E" w:rsidRDefault="006D7FD6" w:rsidP="00AC41DE">
          <w:pPr>
            <w:pStyle w:val="TOC3"/>
            <w:rPr>
              <w:rFonts w:asciiTheme="minorHAnsi" w:eastAsiaTheme="minorEastAsia" w:hAnsiTheme="minorHAnsi" w:cstheme="minorBidi"/>
              <w:noProof/>
              <w:lang w:val="es-ES"/>
            </w:rPr>
          </w:pPr>
          <w:hyperlink w:anchor="_Toc96772499" w:history="1">
            <w:r w:rsidR="002B2A3E" w:rsidRPr="00693298">
              <w:rPr>
                <w:rStyle w:val="Hyperlink"/>
                <w:noProof/>
              </w:rPr>
              <w:t>4.3.6</w:t>
            </w:r>
            <w:r w:rsidR="002B2A3E">
              <w:rPr>
                <w:rFonts w:asciiTheme="minorHAnsi" w:eastAsiaTheme="minorEastAsia" w:hAnsiTheme="minorHAnsi" w:cstheme="minorBidi"/>
                <w:noProof/>
                <w:lang w:val="es-ES"/>
              </w:rPr>
              <w:tab/>
            </w:r>
            <w:r w:rsidR="002B2A3E" w:rsidRPr="00693298">
              <w:rPr>
                <w:rStyle w:val="Hyperlink"/>
                <w:noProof/>
              </w:rPr>
              <w:t>Country ownership</w:t>
            </w:r>
            <w:r w:rsidR="002B2A3E">
              <w:rPr>
                <w:noProof/>
                <w:webHidden/>
              </w:rPr>
              <w:tab/>
            </w:r>
            <w:r w:rsidR="002B2A3E">
              <w:rPr>
                <w:noProof/>
                <w:webHidden/>
              </w:rPr>
              <w:fldChar w:fldCharType="begin"/>
            </w:r>
            <w:r w:rsidR="002B2A3E">
              <w:rPr>
                <w:noProof/>
                <w:webHidden/>
              </w:rPr>
              <w:instrText xml:space="preserve"> PAGEREF _Toc96772499 \h </w:instrText>
            </w:r>
            <w:r w:rsidR="002B2A3E">
              <w:rPr>
                <w:noProof/>
                <w:webHidden/>
              </w:rPr>
            </w:r>
            <w:r w:rsidR="002B2A3E">
              <w:rPr>
                <w:noProof/>
                <w:webHidden/>
              </w:rPr>
              <w:fldChar w:fldCharType="separate"/>
            </w:r>
            <w:r w:rsidR="002B2A3E">
              <w:rPr>
                <w:noProof/>
                <w:webHidden/>
              </w:rPr>
              <w:t>53</w:t>
            </w:r>
            <w:r w:rsidR="002B2A3E">
              <w:rPr>
                <w:noProof/>
                <w:webHidden/>
              </w:rPr>
              <w:fldChar w:fldCharType="end"/>
            </w:r>
          </w:hyperlink>
        </w:p>
        <w:p w14:paraId="6B03749B" w14:textId="69395F74" w:rsidR="002B2A3E" w:rsidRDefault="006D7FD6" w:rsidP="00AC41DE">
          <w:pPr>
            <w:pStyle w:val="TOC3"/>
            <w:rPr>
              <w:rFonts w:asciiTheme="minorHAnsi" w:eastAsiaTheme="minorEastAsia" w:hAnsiTheme="minorHAnsi" w:cstheme="minorBidi"/>
              <w:noProof/>
              <w:lang w:val="es-ES"/>
            </w:rPr>
          </w:pPr>
          <w:hyperlink w:anchor="_Toc96772500" w:history="1">
            <w:r w:rsidR="002B2A3E" w:rsidRPr="00693298">
              <w:rPr>
                <w:rStyle w:val="Hyperlink"/>
                <w:noProof/>
              </w:rPr>
              <w:t>4.3.7. Social and Environmental Standards</w:t>
            </w:r>
            <w:r w:rsidR="002B2A3E">
              <w:rPr>
                <w:noProof/>
                <w:webHidden/>
              </w:rPr>
              <w:tab/>
            </w:r>
            <w:r w:rsidR="002B2A3E">
              <w:rPr>
                <w:noProof/>
                <w:webHidden/>
              </w:rPr>
              <w:fldChar w:fldCharType="begin"/>
            </w:r>
            <w:r w:rsidR="002B2A3E">
              <w:rPr>
                <w:noProof/>
                <w:webHidden/>
              </w:rPr>
              <w:instrText xml:space="preserve"> PAGEREF _Toc96772500 \h </w:instrText>
            </w:r>
            <w:r w:rsidR="002B2A3E">
              <w:rPr>
                <w:noProof/>
                <w:webHidden/>
              </w:rPr>
            </w:r>
            <w:r w:rsidR="002B2A3E">
              <w:rPr>
                <w:noProof/>
                <w:webHidden/>
              </w:rPr>
              <w:fldChar w:fldCharType="separate"/>
            </w:r>
            <w:r w:rsidR="002B2A3E">
              <w:rPr>
                <w:noProof/>
                <w:webHidden/>
              </w:rPr>
              <w:t>54</w:t>
            </w:r>
            <w:r w:rsidR="002B2A3E">
              <w:rPr>
                <w:noProof/>
                <w:webHidden/>
              </w:rPr>
              <w:fldChar w:fldCharType="end"/>
            </w:r>
          </w:hyperlink>
        </w:p>
        <w:p w14:paraId="7E9D4BB3" w14:textId="6B084D07" w:rsidR="002B2A3E" w:rsidRDefault="006D7FD6" w:rsidP="00AC41DE">
          <w:pPr>
            <w:pStyle w:val="TOC3"/>
            <w:rPr>
              <w:rFonts w:asciiTheme="minorHAnsi" w:eastAsiaTheme="minorEastAsia" w:hAnsiTheme="minorHAnsi" w:cstheme="minorBidi"/>
              <w:noProof/>
              <w:lang w:val="es-ES"/>
            </w:rPr>
          </w:pPr>
          <w:hyperlink w:anchor="_Toc96772501" w:history="1">
            <w:r w:rsidR="002B2A3E" w:rsidRPr="00693298">
              <w:rPr>
                <w:rStyle w:val="Hyperlink"/>
                <w:noProof/>
              </w:rPr>
              <w:t>4.3.7</w:t>
            </w:r>
            <w:r w:rsidR="002B2A3E">
              <w:rPr>
                <w:rFonts w:asciiTheme="minorHAnsi" w:eastAsiaTheme="minorEastAsia" w:hAnsiTheme="minorHAnsi" w:cstheme="minorBidi"/>
                <w:noProof/>
                <w:lang w:val="es-ES"/>
              </w:rPr>
              <w:tab/>
            </w:r>
            <w:r w:rsidR="002B2A3E" w:rsidRPr="00693298">
              <w:rPr>
                <w:rStyle w:val="Hyperlink"/>
                <w:noProof/>
              </w:rPr>
              <w:t>Sustainability: financial (*), socio-political (*), institutional framework and governance (*), environmental (*), overall likelihood of sustainability (*)</w:t>
            </w:r>
            <w:r w:rsidR="002B2A3E">
              <w:rPr>
                <w:noProof/>
                <w:webHidden/>
              </w:rPr>
              <w:tab/>
            </w:r>
            <w:r w:rsidR="002B2A3E">
              <w:rPr>
                <w:noProof/>
                <w:webHidden/>
              </w:rPr>
              <w:fldChar w:fldCharType="begin"/>
            </w:r>
            <w:r w:rsidR="002B2A3E">
              <w:rPr>
                <w:noProof/>
                <w:webHidden/>
              </w:rPr>
              <w:instrText xml:space="preserve"> PAGEREF _Toc96772501 \h </w:instrText>
            </w:r>
            <w:r w:rsidR="002B2A3E">
              <w:rPr>
                <w:noProof/>
                <w:webHidden/>
              </w:rPr>
            </w:r>
            <w:r w:rsidR="002B2A3E">
              <w:rPr>
                <w:noProof/>
                <w:webHidden/>
              </w:rPr>
              <w:fldChar w:fldCharType="separate"/>
            </w:r>
            <w:r w:rsidR="002B2A3E">
              <w:rPr>
                <w:noProof/>
                <w:webHidden/>
              </w:rPr>
              <w:t>54</w:t>
            </w:r>
            <w:r w:rsidR="002B2A3E">
              <w:rPr>
                <w:noProof/>
                <w:webHidden/>
              </w:rPr>
              <w:fldChar w:fldCharType="end"/>
            </w:r>
          </w:hyperlink>
        </w:p>
        <w:p w14:paraId="736E19B8" w14:textId="5922EE98" w:rsidR="002B2A3E" w:rsidRDefault="006D7FD6" w:rsidP="00AC41DE">
          <w:pPr>
            <w:pStyle w:val="TOC3"/>
            <w:rPr>
              <w:rFonts w:asciiTheme="minorHAnsi" w:eastAsiaTheme="minorEastAsia" w:hAnsiTheme="minorHAnsi" w:cstheme="minorBidi"/>
              <w:noProof/>
              <w:lang w:val="es-ES"/>
            </w:rPr>
          </w:pPr>
          <w:hyperlink w:anchor="_Toc96772502" w:history="1">
            <w:r w:rsidR="002B2A3E" w:rsidRPr="00693298">
              <w:rPr>
                <w:rStyle w:val="Hyperlink"/>
                <w:noProof/>
              </w:rPr>
              <w:t>4.3.8</w:t>
            </w:r>
            <w:r w:rsidR="002B2A3E">
              <w:rPr>
                <w:rFonts w:asciiTheme="minorHAnsi" w:eastAsiaTheme="minorEastAsia" w:hAnsiTheme="minorHAnsi" w:cstheme="minorBidi"/>
                <w:noProof/>
                <w:lang w:val="es-ES"/>
              </w:rPr>
              <w:tab/>
            </w:r>
            <w:r w:rsidR="002B2A3E" w:rsidRPr="00693298">
              <w:rPr>
                <w:rStyle w:val="Hyperlink"/>
                <w:noProof/>
              </w:rPr>
              <w:t>Gender equality and women’s empowerment</w:t>
            </w:r>
            <w:r w:rsidR="002B2A3E">
              <w:rPr>
                <w:noProof/>
                <w:webHidden/>
              </w:rPr>
              <w:tab/>
            </w:r>
            <w:r w:rsidR="002B2A3E">
              <w:rPr>
                <w:noProof/>
                <w:webHidden/>
              </w:rPr>
              <w:fldChar w:fldCharType="begin"/>
            </w:r>
            <w:r w:rsidR="002B2A3E">
              <w:rPr>
                <w:noProof/>
                <w:webHidden/>
              </w:rPr>
              <w:instrText xml:space="preserve"> PAGEREF _Toc96772502 \h </w:instrText>
            </w:r>
            <w:r w:rsidR="002B2A3E">
              <w:rPr>
                <w:noProof/>
                <w:webHidden/>
              </w:rPr>
            </w:r>
            <w:r w:rsidR="002B2A3E">
              <w:rPr>
                <w:noProof/>
                <w:webHidden/>
              </w:rPr>
              <w:fldChar w:fldCharType="separate"/>
            </w:r>
            <w:r w:rsidR="002B2A3E">
              <w:rPr>
                <w:noProof/>
                <w:webHidden/>
              </w:rPr>
              <w:t>56</w:t>
            </w:r>
            <w:r w:rsidR="002B2A3E">
              <w:rPr>
                <w:noProof/>
                <w:webHidden/>
              </w:rPr>
              <w:fldChar w:fldCharType="end"/>
            </w:r>
          </w:hyperlink>
        </w:p>
        <w:p w14:paraId="61DDA63F" w14:textId="41BBF698" w:rsidR="002B2A3E" w:rsidRDefault="006D7FD6" w:rsidP="00AC41DE">
          <w:pPr>
            <w:pStyle w:val="TOC3"/>
            <w:rPr>
              <w:rFonts w:asciiTheme="minorHAnsi" w:eastAsiaTheme="minorEastAsia" w:hAnsiTheme="minorHAnsi" w:cstheme="minorBidi"/>
              <w:noProof/>
              <w:lang w:val="es-ES"/>
            </w:rPr>
          </w:pPr>
          <w:hyperlink w:anchor="_Toc96772503" w:history="1">
            <w:r w:rsidR="002B2A3E" w:rsidRPr="00693298">
              <w:rPr>
                <w:rStyle w:val="Hyperlink"/>
                <w:noProof/>
              </w:rPr>
              <w:t>4.3.9</w:t>
            </w:r>
            <w:r w:rsidR="002B2A3E">
              <w:rPr>
                <w:rFonts w:asciiTheme="minorHAnsi" w:eastAsiaTheme="minorEastAsia" w:hAnsiTheme="minorHAnsi" w:cstheme="minorBidi"/>
                <w:noProof/>
                <w:lang w:val="es-ES"/>
              </w:rPr>
              <w:tab/>
            </w:r>
            <w:r w:rsidR="002B2A3E" w:rsidRPr="00693298">
              <w:rPr>
                <w:rStyle w:val="Hyperlink"/>
                <w:noProof/>
              </w:rPr>
              <w:t>Cross-cutting Issues</w:t>
            </w:r>
            <w:r w:rsidR="002B2A3E">
              <w:rPr>
                <w:noProof/>
                <w:webHidden/>
              </w:rPr>
              <w:tab/>
            </w:r>
            <w:r w:rsidR="002B2A3E">
              <w:rPr>
                <w:noProof/>
                <w:webHidden/>
              </w:rPr>
              <w:fldChar w:fldCharType="begin"/>
            </w:r>
            <w:r w:rsidR="002B2A3E">
              <w:rPr>
                <w:noProof/>
                <w:webHidden/>
              </w:rPr>
              <w:instrText xml:space="preserve"> PAGEREF _Toc96772503 \h </w:instrText>
            </w:r>
            <w:r w:rsidR="002B2A3E">
              <w:rPr>
                <w:noProof/>
                <w:webHidden/>
              </w:rPr>
            </w:r>
            <w:r w:rsidR="002B2A3E">
              <w:rPr>
                <w:noProof/>
                <w:webHidden/>
              </w:rPr>
              <w:fldChar w:fldCharType="separate"/>
            </w:r>
            <w:r w:rsidR="002B2A3E">
              <w:rPr>
                <w:noProof/>
                <w:webHidden/>
              </w:rPr>
              <w:t>57</w:t>
            </w:r>
            <w:r w:rsidR="002B2A3E">
              <w:rPr>
                <w:noProof/>
                <w:webHidden/>
              </w:rPr>
              <w:fldChar w:fldCharType="end"/>
            </w:r>
          </w:hyperlink>
        </w:p>
        <w:p w14:paraId="0F3FA937" w14:textId="1E2B2487" w:rsidR="002B2A3E" w:rsidRDefault="006D7FD6" w:rsidP="00AC41DE">
          <w:pPr>
            <w:pStyle w:val="TOC3"/>
            <w:rPr>
              <w:rFonts w:asciiTheme="minorHAnsi" w:eastAsiaTheme="minorEastAsia" w:hAnsiTheme="minorHAnsi" w:cstheme="minorBidi"/>
              <w:noProof/>
              <w:lang w:val="es-ES"/>
            </w:rPr>
          </w:pPr>
          <w:hyperlink w:anchor="_Toc96772504" w:history="1">
            <w:r w:rsidR="002B2A3E" w:rsidRPr="00693298">
              <w:rPr>
                <w:rStyle w:val="Hyperlink"/>
                <w:noProof/>
              </w:rPr>
              <w:t>4.3.10</w:t>
            </w:r>
            <w:r w:rsidR="002B2A3E">
              <w:rPr>
                <w:rFonts w:asciiTheme="minorHAnsi" w:eastAsiaTheme="minorEastAsia" w:hAnsiTheme="minorHAnsi" w:cstheme="minorBidi"/>
                <w:noProof/>
                <w:lang w:val="es-ES"/>
              </w:rPr>
              <w:tab/>
            </w:r>
            <w:r w:rsidR="002B2A3E" w:rsidRPr="00693298">
              <w:rPr>
                <w:rStyle w:val="Hyperlink"/>
                <w:noProof/>
              </w:rPr>
              <w:t>GEF Additionality</w:t>
            </w:r>
            <w:r w:rsidR="002B2A3E">
              <w:rPr>
                <w:noProof/>
                <w:webHidden/>
              </w:rPr>
              <w:tab/>
            </w:r>
            <w:r w:rsidR="002B2A3E">
              <w:rPr>
                <w:noProof/>
                <w:webHidden/>
              </w:rPr>
              <w:fldChar w:fldCharType="begin"/>
            </w:r>
            <w:r w:rsidR="002B2A3E">
              <w:rPr>
                <w:noProof/>
                <w:webHidden/>
              </w:rPr>
              <w:instrText xml:space="preserve"> PAGEREF _Toc96772504 \h </w:instrText>
            </w:r>
            <w:r w:rsidR="002B2A3E">
              <w:rPr>
                <w:noProof/>
                <w:webHidden/>
              </w:rPr>
            </w:r>
            <w:r w:rsidR="002B2A3E">
              <w:rPr>
                <w:noProof/>
                <w:webHidden/>
              </w:rPr>
              <w:fldChar w:fldCharType="separate"/>
            </w:r>
            <w:r w:rsidR="002B2A3E">
              <w:rPr>
                <w:noProof/>
                <w:webHidden/>
              </w:rPr>
              <w:t>58</w:t>
            </w:r>
            <w:r w:rsidR="002B2A3E">
              <w:rPr>
                <w:noProof/>
                <w:webHidden/>
              </w:rPr>
              <w:fldChar w:fldCharType="end"/>
            </w:r>
          </w:hyperlink>
        </w:p>
        <w:p w14:paraId="184B4CCB" w14:textId="4C5E6B51" w:rsidR="002B2A3E" w:rsidRDefault="006D7FD6" w:rsidP="00AC41DE">
          <w:pPr>
            <w:pStyle w:val="TOC3"/>
            <w:rPr>
              <w:rFonts w:asciiTheme="minorHAnsi" w:eastAsiaTheme="minorEastAsia" w:hAnsiTheme="minorHAnsi" w:cstheme="minorBidi"/>
              <w:noProof/>
              <w:lang w:val="es-ES"/>
            </w:rPr>
          </w:pPr>
          <w:hyperlink w:anchor="_Toc96772505" w:history="1">
            <w:r w:rsidR="002B2A3E" w:rsidRPr="00693298">
              <w:rPr>
                <w:rStyle w:val="Hyperlink"/>
                <w:noProof/>
              </w:rPr>
              <w:t>4.3.11</w:t>
            </w:r>
            <w:r w:rsidR="002B2A3E">
              <w:rPr>
                <w:rFonts w:asciiTheme="minorHAnsi" w:eastAsiaTheme="minorEastAsia" w:hAnsiTheme="minorHAnsi" w:cstheme="minorBidi"/>
                <w:noProof/>
                <w:lang w:val="es-ES"/>
              </w:rPr>
              <w:tab/>
            </w:r>
            <w:r w:rsidR="002B2A3E" w:rsidRPr="00693298">
              <w:rPr>
                <w:rStyle w:val="Hyperlink"/>
                <w:noProof/>
              </w:rPr>
              <w:t>Catalytic/Replication Effect</w:t>
            </w:r>
            <w:r w:rsidR="002B2A3E">
              <w:rPr>
                <w:noProof/>
                <w:webHidden/>
              </w:rPr>
              <w:tab/>
            </w:r>
            <w:r w:rsidR="002B2A3E">
              <w:rPr>
                <w:noProof/>
                <w:webHidden/>
              </w:rPr>
              <w:fldChar w:fldCharType="begin"/>
            </w:r>
            <w:r w:rsidR="002B2A3E">
              <w:rPr>
                <w:noProof/>
                <w:webHidden/>
              </w:rPr>
              <w:instrText xml:space="preserve"> PAGEREF _Toc96772505 \h </w:instrText>
            </w:r>
            <w:r w:rsidR="002B2A3E">
              <w:rPr>
                <w:noProof/>
                <w:webHidden/>
              </w:rPr>
            </w:r>
            <w:r w:rsidR="002B2A3E">
              <w:rPr>
                <w:noProof/>
                <w:webHidden/>
              </w:rPr>
              <w:fldChar w:fldCharType="separate"/>
            </w:r>
            <w:r w:rsidR="002B2A3E">
              <w:rPr>
                <w:noProof/>
                <w:webHidden/>
              </w:rPr>
              <w:t>59</w:t>
            </w:r>
            <w:r w:rsidR="002B2A3E">
              <w:rPr>
                <w:noProof/>
                <w:webHidden/>
              </w:rPr>
              <w:fldChar w:fldCharType="end"/>
            </w:r>
          </w:hyperlink>
        </w:p>
        <w:p w14:paraId="1BCDC8DC" w14:textId="02AD9449" w:rsidR="002B2A3E" w:rsidRDefault="006D7FD6" w:rsidP="00AC41DE">
          <w:pPr>
            <w:pStyle w:val="TOC3"/>
            <w:rPr>
              <w:rFonts w:asciiTheme="minorHAnsi" w:eastAsiaTheme="minorEastAsia" w:hAnsiTheme="minorHAnsi" w:cstheme="minorBidi"/>
              <w:noProof/>
              <w:lang w:val="es-ES"/>
            </w:rPr>
          </w:pPr>
          <w:hyperlink w:anchor="_Toc96772506" w:history="1">
            <w:r w:rsidR="002B2A3E" w:rsidRPr="00693298">
              <w:rPr>
                <w:rStyle w:val="Hyperlink"/>
                <w:noProof/>
              </w:rPr>
              <w:t>4.3.12</w:t>
            </w:r>
            <w:r w:rsidR="002B2A3E">
              <w:rPr>
                <w:rFonts w:asciiTheme="minorHAnsi" w:eastAsiaTheme="minorEastAsia" w:hAnsiTheme="minorHAnsi" w:cstheme="minorBidi"/>
                <w:noProof/>
                <w:lang w:val="es-ES"/>
              </w:rPr>
              <w:tab/>
            </w:r>
            <w:r w:rsidR="002B2A3E" w:rsidRPr="00693298">
              <w:rPr>
                <w:rStyle w:val="Hyperlink"/>
                <w:noProof/>
              </w:rPr>
              <w:t>Progress to Impact</w:t>
            </w:r>
            <w:r w:rsidR="002B2A3E">
              <w:rPr>
                <w:noProof/>
                <w:webHidden/>
              </w:rPr>
              <w:tab/>
            </w:r>
            <w:r w:rsidR="002B2A3E">
              <w:rPr>
                <w:noProof/>
                <w:webHidden/>
              </w:rPr>
              <w:fldChar w:fldCharType="begin"/>
            </w:r>
            <w:r w:rsidR="002B2A3E">
              <w:rPr>
                <w:noProof/>
                <w:webHidden/>
              </w:rPr>
              <w:instrText xml:space="preserve"> PAGEREF _Toc96772506 \h </w:instrText>
            </w:r>
            <w:r w:rsidR="002B2A3E">
              <w:rPr>
                <w:noProof/>
                <w:webHidden/>
              </w:rPr>
            </w:r>
            <w:r w:rsidR="002B2A3E">
              <w:rPr>
                <w:noProof/>
                <w:webHidden/>
              </w:rPr>
              <w:fldChar w:fldCharType="separate"/>
            </w:r>
            <w:r w:rsidR="002B2A3E">
              <w:rPr>
                <w:noProof/>
                <w:webHidden/>
              </w:rPr>
              <w:t>59</w:t>
            </w:r>
            <w:r w:rsidR="002B2A3E">
              <w:rPr>
                <w:noProof/>
                <w:webHidden/>
              </w:rPr>
              <w:fldChar w:fldCharType="end"/>
            </w:r>
          </w:hyperlink>
        </w:p>
        <w:p w14:paraId="409F73D8" w14:textId="542C65DC" w:rsidR="002B2A3E" w:rsidRDefault="006D7FD6">
          <w:pPr>
            <w:pStyle w:val="TOC1"/>
            <w:rPr>
              <w:rFonts w:asciiTheme="minorHAnsi" w:eastAsiaTheme="minorEastAsia" w:hAnsiTheme="minorHAnsi" w:cstheme="minorBidi"/>
              <w:noProof/>
              <w:lang w:val="es-ES"/>
            </w:rPr>
          </w:pPr>
          <w:hyperlink w:anchor="_Toc96772507" w:history="1">
            <w:r w:rsidR="002B2A3E" w:rsidRPr="00693298">
              <w:rPr>
                <w:rStyle w:val="Hyperlink"/>
                <w:rFonts w:cstheme="minorHAnsi"/>
                <w:noProof/>
              </w:rPr>
              <w:t>5.</w:t>
            </w:r>
            <w:r w:rsidR="002B2A3E">
              <w:rPr>
                <w:rFonts w:asciiTheme="minorHAnsi" w:eastAsiaTheme="minorEastAsia" w:hAnsiTheme="minorHAnsi" w:cstheme="minorBidi"/>
                <w:noProof/>
                <w:lang w:val="es-ES"/>
              </w:rPr>
              <w:tab/>
            </w:r>
            <w:r w:rsidR="002B2A3E" w:rsidRPr="00693298">
              <w:rPr>
                <w:rStyle w:val="Hyperlink"/>
                <w:rFonts w:cstheme="minorHAnsi"/>
                <w:noProof/>
              </w:rPr>
              <w:t>Main Findings, Conclusions, Recommendations, Lessons Learned</w:t>
            </w:r>
            <w:r w:rsidR="002B2A3E">
              <w:rPr>
                <w:noProof/>
                <w:webHidden/>
              </w:rPr>
              <w:tab/>
            </w:r>
            <w:r w:rsidR="002B2A3E">
              <w:rPr>
                <w:noProof/>
                <w:webHidden/>
              </w:rPr>
              <w:fldChar w:fldCharType="begin"/>
            </w:r>
            <w:r w:rsidR="002B2A3E">
              <w:rPr>
                <w:noProof/>
                <w:webHidden/>
              </w:rPr>
              <w:instrText xml:space="preserve"> PAGEREF _Toc96772507 \h </w:instrText>
            </w:r>
            <w:r w:rsidR="002B2A3E">
              <w:rPr>
                <w:noProof/>
                <w:webHidden/>
              </w:rPr>
            </w:r>
            <w:r w:rsidR="002B2A3E">
              <w:rPr>
                <w:noProof/>
                <w:webHidden/>
              </w:rPr>
              <w:fldChar w:fldCharType="separate"/>
            </w:r>
            <w:r w:rsidR="002B2A3E">
              <w:rPr>
                <w:noProof/>
                <w:webHidden/>
              </w:rPr>
              <w:t>61</w:t>
            </w:r>
            <w:r w:rsidR="002B2A3E">
              <w:rPr>
                <w:noProof/>
                <w:webHidden/>
              </w:rPr>
              <w:fldChar w:fldCharType="end"/>
            </w:r>
          </w:hyperlink>
        </w:p>
        <w:p w14:paraId="402BE9BB" w14:textId="47E922BF" w:rsidR="002B2A3E" w:rsidRDefault="006D7FD6">
          <w:pPr>
            <w:pStyle w:val="TOC2"/>
            <w:tabs>
              <w:tab w:val="left" w:pos="880"/>
              <w:tab w:val="right" w:leader="dot" w:pos="9350"/>
            </w:tabs>
            <w:rPr>
              <w:rFonts w:asciiTheme="minorHAnsi" w:eastAsiaTheme="minorEastAsia" w:hAnsiTheme="minorHAnsi" w:cstheme="minorBidi"/>
              <w:noProof/>
              <w:lang w:val="es-ES"/>
            </w:rPr>
          </w:pPr>
          <w:hyperlink w:anchor="_Toc96772508" w:history="1">
            <w:r w:rsidR="002B2A3E" w:rsidRPr="00693298">
              <w:rPr>
                <w:rStyle w:val="Hyperlink"/>
                <w:noProof/>
              </w:rPr>
              <w:t>5.1</w:t>
            </w:r>
            <w:r w:rsidR="002B2A3E">
              <w:rPr>
                <w:rFonts w:asciiTheme="minorHAnsi" w:eastAsiaTheme="minorEastAsia" w:hAnsiTheme="minorHAnsi" w:cstheme="minorBidi"/>
                <w:noProof/>
                <w:lang w:val="es-ES"/>
              </w:rPr>
              <w:tab/>
            </w:r>
            <w:r w:rsidR="002B2A3E" w:rsidRPr="00693298">
              <w:rPr>
                <w:rStyle w:val="Hyperlink"/>
                <w:noProof/>
              </w:rPr>
              <w:t>Main Findings</w:t>
            </w:r>
            <w:r w:rsidR="002B2A3E">
              <w:rPr>
                <w:noProof/>
                <w:webHidden/>
              </w:rPr>
              <w:tab/>
            </w:r>
            <w:r w:rsidR="002B2A3E">
              <w:rPr>
                <w:noProof/>
                <w:webHidden/>
              </w:rPr>
              <w:fldChar w:fldCharType="begin"/>
            </w:r>
            <w:r w:rsidR="002B2A3E">
              <w:rPr>
                <w:noProof/>
                <w:webHidden/>
              </w:rPr>
              <w:instrText xml:space="preserve"> PAGEREF _Toc96772508 \h </w:instrText>
            </w:r>
            <w:r w:rsidR="002B2A3E">
              <w:rPr>
                <w:noProof/>
                <w:webHidden/>
              </w:rPr>
            </w:r>
            <w:r w:rsidR="002B2A3E">
              <w:rPr>
                <w:noProof/>
                <w:webHidden/>
              </w:rPr>
              <w:fldChar w:fldCharType="separate"/>
            </w:r>
            <w:r w:rsidR="002B2A3E">
              <w:rPr>
                <w:noProof/>
                <w:webHidden/>
              </w:rPr>
              <w:t>61</w:t>
            </w:r>
            <w:r w:rsidR="002B2A3E">
              <w:rPr>
                <w:noProof/>
                <w:webHidden/>
              </w:rPr>
              <w:fldChar w:fldCharType="end"/>
            </w:r>
          </w:hyperlink>
        </w:p>
        <w:p w14:paraId="6FB2709D" w14:textId="423A8D72" w:rsidR="002B2A3E" w:rsidRDefault="006D7FD6">
          <w:pPr>
            <w:pStyle w:val="TOC2"/>
            <w:tabs>
              <w:tab w:val="left" w:pos="880"/>
              <w:tab w:val="right" w:leader="dot" w:pos="9350"/>
            </w:tabs>
            <w:rPr>
              <w:rFonts w:asciiTheme="minorHAnsi" w:eastAsiaTheme="minorEastAsia" w:hAnsiTheme="minorHAnsi" w:cstheme="minorBidi"/>
              <w:noProof/>
              <w:lang w:val="es-ES"/>
            </w:rPr>
          </w:pPr>
          <w:hyperlink w:anchor="_Toc96772509" w:history="1">
            <w:r w:rsidR="002B2A3E" w:rsidRPr="00693298">
              <w:rPr>
                <w:rStyle w:val="Hyperlink"/>
                <w:noProof/>
              </w:rPr>
              <w:t>5.2</w:t>
            </w:r>
            <w:r w:rsidR="002B2A3E">
              <w:rPr>
                <w:rFonts w:asciiTheme="minorHAnsi" w:eastAsiaTheme="minorEastAsia" w:hAnsiTheme="minorHAnsi" w:cstheme="minorBidi"/>
                <w:noProof/>
                <w:lang w:val="es-ES"/>
              </w:rPr>
              <w:tab/>
            </w:r>
            <w:r w:rsidR="002B2A3E" w:rsidRPr="00693298">
              <w:rPr>
                <w:rStyle w:val="Hyperlink"/>
                <w:noProof/>
              </w:rPr>
              <w:t>Conclusions</w:t>
            </w:r>
            <w:r w:rsidR="002B2A3E">
              <w:rPr>
                <w:noProof/>
                <w:webHidden/>
              </w:rPr>
              <w:tab/>
            </w:r>
            <w:r w:rsidR="002B2A3E">
              <w:rPr>
                <w:noProof/>
                <w:webHidden/>
              </w:rPr>
              <w:fldChar w:fldCharType="begin"/>
            </w:r>
            <w:r w:rsidR="002B2A3E">
              <w:rPr>
                <w:noProof/>
                <w:webHidden/>
              </w:rPr>
              <w:instrText xml:space="preserve"> PAGEREF _Toc96772509 \h </w:instrText>
            </w:r>
            <w:r w:rsidR="002B2A3E">
              <w:rPr>
                <w:noProof/>
                <w:webHidden/>
              </w:rPr>
            </w:r>
            <w:r w:rsidR="002B2A3E">
              <w:rPr>
                <w:noProof/>
                <w:webHidden/>
              </w:rPr>
              <w:fldChar w:fldCharType="separate"/>
            </w:r>
            <w:r w:rsidR="002B2A3E">
              <w:rPr>
                <w:noProof/>
                <w:webHidden/>
              </w:rPr>
              <w:t>61</w:t>
            </w:r>
            <w:r w:rsidR="002B2A3E">
              <w:rPr>
                <w:noProof/>
                <w:webHidden/>
              </w:rPr>
              <w:fldChar w:fldCharType="end"/>
            </w:r>
          </w:hyperlink>
        </w:p>
        <w:p w14:paraId="2B973464" w14:textId="00C82AE1" w:rsidR="002B2A3E" w:rsidRDefault="006D7FD6">
          <w:pPr>
            <w:pStyle w:val="TOC2"/>
            <w:tabs>
              <w:tab w:val="left" w:pos="880"/>
              <w:tab w:val="right" w:leader="dot" w:pos="9350"/>
            </w:tabs>
            <w:rPr>
              <w:rFonts w:asciiTheme="minorHAnsi" w:eastAsiaTheme="minorEastAsia" w:hAnsiTheme="minorHAnsi" w:cstheme="minorBidi"/>
              <w:noProof/>
              <w:lang w:val="es-ES"/>
            </w:rPr>
          </w:pPr>
          <w:hyperlink w:anchor="_Toc96772510" w:history="1">
            <w:r w:rsidR="002B2A3E" w:rsidRPr="00693298">
              <w:rPr>
                <w:rStyle w:val="Hyperlink"/>
                <w:noProof/>
              </w:rPr>
              <w:t>5.3</w:t>
            </w:r>
            <w:r w:rsidR="002B2A3E">
              <w:rPr>
                <w:rFonts w:asciiTheme="minorHAnsi" w:eastAsiaTheme="minorEastAsia" w:hAnsiTheme="minorHAnsi" w:cstheme="minorBidi"/>
                <w:noProof/>
                <w:lang w:val="es-ES"/>
              </w:rPr>
              <w:tab/>
            </w:r>
            <w:r w:rsidR="002B2A3E" w:rsidRPr="00693298">
              <w:rPr>
                <w:rStyle w:val="Hyperlink"/>
                <w:noProof/>
              </w:rPr>
              <w:t>Recommendations</w:t>
            </w:r>
            <w:r w:rsidR="002B2A3E">
              <w:rPr>
                <w:noProof/>
                <w:webHidden/>
              </w:rPr>
              <w:tab/>
            </w:r>
            <w:r w:rsidR="002B2A3E">
              <w:rPr>
                <w:noProof/>
                <w:webHidden/>
              </w:rPr>
              <w:fldChar w:fldCharType="begin"/>
            </w:r>
            <w:r w:rsidR="002B2A3E">
              <w:rPr>
                <w:noProof/>
                <w:webHidden/>
              </w:rPr>
              <w:instrText xml:space="preserve"> PAGEREF _Toc96772510 \h </w:instrText>
            </w:r>
            <w:r w:rsidR="002B2A3E">
              <w:rPr>
                <w:noProof/>
                <w:webHidden/>
              </w:rPr>
            </w:r>
            <w:r w:rsidR="002B2A3E">
              <w:rPr>
                <w:noProof/>
                <w:webHidden/>
              </w:rPr>
              <w:fldChar w:fldCharType="separate"/>
            </w:r>
            <w:r w:rsidR="002B2A3E">
              <w:rPr>
                <w:noProof/>
                <w:webHidden/>
              </w:rPr>
              <w:t>61</w:t>
            </w:r>
            <w:r w:rsidR="002B2A3E">
              <w:rPr>
                <w:noProof/>
                <w:webHidden/>
              </w:rPr>
              <w:fldChar w:fldCharType="end"/>
            </w:r>
          </w:hyperlink>
        </w:p>
        <w:p w14:paraId="62C1B5D2" w14:textId="158AD4F6" w:rsidR="002B2A3E" w:rsidRDefault="006D7FD6">
          <w:pPr>
            <w:pStyle w:val="TOC1"/>
            <w:rPr>
              <w:rFonts w:asciiTheme="minorHAnsi" w:eastAsiaTheme="minorEastAsia" w:hAnsiTheme="minorHAnsi" w:cstheme="minorBidi"/>
              <w:noProof/>
              <w:lang w:val="es-ES"/>
            </w:rPr>
          </w:pPr>
          <w:hyperlink w:anchor="_Toc96772511" w:history="1">
            <w:r w:rsidR="002B2A3E" w:rsidRPr="00693298">
              <w:rPr>
                <w:rStyle w:val="Hyperlink"/>
                <w:rFonts w:cstheme="minorHAnsi"/>
                <w:noProof/>
              </w:rPr>
              <w:t>6.</w:t>
            </w:r>
            <w:r w:rsidR="002B2A3E">
              <w:rPr>
                <w:rFonts w:asciiTheme="minorHAnsi" w:eastAsiaTheme="minorEastAsia" w:hAnsiTheme="minorHAnsi" w:cstheme="minorBidi"/>
                <w:noProof/>
                <w:lang w:val="es-ES"/>
              </w:rPr>
              <w:tab/>
            </w:r>
            <w:r w:rsidR="002B2A3E" w:rsidRPr="00693298">
              <w:rPr>
                <w:rStyle w:val="Hyperlink"/>
                <w:rFonts w:cstheme="minorHAnsi"/>
                <w:noProof/>
              </w:rPr>
              <w:t>Annexes</w:t>
            </w:r>
            <w:r w:rsidR="002B2A3E">
              <w:rPr>
                <w:noProof/>
                <w:webHidden/>
              </w:rPr>
              <w:tab/>
            </w:r>
            <w:r w:rsidR="002B2A3E">
              <w:rPr>
                <w:noProof/>
                <w:webHidden/>
              </w:rPr>
              <w:fldChar w:fldCharType="begin"/>
            </w:r>
            <w:r w:rsidR="002B2A3E">
              <w:rPr>
                <w:noProof/>
                <w:webHidden/>
              </w:rPr>
              <w:instrText xml:space="preserve"> PAGEREF _Toc96772511 \h </w:instrText>
            </w:r>
            <w:r w:rsidR="002B2A3E">
              <w:rPr>
                <w:noProof/>
                <w:webHidden/>
              </w:rPr>
            </w:r>
            <w:r w:rsidR="002B2A3E">
              <w:rPr>
                <w:noProof/>
                <w:webHidden/>
              </w:rPr>
              <w:fldChar w:fldCharType="separate"/>
            </w:r>
            <w:r w:rsidR="002B2A3E">
              <w:rPr>
                <w:noProof/>
                <w:webHidden/>
              </w:rPr>
              <w:t>62</w:t>
            </w:r>
            <w:r w:rsidR="002B2A3E">
              <w:rPr>
                <w:noProof/>
                <w:webHidden/>
              </w:rPr>
              <w:fldChar w:fldCharType="end"/>
            </w:r>
          </w:hyperlink>
        </w:p>
        <w:p w14:paraId="3C691CCB" w14:textId="3971CC3B" w:rsidR="002B2A3E" w:rsidRDefault="006D7FD6">
          <w:pPr>
            <w:pStyle w:val="TOC2"/>
            <w:tabs>
              <w:tab w:val="right" w:leader="dot" w:pos="9350"/>
            </w:tabs>
            <w:rPr>
              <w:rFonts w:asciiTheme="minorHAnsi" w:eastAsiaTheme="minorEastAsia" w:hAnsiTheme="minorHAnsi" w:cstheme="minorBidi"/>
              <w:noProof/>
              <w:lang w:val="es-ES"/>
            </w:rPr>
          </w:pPr>
          <w:hyperlink w:anchor="_Toc96772512" w:history="1">
            <w:r w:rsidR="002B2A3E" w:rsidRPr="00693298">
              <w:rPr>
                <w:rStyle w:val="Hyperlink"/>
                <w:noProof/>
              </w:rPr>
              <w:t>Annex 1. Summary of Rating Scales</w:t>
            </w:r>
            <w:r w:rsidR="002B2A3E">
              <w:rPr>
                <w:noProof/>
                <w:webHidden/>
              </w:rPr>
              <w:tab/>
            </w:r>
            <w:r w:rsidR="002B2A3E">
              <w:rPr>
                <w:noProof/>
                <w:webHidden/>
              </w:rPr>
              <w:fldChar w:fldCharType="begin"/>
            </w:r>
            <w:r w:rsidR="002B2A3E">
              <w:rPr>
                <w:noProof/>
                <w:webHidden/>
              </w:rPr>
              <w:instrText xml:space="preserve"> PAGEREF _Toc96772512 \h </w:instrText>
            </w:r>
            <w:r w:rsidR="002B2A3E">
              <w:rPr>
                <w:noProof/>
                <w:webHidden/>
              </w:rPr>
            </w:r>
            <w:r w:rsidR="002B2A3E">
              <w:rPr>
                <w:noProof/>
                <w:webHidden/>
              </w:rPr>
              <w:fldChar w:fldCharType="separate"/>
            </w:r>
            <w:r w:rsidR="002B2A3E">
              <w:rPr>
                <w:noProof/>
                <w:webHidden/>
              </w:rPr>
              <w:t>62</w:t>
            </w:r>
            <w:r w:rsidR="002B2A3E">
              <w:rPr>
                <w:noProof/>
                <w:webHidden/>
              </w:rPr>
              <w:fldChar w:fldCharType="end"/>
            </w:r>
          </w:hyperlink>
        </w:p>
        <w:p w14:paraId="278279FB" w14:textId="4DFE07A3" w:rsidR="002B2A3E" w:rsidRDefault="006D7FD6">
          <w:pPr>
            <w:pStyle w:val="TOC2"/>
            <w:tabs>
              <w:tab w:val="right" w:leader="dot" w:pos="9350"/>
            </w:tabs>
            <w:rPr>
              <w:rFonts w:asciiTheme="minorHAnsi" w:eastAsiaTheme="minorEastAsia" w:hAnsiTheme="minorHAnsi" w:cstheme="minorBidi"/>
              <w:noProof/>
              <w:lang w:val="es-ES"/>
            </w:rPr>
          </w:pPr>
          <w:hyperlink w:anchor="_Toc96772513" w:history="1">
            <w:r w:rsidR="002B2A3E" w:rsidRPr="00693298">
              <w:rPr>
                <w:rStyle w:val="Hyperlink"/>
                <w:noProof/>
              </w:rPr>
              <w:t>Annex 2. Terms of Reference</w:t>
            </w:r>
            <w:r w:rsidR="002B2A3E">
              <w:rPr>
                <w:noProof/>
                <w:webHidden/>
              </w:rPr>
              <w:tab/>
            </w:r>
            <w:r w:rsidR="002B2A3E">
              <w:rPr>
                <w:noProof/>
                <w:webHidden/>
              </w:rPr>
              <w:fldChar w:fldCharType="begin"/>
            </w:r>
            <w:r w:rsidR="002B2A3E">
              <w:rPr>
                <w:noProof/>
                <w:webHidden/>
              </w:rPr>
              <w:instrText xml:space="preserve"> PAGEREF _Toc96772513 \h </w:instrText>
            </w:r>
            <w:r w:rsidR="002B2A3E">
              <w:rPr>
                <w:noProof/>
                <w:webHidden/>
              </w:rPr>
            </w:r>
            <w:r w:rsidR="002B2A3E">
              <w:rPr>
                <w:noProof/>
                <w:webHidden/>
              </w:rPr>
              <w:fldChar w:fldCharType="separate"/>
            </w:r>
            <w:r w:rsidR="002B2A3E">
              <w:rPr>
                <w:noProof/>
                <w:webHidden/>
              </w:rPr>
              <w:t>65</w:t>
            </w:r>
            <w:r w:rsidR="002B2A3E">
              <w:rPr>
                <w:noProof/>
                <w:webHidden/>
              </w:rPr>
              <w:fldChar w:fldCharType="end"/>
            </w:r>
          </w:hyperlink>
        </w:p>
        <w:p w14:paraId="538E4AAE" w14:textId="755B309E" w:rsidR="002B2A3E" w:rsidRDefault="006D7FD6">
          <w:pPr>
            <w:pStyle w:val="TOC2"/>
            <w:tabs>
              <w:tab w:val="right" w:leader="dot" w:pos="9350"/>
            </w:tabs>
            <w:rPr>
              <w:rFonts w:asciiTheme="minorHAnsi" w:eastAsiaTheme="minorEastAsia" w:hAnsiTheme="minorHAnsi" w:cstheme="minorBidi"/>
              <w:noProof/>
              <w:lang w:val="es-ES"/>
            </w:rPr>
          </w:pPr>
          <w:hyperlink w:anchor="_Toc96772514" w:history="1">
            <w:r w:rsidR="002B2A3E" w:rsidRPr="00693298">
              <w:rPr>
                <w:rStyle w:val="Hyperlink"/>
                <w:rFonts w:ascii="Segoe UI" w:hAnsi="Segoe UI" w:cs="Segoe UI"/>
                <w:noProof/>
              </w:rPr>
              <w:t xml:space="preserve">Annex 3. </w:t>
            </w:r>
            <w:r w:rsidR="002B2A3E" w:rsidRPr="00693298">
              <w:rPr>
                <w:rStyle w:val="Hyperlink"/>
                <w:noProof/>
              </w:rPr>
              <w:t>Revised Risk Rating</w:t>
            </w:r>
            <w:r w:rsidR="002B2A3E">
              <w:rPr>
                <w:noProof/>
                <w:webHidden/>
              </w:rPr>
              <w:tab/>
            </w:r>
            <w:r w:rsidR="002B2A3E">
              <w:rPr>
                <w:noProof/>
                <w:webHidden/>
              </w:rPr>
              <w:fldChar w:fldCharType="begin"/>
            </w:r>
            <w:r w:rsidR="002B2A3E">
              <w:rPr>
                <w:noProof/>
                <w:webHidden/>
              </w:rPr>
              <w:instrText xml:space="preserve"> PAGEREF _Toc96772514 \h </w:instrText>
            </w:r>
            <w:r w:rsidR="002B2A3E">
              <w:rPr>
                <w:noProof/>
                <w:webHidden/>
              </w:rPr>
            </w:r>
            <w:r w:rsidR="002B2A3E">
              <w:rPr>
                <w:noProof/>
                <w:webHidden/>
              </w:rPr>
              <w:fldChar w:fldCharType="separate"/>
            </w:r>
            <w:r w:rsidR="002B2A3E">
              <w:rPr>
                <w:noProof/>
                <w:webHidden/>
              </w:rPr>
              <w:t>83</w:t>
            </w:r>
            <w:r w:rsidR="002B2A3E">
              <w:rPr>
                <w:noProof/>
                <w:webHidden/>
              </w:rPr>
              <w:fldChar w:fldCharType="end"/>
            </w:r>
          </w:hyperlink>
        </w:p>
        <w:p w14:paraId="14D3CD68" w14:textId="0DAE7DD5" w:rsidR="002B2A3E" w:rsidRDefault="006D7FD6">
          <w:pPr>
            <w:pStyle w:val="TOC2"/>
            <w:tabs>
              <w:tab w:val="right" w:leader="dot" w:pos="9350"/>
            </w:tabs>
            <w:rPr>
              <w:rFonts w:asciiTheme="minorHAnsi" w:eastAsiaTheme="minorEastAsia" w:hAnsiTheme="minorHAnsi" w:cstheme="minorBidi"/>
              <w:noProof/>
              <w:lang w:val="es-ES"/>
            </w:rPr>
          </w:pPr>
          <w:hyperlink w:anchor="_Toc96772515" w:history="1">
            <w:r w:rsidR="002B2A3E" w:rsidRPr="00693298">
              <w:rPr>
                <w:rStyle w:val="Hyperlink"/>
                <w:noProof/>
              </w:rPr>
              <w:t>Annex 4. Changes made to the project design during implementation</w:t>
            </w:r>
            <w:r w:rsidR="002B2A3E">
              <w:rPr>
                <w:noProof/>
                <w:webHidden/>
              </w:rPr>
              <w:tab/>
            </w:r>
            <w:r w:rsidR="002B2A3E">
              <w:rPr>
                <w:noProof/>
                <w:webHidden/>
              </w:rPr>
              <w:fldChar w:fldCharType="begin"/>
            </w:r>
            <w:r w:rsidR="002B2A3E">
              <w:rPr>
                <w:noProof/>
                <w:webHidden/>
              </w:rPr>
              <w:instrText xml:space="preserve"> PAGEREF _Toc96772515 \h </w:instrText>
            </w:r>
            <w:r w:rsidR="002B2A3E">
              <w:rPr>
                <w:noProof/>
                <w:webHidden/>
              </w:rPr>
            </w:r>
            <w:r w:rsidR="002B2A3E">
              <w:rPr>
                <w:noProof/>
                <w:webHidden/>
              </w:rPr>
              <w:fldChar w:fldCharType="separate"/>
            </w:r>
            <w:r w:rsidR="002B2A3E">
              <w:rPr>
                <w:noProof/>
                <w:webHidden/>
              </w:rPr>
              <w:t>85</w:t>
            </w:r>
            <w:r w:rsidR="002B2A3E">
              <w:rPr>
                <w:noProof/>
                <w:webHidden/>
              </w:rPr>
              <w:fldChar w:fldCharType="end"/>
            </w:r>
          </w:hyperlink>
        </w:p>
        <w:p w14:paraId="1C7BBA3E" w14:textId="4B64133D" w:rsidR="002B2A3E" w:rsidRDefault="006D7FD6">
          <w:pPr>
            <w:pStyle w:val="TOC2"/>
            <w:tabs>
              <w:tab w:val="right" w:leader="dot" w:pos="9350"/>
            </w:tabs>
            <w:rPr>
              <w:rFonts w:asciiTheme="minorHAnsi" w:eastAsiaTheme="minorEastAsia" w:hAnsiTheme="minorHAnsi" w:cstheme="minorBidi"/>
              <w:noProof/>
              <w:lang w:val="es-ES"/>
            </w:rPr>
          </w:pPr>
          <w:hyperlink w:anchor="_Toc96772516" w:history="1">
            <w:r w:rsidR="002B2A3E" w:rsidRPr="00693298">
              <w:rPr>
                <w:rStyle w:val="Hyperlink"/>
                <w:noProof/>
              </w:rPr>
              <w:t>Annex 5. List of Project’s Stakeholder Interviewed for the TE</w:t>
            </w:r>
            <w:r w:rsidR="002B2A3E">
              <w:rPr>
                <w:noProof/>
                <w:webHidden/>
              </w:rPr>
              <w:tab/>
            </w:r>
            <w:r w:rsidR="002B2A3E">
              <w:rPr>
                <w:noProof/>
                <w:webHidden/>
              </w:rPr>
              <w:fldChar w:fldCharType="begin"/>
            </w:r>
            <w:r w:rsidR="002B2A3E">
              <w:rPr>
                <w:noProof/>
                <w:webHidden/>
              </w:rPr>
              <w:instrText xml:space="preserve"> PAGEREF _Toc96772516 \h </w:instrText>
            </w:r>
            <w:r w:rsidR="002B2A3E">
              <w:rPr>
                <w:noProof/>
                <w:webHidden/>
              </w:rPr>
            </w:r>
            <w:r w:rsidR="002B2A3E">
              <w:rPr>
                <w:noProof/>
                <w:webHidden/>
              </w:rPr>
              <w:fldChar w:fldCharType="separate"/>
            </w:r>
            <w:r w:rsidR="002B2A3E">
              <w:rPr>
                <w:noProof/>
                <w:webHidden/>
              </w:rPr>
              <w:t>87</w:t>
            </w:r>
            <w:r w:rsidR="002B2A3E">
              <w:rPr>
                <w:noProof/>
                <w:webHidden/>
              </w:rPr>
              <w:fldChar w:fldCharType="end"/>
            </w:r>
          </w:hyperlink>
        </w:p>
        <w:p w14:paraId="51A49D7C" w14:textId="749564DF" w:rsidR="002B2A3E" w:rsidRDefault="006D7FD6">
          <w:pPr>
            <w:pStyle w:val="TOC2"/>
            <w:tabs>
              <w:tab w:val="right" w:leader="dot" w:pos="9350"/>
            </w:tabs>
            <w:rPr>
              <w:rFonts w:asciiTheme="minorHAnsi" w:eastAsiaTheme="minorEastAsia" w:hAnsiTheme="minorHAnsi" w:cstheme="minorBidi"/>
              <w:noProof/>
              <w:lang w:val="es-ES"/>
            </w:rPr>
          </w:pPr>
          <w:hyperlink w:anchor="_Toc96772517" w:history="1">
            <w:r w:rsidR="002B2A3E" w:rsidRPr="00693298">
              <w:rPr>
                <w:rStyle w:val="Hyperlink"/>
                <w:noProof/>
              </w:rPr>
              <w:t>Annex 6. Agenda for TE Implementation</w:t>
            </w:r>
            <w:r w:rsidR="002B2A3E">
              <w:rPr>
                <w:noProof/>
                <w:webHidden/>
              </w:rPr>
              <w:tab/>
            </w:r>
            <w:r w:rsidR="002B2A3E">
              <w:rPr>
                <w:noProof/>
                <w:webHidden/>
              </w:rPr>
              <w:fldChar w:fldCharType="begin"/>
            </w:r>
            <w:r w:rsidR="002B2A3E">
              <w:rPr>
                <w:noProof/>
                <w:webHidden/>
              </w:rPr>
              <w:instrText xml:space="preserve"> PAGEREF _Toc96772517 \h </w:instrText>
            </w:r>
            <w:r w:rsidR="002B2A3E">
              <w:rPr>
                <w:noProof/>
                <w:webHidden/>
              </w:rPr>
            </w:r>
            <w:r w:rsidR="002B2A3E">
              <w:rPr>
                <w:noProof/>
                <w:webHidden/>
              </w:rPr>
              <w:fldChar w:fldCharType="separate"/>
            </w:r>
            <w:r w:rsidR="002B2A3E">
              <w:rPr>
                <w:noProof/>
                <w:webHidden/>
              </w:rPr>
              <w:t>89</w:t>
            </w:r>
            <w:r w:rsidR="002B2A3E">
              <w:rPr>
                <w:noProof/>
                <w:webHidden/>
              </w:rPr>
              <w:fldChar w:fldCharType="end"/>
            </w:r>
          </w:hyperlink>
        </w:p>
        <w:p w14:paraId="333A8A65" w14:textId="6EAA5136" w:rsidR="002B2A3E" w:rsidRDefault="006D7FD6">
          <w:pPr>
            <w:pStyle w:val="TOC2"/>
            <w:tabs>
              <w:tab w:val="right" w:leader="dot" w:pos="9350"/>
            </w:tabs>
            <w:rPr>
              <w:rFonts w:asciiTheme="minorHAnsi" w:eastAsiaTheme="minorEastAsia" w:hAnsiTheme="minorHAnsi" w:cstheme="minorBidi"/>
              <w:noProof/>
              <w:lang w:val="es-ES"/>
            </w:rPr>
          </w:pPr>
          <w:hyperlink w:anchor="_Toc96772518" w:history="1">
            <w:r w:rsidR="002B2A3E" w:rsidRPr="00693298">
              <w:rPr>
                <w:rStyle w:val="Hyperlink"/>
                <w:noProof/>
              </w:rPr>
              <w:t>Annex 7: List of Documents Reviewed</w:t>
            </w:r>
            <w:r w:rsidR="002B2A3E">
              <w:rPr>
                <w:noProof/>
                <w:webHidden/>
              </w:rPr>
              <w:tab/>
            </w:r>
            <w:r w:rsidR="002B2A3E">
              <w:rPr>
                <w:noProof/>
                <w:webHidden/>
              </w:rPr>
              <w:fldChar w:fldCharType="begin"/>
            </w:r>
            <w:r w:rsidR="002B2A3E">
              <w:rPr>
                <w:noProof/>
                <w:webHidden/>
              </w:rPr>
              <w:instrText xml:space="preserve"> PAGEREF _Toc96772518 \h </w:instrText>
            </w:r>
            <w:r w:rsidR="002B2A3E">
              <w:rPr>
                <w:noProof/>
                <w:webHidden/>
              </w:rPr>
            </w:r>
            <w:r w:rsidR="002B2A3E">
              <w:rPr>
                <w:noProof/>
                <w:webHidden/>
              </w:rPr>
              <w:fldChar w:fldCharType="separate"/>
            </w:r>
            <w:r w:rsidR="002B2A3E">
              <w:rPr>
                <w:noProof/>
                <w:webHidden/>
              </w:rPr>
              <w:t>92</w:t>
            </w:r>
            <w:r w:rsidR="002B2A3E">
              <w:rPr>
                <w:noProof/>
                <w:webHidden/>
              </w:rPr>
              <w:fldChar w:fldCharType="end"/>
            </w:r>
          </w:hyperlink>
        </w:p>
        <w:p w14:paraId="67DC1131" w14:textId="7977B43C" w:rsidR="002B2A3E" w:rsidRDefault="006D7FD6">
          <w:pPr>
            <w:pStyle w:val="TOC2"/>
            <w:tabs>
              <w:tab w:val="right" w:leader="dot" w:pos="9350"/>
            </w:tabs>
            <w:rPr>
              <w:rFonts w:asciiTheme="minorHAnsi" w:eastAsiaTheme="minorEastAsia" w:hAnsiTheme="minorHAnsi" w:cstheme="minorBidi"/>
              <w:noProof/>
              <w:lang w:val="es-ES"/>
            </w:rPr>
          </w:pPr>
          <w:hyperlink w:anchor="_Toc96772519" w:history="1">
            <w:r w:rsidR="002B2A3E" w:rsidRPr="00693298">
              <w:rPr>
                <w:rStyle w:val="Hyperlink"/>
                <w:noProof/>
              </w:rPr>
              <w:t>Annex 8. Evaluation Matrix</w:t>
            </w:r>
            <w:r w:rsidR="002B2A3E">
              <w:rPr>
                <w:noProof/>
                <w:webHidden/>
              </w:rPr>
              <w:tab/>
            </w:r>
            <w:r w:rsidR="002B2A3E">
              <w:rPr>
                <w:noProof/>
                <w:webHidden/>
              </w:rPr>
              <w:fldChar w:fldCharType="begin"/>
            </w:r>
            <w:r w:rsidR="002B2A3E">
              <w:rPr>
                <w:noProof/>
                <w:webHidden/>
              </w:rPr>
              <w:instrText xml:space="preserve"> PAGEREF _Toc96772519 \h </w:instrText>
            </w:r>
            <w:r w:rsidR="002B2A3E">
              <w:rPr>
                <w:noProof/>
                <w:webHidden/>
              </w:rPr>
            </w:r>
            <w:r w:rsidR="002B2A3E">
              <w:rPr>
                <w:noProof/>
                <w:webHidden/>
              </w:rPr>
              <w:fldChar w:fldCharType="separate"/>
            </w:r>
            <w:r w:rsidR="002B2A3E">
              <w:rPr>
                <w:noProof/>
                <w:webHidden/>
              </w:rPr>
              <w:t>94</w:t>
            </w:r>
            <w:r w:rsidR="002B2A3E">
              <w:rPr>
                <w:noProof/>
                <w:webHidden/>
              </w:rPr>
              <w:fldChar w:fldCharType="end"/>
            </w:r>
          </w:hyperlink>
        </w:p>
        <w:p w14:paraId="008C701A" w14:textId="3A833A0F" w:rsidR="002B2A3E" w:rsidRDefault="006D7FD6">
          <w:pPr>
            <w:pStyle w:val="TOC2"/>
            <w:tabs>
              <w:tab w:val="right" w:leader="dot" w:pos="9350"/>
            </w:tabs>
            <w:rPr>
              <w:rFonts w:asciiTheme="minorHAnsi" w:eastAsiaTheme="minorEastAsia" w:hAnsiTheme="minorHAnsi" w:cstheme="minorBidi"/>
              <w:noProof/>
              <w:lang w:val="es-ES"/>
            </w:rPr>
          </w:pPr>
          <w:hyperlink w:anchor="_Toc96772520" w:history="1">
            <w:r w:rsidR="002B2A3E" w:rsidRPr="00693298">
              <w:rPr>
                <w:rStyle w:val="Hyperlink"/>
                <w:noProof/>
              </w:rPr>
              <w:t>Annex 9. Semi-structured Interview Questionnaire</w:t>
            </w:r>
            <w:r w:rsidR="002B2A3E">
              <w:rPr>
                <w:noProof/>
                <w:webHidden/>
              </w:rPr>
              <w:tab/>
            </w:r>
            <w:r w:rsidR="002B2A3E">
              <w:rPr>
                <w:noProof/>
                <w:webHidden/>
              </w:rPr>
              <w:fldChar w:fldCharType="begin"/>
            </w:r>
            <w:r w:rsidR="002B2A3E">
              <w:rPr>
                <w:noProof/>
                <w:webHidden/>
              </w:rPr>
              <w:instrText xml:space="preserve"> PAGEREF _Toc96772520 \h </w:instrText>
            </w:r>
            <w:r w:rsidR="002B2A3E">
              <w:rPr>
                <w:noProof/>
                <w:webHidden/>
              </w:rPr>
            </w:r>
            <w:r w:rsidR="002B2A3E">
              <w:rPr>
                <w:noProof/>
                <w:webHidden/>
              </w:rPr>
              <w:fldChar w:fldCharType="separate"/>
            </w:r>
            <w:r w:rsidR="002B2A3E">
              <w:rPr>
                <w:noProof/>
                <w:webHidden/>
              </w:rPr>
              <w:t>110</w:t>
            </w:r>
            <w:r w:rsidR="002B2A3E">
              <w:rPr>
                <w:noProof/>
                <w:webHidden/>
              </w:rPr>
              <w:fldChar w:fldCharType="end"/>
            </w:r>
          </w:hyperlink>
        </w:p>
        <w:p w14:paraId="26B54D1E" w14:textId="384A9738" w:rsidR="002B2A3E" w:rsidRDefault="006D7FD6">
          <w:pPr>
            <w:pStyle w:val="TOC2"/>
            <w:tabs>
              <w:tab w:val="right" w:leader="dot" w:pos="9350"/>
            </w:tabs>
            <w:rPr>
              <w:rFonts w:asciiTheme="minorHAnsi" w:eastAsiaTheme="minorEastAsia" w:hAnsiTheme="minorHAnsi" w:cstheme="minorBidi"/>
              <w:noProof/>
              <w:lang w:val="es-ES"/>
            </w:rPr>
          </w:pPr>
          <w:hyperlink w:anchor="_Toc96772521" w:history="1">
            <w:r w:rsidR="002B2A3E" w:rsidRPr="00693298">
              <w:rPr>
                <w:rStyle w:val="Hyperlink"/>
                <w:noProof/>
              </w:rPr>
              <w:t>Annex 10. TE Report Structure by Compoonent and Criteria</w:t>
            </w:r>
            <w:r w:rsidR="002B2A3E">
              <w:rPr>
                <w:noProof/>
                <w:webHidden/>
              </w:rPr>
              <w:tab/>
            </w:r>
            <w:r w:rsidR="002B2A3E">
              <w:rPr>
                <w:noProof/>
                <w:webHidden/>
              </w:rPr>
              <w:fldChar w:fldCharType="begin"/>
            </w:r>
            <w:r w:rsidR="002B2A3E">
              <w:rPr>
                <w:noProof/>
                <w:webHidden/>
              </w:rPr>
              <w:instrText xml:space="preserve"> PAGEREF _Toc96772521 \h </w:instrText>
            </w:r>
            <w:r w:rsidR="002B2A3E">
              <w:rPr>
                <w:noProof/>
                <w:webHidden/>
              </w:rPr>
            </w:r>
            <w:r w:rsidR="002B2A3E">
              <w:rPr>
                <w:noProof/>
                <w:webHidden/>
              </w:rPr>
              <w:fldChar w:fldCharType="separate"/>
            </w:r>
            <w:r w:rsidR="002B2A3E">
              <w:rPr>
                <w:noProof/>
                <w:webHidden/>
              </w:rPr>
              <w:t>114</w:t>
            </w:r>
            <w:r w:rsidR="002B2A3E">
              <w:rPr>
                <w:noProof/>
                <w:webHidden/>
              </w:rPr>
              <w:fldChar w:fldCharType="end"/>
            </w:r>
          </w:hyperlink>
        </w:p>
        <w:p w14:paraId="145C502B" w14:textId="59FA6D56" w:rsidR="002B2A3E" w:rsidRDefault="006D7FD6">
          <w:pPr>
            <w:pStyle w:val="TOC2"/>
            <w:tabs>
              <w:tab w:val="right" w:leader="dot" w:pos="9350"/>
            </w:tabs>
            <w:rPr>
              <w:rFonts w:asciiTheme="minorHAnsi" w:eastAsiaTheme="minorEastAsia" w:hAnsiTheme="minorHAnsi" w:cstheme="minorBidi"/>
              <w:noProof/>
              <w:lang w:val="es-ES"/>
            </w:rPr>
          </w:pPr>
          <w:hyperlink w:anchor="_Toc96772522" w:history="1">
            <w:r w:rsidR="002B2A3E" w:rsidRPr="00693298">
              <w:rPr>
                <w:rStyle w:val="Hyperlink"/>
                <w:noProof/>
              </w:rPr>
              <w:t>Annex 11. A&amp;L Project Results Ratings</w:t>
            </w:r>
            <w:r w:rsidR="002B2A3E">
              <w:rPr>
                <w:noProof/>
                <w:webHidden/>
              </w:rPr>
              <w:tab/>
            </w:r>
            <w:r w:rsidR="002B2A3E">
              <w:rPr>
                <w:noProof/>
                <w:webHidden/>
              </w:rPr>
              <w:fldChar w:fldCharType="begin"/>
            </w:r>
            <w:r w:rsidR="002B2A3E">
              <w:rPr>
                <w:noProof/>
                <w:webHidden/>
              </w:rPr>
              <w:instrText xml:space="preserve"> PAGEREF _Toc96772522 \h </w:instrText>
            </w:r>
            <w:r w:rsidR="002B2A3E">
              <w:rPr>
                <w:noProof/>
                <w:webHidden/>
              </w:rPr>
            </w:r>
            <w:r w:rsidR="002B2A3E">
              <w:rPr>
                <w:noProof/>
                <w:webHidden/>
              </w:rPr>
              <w:fldChar w:fldCharType="separate"/>
            </w:r>
            <w:r w:rsidR="002B2A3E">
              <w:rPr>
                <w:noProof/>
                <w:webHidden/>
              </w:rPr>
              <w:t>115</w:t>
            </w:r>
            <w:r w:rsidR="002B2A3E">
              <w:rPr>
                <w:noProof/>
                <w:webHidden/>
              </w:rPr>
              <w:fldChar w:fldCharType="end"/>
            </w:r>
          </w:hyperlink>
        </w:p>
        <w:p w14:paraId="347C3F8D" w14:textId="390B41A2" w:rsidR="002B2A3E" w:rsidRDefault="006D7FD6">
          <w:pPr>
            <w:pStyle w:val="TOC2"/>
            <w:tabs>
              <w:tab w:val="right" w:leader="dot" w:pos="9350"/>
            </w:tabs>
            <w:rPr>
              <w:rFonts w:asciiTheme="minorHAnsi" w:eastAsiaTheme="minorEastAsia" w:hAnsiTheme="minorHAnsi" w:cstheme="minorBidi"/>
              <w:noProof/>
              <w:lang w:val="es-ES"/>
            </w:rPr>
          </w:pPr>
          <w:hyperlink w:anchor="_Toc96772523" w:history="1">
            <w:r w:rsidR="002B2A3E" w:rsidRPr="00693298">
              <w:rPr>
                <w:rStyle w:val="Hyperlink"/>
                <w:noProof/>
              </w:rPr>
              <w:t>Annex 12. Project Risks Management in the PIRs</w:t>
            </w:r>
            <w:r w:rsidR="002B2A3E">
              <w:rPr>
                <w:noProof/>
                <w:webHidden/>
              </w:rPr>
              <w:tab/>
            </w:r>
            <w:r w:rsidR="002B2A3E">
              <w:rPr>
                <w:noProof/>
                <w:webHidden/>
              </w:rPr>
              <w:fldChar w:fldCharType="begin"/>
            </w:r>
            <w:r w:rsidR="002B2A3E">
              <w:rPr>
                <w:noProof/>
                <w:webHidden/>
              </w:rPr>
              <w:instrText xml:space="preserve"> PAGEREF _Toc96772523 \h </w:instrText>
            </w:r>
            <w:r w:rsidR="002B2A3E">
              <w:rPr>
                <w:noProof/>
                <w:webHidden/>
              </w:rPr>
            </w:r>
            <w:r w:rsidR="002B2A3E">
              <w:rPr>
                <w:noProof/>
                <w:webHidden/>
              </w:rPr>
              <w:fldChar w:fldCharType="separate"/>
            </w:r>
            <w:r w:rsidR="002B2A3E">
              <w:rPr>
                <w:noProof/>
                <w:webHidden/>
              </w:rPr>
              <w:t>118</w:t>
            </w:r>
            <w:r w:rsidR="002B2A3E">
              <w:rPr>
                <w:noProof/>
                <w:webHidden/>
              </w:rPr>
              <w:fldChar w:fldCharType="end"/>
            </w:r>
          </w:hyperlink>
        </w:p>
        <w:p w14:paraId="1D9ECFB7" w14:textId="2D6C6E89" w:rsidR="002B2A3E" w:rsidRDefault="006D7FD6">
          <w:pPr>
            <w:pStyle w:val="TOC2"/>
            <w:tabs>
              <w:tab w:val="right" w:leader="dot" w:pos="9350"/>
            </w:tabs>
            <w:rPr>
              <w:rFonts w:asciiTheme="minorHAnsi" w:eastAsiaTheme="minorEastAsia" w:hAnsiTheme="minorHAnsi" w:cstheme="minorBidi"/>
              <w:noProof/>
              <w:lang w:val="es-ES"/>
            </w:rPr>
          </w:pPr>
          <w:hyperlink w:anchor="_Toc96772524" w:history="1">
            <w:r w:rsidR="002B2A3E" w:rsidRPr="00693298">
              <w:rPr>
                <w:rStyle w:val="Hyperlink"/>
                <w:noProof/>
              </w:rPr>
              <w:t>Annex 13. Programme KPIs Status by June 2021</w:t>
            </w:r>
            <w:r w:rsidR="002B2A3E">
              <w:rPr>
                <w:noProof/>
                <w:webHidden/>
              </w:rPr>
              <w:tab/>
            </w:r>
            <w:r w:rsidR="002B2A3E">
              <w:rPr>
                <w:noProof/>
                <w:webHidden/>
              </w:rPr>
              <w:fldChar w:fldCharType="begin"/>
            </w:r>
            <w:r w:rsidR="002B2A3E">
              <w:rPr>
                <w:noProof/>
                <w:webHidden/>
              </w:rPr>
              <w:instrText xml:space="preserve"> PAGEREF _Toc96772524 \h </w:instrText>
            </w:r>
            <w:r w:rsidR="002B2A3E">
              <w:rPr>
                <w:noProof/>
                <w:webHidden/>
              </w:rPr>
            </w:r>
            <w:r w:rsidR="002B2A3E">
              <w:rPr>
                <w:noProof/>
                <w:webHidden/>
              </w:rPr>
              <w:fldChar w:fldCharType="separate"/>
            </w:r>
            <w:r w:rsidR="002B2A3E">
              <w:rPr>
                <w:noProof/>
                <w:webHidden/>
              </w:rPr>
              <w:t>120</w:t>
            </w:r>
            <w:r w:rsidR="002B2A3E">
              <w:rPr>
                <w:noProof/>
                <w:webHidden/>
              </w:rPr>
              <w:fldChar w:fldCharType="end"/>
            </w:r>
          </w:hyperlink>
        </w:p>
        <w:p w14:paraId="7093663F" w14:textId="294C7342" w:rsidR="002B2A3E" w:rsidRDefault="006D7FD6">
          <w:pPr>
            <w:pStyle w:val="TOC2"/>
            <w:tabs>
              <w:tab w:val="right" w:leader="dot" w:pos="9350"/>
            </w:tabs>
            <w:rPr>
              <w:rFonts w:asciiTheme="minorHAnsi" w:eastAsiaTheme="minorEastAsia" w:hAnsiTheme="minorHAnsi" w:cstheme="minorBidi"/>
              <w:noProof/>
              <w:lang w:val="es-ES"/>
            </w:rPr>
          </w:pPr>
          <w:hyperlink w:anchor="_Toc96772525" w:history="1">
            <w:r w:rsidR="002B2A3E" w:rsidRPr="00693298">
              <w:rPr>
                <w:rStyle w:val="Hyperlink"/>
                <w:noProof/>
              </w:rPr>
              <w:t>Annex 14. Findings, Conclusions and Lessons Learned</w:t>
            </w:r>
            <w:r w:rsidR="002B2A3E">
              <w:rPr>
                <w:noProof/>
                <w:webHidden/>
              </w:rPr>
              <w:tab/>
            </w:r>
            <w:r w:rsidR="002B2A3E">
              <w:rPr>
                <w:noProof/>
                <w:webHidden/>
              </w:rPr>
              <w:fldChar w:fldCharType="begin"/>
            </w:r>
            <w:r w:rsidR="002B2A3E">
              <w:rPr>
                <w:noProof/>
                <w:webHidden/>
              </w:rPr>
              <w:instrText xml:space="preserve"> PAGEREF _Toc96772525 \h </w:instrText>
            </w:r>
            <w:r w:rsidR="002B2A3E">
              <w:rPr>
                <w:noProof/>
                <w:webHidden/>
              </w:rPr>
            </w:r>
            <w:r w:rsidR="002B2A3E">
              <w:rPr>
                <w:noProof/>
                <w:webHidden/>
              </w:rPr>
              <w:fldChar w:fldCharType="separate"/>
            </w:r>
            <w:r w:rsidR="002B2A3E">
              <w:rPr>
                <w:noProof/>
                <w:webHidden/>
              </w:rPr>
              <w:t>137</w:t>
            </w:r>
            <w:r w:rsidR="002B2A3E">
              <w:rPr>
                <w:noProof/>
                <w:webHidden/>
              </w:rPr>
              <w:fldChar w:fldCharType="end"/>
            </w:r>
          </w:hyperlink>
        </w:p>
        <w:p w14:paraId="61C6815F" w14:textId="51BD4E34" w:rsidR="002B2A3E" w:rsidRDefault="006D7FD6">
          <w:pPr>
            <w:pStyle w:val="TOC2"/>
            <w:tabs>
              <w:tab w:val="right" w:leader="dot" w:pos="9350"/>
            </w:tabs>
            <w:rPr>
              <w:rFonts w:asciiTheme="minorHAnsi" w:eastAsiaTheme="minorEastAsia" w:hAnsiTheme="minorHAnsi" w:cstheme="minorBidi"/>
              <w:noProof/>
              <w:lang w:val="es-ES"/>
            </w:rPr>
          </w:pPr>
          <w:hyperlink w:anchor="_Toc96772526" w:history="1">
            <w:r w:rsidR="002B2A3E" w:rsidRPr="00693298">
              <w:rPr>
                <w:rStyle w:val="Hyperlink"/>
                <w:noProof/>
              </w:rPr>
              <w:t>Annex 15. Charts of Organizational Structures</w:t>
            </w:r>
            <w:r w:rsidR="002B2A3E">
              <w:rPr>
                <w:noProof/>
                <w:webHidden/>
              </w:rPr>
              <w:tab/>
            </w:r>
            <w:r w:rsidR="002B2A3E">
              <w:rPr>
                <w:noProof/>
                <w:webHidden/>
              </w:rPr>
              <w:fldChar w:fldCharType="begin"/>
            </w:r>
            <w:r w:rsidR="002B2A3E">
              <w:rPr>
                <w:noProof/>
                <w:webHidden/>
              </w:rPr>
              <w:instrText xml:space="preserve"> PAGEREF _Toc96772526 \h </w:instrText>
            </w:r>
            <w:r w:rsidR="002B2A3E">
              <w:rPr>
                <w:noProof/>
                <w:webHidden/>
              </w:rPr>
            </w:r>
            <w:r w:rsidR="002B2A3E">
              <w:rPr>
                <w:noProof/>
                <w:webHidden/>
              </w:rPr>
              <w:fldChar w:fldCharType="separate"/>
            </w:r>
            <w:r w:rsidR="002B2A3E">
              <w:rPr>
                <w:noProof/>
                <w:webHidden/>
              </w:rPr>
              <w:t>155</w:t>
            </w:r>
            <w:r w:rsidR="002B2A3E">
              <w:rPr>
                <w:noProof/>
                <w:webHidden/>
              </w:rPr>
              <w:fldChar w:fldCharType="end"/>
            </w:r>
          </w:hyperlink>
        </w:p>
        <w:p w14:paraId="175E1320" w14:textId="69A5E95C" w:rsidR="002B2A3E" w:rsidRDefault="006D7FD6">
          <w:pPr>
            <w:pStyle w:val="TOC2"/>
            <w:tabs>
              <w:tab w:val="right" w:leader="dot" w:pos="9350"/>
            </w:tabs>
            <w:rPr>
              <w:rFonts w:asciiTheme="minorHAnsi" w:eastAsiaTheme="minorEastAsia" w:hAnsiTheme="minorHAnsi" w:cstheme="minorBidi"/>
              <w:noProof/>
              <w:lang w:val="es-ES"/>
            </w:rPr>
          </w:pPr>
          <w:hyperlink w:anchor="_Toc96772527" w:history="1">
            <w:r w:rsidR="002B2A3E" w:rsidRPr="00693298">
              <w:rPr>
                <w:rStyle w:val="Hyperlink"/>
                <w:noProof/>
              </w:rPr>
              <w:t>Annex 16. Cofinancing Tables</w:t>
            </w:r>
            <w:r w:rsidR="002B2A3E">
              <w:rPr>
                <w:noProof/>
                <w:webHidden/>
              </w:rPr>
              <w:tab/>
            </w:r>
            <w:r w:rsidR="002B2A3E">
              <w:rPr>
                <w:noProof/>
                <w:webHidden/>
              </w:rPr>
              <w:fldChar w:fldCharType="begin"/>
            </w:r>
            <w:r w:rsidR="002B2A3E">
              <w:rPr>
                <w:noProof/>
                <w:webHidden/>
              </w:rPr>
              <w:instrText xml:space="preserve"> PAGEREF _Toc96772527 \h </w:instrText>
            </w:r>
            <w:r w:rsidR="002B2A3E">
              <w:rPr>
                <w:noProof/>
                <w:webHidden/>
              </w:rPr>
            </w:r>
            <w:r w:rsidR="002B2A3E">
              <w:rPr>
                <w:noProof/>
                <w:webHidden/>
              </w:rPr>
              <w:fldChar w:fldCharType="separate"/>
            </w:r>
            <w:r w:rsidR="002B2A3E">
              <w:rPr>
                <w:noProof/>
                <w:webHidden/>
              </w:rPr>
              <w:t>156</w:t>
            </w:r>
            <w:r w:rsidR="002B2A3E">
              <w:rPr>
                <w:noProof/>
                <w:webHidden/>
              </w:rPr>
              <w:fldChar w:fldCharType="end"/>
            </w:r>
          </w:hyperlink>
        </w:p>
        <w:p w14:paraId="0F105E89" w14:textId="3818E1EB" w:rsidR="002B2A3E" w:rsidRDefault="006D7FD6">
          <w:pPr>
            <w:pStyle w:val="TOC2"/>
            <w:tabs>
              <w:tab w:val="right" w:leader="dot" w:pos="9350"/>
            </w:tabs>
            <w:rPr>
              <w:rFonts w:asciiTheme="minorHAnsi" w:eastAsiaTheme="minorEastAsia" w:hAnsiTheme="minorHAnsi" w:cstheme="minorBidi"/>
              <w:noProof/>
              <w:lang w:val="es-ES"/>
            </w:rPr>
          </w:pPr>
          <w:hyperlink w:anchor="_Toc96772528" w:history="1">
            <w:r w:rsidR="002B2A3E" w:rsidRPr="00693298">
              <w:rPr>
                <w:rStyle w:val="Hyperlink"/>
                <w:noProof/>
              </w:rPr>
              <w:t>Annex 17. Audit Trail for Component 2</w:t>
            </w:r>
            <w:r w:rsidR="002B2A3E">
              <w:rPr>
                <w:noProof/>
                <w:webHidden/>
              </w:rPr>
              <w:tab/>
            </w:r>
            <w:r w:rsidR="002B2A3E">
              <w:rPr>
                <w:noProof/>
                <w:webHidden/>
              </w:rPr>
              <w:fldChar w:fldCharType="begin"/>
            </w:r>
            <w:r w:rsidR="002B2A3E">
              <w:rPr>
                <w:noProof/>
                <w:webHidden/>
              </w:rPr>
              <w:instrText xml:space="preserve"> PAGEREF _Toc96772528 \h </w:instrText>
            </w:r>
            <w:r w:rsidR="002B2A3E">
              <w:rPr>
                <w:noProof/>
                <w:webHidden/>
              </w:rPr>
            </w:r>
            <w:r w:rsidR="002B2A3E">
              <w:rPr>
                <w:noProof/>
                <w:webHidden/>
              </w:rPr>
              <w:fldChar w:fldCharType="separate"/>
            </w:r>
            <w:r w:rsidR="002B2A3E">
              <w:rPr>
                <w:noProof/>
                <w:webHidden/>
              </w:rPr>
              <w:t>158</w:t>
            </w:r>
            <w:r w:rsidR="002B2A3E">
              <w:rPr>
                <w:noProof/>
                <w:webHidden/>
              </w:rPr>
              <w:fldChar w:fldCharType="end"/>
            </w:r>
          </w:hyperlink>
        </w:p>
        <w:p w14:paraId="0207722F" w14:textId="38E85710" w:rsidR="002B2A3E" w:rsidRDefault="006D7FD6">
          <w:pPr>
            <w:pStyle w:val="TOC2"/>
            <w:tabs>
              <w:tab w:val="right" w:leader="dot" w:pos="9350"/>
            </w:tabs>
            <w:rPr>
              <w:rFonts w:asciiTheme="minorHAnsi" w:eastAsiaTheme="minorEastAsia" w:hAnsiTheme="minorHAnsi" w:cstheme="minorBidi"/>
              <w:noProof/>
              <w:lang w:val="es-ES"/>
            </w:rPr>
          </w:pPr>
          <w:hyperlink w:anchor="_Toc96772529" w:history="1">
            <w:r w:rsidR="002B2A3E" w:rsidRPr="00693298">
              <w:rPr>
                <w:rStyle w:val="Hyperlink"/>
                <w:noProof/>
              </w:rPr>
              <w:t xml:space="preserve">Annex 18. </w:t>
            </w:r>
            <w:r w:rsidR="002B2A3E" w:rsidRPr="00693298">
              <w:rPr>
                <w:rStyle w:val="Hyperlink"/>
                <w:rFonts w:eastAsia="Times New Roman"/>
                <w:noProof/>
              </w:rPr>
              <w:t>Signed Evaluation Consultant Agreement form</w:t>
            </w:r>
            <w:r w:rsidR="002B2A3E">
              <w:rPr>
                <w:noProof/>
                <w:webHidden/>
              </w:rPr>
              <w:tab/>
            </w:r>
            <w:r w:rsidR="002B2A3E">
              <w:rPr>
                <w:noProof/>
                <w:webHidden/>
              </w:rPr>
              <w:fldChar w:fldCharType="begin"/>
            </w:r>
            <w:r w:rsidR="002B2A3E">
              <w:rPr>
                <w:noProof/>
                <w:webHidden/>
              </w:rPr>
              <w:instrText xml:space="preserve"> PAGEREF _Toc96772529 \h </w:instrText>
            </w:r>
            <w:r w:rsidR="002B2A3E">
              <w:rPr>
                <w:noProof/>
                <w:webHidden/>
              </w:rPr>
            </w:r>
            <w:r w:rsidR="002B2A3E">
              <w:rPr>
                <w:noProof/>
                <w:webHidden/>
              </w:rPr>
              <w:fldChar w:fldCharType="separate"/>
            </w:r>
            <w:r w:rsidR="002B2A3E">
              <w:rPr>
                <w:noProof/>
                <w:webHidden/>
              </w:rPr>
              <w:t>159</w:t>
            </w:r>
            <w:r w:rsidR="002B2A3E">
              <w:rPr>
                <w:noProof/>
                <w:webHidden/>
              </w:rPr>
              <w:fldChar w:fldCharType="end"/>
            </w:r>
          </w:hyperlink>
        </w:p>
        <w:p w14:paraId="4D269155" w14:textId="72B42254" w:rsidR="00C06156" w:rsidRDefault="00C06156" w:rsidP="00BA2312">
          <w:r>
            <w:rPr>
              <w:b/>
              <w:bCs/>
            </w:rPr>
            <w:fldChar w:fldCharType="end"/>
          </w:r>
        </w:p>
      </w:sdtContent>
    </w:sdt>
    <w:p w14:paraId="3D2BD735" w14:textId="5E7CE561" w:rsidR="00F96470" w:rsidRDefault="00F96470" w:rsidP="00BA2312">
      <w:pPr>
        <w:widowControl w:val="0"/>
        <w:tabs>
          <w:tab w:val="left" w:pos="821"/>
        </w:tabs>
        <w:autoSpaceDE w:val="0"/>
        <w:autoSpaceDN w:val="0"/>
        <w:spacing w:before="20" w:after="0" w:line="240" w:lineRule="auto"/>
        <w:ind w:left="820"/>
        <w:rPr>
          <w:rFonts w:ascii="Segoe UI" w:eastAsia="Times New Roman" w:hAnsi="Segoe UI" w:cs="Segoe UI"/>
          <w:sz w:val="20"/>
          <w:szCs w:val="20"/>
          <w:lang w:eastAsia="en-US"/>
        </w:rPr>
      </w:pPr>
    </w:p>
    <w:p w14:paraId="27B8CEEF" w14:textId="18DC45E0" w:rsidR="009E38A0" w:rsidRDefault="009E38A0">
      <w:pPr>
        <w:rPr>
          <w:rFonts w:ascii="Segoe UI" w:eastAsia="Times New Roman" w:hAnsi="Segoe UI" w:cs="Segoe UI"/>
          <w:sz w:val="20"/>
          <w:szCs w:val="20"/>
          <w:lang w:eastAsia="en-US"/>
        </w:rPr>
      </w:pPr>
      <w:r>
        <w:rPr>
          <w:rFonts w:ascii="Segoe UI" w:eastAsia="Times New Roman" w:hAnsi="Segoe UI" w:cs="Segoe UI"/>
          <w:sz w:val="20"/>
          <w:szCs w:val="20"/>
          <w:lang w:eastAsia="en-US"/>
        </w:rPr>
        <w:br w:type="page"/>
      </w:r>
    </w:p>
    <w:p w14:paraId="3FD121D5" w14:textId="77777777" w:rsidR="00C263DD" w:rsidRPr="009E7CE1" w:rsidRDefault="00C263DD" w:rsidP="00BA2312">
      <w:pPr>
        <w:widowControl w:val="0"/>
        <w:tabs>
          <w:tab w:val="left" w:pos="821"/>
        </w:tabs>
        <w:autoSpaceDE w:val="0"/>
        <w:autoSpaceDN w:val="0"/>
        <w:spacing w:before="20" w:after="0" w:line="240" w:lineRule="auto"/>
        <w:ind w:left="820"/>
        <w:rPr>
          <w:rFonts w:ascii="Segoe UI" w:eastAsia="Times New Roman" w:hAnsi="Segoe UI" w:cs="Segoe UI"/>
          <w:sz w:val="20"/>
          <w:szCs w:val="20"/>
          <w:lang w:eastAsia="en-US"/>
        </w:rPr>
      </w:pPr>
    </w:p>
    <w:p w14:paraId="1DB27DD9" w14:textId="1EA57811" w:rsidR="00F96470" w:rsidRPr="009E38A0" w:rsidRDefault="00F96470" w:rsidP="00E64686">
      <w:pPr>
        <w:pStyle w:val="Heading2"/>
        <w:rPr>
          <w:color w:val="auto"/>
        </w:rPr>
      </w:pPr>
      <w:bookmarkStart w:id="2" w:name="_Toc96772455"/>
      <w:r w:rsidRPr="009E38A0">
        <w:rPr>
          <w:color w:val="auto"/>
        </w:rPr>
        <w:t>Acronyms and Abbreviations</w:t>
      </w:r>
      <w:bookmarkEnd w:id="2"/>
    </w:p>
    <w:tbl>
      <w:tblPr>
        <w:tblStyle w:val="TableNormal1"/>
        <w:tblW w:w="906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506"/>
      </w:tblGrid>
      <w:tr w:rsidR="009E38A0" w:rsidRPr="009E38A0" w14:paraId="1B2ED42C" w14:textId="77777777" w:rsidTr="00ED49D7">
        <w:trPr>
          <w:trHeight w:val="350"/>
        </w:trPr>
        <w:tc>
          <w:tcPr>
            <w:tcW w:w="1555" w:type="dxa"/>
          </w:tcPr>
          <w:p w14:paraId="7D82AC12"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A&amp;L</w:t>
            </w:r>
          </w:p>
        </w:tc>
        <w:tc>
          <w:tcPr>
            <w:tcW w:w="7506" w:type="dxa"/>
          </w:tcPr>
          <w:p w14:paraId="19102381"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Adaptive Management &amp; Learning</w:t>
            </w:r>
          </w:p>
        </w:tc>
      </w:tr>
      <w:tr w:rsidR="009E38A0" w:rsidRPr="009E38A0" w14:paraId="412708BE" w14:textId="77777777" w:rsidTr="00ED49D7">
        <w:trPr>
          <w:trHeight w:val="350"/>
        </w:trPr>
        <w:tc>
          <w:tcPr>
            <w:tcW w:w="1555" w:type="dxa"/>
          </w:tcPr>
          <w:p w14:paraId="6E8E5A52"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AAE</w:t>
            </w:r>
          </w:p>
        </w:tc>
        <w:tc>
          <w:tcPr>
            <w:tcW w:w="7506" w:type="dxa"/>
          </w:tcPr>
          <w:p w14:paraId="662C00C9"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Asesoramiento Ambiental Estrategico</w:t>
            </w:r>
          </w:p>
        </w:tc>
      </w:tr>
      <w:tr w:rsidR="009E38A0" w:rsidRPr="009E38A0" w14:paraId="22F8C8AA" w14:textId="77777777" w:rsidTr="00ED49D7">
        <w:trPr>
          <w:trHeight w:val="350"/>
        </w:trPr>
        <w:tc>
          <w:tcPr>
            <w:tcW w:w="1555" w:type="dxa"/>
          </w:tcPr>
          <w:p w14:paraId="30FC03CB" w14:textId="7D2EBE7D"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CI</w:t>
            </w:r>
          </w:p>
        </w:tc>
        <w:tc>
          <w:tcPr>
            <w:tcW w:w="7506" w:type="dxa"/>
          </w:tcPr>
          <w:p w14:paraId="4F2A407D" w14:textId="481D3FB6"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Conservation International</w:t>
            </w:r>
          </w:p>
        </w:tc>
      </w:tr>
      <w:tr w:rsidR="009E38A0" w:rsidRPr="009E38A0" w14:paraId="36E262E2" w14:textId="77777777" w:rsidTr="00ED49D7">
        <w:trPr>
          <w:trHeight w:val="350"/>
        </w:trPr>
        <w:tc>
          <w:tcPr>
            <w:tcW w:w="1555" w:type="dxa"/>
          </w:tcPr>
          <w:p w14:paraId="1187462E"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CIAP</w:t>
            </w:r>
          </w:p>
        </w:tc>
        <w:tc>
          <w:tcPr>
            <w:tcW w:w="7506" w:type="dxa"/>
          </w:tcPr>
          <w:p w14:paraId="0D9C0E6F"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Commodities Integrated Approach Pilot</w:t>
            </w:r>
          </w:p>
        </w:tc>
      </w:tr>
      <w:tr w:rsidR="009E38A0" w:rsidRPr="009E38A0" w14:paraId="3A4F367A" w14:textId="77777777" w:rsidTr="00ED49D7">
        <w:trPr>
          <w:trHeight w:val="350"/>
        </w:trPr>
        <w:tc>
          <w:tcPr>
            <w:tcW w:w="1555" w:type="dxa"/>
          </w:tcPr>
          <w:p w14:paraId="25F85889"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CoP</w:t>
            </w:r>
          </w:p>
        </w:tc>
        <w:tc>
          <w:tcPr>
            <w:tcW w:w="7506" w:type="dxa"/>
          </w:tcPr>
          <w:p w14:paraId="436950D8"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Community of Practice</w:t>
            </w:r>
          </w:p>
        </w:tc>
      </w:tr>
      <w:tr w:rsidR="009E38A0" w:rsidRPr="009E38A0" w14:paraId="2661CCE3" w14:textId="77777777" w:rsidTr="00ED49D7">
        <w:trPr>
          <w:trHeight w:val="350"/>
        </w:trPr>
        <w:tc>
          <w:tcPr>
            <w:tcW w:w="1555" w:type="dxa"/>
          </w:tcPr>
          <w:p w14:paraId="0BE9AF27"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ESG</w:t>
            </w:r>
          </w:p>
        </w:tc>
        <w:tc>
          <w:tcPr>
            <w:tcW w:w="7506" w:type="dxa"/>
          </w:tcPr>
          <w:p w14:paraId="1EF133ED"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Environmental, social and governance</w:t>
            </w:r>
          </w:p>
        </w:tc>
      </w:tr>
      <w:tr w:rsidR="006405B7" w:rsidRPr="009E38A0" w14:paraId="2E622871" w14:textId="77777777" w:rsidTr="00ED49D7">
        <w:trPr>
          <w:trHeight w:val="350"/>
        </w:trPr>
        <w:tc>
          <w:tcPr>
            <w:tcW w:w="1555" w:type="dxa"/>
          </w:tcPr>
          <w:p w14:paraId="6558CC6F" w14:textId="5D46494F" w:rsidR="006405B7" w:rsidRPr="009E38A0" w:rsidRDefault="006405B7" w:rsidP="00BA2312">
            <w:pPr>
              <w:pStyle w:val="TableParagraph"/>
              <w:spacing w:line="229" w:lineRule="exact"/>
              <w:ind w:left="165"/>
              <w:rPr>
                <w:rFonts w:ascii="Segoe UI" w:hAnsi="Segoe UI" w:cs="Segoe UI"/>
                <w:sz w:val="20"/>
                <w:szCs w:val="20"/>
              </w:rPr>
            </w:pPr>
            <w:r>
              <w:rPr>
                <w:rFonts w:ascii="Segoe UI" w:hAnsi="Segoe UI" w:cs="Segoe UI"/>
                <w:sz w:val="20"/>
                <w:szCs w:val="20"/>
              </w:rPr>
              <w:t>GCC</w:t>
            </w:r>
          </w:p>
        </w:tc>
        <w:tc>
          <w:tcPr>
            <w:tcW w:w="7506" w:type="dxa"/>
          </w:tcPr>
          <w:p w14:paraId="1AA7B1F1" w14:textId="031A8286" w:rsidR="006405B7" w:rsidRPr="009E38A0" w:rsidRDefault="006405B7" w:rsidP="00BA2312">
            <w:pPr>
              <w:pStyle w:val="TableParagraph"/>
              <w:spacing w:line="229" w:lineRule="exact"/>
              <w:ind w:left="165"/>
              <w:rPr>
                <w:rFonts w:ascii="Segoe UI" w:hAnsi="Segoe UI" w:cs="Segoe UI"/>
                <w:sz w:val="20"/>
                <w:szCs w:val="20"/>
              </w:rPr>
            </w:pPr>
            <w:r>
              <w:rPr>
                <w:rFonts w:ascii="Segoe UI" w:hAnsi="Segoe UI" w:cs="Segoe UI"/>
                <w:sz w:val="20"/>
                <w:szCs w:val="20"/>
              </w:rPr>
              <w:t>Green Commodities Community</w:t>
            </w:r>
          </w:p>
        </w:tc>
      </w:tr>
      <w:tr w:rsidR="009E38A0" w:rsidRPr="009E38A0" w14:paraId="6011A333" w14:textId="77777777" w:rsidTr="00ED49D7">
        <w:trPr>
          <w:trHeight w:val="350"/>
        </w:trPr>
        <w:tc>
          <w:tcPr>
            <w:tcW w:w="1555" w:type="dxa"/>
          </w:tcPr>
          <w:p w14:paraId="10FDE660"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GCP</w:t>
            </w:r>
          </w:p>
        </w:tc>
        <w:tc>
          <w:tcPr>
            <w:tcW w:w="7506" w:type="dxa"/>
          </w:tcPr>
          <w:p w14:paraId="777BB668"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Green Commodities Programme</w:t>
            </w:r>
          </w:p>
        </w:tc>
      </w:tr>
      <w:tr w:rsidR="009E38A0" w:rsidRPr="009E38A0" w14:paraId="3F56DBFE" w14:textId="77777777" w:rsidTr="00ED49D7">
        <w:trPr>
          <w:trHeight w:val="350"/>
        </w:trPr>
        <w:tc>
          <w:tcPr>
            <w:tcW w:w="1555" w:type="dxa"/>
          </w:tcPr>
          <w:p w14:paraId="1FAEB944"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GEF</w:t>
            </w:r>
          </w:p>
        </w:tc>
        <w:tc>
          <w:tcPr>
            <w:tcW w:w="7506" w:type="dxa"/>
          </w:tcPr>
          <w:p w14:paraId="0D062219"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Global Environment Facility</w:t>
            </w:r>
          </w:p>
        </w:tc>
      </w:tr>
      <w:tr w:rsidR="009E38A0" w:rsidRPr="009E38A0" w14:paraId="57F47C2A" w14:textId="77777777" w:rsidTr="00ED49D7">
        <w:trPr>
          <w:trHeight w:val="350"/>
        </w:trPr>
        <w:tc>
          <w:tcPr>
            <w:tcW w:w="1555" w:type="dxa"/>
          </w:tcPr>
          <w:p w14:paraId="024280FC"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GGP</w:t>
            </w:r>
          </w:p>
        </w:tc>
        <w:tc>
          <w:tcPr>
            <w:tcW w:w="7506" w:type="dxa"/>
          </w:tcPr>
          <w:p w14:paraId="4C5AF1A1"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Good Growth Partnership</w:t>
            </w:r>
          </w:p>
        </w:tc>
      </w:tr>
      <w:tr w:rsidR="009E38A0" w:rsidRPr="009E38A0" w14:paraId="64EFCE76" w14:textId="77777777" w:rsidTr="00ED49D7">
        <w:trPr>
          <w:trHeight w:val="350"/>
        </w:trPr>
        <w:tc>
          <w:tcPr>
            <w:tcW w:w="1555" w:type="dxa"/>
          </w:tcPr>
          <w:p w14:paraId="594C3D75" w14:textId="77777777" w:rsidR="007005AE" w:rsidRPr="009E38A0" w:rsidRDefault="007005AE" w:rsidP="00BA2312">
            <w:pPr>
              <w:pStyle w:val="TableParagraph"/>
              <w:ind w:left="165"/>
              <w:rPr>
                <w:rFonts w:ascii="Segoe UI" w:hAnsi="Segoe UI" w:cs="Segoe UI"/>
                <w:sz w:val="20"/>
                <w:szCs w:val="20"/>
              </w:rPr>
            </w:pPr>
            <w:r w:rsidRPr="009E38A0">
              <w:rPr>
                <w:rFonts w:ascii="Segoe UI" w:hAnsi="Segoe UI" w:cs="Segoe UI"/>
                <w:sz w:val="20"/>
                <w:szCs w:val="20"/>
              </w:rPr>
              <w:t>IAP</w:t>
            </w:r>
          </w:p>
        </w:tc>
        <w:tc>
          <w:tcPr>
            <w:tcW w:w="7506" w:type="dxa"/>
          </w:tcPr>
          <w:p w14:paraId="5CDEA86A" w14:textId="77777777" w:rsidR="007005AE" w:rsidRPr="009E38A0" w:rsidRDefault="007005AE" w:rsidP="00BA2312">
            <w:pPr>
              <w:pStyle w:val="TableParagraph"/>
              <w:ind w:left="165"/>
              <w:rPr>
                <w:rFonts w:ascii="Segoe UI" w:hAnsi="Segoe UI" w:cs="Segoe UI"/>
                <w:sz w:val="20"/>
                <w:szCs w:val="20"/>
              </w:rPr>
            </w:pPr>
            <w:r w:rsidRPr="009E38A0">
              <w:rPr>
                <w:rFonts w:ascii="Segoe UI" w:hAnsi="Segoe UI" w:cs="Segoe UI"/>
                <w:sz w:val="20"/>
                <w:szCs w:val="20"/>
              </w:rPr>
              <w:t>Integrated Approach Pilot</w:t>
            </w:r>
          </w:p>
        </w:tc>
      </w:tr>
      <w:tr w:rsidR="009E38A0" w:rsidRPr="009E38A0" w14:paraId="5EDAE4B6" w14:textId="77777777" w:rsidTr="00ED49D7">
        <w:trPr>
          <w:trHeight w:val="350"/>
        </w:trPr>
        <w:tc>
          <w:tcPr>
            <w:tcW w:w="1555" w:type="dxa"/>
          </w:tcPr>
          <w:p w14:paraId="5ED06A8B" w14:textId="77777777" w:rsidR="007005AE" w:rsidRPr="009E38A0" w:rsidRDefault="007005AE" w:rsidP="00BA2312">
            <w:pPr>
              <w:pStyle w:val="TableParagraph"/>
              <w:ind w:left="165"/>
              <w:rPr>
                <w:rFonts w:ascii="Segoe UI" w:hAnsi="Segoe UI" w:cs="Segoe UI"/>
                <w:sz w:val="20"/>
                <w:szCs w:val="20"/>
              </w:rPr>
            </w:pPr>
            <w:r w:rsidRPr="009E38A0">
              <w:rPr>
                <w:rFonts w:ascii="Segoe UI" w:hAnsi="Segoe UI" w:cs="Segoe UI"/>
                <w:sz w:val="20"/>
                <w:szCs w:val="20"/>
              </w:rPr>
              <w:t>IFC</w:t>
            </w:r>
          </w:p>
        </w:tc>
        <w:tc>
          <w:tcPr>
            <w:tcW w:w="7506" w:type="dxa"/>
          </w:tcPr>
          <w:p w14:paraId="7C9442FD" w14:textId="77777777" w:rsidR="007005AE" w:rsidRPr="006128AB" w:rsidRDefault="007005AE" w:rsidP="00BA2312">
            <w:pPr>
              <w:pStyle w:val="TableParagraph"/>
              <w:ind w:left="165"/>
              <w:rPr>
                <w:rFonts w:asciiTheme="minorHAnsi" w:hAnsiTheme="minorHAnsi" w:cstheme="minorHAnsi"/>
              </w:rPr>
            </w:pPr>
            <w:r w:rsidRPr="006128AB">
              <w:rPr>
                <w:rFonts w:asciiTheme="minorHAnsi" w:hAnsiTheme="minorHAnsi" w:cstheme="minorHAnsi"/>
              </w:rPr>
              <w:t>International Finance Corporation</w:t>
            </w:r>
          </w:p>
        </w:tc>
      </w:tr>
      <w:tr w:rsidR="006128AB" w:rsidRPr="001E6266" w14:paraId="4505B1CB" w14:textId="77777777" w:rsidTr="00ED49D7">
        <w:trPr>
          <w:trHeight w:val="350"/>
        </w:trPr>
        <w:tc>
          <w:tcPr>
            <w:tcW w:w="1555" w:type="dxa"/>
          </w:tcPr>
          <w:p w14:paraId="70202E66" w14:textId="45217D19" w:rsidR="006128AB" w:rsidRPr="009E38A0" w:rsidRDefault="006128AB" w:rsidP="00BA2312">
            <w:pPr>
              <w:pStyle w:val="TableParagraph"/>
              <w:spacing w:line="229" w:lineRule="exact"/>
              <w:ind w:left="165"/>
              <w:rPr>
                <w:rFonts w:ascii="Segoe UI" w:hAnsi="Segoe UI" w:cs="Segoe UI"/>
                <w:sz w:val="20"/>
                <w:szCs w:val="20"/>
              </w:rPr>
            </w:pPr>
            <w:r>
              <w:rPr>
                <w:rFonts w:ascii="Segoe UI" w:hAnsi="Segoe UI" w:cs="Segoe UI"/>
                <w:sz w:val="20"/>
                <w:szCs w:val="20"/>
              </w:rPr>
              <w:t>MATOPIBA</w:t>
            </w:r>
          </w:p>
        </w:tc>
        <w:tc>
          <w:tcPr>
            <w:tcW w:w="7506" w:type="dxa"/>
          </w:tcPr>
          <w:p w14:paraId="1DA1033B" w14:textId="6AD77405" w:rsidR="006128AB" w:rsidRPr="006128AB" w:rsidRDefault="006128AB" w:rsidP="00BA2312">
            <w:pPr>
              <w:pStyle w:val="TableParagraph"/>
              <w:spacing w:line="229" w:lineRule="exact"/>
              <w:ind w:left="165"/>
              <w:rPr>
                <w:rFonts w:asciiTheme="minorHAnsi" w:hAnsiTheme="minorHAnsi" w:cstheme="minorHAnsi"/>
                <w:lang w:val="pt-BR"/>
              </w:rPr>
            </w:pPr>
            <w:r w:rsidRPr="006128AB">
              <w:rPr>
                <w:rFonts w:asciiTheme="minorHAnsi" w:hAnsiTheme="minorHAnsi" w:cstheme="minorHAnsi"/>
                <w:spacing w:val="5"/>
                <w:shd w:val="clear" w:color="auto" w:fill="FFFFFF"/>
                <w:lang w:val="pt-BR"/>
              </w:rPr>
              <w:t>Maranhão, Tocantins, Piauí and Bahia</w:t>
            </w:r>
            <w:r>
              <w:rPr>
                <w:rFonts w:asciiTheme="minorHAnsi" w:hAnsiTheme="minorHAnsi" w:cstheme="minorHAnsi"/>
                <w:spacing w:val="5"/>
                <w:shd w:val="clear" w:color="auto" w:fill="FFFFFF"/>
                <w:lang w:val="pt-BR"/>
              </w:rPr>
              <w:t xml:space="preserve"> (Brazil region)</w:t>
            </w:r>
          </w:p>
        </w:tc>
      </w:tr>
      <w:tr w:rsidR="009E38A0" w:rsidRPr="009E38A0" w14:paraId="1B3A43AF" w14:textId="77777777" w:rsidTr="00ED49D7">
        <w:trPr>
          <w:trHeight w:val="350"/>
        </w:trPr>
        <w:tc>
          <w:tcPr>
            <w:tcW w:w="1555" w:type="dxa"/>
          </w:tcPr>
          <w:p w14:paraId="0E84FD40"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M&amp;E</w:t>
            </w:r>
          </w:p>
        </w:tc>
        <w:tc>
          <w:tcPr>
            <w:tcW w:w="7506" w:type="dxa"/>
          </w:tcPr>
          <w:p w14:paraId="1EF43FA4"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Monitoring &amp; Evaluation</w:t>
            </w:r>
          </w:p>
        </w:tc>
      </w:tr>
      <w:tr w:rsidR="00631D08" w:rsidRPr="009E38A0" w14:paraId="0A072339" w14:textId="77777777" w:rsidTr="00ED49D7">
        <w:trPr>
          <w:trHeight w:val="350"/>
        </w:trPr>
        <w:tc>
          <w:tcPr>
            <w:tcW w:w="1555" w:type="dxa"/>
          </w:tcPr>
          <w:p w14:paraId="648E126C" w14:textId="28CC9489" w:rsidR="00631D08" w:rsidRPr="009E38A0" w:rsidRDefault="00631D08" w:rsidP="00BA2312">
            <w:pPr>
              <w:pStyle w:val="TableParagraph"/>
              <w:spacing w:line="229" w:lineRule="exact"/>
              <w:ind w:left="165"/>
              <w:rPr>
                <w:rFonts w:ascii="Segoe UI" w:hAnsi="Segoe UI" w:cs="Segoe UI"/>
                <w:sz w:val="20"/>
                <w:szCs w:val="20"/>
              </w:rPr>
            </w:pPr>
            <w:r>
              <w:rPr>
                <w:rFonts w:ascii="Segoe UI" w:hAnsi="Segoe UI" w:cs="Segoe UI"/>
                <w:sz w:val="20"/>
                <w:szCs w:val="20"/>
              </w:rPr>
              <w:t>MOV</w:t>
            </w:r>
          </w:p>
        </w:tc>
        <w:tc>
          <w:tcPr>
            <w:tcW w:w="7506" w:type="dxa"/>
          </w:tcPr>
          <w:p w14:paraId="39659B64" w14:textId="57BFBBD9" w:rsidR="00631D08" w:rsidRPr="009E38A0" w:rsidRDefault="005200A0" w:rsidP="00BA2312">
            <w:pPr>
              <w:pStyle w:val="TableParagraph"/>
              <w:spacing w:line="229" w:lineRule="exact"/>
              <w:ind w:left="165"/>
              <w:rPr>
                <w:rFonts w:ascii="Segoe UI" w:hAnsi="Segoe UI" w:cs="Segoe UI"/>
                <w:sz w:val="20"/>
                <w:szCs w:val="20"/>
              </w:rPr>
            </w:pPr>
            <w:r>
              <w:rPr>
                <w:rFonts w:ascii="Segoe UI" w:hAnsi="Segoe UI" w:cs="Segoe UI"/>
                <w:sz w:val="20"/>
                <w:szCs w:val="20"/>
              </w:rPr>
              <w:t>Means of Verification</w:t>
            </w:r>
          </w:p>
        </w:tc>
      </w:tr>
      <w:tr w:rsidR="009E38A0" w:rsidRPr="009E38A0" w14:paraId="08A82339" w14:textId="77777777" w:rsidTr="00ED49D7">
        <w:trPr>
          <w:trHeight w:val="350"/>
        </w:trPr>
        <w:tc>
          <w:tcPr>
            <w:tcW w:w="1555" w:type="dxa"/>
          </w:tcPr>
          <w:p w14:paraId="25434088"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MTR</w:t>
            </w:r>
          </w:p>
        </w:tc>
        <w:tc>
          <w:tcPr>
            <w:tcW w:w="7506" w:type="dxa"/>
          </w:tcPr>
          <w:p w14:paraId="200F5E7A"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Midterm Review</w:t>
            </w:r>
          </w:p>
        </w:tc>
      </w:tr>
      <w:tr w:rsidR="009E38A0" w:rsidRPr="009E38A0" w14:paraId="05AB3871" w14:textId="77777777" w:rsidTr="00ED49D7">
        <w:trPr>
          <w:trHeight w:val="350"/>
        </w:trPr>
        <w:tc>
          <w:tcPr>
            <w:tcW w:w="1555" w:type="dxa"/>
          </w:tcPr>
          <w:p w14:paraId="355BFE53"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NGO</w:t>
            </w:r>
          </w:p>
        </w:tc>
        <w:tc>
          <w:tcPr>
            <w:tcW w:w="7506" w:type="dxa"/>
          </w:tcPr>
          <w:p w14:paraId="25388DF8"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Non-Governmental Organization</w:t>
            </w:r>
          </w:p>
        </w:tc>
      </w:tr>
      <w:tr w:rsidR="009E38A0" w:rsidRPr="009E38A0" w14:paraId="613A581A" w14:textId="77777777" w:rsidTr="00ED49D7">
        <w:trPr>
          <w:trHeight w:val="350"/>
        </w:trPr>
        <w:tc>
          <w:tcPr>
            <w:tcW w:w="1555" w:type="dxa"/>
          </w:tcPr>
          <w:p w14:paraId="14A0F642"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RSPO</w:t>
            </w:r>
          </w:p>
        </w:tc>
        <w:tc>
          <w:tcPr>
            <w:tcW w:w="7506" w:type="dxa"/>
          </w:tcPr>
          <w:p w14:paraId="7E140615"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Round Table for Sustainable Palm Oil</w:t>
            </w:r>
          </w:p>
        </w:tc>
      </w:tr>
      <w:tr w:rsidR="009E38A0" w:rsidRPr="009E38A0" w14:paraId="1E5C2252" w14:textId="77777777" w:rsidTr="00ED49D7">
        <w:trPr>
          <w:trHeight w:val="350"/>
        </w:trPr>
        <w:tc>
          <w:tcPr>
            <w:tcW w:w="1555" w:type="dxa"/>
          </w:tcPr>
          <w:p w14:paraId="1652BCAF"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SDGs</w:t>
            </w:r>
          </w:p>
        </w:tc>
        <w:tc>
          <w:tcPr>
            <w:tcW w:w="7506" w:type="dxa"/>
          </w:tcPr>
          <w:p w14:paraId="7F1D33E0"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Sustainable Development Goals</w:t>
            </w:r>
          </w:p>
        </w:tc>
      </w:tr>
      <w:tr w:rsidR="009E38A0" w:rsidRPr="009E38A0" w14:paraId="749D85AF" w14:textId="77777777" w:rsidTr="00ED49D7">
        <w:trPr>
          <w:trHeight w:val="350"/>
        </w:trPr>
        <w:tc>
          <w:tcPr>
            <w:tcW w:w="1555" w:type="dxa"/>
          </w:tcPr>
          <w:p w14:paraId="14E199B3"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TE</w:t>
            </w:r>
          </w:p>
        </w:tc>
        <w:tc>
          <w:tcPr>
            <w:tcW w:w="7506" w:type="dxa"/>
          </w:tcPr>
          <w:p w14:paraId="2DD2373A"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Terminal Evaluation</w:t>
            </w:r>
          </w:p>
        </w:tc>
      </w:tr>
      <w:tr w:rsidR="009E38A0" w:rsidRPr="009E38A0" w14:paraId="6F07D069" w14:textId="77777777" w:rsidTr="00ED49D7">
        <w:trPr>
          <w:trHeight w:val="350"/>
        </w:trPr>
        <w:tc>
          <w:tcPr>
            <w:tcW w:w="1555" w:type="dxa"/>
          </w:tcPr>
          <w:p w14:paraId="5A1E6DB4"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UNDP</w:t>
            </w:r>
          </w:p>
        </w:tc>
        <w:tc>
          <w:tcPr>
            <w:tcW w:w="7506" w:type="dxa"/>
          </w:tcPr>
          <w:p w14:paraId="5C637837"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United Nations Development Programme</w:t>
            </w:r>
          </w:p>
        </w:tc>
      </w:tr>
      <w:tr w:rsidR="009E38A0" w:rsidRPr="009E38A0" w14:paraId="075BD5D1" w14:textId="77777777" w:rsidTr="00ED49D7">
        <w:trPr>
          <w:trHeight w:val="350"/>
        </w:trPr>
        <w:tc>
          <w:tcPr>
            <w:tcW w:w="1555" w:type="dxa"/>
          </w:tcPr>
          <w:p w14:paraId="331C21FD" w14:textId="2ED6B6CA"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UNDP RH LAC</w:t>
            </w:r>
          </w:p>
        </w:tc>
        <w:tc>
          <w:tcPr>
            <w:tcW w:w="7506" w:type="dxa"/>
          </w:tcPr>
          <w:p w14:paraId="5950AF24" w14:textId="103908A6" w:rsidR="007005AE" w:rsidRPr="009E38A0" w:rsidRDefault="00C107C7" w:rsidP="00BA2312">
            <w:pPr>
              <w:pStyle w:val="TableParagraph"/>
              <w:spacing w:line="229" w:lineRule="exact"/>
              <w:ind w:left="165"/>
              <w:rPr>
                <w:rFonts w:ascii="Segoe UI" w:hAnsi="Segoe UI" w:cs="Segoe UI"/>
                <w:sz w:val="20"/>
                <w:szCs w:val="20"/>
              </w:rPr>
            </w:pPr>
            <w:r>
              <w:rPr>
                <w:rFonts w:ascii="Segoe UI" w:hAnsi="Segoe UI" w:cs="Segoe UI"/>
                <w:sz w:val="20"/>
                <w:szCs w:val="20"/>
              </w:rPr>
              <w:t xml:space="preserve">United Nations Development Programme </w:t>
            </w:r>
            <w:r w:rsidR="00CF015D">
              <w:rPr>
                <w:rFonts w:ascii="Segoe UI" w:hAnsi="Segoe UI" w:cs="Segoe UI"/>
                <w:sz w:val="20"/>
                <w:szCs w:val="20"/>
              </w:rPr>
              <w:t xml:space="preserve">Regional Hub for </w:t>
            </w:r>
            <w:r>
              <w:rPr>
                <w:rFonts w:ascii="Segoe UI" w:hAnsi="Segoe UI" w:cs="Segoe UI"/>
                <w:sz w:val="20"/>
                <w:szCs w:val="20"/>
              </w:rPr>
              <w:t xml:space="preserve">Latin </w:t>
            </w:r>
            <w:r w:rsidR="00A11998">
              <w:rPr>
                <w:rFonts w:ascii="Segoe UI" w:hAnsi="Segoe UI" w:cs="Segoe UI"/>
                <w:sz w:val="20"/>
                <w:szCs w:val="20"/>
              </w:rPr>
              <w:t>America and the Caribbean</w:t>
            </w:r>
          </w:p>
        </w:tc>
      </w:tr>
      <w:tr w:rsidR="009E38A0" w:rsidRPr="009E38A0" w14:paraId="5F74E2C6" w14:textId="77777777" w:rsidTr="00ED49D7">
        <w:trPr>
          <w:trHeight w:val="350"/>
        </w:trPr>
        <w:tc>
          <w:tcPr>
            <w:tcW w:w="1555" w:type="dxa"/>
          </w:tcPr>
          <w:p w14:paraId="19D344B5"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UNEP</w:t>
            </w:r>
          </w:p>
        </w:tc>
        <w:tc>
          <w:tcPr>
            <w:tcW w:w="7506" w:type="dxa"/>
          </w:tcPr>
          <w:p w14:paraId="58FF9145"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United Nations Environment Programme</w:t>
            </w:r>
          </w:p>
        </w:tc>
      </w:tr>
      <w:tr w:rsidR="009E38A0" w:rsidRPr="009E38A0" w14:paraId="29058DB4" w14:textId="77777777" w:rsidTr="00ED49D7">
        <w:trPr>
          <w:trHeight w:val="350"/>
        </w:trPr>
        <w:tc>
          <w:tcPr>
            <w:tcW w:w="1555" w:type="dxa"/>
          </w:tcPr>
          <w:p w14:paraId="6B2937BB" w14:textId="162DC2E2"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UNEP FI</w:t>
            </w:r>
          </w:p>
        </w:tc>
        <w:tc>
          <w:tcPr>
            <w:tcW w:w="7506" w:type="dxa"/>
          </w:tcPr>
          <w:p w14:paraId="274BFBBF" w14:textId="1885BAB1" w:rsidR="007005AE" w:rsidRPr="009E38A0" w:rsidRDefault="00C107C7" w:rsidP="00BA2312">
            <w:pPr>
              <w:pStyle w:val="TableParagraph"/>
              <w:spacing w:line="229" w:lineRule="exact"/>
              <w:ind w:left="165"/>
              <w:rPr>
                <w:rFonts w:ascii="Segoe UI" w:hAnsi="Segoe UI" w:cs="Segoe UI"/>
                <w:sz w:val="20"/>
                <w:szCs w:val="20"/>
              </w:rPr>
            </w:pPr>
            <w:r>
              <w:rPr>
                <w:rFonts w:ascii="Segoe UI" w:hAnsi="Segoe UI" w:cs="Segoe UI"/>
                <w:sz w:val="20"/>
                <w:szCs w:val="20"/>
              </w:rPr>
              <w:t xml:space="preserve">United Nations </w:t>
            </w:r>
            <w:r w:rsidR="00CF015D" w:rsidRPr="009E38A0">
              <w:rPr>
                <w:rFonts w:ascii="Segoe UI" w:hAnsi="Segoe UI" w:cs="Segoe UI"/>
                <w:sz w:val="20"/>
                <w:szCs w:val="20"/>
              </w:rPr>
              <w:t>Environment Programme</w:t>
            </w:r>
            <w:r w:rsidR="00CF015D">
              <w:rPr>
                <w:rFonts w:ascii="Segoe UI" w:hAnsi="Segoe UI" w:cs="Segoe UI"/>
                <w:sz w:val="20"/>
                <w:szCs w:val="20"/>
              </w:rPr>
              <w:t xml:space="preserve"> – </w:t>
            </w:r>
            <w:r>
              <w:rPr>
                <w:rFonts w:ascii="Segoe UI" w:hAnsi="Segoe UI" w:cs="Segoe UI"/>
                <w:sz w:val="20"/>
                <w:szCs w:val="20"/>
              </w:rPr>
              <w:t>Finance Initiative</w:t>
            </w:r>
          </w:p>
        </w:tc>
      </w:tr>
      <w:tr w:rsidR="009E38A0" w:rsidRPr="009E38A0" w14:paraId="1D6B2E50" w14:textId="77777777" w:rsidTr="00ED49D7">
        <w:trPr>
          <w:trHeight w:val="350"/>
        </w:trPr>
        <w:tc>
          <w:tcPr>
            <w:tcW w:w="1555" w:type="dxa"/>
          </w:tcPr>
          <w:p w14:paraId="222CB68D"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VSS</w:t>
            </w:r>
          </w:p>
        </w:tc>
        <w:tc>
          <w:tcPr>
            <w:tcW w:w="7506" w:type="dxa"/>
          </w:tcPr>
          <w:p w14:paraId="2863F2ED"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Voluntary Sustainability Standards</w:t>
            </w:r>
          </w:p>
        </w:tc>
      </w:tr>
      <w:tr w:rsidR="009E38A0" w:rsidRPr="009E38A0" w14:paraId="5C55FDF1" w14:textId="77777777" w:rsidTr="00ED49D7">
        <w:trPr>
          <w:trHeight w:val="350"/>
        </w:trPr>
        <w:tc>
          <w:tcPr>
            <w:tcW w:w="1555" w:type="dxa"/>
          </w:tcPr>
          <w:p w14:paraId="33DC8017"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WWF</w:t>
            </w:r>
          </w:p>
        </w:tc>
        <w:tc>
          <w:tcPr>
            <w:tcW w:w="7506" w:type="dxa"/>
          </w:tcPr>
          <w:p w14:paraId="2D2AC1B5" w14:textId="77777777" w:rsidR="007005AE" w:rsidRPr="009E38A0" w:rsidRDefault="007005AE" w:rsidP="00BA2312">
            <w:pPr>
              <w:pStyle w:val="TableParagraph"/>
              <w:spacing w:line="229" w:lineRule="exact"/>
              <w:ind w:left="165"/>
              <w:rPr>
                <w:rFonts w:ascii="Segoe UI" w:hAnsi="Segoe UI" w:cs="Segoe UI"/>
                <w:sz w:val="20"/>
                <w:szCs w:val="20"/>
              </w:rPr>
            </w:pPr>
            <w:r w:rsidRPr="009E38A0">
              <w:rPr>
                <w:rFonts w:ascii="Segoe UI" w:hAnsi="Segoe UI" w:cs="Segoe UI"/>
                <w:sz w:val="20"/>
                <w:szCs w:val="20"/>
              </w:rPr>
              <w:t>World Wildlife Fund</w:t>
            </w:r>
          </w:p>
        </w:tc>
      </w:tr>
    </w:tbl>
    <w:p w14:paraId="77EA7447" w14:textId="77777777" w:rsidR="008E78E4" w:rsidRDefault="008E78E4" w:rsidP="00BA2312">
      <w:pPr>
        <w:rPr>
          <w:rFonts w:ascii="Segoe UI" w:eastAsia="Times New Roman" w:hAnsi="Segoe UI" w:cs="Segoe UI"/>
          <w:sz w:val="20"/>
          <w:szCs w:val="20"/>
          <w:lang w:eastAsia="en-US"/>
        </w:rPr>
      </w:pPr>
    </w:p>
    <w:p w14:paraId="4982C31A" w14:textId="77777777" w:rsidR="00C87605" w:rsidRDefault="00C87605" w:rsidP="00BA2312">
      <w:pPr>
        <w:rPr>
          <w:rFonts w:ascii="Segoe UI" w:eastAsia="Times New Roman" w:hAnsi="Segoe UI" w:cs="Segoe UI"/>
          <w:sz w:val="20"/>
          <w:szCs w:val="20"/>
          <w:lang w:eastAsia="en-US"/>
        </w:rPr>
        <w:sectPr w:rsidR="00C87605" w:rsidSect="002A2C1C">
          <w:footerReference w:type="default" r:id="rId12"/>
          <w:pgSz w:w="12240" w:h="15840"/>
          <w:pgMar w:top="1440" w:right="1440" w:bottom="1440" w:left="1440" w:header="0" w:footer="932" w:gutter="0"/>
          <w:pgNumType w:fmt="lowerRoman" w:start="1"/>
          <w:cols w:space="720"/>
          <w:titlePg/>
          <w:docGrid w:linePitch="299"/>
        </w:sectPr>
      </w:pPr>
    </w:p>
    <w:p w14:paraId="6392BEFA" w14:textId="75B7EB7F" w:rsidR="00F96470" w:rsidRPr="00B515BC" w:rsidRDefault="00F96470" w:rsidP="00D80344">
      <w:pPr>
        <w:pStyle w:val="Heading1"/>
        <w:numPr>
          <w:ilvl w:val="0"/>
          <w:numId w:val="5"/>
        </w:numPr>
        <w:rPr>
          <w:rStyle w:val="Heading2Char"/>
          <w:rFonts w:ascii="Tahoma" w:eastAsia="Tahoma" w:hAnsi="Tahoma" w:cs="Tahoma"/>
          <w:color w:val="auto"/>
          <w:sz w:val="28"/>
          <w:szCs w:val="28"/>
          <w:lang w:eastAsia="en-US"/>
        </w:rPr>
      </w:pPr>
      <w:bookmarkStart w:id="3" w:name="_Toc96772456"/>
      <w:r w:rsidRPr="00B515BC">
        <w:rPr>
          <w:rStyle w:val="Heading2Char"/>
          <w:rFonts w:ascii="Tahoma" w:eastAsia="Tahoma" w:hAnsi="Tahoma" w:cs="Tahoma"/>
          <w:color w:val="auto"/>
          <w:sz w:val="28"/>
          <w:szCs w:val="28"/>
          <w:lang w:eastAsia="en-US"/>
        </w:rPr>
        <w:lastRenderedPageBreak/>
        <w:t>Executive Summary</w:t>
      </w:r>
      <w:bookmarkEnd w:id="3"/>
      <w:r w:rsidRPr="00B515BC">
        <w:rPr>
          <w:rStyle w:val="Heading2Char"/>
          <w:rFonts w:ascii="Tahoma" w:eastAsia="Tahoma" w:hAnsi="Tahoma" w:cs="Tahoma"/>
          <w:color w:val="auto"/>
          <w:sz w:val="28"/>
          <w:szCs w:val="28"/>
          <w:lang w:eastAsia="en-US"/>
        </w:rPr>
        <w:t xml:space="preserve"> </w:t>
      </w:r>
    </w:p>
    <w:p w14:paraId="74309A04" w14:textId="77777777" w:rsidR="00027C6F" w:rsidRPr="00B16A34" w:rsidRDefault="00027C6F" w:rsidP="000E3392">
      <w:pPr>
        <w:spacing w:after="0" w:line="240" w:lineRule="auto"/>
      </w:pPr>
    </w:p>
    <w:p w14:paraId="3B4F6DBE" w14:textId="2D5AFFD3" w:rsidR="00237198" w:rsidRPr="00237198" w:rsidRDefault="00FA4F8C" w:rsidP="000E3392">
      <w:pPr>
        <w:pStyle w:val="Heading3"/>
        <w:spacing w:before="0" w:line="240" w:lineRule="auto"/>
      </w:pPr>
      <w:bookmarkStart w:id="4" w:name="_Toc96772457"/>
      <w:r>
        <w:t xml:space="preserve">1.1.  </w:t>
      </w:r>
      <w:r w:rsidR="00BA2312" w:rsidRPr="00B515BC">
        <w:t>Project Summary Table</w:t>
      </w:r>
      <w:bookmarkEnd w:id="4"/>
    </w:p>
    <w:p w14:paraId="65D9CC4D" w14:textId="77777777" w:rsidR="0080500E" w:rsidRDefault="0080500E" w:rsidP="000E3392">
      <w:pPr>
        <w:widowControl w:val="0"/>
        <w:tabs>
          <w:tab w:val="left" w:pos="1540"/>
          <w:tab w:val="left" w:pos="1541"/>
        </w:tabs>
        <w:autoSpaceDE w:val="0"/>
        <w:autoSpaceDN w:val="0"/>
        <w:spacing w:after="0" w:line="240" w:lineRule="auto"/>
        <w:rPr>
          <w:rFonts w:asciiTheme="minorHAnsi" w:eastAsia="Times New Roman" w:hAnsiTheme="minorHAnsi" w:cstheme="minorHAnsi"/>
          <w:sz w:val="20"/>
          <w:szCs w:val="20"/>
          <w:lang w:eastAsia="en-US"/>
        </w:rPr>
      </w:pPr>
    </w:p>
    <w:p w14:paraId="5DE6E03F" w14:textId="32961971" w:rsidR="00470E1C" w:rsidRDefault="004C0969" w:rsidP="000E3392">
      <w:pPr>
        <w:widowControl w:val="0"/>
        <w:tabs>
          <w:tab w:val="left" w:pos="1540"/>
          <w:tab w:val="left" w:pos="1541"/>
        </w:tabs>
        <w:autoSpaceDE w:val="0"/>
        <w:autoSpaceDN w:val="0"/>
        <w:spacing w:after="0" w:line="240" w:lineRule="auto"/>
        <w:rPr>
          <w:rFonts w:asciiTheme="minorHAnsi" w:eastAsia="Times New Roman" w:hAnsiTheme="minorHAnsi" w:cstheme="minorHAnsi"/>
          <w:sz w:val="20"/>
          <w:szCs w:val="20"/>
          <w:lang w:eastAsia="en-US"/>
        </w:rPr>
      </w:pPr>
      <w:r w:rsidRPr="00424B2F">
        <w:rPr>
          <w:rFonts w:asciiTheme="minorHAnsi" w:eastAsia="Times New Roman" w:hAnsiTheme="minorHAnsi" w:cstheme="minorHAnsi"/>
          <w:sz w:val="20"/>
          <w:szCs w:val="20"/>
          <w:lang w:eastAsia="en-US"/>
        </w:rPr>
        <w:t>Table 1. Project Summary Table</w:t>
      </w:r>
    </w:p>
    <w:tbl>
      <w:tblPr>
        <w:tblStyle w:val="TableNormal22"/>
        <w:tblpPr w:leftFromText="141" w:rightFromText="141"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2430"/>
        <w:gridCol w:w="543"/>
        <w:gridCol w:w="1527"/>
        <w:gridCol w:w="1594"/>
        <w:gridCol w:w="7"/>
      </w:tblGrid>
      <w:tr w:rsidR="009325B9" w:rsidRPr="00995FB3" w14:paraId="07122FB0" w14:textId="77777777" w:rsidTr="00887F7F">
        <w:trPr>
          <w:trHeight w:val="266"/>
        </w:trPr>
        <w:tc>
          <w:tcPr>
            <w:tcW w:w="3240" w:type="dxa"/>
            <w:tcBorders>
              <w:left w:val="nil"/>
              <w:bottom w:val="single" w:sz="2" w:space="0" w:color="000000"/>
              <w:right w:val="nil"/>
            </w:tcBorders>
            <w:shd w:val="clear" w:color="auto" w:fill="1F3863"/>
          </w:tcPr>
          <w:p w14:paraId="4E20C54F" w14:textId="77777777" w:rsidR="009325B9" w:rsidRPr="00995FB3" w:rsidRDefault="009325B9" w:rsidP="00887F7F">
            <w:pPr>
              <w:pStyle w:val="TableParagraph"/>
              <w:spacing w:line="246" w:lineRule="exact"/>
              <w:ind w:left="110"/>
              <w:rPr>
                <w:rFonts w:asciiTheme="minorHAnsi" w:hAnsiTheme="minorHAnsi" w:cstheme="minorHAnsi"/>
                <w:sz w:val="18"/>
                <w:szCs w:val="18"/>
              </w:rPr>
            </w:pPr>
            <w:r w:rsidRPr="00995FB3">
              <w:rPr>
                <w:rFonts w:asciiTheme="minorHAnsi" w:hAnsiTheme="minorHAnsi" w:cstheme="minorHAnsi"/>
                <w:color w:val="FFFFFF"/>
                <w:sz w:val="18"/>
                <w:szCs w:val="18"/>
              </w:rPr>
              <w:t>Project Details</w:t>
            </w:r>
          </w:p>
        </w:tc>
        <w:tc>
          <w:tcPr>
            <w:tcW w:w="2430" w:type="dxa"/>
            <w:tcBorders>
              <w:left w:val="nil"/>
              <w:bottom w:val="single" w:sz="2" w:space="0" w:color="000000"/>
              <w:right w:val="nil"/>
            </w:tcBorders>
            <w:shd w:val="clear" w:color="auto" w:fill="1F3863"/>
          </w:tcPr>
          <w:p w14:paraId="5A3E4C07" w14:textId="77777777" w:rsidR="009325B9" w:rsidRPr="00995FB3" w:rsidRDefault="009325B9" w:rsidP="00887F7F">
            <w:pPr>
              <w:pStyle w:val="TableParagraph"/>
              <w:rPr>
                <w:rFonts w:asciiTheme="minorHAnsi" w:hAnsiTheme="minorHAnsi" w:cstheme="minorHAnsi"/>
                <w:sz w:val="18"/>
                <w:szCs w:val="18"/>
              </w:rPr>
            </w:pPr>
          </w:p>
        </w:tc>
        <w:tc>
          <w:tcPr>
            <w:tcW w:w="2070" w:type="dxa"/>
            <w:gridSpan w:val="2"/>
            <w:tcBorders>
              <w:left w:val="nil"/>
              <w:bottom w:val="single" w:sz="2" w:space="0" w:color="000000"/>
              <w:right w:val="nil"/>
            </w:tcBorders>
            <w:shd w:val="clear" w:color="auto" w:fill="1F3863"/>
          </w:tcPr>
          <w:p w14:paraId="22F78AB3" w14:textId="77777777" w:rsidR="009325B9" w:rsidRPr="00995FB3" w:rsidRDefault="009325B9" w:rsidP="00887F7F">
            <w:pPr>
              <w:pStyle w:val="TableParagraph"/>
              <w:spacing w:line="246" w:lineRule="exact"/>
              <w:ind w:left="107"/>
              <w:rPr>
                <w:rFonts w:asciiTheme="minorHAnsi" w:hAnsiTheme="minorHAnsi" w:cstheme="minorHAnsi"/>
                <w:sz w:val="18"/>
                <w:szCs w:val="18"/>
              </w:rPr>
            </w:pPr>
            <w:r w:rsidRPr="00995FB3">
              <w:rPr>
                <w:rFonts w:asciiTheme="minorHAnsi" w:hAnsiTheme="minorHAnsi" w:cstheme="minorHAnsi"/>
                <w:color w:val="FFFFFF"/>
                <w:sz w:val="18"/>
                <w:szCs w:val="18"/>
              </w:rPr>
              <w:t>Project Milestones</w:t>
            </w:r>
          </w:p>
        </w:tc>
        <w:tc>
          <w:tcPr>
            <w:tcW w:w="1601" w:type="dxa"/>
            <w:gridSpan w:val="2"/>
            <w:tcBorders>
              <w:left w:val="nil"/>
              <w:bottom w:val="single" w:sz="2" w:space="0" w:color="000000"/>
              <w:right w:val="nil"/>
            </w:tcBorders>
            <w:shd w:val="clear" w:color="auto" w:fill="1F3863"/>
          </w:tcPr>
          <w:p w14:paraId="0D90CCEC" w14:textId="77777777" w:rsidR="009325B9" w:rsidRPr="00995FB3" w:rsidRDefault="009325B9" w:rsidP="00887F7F">
            <w:pPr>
              <w:pStyle w:val="TableParagraph"/>
              <w:rPr>
                <w:rFonts w:asciiTheme="minorHAnsi" w:hAnsiTheme="minorHAnsi" w:cstheme="minorHAnsi"/>
                <w:sz w:val="18"/>
                <w:szCs w:val="18"/>
              </w:rPr>
            </w:pPr>
          </w:p>
        </w:tc>
      </w:tr>
      <w:tr w:rsidR="009325B9" w:rsidRPr="00995FB3" w14:paraId="084617EA" w14:textId="77777777" w:rsidTr="00887F7F">
        <w:trPr>
          <w:trHeight w:val="266"/>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5FBC1E05" w14:textId="77777777" w:rsidR="009325B9" w:rsidRPr="00995FB3" w:rsidRDefault="009325B9" w:rsidP="00887F7F">
            <w:pPr>
              <w:pStyle w:val="TableParagraph"/>
              <w:spacing w:line="246"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Project Title</w:t>
            </w:r>
          </w:p>
        </w:tc>
        <w:tc>
          <w:tcPr>
            <w:tcW w:w="2430" w:type="dxa"/>
            <w:tcBorders>
              <w:top w:val="single" w:sz="2" w:space="0" w:color="000000"/>
              <w:left w:val="single" w:sz="2" w:space="0" w:color="000000"/>
              <w:bottom w:val="single" w:sz="2" w:space="0" w:color="000000"/>
              <w:right w:val="single" w:sz="2" w:space="0" w:color="000000"/>
            </w:tcBorders>
          </w:tcPr>
          <w:p w14:paraId="4ED890AA" w14:textId="77777777" w:rsidR="009325B9" w:rsidRPr="00995FB3" w:rsidRDefault="009325B9" w:rsidP="00887F7F">
            <w:pPr>
              <w:pStyle w:val="TableParagraph"/>
              <w:rPr>
                <w:rFonts w:asciiTheme="minorHAnsi" w:hAnsiTheme="minorHAnsi" w:cstheme="minorHAnsi"/>
                <w:bCs/>
                <w:sz w:val="18"/>
                <w:szCs w:val="18"/>
              </w:rPr>
            </w:pPr>
            <w:r w:rsidRPr="00995FB3">
              <w:rPr>
                <w:rFonts w:asciiTheme="minorHAnsi" w:hAnsiTheme="minorHAnsi" w:cstheme="minorHAnsi"/>
                <w:bCs/>
                <w:sz w:val="18"/>
                <w:szCs w:val="18"/>
              </w:rPr>
              <w:t>Adaptive Management and Learning for the Commodities IAP</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6532A458" w14:textId="77777777" w:rsidR="009325B9" w:rsidRPr="00995FB3" w:rsidRDefault="009325B9" w:rsidP="00887F7F">
            <w:pPr>
              <w:pStyle w:val="TableParagraph"/>
              <w:spacing w:line="246"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PIF Approval Date:</w:t>
            </w:r>
          </w:p>
        </w:tc>
        <w:tc>
          <w:tcPr>
            <w:tcW w:w="1601" w:type="dxa"/>
            <w:gridSpan w:val="2"/>
            <w:tcBorders>
              <w:top w:val="single" w:sz="2" w:space="0" w:color="000000"/>
              <w:left w:val="single" w:sz="2" w:space="0" w:color="000000"/>
              <w:bottom w:val="single" w:sz="2" w:space="0" w:color="000000"/>
              <w:right w:val="single" w:sz="2" w:space="0" w:color="000000"/>
            </w:tcBorders>
          </w:tcPr>
          <w:p w14:paraId="62D7B4F5"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color w:val="212121"/>
                <w:sz w:val="18"/>
                <w:szCs w:val="18"/>
              </w:rPr>
              <w:t>4</w:t>
            </w:r>
            <w:r w:rsidRPr="00995FB3">
              <w:rPr>
                <w:rFonts w:asciiTheme="minorHAnsi" w:hAnsiTheme="minorHAnsi" w:cstheme="minorHAnsi"/>
                <w:color w:val="212121"/>
                <w:position w:val="6"/>
                <w:sz w:val="18"/>
                <w:szCs w:val="18"/>
              </w:rPr>
              <w:t xml:space="preserve">th </w:t>
            </w:r>
            <w:r w:rsidRPr="00995FB3">
              <w:rPr>
                <w:rFonts w:asciiTheme="minorHAnsi" w:hAnsiTheme="minorHAnsi" w:cstheme="minorHAnsi"/>
                <w:color w:val="212121"/>
                <w:sz w:val="18"/>
                <w:szCs w:val="18"/>
              </w:rPr>
              <w:t>of June 2015</w:t>
            </w:r>
          </w:p>
        </w:tc>
      </w:tr>
      <w:tr w:rsidR="009325B9" w:rsidRPr="00995FB3" w14:paraId="03B09131" w14:textId="77777777" w:rsidTr="00887F7F">
        <w:trPr>
          <w:trHeight w:val="532"/>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0410179F" w14:textId="77777777" w:rsidR="009325B9" w:rsidRPr="00995FB3" w:rsidRDefault="009325B9" w:rsidP="00887F7F">
            <w:pPr>
              <w:pStyle w:val="TableParagraph"/>
              <w:ind w:left="107"/>
              <w:rPr>
                <w:rFonts w:asciiTheme="minorHAnsi" w:hAnsiTheme="minorHAnsi" w:cstheme="minorHAnsi"/>
                <w:sz w:val="18"/>
                <w:szCs w:val="18"/>
              </w:rPr>
            </w:pPr>
            <w:r w:rsidRPr="00995FB3">
              <w:rPr>
                <w:rFonts w:asciiTheme="minorHAnsi" w:hAnsiTheme="minorHAnsi" w:cstheme="minorHAnsi"/>
                <w:color w:val="1F3863"/>
                <w:sz w:val="18"/>
                <w:szCs w:val="18"/>
              </w:rPr>
              <w:t>UNDP Project ID (PIMS #):</w:t>
            </w:r>
          </w:p>
        </w:tc>
        <w:tc>
          <w:tcPr>
            <w:tcW w:w="2430" w:type="dxa"/>
            <w:tcBorders>
              <w:top w:val="single" w:sz="2" w:space="0" w:color="000000"/>
              <w:left w:val="single" w:sz="2" w:space="0" w:color="000000"/>
              <w:bottom w:val="single" w:sz="2" w:space="0" w:color="000000"/>
              <w:right w:val="single" w:sz="2" w:space="0" w:color="000000"/>
            </w:tcBorders>
          </w:tcPr>
          <w:p w14:paraId="7866D74B"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5665</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1C5E62B7" w14:textId="77777777" w:rsidR="009325B9" w:rsidRPr="00995FB3" w:rsidRDefault="009325B9" w:rsidP="00887F7F">
            <w:pPr>
              <w:pStyle w:val="TableParagraph"/>
              <w:ind w:left="107"/>
              <w:rPr>
                <w:rFonts w:asciiTheme="minorHAnsi" w:hAnsiTheme="minorHAnsi" w:cstheme="minorHAnsi"/>
                <w:sz w:val="18"/>
                <w:szCs w:val="18"/>
              </w:rPr>
            </w:pPr>
            <w:r w:rsidRPr="00995FB3">
              <w:rPr>
                <w:rFonts w:asciiTheme="minorHAnsi" w:hAnsiTheme="minorHAnsi" w:cstheme="minorHAnsi"/>
                <w:color w:val="1F3863"/>
                <w:sz w:val="18"/>
                <w:szCs w:val="18"/>
              </w:rPr>
              <w:t>CEO Endorsement Date (FSP) / Approval date (MSP):</w:t>
            </w:r>
          </w:p>
        </w:tc>
        <w:tc>
          <w:tcPr>
            <w:tcW w:w="1601" w:type="dxa"/>
            <w:gridSpan w:val="2"/>
            <w:tcBorders>
              <w:top w:val="single" w:sz="2" w:space="0" w:color="000000"/>
              <w:left w:val="single" w:sz="2" w:space="0" w:color="000000"/>
              <w:bottom w:val="single" w:sz="2" w:space="0" w:color="000000"/>
              <w:right w:val="single" w:sz="2" w:space="0" w:color="000000"/>
            </w:tcBorders>
          </w:tcPr>
          <w:p w14:paraId="6BFDD3BB"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10/01/2017</w:t>
            </w:r>
          </w:p>
        </w:tc>
      </w:tr>
      <w:tr w:rsidR="009325B9" w:rsidRPr="00995FB3" w14:paraId="281E250B" w14:textId="77777777" w:rsidTr="00887F7F">
        <w:trPr>
          <w:trHeight w:val="266"/>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27BEB9C7" w14:textId="77777777" w:rsidR="009325B9" w:rsidRPr="00995FB3" w:rsidRDefault="009325B9" w:rsidP="00887F7F">
            <w:pPr>
              <w:pStyle w:val="TableParagraph"/>
              <w:spacing w:line="246"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GEF Project ID:</w:t>
            </w:r>
          </w:p>
        </w:tc>
        <w:tc>
          <w:tcPr>
            <w:tcW w:w="2430" w:type="dxa"/>
            <w:tcBorders>
              <w:top w:val="single" w:sz="2" w:space="0" w:color="000000"/>
              <w:left w:val="single" w:sz="2" w:space="0" w:color="000000"/>
              <w:bottom w:val="single" w:sz="2" w:space="0" w:color="000000"/>
              <w:right w:val="single" w:sz="2" w:space="0" w:color="000000"/>
            </w:tcBorders>
          </w:tcPr>
          <w:p w14:paraId="5AE9CAE1"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9179</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5618ED6F" w14:textId="77777777" w:rsidR="009325B9" w:rsidRPr="00995FB3" w:rsidRDefault="009325B9" w:rsidP="00887F7F">
            <w:pPr>
              <w:pStyle w:val="TableParagraph"/>
              <w:spacing w:line="246"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ProDoc Signature Date:</w:t>
            </w:r>
          </w:p>
        </w:tc>
        <w:tc>
          <w:tcPr>
            <w:tcW w:w="1601" w:type="dxa"/>
            <w:gridSpan w:val="2"/>
            <w:tcBorders>
              <w:top w:val="single" w:sz="2" w:space="0" w:color="000000"/>
              <w:left w:val="single" w:sz="2" w:space="0" w:color="000000"/>
              <w:bottom w:val="single" w:sz="2" w:space="0" w:color="000000"/>
              <w:right w:val="single" w:sz="2" w:space="0" w:color="000000"/>
            </w:tcBorders>
          </w:tcPr>
          <w:p w14:paraId="1559910C"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03/03/2017</w:t>
            </w:r>
          </w:p>
        </w:tc>
      </w:tr>
      <w:tr w:rsidR="009325B9" w:rsidRPr="00995FB3" w14:paraId="102170DB" w14:textId="77777777" w:rsidTr="00887F7F">
        <w:trPr>
          <w:trHeight w:val="530"/>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277FECDE" w14:textId="77777777" w:rsidR="009325B9" w:rsidRPr="00995FB3" w:rsidRDefault="009325B9" w:rsidP="00887F7F">
            <w:pPr>
              <w:pStyle w:val="TableParagraph"/>
              <w:spacing w:line="266" w:lineRule="exact"/>
              <w:ind w:left="107" w:right="158"/>
              <w:rPr>
                <w:rFonts w:asciiTheme="minorHAnsi" w:hAnsiTheme="minorHAnsi" w:cstheme="minorHAnsi"/>
                <w:sz w:val="18"/>
                <w:szCs w:val="18"/>
              </w:rPr>
            </w:pPr>
            <w:r w:rsidRPr="00995FB3">
              <w:rPr>
                <w:rFonts w:asciiTheme="minorHAnsi" w:hAnsiTheme="minorHAnsi" w:cstheme="minorHAnsi"/>
                <w:color w:val="1F3863"/>
                <w:sz w:val="18"/>
                <w:szCs w:val="18"/>
              </w:rPr>
              <w:t>UNDP Atlas Business Unit, Award ID, Project ID:</w:t>
            </w:r>
          </w:p>
        </w:tc>
        <w:tc>
          <w:tcPr>
            <w:tcW w:w="2430" w:type="dxa"/>
            <w:tcBorders>
              <w:top w:val="single" w:sz="2" w:space="0" w:color="000000"/>
              <w:left w:val="single" w:sz="2" w:space="0" w:color="000000"/>
              <w:bottom w:val="single" w:sz="2" w:space="0" w:color="000000"/>
              <w:right w:val="single" w:sz="2" w:space="0" w:color="000000"/>
            </w:tcBorders>
          </w:tcPr>
          <w:p w14:paraId="71AEBA44"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00097946</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572CB6B1" w14:textId="77777777" w:rsidR="009325B9" w:rsidRPr="00995FB3" w:rsidRDefault="009325B9" w:rsidP="00887F7F">
            <w:pPr>
              <w:pStyle w:val="TableParagraph"/>
              <w:spacing w:line="264"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Date Project Manager hired:</w:t>
            </w:r>
          </w:p>
        </w:tc>
        <w:tc>
          <w:tcPr>
            <w:tcW w:w="1601" w:type="dxa"/>
            <w:gridSpan w:val="2"/>
            <w:tcBorders>
              <w:top w:val="single" w:sz="2" w:space="0" w:color="000000"/>
              <w:left w:val="single" w:sz="2" w:space="0" w:color="000000"/>
              <w:bottom w:val="single" w:sz="2" w:space="0" w:color="000000"/>
              <w:right w:val="single" w:sz="2" w:space="0" w:color="000000"/>
            </w:tcBorders>
          </w:tcPr>
          <w:p w14:paraId="69698508"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30/08/2017</w:t>
            </w:r>
          </w:p>
        </w:tc>
      </w:tr>
      <w:tr w:rsidR="009325B9" w:rsidRPr="00995FB3" w14:paraId="21C6A7F9" w14:textId="77777777" w:rsidTr="00887F7F">
        <w:trPr>
          <w:trHeight w:val="264"/>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6DF33914" w14:textId="77777777" w:rsidR="009325B9" w:rsidRPr="00995FB3" w:rsidRDefault="009325B9" w:rsidP="00887F7F">
            <w:pPr>
              <w:pStyle w:val="TableParagraph"/>
              <w:spacing w:line="244"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Country/Countries:</w:t>
            </w:r>
          </w:p>
        </w:tc>
        <w:tc>
          <w:tcPr>
            <w:tcW w:w="2430" w:type="dxa"/>
            <w:tcBorders>
              <w:top w:val="single" w:sz="2" w:space="0" w:color="000000"/>
              <w:left w:val="single" w:sz="2" w:space="0" w:color="000000"/>
              <w:bottom w:val="single" w:sz="2" w:space="0" w:color="000000"/>
              <w:right w:val="single" w:sz="2" w:space="0" w:color="000000"/>
            </w:tcBorders>
          </w:tcPr>
          <w:p w14:paraId="26E1A4F6"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Global</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39822C09" w14:textId="77777777" w:rsidR="009325B9" w:rsidRPr="00995FB3" w:rsidRDefault="009325B9" w:rsidP="00887F7F">
            <w:pPr>
              <w:pStyle w:val="TableParagraph"/>
              <w:spacing w:line="244"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Inception Workshop Date:</w:t>
            </w:r>
          </w:p>
        </w:tc>
        <w:tc>
          <w:tcPr>
            <w:tcW w:w="1601" w:type="dxa"/>
            <w:gridSpan w:val="2"/>
            <w:tcBorders>
              <w:top w:val="single" w:sz="2" w:space="0" w:color="000000"/>
              <w:left w:val="single" w:sz="2" w:space="0" w:color="000000"/>
              <w:bottom w:val="single" w:sz="2" w:space="0" w:color="000000"/>
              <w:right w:val="single" w:sz="2" w:space="0" w:color="000000"/>
            </w:tcBorders>
          </w:tcPr>
          <w:p w14:paraId="51E037B9"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29 November 2017</w:t>
            </w:r>
          </w:p>
        </w:tc>
      </w:tr>
      <w:tr w:rsidR="009325B9" w:rsidRPr="00995FB3" w14:paraId="64DCB3BE" w14:textId="77777777" w:rsidTr="00887F7F">
        <w:trPr>
          <w:trHeight w:val="532"/>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5D26C748" w14:textId="77777777" w:rsidR="009325B9" w:rsidRPr="00995FB3" w:rsidRDefault="009325B9" w:rsidP="00887F7F">
            <w:pPr>
              <w:pStyle w:val="TableParagraph"/>
              <w:ind w:left="107"/>
              <w:rPr>
                <w:rFonts w:asciiTheme="minorHAnsi" w:hAnsiTheme="minorHAnsi" w:cstheme="minorHAnsi"/>
                <w:sz w:val="18"/>
                <w:szCs w:val="18"/>
              </w:rPr>
            </w:pPr>
            <w:r w:rsidRPr="00995FB3">
              <w:rPr>
                <w:rFonts w:asciiTheme="minorHAnsi" w:hAnsiTheme="minorHAnsi" w:cstheme="minorHAnsi"/>
                <w:color w:val="1F3863"/>
                <w:sz w:val="18"/>
                <w:szCs w:val="18"/>
              </w:rPr>
              <w:t>Region:</w:t>
            </w:r>
          </w:p>
        </w:tc>
        <w:tc>
          <w:tcPr>
            <w:tcW w:w="2430" w:type="dxa"/>
            <w:tcBorders>
              <w:top w:val="single" w:sz="2" w:space="0" w:color="000000"/>
              <w:left w:val="single" w:sz="2" w:space="0" w:color="000000"/>
              <w:bottom w:val="single" w:sz="2" w:space="0" w:color="000000"/>
              <w:right w:val="single" w:sz="2" w:space="0" w:color="000000"/>
            </w:tcBorders>
          </w:tcPr>
          <w:p w14:paraId="33B80E77"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NA</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370FC7FE" w14:textId="77777777" w:rsidR="009325B9" w:rsidRPr="00995FB3" w:rsidRDefault="009325B9" w:rsidP="00887F7F">
            <w:pPr>
              <w:pStyle w:val="TableParagraph"/>
              <w:spacing w:before="3" w:line="266" w:lineRule="exact"/>
              <w:ind w:left="107" w:right="113"/>
              <w:rPr>
                <w:rFonts w:asciiTheme="minorHAnsi" w:hAnsiTheme="minorHAnsi" w:cstheme="minorHAnsi"/>
                <w:sz w:val="18"/>
                <w:szCs w:val="18"/>
              </w:rPr>
            </w:pPr>
            <w:r w:rsidRPr="00995FB3">
              <w:rPr>
                <w:rFonts w:asciiTheme="minorHAnsi" w:hAnsiTheme="minorHAnsi" w:cstheme="minorHAnsi"/>
                <w:color w:val="1F3863"/>
                <w:sz w:val="18"/>
                <w:szCs w:val="18"/>
              </w:rPr>
              <w:t>Mid-Term Review Completion Date:</w:t>
            </w:r>
          </w:p>
        </w:tc>
        <w:tc>
          <w:tcPr>
            <w:tcW w:w="1601" w:type="dxa"/>
            <w:gridSpan w:val="2"/>
            <w:tcBorders>
              <w:top w:val="single" w:sz="2" w:space="0" w:color="000000"/>
              <w:left w:val="single" w:sz="2" w:space="0" w:color="000000"/>
              <w:bottom w:val="single" w:sz="2" w:space="0" w:color="000000"/>
              <w:right w:val="single" w:sz="2" w:space="0" w:color="000000"/>
            </w:tcBorders>
          </w:tcPr>
          <w:p w14:paraId="7378302A" w14:textId="77777777" w:rsidR="009325B9" w:rsidRPr="00995FB3" w:rsidRDefault="009325B9" w:rsidP="00887F7F">
            <w:pPr>
              <w:pStyle w:val="TableParagraph"/>
              <w:ind w:left="108"/>
              <w:rPr>
                <w:rFonts w:asciiTheme="minorHAnsi" w:hAnsiTheme="minorHAnsi" w:cstheme="minorHAnsi"/>
                <w:i/>
                <w:sz w:val="18"/>
                <w:szCs w:val="18"/>
              </w:rPr>
            </w:pPr>
            <w:r w:rsidRPr="00995FB3">
              <w:rPr>
                <w:rFonts w:asciiTheme="minorHAnsi" w:hAnsiTheme="minorHAnsi" w:cstheme="minorHAnsi"/>
                <w:sz w:val="18"/>
                <w:szCs w:val="18"/>
              </w:rPr>
              <w:t>31/12/2019</w:t>
            </w:r>
            <w:r w:rsidRPr="00995FB3">
              <w:rPr>
                <w:rFonts w:asciiTheme="minorHAnsi" w:hAnsiTheme="minorHAnsi" w:cstheme="minorHAnsi"/>
                <w:i/>
                <w:color w:val="808080"/>
                <w:sz w:val="18"/>
                <w:szCs w:val="18"/>
              </w:rPr>
              <w:t xml:space="preserve"> </w:t>
            </w:r>
          </w:p>
        </w:tc>
      </w:tr>
      <w:tr w:rsidR="009325B9" w:rsidRPr="00995FB3" w14:paraId="19E1B642" w14:textId="77777777" w:rsidTr="00887F7F">
        <w:trPr>
          <w:trHeight w:val="530"/>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01E85CDD" w14:textId="77777777" w:rsidR="009325B9" w:rsidRPr="00995FB3" w:rsidRDefault="009325B9" w:rsidP="00887F7F">
            <w:pPr>
              <w:pStyle w:val="TableParagraph"/>
              <w:spacing w:line="264"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Focal Area:</w:t>
            </w:r>
          </w:p>
        </w:tc>
        <w:tc>
          <w:tcPr>
            <w:tcW w:w="2430" w:type="dxa"/>
            <w:tcBorders>
              <w:top w:val="single" w:sz="2" w:space="0" w:color="000000"/>
              <w:left w:val="single" w:sz="2" w:space="0" w:color="000000"/>
              <w:bottom w:val="single" w:sz="2" w:space="0" w:color="000000"/>
              <w:right w:val="single" w:sz="2" w:space="0" w:color="000000"/>
            </w:tcBorders>
          </w:tcPr>
          <w:p w14:paraId="4A3F3FC9"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NA</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777ED005" w14:textId="77777777" w:rsidR="009325B9" w:rsidRPr="00995FB3" w:rsidRDefault="009325B9" w:rsidP="00887F7F">
            <w:pPr>
              <w:pStyle w:val="TableParagraph"/>
              <w:spacing w:line="266" w:lineRule="exact"/>
              <w:ind w:left="107" w:right="113"/>
              <w:rPr>
                <w:rFonts w:asciiTheme="minorHAnsi" w:hAnsiTheme="minorHAnsi" w:cstheme="minorHAnsi"/>
                <w:sz w:val="18"/>
                <w:szCs w:val="18"/>
              </w:rPr>
            </w:pPr>
            <w:r w:rsidRPr="00995FB3">
              <w:rPr>
                <w:rFonts w:asciiTheme="minorHAnsi" w:hAnsiTheme="minorHAnsi" w:cstheme="minorHAnsi"/>
                <w:color w:val="1F3863"/>
                <w:sz w:val="18"/>
                <w:szCs w:val="18"/>
              </w:rPr>
              <w:t>Terminal Evaluation Completion date:</w:t>
            </w:r>
          </w:p>
        </w:tc>
        <w:tc>
          <w:tcPr>
            <w:tcW w:w="1601" w:type="dxa"/>
            <w:gridSpan w:val="2"/>
            <w:tcBorders>
              <w:top w:val="single" w:sz="2" w:space="0" w:color="000000"/>
              <w:left w:val="single" w:sz="2" w:space="0" w:color="000000"/>
              <w:bottom w:val="single" w:sz="2" w:space="0" w:color="000000"/>
              <w:right w:val="single" w:sz="2" w:space="0" w:color="000000"/>
            </w:tcBorders>
          </w:tcPr>
          <w:p w14:paraId="56FF4407" w14:textId="77777777" w:rsidR="009325B9" w:rsidRPr="00995FB3" w:rsidRDefault="009325B9" w:rsidP="00887F7F">
            <w:pPr>
              <w:pStyle w:val="TableParagraph"/>
              <w:rPr>
                <w:rFonts w:asciiTheme="minorHAnsi" w:hAnsiTheme="minorHAnsi" w:cstheme="minorHAnsi"/>
                <w:sz w:val="18"/>
                <w:szCs w:val="18"/>
              </w:rPr>
            </w:pPr>
          </w:p>
        </w:tc>
      </w:tr>
      <w:tr w:rsidR="009325B9" w:rsidRPr="00995FB3" w14:paraId="093F8B3A" w14:textId="77777777" w:rsidTr="00887F7F">
        <w:trPr>
          <w:trHeight w:val="531"/>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0319C32B" w14:textId="77777777" w:rsidR="009325B9" w:rsidRPr="00995FB3" w:rsidRDefault="009325B9" w:rsidP="00887F7F">
            <w:pPr>
              <w:pStyle w:val="TableParagraph"/>
              <w:spacing w:before="1" w:line="266" w:lineRule="exact"/>
              <w:ind w:left="107" w:right="158"/>
              <w:rPr>
                <w:rFonts w:asciiTheme="minorHAnsi" w:hAnsiTheme="minorHAnsi" w:cstheme="minorHAnsi"/>
                <w:sz w:val="18"/>
                <w:szCs w:val="18"/>
              </w:rPr>
            </w:pPr>
            <w:r w:rsidRPr="00995FB3">
              <w:rPr>
                <w:rFonts w:asciiTheme="minorHAnsi" w:hAnsiTheme="minorHAnsi" w:cstheme="minorHAnsi"/>
                <w:color w:val="1F3863"/>
                <w:sz w:val="18"/>
                <w:szCs w:val="18"/>
              </w:rPr>
              <w:t>GEF Operational Programme or Strategic Priorities/Objectives:</w:t>
            </w:r>
          </w:p>
        </w:tc>
        <w:tc>
          <w:tcPr>
            <w:tcW w:w="2430" w:type="dxa"/>
            <w:tcBorders>
              <w:top w:val="single" w:sz="2" w:space="0" w:color="000000"/>
              <w:left w:val="single" w:sz="2" w:space="0" w:color="000000"/>
              <w:bottom w:val="single" w:sz="2" w:space="0" w:color="000000"/>
              <w:right w:val="single" w:sz="2" w:space="0" w:color="000000"/>
            </w:tcBorders>
          </w:tcPr>
          <w:p w14:paraId="0E60FD26" w14:textId="77777777" w:rsidR="009325B9" w:rsidRPr="009325B9" w:rsidRDefault="009325B9" w:rsidP="00887F7F">
            <w:pPr>
              <w:pStyle w:val="TableParagraph"/>
              <w:rPr>
                <w:rFonts w:asciiTheme="minorHAnsi" w:hAnsiTheme="minorHAnsi" w:cstheme="minorHAnsi"/>
                <w:sz w:val="18"/>
                <w:szCs w:val="18"/>
              </w:rPr>
            </w:pPr>
            <w:r w:rsidRPr="009325B9">
              <w:rPr>
                <w:rFonts w:asciiTheme="minorHAnsi" w:hAnsiTheme="minorHAnsi" w:cstheme="minorHAnsi"/>
                <w:sz w:val="18"/>
                <w:szCs w:val="18"/>
              </w:rPr>
              <w:t>IAP-Commodity Supply Chain, BD-4, CCM-2, SFM-1</w:t>
            </w:r>
          </w:p>
        </w:tc>
        <w:tc>
          <w:tcPr>
            <w:tcW w:w="2070" w:type="dxa"/>
            <w:gridSpan w:val="2"/>
            <w:tcBorders>
              <w:top w:val="single" w:sz="2" w:space="0" w:color="000000"/>
              <w:left w:val="single" w:sz="2" w:space="0" w:color="000000"/>
              <w:bottom w:val="single" w:sz="2" w:space="0" w:color="000000"/>
              <w:right w:val="single" w:sz="2" w:space="0" w:color="000000"/>
            </w:tcBorders>
            <w:shd w:val="clear" w:color="auto" w:fill="D9E1F3"/>
          </w:tcPr>
          <w:p w14:paraId="39DC5AF2" w14:textId="77777777" w:rsidR="009325B9" w:rsidRPr="00995FB3" w:rsidRDefault="009325B9" w:rsidP="00887F7F">
            <w:pPr>
              <w:pStyle w:val="TableParagraph"/>
              <w:spacing w:before="1" w:line="266" w:lineRule="exact"/>
              <w:ind w:left="107" w:right="224"/>
              <w:rPr>
                <w:rFonts w:asciiTheme="minorHAnsi" w:hAnsiTheme="minorHAnsi" w:cstheme="minorHAnsi"/>
                <w:sz w:val="18"/>
                <w:szCs w:val="18"/>
              </w:rPr>
            </w:pPr>
            <w:r w:rsidRPr="00995FB3">
              <w:rPr>
                <w:rFonts w:asciiTheme="minorHAnsi" w:hAnsiTheme="minorHAnsi" w:cstheme="minorHAnsi"/>
                <w:color w:val="1F3863"/>
                <w:sz w:val="18"/>
                <w:szCs w:val="18"/>
              </w:rPr>
              <w:t>Planned Operational Closure Date:</w:t>
            </w:r>
          </w:p>
        </w:tc>
        <w:tc>
          <w:tcPr>
            <w:tcW w:w="1601" w:type="dxa"/>
            <w:gridSpan w:val="2"/>
            <w:tcBorders>
              <w:top w:val="single" w:sz="2" w:space="0" w:color="000000"/>
              <w:left w:val="single" w:sz="2" w:space="0" w:color="000000"/>
              <w:bottom w:val="single" w:sz="2" w:space="0" w:color="000000"/>
              <w:right w:val="single" w:sz="2" w:space="0" w:color="000000"/>
            </w:tcBorders>
          </w:tcPr>
          <w:p w14:paraId="5599D2F9"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31/</w:t>
            </w:r>
            <w:r>
              <w:rPr>
                <w:rFonts w:asciiTheme="minorHAnsi" w:hAnsiTheme="minorHAnsi" w:cstheme="minorHAnsi"/>
                <w:sz w:val="18"/>
                <w:szCs w:val="18"/>
              </w:rPr>
              <w:t>03</w:t>
            </w:r>
            <w:r w:rsidRPr="00995FB3">
              <w:rPr>
                <w:rFonts w:asciiTheme="minorHAnsi" w:hAnsiTheme="minorHAnsi" w:cstheme="minorHAnsi"/>
                <w:sz w:val="18"/>
                <w:szCs w:val="18"/>
              </w:rPr>
              <w:t>/202</w:t>
            </w:r>
            <w:r>
              <w:rPr>
                <w:rFonts w:asciiTheme="minorHAnsi" w:hAnsiTheme="minorHAnsi" w:cstheme="minorHAnsi"/>
                <w:sz w:val="18"/>
                <w:szCs w:val="18"/>
              </w:rPr>
              <w:t>2</w:t>
            </w:r>
          </w:p>
        </w:tc>
      </w:tr>
      <w:tr w:rsidR="009325B9" w:rsidRPr="00995FB3" w14:paraId="7321BF21" w14:textId="77777777" w:rsidTr="00887F7F">
        <w:trPr>
          <w:trHeight w:val="261"/>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65CCF1B5" w14:textId="77777777" w:rsidR="009325B9" w:rsidRPr="00995FB3" w:rsidRDefault="009325B9" w:rsidP="00887F7F">
            <w:pPr>
              <w:pStyle w:val="TableParagraph"/>
              <w:spacing w:line="242"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Trust Fund:</w:t>
            </w:r>
          </w:p>
        </w:tc>
        <w:tc>
          <w:tcPr>
            <w:tcW w:w="6101" w:type="dxa"/>
            <w:gridSpan w:val="5"/>
            <w:tcBorders>
              <w:top w:val="single" w:sz="2" w:space="0" w:color="000000"/>
              <w:left w:val="single" w:sz="2" w:space="0" w:color="000000"/>
              <w:bottom w:val="single" w:sz="2" w:space="0" w:color="000000"/>
              <w:right w:val="single" w:sz="2" w:space="0" w:color="000000"/>
            </w:tcBorders>
          </w:tcPr>
          <w:p w14:paraId="02618B18" w14:textId="77777777" w:rsidR="009325B9" w:rsidRPr="00995FB3" w:rsidRDefault="009325B9" w:rsidP="00887F7F">
            <w:pPr>
              <w:pStyle w:val="TableParagraph"/>
              <w:spacing w:line="242" w:lineRule="exact"/>
              <w:ind w:left="107"/>
              <w:rPr>
                <w:rFonts w:asciiTheme="minorHAnsi" w:hAnsiTheme="minorHAnsi" w:cstheme="minorHAnsi"/>
                <w:i/>
                <w:sz w:val="18"/>
                <w:szCs w:val="18"/>
              </w:rPr>
            </w:pPr>
            <w:r w:rsidRPr="00995FB3">
              <w:rPr>
                <w:rFonts w:asciiTheme="minorHAnsi" w:hAnsiTheme="minorHAnsi" w:cstheme="minorHAnsi"/>
                <w:i/>
                <w:sz w:val="18"/>
                <w:szCs w:val="18"/>
              </w:rPr>
              <w:t>GEF</w:t>
            </w:r>
          </w:p>
        </w:tc>
      </w:tr>
      <w:tr w:rsidR="009325B9" w:rsidRPr="00995FB3" w14:paraId="3F3F4B4E" w14:textId="77777777" w:rsidTr="00887F7F">
        <w:trPr>
          <w:trHeight w:val="277"/>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70AE43A8" w14:textId="77777777" w:rsidR="009325B9" w:rsidRPr="00995FB3" w:rsidRDefault="009325B9" w:rsidP="00887F7F">
            <w:pPr>
              <w:pStyle w:val="TableParagraph"/>
              <w:spacing w:before="3" w:line="266"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Implementing Partner (GEF Executing Entity):</w:t>
            </w:r>
          </w:p>
        </w:tc>
        <w:tc>
          <w:tcPr>
            <w:tcW w:w="6101" w:type="dxa"/>
            <w:gridSpan w:val="5"/>
            <w:tcBorders>
              <w:top w:val="single" w:sz="2" w:space="0" w:color="000000"/>
              <w:left w:val="single" w:sz="2" w:space="0" w:color="000000"/>
              <w:bottom w:val="single" w:sz="2" w:space="0" w:color="000000"/>
              <w:right w:val="single" w:sz="2" w:space="0" w:color="000000"/>
            </w:tcBorders>
          </w:tcPr>
          <w:p w14:paraId="68667FBC" w14:textId="77777777" w:rsidR="009325B9" w:rsidRPr="00995FB3" w:rsidRDefault="009325B9" w:rsidP="00887F7F">
            <w:pPr>
              <w:pStyle w:val="TableParagraph"/>
              <w:rPr>
                <w:rFonts w:asciiTheme="minorHAnsi" w:hAnsiTheme="minorHAnsi" w:cstheme="minorHAnsi"/>
                <w:sz w:val="18"/>
                <w:szCs w:val="18"/>
              </w:rPr>
            </w:pPr>
            <w:r w:rsidRPr="00995FB3">
              <w:rPr>
                <w:rFonts w:asciiTheme="minorHAnsi" w:hAnsiTheme="minorHAnsi" w:cstheme="minorHAnsi"/>
                <w:sz w:val="18"/>
                <w:szCs w:val="18"/>
              </w:rPr>
              <w:t>UNDP -Regional Hub for Latin America and the Caribbean/WWF</w:t>
            </w:r>
          </w:p>
        </w:tc>
      </w:tr>
      <w:tr w:rsidR="009325B9" w:rsidRPr="00995FB3" w14:paraId="56543DD2" w14:textId="77777777" w:rsidTr="00887F7F">
        <w:trPr>
          <w:trHeight w:val="257"/>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7A38BA69" w14:textId="77777777" w:rsidR="009325B9" w:rsidRPr="00995FB3" w:rsidRDefault="009325B9" w:rsidP="00887F7F">
            <w:pPr>
              <w:pStyle w:val="TableParagraph"/>
              <w:spacing w:line="264"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NGOs/CBOs involvement:</w:t>
            </w:r>
          </w:p>
        </w:tc>
        <w:tc>
          <w:tcPr>
            <w:tcW w:w="6101" w:type="dxa"/>
            <w:gridSpan w:val="5"/>
            <w:tcBorders>
              <w:top w:val="single" w:sz="2" w:space="0" w:color="000000"/>
              <w:left w:val="single" w:sz="2" w:space="0" w:color="000000"/>
              <w:bottom w:val="single" w:sz="2" w:space="0" w:color="000000"/>
              <w:right w:val="single" w:sz="2" w:space="0" w:color="000000"/>
            </w:tcBorders>
          </w:tcPr>
          <w:p w14:paraId="6D544E7F" w14:textId="77777777" w:rsidR="009325B9" w:rsidRPr="00995FB3" w:rsidRDefault="009325B9" w:rsidP="00887F7F">
            <w:pPr>
              <w:pStyle w:val="TableParagraph"/>
              <w:spacing w:line="266" w:lineRule="exact"/>
              <w:ind w:left="107"/>
              <w:rPr>
                <w:rFonts w:asciiTheme="minorHAnsi" w:hAnsiTheme="minorHAnsi" w:cstheme="minorHAnsi"/>
                <w:i/>
                <w:sz w:val="18"/>
                <w:szCs w:val="18"/>
              </w:rPr>
            </w:pPr>
            <w:r w:rsidRPr="00995FB3">
              <w:rPr>
                <w:rFonts w:asciiTheme="minorHAnsi" w:hAnsiTheme="minorHAnsi" w:cstheme="minorHAnsi"/>
                <w:i/>
                <w:sz w:val="18"/>
                <w:szCs w:val="18"/>
              </w:rPr>
              <w:t>ISEAL ALLIANCE</w:t>
            </w:r>
          </w:p>
        </w:tc>
      </w:tr>
      <w:tr w:rsidR="009325B9" w:rsidRPr="00995FB3" w14:paraId="1C227D31" w14:textId="77777777" w:rsidTr="00887F7F">
        <w:trPr>
          <w:trHeight w:val="268"/>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78D4797A" w14:textId="77777777" w:rsidR="009325B9" w:rsidRPr="00995FB3" w:rsidRDefault="009325B9" w:rsidP="00887F7F">
            <w:pPr>
              <w:pStyle w:val="TableParagraph"/>
              <w:spacing w:line="264" w:lineRule="exact"/>
              <w:ind w:left="107"/>
              <w:rPr>
                <w:rFonts w:asciiTheme="minorHAnsi" w:hAnsiTheme="minorHAnsi" w:cstheme="minorHAnsi"/>
                <w:sz w:val="18"/>
                <w:szCs w:val="18"/>
              </w:rPr>
            </w:pPr>
            <w:r w:rsidRPr="00995FB3">
              <w:rPr>
                <w:rFonts w:asciiTheme="minorHAnsi" w:hAnsiTheme="minorHAnsi" w:cstheme="minorHAnsi"/>
                <w:color w:val="1F3863"/>
                <w:sz w:val="18"/>
                <w:szCs w:val="18"/>
              </w:rPr>
              <w:t>Private sector involvement:</w:t>
            </w:r>
          </w:p>
        </w:tc>
        <w:tc>
          <w:tcPr>
            <w:tcW w:w="6101" w:type="dxa"/>
            <w:gridSpan w:val="5"/>
            <w:tcBorders>
              <w:top w:val="single" w:sz="2" w:space="0" w:color="000000"/>
              <w:left w:val="single" w:sz="2" w:space="0" w:color="000000"/>
              <w:bottom w:val="single" w:sz="2" w:space="0" w:color="000000"/>
              <w:right w:val="single" w:sz="2" w:space="0" w:color="000000"/>
            </w:tcBorders>
          </w:tcPr>
          <w:p w14:paraId="0A453582" w14:textId="77777777" w:rsidR="009325B9" w:rsidRPr="00995FB3" w:rsidRDefault="009325B9" w:rsidP="00887F7F">
            <w:pPr>
              <w:pStyle w:val="TableParagraph"/>
              <w:spacing w:before="1" w:line="266" w:lineRule="exact"/>
              <w:ind w:left="107"/>
              <w:rPr>
                <w:rFonts w:asciiTheme="minorHAnsi" w:hAnsiTheme="minorHAnsi" w:cstheme="minorHAnsi"/>
                <w:i/>
                <w:sz w:val="18"/>
                <w:szCs w:val="18"/>
              </w:rPr>
            </w:pPr>
          </w:p>
        </w:tc>
      </w:tr>
      <w:tr w:rsidR="009325B9" w:rsidRPr="00995FB3" w14:paraId="1D226EB1" w14:textId="77777777" w:rsidTr="00887F7F">
        <w:trPr>
          <w:trHeight w:val="320"/>
        </w:trPr>
        <w:tc>
          <w:tcPr>
            <w:tcW w:w="3240" w:type="dxa"/>
            <w:tcBorders>
              <w:top w:val="single" w:sz="2" w:space="0" w:color="000000"/>
              <w:left w:val="single" w:sz="2" w:space="0" w:color="000000"/>
              <w:bottom w:val="single" w:sz="2" w:space="0" w:color="000000"/>
              <w:right w:val="single" w:sz="2" w:space="0" w:color="000000"/>
            </w:tcBorders>
            <w:shd w:val="clear" w:color="auto" w:fill="D9E1F3"/>
          </w:tcPr>
          <w:p w14:paraId="722986C8" w14:textId="77777777" w:rsidR="009325B9" w:rsidRPr="00995FB3" w:rsidRDefault="009325B9" w:rsidP="00887F7F">
            <w:pPr>
              <w:pStyle w:val="TableParagraph"/>
              <w:spacing w:before="1" w:line="266" w:lineRule="exact"/>
              <w:ind w:left="107" w:right="158"/>
              <w:rPr>
                <w:rFonts w:asciiTheme="minorHAnsi" w:hAnsiTheme="minorHAnsi" w:cstheme="minorHAnsi"/>
                <w:sz w:val="18"/>
                <w:szCs w:val="18"/>
              </w:rPr>
            </w:pPr>
            <w:r w:rsidRPr="00995FB3">
              <w:rPr>
                <w:rFonts w:asciiTheme="minorHAnsi" w:hAnsiTheme="minorHAnsi" w:cstheme="minorHAnsi"/>
                <w:color w:val="1F3863"/>
                <w:sz w:val="18"/>
                <w:szCs w:val="18"/>
              </w:rPr>
              <w:t>Geospatial coordinates of sites:</w:t>
            </w:r>
          </w:p>
        </w:tc>
        <w:tc>
          <w:tcPr>
            <w:tcW w:w="6101" w:type="dxa"/>
            <w:gridSpan w:val="5"/>
            <w:tcBorders>
              <w:top w:val="single" w:sz="2" w:space="0" w:color="000000"/>
              <w:left w:val="single" w:sz="2" w:space="0" w:color="000000"/>
              <w:bottom w:val="single" w:sz="2" w:space="0" w:color="000000"/>
              <w:right w:val="single" w:sz="2" w:space="0" w:color="000000"/>
            </w:tcBorders>
          </w:tcPr>
          <w:p w14:paraId="3E249986" w14:textId="77777777" w:rsidR="009325B9" w:rsidRPr="00995FB3" w:rsidRDefault="009325B9" w:rsidP="00887F7F">
            <w:pPr>
              <w:pStyle w:val="TableParagraph"/>
              <w:spacing w:before="129"/>
              <w:ind w:left="107"/>
              <w:rPr>
                <w:rFonts w:asciiTheme="minorHAnsi" w:hAnsiTheme="minorHAnsi" w:cstheme="minorHAnsi"/>
                <w:i/>
                <w:sz w:val="18"/>
                <w:szCs w:val="18"/>
              </w:rPr>
            </w:pPr>
            <w:r w:rsidRPr="00995FB3">
              <w:rPr>
                <w:rFonts w:asciiTheme="minorHAnsi" w:hAnsiTheme="minorHAnsi" w:cstheme="minorHAnsi"/>
                <w:i/>
                <w:color w:val="808080"/>
                <w:sz w:val="18"/>
                <w:szCs w:val="18"/>
              </w:rPr>
              <w:t>[Coordinates are available in the annual PIRs]</w:t>
            </w:r>
          </w:p>
        </w:tc>
      </w:tr>
      <w:tr w:rsidR="009325B9" w:rsidRPr="00995FB3" w14:paraId="29CB03B2" w14:textId="77777777" w:rsidTr="00887F7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7" w:type="dxa"/>
          <w:trHeight w:val="266"/>
        </w:trPr>
        <w:tc>
          <w:tcPr>
            <w:tcW w:w="9334" w:type="dxa"/>
            <w:gridSpan w:val="5"/>
            <w:tcBorders>
              <w:right w:val="single" w:sz="4" w:space="0" w:color="000000"/>
            </w:tcBorders>
            <w:shd w:val="clear" w:color="auto" w:fill="1F3863"/>
          </w:tcPr>
          <w:p w14:paraId="4CFD3AF1" w14:textId="77777777" w:rsidR="009325B9" w:rsidRPr="00995FB3" w:rsidRDefault="009325B9" w:rsidP="00887F7F">
            <w:pPr>
              <w:pStyle w:val="TableParagraph"/>
              <w:spacing w:line="247" w:lineRule="exact"/>
              <w:ind w:left="107"/>
              <w:rPr>
                <w:rFonts w:asciiTheme="minorHAnsi" w:hAnsiTheme="minorHAnsi" w:cstheme="minorHAnsi"/>
                <w:sz w:val="18"/>
                <w:szCs w:val="18"/>
              </w:rPr>
            </w:pPr>
            <w:r w:rsidRPr="00995FB3">
              <w:rPr>
                <w:rFonts w:asciiTheme="minorHAnsi" w:hAnsiTheme="minorHAnsi" w:cstheme="minorHAnsi"/>
                <w:color w:val="FFFFFF"/>
                <w:sz w:val="18"/>
                <w:szCs w:val="18"/>
              </w:rPr>
              <w:t>Financial Information</w:t>
            </w:r>
          </w:p>
        </w:tc>
      </w:tr>
      <w:tr w:rsidR="009325B9" w:rsidRPr="00B83AA7" w14:paraId="36A1252B" w14:textId="77777777" w:rsidTr="00887F7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7" w:type="dxa"/>
          <w:trHeight w:val="266"/>
        </w:trPr>
        <w:tc>
          <w:tcPr>
            <w:tcW w:w="3240" w:type="dxa"/>
            <w:shd w:val="clear" w:color="auto" w:fill="auto"/>
          </w:tcPr>
          <w:p w14:paraId="6C599CD4" w14:textId="77777777" w:rsidR="009325B9" w:rsidRPr="00F803CC" w:rsidRDefault="009325B9" w:rsidP="00887F7F">
            <w:pPr>
              <w:pStyle w:val="TableParagraph"/>
              <w:spacing w:line="246" w:lineRule="exact"/>
              <w:ind w:left="107"/>
              <w:rPr>
                <w:rFonts w:asciiTheme="minorHAnsi" w:hAnsiTheme="minorHAnsi" w:cstheme="minorHAnsi"/>
                <w:sz w:val="18"/>
                <w:szCs w:val="18"/>
              </w:rPr>
            </w:pPr>
            <w:r w:rsidRPr="00F803CC">
              <w:rPr>
                <w:rFonts w:asciiTheme="minorHAnsi" w:hAnsiTheme="minorHAnsi" w:cstheme="minorHAnsi"/>
                <w:sz w:val="18"/>
                <w:szCs w:val="18"/>
              </w:rPr>
              <w:t>PDF/PPG</w:t>
            </w:r>
          </w:p>
        </w:tc>
        <w:tc>
          <w:tcPr>
            <w:tcW w:w="2973" w:type="dxa"/>
            <w:gridSpan w:val="2"/>
            <w:shd w:val="clear" w:color="auto" w:fill="auto"/>
          </w:tcPr>
          <w:p w14:paraId="44E250B3" w14:textId="77777777" w:rsidR="009325B9" w:rsidRPr="00F803CC" w:rsidRDefault="009325B9" w:rsidP="00887F7F">
            <w:pPr>
              <w:pStyle w:val="TableParagraph"/>
              <w:spacing w:line="246" w:lineRule="exact"/>
              <w:ind w:left="290" w:right="292"/>
              <w:rPr>
                <w:rFonts w:asciiTheme="minorHAnsi" w:hAnsiTheme="minorHAnsi" w:cstheme="minorHAnsi"/>
                <w:sz w:val="18"/>
                <w:szCs w:val="18"/>
              </w:rPr>
            </w:pPr>
            <w:r w:rsidRPr="00F803CC">
              <w:rPr>
                <w:rFonts w:asciiTheme="minorHAnsi" w:hAnsiTheme="minorHAnsi" w:cstheme="minorHAnsi"/>
                <w:sz w:val="18"/>
                <w:szCs w:val="18"/>
              </w:rPr>
              <w:t>at approval (US$M)</w:t>
            </w:r>
          </w:p>
        </w:tc>
        <w:tc>
          <w:tcPr>
            <w:tcW w:w="3121" w:type="dxa"/>
            <w:gridSpan w:val="2"/>
            <w:shd w:val="clear" w:color="auto" w:fill="auto"/>
          </w:tcPr>
          <w:p w14:paraId="393EBB38" w14:textId="77777777" w:rsidR="009325B9" w:rsidRPr="00F803CC" w:rsidRDefault="009325B9" w:rsidP="00887F7F">
            <w:pPr>
              <w:pStyle w:val="TableParagraph"/>
              <w:spacing w:line="246" w:lineRule="exact"/>
              <w:ind w:left="151" w:right="151"/>
              <w:rPr>
                <w:rFonts w:asciiTheme="minorHAnsi" w:hAnsiTheme="minorHAnsi" w:cstheme="minorHAnsi"/>
                <w:sz w:val="18"/>
                <w:szCs w:val="18"/>
              </w:rPr>
            </w:pPr>
            <w:r w:rsidRPr="00F803CC">
              <w:rPr>
                <w:rFonts w:asciiTheme="minorHAnsi" w:hAnsiTheme="minorHAnsi" w:cstheme="minorHAnsi"/>
                <w:sz w:val="18"/>
                <w:szCs w:val="18"/>
              </w:rPr>
              <w:t>at PDF/PPG completion (US$M)</w:t>
            </w:r>
          </w:p>
        </w:tc>
      </w:tr>
      <w:tr w:rsidR="009325B9" w:rsidRPr="00B83AA7" w14:paraId="733E1695" w14:textId="77777777" w:rsidTr="00887F7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7" w:type="dxa"/>
          <w:trHeight w:val="266"/>
        </w:trPr>
        <w:tc>
          <w:tcPr>
            <w:tcW w:w="3240" w:type="dxa"/>
            <w:shd w:val="clear" w:color="auto" w:fill="auto"/>
          </w:tcPr>
          <w:p w14:paraId="5F1BA395" w14:textId="77777777" w:rsidR="009325B9" w:rsidRPr="00F803CC" w:rsidRDefault="009325B9" w:rsidP="00887F7F">
            <w:pPr>
              <w:pStyle w:val="TableParagraph"/>
              <w:spacing w:line="246" w:lineRule="exact"/>
              <w:ind w:left="107"/>
              <w:rPr>
                <w:rFonts w:asciiTheme="minorHAnsi" w:hAnsiTheme="minorHAnsi" w:cstheme="minorHAnsi"/>
                <w:sz w:val="18"/>
                <w:szCs w:val="18"/>
              </w:rPr>
            </w:pPr>
            <w:r w:rsidRPr="00F803CC">
              <w:rPr>
                <w:rFonts w:asciiTheme="minorHAnsi" w:hAnsiTheme="minorHAnsi" w:cstheme="minorHAnsi"/>
                <w:sz w:val="18"/>
                <w:szCs w:val="18"/>
              </w:rPr>
              <w:t>GEF PPG Grant for Project Preparation</w:t>
            </w:r>
          </w:p>
        </w:tc>
        <w:tc>
          <w:tcPr>
            <w:tcW w:w="2973" w:type="dxa"/>
            <w:gridSpan w:val="2"/>
            <w:shd w:val="clear" w:color="auto" w:fill="auto"/>
          </w:tcPr>
          <w:p w14:paraId="425F777A" w14:textId="77777777" w:rsidR="009325B9" w:rsidRPr="00F803CC" w:rsidRDefault="009325B9" w:rsidP="00887F7F">
            <w:pPr>
              <w:pStyle w:val="TableParagraph"/>
              <w:spacing w:line="246" w:lineRule="exact"/>
              <w:ind w:left="290" w:right="292"/>
              <w:rPr>
                <w:rFonts w:asciiTheme="minorHAnsi" w:hAnsiTheme="minorHAnsi" w:cstheme="minorHAnsi"/>
                <w:sz w:val="18"/>
                <w:szCs w:val="18"/>
              </w:rPr>
            </w:pPr>
            <w:r w:rsidRPr="00F803CC">
              <w:rPr>
                <w:rFonts w:asciiTheme="minorHAnsi" w:hAnsiTheme="minorHAnsi" w:cstheme="minorHAnsi"/>
                <w:sz w:val="18"/>
                <w:szCs w:val="18"/>
              </w:rPr>
              <w:t>US$150,000</w:t>
            </w:r>
          </w:p>
        </w:tc>
        <w:tc>
          <w:tcPr>
            <w:tcW w:w="3121" w:type="dxa"/>
            <w:gridSpan w:val="2"/>
            <w:shd w:val="clear" w:color="auto" w:fill="auto"/>
          </w:tcPr>
          <w:p w14:paraId="63774FD2" w14:textId="77777777" w:rsidR="009325B9" w:rsidRPr="00F803CC" w:rsidRDefault="009325B9" w:rsidP="00887F7F">
            <w:pPr>
              <w:pStyle w:val="TableParagraph"/>
              <w:spacing w:line="246" w:lineRule="exact"/>
              <w:ind w:left="151" w:right="151"/>
              <w:rPr>
                <w:rFonts w:asciiTheme="minorHAnsi" w:hAnsiTheme="minorHAnsi" w:cstheme="minorHAnsi"/>
                <w:sz w:val="18"/>
                <w:szCs w:val="18"/>
              </w:rPr>
            </w:pPr>
            <w:r w:rsidRPr="00F803CC">
              <w:rPr>
                <w:rFonts w:asciiTheme="minorHAnsi" w:hAnsiTheme="minorHAnsi" w:cstheme="minorHAnsi"/>
                <w:sz w:val="18"/>
                <w:szCs w:val="18"/>
              </w:rPr>
              <w:t>US$150,000</w:t>
            </w:r>
          </w:p>
        </w:tc>
      </w:tr>
      <w:tr w:rsidR="009325B9" w:rsidRPr="00B83AA7" w14:paraId="6D5134A7" w14:textId="77777777" w:rsidTr="00887F7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7" w:type="dxa"/>
          <w:trHeight w:val="266"/>
        </w:trPr>
        <w:tc>
          <w:tcPr>
            <w:tcW w:w="3240" w:type="dxa"/>
            <w:shd w:val="clear" w:color="auto" w:fill="auto"/>
          </w:tcPr>
          <w:p w14:paraId="2FF55687" w14:textId="77777777" w:rsidR="009325B9" w:rsidRPr="00F803CC" w:rsidDel="00477673" w:rsidRDefault="009325B9" w:rsidP="00887F7F">
            <w:pPr>
              <w:pStyle w:val="TableParagraph"/>
              <w:spacing w:line="246" w:lineRule="exact"/>
              <w:ind w:left="107"/>
              <w:rPr>
                <w:rFonts w:asciiTheme="minorHAnsi" w:hAnsiTheme="minorHAnsi" w:cstheme="minorHAnsi"/>
                <w:sz w:val="18"/>
                <w:szCs w:val="18"/>
              </w:rPr>
            </w:pPr>
            <w:r w:rsidRPr="00F803CC">
              <w:rPr>
                <w:rFonts w:asciiTheme="minorHAnsi" w:hAnsiTheme="minorHAnsi" w:cstheme="minorHAnsi"/>
                <w:sz w:val="18"/>
                <w:szCs w:val="18"/>
              </w:rPr>
              <w:t>Co-financing for Project Preparation</w:t>
            </w:r>
          </w:p>
        </w:tc>
        <w:tc>
          <w:tcPr>
            <w:tcW w:w="2973" w:type="dxa"/>
            <w:gridSpan w:val="2"/>
            <w:shd w:val="clear" w:color="auto" w:fill="auto"/>
          </w:tcPr>
          <w:p w14:paraId="72055161" w14:textId="77777777" w:rsidR="009325B9" w:rsidRPr="00F803CC" w:rsidDel="00477673" w:rsidRDefault="009325B9" w:rsidP="00887F7F">
            <w:pPr>
              <w:pStyle w:val="TableParagraph"/>
              <w:spacing w:line="246" w:lineRule="exact"/>
              <w:ind w:left="290" w:right="292"/>
              <w:rPr>
                <w:rFonts w:asciiTheme="minorHAnsi" w:hAnsiTheme="minorHAnsi" w:cstheme="minorHAnsi"/>
                <w:sz w:val="18"/>
                <w:szCs w:val="18"/>
              </w:rPr>
            </w:pPr>
            <w:r w:rsidRPr="00F803CC">
              <w:rPr>
                <w:rFonts w:asciiTheme="minorHAnsi" w:hAnsiTheme="minorHAnsi" w:cstheme="minorHAnsi"/>
                <w:sz w:val="18"/>
                <w:szCs w:val="18"/>
              </w:rPr>
              <w:t>0</w:t>
            </w:r>
          </w:p>
        </w:tc>
        <w:tc>
          <w:tcPr>
            <w:tcW w:w="3121" w:type="dxa"/>
            <w:gridSpan w:val="2"/>
            <w:shd w:val="clear" w:color="auto" w:fill="auto"/>
          </w:tcPr>
          <w:p w14:paraId="510FFC5C" w14:textId="77777777" w:rsidR="009325B9" w:rsidRPr="00F803CC" w:rsidRDefault="009325B9" w:rsidP="00887F7F">
            <w:pPr>
              <w:pStyle w:val="TableParagraph"/>
              <w:spacing w:line="246" w:lineRule="exact"/>
              <w:ind w:left="151" w:right="151"/>
              <w:rPr>
                <w:rFonts w:asciiTheme="minorHAnsi" w:hAnsiTheme="minorHAnsi" w:cstheme="minorHAnsi"/>
                <w:sz w:val="18"/>
                <w:szCs w:val="18"/>
              </w:rPr>
            </w:pPr>
            <w:r w:rsidRPr="00F803CC">
              <w:rPr>
                <w:rFonts w:asciiTheme="minorHAnsi" w:hAnsiTheme="minorHAnsi" w:cstheme="minorHAnsi"/>
                <w:sz w:val="18"/>
                <w:szCs w:val="18"/>
              </w:rPr>
              <w:t>0</w:t>
            </w:r>
          </w:p>
        </w:tc>
      </w:tr>
    </w:tbl>
    <w:tbl>
      <w:tblPr>
        <w:tblW w:w="9350" w:type="dxa"/>
        <w:tblCellMar>
          <w:left w:w="70" w:type="dxa"/>
          <w:right w:w="70" w:type="dxa"/>
        </w:tblCellMar>
        <w:tblLook w:val="04A0" w:firstRow="1" w:lastRow="0" w:firstColumn="1" w:lastColumn="0" w:noHBand="0" w:noVBand="1"/>
      </w:tblPr>
      <w:tblGrid>
        <w:gridCol w:w="3230"/>
        <w:gridCol w:w="2970"/>
        <w:gridCol w:w="3150"/>
      </w:tblGrid>
      <w:tr w:rsidR="006F2D20" w:rsidRPr="00A12A26" w14:paraId="40B98122" w14:textId="77777777" w:rsidTr="006F2D20">
        <w:trPr>
          <w:trHeight w:val="20"/>
        </w:trPr>
        <w:tc>
          <w:tcPr>
            <w:tcW w:w="3230" w:type="dxa"/>
            <w:tcBorders>
              <w:top w:val="single" w:sz="8" w:space="0" w:color="000000"/>
              <w:left w:val="single" w:sz="8" w:space="0" w:color="000000"/>
              <w:bottom w:val="single" w:sz="8" w:space="0" w:color="000000"/>
              <w:right w:val="single" w:sz="8" w:space="0" w:color="000000"/>
            </w:tcBorders>
            <w:shd w:val="clear" w:color="000000" w:fill="D5DCE4"/>
            <w:vAlign w:val="center"/>
            <w:hideMark/>
          </w:tcPr>
          <w:p w14:paraId="44A558EA" w14:textId="77777777" w:rsidR="006F2D20" w:rsidRPr="00A12A26" w:rsidRDefault="006F2D20" w:rsidP="006C163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rPr>
              <w:t>Project Financing</w:t>
            </w:r>
          </w:p>
        </w:tc>
        <w:tc>
          <w:tcPr>
            <w:tcW w:w="2970" w:type="dxa"/>
            <w:tcBorders>
              <w:top w:val="single" w:sz="8" w:space="0" w:color="000000"/>
              <w:left w:val="nil"/>
              <w:bottom w:val="single" w:sz="8" w:space="0" w:color="000000"/>
              <w:right w:val="single" w:sz="8" w:space="0" w:color="auto"/>
            </w:tcBorders>
            <w:shd w:val="clear" w:color="000000" w:fill="D5DCE4"/>
            <w:vAlign w:val="center"/>
            <w:hideMark/>
          </w:tcPr>
          <w:p w14:paraId="1650EBD7" w14:textId="77777777" w:rsidR="006F2D20" w:rsidRPr="00A12A26" w:rsidRDefault="006F2D20" w:rsidP="006C1636">
            <w:pPr>
              <w:spacing w:after="0" w:line="240" w:lineRule="auto"/>
              <w:ind w:firstLineChars="100" w:firstLine="180"/>
              <w:jc w:val="right"/>
              <w:rPr>
                <w:rFonts w:eastAsia="Times New Roman"/>
                <w:i/>
                <w:iCs/>
                <w:color w:val="000000"/>
                <w:sz w:val="18"/>
                <w:szCs w:val="18"/>
                <w:lang w:val="es-ES"/>
              </w:rPr>
            </w:pPr>
            <w:r w:rsidRPr="00A12A26">
              <w:rPr>
                <w:rFonts w:eastAsia="Times New Roman"/>
                <w:i/>
                <w:iCs/>
                <w:color w:val="000000"/>
                <w:sz w:val="18"/>
                <w:szCs w:val="18"/>
              </w:rPr>
              <w:t>At CEO endorsement (US$)</w:t>
            </w:r>
          </w:p>
        </w:tc>
        <w:tc>
          <w:tcPr>
            <w:tcW w:w="3150" w:type="dxa"/>
            <w:tcBorders>
              <w:top w:val="single" w:sz="8" w:space="0" w:color="000000"/>
              <w:left w:val="nil"/>
              <w:bottom w:val="single" w:sz="8" w:space="0" w:color="000000"/>
              <w:right w:val="single" w:sz="8" w:space="0" w:color="000000"/>
            </w:tcBorders>
            <w:shd w:val="clear" w:color="000000" w:fill="D5DCE4"/>
            <w:vAlign w:val="center"/>
            <w:hideMark/>
          </w:tcPr>
          <w:p w14:paraId="397460FC" w14:textId="68A47B8B" w:rsidR="006F2D20" w:rsidRPr="00A12A26" w:rsidRDefault="006F2D20" w:rsidP="006C1636">
            <w:pPr>
              <w:spacing w:after="0" w:line="240" w:lineRule="auto"/>
              <w:ind w:firstLineChars="100" w:firstLine="180"/>
              <w:jc w:val="right"/>
              <w:rPr>
                <w:rFonts w:eastAsia="Times New Roman"/>
                <w:i/>
                <w:iCs/>
                <w:color w:val="000000"/>
                <w:sz w:val="18"/>
                <w:szCs w:val="18"/>
                <w:lang w:val="es-ES"/>
              </w:rPr>
            </w:pPr>
            <w:r w:rsidRPr="00A12A26">
              <w:rPr>
                <w:rFonts w:eastAsia="Times New Roman"/>
                <w:i/>
                <w:iCs/>
                <w:color w:val="000000"/>
                <w:sz w:val="18"/>
                <w:szCs w:val="18"/>
              </w:rPr>
              <w:t>At Terminal Evaluation (US$)</w:t>
            </w:r>
            <w:r w:rsidR="003744D9">
              <w:rPr>
                <w:rStyle w:val="FootnoteReference"/>
                <w:rFonts w:eastAsia="Times New Roman"/>
                <w:i/>
                <w:iCs/>
                <w:color w:val="000000"/>
                <w:sz w:val="18"/>
                <w:szCs w:val="18"/>
              </w:rPr>
              <w:footnoteReference w:id="2"/>
            </w:r>
          </w:p>
        </w:tc>
      </w:tr>
      <w:tr w:rsidR="006F2D20" w:rsidRPr="00A12A26" w14:paraId="0A8091FA" w14:textId="77777777" w:rsidTr="006F2D20">
        <w:trPr>
          <w:trHeight w:val="20"/>
        </w:trPr>
        <w:tc>
          <w:tcPr>
            <w:tcW w:w="3230" w:type="dxa"/>
            <w:tcBorders>
              <w:top w:val="nil"/>
              <w:left w:val="single" w:sz="8" w:space="0" w:color="000000"/>
              <w:bottom w:val="nil"/>
              <w:right w:val="single" w:sz="8" w:space="0" w:color="000000"/>
            </w:tcBorders>
            <w:shd w:val="clear" w:color="auto" w:fill="auto"/>
            <w:vAlign w:val="center"/>
            <w:hideMark/>
          </w:tcPr>
          <w:p w14:paraId="279BCA2C"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[1] GEF financing: ($2,749,124 UNDP; $1,229,317 WWF)</w:t>
            </w:r>
          </w:p>
        </w:tc>
        <w:tc>
          <w:tcPr>
            <w:tcW w:w="2970" w:type="dxa"/>
            <w:tcBorders>
              <w:top w:val="nil"/>
              <w:left w:val="nil"/>
              <w:bottom w:val="nil"/>
              <w:right w:val="single" w:sz="8" w:space="0" w:color="000000"/>
            </w:tcBorders>
            <w:shd w:val="clear" w:color="auto" w:fill="auto"/>
            <w:vAlign w:val="center"/>
            <w:hideMark/>
          </w:tcPr>
          <w:p w14:paraId="1EA7C524"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3,978,441.00 </w:t>
            </w:r>
          </w:p>
        </w:tc>
        <w:tc>
          <w:tcPr>
            <w:tcW w:w="3150" w:type="dxa"/>
            <w:tcBorders>
              <w:top w:val="nil"/>
              <w:left w:val="nil"/>
              <w:bottom w:val="nil"/>
              <w:right w:val="single" w:sz="8" w:space="0" w:color="000000"/>
            </w:tcBorders>
            <w:shd w:val="clear" w:color="auto" w:fill="auto"/>
            <w:vAlign w:val="center"/>
            <w:hideMark/>
          </w:tcPr>
          <w:p w14:paraId="11B3C25B" w14:textId="3E733785" w:rsidR="00DC081D" w:rsidRDefault="006F2D20" w:rsidP="006C1636">
            <w:pPr>
              <w:spacing w:after="0" w:line="240" w:lineRule="auto"/>
              <w:ind w:firstLineChars="100" w:firstLine="180"/>
              <w:jc w:val="right"/>
              <w:rPr>
                <w:rFonts w:eastAsia="Times New Roman"/>
                <w:color w:val="000000"/>
                <w:sz w:val="18"/>
                <w:szCs w:val="18"/>
              </w:rPr>
            </w:pPr>
            <w:r w:rsidRPr="00A12A26">
              <w:rPr>
                <w:rFonts w:eastAsia="Times New Roman"/>
                <w:color w:val="000000"/>
                <w:sz w:val="18"/>
                <w:szCs w:val="18"/>
              </w:rPr>
              <w:t xml:space="preserve">                         </w:t>
            </w:r>
          </w:p>
          <w:p w14:paraId="2542B0AD" w14:textId="6EBDF8AF" w:rsidR="006F2D20" w:rsidRPr="00A12A26" w:rsidRDefault="00821C3E" w:rsidP="006C1636">
            <w:pPr>
              <w:spacing w:after="0" w:line="240" w:lineRule="auto"/>
              <w:ind w:firstLineChars="100" w:firstLine="180"/>
              <w:jc w:val="right"/>
              <w:rPr>
                <w:rFonts w:eastAsia="Times New Roman"/>
                <w:color w:val="000000"/>
                <w:sz w:val="18"/>
                <w:szCs w:val="18"/>
                <w:lang w:val="es-ES"/>
              </w:rPr>
            </w:pPr>
            <w:r>
              <w:rPr>
                <w:rFonts w:eastAsia="Times New Roman"/>
                <w:color w:val="000000"/>
                <w:sz w:val="18"/>
                <w:szCs w:val="18"/>
              </w:rPr>
              <w:t>3,644,553</w:t>
            </w:r>
            <w:r w:rsidR="006F2D20" w:rsidRPr="00A12A26">
              <w:rPr>
                <w:rFonts w:eastAsia="Times New Roman"/>
                <w:color w:val="000000"/>
                <w:sz w:val="18"/>
                <w:szCs w:val="18"/>
              </w:rPr>
              <w:t xml:space="preserve"> </w:t>
            </w:r>
          </w:p>
        </w:tc>
      </w:tr>
      <w:tr w:rsidR="006F2D20" w:rsidRPr="00A12A26" w14:paraId="7B0E150A" w14:textId="77777777" w:rsidTr="006F2D20">
        <w:trPr>
          <w:trHeight w:val="20"/>
        </w:trPr>
        <w:tc>
          <w:tcPr>
            <w:tcW w:w="32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16CCEFC"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[2]UNDP (SECO) contribution:</w:t>
            </w:r>
          </w:p>
        </w:tc>
        <w:tc>
          <w:tcPr>
            <w:tcW w:w="2970" w:type="dxa"/>
            <w:tcBorders>
              <w:top w:val="single" w:sz="8" w:space="0" w:color="auto"/>
              <w:left w:val="nil"/>
              <w:bottom w:val="single" w:sz="8" w:space="0" w:color="auto"/>
              <w:right w:val="single" w:sz="4" w:space="0" w:color="auto"/>
            </w:tcBorders>
            <w:shd w:val="clear" w:color="auto" w:fill="auto"/>
            <w:vAlign w:val="center"/>
            <w:hideMark/>
          </w:tcPr>
          <w:p w14:paraId="464D3EA3"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1,146,887.00 </w:t>
            </w:r>
          </w:p>
        </w:tc>
        <w:tc>
          <w:tcPr>
            <w:tcW w:w="3150" w:type="dxa"/>
            <w:tcBorders>
              <w:top w:val="single" w:sz="8" w:space="0" w:color="auto"/>
              <w:left w:val="nil"/>
              <w:bottom w:val="single" w:sz="8" w:space="0" w:color="auto"/>
              <w:right w:val="single" w:sz="8" w:space="0" w:color="auto"/>
            </w:tcBorders>
            <w:shd w:val="clear" w:color="auto" w:fill="auto"/>
            <w:vAlign w:val="center"/>
            <w:hideMark/>
          </w:tcPr>
          <w:p w14:paraId="1C68C9B0"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671,570.00 </w:t>
            </w:r>
          </w:p>
        </w:tc>
      </w:tr>
      <w:tr w:rsidR="006F2D20" w:rsidRPr="00A12A26" w14:paraId="38E97186" w14:textId="77777777" w:rsidTr="006F2D20">
        <w:trPr>
          <w:trHeight w:val="20"/>
        </w:trPr>
        <w:tc>
          <w:tcPr>
            <w:tcW w:w="3230" w:type="dxa"/>
            <w:tcBorders>
              <w:top w:val="nil"/>
              <w:left w:val="single" w:sz="8" w:space="0" w:color="auto"/>
              <w:bottom w:val="single" w:sz="8" w:space="0" w:color="auto"/>
              <w:right w:val="single" w:sz="8" w:space="0" w:color="000000"/>
            </w:tcBorders>
            <w:shd w:val="clear" w:color="auto" w:fill="auto"/>
            <w:vAlign w:val="center"/>
            <w:hideMark/>
          </w:tcPr>
          <w:p w14:paraId="664A11FF"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[3] Government:</w:t>
            </w:r>
          </w:p>
        </w:tc>
        <w:tc>
          <w:tcPr>
            <w:tcW w:w="2970" w:type="dxa"/>
            <w:tcBorders>
              <w:top w:val="nil"/>
              <w:left w:val="nil"/>
              <w:bottom w:val="single" w:sz="8" w:space="0" w:color="auto"/>
              <w:right w:val="single" w:sz="8" w:space="0" w:color="auto"/>
            </w:tcBorders>
            <w:shd w:val="clear" w:color="auto" w:fill="auto"/>
            <w:vAlign w:val="center"/>
            <w:hideMark/>
          </w:tcPr>
          <w:p w14:paraId="42A15D18" w14:textId="7691321F"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w:t>
            </w:r>
            <w:r w:rsidR="00640179">
              <w:rPr>
                <w:rFonts w:eastAsia="Times New Roman"/>
                <w:color w:val="000000"/>
                <w:sz w:val="18"/>
                <w:szCs w:val="18"/>
                <w:lang w:val="es-ES"/>
              </w:rPr>
              <w:t>2</w:t>
            </w:r>
            <w:r w:rsidRPr="00A12A26">
              <w:rPr>
                <w:rFonts w:eastAsia="Times New Roman"/>
                <w:color w:val="000000"/>
                <w:sz w:val="18"/>
                <w:szCs w:val="18"/>
                <w:lang w:val="es-ES"/>
              </w:rPr>
              <w:t>,</w:t>
            </w:r>
            <w:r w:rsidR="00640179">
              <w:rPr>
                <w:rFonts w:eastAsia="Times New Roman"/>
                <w:color w:val="000000"/>
                <w:sz w:val="18"/>
                <w:szCs w:val="18"/>
                <w:lang w:val="es-ES"/>
              </w:rPr>
              <w:t>3</w:t>
            </w:r>
            <w:r w:rsidR="00640179" w:rsidRPr="00A12A26">
              <w:rPr>
                <w:rFonts w:eastAsia="Times New Roman"/>
                <w:color w:val="000000"/>
                <w:sz w:val="18"/>
                <w:szCs w:val="18"/>
                <w:lang w:val="es-ES"/>
              </w:rPr>
              <w:t>00</w:t>
            </w:r>
            <w:r w:rsidRPr="00A12A26">
              <w:rPr>
                <w:rFonts w:eastAsia="Times New Roman"/>
                <w:color w:val="000000"/>
                <w:sz w:val="18"/>
                <w:szCs w:val="18"/>
                <w:lang w:val="es-ES"/>
              </w:rPr>
              <w:t xml:space="preserve">,000.00 </w:t>
            </w:r>
          </w:p>
        </w:tc>
        <w:tc>
          <w:tcPr>
            <w:tcW w:w="3150" w:type="dxa"/>
            <w:tcBorders>
              <w:top w:val="nil"/>
              <w:left w:val="nil"/>
              <w:bottom w:val="single" w:sz="8" w:space="0" w:color="auto"/>
              <w:right w:val="single" w:sz="8" w:space="0" w:color="auto"/>
            </w:tcBorders>
            <w:shd w:val="clear" w:color="auto" w:fill="auto"/>
            <w:vAlign w:val="center"/>
            <w:hideMark/>
          </w:tcPr>
          <w:p w14:paraId="437D4C6B"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3,768,159.00 </w:t>
            </w:r>
          </w:p>
        </w:tc>
      </w:tr>
      <w:tr w:rsidR="006F2D20" w:rsidRPr="00A12A26" w14:paraId="3C1ECA36" w14:textId="77777777" w:rsidTr="006F2D20">
        <w:trPr>
          <w:trHeight w:val="20"/>
        </w:trPr>
        <w:tc>
          <w:tcPr>
            <w:tcW w:w="3230" w:type="dxa"/>
            <w:tcBorders>
              <w:top w:val="nil"/>
              <w:left w:val="single" w:sz="8" w:space="0" w:color="000000"/>
              <w:bottom w:val="nil"/>
              <w:right w:val="single" w:sz="8" w:space="0" w:color="000000"/>
            </w:tcBorders>
            <w:shd w:val="clear" w:color="auto" w:fill="auto"/>
            <w:vAlign w:val="center"/>
            <w:hideMark/>
          </w:tcPr>
          <w:p w14:paraId="6EB4F48C"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(GIZ) -additional (components 1 &amp; 3)</w:t>
            </w:r>
          </w:p>
        </w:tc>
        <w:tc>
          <w:tcPr>
            <w:tcW w:w="2970" w:type="dxa"/>
            <w:tcBorders>
              <w:top w:val="nil"/>
              <w:left w:val="nil"/>
              <w:bottom w:val="nil"/>
              <w:right w:val="single" w:sz="8" w:space="0" w:color="auto"/>
            </w:tcBorders>
            <w:shd w:val="clear" w:color="auto" w:fill="auto"/>
            <w:vAlign w:val="center"/>
            <w:hideMark/>
          </w:tcPr>
          <w:p w14:paraId="2F169B04"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   </w:t>
            </w:r>
          </w:p>
        </w:tc>
        <w:tc>
          <w:tcPr>
            <w:tcW w:w="3150" w:type="dxa"/>
            <w:tcBorders>
              <w:top w:val="nil"/>
              <w:left w:val="nil"/>
              <w:bottom w:val="nil"/>
              <w:right w:val="single" w:sz="8" w:space="0" w:color="auto"/>
            </w:tcBorders>
            <w:shd w:val="clear" w:color="auto" w:fill="auto"/>
            <w:vAlign w:val="center"/>
            <w:hideMark/>
          </w:tcPr>
          <w:p w14:paraId="1145C18C"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578,005.00 </w:t>
            </w:r>
          </w:p>
        </w:tc>
      </w:tr>
      <w:tr w:rsidR="006F2D20" w:rsidRPr="00A12A26" w14:paraId="5B9B4B5F" w14:textId="77777777" w:rsidTr="006F2D20">
        <w:trPr>
          <w:trHeight w:val="20"/>
        </w:trPr>
        <w:tc>
          <w:tcPr>
            <w:tcW w:w="3230" w:type="dxa"/>
            <w:tcBorders>
              <w:top w:val="nil"/>
              <w:left w:val="single" w:sz="8" w:space="0" w:color="000000"/>
              <w:bottom w:val="nil"/>
              <w:right w:val="single" w:sz="8" w:space="0" w:color="000000"/>
            </w:tcBorders>
            <w:shd w:val="clear" w:color="auto" w:fill="auto"/>
            <w:vAlign w:val="center"/>
            <w:hideMark/>
          </w:tcPr>
          <w:p w14:paraId="044055DC"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SECO - additional (component 2)</w:t>
            </w:r>
          </w:p>
        </w:tc>
        <w:tc>
          <w:tcPr>
            <w:tcW w:w="2970" w:type="dxa"/>
            <w:tcBorders>
              <w:top w:val="nil"/>
              <w:left w:val="nil"/>
              <w:bottom w:val="nil"/>
              <w:right w:val="single" w:sz="8" w:space="0" w:color="auto"/>
            </w:tcBorders>
            <w:shd w:val="clear" w:color="auto" w:fill="auto"/>
            <w:vAlign w:val="center"/>
            <w:hideMark/>
          </w:tcPr>
          <w:p w14:paraId="332A7D0A" w14:textId="3B3CBB75"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w:t>
            </w:r>
            <w:r w:rsidR="006F7969">
              <w:rPr>
                <w:rFonts w:eastAsia="Times New Roman"/>
                <w:color w:val="000000"/>
                <w:sz w:val="18"/>
                <w:szCs w:val="18"/>
              </w:rPr>
              <w:t>800,000</w:t>
            </w:r>
            <w:r w:rsidRPr="00A12A26">
              <w:rPr>
                <w:rFonts w:eastAsia="Times New Roman"/>
                <w:color w:val="000000"/>
                <w:sz w:val="18"/>
                <w:szCs w:val="18"/>
              </w:rPr>
              <w:t xml:space="preserve">   </w:t>
            </w:r>
          </w:p>
        </w:tc>
        <w:tc>
          <w:tcPr>
            <w:tcW w:w="3150" w:type="dxa"/>
            <w:tcBorders>
              <w:top w:val="nil"/>
              <w:left w:val="nil"/>
              <w:bottom w:val="nil"/>
              <w:right w:val="single" w:sz="8" w:space="0" w:color="auto"/>
            </w:tcBorders>
            <w:shd w:val="clear" w:color="auto" w:fill="auto"/>
            <w:vAlign w:val="center"/>
            <w:hideMark/>
          </w:tcPr>
          <w:p w14:paraId="000BB13E"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1,610,077.00 </w:t>
            </w:r>
          </w:p>
        </w:tc>
      </w:tr>
      <w:tr w:rsidR="006F2D20" w:rsidRPr="00A12A26" w14:paraId="4C7D06A5" w14:textId="77777777" w:rsidTr="006F2D20">
        <w:trPr>
          <w:trHeight w:val="20"/>
        </w:trPr>
        <w:tc>
          <w:tcPr>
            <w:tcW w:w="3230" w:type="dxa"/>
            <w:tcBorders>
              <w:top w:val="nil"/>
              <w:left w:val="single" w:sz="8" w:space="0" w:color="000000"/>
              <w:bottom w:val="nil"/>
              <w:right w:val="single" w:sz="8" w:space="0" w:color="000000"/>
            </w:tcBorders>
            <w:shd w:val="clear" w:color="auto" w:fill="auto"/>
            <w:vAlign w:val="center"/>
            <w:hideMark/>
          </w:tcPr>
          <w:p w14:paraId="6FA77006"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DFID (component 2)</w:t>
            </w:r>
          </w:p>
        </w:tc>
        <w:tc>
          <w:tcPr>
            <w:tcW w:w="2970" w:type="dxa"/>
            <w:tcBorders>
              <w:top w:val="nil"/>
              <w:left w:val="nil"/>
              <w:bottom w:val="nil"/>
              <w:right w:val="single" w:sz="8" w:space="0" w:color="auto"/>
            </w:tcBorders>
            <w:shd w:val="clear" w:color="auto" w:fill="auto"/>
            <w:vAlign w:val="center"/>
            <w:hideMark/>
          </w:tcPr>
          <w:p w14:paraId="05818EF8"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1,500,000.00 </w:t>
            </w:r>
          </w:p>
        </w:tc>
        <w:tc>
          <w:tcPr>
            <w:tcW w:w="3150" w:type="dxa"/>
            <w:tcBorders>
              <w:top w:val="nil"/>
              <w:left w:val="nil"/>
              <w:bottom w:val="nil"/>
              <w:right w:val="single" w:sz="8" w:space="0" w:color="auto"/>
            </w:tcBorders>
            <w:shd w:val="clear" w:color="auto" w:fill="auto"/>
            <w:vAlign w:val="center"/>
            <w:hideMark/>
          </w:tcPr>
          <w:p w14:paraId="56566C13"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1,580,077.00 </w:t>
            </w:r>
          </w:p>
        </w:tc>
      </w:tr>
      <w:tr w:rsidR="006F2D20" w:rsidRPr="00A12A26" w14:paraId="1F8E0887" w14:textId="77777777" w:rsidTr="006F2D20">
        <w:trPr>
          <w:trHeight w:val="20"/>
        </w:trPr>
        <w:tc>
          <w:tcPr>
            <w:tcW w:w="32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74B770"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[4] Other partners:</w:t>
            </w:r>
          </w:p>
        </w:tc>
        <w:tc>
          <w:tcPr>
            <w:tcW w:w="2970" w:type="dxa"/>
            <w:tcBorders>
              <w:top w:val="single" w:sz="8" w:space="0" w:color="auto"/>
              <w:left w:val="nil"/>
              <w:bottom w:val="single" w:sz="8" w:space="0" w:color="auto"/>
              <w:right w:val="single" w:sz="8" w:space="0" w:color="auto"/>
            </w:tcBorders>
            <w:shd w:val="clear" w:color="auto" w:fill="auto"/>
            <w:vAlign w:val="center"/>
            <w:hideMark/>
          </w:tcPr>
          <w:p w14:paraId="5FAE392C"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1,820,000.00 </w:t>
            </w:r>
          </w:p>
        </w:tc>
        <w:tc>
          <w:tcPr>
            <w:tcW w:w="3150" w:type="dxa"/>
            <w:tcBorders>
              <w:top w:val="single" w:sz="8" w:space="0" w:color="auto"/>
              <w:left w:val="nil"/>
              <w:bottom w:val="single" w:sz="8" w:space="0" w:color="auto"/>
              <w:right w:val="single" w:sz="8" w:space="0" w:color="auto"/>
            </w:tcBorders>
            <w:shd w:val="clear" w:color="auto" w:fill="auto"/>
            <w:vAlign w:val="center"/>
            <w:hideMark/>
          </w:tcPr>
          <w:p w14:paraId="39D445FF"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2,274,965.00 </w:t>
            </w:r>
          </w:p>
        </w:tc>
      </w:tr>
      <w:tr w:rsidR="006F2D20" w:rsidRPr="00A12A26" w14:paraId="4FDD9380" w14:textId="77777777" w:rsidTr="006F2D20">
        <w:trPr>
          <w:trHeight w:val="20"/>
        </w:trPr>
        <w:tc>
          <w:tcPr>
            <w:tcW w:w="3230" w:type="dxa"/>
            <w:tcBorders>
              <w:top w:val="nil"/>
              <w:left w:val="single" w:sz="8" w:space="0" w:color="auto"/>
              <w:bottom w:val="nil"/>
              <w:right w:val="single" w:sz="8" w:space="0" w:color="auto"/>
            </w:tcBorders>
            <w:shd w:val="clear" w:color="auto" w:fill="auto"/>
            <w:vAlign w:val="center"/>
            <w:hideMark/>
          </w:tcPr>
          <w:p w14:paraId="26E9E20F"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Mondelez (Component 1 &amp; 3)</w:t>
            </w:r>
          </w:p>
        </w:tc>
        <w:tc>
          <w:tcPr>
            <w:tcW w:w="2970" w:type="dxa"/>
            <w:tcBorders>
              <w:top w:val="nil"/>
              <w:left w:val="nil"/>
              <w:bottom w:val="nil"/>
              <w:right w:val="single" w:sz="8" w:space="0" w:color="auto"/>
            </w:tcBorders>
            <w:shd w:val="clear" w:color="auto" w:fill="auto"/>
            <w:vAlign w:val="center"/>
            <w:hideMark/>
          </w:tcPr>
          <w:p w14:paraId="75922A12"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   </w:t>
            </w:r>
          </w:p>
        </w:tc>
        <w:tc>
          <w:tcPr>
            <w:tcW w:w="3150" w:type="dxa"/>
            <w:tcBorders>
              <w:top w:val="nil"/>
              <w:left w:val="nil"/>
              <w:bottom w:val="nil"/>
              <w:right w:val="single" w:sz="8" w:space="0" w:color="auto"/>
            </w:tcBorders>
            <w:shd w:val="clear" w:color="auto" w:fill="auto"/>
            <w:vAlign w:val="center"/>
            <w:hideMark/>
          </w:tcPr>
          <w:p w14:paraId="0364DF77"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28,594.00 </w:t>
            </w:r>
          </w:p>
        </w:tc>
      </w:tr>
      <w:tr w:rsidR="006F2D20" w:rsidRPr="00A12A26" w14:paraId="71E0C5D8" w14:textId="77777777" w:rsidTr="006F2D20">
        <w:trPr>
          <w:trHeight w:val="20"/>
        </w:trPr>
        <w:tc>
          <w:tcPr>
            <w:tcW w:w="3230" w:type="dxa"/>
            <w:tcBorders>
              <w:top w:val="nil"/>
              <w:left w:val="single" w:sz="8" w:space="0" w:color="auto"/>
              <w:bottom w:val="nil"/>
              <w:right w:val="single" w:sz="8" w:space="0" w:color="auto"/>
            </w:tcBorders>
            <w:shd w:val="clear" w:color="auto" w:fill="auto"/>
            <w:vAlign w:val="center"/>
            <w:hideMark/>
          </w:tcPr>
          <w:p w14:paraId="027062FB"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PAGE (Component 1&amp;3)</w:t>
            </w:r>
          </w:p>
        </w:tc>
        <w:tc>
          <w:tcPr>
            <w:tcW w:w="2970" w:type="dxa"/>
            <w:tcBorders>
              <w:top w:val="nil"/>
              <w:left w:val="nil"/>
              <w:bottom w:val="nil"/>
              <w:right w:val="single" w:sz="8" w:space="0" w:color="auto"/>
            </w:tcBorders>
            <w:shd w:val="clear" w:color="auto" w:fill="auto"/>
            <w:vAlign w:val="center"/>
            <w:hideMark/>
          </w:tcPr>
          <w:p w14:paraId="2C91E39E"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   </w:t>
            </w:r>
          </w:p>
        </w:tc>
        <w:tc>
          <w:tcPr>
            <w:tcW w:w="3150" w:type="dxa"/>
            <w:tcBorders>
              <w:top w:val="nil"/>
              <w:left w:val="nil"/>
              <w:bottom w:val="nil"/>
              <w:right w:val="single" w:sz="8" w:space="0" w:color="auto"/>
            </w:tcBorders>
            <w:shd w:val="clear" w:color="auto" w:fill="auto"/>
            <w:vAlign w:val="center"/>
            <w:hideMark/>
          </w:tcPr>
          <w:p w14:paraId="73D5F339"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77,888.00 </w:t>
            </w:r>
          </w:p>
        </w:tc>
      </w:tr>
      <w:tr w:rsidR="006F2D20" w:rsidRPr="00A12A26" w14:paraId="60AC04CF" w14:textId="77777777" w:rsidTr="006F2D20">
        <w:trPr>
          <w:trHeight w:val="20"/>
        </w:trPr>
        <w:tc>
          <w:tcPr>
            <w:tcW w:w="3230" w:type="dxa"/>
            <w:tcBorders>
              <w:top w:val="nil"/>
              <w:left w:val="single" w:sz="8" w:space="0" w:color="auto"/>
              <w:bottom w:val="nil"/>
              <w:right w:val="single" w:sz="8" w:space="0" w:color="auto"/>
            </w:tcBorders>
            <w:shd w:val="clear" w:color="auto" w:fill="auto"/>
            <w:vAlign w:val="center"/>
            <w:hideMark/>
          </w:tcPr>
          <w:p w14:paraId="5712DE49"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Ford Foundation (Component 2)</w:t>
            </w:r>
          </w:p>
        </w:tc>
        <w:tc>
          <w:tcPr>
            <w:tcW w:w="2970" w:type="dxa"/>
            <w:tcBorders>
              <w:top w:val="nil"/>
              <w:left w:val="nil"/>
              <w:bottom w:val="nil"/>
              <w:right w:val="single" w:sz="8" w:space="0" w:color="auto"/>
            </w:tcBorders>
            <w:shd w:val="clear" w:color="auto" w:fill="auto"/>
            <w:vAlign w:val="center"/>
            <w:hideMark/>
          </w:tcPr>
          <w:p w14:paraId="09E6893D"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700,000.00 </w:t>
            </w:r>
          </w:p>
        </w:tc>
        <w:tc>
          <w:tcPr>
            <w:tcW w:w="3150" w:type="dxa"/>
            <w:tcBorders>
              <w:top w:val="nil"/>
              <w:left w:val="nil"/>
              <w:bottom w:val="nil"/>
              <w:right w:val="single" w:sz="8" w:space="0" w:color="auto"/>
            </w:tcBorders>
            <w:shd w:val="clear" w:color="auto" w:fill="auto"/>
            <w:vAlign w:val="center"/>
            <w:hideMark/>
          </w:tcPr>
          <w:p w14:paraId="6C2BA028"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1,295,314.00 </w:t>
            </w:r>
          </w:p>
        </w:tc>
      </w:tr>
      <w:tr w:rsidR="006F2D20" w:rsidRPr="00A12A26" w14:paraId="30A044B7" w14:textId="77777777" w:rsidTr="006F2D20">
        <w:trPr>
          <w:trHeight w:val="20"/>
        </w:trPr>
        <w:tc>
          <w:tcPr>
            <w:tcW w:w="3230" w:type="dxa"/>
            <w:tcBorders>
              <w:top w:val="nil"/>
              <w:left w:val="single" w:sz="8" w:space="0" w:color="auto"/>
              <w:bottom w:val="nil"/>
              <w:right w:val="single" w:sz="8" w:space="0" w:color="auto"/>
            </w:tcBorders>
            <w:shd w:val="clear" w:color="auto" w:fill="auto"/>
            <w:vAlign w:val="center"/>
            <w:hideMark/>
          </w:tcPr>
          <w:p w14:paraId="424150CA"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ISEAL Alliance (Component 2)</w:t>
            </w:r>
          </w:p>
        </w:tc>
        <w:tc>
          <w:tcPr>
            <w:tcW w:w="2970" w:type="dxa"/>
            <w:tcBorders>
              <w:top w:val="nil"/>
              <w:left w:val="nil"/>
              <w:bottom w:val="nil"/>
              <w:right w:val="single" w:sz="8" w:space="0" w:color="auto"/>
            </w:tcBorders>
            <w:shd w:val="clear" w:color="auto" w:fill="auto"/>
            <w:vAlign w:val="center"/>
            <w:hideMark/>
          </w:tcPr>
          <w:p w14:paraId="5EC53C2F"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120,000.00 </w:t>
            </w:r>
          </w:p>
        </w:tc>
        <w:tc>
          <w:tcPr>
            <w:tcW w:w="3150" w:type="dxa"/>
            <w:tcBorders>
              <w:top w:val="nil"/>
              <w:left w:val="nil"/>
              <w:bottom w:val="nil"/>
              <w:right w:val="single" w:sz="8" w:space="0" w:color="auto"/>
            </w:tcBorders>
            <w:shd w:val="clear" w:color="auto" w:fill="auto"/>
            <w:vAlign w:val="center"/>
            <w:hideMark/>
          </w:tcPr>
          <w:p w14:paraId="4FA2B901"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167,864.00 </w:t>
            </w:r>
          </w:p>
        </w:tc>
      </w:tr>
      <w:tr w:rsidR="006F2D20" w:rsidRPr="00A12A26" w14:paraId="4515CF88" w14:textId="77777777" w:rsidTr="006F2D20">
        <w:trPr>
          <w:trHeight w:val="20"/>
        </w:trPr>
        <w:tc>
          <w:tcPr>
            <w:tcW w:w="3230" w:type="dxa"/>
            <w:tcBorders>
              <w:top w:val="nil"/>
              <w:left w:val="single" w:sz="8" w:space="0" w:color="auto"/>
              <w:bottom w:val="nil"/>
              <w:right w:val="single" w:sz="8" w:space="0" w:color="auto"/>
            </w:tcBorders>
            <w:shd w:val="clear" w:color="auto" w:fill="auto"/>
            <w:vAlign w:val="center"/>
            <w:hideMark/>
          </w:tcPr>
          <w:p w14:paraId="0F78E2CC"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Rain Forest Alliance (Component 2)</w:t>
            </w:r>
          </w:p>
        </w:tc>
        <w:tc>
          <w:tcPr>
            <w:tcW w:w="2970" w:type="dxa"/>
            <w:tcBorders>
              <w:top w:val="nil"/>
              <w:left w:val="nil"/>
              <w:bottom w:val="nil"/>
              <w:right w:val="single" w:sz="8" w:space="0" w:color="auto"/>
            </w:tcBorders>
            <w:shd w:val="clear" w:color="auto" w:fill="auto"/>
            <w:vAlign w:val="center"/>
            <w:hideMark/>
          </w:tcPr>
          <w:p w14:paraId="2BA15612"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1,000,000.00 </w:t>
            </w:r>
          </w:p>
        </w:tc>
        <w:tc>
          <w:tcPr>
            <w:tcW w:w="3150" w:type="dxa"/>
            <w:tcBorders>
              <w:top w:val="nil"/>
              <w:left w:val="nil"/>
              <w:bottom w:val="single" w:sz="8" w:space="0" w:color="auto"/>
              <w:right w:val="single" w:sz="8" w:space="0" w:color="auto"/>
            </w:tcBorders>
            <w:shd w:val="clear" w:color="auto" w:fill="auto"/>
            <w:vAlign w:val="center"/>
            <w:hideMark/>
          </w:tcPr>
          <w:p w14:paraId="676FBF96"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705,305.00 </w:t>
            </w:r>
          </w:p>
        </w:tc>
      </w:tr>
      <w:tr w:rsidR="006F2D20" w:rsidRPr="00A12A26" w14:paraId="2DE1EA48" w14:textId="77777777" w:rsidTr="006F2D20">
        <w:trPr>
          <w:trHeight w:val="20"/>
        </w:trPr>
        <w:tc>
          <w:tcPr>
            <w:tcW w:w="323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C77FC7" w14:textId="77777777"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rPr>
              <w:t>[5] Total co-financing [2 + 3+ 4]:</w:t>
            </w:r>
          </w:p>
        </w:tc>
        <w:tc>
          <w:tcPr>
            <w:tcW w:w="2970" w:type="dxa"/>
            <w:tcBorders>
              <w:top w:val="single" w:sz="8" w:space="0" w:color="auto"/>
              <w:left w:val="nil"/>
              <w:bottom w:val="single" w:sz="8" w:space="0" w:color="auto"/>
              <w:right w:val="single" w:sz="8" w:space="0" w:color="000000"/>
            </w:tcBorders>
            <w:shd w:val="clear" w:color="auto" w:fill="auto"/>
            <w:vAlign w:val="center"/>
            <w:hideMark/>
          </w:tcPr>
          <w:p w14:paraId="307DDA4C" w14:textId="23F05C6F" w:rsidR="006F2D20" w:rsidRPr="00A12A26" w:rsidRDefault="006F2D20" w:rsidP="006C163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w:t>
            </w:r>
            <w:r w:rsidR="00640179">
              <w:rPr>
                <w:rFonts w:eastAsia="Times New Roman"/>
                <w:color w:val="000000"/>
                <w:sz w:val="18"/>
                <w:szCs w:val="18"/>
                <w:lang w:val="es-ES"/>
              </w:rPr>
              <w:t>5,266,887</w:t>
            </w:r>
            <w:r w:rsidRPr="00A12A26">
              <w:rPr>
                <w:rFonts w:eastAsia="Times New Roman"/>
                <w:color w:val="000000"/>
                <w:sz w:val="18"/>
                <w:szCs w:val="18"/>
                <w:lang w:val="es-ES"/>
              </w:rPr>
              <w:t xml:space="preserve">.00 </w:t>
            </w:r>
          </w:p>
        </w:tc>
        <w:tc>
          <w:tcPr>
            <w:tcW w:w="3150" w:type="dxa"/>
            <w:tcBorders>
              <w:top w:val="nil"/>
              <w:left w:val="nil"/>
              <w:bottom w:val="single" w:sz="8" w:space="0" w:color="auto"/>
              <w:right w:val="single" w:sz="8" w:space="0" w:color="auto"/>
            </w:tcBorders>
            <w:shd w:val="clear" w:color="auto" w:fill="auto"/>
            <w:vAlign w:val="center"/>
            <w:hideMark/>
          </w:tcPr>
          <w:p w14:paraId="672C69C0" w14:textId="77777777" w:rsidR="006F2D20" w:rsidRPr="00A12A26" w:rsidRDefault="006F2D20" w:rsidP="006C163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6,714,694.00 </w:t>
            </w:r>
          </w:p>
        </w:tc>
      </w:tr>
      <w:tr w:rsidR="006F2D20" w:rsidRPr="00A12A26" w14:paraId="7825B994" w14:textId="77777777" w:rsidTr="006F2D20">
        <w:trPr>
          <w:trHeight w:val="20"/>
        </w:trPr>
        <w:tc>
          <w:tcPr>
            <w:tcW w:w="3230" w:type="dxa"/>
            <w:tcBorders>
              <w:top w:val="nil"/>
              <w:left w:val="single" w:sz="8" w:space="0" w:color="000000"/>
              <w:bottom w:val="single" w:sz="8" w:space="0" w:color="000000"/>
              <w:right w:val="single" w:sz="8" w:space="0" w:color="000000"/>
            </w:tcBorders>
            <w:shd w:val="clear" w:color="auto" w:fill="auto"/>
            <w:vAlign w:val="center"/>
            <w:hideMark/>
          </w:tcPr>
          <w:p w14:paraId="4EE5857A" w14:textId="77777777" w:rsidR="006F2D20" w:rsidRPr="00A12A26" w:rsidRDefault="006F2D20" w:rsidP="006C163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rPr>
              <w:t>PROJECT TOTAL COSTS [1 + 5]</w:t>
            </w:r>
          </w:p>
        </w:tc>
        <w:tc>
          <w:tcPr>
            <w:tcW w:w="2970" w:type="dxa"/>
            <w:tcBorders>
              <w:top w:val="nil"/>
              <w:left w:val="nil"/>
              <w:bottom w:val="single" w:sz="8" w:space="0" w:color="000000"/>
              <w:right w:val="single" w:sz="8" w:space="0" w:color="000000"/>
            </w:tcBorders>
            <w:shd w:val="clear" w:color="auto" w:fill="auto"/>
            <w:vAlign w:val="center"/>
            <w:hideMark/>
          </w:tcPr>
          <w:p w14:paraId="563E716F" w14:textId="73A41579" w:rsidR="006F2D20" w:rsidRPr="00A12A26" w:rsidRDefault="006F2D20" w:rsidP="006C163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lang w:val="es-ES"/>
              </w:rPr>
              <w:t xml:space="preserve">           </w:t>
            </w:r>
            <w:r w:rsidR="006F7969">
              <w:rPr>
                <w:rFonts w:eastAsia="Times New Roman"/>
                <w:b/>
                <w:bCs/>
                <w:color w:val="000000"/>
                <w:sz w:val="18"/>
                <w:szCs w:val="18"/>
                <w:lang w:val="es-ES"/>
              </w:rPr>
              <w:t>9,24</w:t>
            </w:r>
            <w:r w:rsidR="00491D40">
              <w:rPr>
                <w:rFonts w:eastAsia="Times New Roman"/>
                <w:b/>
                <w:bCs/>
                <w:color w:val="000000"/>
                <w:sz w:val="18"/>
                <w:szCs w:val="18"/>
                <w:lang w:val="es-ES"/>
              </w:rPr>
              <w:t>5</w:t>
            </w:r>
            <w:r w:rsidR="006F7969">
              <w:rPr>
                <w:rFonts w:eastAsia="Times New Roman"/>
                <w:b/>
                <w:bCs/>
                <w:color w:val="000000"/>
                <w:sz w:val="18"/>
                <w:szCs w:val="18"/>
                <w:lang w:val="es-ES"/>
              </w:rPr>
              <w:t>,328</w:t>
            </w:r>
            <w:r w:rsidRPr="00A12A26">
              <w:rPr>
                <w:rFonts w:eastAsia="Times New Roman"/>
                <w:b/>
                <w:bCs/>
                <w:color w:val="000000"/>
                <w:sz w:val="18"/>
                <w:szCs w:val="18"/>
                <w:lang w:val="es-ES"/>
              </w:rPr>
              <w:t xml:space="preserve">.00 </w:t>
            </w:r>
          </w:p>
        </w:tc>
        <w:tc>
          <w:tcPr>
            <w:tcW w:w="3150" w:type="dxa"/>
            <w:tcBorders>
              <w:top w:val="nil"/>
              <w:left w:val="nil"/>
              <w:bottom w:val="single" w:sz="8" w:space="0" w:color="000000"/>
              <w:right w:val="single" w:sz="8" w:space="0" w:color="000000"/>
            </w:tcBorders>
            <w:shd w:val="clear" w:color="auto" w:fill="auto"/>
            <w:vAlign w:val="center"/>
            <w:hideMark/>
          </w:tcPr>
          <w:p w14:paraId="31C2E4E9" w14:textId="22EF9ACA" w:rsidR="008559F8" w:rsidRDefault="006F2D20" w:rsidP="006C163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lang w:val="es-ES"/>
              </w:rPr>
              <w:t xml:space="preserve">                        </w:t>
            </w:r>
            <w:r w:rsidR="008559F8">
              <w:rPr>
                <w:rFonts w:eastAsia="Times New Roman"/>
                <w:b/>
                <w:bCs/>
                <w:color w:val="000000"/>
                <w:sz w:val="18"/>
                <w:szCs w:val="18"/>
                <w:lang w:val="es-ES"/>
              </w:rPr>
              <w:t xml:space="preserve"> </w:t>
            </w:r>
          </w:p>
          <w:p w14:paraId="3492A08B" w14:textId="7F39FB49" w:rsidR="006F2D20" w:rsidRPr="00A12A26" w:rsidRDefault="008559F8" w:rsidP="006C1636">
            <w:pPr>
              <w:spacing w:after="0" w:line="240" w:lineRule="auto"/>
              <w:ind w:firstLineChars="100" w:firstLine="181"/>
              <w:jc w:val="right"/>
              <w:rPr>
                <w:rFonts w:eastAsia="Times New Roman"/>
                <w:b/>
                <w:bCs/>
                <w:color w:val="000000"/>
                <w:sz w:val="18"/>
                <w:szCs w:val="18"/>
                <w:lang w:val="es-ES"/>
              </w:rPr>
            </w:pPr>
            <w:r>
              <w:rPr>
                <w:rFonts w:eastAsia="Times New Roman"/>
                <w:b/>
                <w:bCs/>
                <w:color w:val="000000"/>
                <w:sz w:val="18"/>
                <w:szCs w:val="18"/>
                <w:lang w:val="es-ES"/>
              </w:rPr>
              <w:lastRenderedPageBreak/>
              <w:t>10,379,247.00</w:t>
            </w:r>
            <w:r w:rsidR="006F2D20" w:rsidRPr="00A12A26">
              <w:rPr>
                <w:rFonts w:eastAsia="Times New Roman"/>
                <w:b/>
                <w:bCs/>
                <w:color w:val="000000"/>
                <w:sz w:val="18"/>
                <w:szCs w:val="18"/>
                <w:lang w:val="es-ES"/>
              </w:rPr>
              <w:t xml:space="preserve"> </w:t>
            </w:r>
          </w:p>
        </w:tc>
      </w:tr>
    </w:tbl>
    <w:p w14:paraId="435AE1DC" w14:textId="216BC8C1" w:rsidR="009325B9" w:rsidRDefault="009325B9" w:rsidP="000E3392">
      <w:pPr>
        <w:widowControl w:val="0"/>
        <w:tabs>
          <w:tab w:val="left" w:pos="1540"/>
          <w:tab w:val="left" w:pos="1541"/>
        </w:tabs>
        <w:autoSpaceDE w:val="0"/>
        <w:autoSpaceDN w:val="0"/>
        <w:spacing w:after="0" w:line="240" w:lineRule="auto"/>
        <w:rPr>
          <w:rFonts w:asciiTheme="minorHAnsi" w:eastAsia="Times New Roman" w:hAnsiTheme="minorHAnsi" w:cstheme="minorHAnsi"/>
          <w:sz w:val="20"/>
          <w:szCs w:val="20"/>
          <w:lang w:eastAsia="en-US"/>
        </w:rPr>
      </w:pPr>
    </w:p>
    <w:p w14:paraId="2BCFB4EB" w14:textId="77777777" w:rsidR="009325B9" w:rsidRDefault="009325B9" w:rsidP="009325B9">
      <w:pPr>
        <w:rPr>
          <w:rStyle w:val="Heading3Char"/>
          <w:color w:val="2F5496" w:themeColor="accent1" w:themeShade="BF"/>
        </w:rPr>
      </w:pPr>
    </w:p>
    <w:p w14:paraId="3EE9539B" w14:textId="554DFC2A" w:rsidR="00F96470" w:rsidRPr="00B515BC" w:rsidRDefault="00BA2312" w:rsidP="009B4C22">
      <w:pPr>
        <w:pStyle w:val="Heading2"/>
      </w:pPr>
      <w:bookmarkStart w:id="5" w:name="_Toc96772458"/>
      <w:r w:rsidRPr="00B515BC">
        <w:rPr>
          <w:rStyle w:val="Heading3Char"/>
          <w:color w:val="2F5496" w:themeColor="accent1" w:themeShade="BF"/>
        </w:rPr>
        <w:t xml:space="preserve">1.2 </w:t>
      </w:r>
      <w:r w:rsidR="00F96470" w:rsidRPr="00B515BC">
        <w:rPr>
          <w:rStyle w:val="Heading3Char"/>
          <w:color w:val="2F5496" w:themeColor="accent1" w:themeShade="BF"/>
        </w:rPr>
        <w:t>Project Description</w:t>
      </w:r>
      <w:bookmarkEnd w:id="5"/>
      <w:r w:rsidR="00F96470" w:rsidRPr="00B515BC">
        <w:t xml:space="preserve"> </w:t>
      </w:r>
    </w:p>
    <w:p w14:paraId="7679A7A2" w14:textId="49B49AD1" w:rsidR="00A5640A" w:rsidRPr="00EA67D4" w:rsidRDefault="00A5640A" w:rsidP="00BA2312">
      <w:pPr>
        <w:widowControl w:val="0"/>
        <w:tabs>
          <w:tab w:val="left" w:pos="1540"/>
          <w:tab w:val="left" w:pos="1541"/>
        </w:tabs>
        <w:autoSpaceDE w:val="0"/>
        <w:autoSpaceDN w:val="0"/>
        <w:spacing w:before="23" w:after="0" w:line="240" w:lineRule="auto"/>
        <w:rPr>
          <w:rFonts w:asciiTheme="minorHAnsi" w:eastAsia="Times New Roman" w:hAnsiTheme="minorHAnsi" w:cstheme="minorHAnsi"/>
          <w:lang w:eastAsia="en-US"/>
        </w:rPr>
      </w:pPr>
    </w:p>
    <w:p w14:paraId="1A71C6AC" w14:textId="278A6C4C" w:rsidR="00666605" w:rsidRPr="00666605" w:rsidRDefault="00722D04" w:rsidP="00666605">
      <w:pPr>
        <w:spacing w:after="120" w:line="240" w:lineRule="auto"/>
        <w:jc w:val="both"/>
        <w:rPr>
          <w:rFonts w:asciiTheme="minorHAnsi" w:eastAsia="Segoe UI" w:hAnsiTheme="minorHAnsi" w:cstheme="minorHAnsi"/>
          <w:lang w:eastAsia="en-US" w:bidi="en-US"/>
        </w:rPr>
      </w:pPr>
      <w:r>
        <w:rPr>
          <w:rFonts w:asciiTheme="minorHAnsi" w:eastAsia="Segoe UI" w:hAnsiTheme="minorHAnsi" w:cstheme="minorHAnsi"/>
          <w:lang w:eastAsia="en-US" w:bidi="en-US"/>
        </w:rPr>
        <w:t xml:space="preserve">The </w:t>
      </w:r>
      <w:r w:rsidR="00666605" w:rsidRPr="00722D04">
        <w:rPr>
          <w:rFonts w:asciiTheme="minorHAnsi" w:eastAsia="Segoe UI" w:hAnsiTheme="minorHAnsi" w:cstheme="minorHAnsi"/>
          <w:i/>
          <w:iCs/>
          <w:lang w:eastAsia="en-US" w:bidi="en-US"/>
        </w:rPr>
        <w:t>Adaptive Management and Learning for the Commodities IAP</w:t>
      </w:r>
      <w:r w:rsidRPr="00722D04">
        <w:rPr>
          <w:rFonts w:asciiTheme="minorHAnsi" w:eastAsia="Segoe UI" w:hAnsiTheme="minorHAnsi" w:cstheme="minorHAnsi"/>
          <w:i/>
          <w:iCs/>
          <w:lang w:eastAsia="en-US" w:bidi="en-US"/>
        </w:rPr>
        <w:t xml:space="preserve"> project</w:t>
      </w:r>
      <w:r w:rsidR="00666605" w:rsidRPr="00666605">
        <w:rPr>
          <w:rFonts w:asciiTheme="minorHAnsi" w:eastAsia="Segoe UI" w:hAnsiTheme="minorHAnsi" w:cstheme="minorHAnsi"/>
          <w:lang w:eastAsia="en-US" w:bidi="en-US"/>
        </w:rPr>
        <w:t xml:space="preserve">, is a child project under the UNDP-GEF 6 Integrated Approach Pilot (IAP) program </w:t>
      </w:r>
      <w:r w:rsidR="00666605" w:rsidRPr="00666605">
        <w:rPr>
          <w:rFonts w:asciiTheme="minorHAnsi" w:eastAsia="Segoe UI" w:hAnsiTheme="minorHAnsi" w:cstheme="minorHAnsi"/>
          <w:i/>
          <w:iCs/>
          <w:lang w:eastAsia="en-US" w:bidi="en-US"/>
        </w:rPr>
        <w:t>Taking Deforestation out of Commodity Supply Chains</w:t>
      </w:r>
      <w:r w:rsidR="00666605" w:rsidRPr="00666605">
        <w:rPr>
          <w:rFonts w:asciiTheme="minorHAnsi" w:eastAsia="Segoe UI" w:hAnsiTheme="minorHAnsi" w:cstheme="minorHAnsi"/>
          <w:lang w:eastAsia="en-US" w:bidi="en-US"/>
        </w:rPr>
        <w:t xml:space="preserve"> known as the Good Growth Partnership (GGP). </w:t>
      </w:r>
      <w:r w:rsidR="00804491">
        <w:rPr>
          <w:rFonts w:asciiTheme="minorHAnsi" w:eastAsia="Segoe UI" w:hAnsiTheme="minorHAnsi" w:cstheme="minorHAnsi"/>
          <w:lang w:eastAsia="en-US" w:bidi="en-US"/>
        </w:rPr>
        <w:t xml:space="preserve">The </w:t>
      </w:r>
      <w:r w:rsidR="00666605" w:rsidRPr="00666605">
        <w:rPr>
          <w:rFonts w:asciiTheme="minorHAnsi" w:eastAsia="Segoe UI" w:hAnsiTheme="minorHAnsi" w:cstheme="minorHAnsi"/>
          <w:lang w:eastAsia="en-US" w:bidi="en-US"/>
        </w:rPr>
        <w:t xml:space="preserve">program is advancing an integrated supply chain approach </w:t>
      </w:r>
      <w:r>
        <w:rPr>
          <w:rFonts w:asciiTheme="minorHAnsi" w:eastAsia="Segoe UI" w:hAnsiTheme="minorHAnsi" w:cstheme="minorHAnsi"/>
          <w:lang w:eastAsia="en-US" w:bidi="en-US"/>
        </w:rPr>
        <w:t xml:space="preserve">addressing a </w:t>
      </w:r>
      <w:r w:rsidR="00666605" w:rsidRPr="00666605">
        <w:rPr>
          <w:rFonts w:asciiTheme="minorHAnsi" w:eastAsia="Segoe UI" w:hAnsiTheme="minorHAnsi" w:cstheme="minorHAnsi"/>
          <w:lang w:eastAsia="en-US" w:bidi="en-US"/>
        </w:rPr>
        <w:t xml:space="preserve">root cause of </w:t>
      </w:r>
      <w:r w:rsidR="00804491">
        <w:rPr>
          <w:rFonts w:asciiTheme="minorHAnsi" w:eastAsia="Segoe UI" w:hAnsiTheme="minorHAnsi" w:cstheme="minorHAnsi"/>
          <w:lang w:eastAsia="en-US" w:bidi="en-US"/>
        </w:rPr>
        <w:t xml:space="preserve">70% of global </w:t>
      </w:r>
      <w:r w:rsidR="00666605" w:rsidRPr="00666605">
        <w:rPr>
          <w:rFonts w:asciiTheme="minorHAnsi" w:eastAsia="Segoe UI" w:hAnsiTheme="minorHAnsi" w:cstheme="minorHAnsi"/>
          <w:lang w:eastAsia="en-US" w:bidi="en-US"/>
        </w:rPr>
        <w:t xml:space="preserve">deforestation </w:t>
      </w:r>
      <w:r w:rsidR="00804491">
        <w:rPr>
          <w:rFonts w:asciiTheme="minorHAnsi" w:eastAsia="Segoe UI" w:hAnsiTheme="minorHAnsi" w:cstheme="minorHAnsi"/>
          <w:lang w:eastAsia="en-US" w:bidi="en-US"/>
        </w:rPr>
        <w:t xml:space="preserve">attributed to </w:t>
      </w:r>
      <w:r w:rsidR="00666605" w:rsidRPr="00666605">
        <w:rPr>
          <w:rFonts w:asciiTheme="minorHAnsi" w:eastAsia="Segoe UI" w:hAnsiTheme="minorHAnsi" w:cstheme="minorHAnsi"/>
          <w:lang w:eastAsia="en-US" w:bidi="en-US"/>
        </w:rPr>
        <w:t>agriculture commodities, specifically beef, oil palm, and soy</w:t>
      </w:r>
      <w:r>
        <w:rPr>
          <w:rFonts w:asciiTheme="minorHAnsi" w:eastAsia="Segoe UI" w:hAnsiTheme="minorHAnsi" w:cstheme="minorHAnsi"/>
          <w:lang w:eastAsia="en-US" w:bidi="en-US"/>
        </w:rPr>
        <w:t>.</w:t>
      </w:r>
      <w:r w:rsidR="00666605" w:rsidRPr="00666605">
        <w:rPr>
          <w:rFonts w:asciiTheme="minorHAnsi" w:eastAsia="Segoe UI" w:hAnsiTheme="minorHAnsi" w:cstheme="minorHAnsi"/>
          <w:lang w:eastAsia="en-US" w:bidi="en-US"/>
        </w:rPr>
        <w:t xml:space="preserve"> </w:t>
      </w:r>
    </w:p>
    <w:p w14:paraId="19DF7D8B" w14:textId="604B7070" w:rsidR="00666605" w:rsidRPr="00666605" w:rsidRDefault="00666605" w:rsidP="00666605">
      <w:pPr>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GEF-funded GGP combines the factors of production, demand, and investment as integrated tracks seeking points of integration in the supply chain to enhance incentives and demand for sustainably produced agricultural commodities. The program, launched in 2017, is led by The United Nations Development Programme (UNDP) and implemented in collaboration with Conservation International (CI), the International Finance Corporation (IFC), UN Environment (UNEP) and the Word Wildlife Fund (WWF). </w:t>
      </w:r>
      <w:r w:rsidR="000C5998" w:rsidRPr="00666605">
        <w:rPr>
          <w:rFonts w:asciiTheme="minorHAnsi" w:hAnsiTheme="minorHAnsi" w:cstheme="minorHAnsi"/>
        </w:rPr>
        <w:t>The GGP</w:t>
      </w:r>
      <w:r w:rsidR="000C5998">
        <w:rPr>
          <w:rFonts w:asciiTheme="minorHAnsi" w:hAnsiTheme="minorHAnsi" w:cstheme="minorHAnsi"/>
        </w:rPr>
        <w:t xml:space="preserve"> also</w:t>
      </w:r>
      <w:r w:rsidR="000C5998" w:rsidRPr="00666605">
        <w:rPr>
          <w:rFonts w:asciiTheme="minorHAnsi" w:hAnsiTheme="minorHAnsi" w:cstheme="minorHAnsi"/>
        </w:rPr>
        <w:t xml:space="preserve"> works in partnership with the governments of Brazil, Indonesia, Liberia and Paraguay</w:t>
      </w:r>
      <w:r w:rsidR="000C5998">
        <w:rPr>
          <w:rFonts w:asciiTheme="minorHAnsi" w:hAnsiTheme="minorHAnsi" w:cstheme="minorHAnsi"/>
        </w:rPr>
        <w:t xml:space="preserve">, </w:t>
      </w:r>
      <w:r w:rsidR="000C5998" w:rsidRPr="00666605">
        <w:rPr>
          <w:rFonts w:asciiTheme="minorHAnsi" w:hAnsiTheme="minorHAnsi" w:cstheme="minorHAnsi"/>
        </w:rPr>
        <w:t>civil society and</w:t>
      </w:r>
      <w:r w:rsidR="000C5998">
        <w:rPr>
          <w:rFonts w:asciiTheme="minorHAnsi" w:hAnsiTheme="minorHAnsi" w:cstheme="minorHAnsi"/>
        </w:rPr>
        <w:t xml:space="preserve"> the</w:t>
      </w:r>
      <w:r w:rsidR="000C5998" w:rsidRPr="00666605">
        <w:rPr>
          <w:rFonts w:asciiTheme="minorHAnsi" w:hAnsiTheme="minorHAnsi" w:cstheme="minorHAnsi"/>
        </w:rPr>
        <w:t xml:space="preserve"> private sector</w:t>
      </w:r>
      <w:r w:rsidR="000C5998">
        <w:rPr>
          <w:rFonts w:asciiTheme="minorHAnsi" w:hAnsiTheme="minorHAnsi" w:cstheme="minorHAnsi"/>
        </w:rPr>
        <w:t xml:space="preserve"> actors</w:t>
      </w:r>
      <w:r w:rsidR="000C5998" w:rsidRPr="00666605">
        <w:rPr>
          <w:rFonts w:asciiTheme="minorHAnsi" w:hAnsiTheme="minorHAnsi" w:cstheme="minorHAnsi"/>
        </w:rPr>
        <w:t xml:space="preserve"> </w:t>
      </w:r>
      <w:r w:rsidR="000C5998">
        <w:rPr>
          <w:rFonts w:asciiTheme="minorHAnsi" w:hAnsiTheme="minorHAnsi" w:cstheme="minorHAnsi"/>
        </w:rPr>
        <w:t xml:space="preserve">with interests </w:t>
      </w:r>
      <w:r w:rsidR="000C5998" w:rsidRPr="00666605">
        <w:rPr>
          <w:rFonts w:asciiTheme="minorHAnsi" w:hAnsiTheme="minorHAnsi" w:cstheme="minorHAnsi"/>
        </w:rPr>
        <w:t xml:space="preserve">in the </w:t>
      </w:r>
      <w:r w:rsidR="000C5998">
        <w:rPr>
          <w:rFonts w:asciiTheme="minorHAnsi" w:hAnsiTheme="minorHAnsi" w:cstheme="minorHAnsi"/>
        </w:rPr>
        <w:t>p</w:t>
      </w:r>
      <w:r w:rsidR="000C5998" w:rsidRPr="00666605">
        <w:rPr>
          <w:rFonts w:asciiTheme="minorHAnsi" w:hAnsiTheme="minorHAnsi" w:cstheme="minorHAnsi"/>
        </w:rPr>
        <w:t xml:space="preserve">alm </w:t>
      </w:r>
      <w:r w:rsidR="000C5998">
        <w:rPr>
          <w:rFonts w:asciiTheme="minorHAnsi" w:hAnsiTheme="minorHAnsi" w:cstheme="minorHAnsi"/>
        </w:rPr>
        <w:t>o</w:t>
      </w:r>
      <w:r w:rsidR="000C5998" w:rsidRPr="00666605">
        <w:rPr>
          <w:rFonts w:asciiTheme="minorHAnsi" w:hAnsiTheme="minorHAnsi" w:cstheme="minorHAnsi"/>
        </w:rPr>
        <w:t xml:space="preserve">il, </w:t>
      </w:r>
      <w:r w:rsidR="000C5998">
        <w:rPr>
          <w:rFonts w:asciiTheme="minorHAnsi" w:hAnsiTheme="minorHAnsi" w:cstheme="minorHAnsi"/>
        </w:rPr>
        <w:t>b</w:t>
      </w:r>
      <w:r w:rsidR="000C5998" w:rsidRPr="00666605">
        <w:rPr>
          <w:rFonts w:asciiTheme="minorHAnsi" w:hAnsiTheme="minorHAnsi" w:cstheme="minorHAnsi"/>
        </w:rPr>
        <w:t xml:space="preserve">eef and </w:t>
      </w:r>
      <w:r w:rsidR="000C5998">
        <w:rPr>
          <w:rFonts w:asciiTheme="minorHAnsi" w:hAnsiTheme="minorHAnsi" w:cstheme="minorHAnsi"/>
        </w:rPr>
        <w:t>s</w:t>
      </w:r>
      <w:r w:rsidR="000C5998" w:rsidRPr="00666605">
        <w:rPr>
          <w:rFonts w:asciiTheme="minorHAnsi" w:hAnsiTheme="minorHAnsi" w:cstheme="minorHAnsi"/>
        </w:rPr>
        <w:t>oy commodities</w:t>
      </w:r>
      <w:r w:rsidR="000C5998">
        <w:rPr>
          <w:rFonts w:asciiTheme="minorHAnsi" w:hAnsiTheme="minorHAnsi" w:cstheme="minorHAnsi"/>
        </w:rPr>
        <w:t>.</w:t>
      </w:r>
    </w:p>
    <w:p w14:paraId="2DDFF4CB" w14:textId="776B59E7" w:rsidR="00666605" w:rsidRPr="00666605" w:rsidRDefault="00666605" w:rsidP="00666605">
      <w:pPr>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GGP consists of the following 5 GEF-funded </w:t>
      </w:r>
      <w:r w:rsidR="00731219">
        <w:rPr>
          <w:rFonts w:asciiTheme="minorHAnsi" w:eastAsia="Segoe UI" w:hAnsiTheme="minorHAnsi" w:cstheme="minorHAnsi"/>
          <w:lang w:eastAsia="en-US" w:bidi="en-US"/>
        </w:rPr>
        <w:t>“</w:t>
      </w:r>
      <w:r w:rsidRPr="00666605">
        <w:rPr>
          <w:rFonts w:asciiTheme="minorHAnsi" w:eastAsia="Segoe UI" w:hAnsiTheme="minorHAnsi" w:cstheme="minorHAnsi"/>
          <w:lang w:eastAsia="en-US" w:bidi="en-US"/>
        </w:rPr>
        <w:t>child</w:t>
      </w:r>
      <w:r w:rsidR="00731219">
        <w:rPr>
          <w:rFonts w:asciiTheme="minorHAnsi" w:eastAsia="Segoe UI" w:hAnsiTheme="minorHAnsi" w:cstheme="minorHAnsi"/>
          <w:lang w:eastAsia="en-US" w:bidi="en-US"/>
        </w:rPr>
        <w:t>”</w:t>
      </w:r>
      <w:r w:rsidRPr="00666605">
        <w:rPr>
          <w:rFonts w:asciiTheme="minorHAnsi" w:eastAsia="Segoe UI" w:hAnsiTheme="minorHAnsi" w:cstheme="minorHAnsi"/>
          <w:lang w:eastAsia="en-US" w:bidi="en-US"/>
        </w:rPr>
        <w:t xml:space="preserve"> projects working across production, financing and demand in Brazil, Indonesia, Liberia, and Paraguay: </w:t>
      </w:r>
    </w:p>
    <w:p w14:paraId="4E5EADCD" w14:textId="1CFDF442" w:rsidR="00666605" w:rsidRPr="00666605" w:rsidRDefault="00666605" w:rsidP="00D80344">
      <w:pPr>
        <w:widowControl w:val="0"/>
        <w:numPr>
          <w:ilvl w:val="0"/>
          <w:numId w:val="30"/>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w:t>
      </w:r>
      <w:r w:rsidRPr="00666605">
        <w:rPr>
          <w:rFonts w:asciiTheme="minorHAnsi" w:eastAsia="Segoe UI" w:hAnsiTheme="minorHAnsi" w:cstheme="minorHAnsi"/>
          <w:b/>
          <w:lang w:eastAsia="en-US" w:bidi="en-US"/>
        </w:rPr>
        <w:t>Adaptive Management &amp; Learning (A&amp;L) project</w:t>
      </w:r>
      <w:r w:rsidR="00731219">
        <w:rPr>
          <w:rFonts w:asciiTheme="minorHAnsi" w:eastAsia="Segoe UI" w:hAnsiTheme="minorHAnsi" w:cstheme="minorHAnsi"/>
          <w:b/>
          <w:lang w:eastAsia="en-US" w:bidi="en-US"/>
        </w:rPr>
        <w:t xml:space="preserve">, </w:t>
      </w:r>
      <w:r w:rsidR="00731219">
        <w:rPr>
          <w:rFonts w:asciiTheme="minorHAnsi" w:eastAsia="Segoe UI" w:hAnsiTheme="minorHAnsi" w:cstheme="minorHAnsi"/>
          <w:bCs/>
          <w:lang w:eastAsia="en-US" w:bidi="en-US"/>
        </w:rPr>
        <w:t xml:space="preserve">the subject of this evaluation, is </w:t>
      </w:r>
      <w:r w:rsidRPr="00666605">
        <w:rPr>
          <w:rFonts w:asciiTheme="minorHAnsi" w:eastAsia="Segoe UI" w:hAnsiTheme="minorHAnsi" w:cstheme="minorHAnsi"/>
          <w:lang w:eastAsia="en-US" w:bidi="en-US"/>
        </w:rPr>
        <w:t xml:space="preserve">led by UNDP´s Regional Hub for Latin America and the Caribbean (RH LAC) </w:t>
      </w:r>
      <w:r w:rsidR="00731219">
        <w:rPr>
          <w:rFonts w:asciiTheme="minorHAnsi" w:eastAsia="Segoe UI" w:hAnsiTheme="minorHAnsi" w:cstheme="minorHAnsi"/>
          <w:lang w:eastAsia="en-US" w:bidi="en-US"/>
        </w:rPr>
        <w:t>acting</w:t>
      </w:r>
      <w:r w:rsidRPr="00666605">
        <w:rPr>
          <w:rFonts w:asciiTheme="minorHAnsi" w:eastAsia="Segoe UI" w:hAnsiTheme="minorHAnsi" w:cstheme="minorHAnsi"/>
          <w:lang w:eastAsia="en-US" w:bidi="en-US"/>
        </w:rPr>
        <w:t xml:space="preserve"> as the coordinating umbrella project for the other child</w:t>
      </w:r>
      <w:r w:rsidRPr="00666605">
        <w:rPr>
          <w:rFonts w:asciiTheme="minorHAnsi" w:eastAsia="Segoe UI" w:hAnsiTheme="minorHAnsi" w:cstheme="minorHAnsi"/>
          <w:spacing w:val="-3"/>
          <w:lang w:eastAsia="en-US" w:bidi="en-US"/>
        </w:rPr>
        <w:t xml:space="preserve"> </w:t>
      </w:r>
      <w:r w:rsidRPr="00666605">
        <w:rPr>
          <w:rFonts w:asciiTheme="minorHAnsi" w:eastAsia="Segoe UI" w:hAnsiTheme="minorHAnsi" w:cstheme="minorHAnsi"/>
          <w:lang w:eastAsia="en-US" w:bidi="en-US"/>
        </w:rPr>
        <w:t>projects</w:t>
      </w:r>
      <w:r w:rsidR="00731219">
        <w:rPr>
          <w:rFonts w:asciiTheme="minorHAnsi" w:eastAsia="Segoe UI" w:hAnsiTheme="minorHAnsi" w:cstheme="minorHAnsi"/>
          <w:lang w:eastAsia="en-US" w:bidi="en-US"/>
        </w:rPr>
        <w:t xml:space="preserve">. </w:t>
      </w:r>
      <w:r w:rsidRPr="00666605">
        <w:rPr>
          <w:rFonts w:asciiTheme="minorHAnsi" w:eastAsia="Segoe UI" w:hAnsiTheme="minorHAnsi" w:cstheme="minorHAnsi"/>
          <w:lang w:eastAsia="en-US" w:bidi="en-US"/>
        </w:rPr>
        <w:t>Components 1 and 3 are implemented by UNDP while component 2 is implemented by WWF-US and executed by the ISEAL Alliance.</w:t>
      </w:r>
      <w:r w:rsidR="00144162">
        <w:rPr>
          <w:rFonts w:asciiTheme="minorHAnsi" w:eastAsia="Segoe UI" w:hAnsiTheme="minorHAnsi" w:cstheme="minorHAnsi"/>
          <w:lang w:eastAsia="en-US" w:bidi="en-US"/>
        </w:rPr>
        <w:t xml:space="preserve"> </w:t>
      </w:r>
    </w:p>
    <w:p w14:paraId="213E72CF" w14:textId="2AE90C52" w:rsidR="00666605" w:rsidRPr="00666605" w:rsidRDefault="00666605" w:rsidP="00D80344">
      <w:pPr>
        <w:widowControl w:val="0"/>
        <w:numPr>
          <w:ilvl w:val="0"/>
          <w:numId w:val="30"/>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w:t>
      </w:r>
      <w:r w:rsidRPr="00666605">
        <w:rPr>
          <w:rFonts w:asciiTheme="minorHAnsi" w:eastAsia="Segoe UI" w:hAnsiTheme="minorHAnsi" w:cstheme="minorHAnsi"/>
          <w:b/>
          <w:lang w:eastAsia="en-US" w:bidi="en-US"/>
        </w:rPr>
        <w:t xml:space="preserve">Production project, </w:t>
      </w:r>
      <w:r w:rsidRPr="00666605">
        <w:rPr>
          <w:rFonts w:asciiTheme="minorHAnsi" w:eastAsia="Segoe UI" w:hAnsiTheme="minorHAnsi" w:cstheme="minorHAnsi"/>
          <w:lang w:eastAsia="en-US" w:bidi="en-US"/>
        </w:rPr>
        <w:t>implemented by UNDP RH-LAC, improve</w:t>
      </w:r>
      <w:r w:rsidR="00731219">
        <w:rPr>
          <w:rFonts w:asciiTheme="minorHAnsi" w:eastAsia="Segoe UI" w:hAnsiTheme="minorHAnsi" w:cstheme="minorHAnsi"/>
          <w:lang w:eastAsia="en-US" w:bidi="en-US"/>
        </w:rPr>
        <w:t>s</w:t>
      </w:r>
      <w:r w:rsidRPr="00666605">
        <w:rPr>
          <w:rFonts w:asciiTheme="minorHAnsi" w:eastAsia="Segoe UI" w:hAnsiTheme="minorHAnsi" w:cstheme="minorHAnsi"/>
          <w:lang w:eastAsia="en-US" w:bidi="en-US"/>
        </w:rPr>
        <w:t xml:space="preserve"> the enabling environment for sustainable commodity production through dialogue platforms, policy reform, land use planning, and farmer training and support</w:t>
      </w:r>
      <w:r w:rsidR="00731219">
        <w:rPr>
          <w:rFonts w:asciiTheme="minorHAnsi" w:eastAsia="Segoe UI" w:hAnsiTheme="minorHAnsi" w:cstheme="minorHAnsi"/>
          <w:lang w:eastAsia="en-US" w:bidi="en-US"/>
        </w:rPr>
        <w:t xml:space="preserve"> in </w:t>
      </w:r>
      <w:r w:rsidRPr="00666605">
        <w:rPr>
          <w:rFonts w:asciiTheme="minorHAnsi" w:eastAsia="Segoe UI" w:hAnsiTheme="minorHAnsi" w:cstheme="minorHAnsi"/>
          <w:lang w:eastAsia="en-US" w:bidi="en-US"/>
        </w:rPr>
        <w:t>palm oil in Indonesia and Liberia,</w:t>
      </w:r>
      <w:r w:rsidR="00731219">
        <w:rPr>
          <w:rFonts w:asciiTheme="minorHAnsi" w:eastAsia="Segoe UI" w:hAnsiTheme="minorHAnsi" w:cstheme="minorHAnsi"/>
          <w:lang w:eastAsia="en-US" w:bidi="en-US"/>
        </w:rPr>
        <w:t xml:space="preserve">and </w:t>
      </w:r>
      <w:r w:rsidRPr="00666605">
        <w:rPr>
          <w:rFonts w:asciiTheme="minorHAnsi" w:eastAsia="Segoe UI" w:hAnsiTheme="minorHAnsi" w:cstheme="minorHAnsi"/>
          <w:lang w:eastAsia="en-US" w:bidi="en-US"/>
        </w:rPr>
        <w:t>beef in</w:t>
      </w:r>
      <w:r w:rsidRPr="00666605">
        <w:rPr>
          <w:rFonts w:asciiTheme="minorHAnsi" w:eastAsia="Segoe UI" w:hAnsiTheme="minorHAnsi" w:cstheme="minorHAnsi"/>
          <w:spacing w:val="-2"/>
          <w:lang w:eastAsia="en-US" w:bidi="en-US"/>
        </w:rPr>
        <w:t xml:space="preserve"> </w:t>
      </w:r>
      <w:r w:rsidRPr="00666605">
        <w:rPr>
          <w:rFonts w:asciiTheme="minorHAnsi" w:eastAsia="Segoe UI" w:hAnsiTheme="minorHAnsi" w:cstheme="minorHAnsi"/>
          <w:lang w:eastAsia="en-US" w:bidi="en-US"/>
        </w:rPr>
        <w:t>Paraguay.</w:t>
      </w:r>
    </w:p>
    <w:p w14:paraId="73C720CD" w14:textId="71187FAC" w:rsidR="00666605" w:rsidRPr="00666605" w:rsidRDefault="00666605" w:rsidP="00D80344">
      <w:pPr>
        <w:widowControl w:val="0"/>
        <w:numPr>
          <w:ilvl w:val="0"/>
          <w:numId w:val="30"/>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w:t>
      </w:r>
      <w:r w:rsidRPr="00666605">
        <w:rPr>
          <w:rFonts w:asciiTheme="minorHAnsi" w:eastAsia="Segoe UI" w:hAnsiTheme="minorHAnsi" w:cstheme="minorHAnsi"/>
          <w:b/>
          <w:lang w:eastAsia="en-US" w:bidi="en-US"/>
        </w:rPr>
        <w:t xml:space="preserve">Demand project, </w:t>
      </w:r>
      <w:r w:rsidRPr="00666605">
        <w:rPr>
          <w:rFonts w:asciiTheme="minorHAnsi" w:eastAsia="Segoe UI" w:hAnsiTheme="minorHAnsi" w:cstheme="minorHAnsi"/>
          <w:lang w:eastAsia="en-US" w:bidi="en-US"/>
        </w:rPr>
        <w:t xml:space="preserve">led by WWF-US, </w:t>
      </w:r>
      <w:r w:rsidR="00731219">
        <w:rPr>
          <w:rFonts w:asciiTheme="minorHAnsi" w:eastAsia="Segoe UI" w:hAnsiTheme="minorHAnsi" w:cstheme="minorHAnsi"/>
          <w:lang w:eastAsia="en-US" w:bidi="en-US"/>
        </w:rPr>
        <w:t>raises</w:t>
      </w:r>
      <w:r w:rsidRPr="00666605">
        <w:rPr>
          <w:rFonts w:asciiTheme="minorHAnsi" w:eastAsia="Segoe UI" w:hAnsiTheme="minorHAnsi" w:cstheme="minorHAnsi"/>
          <w:lang w:eastAsia="en-US" w:bidi="en-US"/>
        </w:rPr>
        <w:t xml:space="preserve"> awareness and strengthen</w:t>
      </w:r>
      <w:r w:rsidR="00EF6E8D">
        <w:rPr>
          <w:rFonts w:asciiTheme="minorHAnsi" w:eastAsia="Segoe UI" w:hAnsiTheme="minorHAnsi" w:cstheme="minorHAnsi"/>
          <w:lang w:eastAsia="en-US" w:bidi="en-US"/>
        </w:rPr>
        <w:t>s</w:t>
      </w:r>
      <w:r w:rsidRPr="00666605">
        <w:rPr>
          <w:rFonts w:asciiTheme="minorHAnsi" w:eastAsia="Segoe UI" w:hAnsiTheme="minorHAnsi" w:cstheme="minorHAnsi"/>
          <w:lang w:eastAsia="en-US" w:bidi="en-US"/>
        </w:rPr>
        <w:t xml:space="preserve"> demand for sustainable beef, palm oil and soy among consumers, policy makers, companies, and investors.</w:t>
      </w:r>
    </w:p>
    <w:p w14:paraId="39423BC1" w14:textId="0731BDBC" w:rsidR="00666605" w:rsidRPr="00666605" w:rsidRDefault="00666605" w:rsidP="00D80344">
      <w:pPr>
        <w:widowControl w:val="0"/>
        <w:numPr>
          <w:ilvl w:val="0"/>
          <w:numId w:val="30"/>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w:t>
      </w:r>
      <w:r w:rsidRPr="00666605">
        <w:rPr>
          <w:rFonts w:asciiTheme="minorHAnsi" w:eastAsia="Segoe UI" w:hAnsiTheme="minorHAnsi" w:cstheme="minorHAnsi"/>
          <w:b/>
          <w:lang w:eastAsia="en-US" w:bidi="en-US"/>
        </w:rPr>
        <w:t xml:space="preserve">Transactions project </w:t>
      </w:r>
      <w:r w:rsidRPr="00666605">
        <w:rPr>
          <w:rFonts w:asciiTheme="minorHAnsi" w:eastAsia="Segoe UI" w:hAnsiTheme="minorHAnsi" w:cstheme="minorHAnsi"/>
          <w:lang w:eastAsia="en-US" w:bidi="en-US"/>
        </w:rPr>
        <w:t xml:space="preserve">is led by IFC and the UN Environment's Finance Initiative (UNEP-FI) to </w:t>
      </w:r>
      <w:r w:rsidR="00EF6E8D">
        <w:rPr>
          <w:rFonts w:asciiTheme="minorHAnsi" w:eastAsia="Segoe UI" w:hAnsiTheme="minorHAnsi" w:cstheme="minorHAnsi"/>
          <w:lang w:eastAsia="en-US" w:bidi="en-US"/>
        </w:rPr>
        <w:t>increase access to</w:t>
      </w:r>
      <w:r w:rsidRPr="00666605">
        <w:rPr>
          <w:rFonts w:asciiTheme="minorHAnsi" w:eastAsia="Segoe UI" w:hAnsiTheme="minorHAnsi" w:cstheme="minorHAnsi"/>
          <w:lang w:eastAsia="en-US" w:bidi="en-US"/>
        </w:rPr>
        <w:t xml:space="preserve"> sustainable financing for businesses, farmers and producers who require additional capital to invest in environmentally sound</w:t>
      </w:r>
      <w:r w:rsidRPr="00666605">
        <w:rPr>
          <w:rFonts w:asciiTheme="minorHAnsi" w:eastAsia="Segoe UI" w:hAnsiTheme="minorHAnsi" w:cstheme="minorHAnsi"/>
          <w:spacing w:val="-3"/>
          <w:lang w:eastAsia="en-US" w:bidi="en-US"/>
        </w:rPr>
        <w:t xml:space="preserve"> </w:t>
      </w:r>
      <w:r w:rsidRPr="00666605">
        <w:rPr>
          <w:rFonts w:asciiTheme="minorHAnsi" w:eastAsia="Segoe UI" w:hAnsiTheme="minorHAnsi" w:cstheme="minorHAnsi"/>
          <w:lang w:eastAsia="en-US" w:bidi="en-US"/>
        </w:rPr>
        <w:t>practices.</w:t>
      </w:r>
    </w:p>
    <w:p w14:paraId="3CFB2884" w14:textId="7514B163" w:rsidR="00666605" w:rsidRPr="00666605" w:rsidRDefault="00666605" w:rsidP="00D80344">
      <w:pPr>
        <w:widowControl w:val="0"/>
        <w:numPr>
          <w:ilvl w:val="0"/>
          <w:numId w:val="30"/>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w:t>
      </w:r>
      <w:r w:rsidRPr="00666605">
        <w:rPr>
          <w:rFonts w:asciiTheme="minorHAnsi" w:eastAsia="Segoe UI" w:hAnsiTheme="minorHAnsi" w:cstheme="minorHAnsi"/>
          <w:b/>
          <w:lang w:eastAsia="en-US" w:bidi="en-US"/>
        </w:rPr>
        <w:t>Brazil project</w:t>
      </w:r>
      <w:r w:rsidR="00EF6E8D">
        <w:rPr>
          <w:rFonts w:asciiTheme="minorHAnsi" w:eastAsia="Segoe UI" w:hAnsiTheme="minorHAnsi" w:cstheme="minorHAnsi"/>
          <w:lang w:eastAsia="en-US" w:bidi="en-US"/>
        </w:rPr>
        <w:t xml:space="preserve">, </w:t>
      </w:r>
      <w:r w:rsidRPr="00666605">
        <w:rPr>
          <w:rFonts w:asciiTheme="minorHAnsi" w:eastAsia="Segoe UI" w:hAnsiTheme="minorHAnsi" w:cstheme="minorHAnsi"/>
          <w:lang w:eastAsia="en-US" w:bidi="en-US"/>
        </w:rPr>
        <w:t xml:space="preserve">implemented by UNDP Brazil and executed by </w:t>
      </w:r>
      <w:r w:rsidR="00EF6E8D">
        <w:rPr>
          <w:rFonts w:asciiTheme="minorHAnsi" w:eastAsia="Segoe UI" w:hAnsiTheme="minorHAnsi" w:cstheme="minorHAnsi"/>
          <w:lang w:eastAsia="en-US" w:bidi="en-US"/>
        </w:rPr>
        <w:t>CI</w:t>
      </w:r>
      <w:r w:rsidRPr="00666605">
        <w:rPr>
          <w:rFonts w:asciiTheme="minorHAnsi" w:eastAsia="Segoe UI" w:hAnsiTheme="minorHAnsi" w:cstheme="minorHAnsi"/>
          <w:lang w:eastAsia="en-US" w:bidi="en-US"/>
        </w:rPr>
        <w:t>, combines production, demand, and transaction streams into a single landscape focus</w:t>
      </w:r>
      <w:r w:rsidR="00EF6E8D">
        <w:rPr>
          <w:rFonts w:asciiTheme="minorHAnsi" w:eastAsia="Segoe UI" w:hAnsiTheme="minorHAnsi" w:cstheme="minorHAnsi"/>
          <w:lang w:eastAsia="en-US" w:bidi="en-US"/>
        </w:rPr>
        <w:t xml:space="preserve">ed project in </w:t>
      </w:r>
      <w:r w:rsidRPr="00666605">
        <w:rPr>
          <w:rFonts w:asciiTheme="minorHAnsi" w:eastAsia="Segoe UI" w:hAnsiTheme="minorHAnsi" w:cstheme="minorHAnsi"/>
          <w:lang w:eastAsia="en-US" w:bidi="en-US"/>
        </w:rPr>
        <w:t xml:space="preserve">the MATOPIBA region. </w:t>
      </w:r>
    </w:p>
    <w:p w14:paraId="3A13E2B5" w14:textId="3CA8C28A" w:rsidR="00666605" w:rsidRPr="00666605" w:rsidRDefault="00666605" w:rsidP="00666605">
      <w:pPr>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The objective of the A&amp;L project is to </w:t>
      </w:r>
      <w:r w:rsidRPr="000C5998">
        <w:rPr>
          <w:rFonts w:asciiTheme="minorHAnsi" w:eastAsia="Segoe UI" w:hAnsiTheme="minorHAnsi" w:cstheme="minorHAnsi"/>
          <w:i/>
          <w:iCs/>
          <w:lang w:eastAsia="en-US" w:bidi="en-US"/>
        </w:rPr>
        <w:t>effectively leverage demand, transactions, and support to production to ensure successful implementation of the aims of the Good Growth Partnership</w:t>
      </w:r>
      <w:r w:rsidRPr="00666605">
        <w:rPr>
          <w:rFonts w:asciiTheme="minorHAnsi" w:eastAsia="Segoe UI" w:hAnsiTheme="minorHAnsi" w:cstheme="minorHAnsi"/>
          <w:lang w:eastAsia="en-US" w:bidi="en-US"/>
        </w:rPr>
        <w:t xml:space="preserve">. The project is responsible for </w:t>
      </w:r>
      <w:r w:rsidR="00AD6CAA">
        <w:rPr>
          <w:rFonts w:asciiTheme="minorHAnsi" w:eastAsia="Segoe UI" w:hAnsiTheme="minorHAnsi" w:cstheme="minorHAnsi"/>
          <w:lang w:eastAsia="en-US" w:bidi="en-US"/>
        </w:rPr>
        <w:t xml:space="preserve">overarching </w:t>
      </w:r>
      <w:r w:rsidRPr="00666605">
        <w:rPr>
          <w:rFonts w:asciiTheme="minorHAnsi" w:eastAsia="Segoe UI" w:hAnsiTheme="minorHAnsi" w:cstheme="minorHAnsi"/>
          <w:lang w:eastAsia="en-US" w:bidi="en-US"/>
        </w:rPr>
        <w:t>Progra</w:t>
      </w:r>
      <w:r w:rsidR="00AD6CAA">
        <w:rPr>
          <w:rFonts w:asciiTheme="minorHAnsi" w:eastAsia="Segoe UI" w:hAnsiTheme="minorHAnsi" w:cstheme="minorHAnsi"/>
          <w:lang w:eastAsia="en-US" w:bidi="en-US"/>
        </w:rPr>
        <w:t>m-level</w:t>
      </w:r>
      <w:r w:rsidRPr="00666605">
        <w:rPr>
          <w:rFonts w:asciiTheme="minorHAnsi" w:eastAsia="Segoe UI" w:hAnsiTheme="minorHAnsi" w:cstheme="minorHAnsi"/>
          <w:lang w:eastAsia="en-US" w:bidi="en-US"/>
        </w:rPr>
        <w:t xml:space="preserve"> coordination to ensure coherence and promote integration </w:t>
      </w:r>
      <w:r w:rsidR="00AD6CAA">
        <w:rPr>
          <w:rFonts w:asciiTheme="minorHAnsi" w:eastAsia="Segoe UI" w:hAnsiTheme="minorHAnsi" w:cstheme="minorHAnsi"/>
          <w:lang w:eastAsia="en-US" w:bidi="en-US"/>
        </w:rPr>
        <w:t>amongst</w:t>
      </w:r>
      <w:r w:rsidRPr="00666605">
        <w:rPr>
          <w:rFonts w:asciiTheme="minorHAnsi" w:eastAsia="Segoe UI" w:hAnsiTheme="minorHAnsi" w:cstheme="minorHAnsi"/>
          <w:lang w:eastAsia="en-US" w:bidi="en-US"/>
        </w:rPr>
        <w:t xml:space="preserve"> the different child projects. The </w:t>
      </w:r>
      <w:r w:rsidR="00AD6CAA">
        <w:rPr>
          <w:rFonts w:asciiTheme="minorHAnsi" w:eastAsia="Segoe UI" w:hAnsiTheme="minorHAnsi" w:cstheme="minorHAnsi"/>
          <w:lang w:eastAsia="en-US" w:bidi="en-US"/>
        </w:rPr>
        <w:t>P</w:t>
      </w:r>
      <w:r w:rsidRPr="00666605">
        <w:rPr>
          <w:rFonts w:asciiTheme="minorHAnsi" w:eastAsia="Segoe UI" w:hAnsiTheme="minorHAnsi" w:cstheme="minorHAnsi"/>
          <w:lang w:eastAsia="en-US" w:bidi="en-US"/>
        </w:rPr>
        <w:t xml:space="preserve">roject does so through the following three components: </w:t>
      </w:r>
    </w:p>
    <w:p w14:paraId="27ED0ECD" w14:textId="3436A269" w:rsidR="00666605" w:rsidRPr="00666605" w:rsidRDefault="00666605" w:rsidP="00D80344">
      <w:pPr>
        <w:widowControl w:val="0"/>
        <w:numPr>
          <w:ilvl w:val="0"/>
          <w:numId w:val="31"/>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Coordinated management of the Commodities </w:t>
      </w:r>
      <w:r w:rsidR="00722D04">
        <w:rPr>
          <w:rFonts w:asciiTheme="minorHAnsi" w:eastAsia="Segoe UI" w:hAnsiTheme="minorHAnsi" w:cstheme="minorHAnsi"/>
          <w:lang w:eastAsia="en-US" w:bidi="en-US"/>
        </w:rPr>
        <w:t>IAP</w:t>
      </w:r>
      <w:r w:rsidRPr="00666605">
        <w:rPr>
          <w:rFonts w:asciiTheme="minorHAnsi" w:eastAsia="Segoe UI" w:hAnsiTheme="minorHAnsi" w:cstheme="minorHAnsi"/>
          <w:lang w:eastAsia="en-US" w:bidi="en-US"/>
        </w:rPr>
        <w:t xml:space="preserve"> leading to logical technical sequencing of activities, </w:t>
      </w:r>
      <w:r w:rsidR="00CB3297">
        <w:rPr>
          <w:rFonts w:asciiTheme="minorHAnsi" w:eastAsia="Segoe UI" w:hAnsiTheme="minorHAnsi" w:cstheme="minorHAnsi"/>
          <w:lang w:eastAsia="en-US" w:bidi="en-US"/>
        </w:rPr>
        <w:t>p</w:t>
      </w:r>
      <w:r w:rsidRPr="00666605">
        <w:rPr>
          <w:rFonts w:asciiTheme="minorHAnsi" w:eastAsia="Segoe UI" w:hAnsiTheme="minorHAnsi" w:cstheme="minorHAnsi"/>
          <w:lang w:eastAsia="en-US" w:bidi="en-US"/>
        </w:rPr>
        <w:t>rogram-level monitoring and evaluation and overall resilience. The project invests in program-level coordination processes, monitoring and evaluation, and feedback loops across the platform enabling adaptive management and program resilience</w:t>
      </w:r>
      <w:r w:rsidR="00DB7D66">
        <w:rPr>
          <w:rFonts w:asciiTheme="minorHAnsi" w:eastAsia="Segoe UI" w:hAnsiTheme="minorHAnsi" w:cstheme="minorHAnsi"/>
          <w:lang w:eastAsia="en-US" w:bidi="en-US"/>
        </w:rPr>
        <w:t>.</w:t>
      </w:r>
    </w:p>
    <w:p w14:paraId="4C5D882B" w14:textId="459BC44C" w:rsidR="00666605" w:rsidRPr="00666605" w:rsidRDefault="00666605" w:rsidP="00D80344">
      <w:pPr>
        <w:widowControl w:val="0"/>
        <w:numPr>
          <w:ilvl w:val="0"/>
          <w:numId w:val="31"/>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 xml:space="preserve">An increased understanding of the impacts of </w:t>
      </w:r>
      <w:r w:rsidR="00940DE7">
        <w:rPr>
          <w:rFonts w:asciiTheme="minorHAnsi" w:eastAsia="Segoe UI" w:hAnsiTheme="minorHAnsi" w:cstheme="minorHAnsi"/>
          <w:lang w:eastAsia="en-US" w:bidi="en-US"/>
        </w:rPr>
        <w:t xml:space="preserve">Voluntary Sustainability Standards </w:t>
      </w:r>
      <w:r w:rsidR="00DF7DE5">
        <w:rPr>
          <w:rFonts w:asciiTheme="minorHAnsi" w:eastAsia="Segoe UI" w:hAnsiTheme="minorHAnsi" w:cstheme="minorHAnsi"/>
          <w:lang w:eastAsia="en-US" w:bidi="en-US"/>
        </w:rPr>
        <w:t>(</w:t>
      </w:r>
      <w:r w:rsidRPr="00666605">
        <w:rPr>
          <w:rFonts w:asciiTheme="minorHAnsi" w:eastAsia="Segoe UI" w:hAnsiTheme="minorHAnsi" w:cstheme="minorHAnsi"/>
          <w:lang w:eastAsia="en-US" w:bidi="en-US"/>
        </w:rPr>
        <w:t>VSS</w:t>
      </w:r>
      <w:r w:rsidR="00DF7DE5">
        <w:rPr>
          <w:rFonts w:asciiTheme="minorHAnsi" w:eastAsia="Segoe UI" w:hAnsiTheme="minorHAnsi" w:cstheme="minorHAnsi"/>
          <w:lang w:eastAsia="en-US" w:bidi="en-US"/>
        </w:rPr>
        <w:t>)</w:t>
      </w:r>
      <w:r w:rsidRPr="00666605">
        <w:rPr>
          <w:rFonts w:asciiTheme="minorHAnsi" w:eastAsia="Segoe UI" w:hAnsiTheme="minorHAnsi" w:cstheme="minorHAnsi"/>
          <w:lang w:eastAsia="en-US" w:bidi="en-US"/>
        </w:rPr>
        <w:t xml:space="preserve"> and VSS- </w:t>
      </w:r>
      <w:r w:rsidRPr="00666605">
        <w:rPr>
          <w:rFonts w:asciiTheme="minorHAnsi" w:eastAsia="Segoe UI" w:hAnsiTheme="minorHAnsi" w:cstheme="minorHAnsi"/>
          <w:lang w:eastAsia="en-US" w:bidi="en-US"/>
        </w:rPr>
        <w:lastRenderedPageBreak/>
        <w:t>like mechanisms on deforestation, biodiversity habitat, and social and environmental outcomes across different geographies and contexts, to promote adaptive management and increase the effectiveness of these through an information platform, “Evidensia;” synthesi</w:t>
      </w:r>
      <w:r w:rsidR="00061625" w:rsidRPr="00EA67D4">
        <w:rPr>
          <w:rFonts w:asciiTheme="minorHAnsi" w:eastAsia="Segoe UI" w:hAnsiTheme="minorHAnsi" w:cstheme="minorHAnsi"/>
          <w:lang w:eastAsia="en-US" w:bidi="en-US"/>
        </w:rPr>
        <w:t>zing</w:t>
      </w:r>
      <w:r w:rsidRPr="00666605">
        <w:rPr>
          <w:rFonts w:asciiTheme="minorHAnsi" w:eastAsia="Segoe UI" w:hAnsiTheme="minorHAnsi" w:cstheme="minorHAnsi"/>
          <w:lang w:eastAsia="en-US" w:bidi="en-US"/>
        </w:rPr>
        <w:t xml:space="preserve"> information for decision-makers; and engag</w:t>
      </w:r>
      <w:r w:rsidR="00DB7D66">
        <w:rPr>
          <w:rFonts w:asciiTheme="minorHAnsi" w:eastAsia="Segoe UI" w:hAnsiTheme="minorHAnsi" w:cstheme="minorHAnsi"/>
          <w:lang w:eastAsia="en-US" w:bidi="en-US"/>
        </w:rPr>
        <w:t xml:space="preserve">ing </w:t>
      </w:r>
      <w:r w:rsidRPr="00666605">
        <w:rPr>
          <w:rFonts w:asciiTheme="minorHAnsi" w:eastAsia="Segoe UI" w:hAnsiTheme="minorHAnsi" w:cstheme="minorHAnsi"/>
          <w:lang w:eastAsia="en-US" w:bidi="en-US"/>
        </w:rPr>
        <w:t>stakeholders in knowledge sharing events</w:t>
      </w:r>
      <w:r w:rsidR="00DB7D66">
        <w:rPr>
          <w:rFonts w:asciiTheme="minorHAnsi" w:eastAsia="Segoe UI" w:hAnsiTheme="minorHAnsi" w:cstheme="minorHAnsi"/>
          <w:lang w:eastAsia="en-US" w:bidi="en-US"/>
        </w:rPr>
        <w:t>.</w:t>
      </w:r>
    </w:p>
    <w:p w14:paraId="3B3DAE37" w14:textId="7540E9B2" w:rsidR="00666605" w:rsidRPr="00666605" w:rsidRDefault="00666605" w:rsidP="00D80344">
      <w:pPr>
        <w:widowControl w:val="0"/>
        <w:numPr>
          <w:ilvl w:val="0"/>
          <w:numId w:val="31"/>
        </w:numPr>
        <w:autoSpaceDE w:val="0"/>
        <w:autoSpaceDN w:val="0"/>
        <w:spacing w:after="120" w:line="240" w:lineRule="auto"/>
        <w:jc w:val="both"/>
        <w:rPr>
          <w:rFonts w:asciiTheme="minorHAnsi" w:eastAsia="Segoe UI" w:hAnsiTheme="minorHAnsi" w:cstheme="minorHAnsi"/>
          <w:lang w:eastAsia="en-US" w:bidi="en-US"/>
        </w:rPr>
      </w:pPr>
      <w:r w:rsidRPr="00666605">
        <w:rPr>
          <w:rFonts w:asciiTheme="minorHAnsi" w:eastAsia="Segoe UI" w:hAnsiTheme="minorHAnsi" w:cstheme="minorHAnsi"/>
          <w:lang w:eastAsia="en-US" w:bidi="en-US"/>
        </w:rPr>
        <w:t>Knowledge management, partnership development and communications implemented to maximize learning, foster synergies and promote replication and upscaling of actions to address deforestation in commodity supply chains. This is accomplished through a Community-of-Practice</w:t>
      </w:r>
      <w:r w:rsidR="00AD6CAA">
        <w:rPr>
          <w:rFonts w:asciiTheme="minorHAnsi" w:eastAsia="Segoe UI" w:hAnsiTheme="minorHAnsi" w:cstheme="minorHAnsi"/>
          <w:lang w:eastAsia="en-US" w:bidi="en-US"/>
        </w:rPr>
        <w:t xml:space="preserve"> (CoP), branded as the Green Commodities Community,</w:t>
      </w:r>
      <w:r w:rsidRPr="00666605">
        <w:rPr>
          <w:rFonts w:asciiTheme="minorHAnsi" w:eastAsia="Segoe UI" w:hAnsiTheme="minorHAnsi" w:cstheme="minorHAnsi"/>
          <w:lang w:eastAsia="en-US" w:bidi="en-US"/>
        </w:rPr>
        <w:t xml:space="preserve"> established to exchange and replicate lessons learned from countries and across other IAP programmes; </w:t>
      </w:r>
      <w:r w:rsidR="00C639D3">
        <w:rPr>
          <w:rFonts w:asciiTheme="minorHAnsi" w:eastAsia="Segoe UI" w:hAnsiTheme="minorHAnsi" w:cstheme="minorHAnsi"/>
          <w:lang w:eastAsia="en-US" w:bidi="en-US"/>
        </w:rPr>
        <w:t>p</w:t>
      </w:r>
      <w:r w:rsidRPr="00666605">
        <w:rPr>
          <w:rFonts w:asciiTheme="minorHAnsi" w:eastAsia="Segoe UI" w:hAnsiTheme="minorHAnsi" w:cstheme="minorHAnsi"/>
          <w:lang w:eastAsia="en-US" w:bidi="en-US"/>
        </w:rPr>
        <w:t>artnerships to support knowledge management and increase synergies; and a programme-level communications strategy to facilitate awareness of IAP impacts and the dissemination of knowledge.</w:t>
      </w:r>
    </w:p>
    <w:p w14:paraId="346D6425" w14:textId="65EB21DF" w:rsidR="0098246F" w:rsidRPr="00EA67D4" w:rsidRDefault="0098246F" w:rsidP="00666605">
      <w:pPr>
        <w:widowControl w:val="0"/>
        <w:tabs>
          <w:tab w:val="left" w:pos="1540"/>
          <w:tab w:val="left" w:pos="1541"/>
        </w:tabs>
        <w:autoSpaceDE w:val="0"/>
        <w:autoSpaceDN w:val="0"/>
        <w:spacing w:after="120" w:line="240" w:lineRule="auto"/>
        <w:jc w:val="both"/>
        <w:rPr>
          <w:rFonts w:asciiTheme="minorHAnsi" w:eastAsia="Times New Roman" w:hAnsiTheme="minorHAnsi" w:cstheme="minorHAnsi"/>
          <w:lang w:eastAsia="en-US"/>
        </w:rPr>
      </w:pPr>
      <w:r w:rsidRPr="00EA67D4">
        <w:rPr>
          <w:rFonts w:asciiTheme="minorHAnsi" w:eastAsia="Times New Roman" w:hAnsiTheme="minorHAnsi" w:cstheme="minorHAnsi"/>
          <w:lang w:eastAsia="en-US"/>
        </w:rPr>
        <w:t>The A&amp;L Project is designed to increase cooperation between agencies, countries, sectors, and supply chains within the scope of the Good Growth Partnership. The project is responsible for the partnership’s initiatives that target responsible demand, enable transactions and sustainable production</w:t>
      </w:r>
      <w:r w:rsidR="00B51C94" w:rsidRPr="00EA67D4">
        <w:rPr>
          <w:rFonts w:asciiTheme="minorHAnsi" w:eastAsia="Times New Roman" w:hAnsiTheme="minorHAnsi" w:cstheme="minorHAnsi"/>
          <w:lang w:eastAsia="en-US"/>
        </w:rPr>
        <w:t xml:space="preserve">. </w:t>
      </w:r>
      <w:r w:rsidRPr="00EA67D4">
        <w:rPr>
          <w:rFonts w:asciiTheme="minorHAnsi" w:eastAsia="Times New Roman" w:hAnsiTheme="minorHAnsi" w:cstheme="minorHAnsi"/>
          <w:lang w:eastAsia="en-US"/>
        </w:rPr>
        <w:t>Through its communications component, the A&amp;L Project is instrumental in ensuring that the Good Growth Partnership is viewed as a cohesive whole and that it has a clear identity.</w:t>
      </w:r>
    </w:p>
    <w:p w14:paraId="5B76D861" w14:textId="5B141F6C" w:rsidR="00C84400" w:rsidRPr="00EA67D4" w:rsidRDefault="00C84400" w:rsidP="00666605">
      <w:pPr>
        <w:widowControl w:val="0"/>
        <w:tabs>
          <w:tab w:val="left" w:pos="1540"/>
          <w:tab w:val="left" w:pos="1541"/>
        </w:tabs>
        <w:autoSpaceDE w:val="0"/>
        <w:autoSpaceDN w:val="0"/>
        <w:spacing w:after="120" w:line="240" w:lineRule="auto"/>
        <w:rPr>
          <w:rFonts w:asciiTheme="minorHAnsi" w:eastAsia="Times New Roman" w:hAnsiTheme="minorHAnsi" w:cstheme="minorHAnsi"/>
          <w:lang w:eastAsia="en-US"/>
        </w:rPr>
      </w:pPr>
    </w:p>
    <w:p w14:paraId="28F96678" w14:textId="013D9ACD" w:rsidR="007F4AB3" w:rsidRPr="004C0969" w:rsidRDefault="004C0969" w:rsidP="004C0969">
      <w:pPr>
        <w:pStyle w:val="Heading2"/>
      </w:pPr>
      <w:bookmarkStart w:id="6" w:name="_Toc96772459"/>
      <w:r w:rsidRPr="004C0969">
        <w:t xml:space="preserve">1.3 </w:t>
      </w:r>
      <w:r w:rsidR="002B67A8" w:rsidRPr="004C0969">
        <w:t>Evaluation Ratings</w:t>
      </w:r>
      <w:r w:rsidR="007F4AB3" w:rsidRPr="004C0969">
        <w:t xml:space="preserve"> Summary</w:t>
      </w:r>
      <w:bookmarkEnd w:id="6"/>
    </w:p>
    <w:p w14:paraId="02DCDBA5" w14:textId="77777777" w:rsidR="007F4AB3" w:rsidRPr="006D78AE" w:rsidRDefault="007F4AB3" w:rsidP="00BA2312">
      <w:pPr>
        <w:pStyle w:val="BodyText"/>
        <w:spacing w:before="6"/>
        <w:rPr>
          <w:rFonts w:ascii="Calibri" w:hAnsi="Calibri" w:cs="Calibri"/>
          <w:b/>
          <w:sz w:val="22"/>
          <w:szCs w:val="22"/>
        </w:rPr>
      </w:pPr>
    </w:p>
    <w:p w14:paraId="2B95E0DE" w14:textId="4AD13A8A" w:rsidR="00470E1C" w:rsidRDefault="00EA4D3E" w:rsidP="00E64686">
      <w:pPr>
        <w:jc w:val="both"/>
      </w:pPr>
      <w:r>
        <w:t>The e</w:t>
      </w:r>
      <w:r w:rsidR="00FC3989" w:rsidRPr="006D78AE">
        <w:t xml:space="preserve">valuation </w:t>
      </w:r>
      <w:r>
        <w:t xml:space="preserve">yielded excellent ratings. Table 2 </w:t>
      </w:r>
      <w:r w:rsidR="0058489E">
        <w:t>illustrates</w:t>
      </w:r>
      <w:r>
        <w:t xml:space="preserve"> that</w:t>
      </w:r>
      <w:r w:rsidR="007D78B7">
        <w:t>, based on a UNDP-GEF ranking system,</w:t>
      </w:r>
      <w:r>
        <w:t xml:space="preserve"> </w:t>
      </w:r>
      <w:r w:rsidR="007F4AB3" w:rsidRPr="006D78AE">
        <w:t>most</w:t>
      </w:r>
      <w:r w:rsidR="007F4AB3" w:rsidRPr="006D78AE">
        <w:rPr>
          <w:spacing w:val="-7"/>
        </w:rPr>
        <w:t xml:space="preserve"> </w:t>
      </w:r>
      <w:r w:rsidR="007F4AB3" w:rsidRPr="006D78AE">
        <w:t>activities</w:t>
      </w:r>
      <w:r w:rsidR="007F4AB3" w:rsidRPr="006D78AE">
        <w:rPr>
          <w:spacing w:val="-7"/>
        </w:rPr>
        <w:t xml:space="preserve"> </w:t>
      </w:r>
      <w:r w:rsidR="007F4AB3" w:rsidRPr="006D78AE">
        <w:t xml:space="preserve">and targets reached ranked as </w:t>
      </w:r>
      <w:r w:rsidR="007D78B7">
        <w:t xml:space="preserve">“Highly Satisfactory” and </w:t>
      </w:r>
      <w:r w:rsidR="007F4AB3" w:rsidRPr="006D78AE">
        <w:t>the quality of</w:t>
      </w:r>
      <w:r w:rsidR="007D78B7">
        <w:t xml:space="preserve"> </w:t>
      </w:r>
      <w:r w:rsidR="007F4AB3" w:rsidRPr="006D78AE">
        <w:rPr>
          <w:spacing w:val="-40"/>
        </w:rPr>
        <w:t xml:space="preserve"> </w:t>
      </w:r>
      <w:r w:rsidR="007F4AB3" w:rsidRPr="006D78AE">
        <w:t xml:space="preserve">activities whether for coordination, communication, learning and reporting, </w:t>
      </w:r>
      <w:r w:rsidR="007D78B7">
        <w:t>has</w:t>
      </w:r>
      <w:r w:rsidR="007F4AB3" w:rsidRPr="006D78AE">
        <w:t xml:space="preserve"> been excellent in general. </w:t>
      </w:r>
      <w:r w:rsidR="007D78B7">
        <w:t xml:space="preserve">The results of the project are “Likely” to be sustained.  A </w:t>
      </w:r>
      <w:r w:rsidR="00845B06">
        <w:t>summary</w:t>
      </w:r>
      <w:r w:rsidR="007D78B7">
        <w:t xml:space="preserve"> of the ranking system is included in </w:t>
      </w:r>
      <w:hyperlink w:anchor="_Annex_1._Summary" w:history="1">
        <w:r w:rsidR="00940DE7" w:rsidRPr="006826F8">
          <w:rPr>
            <w:rStyle w:val="Hyperlink"/>
          </w:rPr>
          <w:t xml:space="preserve">Annex </w:t>
        </w:r>
        <w:r w:rsidR="00845B06" w:rsidRPr="006826F8">
          <w:rPr>
            <w:rStyle w:val="Hyperlink"/>
          </w:rPr>
          <w:t>1</w:t>
        </w:r>
      </w:hyperlink>
      <w:r w:rsidR="00845B06">
        <w:t xml:space="preserve">. </w:t>
      </w:r>
    </w:p>
    <w:p w14:paraId="1C3D4BF7" w14:textId="76980C4F" w:rsidR="00407290" w:rsidRDefault="00407290" w:rsidP="00E64686">
      <w:pPr>
        <w:jc w:val="both"/>
      </w:pPr>
    </w:p>
    <w:p w14:paraId="7A71348C" w14:textId="77777777" w:rsidR="00407290" w:rsidRPr="00407290" w:rsidRDefault="00407290" w:rsidP="00407290">
      <w:pPr>
        <w:rPr>
          <w:rFonts w:cs="Times New Roman"/>
          <w:lang w:eastAsia="en-US"/>
        </w:rPr>
      </w:pPr>
      <w:r w:rsidRPr="00407290">
        <w:rPr>
          <w:rFonts w:cs="Times New Roman"/>
          <w:lang w:eastAsia="en-US"/>
        </w:rPr>
        <w:t xml:space="preserve">Summary of Project Progress: </w:t>
      </w:r>
    </w:p>
    <w:p w14:paraId="63F9D3BF" w14:textId="66D9E35F" w:rsidR="00407290" w:rsidRPr="006826F8" w:rsidRDefault="00407290" w:rsidP="006826F8">
      <w:pPr>
        <w:widowControl w:val="0"/>
        <w:autoSpaceDE w:val="0"/>
        <w:autoSpaceDN w:val="0"/>
        <w:spacing w:after="120" w:line="240" w:lineRule="auto"/>
        <w:ind w:right="4"/>
        <w:jc w:val="both"/>
      </w:pPr>
      <w:r w:rsidRPr="006826F8">
        <w:rPr>
          <w:rFonts w:asciiTheme="minorHAnsi" w:eastAsia="Times New Roman" w:hAnsiTheme="minorHAnsi" w:cstheme="minorHAnsi"/>
          <w:lang w:eastAsia="en-US"/>
        </w:rPr>
        <w:t>The performance of the A&amp;L project has been excellent in spite of great challenges from the COVID-19 Pandemic</w:t>
      </w:r>
      <w:r w:rsidR="006826F8">
        <w:rPr>
          <w:rFonts w:asciiTheme="minorHAnsi" w:eastAsia="Times New Roman" w:hAnsiTheme="minorHAnsi" w:cstheme="minorHAnsi"/>
          <w:lang w:eastAsia="en-US"/>
        </w:rPr>
        <w:t>. A</w:t>
      </w:r>
      <w:r w:rsidRPr="006826F8">
        <w:rPr>
          <w:rFonts w:asciiTheme="minorHAnsi" w:eastAsia="Times New Roman" w:hAnsiTheme="minorHAnsi" w:cstheme="minorHAnsi"/>
          <w:lang w:eastAsia="en-US"/>
        </w:rPr>
        <w:t xml:space="preserve">ll activities and targets </w:t>
      </w:r>
      <w:r w:rsidR="006826F8">
        <w:rPr>
          <w:rFonts w:asciiTheme="minorHAnsi" w:eastAsia="Times New Roman" w:hAnsiTheme="minorHAnsi" w:cstheme="minorHAnsi"/>
          <w:lang w:eastAsia="en-US"/>
        </w:rPr>
        <w:t>attained</w:t>
      </w:r>
      <w:r w:rsidR="006826F8" w:rsidRPr="006826F8">
        <w:rPr>
          <w:rFonts w:asciiTheme="minorHAnsi" w:eastAsia="Times New Roman" w:hAnsiTheme="minorHAnsi" w:cstheme="minorHAnsi"/>
          <w:lang w:eastAsia="en-US"/>
        </w:rPr>
        <w:t xml:space="preserve"> </w:t>
      </w:r>
      <w:r w:rsidR="006826F8">
        <w:rPr>
          <w:rFonts w:asciiTheme="minorHAnsi" w:eastAsia="Times New Roman" w:hAnsiTheme="minorHAnsi" w:cstheme="minorHAnsi"/>
          <w:lang w:eastAsia="en-US"/>
        </w:rPr>
        <w:t xml:space="preserve">are </w:t>
      </w:r>
      <w:r w:rsidRPr="006826F8">
        <w:rPr>
          <w:rFonts w:asciiTheme="minorHAnsi" w:eastAsia="Times New Roman" w:hAnsiTheme="minorHAnsi" w:cstheme="minorHAnsi"/>
          <w:lang w:eastAsia="en-US"/>
        </w:rPr>
        <w:t xml:space="preserve">ranked </w:t>
      </w:r>
      <w:r w:rsidR="006826F8">
        <w:rPr>
          <w:rFonts w:asciiTheme="minorHAnsi" w:eastAsia="Times New Roman" w:hAnsiTheme="minorHAnsi" w:cstheme="minorHAnsi"/>
          <w:lang w:eastAsia="en-US"/>
        </w:rPr>
        <w:t>from</w:t>
      </w:r>
      <w:r w:rsidRPr="006826F8">
        <w:rPr>
          <w:rFonts w:asciiTheme="minorHAnsi" w:eastAsia="Times New Roman" w:hAnsiTheme="minorHAnsi" w:cstheme="minorHAnsi"/>
          <w:lang w:eastAsia="en-US"/>
        </w:rPr>
        <w:t xml:space="preserve"> “Satisfactory” to “</w:t>
      </w:r>
      <w:r w:rsidR="006826F8">
        <w:rPr>
          <w:rFonts w:asciiTheme="minorHAnsi" w:eastAsia="Times New Roman" w:hAnsiTheme="minorHAnsi" w:cstheme="minorHAnsi"/>
          <w:lang w:eastAsia="en-US"/>
        </w:rPr>
        <w:t xml:space="preserve">Highly </w:t>
      </w:r>
      <w:r w:rsidRPr="006826F8">
        <w:rPr>
          <w:rFonts w:asciiTheme="minorHAnsi" w:eastAsia="Times New Roman" w:hAnsiTheme="minorHAnsi" w:cstheme="minorHAnsi"/>
          <w:lang w:eastAsia="en-US"/>
        </w:rPr>
        <w:t>Satisfactory.” with a high quality associated with the activities</w:t>
      </w:r>
      <w:r w:rsidR="006826F8">
        <w:rPr>
          <w:rFonts w:asciiTheme="minorHAnsi" w:eastAsia="Times New Roman" w:hAnsiTheme="minorHAnsi" w:cstheme="minorHAnsi"/>
          <w:lang w:eastAsia="en-US"/>
        </w:rPr>
        <w:t xml:space="preserve">, </w:t>
      </w:r>
      <w:r w:rsidRPr="006826F8">
        <w:rPr>
          <w:rFonts w:asciiTheme="minorHAnsi" w:eastAsia="Times New Roman" w:hAnsiTheme="minorHAnsi" w:cstheme="minorHAnsi"/>
          <w:lang w:eastAsia="en-US"/>
        </w:rPr>
        <w:t xml:space="preserve"> products and services associated with the project. As a </w:t>
      </w:r>
      <w:r w:rsidR="006826F8">
        <w:rPr>
          <w:rFonts w:asciiTheme="minorHAnsi" w:eastAsia="Times New Roman" w:hAnsiTheme="minorHAnsi" w:cstheme="minorHAnsi"/>
          <w:lang w:eastAsia="en-US"/>
        </w:rPr>
        <w:t>“</w:t>
      </w:r>
      <w:r w:rsidRPr="006826F8">
        <w:rPr>
          <w:rFonts w:asciiTheme="minorHAnsi" w:eastAsia="Times New Roman" w:hAnsiTheme="minorHAnsi" w:cstheme="minorHAnsi"/>
          <w:lang w:eastAsia="en-US"/>
        </w:rPr>
        <w:t>hub</w:t>
      </w:r>
      <w:r w:rsidR="006826F8">
        <w:rPr>
          <w:rFonts w:asciiTheme="minorHAnsi" w:eastAsia="Times New Roman" w:hAnsiTheme="minorHAnsi" w:cstheme="minorHAnsi"/>
          <w:lang w:eastAsia="en-US"/>
        </w:rPr>
        <w:t>”</w:t>
      </w:r>
      <w:r w:rsidRPr="006826F8">
        <w:rPr>
          <w:rFonts w:asciiTheme="minorHAnsi" w:eastAsia="Times New Roman" w:hAnsiTheme="minorHAnsi" w:cstheme="minorHAnsi"/>
          <w:lang w:eastAsia="en-US"/>
        </w:rPr>
        <w:t xml:space="preserve"> or “connector” project, the A&amp;L initiative supported the management of the four child projects and also management aspects of the Good Growth Partnership (GGP). The pro</w:t>
      </w:r>
      <w:r w:rsidR="006826F8">
        <w:rPr>
          <w:rFonts w:asciiTheme="minorHAnsi" w:eastAsia="Times New Roman" w:hAnsiTheme="minorHAnsi" w:cstheme="minorHAnsi"/>
          <w:lang w:eastAsia="en-US"/>
        </w:rPr>
        <w:t>j</w:t>
      </w:r>
      <w:r w:rsidRPr="006826F8">
        <w:rPr>
          <w:rFonts w:asciiTheme="minorHAnsi" w:eastAsia="Times New Roman" w:hAnsiTheme="minorHAnsi" w:cstheme="minorHAnsi"/>
          <w:lang w:eastAsia="en-US"/>
        </w:rPr>
        <w:t xml:space="preserve">ect design focused the first </w:t>
      </w:r>
      <w:r w:rsidR="006826F8">
        <w:rPr>
          <w:rFonts w:asciiTheme="minorHAnsi" w:eastAsia="Times New Roman" w:hAnsiTheme="minorHAnsi" w:cstheme="minorHAnsi"/>
          <w:lang w:eastAsia="en-US"/>
        </w:rPr>
        <w:t>component</w:t>
      </w:r>
      <w:r w:rsidR="006826F8" w:rsidRPr="006826F8">
        <w:rPr>
          <w:rFonts w:asciiTheme="minorHAnsi" w:eastAsia="Times New Roman" w:hAnsiTheme="minorHAnsi" w:cstheme="minorHAnsi"/>
          <w:lang w:eastAsia="en-US"/>
        </w:rPr>
        <w:t xml:space="preserve"> </w:t>
      </w:r>
      <w:r w:rsidRPr="006826F8">
        <w:rPr>
          <w:rFonts w:asciiTheme="minorHAnsi" w:eastAsia="Times New Roman" w:hAnsiTheme="minorHAnsi" w:cstheme="minorHAnsi"/>
          <w:lang w:eastAsia="en-US"/>
        </w:rPr>
        <w:t>on core management aspects such as sequenced coordination</w:t>
      </w:r>
      <w:r w:rsidR="006826F8">
        <w:rPr>
          <w:rFonts w:asciiTheme="minorHAnsi" w:eastAsia="Times New Roman" w:hAnsiTheme="minorHAnsi" w:cstheme="minorHAnsi"/>
          <w:lang w:eastAsia="en-US"/>
        </w:rPr>
        <w:t xml:space="preserve">, </w:t>
      </w:r>
      <w:r w:rsidRPr="006826F8">
        <w:rPr>
          <w:rFonts w:asciiTheme="minorHAnsi" w:eastAsia="Times New Roman" w:hAnsiTheme="minorHAnsi" w:cstheme="minorHAnsi"/>
          <w:lang w:eastAsia="en-US"/>
        </w:rPr>
        <w:t>integrated planning, portfolio-wide Monitoiring and Ev</w:t>
      </w:r>
      <w:r w:rsidR="002A6837">
        <w:rPr>
          <w:rFonts w:asciiTheme="minorHAnsi" w:eastAsia="Times New Roman" w:hAnsiTheme="minorHAnsi" w:cstheme="minorHAnsi"/>
          <w:lang w:eastAsia="en-US"/>
        </w:rPr>
        <w:t>a</w:t>
      </w:r>
      <w:r w:rsidRPr="006826F8">
        <w:rPr>
          <w:rFonts w:asciiTheme="minorHAnsi" w:eastAsia="Times New Roman" w:hAnsiTheme="minorHAnsi" w:cstheme="minorHAnsi"/>
          <w:lang w:eastAsia="en-US"/>
        </w:rPr>
        <w:t>luation (M&amp;E) and feeback loops. The second component produced an evidence</w:t>
      </w:r>
      <w:r w:rsidR="006826F8">
        <w:rPr>
          <w:rFonts w:asciiTheme="minorHAnsi" w:eastAsia="Times New Roman" w:hAnsiTheme="minorHAnsi" w:cstheme="minorHAnsi"/>
          <w:lang w:eastAsia="en-US"/>
        </w:rPr>
        <w:t>-</w:t>
      </w:r>
      <w:r w:rsidRPr="006826F8">
        <w:rPr>
          <w:rFonts w:asciiTheme="minorHAnsi" w:eastAsia="Times New Roman" w:hAnsiTheme="minorHAnsi" w:cstheme="minorHAnsi"/>
          <w:lang w:eastAsia="en-US"/>
        </w:rPr>
        <w:t xml:space="preserve">based platform for understanding the effects of VSS and VSS-like standards on deforestation through a synthesis of information, which was successful and continues to grow, and finally knowledge management in the form of a Community of </w:t>
      </w:r>
      <w:r w:rsidRPr="006826F8">
        <w:t xml:space="preserve">Practice known as the Green Commodities Community that is evolving from a platform for hosting a biannual conference into an interactive learning community for commodities producers, brokers, processors and all those economically </w:t>
      </w:r>
      <w:r w:rsidR="006826F8">
        <w:t>active</w:t>
      </w:r>
      <w:r w:rsidRPr="006826F8">
        <w:t xml:space="preserve"> the production of commodities. </w:t>
      </w:r>
      <w:r w:rsidR="006826F8">
        <w:t>I</w:t>
      </w:r>
      <w:r w:rsidRPr="006826F8">
        <w:t xml:space="preserve">in cross-cutting areas, such as Gender mainstreaming, environmental and social safeguards, and in sustainabilitu criteria, the project management team </w:t>
      </w:r>
      <w:r w:rsidR="006826F8">
        <w:t>achieved</w:t>
      </w:r>
      <w:r w:rsidR="006826F8" w:rsidRPr="006826F8">
        <w:t xml:space="preserve"> </w:t>
      </w:r>
      <w:r w:rsidRPr="006826F8">
        <w:t xml:space="preserve">positive rankings for all categories. of Relevance, Effectiveless, Efficiency, and Adaptive Management.  </w:t>
      </w:r>
    </w:p>
    <w:p w14:paraId="001B0AF3" w14:textId="105D2902" w:rsidR="00407290" w:rsidRPr="00981FE1" w:rsidRDefault="00407290" w:rsidP="006826F8">
      <w:pPr>
        <w:widowControl w:val="0"/>
        <w:autoSpaceDE w:val="0"/>
        <w:autoSpaceDN w:val="0"/>
        <w:spacing w:after="120" w:line="240" w:lineRule="auto"/>
        <w:ind w:right="4"/>
        <w:jc w:val="both"/>
        <w:rPr>
          <w:rFonts w:asciiTheme="minorHAnsi" w:eastAsia="Times New Roman" w:hAnsiTheme="minorHAnsi" w:cstheme="minorHAnsi"/>
          <w:lang w:eastAsia="en-US"/>
        </w:rPr>
      </w:pPr>
      <w:r w:rsidRPr="006826F8">
        <w:rPr>
          <w:rFonts w:asciiTheme="minorHAnsi" w:eastAsia="Times New Roman" w:hAnsiTheme="minorHAnsi" w:cstheme="minorHAnsi"/>
          <w:lang w:eastAsia="en-US"/>
        </w:rPr>
        <w:t xml:space="preserve">Like all projects, </w:t>
      </w:r>
      <w:r w:rsidR="006826F8">
        <w:rPr>
          <w:rFonts w:asciiTheme="minorHAnsi" w:eastAsia="Times New Roman" w:hAnsiTheme="minorHAnsi" w:cstheme="minorHAnsi"/>
          <w:lang w:eastAsia="en-US"/>
        </w:rPr>
        <w:t xml:space="preserve">implementation of </w:t>
      </w:r>
      <w:r w:rsidRPr="006826F8">
        <w:rPr>
          <w:rFonts w:asciiTheme="minorHAnsi" w:eastAsia="Times New Roman" w:hAnsiTheme="minorHAnsi" w:cstheme="minorHAnsi"/>
          <w:lang w:eastAsia="en-US"/>
        </w:rPr>
        <w:t xml:space="preserve">A&amp;L was not without challenges. Notwithstanding, the Project Management Unit, based out of UNDPs Regional Hub or Latin America and the Caribban found a way to navigate all challenges and did an exemplary job in proactive and adaptive management despite the </w:t>
      </w:r>
      <w:r w:rsidRPr="006826F8">
        <w:rPr>
          <w:rFonts w:asciiTheme="minorHAnsi" w:eastAsia="Times New Roman" w:hAnsiTheme="minorHAnsi" w:cstheme="minorHAnsi"/>
          <w:lang w:eastAsia="en-US"/>
        </w:rPr>
        <w:lastRenderedPageBreak/>
        <w:t>challenges associated with the Pandemic.  The following document analyzes the A&amp;L project through the lens of a stand along project and through its role as a coordinator of the greater GGP. Overall, the project fulfilled it´s role as a coordinator and connector by producing systems, knowledge tools and evidense repositories needed to guide the palm oil, beef and soy sectors towards a more sustainable future.</w:t>
      </w:r>
    </w:p>
    <w:p w14:paraId="287FC84D" w14:textId="77777777" w:rsidR="00407290" w:rsidRPr="00407290" w:rsidRDefault="00407290" w:rsidP="00407290">
      <w:pPr>
        <w:widowControl w:val="0"/>
        <w:autoSpaceDE w:val="0"/>
        <w:autoSpaceDN w:val="0"/>
        <w:spacing w:before="123" w:after="0" w:line="240" w:lineRule="auto"/>
        <w:ind w:left="176"/>
        <w:jc w:val="both"/>
        <w:rPr>
          <w:rFonts w:ascii="Arial" w:eastAsia="Arial" w:hAnsi="Arial" w:cs="Arial"/>
          <w:b/>
          <w:sz w:val="18"/>
          <w:lang w:eastAsia="en-US"/>
        </w:rPr>
      </w:pPr>
      <w:r w:rsidRPr="00407290">
        <w:rPr>
          <w:rFonts w:ascii="Arial" w:eastAsia="Arial" w:hAnsi="Arial" w:cs="Arial"/>
          <w:b/>
          <w:color w:val="2C1601"/>
          <w:sz w:val="18"/>
          <w:lang w:eastAsia="en-US"/>
        </w:rPr>
        <w:t xml:space="preserve">Table 1: TE Ratings &amp; Achievement Summary </w:t>
      </w:r>
    </w:p>
    <w:p w14:paraId="4933E90A" w14:textId="77777777" w:rsidR="00407290" w:rsidRPr="00407290" w:rsidRDefault="00407290" w:rsidP="00407290">
      <w:pPr>
        <w:widowControl w:val="0"/>
        <w:autoSpaceDE w:val="0"/>
        <w:autoSpaceDN w:val="0"/>
        <w:spacing w:before="1" w:after="0" w:line="240" w:lineRule="auto"/>
        <w:rPr>
          <w:rFonts w:ascii="Arial" w:eastAsia="Arial" w:hAnsi="Arial" w:cs="Arial"/>
          <w:b/>
          <w:sz w:val="17"/>
          <w:szCs w:val="20"/>
          <w:lang w:eastAsia="en-US"/>
        </w:rPr>
      </w:pPr>
    </w:p>
    <w:tbl>
      <w:tblPr>
        <w:tblStyle w:val="TableNormal1"/>
        <w:tblW w:w="0" w:type="auto"/>
        <w:tblInd w:w="268" w:type="dxa"/>
        <w:tblLayout w:type="fixed"/>
        <w:tblLook w:val="01E0" w:firstRow="1" w:lastRow="1" w:firstColumn="1" w:lastColumn="1" w:noHBand="0" w:noVBand="0"/>
      </w:tblPr>
      <w:tblGrid>
        <w:gridCol w:w="1752"/>
        <w:gridCol w:w="2247"/>
        <w:gridCol w:w="4823"/>
      </w:tblGrid>
      <w:tr w:rsidR="00407290" w:rsidRPr="008D093B" w14:paraId="4EBBE47B" w14:textId="77777777" w:rsidTr="00407290">
        <w:trPr>
          <w:trHeight w:val="806"/>
        </w:trPr>
        <w:tc>
          <w:tcPr>
            <w:tcW w:w="1752" w:type="dxa"/>
            <w:shd w:val="clear" w:color="auto" w:fill="6C9199"/>
          </w:tcPr>
          <w:p w14:paraId="6780019E" w14:textId="77777777" w:rsidR="00407290" w:rsidRPr="006826F8" w:rsidRDefault="00407290" w:rsidP="00407290">
            <w:pPr>
              <w:spacing w:before="9"/>
              <w:ind w:left="112"/>
              <w:rPr>
                <w:rFonts w:asciiTheme="minorHAnsi" w:eastAsia="Arial" w:hAnsiTheme="minorHAnsi" w:cstheme="minorHAnsi"/>
                <w:b/>
                <w:sz w:val="20"/>
                <w:lang w:eastAsia="en-US"/>
              </w:rPr>
            </w:pPr>
            <w:r w:rsidRPr="006826F8">
              <w:rPr>
                <w:rFonts w:asciiTheme="minorHAnsi" w:eastAsia="Arial" w:hAnsiTheme="minorHAnsi" w:cstheme="minorHAnsi"/>
                <w:b/>
                <w:color w:val="FFFFFF"/>
                <w:sz w:val="20"/>
                <w:lang w:eastAsia="en-US"/>
              </w:rPr>
              <w:t>Measure</w:t>
            </w:r>
          </w:p>
        </w:tc>
        <w:tc>
          <w:tcPr>
            <w:tcW w:w="2247" w:type="dxa"/>
            <w:shd w:val="clear" w:color="auto" w:fill="6C9199"/>
          </w:tcPr>
          <w:p w14:paraId="34CAF433" w14:textId="0F2A511A" w:rsidR="00407290" w:rsidRPr="006826F8" w:rsidRDefault="00812BC1" w:rsidP="00407290">
            <w:pPr>
              <w:spacing w:before="9"/>
              <w:ind w:left="112"/>
              <w:rPr>
                <w:rFonts w:asciiTheme="minorHAnsi" w:eastAsia="Arial" w:hAnsiTheme="minorHAnsi" w:cstheme="minorHAnsi"/>
                <w:b/>
                <w:sz w:val="20"/>
                <w:lang w:eastAsia="en-US"/>
              </w:rPr>
            </w:pPr>
            <w:r>
              <w:rPr>
                <w:rFonts w:asciiTheme="minorHAnsi" w:eastAsia="Arial" w:hAnsiTheme="minorHAnsi" w:cstheme="minorHAnsi"/>
                <w:b/>
                <w:color w:val="FFFFFF"/>
                <w:sz w:val="20"/>
                <w:lang w:eastAsia="en-US"/>
              </w:rPr>
              <w:t xml:space="preserve">TE </w:t>
            </w:r>
            <w:r w:rsidR="00407290" w:rsidRPr="006826F8">
              <w:rPr>
                <w:rFonts w:asciiTheme="minorHAnsi" w:eastAsia="Arial" w:hAnsiTheme="minorHAnsi" w:cstheme="minorHAnsi"/>
                <w:b/>
                <w:color w:val="FFFFFF"/>
                <w:sz w:val="20"/>
                <w:lang w:eastAsia="en-US"/>
              </w:rPr>
              <w:t>rating</w:t>
            </w:r>
          </w:p>
        </w:tc>
        <w:tc>
          <w:tcPr>
            <w:tcW w:w="4823" w:type="dxa"/>
            <w:shd w:val="clear" w:color="auto" w:fill="6C9199"/>
          </w:tcPr>
          <w:p w14:paraId="69070E49" w14:textId="77777777" w:rsidR="00407290" w:rsidRPr="006826F8" w:rsidRDefault="00407290" w:rsidP="00407290">
            <w:pPr>
              <w:spacing w:before="9"/>
              <w:ind w:left="112"/>
              <w:rPr>
                <w:rFonts w:asciiTheme="minorHAnsi" w:eastAsia="Arial" w:hAnsiTheme="minorHAnsi" w:cstheme="minorHAnsi"/>
                <w:b/>
                <w:sz w:val="20"/>
                <w:lang w:eastAsia="en-US"/>
              </w:rPr>
            </w:pPr>
            <w:r w:rsidRPr="006826F8">
              <w:rPr>
                <w:rFonts w:asciiTheme="minorHAnsi" w:eastAsia="Arial" w:hAnsiTheme="minorHAnsi" w:cstheme="minorHAnsi"/>
                <w:b/>
                <w:color w:val="FFFFFF"/>
                <w:sz w:val="20"/>
                <w:lang w:eastAsia="en-US"/>
              </w:rPr>
              <w:t>Achievement description</w:t>
            </w:r>
          </w:p>
        </w:tc>
      </w:tr>
      <w:tr w:rsidR="00407290" w:rsidRPr="008D093B" w14:paraId="5771DD2A" w14:textId="77777777" w:rsidTr="00407290">
        <w:trPr>
          <w:trHeight w:val="266"/>
        </w:trPr>
        <w:tc>
          <w:tcPr>
            <w:tcW w:w="1752" w:type="dxa"/>
            <w:tcBorders>
              <w:left w:val="single" w:sz="4" w:space="0" w:color="A6BBC1"/>
              <w:bottom w:val="single" w:sz="4" w:space="0" w:color="A6BBC1"/>
              <w:right w:val="single" w:sz="4" w:space="0" w:color="A6BBC1"/>
            </w:tcBorders>
            <w:shd w:val="clear" w:color="auto" w:fill="E0E8EA"/>
          </w:tcPr>
          <w:p w14:paraId="193913FC" w14:textId="77777777" w:rsidR="00407290" w:rsidRPr="006826F8" w:rsidRDefault="00407290" w:rsidP="00407290">
            <w:pPr>
              <w:ind w:left="172" w:right="167"/>
              <w:rPr>
                <w:rFonts w:asciiTheme="minorHAnsi" w:eastAsia="Arial" w:hAnsiTheme="minorHAnsi" w:cstheme="minorHAnsi"/>
                <w:b/>
                <w:sz w:val="20"/>
                <w:lang w:eastAsia="en-US"/>
              </w:rPr>
            </w:pPr>
            <w:r w:rsidRPr="006826F8">
              <w:rPr>
                <w:rFonts w:asciiTheme="minorHAnsi" w:eastAsia="Arial" w:hAnsiTheme="minorHAnsi" w:cstheme="minorHAnsi"/>
                <w:b/>
                <w:w w:val="95"/>
                <w:sz w:val="20"/>
                <w:lang w:eastAsia="en-US"/>
              </w:rPr>
              <w:t xml:space="preserve">Progress </w:t>
            </w:r>
            <w:r w:rsidRPr="006826F8">
              <w:rPr>
                <w:rFonts w:asciiTheme="minorHAnsi" w:eastAsia="Arial" w:hAnsiTheme="minorHAnsi" w:cstheme="minorHAnsi"/>
                <w:b/>
                <w:sz w:val="20"/>
                <w:lang w:eastAsia="en-US"/>
              </w:rPr>
              <w:t>towards results</w:t>
            </w:r>
          </w:p>
        </w:tc>
        <w:tc>
          <w:tcPr>
            <w:tcW w:w="2247" w:type="dxa"/>
            <w:tcBorders>
              <w:left w:val="single" w:sz="4" w:space="0" w:color="A6BBC1"/>
              <w:bottom w:val="single" w:sz="4" w:space="0" w:color="A6BBC1"/>
              <w:right w:val="single" w:sz="4" w:space="0" w:color="A6BBC1"/>
            </w:tcBorders>
            <w:shd w:val="clear" w:color="auto" w:fill="E0E8EA"/>
          </w:tcPr>
          <w:p w14:paraId="3DC06118" w14:textId="77777777" w:rsidR="00407290" w:rsidRPr="006826F8" w:rsidRDefault="00407290" w:rsidP="00407290">
            <w:pPr>
              <w:spacing w:line="364" w:lineRule="auto"/>
              <w:ind w:left="107" w:right="179"/>
              <w:rPr>
                <w:rFonts w:asciiTheme="minorHAnsi" w:eastAsia="Arial" w:hAnsiTheme="minorHAnsi" w:cstheme="minorHAnsi"/>
                <w:sz w:val="20"/>
                <w:lang w:eastAsia="en-US"/>
              </w:rPr>
            </w:pPr>
            <w:r w:rsidRPr="006826F8">
              <w:rPr>
                <w:rFonts w:asciiTheme="minorHAnsi" w:eastAsia="Arial" w:hAnsiTheme="minorHAnsi" w:cstheme="minorHAnsi"/>
                <w:sz w:val="20"/>
                <w:lang w:eastAsia="en-US"/>
              </w:rPr>
              <w:t>Outcome 1</w:t>
            </w:r>
          </w:p>
          <w:p w14:paraId="1859B88D" w14:textId="77777777" w:rsidR="00407290" w:rsidRPr="006826F8" w:rsidRDefault="00407290" w:rsidP="00407290">
            <w:pPr>
              <w:spacing w:line="364" w:lineRule="auto"/>
              <w:ind w:left="107" w:right="179"/>
              <w:rPr>
                <w:rFonts w:asciiTheme="minorHAnsi" w:eastAsia="Arial" w:hAnsiTheme="minorHAnsi" w:cstheme="minorHAnsi"/>
                <w:sz w:val="20"/>
                <w:lang w:eastAsia="en-US"/>
              </w:rPr>
            </w:pPr>
          </w:p>
          <w:p w14:paraId="4509C31A" w14:textId="77777777" w:rsidR="00407290" w:rsidRPr="006826F8" w:rsidRDefault="00407290" w:rsidP="00407290">
            <w:pPr>
              <w:spacing w:line="364" w:lineRule="auto"/>
              <w:ind w:left="107" w:right="179"/>
              <w:rPr>
                <w:rFonts w:asciiTheme="minorHAnsi" w:eastAsia="Arial" w:hAnsiTheme="minorHAnsi" w:cstheme="minorHAnsi"/>
                <w:sz w:val="20"/>
                <w:lang w:eastAsia="en-US"/>
              </w:rPr>
            </w:pPr>
            <w:r w:rsidRPr="006826F8">
              <w:rPr>
                <w:rFonts w:asciiTheme="minorHAnsi" w:eastAsia="Arial" w:hAnsiTheme="minorHAnsi" w:cstheme="minorHAnsi"/>
                <w:sz w:val="20"/>
                <w:lang w:eastAsia="en-US"/>
              </w:rPr>
              <w:t xml:space="preserve">Program Coordinator, Monitoring, Evaluation and Adaptive Management1 </w:t>
            </w:r>
          </w:p>
          <w:p w14:paraId="228E9A08" w14:textId="5E3D2BE6" w:rsidR="00407290" w:rsidRPr="006826F8" w:rsidRDefault="006826F8" w:rsidP="00407290">
            <w:pPr>
              <w:spacing w:line="364" w:lineRule="auto"/>
              <w:ind w:left="107" w:right="179"/>
              <w:rPr>
                <w:rFonts w:asciiTheme="minorHAnsi" w:eastAsia="Arial" w:hAnsiTheme="minorHAnsi" w:cstheme="minorHAnsi"/>
                <w:sz w:val="20"/>
                <w:lang w:eastAsia="en-US"/>
              </w:rPr>
            </w:pPr>
            <w:r>
              <w:rPr>
                <w:rFonts w:asciiTheme="minorHAnsi" w:eastAsia="Arial" w:hAnsiTheme="minorHAnsi" w:cstheme="minorHAnsi"/>
                <w:w w:val="95"/>
                <w:sz w:val="20"/>
                <w:lang w:eastAsia="en-US"/>
              </w:rPr>
              <w:sym w:font="Symbol" w:char="F02D"/>
            </w:r>
            <w:r w:rsidR="00407290" w:rsidRPr="006826F8">
              <w:rPr>
                <w:rFonts w:asciiTheme="minorHAnsi" w:eastAsia="Arial" w:hAnsiTheme="minorHAnsi" w:cstheme="minorHAnsi"/>
                <w:w w:val="95"/>
                <w:sz w:val="20"/>
                <w:lang w:eastAsia="en-US"/>
              </w:rPr>
              <w:t>Satisfactory</w:t>
            </w:r>
            <w:r>
              <w:rPr>
                <w:rFonts w:asciiTheme="minorHAnsi" w:eastAsia="Arial" w:hAnsiTheme="minorHAnsi" w:cstheme="minorHAnsi"/>
                <w:w w:val="95"/>
                <w:sz w:val="20"/>
                <w:lang w:eastAsia="en-US"/>
              </w:rPr>
              <w:sym w:font="Symbol" w:char="F02D"/>
            </w:r>
          </w:p>
        </w:tc>
        <w:tc>
          <w:tcPr>
            <w:tcW w:w="4823" w:type="dxa"/>
            <w:tcBorders>
              <w:left w:val="single" w:sz="4" w:space="0" w:color="A6BBC1"/>
              <w:bottom w:val="single" w:sz="4" w:space="0" w:color="A6BBC1"/>
              <w:right w:val="single" w:sz="4" w:space="0" w:color="A6BBC1"/>
            </w:tcBorders>
            <w:shd w:val="clear" w:color="auto" w:fill="E0E8EA"/>
          </w:tcPr>
          <w:p w14:paraId="53B7F9B9" w14:textId="77777777" w:rsidR="00407290" w:rsidRPr="006826F8" w:rsidRDefault="00407290" w:rsidP="00407290">
            <w:pPr>
              <w:ind w:left="107" w:right="159"/>
              <w:jc w:val="both"/>
              <w:rPr>
                <w:rFonts w:asciiTheme="minorHAnsi" w:eastAsia="Arial" w:hAnsiTheme="minorHAnsi" w:cstheme="minorHAnsi"/>
                <w:sz w:val="20"/>
                <w:lang w:eastAsia="en-US"/>
              </w:rPr>
            </w:pPr>
            <w:r w:rsidRPr="006826F8">
              <w:rPr>
                <w:rFonts w:asciiTheme="minorHAnsi" w:eastAsia="Arial" w:hAnsiTheme="minorHAnsi" w:cstheme="minorHAnsi"/>
                <w:sz w:val="20"/>
                <w:lang w:eastAsia="en-US"/>
              </w:rPr>
              <w:t>All</w:t>
            </w:r>
            <w:r w:rsidRPr="006826F8">
              <w:rPr>
                <w:rFonts w:asciiTheme="minorHAnsi" w:eastAsia="Arial" w:hAnsiTheme="minorHAnsi" w:cstheme="minorHAnsi"/>
                <w:spacing w:val="-13"/>
                <w:sz w:val="20"/>
                <w:lang w:eastAsia="en-US"/>
              </w:rPr>
              <w:t xml:space="preserve"> </w:t>
            </w:r>
            <w:r w:rsidRPr="006826F8">
              <w:rPr>
                <w:rFonts w:asciiTheme="minorHAnsi" w:eastAsia="Arial" w:hAnsiTheme="minorHAnsi" w:cstheme="minorHAnsi"/>
                <w:sz w:val="20"/>
                <w:lang w:eastAsia="en-US"/>
              </w:rPr>
              <w:t>End-of-Project (EOP) targets</w:t>
            </w:r>
            <w:r w:rsidRPr="006826F8">
              <w:rPr>
                <w:rFonts w:asciiTheme="minorHAnsi" w:eastAsia="Arial" w:hAnsiTheme="minorHAnsi" w:cstheme="minorHAnsi"/>
                <w:spacing w:val="-12"/>
                <w:sz w:val="20"/>
                <w:lang w:eastAsia="en-US"/>
              </w:rPr>
              <w:t xml:space="preserve"> </w:t>
            </w:r>
            <w:r w:rsidRPr="006826F8">
              <w:rPr>
                <w:rFonts w:asciiTheme="minorHAnsi" w:eastAsia="Arial" w:hAnsiTheme="minorHAnsi" w:cstheme="minorHAnsi"/>
                <w:sz w:val="20"/>
                <w:lang w:eastAsia="en-US"/>
              </w:rPr>
              <w:t>related</w:t>
            </w:r>
            <w:r w:rsidRPr="006826F8">
              <w:rPr>
                <w:rFonts w:asciiTheme="minorHAnsi" w:eastAsia="Arial" w:hAnsiTheme="minorHAnsi" w:cstheme="minorHAnsi"/>
                <w:spacing w:val="-11"/>
                <w:sz w:val="20"/>
                <w:lang w:eastAsia="en-US"/>
              </w:rPr>
              <w:t xml:space="preserve"> </w:t>
            </w:r>
            <w:r w:rsidRPr="006826F8">
              <w:rPr>
                <w:rFonts w:asciiTheme="minorHAnsi" w:eastAsia="Arial" w:hAnsiTheme="minorHAnsi" w:cstheme="minorHAnsi"/>
                <w:sz w:val="20"/>
                <w:lang w:eastAsia="en-US"/>
              </w:rPr>
              <w:t>to</w:t>
            </w:r>
            <w:r w:rsidRPr="006826F8">
              <w:rPr>
                <w:rFonts w:asciiTheme="minorHAnsi" w:eastAsia="Arial" w:hAnsiTheme="minorHAnsi" w:cstheme="minorHAnsi"/>
                <w:spacing w:val="-12"/>
                <w:sz w:val="20"/>
                <w:lang w:eastAsia="en-US"/>
              </w:rPr>
              <w:t xml:space="preserve"> </w:t>
            </w:r>
            <w:r w:rsidRPr="006826F8">
              <w:rPr>
                <w:rFonts w:asciiTheme="minorHAnsi" w:eastAsia="Arial" w:hAnsiTheme="minorHAnsi" w:cstheme="minorHAnsi"/>
                <w:sz w:val="20"/>
                <w:lang w:eastAsia="en-US"/>
              </w:rPr>
              <w:t>activities</w:t>
            </w:r>
            <w:r w:rsidRPr="006826F8">
              <w:rPr>
                <w:rFonts w:asciiTheme="minorHAnsi" w:eastAsia="Arial" w:hAnsiTheme="minorHAnsi" w:cstheme="minorHAnsi"/>
                <w:spacing w:val="-12"/>
                <w:sz w:val="20"/>
                <w:lang w:eastAsia="en-US"/>
              </w:rPr>
              <w:t xml:space="preserve"> </w:t>
            </w:r>
            <w:r w:rsidRPr="006826F8">
              <w:rPr>
                <w:rFonts w:asciiTheme="minorHAnsi" w:eastAsia="Arial" w:hAnsiTheme="minorHAnsi" w:cstheme="minorHAnsi"/>
                <w:sz w:val="20"/>
                <w:lang w:eastAsia="en-US"/>
              </w:rPr>
              <w:t>for</w:t>
            </w:r>
            <w:r w:rsidRPr="006826F8">
              <w:rPr>
                <w:rFonts w:asciiTheme="minorHAnsi" w:eastAsia="Arial" w:hAnsiTheme="minorHAnsi" w:cstheme="minorHAnsi"/>
                <w:spacing w:val="-10"/>
                <w:sz w:val="20"/>
                <w:lang w:eastAsia="en-US"/>
              </w:rPr>
              <w:t xml:space="preserve"> </w:t>
            </w:r>
            <w:r w:rsidRPr="006826F8">
              <w:rPr>
                <w:rFonts w:asciiTheme="minorHAnsi" w:eastAsia="Arial" w:hAnsiTheme="minorHAnsi" w:cstheme="minorHAnsi"/>
                <w:sz w:val="20"/>
                <w:lang w:eastAsia="en-US"/>
              </w:rPr>
              <w:t>this Outcome</w:t>
            </w:r>
            <w:r w:rsidRPr="006826F8">
              <w:rPr>
                <w:rFonts w:asciiTheme="minorHAnsi" w:eastAsia="Arial" w:hAnsiTheme="minorHAnsi" w:cstheme="minorHAnsi"/>
                <w:spacing w:val="-14"/>
                <w:sz w:val="20"/>
                <w:lang w:eastAsia="en-US"/>
              </w:rPr>
              <w:t xml:space="preserve"> </w:t>
            </w:r>
            <w:r w:rsidRPr="006826F8">
              <w:rPr>
                <w:rFonts w:asciiTheme="minorHAnsi" w:eastAsia="Arial" w:hAnsiTheme="minorHAnsi" w:cstheme="minorHAnsi"/>
                <w:sz w:val="20"/>
                <w:lang w:eastAsia="en-US"/>
              </w:rPr>
              <w:t>have</w:t>
            </w:r>
            <w:r w:rsidRPr="006826F8">
              <w:rPr>
                <w:rFonts w:asciiTheme="minorHAnsi" w:eastAsia="Arial" w:hAnsiTheme="minorHAnsi" w:cstheme="minorHAnsi"/>
                <w:spacing w:val="-13"/>
                <w:sz w:val="20"/>
                <w:lang w:eastAsia="en-US"/>
              </w:rPr>
              <w:t xml:space="preserve"> </w:t>
            </w:r>
            <w:r w:rsidRPr="006826F8">
              <w:rPr>
                <w:rFonts w:asciiTheme="minorHAnsi" w:eastAsia="Arial" w:hAnsiTheme="minorHAnsi" w:cstheme="minorHAnsi"/>
                <w:sz w:val="20"/>
                <w:lang w:eastAsia="en-US"/>
              </w:rPr>
              <w:t>been</w:t>
            </w:r>
            <w:r w:rsidRPr="006826F8">
              <w:rPr>
                <w:rFonts w:asciiTheme="minorHAnsi" w:eastAsia="Arial" w:hAnsiTheme="minorHAnsi" w:cstheme="minorHAnsi"/>
                <w:spacing w:val="-13"/>
                <w:sz w:val="20"/>
                <w:lang w:eastAsia="en-US"/>
              </w:rPr>
              <w:t xml:space="preserve"> </w:t>
            </w:r>
            <w:r w:rsidRPr="006826F8">
              <w:rPr>
                <w:rFonts w:asciiTheme="minorHAnsi" w:eastAsia="Arial" w:hAnsiTheme="minorHAnsi" w:cstheme="minorHAnsi"/>
                <w:sz w:val="20"/>
                <w:lang w:eastAsia="en-US"/>
              </w:rPr>
              <w:t>reached</w:t>
            </w:r>
            <w:r w:rsidRPr="006826F8">
              <w:rPr>
                <w:rFonts w:asciiTheme="minorHAnsi" w:eastAsia="Arial" w:hAnsiTheme="minorHAnsi" w:cstheme="minorHAnsi"/>
                <w:spacing w:val="-13"/>
                <w:sz w:val="20"/>
                <w:lang w:eastAsia="en-US"/>
              </w:rPr>
              <w:t xml:space="preserve"> </w:t>
            </w:r>
            <w:r w:rsidRPr="006826F8">
              <w:rPr>
                <w:rFonts w:asciiTheme="minorHAnsi" w:eastAsia="Arial" w:hAnsiTheme="minorHAnsi" w:cstheme="minorHAnsi"/>
                <w:sz w:val="20"/>
                <w:lang w:eastAsia="en-US"/>
              </w:rPr>
              <w:t>at</w:t>
            </w:r>
            <w:r w:rsidRPr="006826F8">
              <w:rPr>
                <w:rFonts w:asciiTheme="minorHAnsi" w:eastAsia="Arial" w:hAnsiTheme="minorHAnsi" w:cstheme="minorHAnsi"/>
                <w:spacing w:val="-14"/>
                <w:sz w:val="20"/>
                <w:lang w:eastAsia="en-US"/>
              </w:rPr>
              <w:t xml:space="preserve"> </w:t>
            </w:r>
            <w:r w:rsidRPr="006826F8">
              <w:rPr>
                <w:rFonts w:asciiTheme="minorHAnsi" w:eastAsia="Arial" w:hAnsiTheme="minorHAnsi" w:cstheme="minorHAnsi"/>
                <w:sz w:val="20"/>
                <w:lang w:eastAsia="en-US"/>
              </w:rPr>
              <w:t>a</w:t>
            </w:r>
            <w:r w:rsidRPr="006826F8">
              <w:rPr>
                <w:rFonts w:asciiTheme="minorHAnsi" w:eastAsia="Arial" w:hAnsiTheme="minorHAnsi" w:cstheme="minorHAnsi"/>
                <w:spacing w:val="-10"/>
                <w:sz w:val="20"/>
                <w:lang w:eastAsia="en-US"/>
              </w:rPr>
              <w:t xml:space="preserve"> </w:t>
            </w:r>
            <w:r w:rsidRPr="006826F8">
              <w:rPr>
                <w:rFonts w:asciiTheme="minorHAnsi" w:eastAsia="Arial" w:hAnsiTheme="minorHAnsi" w:cstheme="minorHAnsi"/>
                <w:sz w:val="20"/>
                <w:lang w:eastAsia="en-US"/>
              </w:rPr>
              <w:t>satisfactory level.</w:t>
            </w:r>
          </w:p>
          <w:p w14:paraId="53F41FB9" w14:textId="162ED6EF" w:rsidR="00407290" w:rsidRPr="006826F8" w:rsidRDefault="00407290" w:rsidP="00407290">
            <w:pPr>
              <w:spacing w:before="119"/>
              <w:ind w:left="107" w:right="154"/>
              <w:jc w:val="both"/>
              <w:rPr>
                <w:rFonts w:asciiTheme="minorHAnsi" w:eastAsia="Arial" w:hAnsiTheme="minorHAnsi" w:cstheme="minorHAnsi"/>
                <w:sz w:val="20"/>
                <w:lang w:eastAsia="en-US"/>
              </w:rPr>
            </w:pPr>
            <w:r w:rsidRPr="006826F8">
              <w:rPr>
                <w:rFonts w:asciiTheme="minorHAnsi" w:eastAsia="Arial" w:hAnsiTheme="minorHAnsi" w:cstheme="minorHAnsi"/>
                <w:sz w:val="20"/>
                <w:lang w:eastAsia="en-US"/>
              </w:rPr>
              <w:t xml:space="preserve">Good work on building coordination structures, engagement and building of trust in response to a difficult first semester resulting in improved collaboration. The M&amp;E systems put into place improved data taking at all levels and increased the analytical capacity of national teams. The process of formulating inter-agency workplans enabled cross dissemination of ideas and coordination of scarce resources. Finally, the governance structure combined with the M&amp;E capacity led to an effective structure for project governance and also an integrated response to commodity driven deforestation. </w:t>
            </w:r>
          </w:p>
        </w:tc>
      </w:tr>
    </w:tbl>
    <w:p w14:paraId="463E6FBF" w14:textId="77777777" w:rsidR="00407290" w:rsidRPr="006826F8" w:rsidRDefault="00407290" w:rsidP="00407290">
      <w:pPr>
        <w:widowControl w:val="0"/>
        <w:autoSpaceDE w:val="0"/>
        <w:autoSpaceDN w:val="0"/>
        <w:spacing w:before="9" w:after="0" w:line="240" w:lineRule="auto"/>
        <w:rPr>
          <w:rFonts w:asciiTheme="minorHAnsi" w:eastAsia="Arial" w:hAnsiTheme="minorHAnsi" w:cstheme="minorHAnsi"/>
          <w:b/>
          <w:sz w:val="9"/>
          <w:szCs w:val="20"/>
          <w:lang w:eastAsia="en-US"/>
        </w:rPr>
      </w:pPr>
    </w:p>
    <w:tbl>
      <w:tblPr>
        <w:tblStyle w:val="TableNormal1"/>
        <w:tblW w:w="0" w:type="auto"/>
        <w:tblInd w:w="265" w:type="dxa"/>
        <w:tblBorders>
          <w:top w:val="single" w:sz="4" w:space="0" w:color="A6BBC1"/>
          <w:left w:val="single" w:sz="4" w:space="0" w:color="A6BBC1"/>
          <w:bottom w:val="single" w:sz="4" w:space="0" w:color="A6BBC1"/>
          <w:right w:val="single" w:sz="4" w:space="0" w:color="A6BBC1"/>
          <w:insideH w:val="single" w:sz="4" w:space="0" w:color="A6BBC1"/>
          <w:insideV w:val="single" w:sz="4" w:space="0" w:color="A6BBC1"/>
        </w:tblBorders>
        <w:tblLayout w:type="fixed"/>
        <w:tblLook w:val="01E0" w:firstRow="1" w:lastRow="1" w:firstColumn="1" w:lastColumn="1" w:noHBand="0" w:noVBand="0"/>
      </w:tblPr>
      <w:tblGrid>
        <w:gridCol w:w="1752"/>
        <w:gridCol w:w="2247"/>
        <w:gridCol w:w="4831"/>
      </w:tblGrid>
      <w:tr w:rsidR="00407290" w:rsidRPr="008D093B" w14:paraId="61E1C8C3" w14:textId="77777777" w:rsidTr="00407290">
        <w:trPr>
          <w:trHeight w:val="2541"/>
        </w:trPr>
        <w:tc>
          <w:tcPr>
            <w:tcW w:w="1752" w:type="dxa"/>
            <w:vMerge w:val="restart"/>
            <w:tcBorders>
              <w:top w:val="nil"/>
            </w:tcBorders>
            <w:shd w:val="clear" w:color="auto" w:fill="E0E8EA"/>
          </w:tcPr>
          <w:p w14:paraId="6451C3E8" w14:textId="77777777" w:rsidR="00407290" w:rsidRPr="006826F8" w:rsidRDefault="00407290" w:rsidP="00407290">
            <w:pPr>
              <w:rPr>
                <w:rFonts w:asciiTheme="minorHAnsi" w:eastAsia="Arial" w:hAnsiTheme="minorHAnsi" w:cstheme="minorHAnsi"/>
                <w:sz w:val="18"/>
                <w:lang w:eastAsia="en-US"/>
              </w:rPr>
            </w:pPr>
          </w:p>
        </w:tc>
        <w:tc>
          <w:tcPr>
            <w:tcW w:w="2247" w:type="dxa"/>
          </w:tcPr>
          <w:p w14:paraId="2E2C6AC4" w14:textId="77777777" w:rsidR="00BA0302" w:rsidRDefault="00407290" w:rsidP="00407290">
            <w:pPr>
              <w:spacing w:before="2" w:line="362" w:lineRule="auto"/>
              <w:ind w:left="107" w:right="179"/>
              <w:rPr>
                <w:rFonts w:asciiTheme="minorHAnsi" w:eastAsia="Arial" w:hAnsiTheme="minorHAnsi" w:cstheme="minorHAnsi"/>
                <w:sz w:val="20"/>
                <w:lang w:eastAsia="en-US"/>
              </w:rPr>
            </w:pPr>
            <w:r w:rsidRPr="006826F8">
              <w:rPr>
                <w:rFonts w:asciiTheme="minorHAnsi" w:eastAsia="Arial" w:hAnsiTheme="minorHAnsi" w:cstheme="minorHAnsi"/>
                <w:sz w:val="20"/>
                <w:lang w:eastAsia="en-US"/>
              </w:rPr>
              <w:t xml:space="preserve">Outcome 2 </w:t>
            </w:r>
          </w:p>
          <w:p w14:paraId="4EFC1349" w14:textId="77777777" w:rsidR="00BA0302" w:rsidRDefault="00BA0302" w:rsidP="009B260A">
            <w:pPr>
              <w:ind w:left="101" w:right="173"/>
              <w:rPr>
                <w:rFonts w:asciiTheme="minorHAnsi" w:eastAsia="Arial" w:hAnsiTheme="minorHAnsi" w:cstheme="minorHAnsi"/>
                <w:sz w:val="20"/>
                <w:lang w:eastAsia="en-US"/>
              </w:rPr>
            </w:pPr>
          </w:p>
          <w:p w14:paraId="65A833DD" w14:textId="25FE2FA1" w:rsidR="00BA0302" w:rsidRDefault="009B260A" w:rsidP="009B260A">
            <w:pPr>
              <w:ind w:left="101" w:right="173"/>
              <w:rPr>
                <w:rFonts w:asciiTheme="minorHAnsi" w:eastAsia="Arial" w:hAnsiTheme="minorHAnsi" w:cstheme="minorHAnsi"/>
                <w:sz w:val="20"/>
                <w:lang w:eastAsia="en-US"/>
              </w:rPr>
            </w:pPr>
            <w:r>
              <w:rPr>
                <w:rFonts w:asciiTheme="minorHAnsi" w:eastAsia="Arial" w:hAnsiTheme="minorHAnsi" w:cstheme="minorHAnsi"/>
                <w:sz w:val="20"/>
                <w:lang w:eastAsia="en-US"/>
              </w:rPr>
              <w:t>Global Impacts Platform</w:t>
            </w:r>
          </w:p>
          <w:p w14:paraId="35A69D8F" w14:textId="77777777" w:rsidR="00BA0302" w:rsidRDefault="00BA0302" w:rsidP="009B260A">
            <w:pPr>
              <w:ind w:left="101" w:right="173"/>
              <w:rPr>
                <w:rFonts w:asciiTheme="minorHAnsi" w:eastAsia="Arial" w:hAnsiTheme="minorHAnsi" w:cstheme="minorHAnsi"/>
                <w:sz w:val="20"/>
                <w:lang w:eastAsia="en-US"/>
              </w:rPr>
            </w:pPr>
          </w:p>
          <w:p w14:paraId="2FD58D19" w14:textId="59326593" w:rsidR="00407290" w:rsidRPr="006826F8" w:rsidRDefault="00BA0302" w:rsidP="00407290">
            <w:pPr>
              <w:spacing w:before="2" w:line="362" w:lineRule="auto"/>
              <w:ind w:left="107" w:right="179"/>
              <w:rPr>
                <w:rFonts w:asciiTheme="minorHAnsi" w:eastAsia="Arial" w:hAnsiTheme="minorHAnsi" w:cstheme="minorHAnsi"/>
                <w:sz w:val="20"/>
                <w:lang w:eastAsia="en-US"/>
              </w:rPr>
            </w:pPr>
            <w:r>
              <w:rPr>
                <w:rFonts w:asciiTheme="minorHAnsi" w:eastAsia="Arial" w:hAnsiTheme="minorHAnsi" w:cstheme="minorHAnsi"/>
                <w:w w:val="95"/>
                <w:sz w:val="20"/>
                <w:lang w:eastAsia="en-US"/>
              </w:rPr>
              <w:sym w:font="Symbol" w:char="F02D"/>
            </w:r>
            <w:r w:rsidR="00407290" w:rsidRPr="006826F8">
              <w:rPr>
                <w:rFonts w:asciiTheme="minorHAnsi" w:eastAsia="Arial" w:hAnsiTheme="minorHAnsi" w:cstheme="minorHAnsi"/>
                <w:w w:val="95"/>
                <w:sz w:val="20"/>
                <w:lang w:eastAsia="en-US"/>
              </w:rPr>
              <w:t>Satisfactory</w:t>
            </w:r>
            <w:r>
              <w:rPr>
                <w:rFonts w:asciiTheme="minorHAnsi" w:eastAsia="Arial" w:hAnsiTheme="minorHAnsi" w:cstheme="minorHAnsi"/>
                <w:w w:val="95"/>
                <w:sz w:val="20"/>
                <w:lang w:eastAsia="en-US"/>
              </w:rPr>
              <w:sym w:font="Symbol" w:char="F02D"/>
            </w:r>
          </w:p>
        </w:tc>
        <w:tc>
          <w:tcPr>
            <w:tcW w:w="4831" w:type="dxa"/>
          </w:tcPr>
          <w:p w14:paraId="2E92CE8D" w14:textId="25C1055B" w:rsidR="00407290" w:rsidRPr="006826F8" w:rsidRDefault="00407290" w:rsidP="00407290">
            <w:pPr>
              <w:ind w:left="107" w:right="161"/>
              <w:jc w:val="both"/>
              <w:rPr>
                <w:rFonts w:asciiTheme="minorHAnsi" w:eastAsia="Arial" w:hAnsiTheme="minorHAnsi" w:cstheme="minorHAnsi"/>
                <w:sz w:val="20"/>
                <w:lang w:eastAsia="en-US"/>
              </w:rPr>
            </w:pPr>
            <w:r w:rsidRPr="006826F8">
              <w:rPr>
                <w:rFonts w:asciiTheme="minorHAnsi" w:eastAsia="Arial" w:hAnsiTheme="minorHAnsi" w:cstheme="minorHAnsi"/>
                <w:sz w:val="20"/>
                <w:lang w:eastAsia="en-US"/>
              </w:rPr>
              <w:t>All midterm targets for the development of a global Eviden</w:t>
            </w:r>
            <w:r w:rsidR="006826F8">
              <w:rPr>
                <w:rFonts w:asciiTheme="minorHAnsi" w:eastAsia="Arial" w:hAnsiTheme="minorHAnsi" w:cstheme="minorHAnsi"/>
                <w:sz w:val="20"/>
                <w:lang w:eastAsia="en-US"/>
              </w:rPr>
              <w:t>ce-</w:t>
            </w:r>
            <w:r w:rsidRPr="006826F8">
              <w:rPr>
                <w:rFonts w:asciiTheme="minorHAnsi" w:eastAsia="Arial" w:hAnsiTheme="minorHAnsi" w:cstheme="minorHAnsi"/>
                <w:sz w:val="20"/>
                <w:lang w:eastAsia="en-US"/>
              </w:rPr>
              <w:t>based platform</w:t>
            </w:r>
            <w:r w:rsidR="006826F8">
              <w:rPr>
                <w:rFonts w:asciiTheme="minorHAnsi" w:eastAsia="Arial" w:hAnsiTheme="minorHAnsi" w:cstheme="minorHAnsi"/>
                <w:sz w:val="20"/>
                <w:lang w:eastAsia="en-US"/>
              </w:rPr>
              <w:t>,</w:t>
            </w:r>
            <w:r w:rsidRPr="006826F8">
              <w:rPr>
                <w:rFonts w:asciiTheme="minorHAnsi" w:eastAsia="Arial" w:hAnsiTheme="minorHAnsi" w:cstheme="minorHAnsi"/>
                <w:sz w:val="20"/>
                <w:lang w:eastAsia="en-US"/>
              </w:rPr>
              <w:t xml:space="preserve"> or “Evidensia</w:t>
            </w:r>
            <w:r w:rsidR="006826F8">
              <w:rPr>
                <w:rFonts w:asciiTheme="minorHAnsi" w:eastAsia="Arial" w:hAnsiTheme="minorHAnsi" w:cstheme="minorHAnsi"/>
                <w:sz w:val="20"/>
                <w:lang w:eastAsia="en-US"/>
              </w:rPr>
              <w:t>,</w:t>
            </w:r>
            <w:r w:rsidRPr="006826F8">
              <w:rPr>
                <w:rFonts w:asciiTheme="minorHAnsi" w:eastAsia="Arial" w:hAnsiTheme="minorHAnsi" w:cstheme="minorHAnsi"/>
                <w:sz w:val="20"/>
                <w:lang w:eastAsia="en-US"/>
              </w:rPr>
              <w:t>”</w:t>
            </w:r>
            <w:r w:rsidR="006826F8">
              <w:rPr>
                <w:rFonts w:asciiTheme="minorHAnsi" w:eastAsia="Arial" w:hAnsiTheme="minorHAnsi" w:cstheme="minorHAnsi"/>
                <w:sz w:val="20"/>
                <w:lang w:eastAsia="en-US"/>
              </w:rPr>
              <w:t xml:space="preserve"> were achieved.</w:t>
            </w:r>
            <w:r w:rsidRPr="006826F8">
              <w:rPr>
                <w:rFonts w:asciiTheme="minorHAnsi" w:eastAsia="Arial" w:hAnsiTheme="minorHAnsi" w:cstheme="minorHAnsi"/>
                <w:sz w:val="20"/>
                <w:lang w:eastAsia="en-US"/>
              </w:rPr>
              <w:t xml:space="preserve"> The platform is firmly established and is populated with scholarly articles from which Information syntheses are being developed</w:t>
            </w:r>
            <w:r w:rsidR="006826F8">
              <w:rPr>
                <w:rFonts w:asciiTheme="minorHAnsi" w:eastAsia="Arial" w:hAnsiTheme="minorHAnsi" w:cstheme="minorHAnsi"/>
                <w:sz w:val="20"/>
                <w:lang w:eastAsia="en-US"/>
              </w:rPr>
              <w:t xml:space="preserve"> </w:t>
            </w:r>
            <w:r w:rsidRPr="006826F8">
              <w:rPr>
                <w:rFonts w:asciiTheme="minorHAnsi" w:eastAsia="Arial" w:hAnsiTheme="minorHAnsi" w:cstheme="minorHAnsi"/>
                <w:sz w:val="20"/>
                <w:lang w:eastAsia="en-US"/>
              </w:rPr>
              <w:t>related to the effect on VSS like programs on deforestation</w:t>
            </w:r>
            <w:r w:rsidR="006826F8">
              <w:rPr>
                <w:rFonts w:asciiTheme="minorHAnsi" w:eastAsia="Arial" w:hAnsiTheme="minorHAnsi" w:cstheme="minorHAnsi"/>
                <w:sz w:val="20"/>
                <w:lang w:eastAsia="en-US"/>
              </w:rPr>
              <w:t>, commodities production, amongst others</w:t>
            </w:r>
            <w:r w:rsidRPr="006826F8">
              <w:rPr>
                <w:rFonts w:asciiTheme="minorHAnsi" w:eastAsia="Arial" w:hAnsiTheme="minorHAnsi" w:cstheme="minorHAnsi"/>
                <w:sz w:val="20"/>
                <w:lang w:eastAsia="en-US"/>
              </w:rPr>
              <w:t xml:space="preserve">. </w:t>
            </w:r>
          </w:p>
          <w:p w14:paraId="510AC23A" w14:textId="77777777" w:rsidR="00407290" w:rsidRPr="006826F8" w:rsidRDefault="00407290" w:rsidP="00407290">
            <w:pPr>
              <w:ind w:left="107" w:right="161"/>
              <w:jc w:val="both"/>
              <w:rPr>
                <w:rFonts w:asciiTheme="minorHAnsi" w:eastAsia="Arial" w:hAnsiTheme="minorHAnsi" w:cstheme="minorHAnsi"/>
                <w:sz w:val="20"/>
                <w:lang w:eastAsia="en-US"/>
              </w:rPr>
            </w:pPr>
          </w:p>
          <w:p w14:paraId="74259C15" w14:textId="182AED6C" w:rsidR="00407290" w:rsidRPr="006826F8" w:rsidRDefault="006826F8" w:rsidP="00407290">
            <w:pPr>
              <w:spacing w:before="120"/>
              <w:ind w:left="107" w:right="99"/>
              <w:jc w:val="both"/>
              <w:rPr>
                <w:rFonts w:asciiTheme="minorHAnsi" w:eastAsia="Arial" w:hAnsiTheme="minorHAnsi" w:cstheme="minorHAnsi"/>
                <w:sz w:val="20"/>
                <w:lang w:eastAsia="en-US"/>
              </w:rPr>
            </w:pPr>
            <w:r>
              <w:rPr>
                <w:rFonts w:asciiTheme="minorHAnsi" w:eastAsia="Arial" w:hAnsiTheme="minorHAnsi" w:cstheme="minorHAnsi"/>
                <w:sz w:val="20"/>
                <w:lang w:eastAsia="en-US"/>
              </w:rPr>
              <w:t>Outputs</w:t>
            </w:r>
            <w:r w:rsidRPr="006826F8">
              <w:rPr>
                <w:rFonts w:asciiTheme="minorHAnsi" w:eastAsia="Arial" w:hAnsiTheme="minorHAnsi" w:cstheme="minorHAnsi"/>
                <w:sz w:val="20"/>
                <w:lang w:eastAsia="en-US"/>
              </w:rPr>
              <w:t xml:space="preserve"> </w:t>
            </w:r>
            <w:r w:rsidR="00407290" w:rsidRPr="006826F8">
              <w:rPr>
                <w:rFonts w:asciiTheme="minorHAnsi" w:eastAsia="Arial" w:hAnsiTheme="minorHAnsi" w:cstheme="minorHAnsi"/>
                <w:sz w:val="20"/>
                <w:lang w:eastAsia="en-US"/>
              </w:rPr>
              <w:t xml:space="preserve">have been </w:t>
            </w:r>
            <w:r>
              <w:rPr>
                <w:rFonts w:asciiTheme="minorHAnsi" w:eastAsia="Arial" w:hAnsiTheme="minorHAnsi" w:cstheme="minorHAnsi"/>
                <w:sz w:val="20"/>
                <w:lang w:eastAsia="en-US"/>
              </w:rPr>
              <w:t>attained</w:t>
            </w:r>
            <w:r w:rsidRPr="006826F8">
              <w:rPr>
                <w:rFonts w:asciiTheme="minorHAnsi" w:eastAsia="Arial" w:hAnsiTheme="minorHAnsi" w:cstheme="minorHAnsi"/>
                <w:sz w:val="20"/>
                <w:lang w:eastAsia="en-US"/>
              </w:rPr>
              <w:t xml:space="preserve"> </w:t>
            </w:r>
            <w:r w:rsidR="00407290" w:rsidRPr="006826F8">
              <w:rPr>
                <w:rFonts w:asciiTheme="minorHAnsi" w:eastAsia="Arial" w:hAnsiTheme="minorHAnsi" w:cstheme="minorHAnsi"/>
                <w:sz w:val="20"/>
                <w:lang w:eastAsia="en-US"/>
              </w:rPr>
              <w:t>at a satisfactory level</w:t>
            </w:r>
            <w:r>
              <w:rPr>
                <w:rFonts w:asciiTheme="minorHAnsi" w:eastAsia="Arial" w:hAnsiTheme="minorHAnsi" w:cstheme="minorHAnsi"/>
                <w:sz w:val="20"/>
                <w:lang w:eastAsia="en-US"/>
              </w:rPr>
              <w:t xml:space="preserve"> </w:t>
            </w:r>
            <w:r w:rsidR="00407290" w:rsidRPr="006826F8">
              <w:rPr>
                <w:rFonts w:asciiTheme="minorHAnsi" w:eastAsia="Arial" w:hAnsiTheme="minorHAnsi" w:cstheme="minorHAnsi"/>
                <w:sz w:val="20"/>
                <w:lang w:eastAsia="en-US"/>
              </w:rPr>
              <w:t xml:space="preserve"> and all targets have been exceeded. </w:t>
            </w:r>
            <w:r>
              <w:rPr>
                <w:rFonts w:asciiTheme="minorHAnsi" w:eastAsia="Arial" w:hAnsiTheme="minorHAnsi" w:cstheme="minorHAnsi"/>
                <w:sz w:val="20"/>
                <w:lang w:eastAsia="en-US"/>
              </w:rPr>
              <w:t xml:space="preserve">Evidensia now offers </w:t>
            </w:r>
            <w:r w:rsidR="00407290" w:rsidRPr="006826F8">
              <w:rPr>
                <w:rFonts w:asciiTheme="minorHAnsi" w:eastAsia="Arial" w:hAnsiTheme="minorHAnsi" w:cstheme="minorHAnsi"/>
                <w:sz w:val="20"/>
                <w:lang w:eastAsia="en-US"/>
              </w:rPr>
              <w:t xml:space="preserve">over 1000 scholarly articles, videos, training Events, amongst others. A good job by WWF as implementing agency and the </w:t>
            </w:r>
            <w:r>
              <w:rPr>
                <w:rFonts w:asciiTheme="minorHAnsi" w:eastAsia="Arial" w:hAnsiTheme="minorHAnsi" w:cstheme="minorHAnsi"/>
                <w:sz w:val="20"/>
                <w:lang w:eastAsia="en-US"/>
              </w:rPr>
              <w:t>Is</w:t>
            </w:r>
            <w:r w:rsidR="00407290" w:rsidRPr="006826F8">
              <w:rPr>
                <w:rFonts w:asciiTheme="minorHAnsi" w:eastAsia="Arial" w:hAnsiTheme="minorHAnsi" w:cstheme="minorHAnsi"/>
                <w:sz w:val="20"/>
                <w:lang w:eastAsia="en-US"/>
              </w:rPr>
              <w:t xml:space="preserve">eal </w:t>
            </w:r>
            <w:r>
              <w:rPr>
                <w:rFonts w:asciiTheme="minorHAnsi" w:eastAsia="Arial" w:hAnsiTheme="minorHAnsi" w:cstheme="minorHAnsi"/>
                <w:sz w:val="20"/>
                <w:lang w:eastAsia="en-US"/>
              </w:rPr>
              <w:t>A</w:t>
            </w:r>
            <w:r w:rsidR="00407290" w:rsidRPr="006826F8">
              <w:rPr>
                <w:rFonts w:asciiTheme="minorHAnsi" w:eastAsia="Arial" w:hAnsiTheme="minorHAnsi" w:cstheme="minorHAnsi"/>
                <w:sz w:val="20"/>
                <w:lang w:eastAsia="en-US"/>
              </w:rPr>
              <w:t xml:space="preserve">lliance </w:t>
            </w:r>
            <w:r>
              <w:rPr>
                <w:rFonts w:asciiTheme="minorHAnsi" w:eastAsia="Arial" w:hAnsiTheme="minorHAnsi" w:cstheme="minorHAnsi"/>
                <w:sz w:val="20"/>
                <w:lang w:eastAsia="en-US"/>
              </w:rPr>
              <w:t>and partners in developing, launching and maintaining the system</w:t>
            </w:r>
            <w:r w:rsidR="00407290" w:rsidRPr="006826F8">
              <w:rPr>
                <w:rFonts w:asciiTheme="minorHAnsi" w:eastAsia="Arial" w:hAnsiTheme="minorHAnsi" w:cstheme="minorHAnsi"/>
                <w:sz w:val="20"/>
                <w:lang w:eastAsia="en-US"/>
              </w:rPr>
              <w:t xml:space="preserve">. </w:t>
            </w:r>
          </w:p>
        </w:tc>
      </w:tr>
      <w:tr w:rsidR="00407290" w:rsidRPr="008D093B" w14:paraId="5A389220" w14:textId="77777777" w:rsidTr="00DE1F7D">
        <w:trPr>
          <w:trHeight w:val="710"/>
        </w:trPr>
        <w:tc>
          <w:tcPr>
            <w:tcW w:w="1752" w:type="dxa"/>
            <w:vMerge/>
            <w:tcBorders>
              <w:top w:val="nil"/>
            </w:tcBorders>
            <w:shd w:val="clear" w:color="auto" w:fill="E0E8EA"/>
          </w:tcPr>
          <w:p w14:paraId="2DDFD9DA" w14:textId="77777777" w:rsidR="00407290" w:rsidRPr="00981FE1" w:rsidRDefault="00407290" w:rsidP="00407290">
            <w:pPr>
              <w:rPr>
                <w:rFonts w:asciiTheme="minorHAnsi" w:eastAsia="Arial" w:hAnsiTheme="minorHAnsi" w:cstheme="minorHAnsi"/>
                <w:sz w:val="2"/>
                <w:szCs w:val="2"/>
                <w:lang w:eastAsia="en-US"/>
              </w:rPr>
            </w:pPr>
          </w:p>
        </w:tc>
        <w:tc>
          <w:tcPr>
            <w:tcW w:w="2247" w:type="dxa"/>
            <w:shd w:val="clear" w:color="auto" w:fill="E0E8EA"/>
          </w:tcPr>
          <w:p w14:paraId="145E2063" w14:textId="77777777" w:rsidR="009B260A" w:rsidRDefault="00407290" w:rsidP="00407290">
            <w:pPr>
              <w:spacing w:line="364" w:lineRule="auto"/>
              <w:ind w:left="107" w:right="179"/>
              <w:rPr>
                <w:rFonts w:asciiTheme="minorHAnsi" w:eastAsia="Arial" w:hAnsiTheme="minorHAnsi" w:cstheme="minorHAnsi"/>
                <w:sz w:val="20"/>
                <w:lang w:eastAsia="en-US"/>
              </w:rPr>
            </w:pPr>
            <w:r w:rsidRPr="00981FE1">
              <w:rPr>
                <w:rFonts w:asciiTheme="minorHAnsi" w:eastAsia="Arial" w:hAnsiTheme="minorHAnsi" w:cstheme="minorHAnsi"/>
                <w:sz w:val="20"/>
                <w:lang w:eastAsia="en-US"/>
              </w:rPr>
              <w:t xml:space="preserve">Outcome 3 </w:t>
            </w:r>
          </w:p>
          <w:p w14:paraId="68216A5B" w14:textId="43F59F11" w:rsidR="009B260A" w:rsidRDefault="009B260A" w:rsidP="009B260A">
            <w:pPr>
              <w:ind w:left="101" w:right="173"/>
              <w:rPr>
                <w:rFonts w:asciiTheme="minorHAnsi" w:eastAsia="Arial" w:hAnsiTheme="minorHAnsi" w:cstheme="minorHAnsi"/>
                <w:sz w:val="20"/>
                <w:lang w:eastAsia="en-US"/>
              </w:rPr>
            </w:pPr>
            <w:r>
              <w:rPr>
                <w:rFonts w:asciiTheme="minorHAnsi" w:eastAsia="Arial" w:hAnsiTheme="minorHAnsi" w:cstheme="minorHAnsi"/>
                <w:sz w:val="20"/>
                <w:lang w:eastAsia="en-US"/>
              </w:rPr>
              <w:t>Knowledge Management</w:t>
            </w:r>
          </w:p>
          <w:p w14:paraId="297D1350" w14:textId="77777777" w:rsidR="009B260A" w:rsidRDefault="009B260A" w:rsidP="009B260A">
            <w:pPr>
              <w:ind w:left="101" w:right="173"/>
              <w:rPr>
                <w:rFonts w:asciiTheme="minorHAnsi" w:eastAsia="Arial" w:hAnsiTheme="minorHAnsi" w:cstheme="minorHAnsi"/>
                <w:sz w:val="20"/>
                <w:lang w:eastAsia="en-US"/>
              </w:rPr>
            </w:pPr>
          </w:p>
          <w:p w14:paraId="7FB54114" w14:textId="6513F22A" w:rsidR="00407290" w:rsidRPr="009B260A" w:rsidRDefault="004C4874" w:rsidP="00407290">
            <w:pPr>
              <w:spacing w:line="364" w:lineRule="auto"/>
              <w:ind w:left="107" w:right="179"/>
              <w:rPr>
                <w:rFonts w:asciiTheme="minorHAnsi" w:eastAsia="Arial" w:hAnsiTheme="minorHAnsi" w:cstheme="minorHAnsi"/>
                <w:sz w:val="20"/>
                <w:lang w:eastAsia="en-US"/>
              </w:rPr>
            </w:pPr>
            <w:r>
              <w:rPr>
                <w:rFonts w:asciiTheme="minorHAnsi" w:eastAsia="Arial" w:hAnsiTheme="minorHAnsi" w:cstheme="minorHAnsi"/>
                <w:w w:val="95"/>
                <w:sz w:val="20"/>
                <w:lang w:eastAsia="en-US"/>
              </w:rPr>
              <w:sym w:font="Symbol" w:char="F02D"/>
            </w:r>
            <w:r w:rsidR="00407290" w:rsidRPr="009B260A">
              <w:rPr>
                <w:rFonts w:asciiTheme="minorHAnsi" w:eastAsia="Arial" w:hAnsiTheme="minorHAnsi" w:cstheme="minorHAnsi"/>
                <w:w w:val="95"/>
                <w:sz w:val="20"/>
                <w:lang w:eastAsia="en-US"/>
              </w:rPr>
              <w:t>Satisfactory</w:t>
            </w:r>
            <w:r>
              <w:rPr>
                <w:rFonts w:asciiTheme="minorHAnsi" w:eastAsia="Arial" w:hAnsiTheme="minorHAnsi" w:cstheme="minorHAnsi"/>
                <w:w w:val="95"/>
                <w:sz w:val="20"/>
                <w:lang w:eastAsia="en-US"/>
              </w:rPr>
              <w:sym w:font="Symbol" w:char="F02D"/>
            </w:r>
          </w:p>
        </w:tc>
        <w:tc>
          <w:tcPr>
            <w:tcW w:w="4831" w:type="dxa"/>
            <w:shd w:val="clear" w:color="auto" w:fill="E0E8EA"/>
          </w:tcPr>
          <w:p w14:paraId="678EA801" w14:textId="3E9CA73C" w:rsidR="00407290" w:rsidRPr="009B260A" w:rsidRDefault="00407290" w:rsidP="00407290">
            <w:pPr>
              <w:ind w:left="107" w:right="159"/>
              <w:jc w:val="both"/>
              <w:rPr>
                <w:rFonts w:asciiTheme="minorHAnsi" w:eastAsia="Arial" w:hAnsiTheme="minorHAnsi" w:cstheme="minorHAnsi"/>
                <w:sz w:val="20"/>
                <w:lang w:eastAsia="en-US"/>
              </w:rPr>
            </w:pPr>
            <w:r w:rsidRPr="009B260A">
              <w:rPr>
                <w:rFonts w:asciiTheme="minorHAnsi" w:eastAsia="Arial" w:hAnsiTheme="minorHAnsi" w:cstheme="minorHAnsi"/>
                <w:sz w:val="20"/>
                <w:lang w:eastAsia="en-US"/>
              </w:rPr>
              <w:t xml:space="preserve">All final activities </w:t>
            </w:r>
            <w:r w:rsidR="000E43CD">
              <w:rPr>
                <w:rFonts w:asciiTheme="minorHAnsi" w:eastAsia="Arial" w:hAnsiTheme="minorHAnsi" w:cstheme="minorHAnsi"/>
                <w:sz w:val="20"/>
                <w:lang w:eastAsia="en-US"/>
              </w:rPr>
              <w:t xml:space="preserve">contributing to the outputs </w:t>
            </w:r>
            <w:r w:rsidRPr="009B260A">
              <w:rPr>
                <w:rFonts w:asciiTheme="minorHAnsi" w:eastAsia="Arial" w:hAnsiTheme="minorHAnsi" w:cstheme="minorHAnsi"/>
                <w:sz w:val="20"/>
                <w:lang w:eastAsia="en-US"/>
              </w:rPr>
              <w:t xml:space="preserve">are on target to be achieved at a </w:t>
            </w:r>
            <w:r w:rsidR="000E43CD">
              <w:rPr>
                <w:rFonts w:asciiTheme="minorHAnsi" w:eastAsia="Arial" w:hAnsiTheme="minorHAnsi" w:cstheme="minorHAnsi"/>
                <w:sz w:val="20"/>
                <w:lang w:eastAsia="en-US"/>
              </w:rPr>
              <w:t>“S</w:t>
            </w:r>
            <w:r w:rsidRPr="009B260A">
              <w:rPr>
                <w:rFonts w:asciiTheme="minorHAnsi" w:eastAsia="Arial" w:hAnsiTheme="minorHAnsi" w:cstheme="minorHAnsi"/>
                <w:sz w:val="20"/>
                <w:lang w:eastAsia="en-US"/>
              </w:rPr>
              <w:t>atisfactory</w:t>
            </w:r>
            <w:r w:rsidR="000E43CD">
              <w:rPr>
                <w:rFonts w:asciiTheme="minorHAnsi" w:eastAsia="Arial" w:hAnsiTheme="minorHAnsi" w:cstheme="minorHAnsi"/>
                <w:sz w:val="20"/>
                <w:lang w:eastAsia="en-US"/>
              </w:rPr>
              <w:t>”</w:t>
            </w:r>
            <w:r w:rsidRPr="009B260A">
              <w:rPr>
                <w:rFonts w:asciiTheme="minorHAnsi" w:eastAsia="Arial" w:hAnsiTheme="minorHAnsi" w:cstheme="minorHAnsi"/>
                <w:sz w:val="20"/>
                <w:lang w:eastAsia="en-US"/>
              </w:rPr>
              <w:t xml:space="preserve"> level.</w:t>
            </w:r>
          </w:p>
          <w:p w14:paraId="66D0256C" w14:textId="5A8469AB" w:rsidR="00407290" w:rsidRPr="009B260A" w:rsidRDefault="00407290" w:rsidP="00407290">
            <w:pPr>
              <w:spacing w:before="118"/>
              <w:ind w:left="107" w:right="157"/>
              <w:jc w:val="both"/>
              <w:rPr>
                <w:rFonts w:asciiTheme="minorHAnsi" w:eastAsia="Arial" w:hAnsiTheme="minorHAnsi" w:cstheme="minorHAnsi"/>
                <w:sz w:val="20"/>
                <w:lang w:eastAsia="en-US"/>
              </w:rPr>
            </w:pPr>
            <w:r w:rsidRPr="009B260A">
              <w:rPr>
                <w:rFonts w:asciiTheme="minorHAnsi" w:eastAsia="Arial" w:hAnsiTheme="minorHAnsi" w:cstheme="minorHAnsi"/>
                <w:sz w:val="20"/>
                <w:lang w:eastAsia="en-US"/>
              </w:rPr>
              <w:t xml:space="preserve">Two </w:t>
            </w:r>
            <w:r w:rsidR="000E43CD">
              <w:rPr>
                <w:rFonts w:asciiTheme="minorHAnsi" w:eastAsia="Arial" w:hAnsiTheme="minorHAnsi" w:cstheme="minorHAnsi"/>
                <w:sz w:val="20"/>
                <w:lang w:eastAsia="en-US"/>
              </w:rPr>
              <w:t>“</w:t>
            </w:r>
            <w:r w:rsidRPr="009B260A">
              <w:rPr>
                <w:rFonts w:asciiTheme="minorHAnsi" w:eastAsia="Arial" w:hAnsiTheme="minorHAnsi" w:cstheme="minorHAnsi"/>
                <w:sz w:val="20"/>
                <w:lang w:eastAsia="en-US"/>
              </w:rPr>
              <w:t>Green Growth Conference</w:t>
            </w:r>
            <w:r w:rsidR="000E43CD">
              <w:rPr>
                <w:rFonts w:asciiTheme="minorHAnsi" w:eastAsia="Arial" w:hAnsiTheme="minorHAnsi" w:cstheme="minorHAnsi"/>
                <w:sz w:val="20"/>
                <w:lang w:eastAsia="en-US"/>
              </w:rPr>
              <w:t>s”</w:t>
            </w:r>
            <w:r w:rsidRPr="009B260A">
              <w:rPr>
                <w:rFonts w:asciiTheme="minorHAnsi" w:eastAsia="Arial" w:hAnsiTheme="minorHAnsi" w:cstheme="minorHAnsi"/>
                <w:sz w:val="20"/>
                <w:lang w:eastAsia="en-US"/>
              </w:rPr>
              <w:t xml:space="preserve"> have been successfully organized for learning and sharing for a </w:t>
            </w:r>
            <w:r w:rsidR="001F55E3">
              <w:rPr>
                <w:rFonts w:asciiTheme="minorHAnsi" w:eastAsia="Arial" w:hAnsiTheme="minorHAnsi" w:cstheme="minorHAnsi"/>
                <w:sz w:val="20"/>
                <w:lang w:eastAsia="en-US"/>
              </w:rPr>
              <w:t xml:space="preserve">multi-sector </w:t>
            </w:r>
            <w:r w:rsidRPr="009B260A">
              <w:rPr>
                <w:rFonts w:asciiTheme="minorHAnsi" w:eastAsia="Arial" w:hAnsiTheme="minorHAnsi" w:cstheme="minorHAnsi"/>
                <w:sz w:val="20"/>
                <w:lang w:eastAsia="en-US"/>
              </w:rPr>
              <w:t xml:space="preserve">cadre of active partners engaged within this learning platform. </w:t>
            </w:r>
            <w:r w:rsidR="001F55E3">
              <w:rPr>
                <w:rFonts w:asciiTheme="minorHAnsi" w:eastAsia="Arial" w:hAnsiTheme="minorHAnsi" w:cstheme="minorHAnsi"/>
                <w:sz w:val="20"/>
                <w:lang w:eastAsia="en-US"/>
              </w:rPr>
              <w:t>An e</w:t>
            </w:r>
            <w:r w:rsidRPr="009B260A">
              <w:rPr>
                <w:rFonts w:asciiTheme="minorHAnsi" w:eastAsia="Arial" w:hAnsiTheme="minorHAnsi" w:cstheme="minorHAnsi"/>
                <w:sz w:val="20"/>
                <w:lang w:eastAsia="en-US"/>
              </w:rPr>
              <w:t xml:space="preserve">xcellent </w:t>
            </w:r>
            <w:r w:rsidR="001F55E3">
              <w:rPr>
                <w:rFonts w:asciiTheme="minorHAnsi" w:eastAsia="Arial" w:hAnsiTheme="minorHAnsi" w:cstheme="minorHAnsi"/>
                <w:sz w:val="20"/>
                <w:lang w:eastAsia="en-US"/>
              </w:rPr>
              <w:t xml:space="preserve">COVID </w:t>
            </w:r>
            <w:r w:rsidRPr="009B260A">
              <w:rPr>
                <w:rFonts w:asciiTheme="minorHAnsi" w:eastAsia="Arial" w:hAnsiTheme="minorHAnsi" w:cstheme="minorHAnsi"/>
                <w:sz w:val="20"/>
                <w:lang w:eastAsia="en-US"/>
              </w:rPr>
              <w:t>response by switching environments and moving to an all-virtual platform</w:t>
            </w:r>
            <w:r w:rsidR="001F55E3">
              <w:rPr>
                <w:rFonts w:asciiTheme="minorHAnsi" w:eastAsia="Arial" w:hAnsiTheme="minorHAnsi" w:cstheme="minorHAnsi"/>
                <w:sz w:val="20"/>
                <w:lang w:eastAsia="en-US"/>
              </w:rPr>
              <w:t xml:space="preserve"> and in </w:t>
            </w:r>
            <w:r w:rsidRPr="009B260A">
              <w:rPr>
                <w:rFonts w:asciiTheme="minorHAnsi" w:eastAsia="Arial" w:hAnsiTheme="minorHAnsi" w:cstheme="minorHAnsi"/>
                <w:sz w:val="20"/>
                <w:lang w:eastAsia="en-US"/>
              </w:rPr>
              <w:t>branding the GGP through the Green Commodities Community which is now financed for the next phase of development when platform managers will need to dedicate themselves to expanding the community..</w:t>
            </w:r>
            <w:r w:rsidRPr="009B260A">
              <w:rPr>
                <w:rFonts w:asciiTheme="minorHAnsi" w:eastAsia="Arial" w:hAnsiTheme="minorHAnsi" w:cstheme="minorHAnsi"/>
                <w:spacing w:val="-10"/>
                <w:sz w:val="20"/>
                <w:lang w:eastAsia="en-US"/>
              </w:rPr>
              <w:t xml:space="preserve"> </w:t>
            </w:r>
          </w:p>
        </w:tc>
      </w:tr>
      <w:tr w:rsidR="00407290" w:rsidRPr="008D093B" w14:paraId="651BAAA8" w14:textId="77777777" w:rsidTr="00407290">
        <w:trPr>
          <w:trHeight w:val="3460"/>
        </w:trPr>
        <w:tc>
          <w:tcPr>
            <w:tcW w:w="1752" w:type="dxa"/>
          </w:tcPr>
          <w:p w14:paraId="474AB30F" w14:textId="77777777" w:rsidR="00407290" w:rsidRPr="009B260A" w:rsidRDefault="00407290" w:rsidP="00407290">
            <w:pPr>
              <w:tabs>
                <w:tab w:val="left" w:pos="741"/>
              </w:tabs>
              <w:ind w:left="107" w:right="155"/>
              <w:rPr>
                <w:rFonts w:asciiTheme="minorHAnsi" w:eastAsia="Arial" w:hAnsiTheme="minorHAnsi" w:cstheme="minorHAnsi"/>
                <w:b/>
                <w:sz w:val="20"/>
                <w:lang w:eastAsia="en-US"/>
              </w:rPr>
            </w:pPr>
            <w:r w:rsidRPr="009B260A">
              <w:rPr>
                <w:rFonts w:asciiTheme="minorHAnsi" w:eastAsia="Arial" w:hAnsiTheme="minorHAnsi" w:cstheme="minorHAnsi"/>
                <w:b/>
                <w:sz w:val="20"/>
                <w:lang w:eastAsia="en-US"/>
              </w:rPr>
              <w:lastRenderedPageBreak/>
              <w:t xml:space="preserve">Project </w:t>
            </w:r>
            <w:r w:rsidRPr="009B260A">
              <w:rPr>
                <w:rFonts w:asciiTheme="minorHAnsi" w:eastAsia="Arial" w:hAnsiTheme="minorHAnsi" w:cstheme="minorHAnsi"/>
                <w:b/>
                <w:w w:val="95"/>
                <w:sz w:val="20"/>
                <w:lang w:eastAsia="en-US"/>
              </w:rPr>
              <w:t xml:space="preserve">Implementation </w:t>
            </w:r>
            <w:r w:rsidRPr="009B260A">
              <w:rPr>
                <w:rFonts w:asciiTheme="minorHAnsi" w:eastAsia="Arial" w:hAnsiTheme="minorHAnsi" w:cstheme="minorHAnsi"/>
                <w:b/>
                <w:sz w:val="20"/>
                <w:lang w:eastAsia="en-US"/>
              </w:rPr>
              <w:t>&amp;</w:t>
            </w:r>
            <w:r w:rsidRPr="009B260A">
              <w:rPr>
                <w:rFonts w:asciiTheme="minorHAnsi" w:eastAsia="Arial" w:hAnsiTheme="minorHAnsi" w:cstheme="minorHAnsi"/>
                <w:b/>
                <w:sz w:val="20"/>
                <w:lang w:eastAsia="en-US"/>
              </w:rPr>
              <w:tab/>
            </w:r>
            <w:r w:rsidRPr="009B260A">
              <w:rPr>
                <w:rFonts w:asciiTheme="minorHAnsi" w:eastAsia="Arial" w:hAnsiTheme="minorHAnsi" w:cstheme="minorHAnsi"/>
                <w:b/>
                <w:spacing w:val="-3"/>
                <w:sz w:val="20"/>
                <w:lang w:eastAsia="en-US"/>
              </w:rPr>
              <w:t xml:space="preserve">Adaptive </w:t>
            </w:r>
            <w:r w:rsidRPr="009B260A">
              <w:rPr>
                <w:rFonts w:asciiTheme="minorHAnsi" w:eastAsia="Arial" w:hAnsiTheme="minorHAnsi" w:cstheme="minorHAnsi"/>
                <w:b/>
                <w:sz w:val="20"/>
                <w:lang w:eastAsia="en-US"/>
              </w:rPr>
              <w:t>Management</w:t>
            </w:r>
          </w:p>
        </w:tc>
        <w:tc>
          <w:tcPr>
            <w:tcW w:w="2247" w:type="dxa"/>
          </w:tcPr>
          <w:p w14:paraId="17C433B3" w14:textId="21D3E7AA" w:rsidR="00407290" w:rsidRPr="009B260A" w:rsidRDefault="004C4874" w:rsidP="00407290">
            <w:pPr>
              <w:spacing w:line="229" w:lineRule="exact"/>
              <w:ind w:left="107"/>
              <w:rPr>
                <w:rFonts w:asciiTheme="minorHAnsi" w:eastAsia="Arial" w:hAnsiTheme="minorHAnsi" w:cstheme="minorHAnsi"/>
                <w:sz w:val="20"/>
                <w:lang w:eastAsia="en-US"/>
              </w:rPr>
            </w:pPr>
            <w:r>
              <w:rPr>
                <w:rFonts w:asciiTheme="minorHAnsi" w:eastAsia="Arial" w:hAnsiTheme="minorHAnsi" w:cstheme="minorHAnsi"/>
                <w:w w:val="95"/>
                <w:sz w:val="20"/>
                <w:lang w:eastAsia="en-US"/>
              </w:rPr>
              <w:sym w:font="Symbol" w:char="F02D"/>
            </w:r>
            <w:r w:rsidR="00407290" w:rsidRPr="009B260A">
              <w:rPr>
                <w:rFonts w:asciiTheme="minorHAnsi" w:eastAsia="Arial" w:hAnsiTheme="minorHAnsi" w:cstheme="minorHAnsi"/>
                <w:sz w:val="20"/>
                <w:lang w:eastAsia="en-US"/>
              </w:rPr>
              <w:t>Highly Satisfactory</w:t>
            </w:r>
            <w:r>
              <w:rPr>
                <w:rFonts w:asciiTheme="minorHAnsi" w:eastAsia="Arial" w:hAnsiTheme="minorHAnsi" w:cstheme="minorHAnsi"/>
                <w:w w:val="95"/>
                <w:sz w:val="20"/>
                <w:lang w:eastAsia="en-US"/>
              </w:rPr>
              <w:sym w:font="Symbol" w:char="F02D"/>
            </w:r>
          </w:p>
        </w:tc>
        <w:tc>
          <w:tcPr>
            <w:tcW w:w="4831" w:type="dxa"/>
          </w:tcPr>
          <w:p w14:paraId="5D00070F" w14:textId="038A7C57" w:rsidR="00407290" w:rsidRPr="009B260A" w:rsidRDefault="00407290" w:rsidP="00407290">
            <w:pPr>
              <w:ind w:left="107" w:right="155"/>
              <w:jc w:val="both"/>
              <w:rPr>
                <w:rFonts w:asciiTheme="minorHAnsi" w:eastAsia="Arial" w:hAnsiTheme="minorHAnsi" w:cstheme="minorHAnsi"/>
                <w:sz w:val="20"/>
                <w:lang w:eastAsia="en-US"/>
              </w:rPr>
            </w:pPr>
            <w:bookmarkStart w:id="7" w:name="_Hlk94440705"/>
            <w:r w:rsidRPr="009B260A">
              <w:rPr>
                <w:rFonts w:asciiTheme="minorHAnsi" w:eastAsia="Arial" w:hAnsiTheme="minorHAnsi" w:cstheme="minorHAnsi"/>
                <w:sz w:val="20"/>
                <w:lang w:eastAsia="en-US"/>
              </w:rPr>
              <w:t xml:space="preserve">Good practices in planning, project implementation, coordination and adaptive management. The quality of the activities, especially the capacity for coordination is is </w:t>
            </w:r>
            <w:r w:rsidR="004C4874">
              <w:rPr>
                <w:rFonts w:asciiTheme="minorHAnsi" w:eastAsia="Arial" w:hAnsiTheme="minorHAnsi" w:cstheme="minorHAnsi"/>
                <w:sz w:val="20"/>
                <w:lang w:eastAsia="en-US"/>
              </w:rPr>
              <w:t>“H</w:t>
            </w:r>
            <w:r w:rsidRPr="009B260A">
              <w:rPr>
                <w:rFonts w:asciiTheme="minorHAnsi" w:eastAsia="Arial" w:hAnsiTheme="minorHAnsi" w:cstheme="minorHAnsi"/>
                <w:sz w:val="20"/>
                <w:lang w:eastAsia="en-US"/>
              </w:rPr>
              <w:t xml:space="preserve">ighly </w:t>
            </w:r>
            <w:r w:rsidR="004C4874">
              <w:rPr>
                <w:rFonts w:asciiTheme="minorHAnsi" w:eastAsia="Arial" w:hAnsiTheme="minorHAnsi" w:cstheme="minorHAnsi"/>
                <w:sz w:val="20"/>
                <w:lang w:eastAsia="en-US"/>
              </w:rPr>
              <w:t>S</w:t>
            </w:r>
            <w:r w:rsidRPr="009B260A">
              <w:rPr>
                <w:rFonts w:asciiTheme="minorHAnsi" w:eastAsia="Arial" w:hAnsiTheme="minorHAnsi" w:cstheme="minorHAnsi"/>
                <w:sz w:val="20"/>
                <w:lang w:eastAsia="en-US"/>
              </w:rPr>
              <w:t>atisfactory</w:t>
            </w:r>
            <w:r w:rsidR="004C4874">
              <w:rPr>
                <w:rFonts w:asciiTheme="minorHAnsi" w:eastAsia="Arial" w:hAnsiTheme="minorHAnsi" w:cstheme="minorHAnsi"/>
                <w:sz w:val="20"/>
                <w:lang w:eastAsia="en-US"/>
              </w:rPr>
              <w:t>”</w:t>
            </w:r>
            <w:r w:rsidRPr="009B260A">
              <w:rPr>
                <w:rFonts w:asciiTheme="minorHAnsi" w:eastAsia="Arial" w:hAnsiTheme="minorHAnsi" w:cstheme="minorHAnsi"/>
                <w:sz w:val="20"/>
                <w:lang w:eastAsia="en-US"/>
              </w:rPr>
              <w:t xml:space="preserve"> in a very complicated project management structure and in jurisdictions and situations</w:t>
            </w:r>
            <w:r w:rsidR="004C4874">
              <w:rPr>
                <w:rFonts w:asciiTheme="minorHAnsi" w:eastAsia="Arial" w:hAnsiTheme="minorHAnsi" w:cstheme="minorHAnsi"/>
                <w:sz w:val="20"/>
                <w:lang w:eastAsia="en-US"/>
              </w:rPr>
              <w:t xml:space="preserve"> that were difficult at times</w:t>
            </w:r>
            <w:r w:rsidRPr="009B260A">
              <w:rPr>
                <w:rFonts w:asciiTheme="minorHAnsi" w:eastAsia="Arial" w:hAnsiTheme="minorHAnsi" w:cstheme="minorHAnsi"/>
                <w:sz w:val="20"/>
                <w:lang w:eastAsia="en-US"/>
              </w:rPr>
              <w:t xml:space="preserve">. The quality of activities whether for coordination, communication, learning and reporting has been highly successful. Major challenges were COVID-19, A restrictive project budget, and sometimes reluctant participation by the Child project participants. Very effective upstream and downstream communication within project governance structures and partners. </w:t>
            </w:r>
            <w:bookmarkEnd w:id="7"/>
          </w:p>
        </w:tc>
      </w:tr>
      <w:tr w:rsidR="00407290" w:rsidRPr="008D093B" w14:paraId="126A5998" w14:textId="77777777" w:rsidTr="00AC41DE">
        <w:trPr>
          <w:trHeight w:val="1250"/>
        </w:trPr>
        <w:tc>
          <w:tcPr>
            <w:tcW w:w="1752" w:type="dxa"/>
            <w:shd w:val="clear" w:color="auto" w:fill="E0E8EA"/>
          </w:tcPr>
          <w:p w14:paraId="716ED18F" w14:textId="77777777" w:rsidR="00407290" w:rsidRPr="004C4874" w:rsidRDefault="00407290" w:rsidP="00407290">
            <w:pPr>
              <w:spacing w:line="229" w:lineRule="exact"/>
              <w:ind w:left="107"/>
              <w:rPr>
                <w:rFonts w:asciiTheme="minorHAnsi" w:eastAsia="Arial" w:hAnsiTheme="minorHAnsi" w:cstheme="minorHAnsi"/>
                <w:b/>
                <w:sz w:val="20"/>
                <w:lang w:eastAsia="en-US"/>
              </w:rPr>
            </w:pPr>
            <w:r w:rsidRPr="004C4874">
              <w:rPr>
                <w:rFonts w:asciiTheme="minorHAnsi" w:eastAsia="Arial" w:hAnsiTheme="minorHAnsi" w:cstheme="minorHAnsi"/>
                <w:b/>
                <w:sz w:val="20"/>
                <w:lang w:eastAsia="en-US"/>
              </w:rPr>
              <w:t>Sustainability</w:t>
            </w:r>
          </w:p>
        </w:tc>
        <w:tc>
          <w:tcPr>
            <w:tcW w:w="2247" w:type="dxa"/>
            <w:shd w:val="clear" w:color="auto" w:fill="E0E8EA"/>
          </w:tcPr>
          <w:p w14:paraId="436A55AF" w14:textId="6C13A038" w:rsidR="00407290" w:rsidRPr="004C4874" w:rsidRDefault="004C4874" w:rsidP="00407290">
            <w:pPr>
              <w:spacing w:line="229" w:lineRule="exact"/>
              <w:ind w:left="107"/>
              <w:rPr>
                <w:rFonts w:asciiTheme="minorHAnsi" w:eastAsia="Arial" w:hAnsiTheme="minorHAnsi" w:cstheme="minorHAnsi"/>
                <w:sz w:val="20"/>
                <w:lang w:eastAsia="en-US"/>
              </w:rPr>
            </w:pPr>
            <w:r>
              <w:rPr>
                <w:rFonts w:asciiTheme="minorHAnsi" w:eastAsia="Arial" w:hAnsiTheme="minorHAnsi" w:cstheme="minorHAnsi"/>
                <w:w w:val="95"/>
                <w:sz w:val="20"/>
                <w:lang w:eastAsia="en-US"/>
              </w:rPr>
              <w:sym w:font="Symbol" w:char="F02D"/>
            </w:r>
            <w:r w:rsidR="00407290" w:rsidRPr="004C4874">
              <w:rPr>
                <w:rFonts w:asciiTheme="minorHAnsi" w:eastAsia="Arial" w:hAnsiTheme="minorHAnsi" w:cstheme="minorHAnsi"/>
                <w:sz w:val="20"/>
                <w:lang w:eastAsia="en-US"/>
              </w:rPr>
              <w:t>Likely</w:t>
            </w:r>
            <w:r>
              <w:rPr>
                <w:rFonts w:asciiTheme="minorHAnsi" w:eastAsia="Arial" w:hAnsiTheme="minorHAnsi" w:cstheme="minorHAnsi"/>
                <w:w w:val="95"/>
                <w:sz w:val="20"/>
                <w:lang w:eastAsia="en-US"/>
              </w:rPr>
              <w:sym w:font="Symbol" w:char="F02D"/>
            </w:r>
          </w:p>
        </w:tc>
        <w:tc>
          <w:tcPr>
            <w:tcW w:w="4831" w:type="dxa"/>
            <w:shd w:val="clear" w:color="auto" w:fill="E0E8EA"/>
          </w:tcPr>
          <w:p w14:paraId="6165E26E" w14:textId="77777777" w:rsidR="00407290" w:rsidRPr="004C4874" w:rsidRDefault="00407290" w:rsidP="00407290">
            <w:pPr>
              <w:ind w:left="107" w:right="157"/>
              <w:rPr>
                <w:rFonts w:asciiTheme="minorHAnsi" w:eastAsia="Arial" w:hAnsiTheme="minorHAnsi" w:cstheme="minorHAnsi"/>
                <w:sz w:val="20"/>
                <w:lang w:eastAsia="en-US"/>
              </w:rPr>
            </w:pPr>
            <w:r w:rsidRPr="004C4874">
              <w:rPr>
                <w:rFonts w:asciiTheme="minorHAnsi" w:eastAsia="Arial" w:hAnsiTheme="minorHAnsi" w:cstheme="minorHAnsi"/>
                <w:sz w:val="20"/>
                <w:lang w:eastAsia="en-US"/>
              </w:rPr>
              <w:t>We rank the overall Sustainability to be “Likely”</w:t>
            </w:r>
          </w:p>
          <w:p w14:paraId="1CAC7738" w14:textId="4FECCEB9" w:rsidR="00407290" w:rsidRPr="004C4874" w:rsidRDefault="004C4874" w:rsidP="00407290">
            <w:pPr>
              <w:numPr>
                <w:ilvl w:val="0"/>
                <w:numId w:val="77"/>
              </w:numPr>
              <w:tabs>
                <w:tab w:val="left" w:pos="425"/>
              </w:tabs>
              <w:spacing w:before="121"/>
              <w:ind w:right="155"/>
              <w:jc w:val="both"/>
              <w:rPr>
                <w:rFonts w:asciiTheme="minorHAnsi" w:eastAsia="Arial" w:hAnsiTheme="minorHAnsi" w:cstheme="minorHAnsi"/>
                <w:sz w:val="20"/>
                <w:lang w:eastAsia="en-US"/>
              </w:rPr>
            </w:pPr>
            <w:r>
              <w:rPr>
                <w:rFonts w:asciiTheme="minorHAnsi" w:eastAsia="Arial" w:hAnsiTheme="minorHAnsi" w:cstheme="minorHAnsi"/>
                <w:sz w:val="20"/>
                <w:lang w:eastAsia="en-US"/>
              </w:rPr>
              <w:t>T</w:t>
            </w:r>
            <w:r w:rsidR="00407290" w:rsidRPr="004C4874">
              <w:rPr>
                <w:rFonts w:asciiTheme="minorHAnsi" w:eastAsia="Arial" w:hAnsiTheme="minorHAnsi" w:cstheme="minorHAnsi"/>
                <w:sz w:val="20"/>
                <w:lang w:eastAsia="en-US"/>
              </w:rPr>
              <w:t xml:space="preserve">hree </w:t>
            </w:r>
            <w:r>
              <w:rPr>
                <w:rFonts w:asciiTheme="minorHAnsi" w:eastAsia="Arial" w:hAnsiTheme="minorHAnsi" w:cstheme="minorHAnsi"/>
                <w:sz w:val="20"/>
                <w:lang w:eastAsia="en-US"/>
              </w:rPr>
              <w:t>contributing attributes</w:t>
            </w:r>
            <w:r w:rsidRPr="004C4874">
              <w:rPr>
                <w:rFonts w:asciiTheme="minorHAnsi" w:eastAsia="Arial" w:hAnsiTheme="minorHAnsi" w:cstheme="minorHAnsi"/>
                <w:sz w:val="20"/>
                <w:lang w:eastAsia="en-US"/>
              </w:rPr>
              <w:t xml:space="preserve"> </w:t>
            </w:r>
            <w:r w:rsidR="00407290" w:rsidRPr="004C4874">
              <w:rPr>
                <w:rFonts w:asciiTheme="minorHAnsi" w:eastAsia="Arial" w:hAnsiTheme="minorHAnsi" w:cstheme="minorHAnsi"/>
                <w:sz w:val="20"/>
                <w:lang w:eastAsia="en-US"/>
              </w:rPr>
              <w:t>are: the improved partnerships observed under a collective umbrella, the Community of Practice for learning so the community moves towards systemic change, and</w:t>
            </w:r>
            <w:r w:rsidR="00407290" w:rsidRPr="004C4874">
              <w:rPr>
                <w:rFonts w:asciiTheme="minorHAnsi" w:eastAsia="Arial" w:hAnsiTheme="minorHAnsi" w:cstheme="minorHAnsi"/>
                <w:spacing w:val="-29"/>
                <w:sz w:val="20"/>
                <w:lang w:eastAsia="en-US"/>
              </w:rPr>
              <w:t xml:space="preserve"> </w:t>
            </w:r>
            <w:r w:rsidR="00407290" w:rsidRPr="004C4874">
              <w:rPr>
                <w:rFonts w:asciiTheme="minorHAnsi" w:eastAsia="Arial" w:hAnsiTheme="minorHAnsi" w:cstheme="minorHAnsi"/>
                <w:sz w:val="20"/>
                <w:lang w:eastAsia="en-US"/>
              </w:rPr>
              <w:t>Evidensia.</w:t>
            </w:r>
          </w:p>
          <w:p w14:paraId="1F667058" w14:textId="37970E39" w:rsidR="00407290" w:rsidRPr="004C4874" w:rsidRDefault="00407290" w:rsidP="00407290">
            <w:pPr>
              <w:numPr>
                <w:ilvl w:val="0"/>
                <w:numId w:val="77"/>
              </w:numPr>
              <w:tabs>
                <w:tab w:val="left" w:pos="425"/>
              </w:tabs>
              <w:spacing w:before="123" w:line="235" w:lineRule="auto"/>
              <w:ind w:right="157"/>
              <w:jc w:val="both"/>
              <w:rPr>
                <w:rFonts w:asciiTheme="minorHAnsi" w:eastAsia="Arial" w:hAnsiTheme="minorHAnsi" w:cstheme="minorHAnsi"/>
                <w:sz w:val="20"/>
                <w:lang w:eastAsia="en-US"/>
              </w:rPr>
            </w:pPr>
            <w:r w:rsidRPr="004C4874">
              <w:rPr>
                <w:rFonts w:asciiTheme="minorHAnsi" w:eastAsia="Arial" w:hAnsiTheme="minorHAnsi" w:cstheme="minorHAnsi"/>
                <w:sz w:val="20"/>
                <w:lang w:eastAsia="en-US"/>
              </w:rPr>
              <w:t xml:space="preserve">Financial risk: Two structures in particular will require financial support for move them into the next phase of development: Evidensia (component 2) managed by </w:t>
            </w:r>
            <w:r w:rsidR="003069D5">
              <w:rPr>
                <w:rFonts w:asciiTheme="minorHAnsi" w:eastAsia="Arial" w:hAnsiTheme="minorHAnsi" w:cstheme="minorHAnsi"/>
                <w:sz w:val="20"/>
                <w:lang w:eastAsia="en-US"/>
              </w:rPr>
              <w:t>I</w:t>
            </w:r>
            <w:r w:rsidRPr="004C4874">
              <w:rPr>
                <w:rFonts w:asciiTheme="minorHAnsi" w:eastAsia="Arial" w:hAnsiTheme="minorHAnsi" w:cstheme="minorHAnsi"/>
                <w:sz w:val="20"/>
                <w:lang w:eastAsia="en-US"/>
              </w:rPr>
              <w:t xml:space="preserve">seal </w:t>
            </w:r>
            <w:r w:rsidR="003069D5">
              <w:rPr>
                <w:rFonts w:asciiTheme="minorHAnsi" w:eastAsia="Arial" w:hAnsiTheme="minorHAnsi" w:cstheme="minorHAnsi"/>
                <w:sz w:val="20"/>
                <w:lang w:eastAsia="en-US"/>
              </w:rPr>
              <w:t>A</w:t>
            </w:r>
            <w:r w:rsidRPr="004C4874">
              <w:rPr>
                <w:rFonts w:asciiTheme="minorHAnsi" w:eastAsia="Arial" w:hAnsiTheme="minorHAnsi" w:cstheme="minorHAnsi"/>
                <w:sz w:val="20"/>
                <w:lang w:eastAsia="en-US"/>
              </w:rPr>
              <w:t xml:space="preserve">lliance and the Green Commodity Community managed by UNDP. </w:t>
            </w:r>
            <w:r w:rsidR="003069D5">
              <w:rPr>
                <w:rFonts w:asciiTheme="minorHAnsi" w:eastAsia="Arial" w:hAnsiTheme="minorHAnsi" w:cstheme="minorHAnsi"/>
                <w:sz w:val="20"/>
                <w:lang w:eastAsia="en-US"/>
              </w:rPr>
              <w:t>T</w:t>
            </w:r>
            <w:r w:rsidRPr="004C4874">
              <w:rPr>
                <w:rFonts w:asciiTheme="minorHAnsi" w:eastAsia="Arial" w:hAnsiTheme="minorHAnsi" w:cstheme="minorHAnsi"/>
                <w:sz w:val="20"/>
                <w:lang w:eastAsia="en-US"/>
              </w:rPr>
              <w:t>he former is working on a sustainability plan to market or maintain the platform in the interim.  In the latter, a sustainability plan is recently completed and funding secured through FOLU</w:t>
            </w:r>
            <w:r w:rsidR="003069D5">
              <w:rPr>
                <w:rFonts w:asciiTheme="minorHAnsi" w:eastAsia="Arial" w:hAnsiTheme="minorHAnsi" w:cstheme="minorHAnsi"/>
                <w:sz w:val="20"/>
                <w:lang w:eastAsia="en-US"/>
              </w:rPr>
              <w:t>R</w:t>
            </w:r>
            <w:r w:rsidRPr="004C4874">
              <w:rPr>
                <w:rFonts w:asciiTheme="minorHAnsi" w:eastAsia="Arial" w:hAnsiTheme="minorHAnsi" w:cstheme="minorHAnsi"/>
                <w:sz w:val="20"/>
                <w:lang w:eastAsia="en-US"/>
              </w:rPr>
              <w:t xml:space="preserve"> for the next couple of years, long enough to expand the user base. Both have good partnerships to ensure success in the next phase. </w:t>
            </w:r>
          </w:p>
          <w:p w14:paraId="37F0A102" w14:textId="43F8562C" w:rsidR="00407290" w:rsidRPr="004C4874" w:rsidRDefault="00407290" w:rsidP="00407290">
            <w:pPr>
              <w:numPr>
                <w:ilvl w:val="0"/>
                <w:numId w:val="77"/>
              </w:numPr>
              <w:tabs>
                <w:tab w:val="left" w:pos="425"/>
              </w:tabs>
              <w:spacing w:before="123" w:line="235" w:lineRule="auto"/>
              <w:ind w:right="157"/>
              <w:jc w:val="both"/>
              <w:rPr>
                <w:rFonts w:asciiTheme="minorHAnsi" w:eastAsia="Arial" w:hAnsiTheme="minorHAnsi" w:cstheme="minorHAnsi"/>
                <w:sz w:val="20"/>
                <w:lang w:eastAsia="en-US"/>
              </w:rPr>
            </w:pPr>
            <w:r w:rsidRPr="004C4874">
              <w:rPr>
                <w:rFonts w:asciiTheme="minorHAnsi" w:eastAsia="Arial" w:hAnsiTheme="minorHAnsi" w:cstheme="minorHAnsi"/>
                <w:sz w:val="20"/>
                <w:lang w:eastAsia="en-US"/>
              </w:rPr>
              <w:t>Socio</w:t>
            </w:r>
            <w:r w:rsidR="003069D5">
              <w:rPr>
                <w:rFonts w:asciiTheme="minorHAnsi" w:eastAsia="Arial" w:hAnsiTheme="minorHAnsi" w:cstheme="minorHAnsi"/>
                <w:sz w:val="20"/>
                <w:lang w:eastAsia="en-US"/>
              </w:rPr>
              <w:t>-Economic-</w:t>
            </w:r>
            <w:r w:rsidRPr="004C4874">
              <w:rPr>
                <w:rFonts w:asciiTheme="minorHAnsi" w:eastAsia="Arial" w:hAnsiTheme="minorHAnsi" w:cstheme="minorHAnsi"/>
                <w:sz w:val="20"/>
                <w:lang w:eastAsia="en-US"/>
              </w:rPr>
              <w:t>Political</w:t>
            </w:r>
            <w:r w:rsidR="003069D5">
              <w:rPr>
                <w:rFonts w:asciiTheme="minorHAnsi" w:eastAsia="Arial" w:hAnsiTheme="minorHAnsi" w:cstheme="minorHAnsi"/>
                <w:sz w:val="20"/>
                <w:lang w:eastAsia="en-US"/>
              </w:rPr>
              <w:t xml:space="preserve"> (SEP)</w:t>
            </w:r>
            <w:r w:rsidRPr="004C4874">
              <w:rPr>
                <w:rFonts w:asciiTheme="minorHAnsi" w:eastAsia="Arial" w:hAnsiTheme="minorHAnsi" w:cstheme="minorHAnsi"/>
                <w:sz w:val="20"/>
                <w:lang w:eastAsia="en-US"/>
              </w:rPr>
              <w:t xml:space="preserve">: The </w:t>
            </w:r>
            <w:r w:rsidR="003069D5">
              <w:rPr>
                <w:rFonts w:asciiTheme="minorHAnsi" w:eastAsia="Arial" w:hAnsiTheme="minorHAnsi" w:cstheme="minorHAnsi"/>
                <w:sz w:val="20"/>
                <w:lang w:eastAsia="en-US"/>
              </w:rPr>
              <w:t>SEP</w:t>
            </w:r>
            <w:r w:rsidRPr="004C4874">
              <w:rPr>
                <w:rFonts w:asciiTheme="minorHAnsi" w:eastAsia="Arial" w:hAnsiTheme="minorHAnsi" w:cstheme="minorHAnsi"/>
                <w:sz w:val="20"/>
                <w:lang w:eastAsia="en-US"/>
              </w:rPr>
              <w:t xml:space="preserve"> risks are mitigated through the child projects who have stakeholder plans in place and ongoing relationships. The balance of national and international actors will lower risks as different connections to financing will be made available.   Multi-stakeholder action</w:t>
            </w:r>
            <w:r w:rsidR="003069D5">
              <w:rPr>
                <w:rFonts w:asciiTheme="minorHAnsi" w:eastAsia="Arial" w:hAnsiTheme="minorHAnsi" w:cstheme="minorHAnsi"/>
                <w:sz w:val="20"/>
                <w:lang w:eastAsia="en-US"/>
              </w:rPr>
              <w:t xml:space="preserve"> in child projects</w:t>
            </w:r>
            <w:r w:rsidRPr="004C4874">
              <w:rPr>
                <w:rFonts w:asciiTheme="minorHAnsi" w:eastAsia="Arial" w:hAnsiTheme="minorHAnsi" w:cstheme="minorHAnsi"/>
                <w:sz w:val="20"/>
                <w:lang w:eastAsia="en-US"/>
              </w:rPr>
              <w:t xml:space="preserve"> already has momentum</w:t>
            </w:r>
            <w:r w:rsidR="003069D5">
              <w:rPr>
                <w:rFonts w:asciiTheme="minorHAnsi" w:eastAsia="Arial" w:hAnsiTheme="minorHAnsi" w:cstheme="minorHAnsi"/>
                <w:sz w:val="20"/>
                <w:lang w:eastAsia="en-US"/>
              </w:rPr>
              <w:t>.</w:t>
            </w:r>
            <w:r w:rsidRPr="004C4874">
              <w:rPr>
                <w:rFonts w:asciiTheme="minorHAnsi" w:eastAsia="Arial" w:hAnsiTheme="minorHAnsi" w:cstheme="minorHAnsi"/>
                <w:sz w:val="20"/>
                <w:lang w:eastAsia="en-US"/>
              </w:rPr>
              <w:t xml:space="preserve"> Knowledge products and education on multi-stakeholdler management will contribute to sustainability</w:t>
            </w:r>
            <w:r w:rsidR="003069D5">
              <w:rPr>
                <w:rFonts w:asciiTheme="minorHAnsi" w:eastAsia="Arial" w:hAnsiTheme="minorHAnsi" w:cstheme="minorHAnsi"/>
                <w:sz w:val="20"/>
                <w:lang w:eastAsia="en-US"/>
              </w:rPr>
              <w:t xml:space="preserve"> if these are widely disseminated</w:t>
            </w:r>
            <w:r w:rsidRPr="004C4874">
              <w:rPr>
                <w:rFonts w:asciiTheme="minorHAnsi" w:eastAsia="Arial" w:hAnsiTheme="minorHAnsi" w:cstheme="minorHAnsi"/>
                <w:sz w:val="20"/>
                <w:lang w:eastAsia="en-US"/>
              </w:rPr>
              <w:t>.</w:t>
            </w:r>
          </w:p>
          <w:p w14:paraId="255D96AE" w14:textId="290EAB7B" w:rsidR="00407290" w:rsidRPr="004C4874" w:rsidRDefault="00407290" w:rsidP="00407290">
            <w:pPr>
              <w:numPr>
                <w:ilvl w:val="0"/>
                <w:numId w:val="77"/>
              </w:numPr>
              <w:tabs>
                <w:tab w:val="left" w:pos="425"/>
              </w:tabs>
              <w:spacing w:before="123" w:line="235" w:lineRule="auto"/>
              <w:ind w:right="157"/>
              <w:jc w:val="both"/>
              <w:rPr>
                <w:rFonts w:asciiTheme="minorHAnsi" w:eastAsia="Arial" w:hAnsiTheme="minorHAnsi" w:cstheme="minorHAnsi"/>
                <w:sz w:val="20"/>
                <w:lang w:eastAsia="en-US"/>
              </w:rPr>
            </w:pPr>
            <w:r w:rsidRPr="004C4874">
              <w:rPr>
                <w:rFonts w:asciiTheme="minorHAnsi" w:eastAsia="Arial" w:hAnsiTheme="minorHAnsi" w:cstheme="minorHAnsi"/>
                <w:sz w:val="20"/>
                <w:lang w:eastAsia="en-US"/>
              </w:rPr>
              <w:t>Environmental: The environmental factors associated with A&amp;L is a</w:t>
            </w:r>
            <w:r w:rsidR="001B54B7">
              <w:rPr>
                <w:rFonts w:asciiTheme="minorHAnsi" w:eastAsia="Arial" w:hAnsiTheme="minorHAnsi" w:cstheme="minorHAnsi"/>
                <w:sz w:val="20"/>
                <w:lang w:eastAsia="en-US"/>
              </w:rPr>
              <w:t>n uncalculated and assumed to be</w:t>
            </w:r>
            <w:r w:rsidRPr="004C4874">
              <w:rPr>
                <w:rFonts w:asciiTheme="minorHAnsi" w:eastAsia="Arial" w:hAnsiTheme="minorHAnsi" w:cstheme="minorHAnsi"/>
                <w:sz w:val="20"/>
                <w:lang w:eastAsia="en-US"/>
              </w:rPr>
              <w:t xml:space="preserve"> modest carbon footprint related to travel and energy use. The GGP programme, through forest expansion </w:t>
            </w:r>
            <w:r w:rsidR="001B54B7">
              <w:rPr>
                <w:rFonts w:asciiTheme="minorHAnsi" w:eastAsia="Arial" w:hAnsiTheme="minorHAnsi" w:cstheme="minorHAnsi"/>
                <w:sz w:val="20"/>
                <w:lang w:eastAsia="en-US"/>
              </w:rPr>
              <w:t>within</w:t>
            </w:r>
            <w:r w:rsidRPr="004C4874">
              <w:rPr>
                <w:rFonts w:asciiTheme="minorHAnsi" w:eastAsia="Arial" w:hAnsiTheme="minorHAnsi" w:cstheme="minorHAnsi"/>
                <w:sz w:val="20"/>
                <w:lang w:eastAsia="en-US"/>
              </w:rPr>
              <w:t xml:space="preserve"> the child project</w:t>
            </w:r>
            <w:r w:rsidR="001B54B7">
              <w:rPr>
                <w:rFonts w:asciiTheme="minorHAnsi" w:eastAsia="Arial" w:hAnsiTheme="minorHAnsi" w:cstheme="minorHAnsi"/>
                <w:sz w:val="20"/>
                <w:lang w:eastAsia="en-US"/>
              </w:rPr>
              <w:t>s</w:t>
            </w:r>
            <w:r w:rsidRPr="004C4874">
              <w:rPr>
                <w:rFonts w:asciiTheme="minorHAnsi" w:eastAsia="Arial" w:hAnsiTheme="minorHAnsi" w:cstheme="minorHAnsi"/>
                <w:sz w:val="20"/>
                <w:lang w:eastAsia="en-US"/>
              </w:rPr>
              <w:t xml:space="preserve"> should result carbon negative. The program</w:t>
            </w:r>
            <w:r w:rsidR="001B54B7">
              <w:rPr>
                <w:rFonts w:asciiTheme="minorHAnsi" w:eastAsia="Arial" w:hAnsiTheme="minorHAnsi" w:cstheme="minorHAnsi"/>
                <w:sz w:val="20"/>
                <w:lang w:eastAsia="en-US"/>
              </w:rPr>
              <w:t>´</w:t>
            </w:r>
            <w:r w:rsidRPr="004C4874">
              <w:rPr>
                <w:rFonts w:asciiTheme="minorHAnsi" w:eastAsia="Arial" w:hAnsiTheme="minorHAnsi" w:cstheme="minorHAnsi"/>
                <w:sz w:val="20"/>
                <w:lang w:eastAsia="en-US"/>
              </w:rPr>
              <w:t xml:space="preserve">s tools, such as the GCC, Evidensia, Trace, and tookits plus experiences will assure a mid-term improvement to the ecosystems where commodity driven deforestation </w:t>
            </w:r>
            <w:r w:rsidRPr="004C4874">
              <w:rPr>
                <w:rFonts w:asciiTheme="minorHAnsi" w:eastAsia="Arial" w:hAnsiTheme="minorHAnsi" w:cstheme="minorHAnsi"/>
                <w:sz w:val="20"/>
                <w:lang w:eastAsia="en-US"/>
              </w:rPr>
              <w:lastRenderedPageBreak/>
              <w:t>is occurring. A SESA at inception and a scoping late in the project indicate</w:t>
            </w:r>
            <w:r w:rsidR="001B54B7">
              <w:rPr>
                <w:rFonts w:asciiTheme="minorHAnsi" w:eastAsia="Arial" w:hAnsiTheme="minorHAnsi" w:cstheme="minorHAnsi"/>
                <w:sz w:val="20"/>
                <w:lang w:eastAsia="en-US"/>
              </w:rPr>
              <w:t>s</w:t>
            </w:r>
            <w:r w:rsidRPr="004C4874">
              <w:rPr>
                <w:rFonts w:asciiTheme="minorHAnsi" w:eastAsia="Arial" w:hAnsiTheme="minorHAnsi" w:cstheme="minorHAnsi"/>
                <w:sz w:val="20"/>
                <w:lang w:eastAsia="en-US"/>
              </w:rPr>
              <w:t xml:space="preserve"> a low or no environmental impact.</w:t>
            </w:r>
          </w:p>
        </w:tc>
      </w:tr>
    </w:tbl>
    <w:p w14:paraId="14FBE188" w14:textId="77777777" w:rsidR="00407290" w:rsidRPr="00407290" w:rsidRDefault="00407290" w:rsidP="00407290">
      <w:pPr>
        <w:widowControl w:val="0"/>
        <w:autoSpaceDE w:val="0"/>
        <w:autoSpaceDN w:val="0"/>
        <w:spacing w:before="9" w:after="0" w:line="240" w:lineRule="auto"/>
        <w:rPr>
          <w:rFonts w:ascii="Arial" w:eastAsia="Arial" w:hAnsi="Arial" w:cs="Arial"/>
          <w:b/>
          <w:sz w:val="9"/>
          <w:szCs w:val="20"/>
          <w:lang w:eastAsia="en-US"/>
        </w:rPr>
      </w:pPr>
    </w:p>
    <w:p w14:paraId="1E07D28F" w14:textId="77777777" w:rsidR="00407290" w:rsidRPr="00407290" w:rsidRDefault="00407290" w:rsidP="00407290">
      <w:pPr>
        <w:widowControl w:val="0"/>
        <w:autoSpaceDE w:val="0"/>
        <w:autoSpaceDN w:val="0"/>
        <w:spacing w:after="0" w:line="240" w:lineRule="auto"/>
        <w:rPr>
          <w:rFonts w:ascii="Arial" w:eastAsia="Arial" w:hAnsi="Arial" w:cs="Arial"/>
          <w:b/>
          <w:sz w:val="20"/>
          <w:szCs w:val="20"/>
          <w:lang w:eastAsia="en-US"/>
        </w:rPr>
      </w:pPr>
    </w:p>
    <w:p w14:paraId="2D257B9C" w14:textId="77777777" w:rsidR="00407290" w:rsidRPr="00407290" w:rsidRDefault="00407290" w:rsidP="00407290">
      <w:pPr>
        <w:widowControl w:val="0"/>
        <w:autoSpaceDE w:val="0"/>
        <w:autoSpaceDN w:val="0"/>
        <w:spacing w:before="5" w:after="0" w:line="240" w:lineRule="auto"/>
        <w:rPr>
          <w:rFonts w:ascii="Arial" w:eastAsia="Arial" w:hAnsi="Arial" w:cs="Arial"/>
          <w:b/>
          <w:sz w:val="20"/>
          <w:szCs w:val="20"/>
          <w:lang w:eastAsia="en-US"/>
        </w:rPr>
      </w:pPr>
    </w:p>
    <w:p w14:paraId="1203EA57" w14:textId="77777777" w:rsidR="00407290" w:rsidRPr="007359CA" w:rsidRDefault="00407290" w:rsidP="007359CA">
      <w:pPr>
        <w:rPr>
          <w:b/>
          <w:bCs/>
          <w:lang w:eastAsia="en-US"/>
        </w:rPr>
      </w:pPr>
      <w:r w:rsidRPr="007359CA">
        <w:rPr>
          <w:b/>
          <w:bCs/>
          <w:lang w:eastAsia="en-US"/>
        </w:rPr>
        <w:t>Concise summary of conclusions</w:t>
      </w:r>
    </w:p>
    <w:p w14:paraId="3B41B6D7" w14:textId="77777777" w:rsidR="00407290" w:rsidRPr="00407290" w:rsidRDefault="00407290" w:rsidP="00407290">
      <w:pPr>
        <w:widowControl w:val="0"/>
        <w:autoSpaceDE w:val="0"/>
        <w:autoSpaceDN w:val="0"/>
        <w:spacing w:after="120" w:line="240" w:lineRule="auto"/>
        <w:rPr>
          <w:rFonts w:ascii="Arial" w:eastAsia="Arial" w:hAnsi="Arial" w:cs="Arial"/>
          <w:b/>
          <w:sz w:val="20"/>
          <w:szCs w:val="20"/>
          <w:lang w:eastAsia="en-US"/>
        </w:rPr>
      </w:pPr>
    </w:p>
    <w:p w14:paraId="63102886" w14:textId="7B5635DE" w:rsidR="00407290" w:rsidRPr="00E312DA" w:rsidRDefault="00407290" w:rsidP="00407290">
      <w:pPr>
        <w:widowControl w:val="0"/>
        <w:autoSpaceDE w:val="0"/>
        <w:autoSpaceDN w:val="0"/>
        <w:spacing w:after="120" w:line="240" w:lineRule="auto"/>
        <w:ind w:left="176" w:right="254"/>
        <w:jc w:val="both"/>
        <w:rPr>
          <w:rFonts w:asciiTheme="minorHAnsi" w:eastAsia="Arial" w:hAnsiTheme="minorHAnsi" w:cstheme="minorHAnsi"/>
          <w:lang w:eastAsia="en-US"/>
        </w:rPr>
      </w:pPr>
      <w:r w:rsidRPr="00E312DA">
        <w:rPr>
          <w:rFonts w:asciiTheme="minorHAnsi" w:eastAsia="Arial" w:hAnsiTheme="minorHAnsi" w:cstheme="minorHAnsi"/>
          <w:lang w:eastAsia="en-US"/>
        </w:rPr>
        <w:t xml:space="preserve">Conclusions are presented in each section of the Terminal Evaluation Report with a summary table included in </w:t>
      </w:r>
      <w:hyperlink w:anchor="_Annex_14._Annex" w:history="1">
        <w:r w:rsidRPr="00E312DA">
          <w:rPr>
            <w:rStyle w:val="Hyperlink"/>
            <w:rFonts w:asciiTheme="minorHAnsi" w:hAnsiTheme="minorHAnsi" w:cstheme="minorHAnsi"/>
          </w:rPr>
          <w:t>Annex 14</w:t>
        </w:r>
      </w:hyperlink>
      <w:r w:rsidRPr="00E312DA">
        <w:rPr>
          <w:rFonts w:asciiTheme="minorHAnsi" w:eastAsia="Arial" w:hAnsiTheme="minorHAnsi" w:cstheme="minorHAnsi"/>
          <w:lang w:eastAsia="en-US"/>
        </w:rPr>
        <w:t xml:space="preserve">. </w:t>
      </w:r>
      <w:r w:rsidR="00E312DA">
        <w:rPr>
          <w:rFonts w:asciiTheme="minorHAnsi" w:eastAsia="Arial" w:hAnsiTheme="minorHAnsi" w:cstheme="minorHAnsi"/>
          <w:lang w:eastAsia="en-US"/>
        </w:rPr>
        <w:t xml:space="preserve">The salient conclusions are summarized as follows: </w:t>
      </w:r>
    </w:p>
    <w:p w14:paraId="7DEF9563" w14:textId="77777777" w:rsidR="00407290" w:rsidRPr="00E312DA" w:rsidRDefault="00407290" w:rsidP="00407290">
      <w:pPr>
        <w:widowControl w:val="0"/>
        <w:autoSpaceDE w:val="0"/>
        <w:autoSpaceDN w:val="0"/>
        <w:spacing w:after="120" w:line="240" w:lineRule="auto"/>
        <w:ind w:left="176" w:right="254"/>
        <w:jc w:val="both"/>
        <w:rPr>
          <w:rFonts w:asciiTheme="minorHAnsi" w:eastAsia="Arial" w:hAnsiTheme="minorHAnsi" w:cstheme="minorHAnsi"/>
          <w:lang w:eastAsia="en-US"/>
        </w:rPr>
      </w:pPr>
    </w:p>
    <w:p w14:paraId="6B42E8B4" w14:textId="3BA462E2" w:rsidR="00407290" w:rsidRPr="00E312DA"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E312DA">
        <w:rPr>
          <w:rFonts w:asciiTheme="minorHAnsi" w:eastAsia="Arial" w:hAnsiTheme="minorHAnsi" w:cstheme="minorHAnsi"/>
          <w:u w:val="single"/>
          <w:lang w:eastAsia="en-US"/>
        </w:rPr>
        <w:t>Project Design</w:t>
      </w:r>
      <w:r w:rsidRPr="00E312DA">
        <w:rPr>
          <w:rFonts w:asciiTheme="minorHAnsi" w:eastAsia="Arial" w:hAnsiTheme="minorHAnsi" w:cstheme="minorHAnsi"/>
          <w:lang w:eastAsia="en-US"/>
        </w:rPr>
        <w:t xml:space="preserve">: The project context provided an adequate base for the project´s development. The project architecture is solid. the suite of outputs supports the outcomes and the outcomes logically support the development objective.  Tactically, the project was too short for an Integrated Approach Pilot and significantly underbudgeted.  This affected the level of integration achieved as no budget was available for important </w:t>
      </w:r>
      <w:r w:rsidR="000A1FAD">
        <w:rPr>
          <w:rFonts w:asciiTheme="minorHAnsi" w:eastAsia="Arial" w:hAnsiTheme="minorHAnsi" w:cstheme="minorHAnsi"/>
          <w:lang w:eastAsia="en-US"/>
        </w:rPr>
        <w:t xml:space="preserve">integration </w:t>
      </w:r>
      <w:r w:rsidRPr="00E312DA">
        <w:rPr>
          <w:rFonts w:asciiTheme="minorHAnsi" w:eastAsia="Arial" w:hAnsiTheme="minorHAnsi" w:cstheme="minorHAnsi"/>
          <w:lang w:eastAsia="en-US"/>
        </w:rPr>
        <w:t xml:space="preserve">activities. Integration was further curtailed by travel restrictions related to COVID-19.  The Child projects were designed before the A&amp;L project and were not wired for integration. The PMU did an admirable job of </w:t>
      </w:r>
      <w:r w:rsidR="000A1FAD">
        <w:rPr>
          <w:rFonts w:asciiTheme="minorHAnsi" w:eastAsia="Arial" w:hAnsiTheme="minorHAnsi" w:cstheme="minorHAnsi"/>
          <w:lang w:eastAsia="en-US"/>
        </w:rPr>
        <w:t>developing planning activities</w:t>
      </w:r>
      <w:r w:rsidRPr="00E312DA">
        <w:rPr>
          <w:rFonts w:asciiTheme="minorHAnsi" w:eastAsia="Arial" w:hAnsiTheme="minorHAnsi" w:cstheme="minorHAnsi"/>
          <w:lang w:eastAsia="en-US"/>
        </w:rPr>
        <w:t xml:space="preserve"> for </w:t>
      </w:r>
      <w:r w:rsidR="000A1FAD">
        <w:rPr>
          <w:rFonts w:asciiTheme="minorHAnsi" w:eastAsia="Arial" w:hAnsiTheme="minorHAnsi" w:cstheme="minorHAnsi"/>
          <w:lang w:eastAsia="en-US"/>
        </w:rPr>
        <w:t xml:space="preserve">improved </w:t>
      </w:r>
      <w:r w:rsidRPr="00E312DA">
        <w:rPr>
          <w:rFonts w:asciiTheme="minorHAnsi" w:eastAsia="Arial" w:hAnsiTheme="minorHAnsi" w:cstheme="minorHAnsi"/>
          <w:lang w:eastAsia="en-US"/>
        </w:rPr>
        <w:t>integrat</w:t>
      </w:r>
      <w:r w:rsidR="000A1FAD">
        <w:rPr>
          <w:rFonts w:asciiTheme="minorHAnsi" w:eastAsia="Arial" w:hAnsiTheme="minorHAnsi" w:cstheme="minorHAnsi"/>
          <w:lang w:eastAsia="en-US"/>
        </w:rPr>
        <w:t>ion</w:t>
      </w:r>
      <w:r w:rsidRPr="00E312DA">
        <w:rPr>
          <w:rFonts w:asciiTheme="minorHAnsi" w:eastAsia="Arial" w:hAnsiTheme="minorHAnsi" w:cstheme="minorHAnsi"/>
          <w:lang w:eastAsia="en-US"/>
        </w:rPr>
        <w:t xml:space="preserve"> planning across 4 countries and multiple thematic areas. </w:t>
      </w:r>
    </w:p>
    <w:p w14:paraId="00E63768" w14:textId="565286C5" w:rsidR="00407290" w:rsidRPr="00E312DA"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E312DA">
        <w:rPr>
          <w:rFonts w:asciiTheme="minorHAnsi" w:eastAsia="Arial" w:hAnsiTheme="minorHAnsi" w:cstheme="minorHAnsi"/>
          <w:u w:val="single"/>
          <w:lang w:eastAsia="en-US"/>
        </w:rPr>
        <w:t>Logical Framework</w:t>
      </w:r>
      <w:r w:rsidRPr="00E312DA">
        <w:rPr>
          <w:rFonts w:asciiTheme="minorHAnsi" w:eastAsia="Arial" w:hAnsiTheme="minorHAnsi" w:cstheme="minorHAnsi"/>
          <w:lang w:eastAsia="en-US"/>
        </w:rPr>
        <w:t xml:space="preserve">: The project Theory of </w:t>
      </w:r>
      <w:r w:rsidR="000A1FAD">
        <w:rPr>
          <w:rFonts w:asciiTheme="minorHAnsi" w:eastAsia="Arial" w:hAnsiTheme="minorHAnsi" w:cstheme="minorHAnsi"/>
          <w:lang w:eastAsia="en-US"/>
        </w:rPr>
        <w:t>C</w:t>
      </w:r>
      <w:r w:rsidRPr="00E312DA">
        <w:rPr>
          <w:rFonts w:asciiTheme="minorHAnsi" w:eastAsia="Arial" w:hAnsiTheme="minorHAnsi" w:cstheme="minorHAnsi"/>
          <w:lang w:eastAsia="en-US"/>
        </w:rPr>
        <w:t>hange</w:t>
      </w:r>
      <w:r w:rsidR="000A1FAD">
        <w:rPr>
          <w:rFonts w:asciiTheme="minorHAnsi" w:eastAsia="Arial" w:hAnsiTheme="minorHAnsi" w:cstheme="minorHAnsi"/>
          <w:lang w:eastAsia="en-US"/>
        </w:rPr>
        <w:t xml:space="preserve"> (TOC)</w:t>
      </w:r>
      <w:r w:rsidRPr="00E312DA">
        <w:rPr>
          <w:rFonts w:asciiTheme="minorHAnsi" w:eastAsia="Arial" w:hAnsiTheme="minorHAnsi" w:cstheme="minorHAnsi"/>
          <w:lang w:eastAsia="en-US"/>
        </w:rPr>
        <w:t xml:space="preserve"> is sound. The project architecture is also sound. </w:t>
      </w:r>
      <w:r w:rsidR="000A1FAD">
        <w:rPr>
          <w:rFonts w:asciiTheme="minorHAnsi" w:eastAsia="Arial" w:hAnsiTheme="minorHAnsi" w:cstheme="minorHAnsi"/>
          <w:lang w:eastAsia="en-US"/>
        </w:rPr>
        <w:t xml:space="preserve">Recommendations </w:t>
      </w:r>
      <w:r w:rsidRPr="00E312DA">
        <w:rPr>
          <w:rFonts w:asciiTheme="minorHAnsi" w:eastAsia="Arial" w:hAnsiTheme="minorHAnsi" w:cstheme="minorHAnsi"/>
          <w:lang w:eastAsia="en-US"/>
        </w:rPr>
        <w:t>are made in better distinguishing between assumptions and risks</w:t>
      </w:r>
      <w:r w:rsidR="000A1FAD">
        <w:rPr>
          <w:rFonts w:asciiTheme="minorHAnsi" w:eastAsia="Arial" w:hAnsiTheme="minorHAnsi" w:cstheme="minorHAnsi"/>
          <w:lang w:eastAsia="en-US"/>
        </w:rPr>
        <w:t xml:space="preserve"> in future project´s</w:t>
      </w:r>
      <w:r w:rsidRPr="00E312DA">
        <w:rPr>
          <w:rFonts w:asciiTheme="minorHAnsi" w:eastAsia="Arial" w:hAnsiTheme="minorHAnsi" w:cstheme="minorHAnsi"/>
          <w:lang w:eastAsia="en-US"/>
        </w:rPr>
        <w:t xml:space="preserve">. Specifically, </w:t>
      </w:r>
      <w:r w:rsidR="00FD6A8F">
        <w:rPr>
          <w:rFonts w:asciiTheme="minorHAnsi" w:eastAsia="Arial" w:hAnsiTheme="minorHAnsi" w:cstheme="minorHAnsi"/>
          <w:lang w:eastAsia="en-US"/>
        </w:rPr>
        <w:t>n</w:t>
      </w:r>
      <w:r w:rsidRPr="00E312DA">
        <w:rPr>
          <w:rFonts w:asciiTheme="minorHAnsi" w:eastAsia="Arial" w:hAnsiTheme="minorHAnsi" w:cstheme="minorHAnsi"/>
          <w:lang w:eastAsia="en-US"/>
        </w:rPr>
        <w:t>ew assumptions, such as</w:t>
      </w:r>
      <w:r w:rsidR="00FD6A8F">
        <w:rPr>
          <w:rFonts w:asciiTheme="minorHAnsi" w:eastAsia="Arial" w:hAnsiTheme="minorHAnsi" w:cstheme="minorHAnsi"/>
          <w:lang w:eastAsia="en-US"/>
        </w:rPr>
        <w:t xml:space="preserve"> environmental factors, </w:t>
      </w:r>
      <w:r w:rsidR="00FD6A8F" w:rsidRPr="00FD6A8F">
        <w:rPr>
          <w:rFonts w:asciiTheme="minorHAnsi" w:eastAsia="Arial" w:hAnsiTheme="minorHAnsi" w:cstheme="minorHAnsi"/>
          <w:i/>
          <w:iCs/>
          <w:lang w:eastAsia="en-US"/>
        </w:rPr>
        <w:t>e.g.,</w:t>
      </w:r>
      <w:r w:rsidRPr="00E312DA">
        <w:rPr>
          <w:rFonts w:asciiTheme="minorHAnsi" w:eastAsia="Arial" w:hAnsiTheme="minorHAnsi" w:cstheme="minorHAnsi"/>
          <w:lang w:eastAsia="en-US"/>
        </w:rPr>
        <w:t xml:space="preserve"> COVID</w:t>
      </w:r>
      <w:r w:rsidR="00FD6A8F">
        <w:rPr>
          <w:rFonts w:asciiTheme="minorHAnsi" w:eastAsia="Arial" w:hAnsiTheme="minorHAnsi" w:cstheme="minorHAnsi"/>
          <w:lang w:eastAsia="en-US"/>
        </w:rPr>
        <w:t>,</w:t>
      </w:r>
      <w:r w:rsidRPr="00E312DA">
        <w:rPr>
          <w:rFonts w:asciiTheme="minorHAnsi" w:eastAsia="Arial" w:hAnsiTheme="minorHAnsi" w:cstheme="minorHAnsi"/>
          <w:lang w:eastAsia="en-US"/>
        </w:rPr>
        <w:t xml:space="preserve"> were identified and several assumptions, such as participation, are really pre-conditions to be considered int </w:t>
      </w:r>
      <w:r w:rsidR="00FD6A8F">
        <w:rPr>
          <w:rFonts w:asciiTheme="minorHAnsi" w:eastAsia="Arial" w:hAnsiTheme="minorHAnsi" w:cstheme="minorHAnsi"/>
          <w:lang w:eastAsia="en-US"/>
        </w:rPr>
        <w:t>the</w:t>
      </w:r>
      <w:r w:rsidRPr="00E312DA">
        <w:rPr>
          <w:rFonts w:asciiTheme="minorHAnsi" w:eastAsia="Arial" w:hAnsiTheme="minorHAnsi" w:cstheme="minorHAnsi"/>
          <w:lang w:eastAsia="en-US"/>
        </w:rPr>
        <w:t xml:space="preserve"> projet design.  The indicators are top</w:t>
      </w:r>
      <w:r w:rsidR="00FD6A8F">
        <w:rPr>
          <w:rFonts w:asciiTheme="minorHAnsi" w:eastAsia="Arial" w:hAnsiTheme="minorHAnsi" w:cstheme="minorHAnsi"/>
          <w:lang w:eastAsia="en-US"/>
        </w:rPr>
        <w:t>-</w:t>
      </w:r>
      <w:r w:rsidRPr="00E312DA">
        <w:rPr>
          <w:rFonts w:asciiTheme="minorHAnsi" w:eastAsia="Arial" w:hAnsiTheme="minorHAnsi" w:cstheme="minorHAnsi"/>
          <w:lang w:eastAsia="en-US"/>
        </w:rPr>
        <w:t>heavy with structural indicators with very few process indicators. Recommendations are made for future projects in better balancing Impact, Structure and Process indicators</w:t>
      </w:r>
    </w:p>
    <w:p w14:paraId="1AE8478E" w14:textId="77777777" w:rsidR="00407290" w:rsidRPr="00E312DA"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E312DA">
        <w:rPr>
          <w:rFonts w:asciiTheme="minorHAnsi" w:eastAsia="Arial" w:hAnsiTheme="minorHAnsi" w:cstheme="minorHAnsi"/>
          <w:u w:val="single"/>
          <w:lang w:eastAsia="en-US"/>
        </w:rPr>
        <w:t>Stakeholder participation</w:t>
      </w:r>
      <w:r w:rsidRPr="00E312DA">
        <w:rPr>
          <w:rFonts w:asciiTheme="minorHAnsi" w:eastAsia="Arial" w:hAnsiTheme="minorHAnsi" w:cstheme="minorHAnsi"/>
          <w:lang w:eastAsia="en-US"/>
        </w:rPr>
        <w:t xml:space="preserve"> in all aspects including gender, and stakeholder groups at multiple levels was taken into account at project design. A multi-tier governance structure for the GGP nd a board for the A&amp;L Project are functioning as prescribed.</w:t>
      </w:r>
    </w:p>
    <w:p w14:paraId="5C0DE3F5" w14:textId="77777777" w:rsidR="00407290" w:rsidRPr="00E312DA"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E312DA">
        <w:rPr>
          <w:rFonts w:asciiTheme="minorHAnsi" w:eastAsia="Arial" w:hAnsiTheme="minorHAnsi" w:cstheme="minorHAnsi"/>
          <w:u w:val="single"/>
          <w:lang w:eastAsia="en-US"/>
        </w:rPr>
        <w:t>Social and Environmental safeguards</w:t>
      </w:r>
      <w:r w:rsidRPr="00E312DA">
        <w:rPr>
          <w:rFonts w:asciiTheme="minorHAnsi" w:eastAsia="Arial" w:hAnsiTheme="minorHAnsi" w:cstheme="minorHAnsi"/>
          <w:lang w:eastAsia="en-US"/>
        </w:rPr>
        <w:t>: UNDP has taken care to file a full SESA at project formulation with several reviews. Gender participation is supported though 11 different products from the child projects and also through learning materials published by A&amp;L an other child projects. A grievance contact is present on all country UNDP websites</w:t>
      </w:r>
    </w:p>
    <w:p w14:paraId="1BEF1D63" w14:textId="1CF90E5C" w:rsidR="00407290" w:rsidRPr="00090E16" w:rsidRDefault="00407290" w:rsidP="00AC41DE">
      <w:pPr>
        <w:pStyle w:val="ListParagraph"/>
        <w:numPr>
          <w:ilvl w:val="0"/>
          <w:numId w:val="78"/>
        </w:numPr>
        <w:spacing w:after="120"/>
        <w:ind w:right="254"/>
        <w:jc w:val="both"/>
        <w:rPr>
          <w:rFonts w:asciiTheme="minorHAnsi" w:eastAsia="Arial" w:hAnsiTheme="minorHAnsi" w:cstheme="minorHAnsi"/>
        </w:rPr>
      </w:pPr>
      <w:r w:rsidRPr="00090E16">
        <w:rPr>
          <w:rFonts w:asciiTheme="minorHAnsi" w:eastAsia="Arial" w:hAnsiTheme="minorHAnsi" w:cstheme="minorHAnsi"/>
          <w:u w:val="single"/>
        </w:rPr>
        <w:t>Project Finance and Co-finance</w:t>
      </w:r>
      <w:r w:rsidRPr="00090E16">
        <w:rPr>
          <w:rFonts w:asciiTheme="minorHAnsi" w:eastAsia="Arial" w:hAnsiTheme="minorHAnsi" w:cstheme="minorHAnsi"/>
        </w:rPr>
        <w:t xml:space="preserve">: </w:t>
      </w:r>
      <w:r w:rsidR="004E226F">
        <w:rPr>
          <w:rFonts w:asciiTheme="minorHAnsi" w:hAnsiTheme="minorHAnsi" w:cstheme="minorHAnsi"/>
        </w:rPr>
        <w:t>T</w:t>
      </w:r>
      <w:r w:rsidR="00090E16" w:rsidRPr="00AC41DE">
        <w:rPr>
          <w:rFonts w:asciiTheme="minorHAnsi" w:hAnsiTheme="minorHAnsi" w:cstheme="minorHAnsi"/>
        </w:rPr>
        <w:t>he total project value was</w:t>
      </w:r>
      <w:r w:rsidR="00C9687D">
        <w:rPr>
          <w:rFonts w:asciiTheme="minorHAnsi" w:hAnsiTheme="minorHAnsi" w:cstheme="minorHAnsi"/>
        </w:rPr>
        <w:t xml:space="preserve"> $10,379,247 U.S.</w:t>
      </w:r>
      <w:r w:rsidR="00090E16" w:rsidRPr="00AC41DE">
        <w:rPr>
          <w:rFonts w:asciiTheme="minorHAnsi" w:hAnsiTheme="minorHAnsi" w:cstheme="minorHAnsi"/>
        </w:rPr>
        <w:t xml:space="preserve"> with </w:t>
      </w:r>
      <w:r w:rsidR="007137E6">
        <w:rPr>
          <w:rFonts w:asciiTheme="minorHAnsi" w:hAnsiTheme="minorHAnsi" w:cstheme="minorHAnsi"/>
        </w:rPr>
        <w:t>an execution of 92% of the GEF Trust Fund contribution (</w:t>
      </w:r>
      <w:r w:rsidR="00090E16" w:rsidRPr="00AC41DE">
        <w:rPr>
          <w:rFonts w:asciiTheme="minorHAnsi" w:hAnsiTheme="minorHAnsi" w:cstheme="minorHAnsi"/>
        </w:rPr>
        <w:t>$</w:t>
      </w:r>
      <w:r w:rsidR="00B15ACB">
        <w:rPr>
          <w:rFonts w:asciiTheme="minorHAnsi" w:hAnsiTheme="minorHAnsi" w:cstheme="minorHAnsi"/>
        </w:rPr>
        <w:t>3,644,553</w:t>
      </w:r>
      <w:r w:rsidR="00090E16" w:rsidRPr="00AC41DE">
        <w:rPr>
          <w:rFonts w:asciiTheme="minorHAnsi" w:hAnsiTheme="minorHAnsi" w:cstheme="minorHAnsi"/>
        </w:rPr>
        <w:t xml:space="preserve"> U.S. </w:t>
      </w:r>
      <w:r w:rsidR="007137E6">
        <w:rPr>
          <w:rFonts w:asciiTheme="minorHAnsi" w:hAnsiTheme="minorHAnsi" w:cstheme="minorHAnsi"/>
        </w:rPr>
        <w:t xml:space="preserve">total execution: </w:t>
      </w:r>
      <w:r w:rsidR="00090E16" w:rsidRPr="00AC41DE">
        <w:rPr>
          <w:rFonts w:asciiTheme="minorHAnsi" w:hAnsiTheme="minorHAnsi" w:cstheme="minorHAnsi"/>
        </w:rPr>
        <w:t>$</w:t>
      </w:r>
      <w:r w:rsidR="00B87603">
        <w:rPr>
          <w:rFonts w:asciiTheme="minorHAnsi" w:hAnsiTheme="minorHAnsi" w:cstheme="minorHAnsi"/>
        </w:rPr>
        <w:t>2,415,237</w:t>
      </w:r>
      <w:r w:rsidR="00090E16" w:rsidRPr="00AC41DE">
        <w:rPr>
          <w:rFonts w:asciiTheme="minorHAnsi" w:hAnsiTheme="minorHAnsi" w:cstheme="minorHAnsi"/>
        </w:rPr>
        <w:t xml:space="preserve"> UNDP</w:t>
      </w:r>
      <w:r w:rsidR="007137E6">
        <w:rPr>
          <w:rFonts w:asciiTheme="minorHAnsi" w:hAnsiTheme="minorHAnsi" w:cstheme="minorHAnsi"/>
        </w:rPr>
        <w:t xml:space="preserve"> plus</w:t>
      </w:r>
      <w:r w:rsidR="00090E16" w:rsidRPr="00AC41DE">
        <w:rPr>
          <w:rFonts w:asciiTheme="minorHAnsi" w:hAnsiTheme="minorHAnsi" w:cstheme="minorHAnsi"/>
        </w:rPr>
        <w:t xml:space="preserve"> $1,229,</w:t>
      </w:r>
      <w:r w:rsidR="00571CC9" w:rsidRPr="00571CC9">
        <w:rPr>
          <w:rFonts w:asciiTheme="minorHAnsi" w:hAnsiTheme="minorHAnsi" w:cstheme="minorHAnsi"/>
        </w:rPr>
        <w:t xml:space="preserve"> </w:t>
      </w:r>
      <w:r w:rsidR="00571CC9" w:rsidRPr="00AC41DE">
        <w:rPr>
          <w:rFonts w:asciiTheme="minorHAnsi" w:hAnsiTheme="minorHAnsi" w:cstheme="minorHAnsi"/>
        </w:rPr>
        <w:t>31</w:t>
      </w:r>
      <w:r w:rsidR="00571CC9">
        <w:rPr>
          <w:rFonts w:asciiTheme="minorHAnsi" w:hAnsiTheme="minorHAnsi" w:cstheme="minorHAnsi"/>
        </w:rPr>
        <w:t>7</w:t>
      </w:r>
      <w:r w:rsidR="00090E16" w:rsidRPr="00AC41DE">
        <w:rPr>
          <w:rFonts w:asciiTheme="minorHAnsi" w:hAnsiTheme="minorHAnsi" w:cstheme="minorHAnsi"/>
        </w:rPr>
        <w:t xml:space="preserve"> WWF) and total co- financing of $6,714,69</w:t>
      </w:r>
      <w:r w:rsidR="00AB2F15">
        <w:rPr>
          <w:rFonts w:asciiTheme="minorHAnsi" w:hAnsiTheme="minorHAnsi" w:cstheme="minorHAnsi"/>
        </w:rPr>
        <w:t>4</w:t>
      </w:r>
      <w:r w:rsidR="00090E16" w:rsidRPr="00AC41DE">
        <w:rPr>
          <w:rFonts w:asciiTheme="minorHAnsi" w:hAnsiTheme="minorHAnsi" w:cstheme="minorHAnsi"/>
        </w:rPr>
        <w:t xml:space="preserve"> U.S.</w:t>
      </w:r>
      <w:r w:rsidR="00090E16" w:rsidRPr="00090E16">
        <w:rPr>
          <w:rFonts w:asciiTheme="minorHAnsi" w:hAnsiTheme="minorHAnsi" w:cstheme="minorHAnsi"/>
        </w:rPr>
        <w:t xml:space="preserve"> </w:t>
      </w:r>
      <w:r w:rsidRPr="00090E16">
        <w:rPr>
          <w:rFonts w:asciiTheme="minorHAnsi" w:eastAsia="Arial" w:hAnsiTheme="minorHAnsi" w:cstheme="minorHAnsi"/>
        </w:rPr>
        <w:t>The delivery of project co-financing proceeded more or less as planned. Total co-financing contributed at stage of the Terminal evaluation for components 1 and 3 is USD1,356,049. Component 2, already finalized in March 2021, ended with a total co-financing of USD 5,358,637</w:t>
      </w:r>
      <w:r w:rsidR="00AC41DE">
        <w:rPr>
          <w:rFonts w:asciiTheme="minorHAnsi" w:eastAsia="Arial" w:hAnsiTheme="minorHAnsi" w:cstheme="minorHAnsi"/>
        </w:rPr>
        <w:t>.</w:t>
      </w:r>
    </w:p>
    <w:p w14:paraId="3F4725FF" w14:textId="77777777" w:rsidR="00407290" w:rsidRPr="00FD6A8F"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E312DA">
        <w:rPr>
          <w:rFonts w:asciiTheme="minorHAnsi" w:eastAsia="Arial" w:hAnsiTheme="minorHAnsi" w:cstheme="minorHAnsi"/>
          <w:u w:val="single"/>
          <w:lang w:eastAsia="en-US"/>
        </w:rPr>
        <w:t>Relevance</w:t>
      </w:r>
      <w:r w:rsidRPr="00E312DA">
        <w:rPr>
          <w:rFonts w:asciiTheme="minorHAnsi" w:eastAsia="Arial" w:hAnsiTheme="minorHAnsi" w:cstheme="minorHAnsi"/>
          <w:lang w:eastAsia="en-US"/>
        </w:rPr>
        <w:t xml:space="preserve">: As a hub, the project connects Child projects that are connected to national priorities and strategies. A&amp;L conforms to GEF IAP goals and objectives, the UNDP strategic </w:t>
      </w:r>
      <w:r w:rsidRPr="00E312DA">
        <w:rPr>
          <w:rFonts w:asciiTheme="minorHAnsi" w:eastAsia="Arial" w:hAnsiTheme="minorHAnsi" w:cstheme="minorHAnsi"/>
          <w:lang w:eastAsia="en-US"/>
        </w:rPr>
        <w:lastRenderedPageBreak/>
        <w:t>framework  and SDGs. The Relevance rating is HS (6).</w:t>
      </w:r>
      <w:r w:rsidRPr="00FD6A8F">
        <w:rPr>
          <w:rFonts w:asciiTheme="minorHAnsi" w:hAnsiTheme="minorHAnsi" w:cstheme="minorHAnsi"/>
          <w:lang w:eastAsia="en-US"/>
        </w:rPr>
        <w:t xml:space="preserve"> </w:t>
      </w:r>
      <w:r w:rsidRPr="00FD6A8F">
        <w:rPr>
          <w:rFonts w:asciiTheme="minorHAnsi" w:eastAsia="Arial" w:hAnsiTheme="minorHAnsi" w:cstheme="minorHAnsi"/>
          <w:lang w:eastAsia="en-US"/>
        </w:rPr>
        <w:t>The project is aligned with SDG 2,5, 8, 12, 13. Aichi BD Targets, UNFCCC paris 2015, UNFF Global objective on forests</w:t>
      </w:r>
    </w:p>
    <w:p w14:paraId="278988F8" w14:textId="16106300" w:rsidR="00407290" w:rsidRPr="00FD6A8F"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FD6A8F">
        <w:rPr>
          <w:rFonts w:asciiTheme="minorHAnsi" w:eastAsia="Arial" w:hAnsiTheme="minorHAnsi" w:cstheme="minorHAnsi"/>
          <w:u w:val="single"/>
          <w:lang w:eastAsia="en-US"/>
        </w:rPr>
        <w:t>Efficiency</w:t>
      </w:r>
      <w:r w:rsidRPr="00FD6A8F">
        <w:rPr>
          <w:rFonts w:asciiTheme="minorHAnsi" w:eastAsia="Arial" w:hAnsiTheme="minorHAnsi" w:cstheme="minorHAnsi"/>
          <w:lang w:eastAsia="en-US"/>
        </w:rPr>
        <w:t>: A rating of Satisfactory (</w:t>
      </w:r>
      <w:r w:rsidR="00FD6A8F">
        <w:rPr>
          <w:rFonts w:asciiTheme="minorHAnsi" w:eastAsia="Arial" w:hAnsiTheme="minorHAnsi" w:cstheme="minorHAnsi"/>
          <w:lang w:eastAsia="en-US"/>
        </w:rPr>
        <w:t>=</w:t>
      </w:r>
      <w:r w:rsidRPr="00FD6A8F">
        <w:rPr>
          <w:rFonts w:asciiTheme="minorHAnsi" w:eastAsia="Arial" w:hAnsiTheme="minorHAnsi" w:cstheme="minorHAnsi"/>
          <w:lang w:eastAsia="en-US"/>
        </w:rPr>
        <w:t>5) was achieved for budget execution, programme capacity, use of shared resources, gender involvement, and efficiencies in management.</w:t>
      </w:r>
    </w:p>
    <w:p w14:paraId="62586A0F" w14:textId="64722301" w:rsidR="00407290" w:rsidRPr="00FD6A8F"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FD6A8F">
        <w:rPr>
          <w:rFonts w:asciiTheme="minorHAnsi" w:eastAsia="Arial" w:hAnsiTheme="minorHAnsi" w:cstheme="minorHAnsi"/>
          <w:u w:val="single"/>
          <w:lang w:eastAsia="en-US"/>
        </w:rPr>
        <w:t>Effectiveness</w:t>
      </w:r>
      <w:r w:rsidRPr="00FD6A8F">
        <w:rPr>
          <w:rFonts w:asciiTheme="minorHAnsi" w:eastAsia="Arial" w:hAnsiTheme="minorHAnsi" w:cstheme="minorHAnsi"/>
          <w:lang w:eastAsia="en-US"/>
        </w:rPr>
        <w:t xml:space="preserve">: See Table 1 above. the overall effectiveness rating is </w:t>
      </w:r>
      <w:r w:rsidR="00FD6A8F">
        <w:rPr>
          <w:rFonts w:asciiTheme="minorHAnsi" w:eastAsia="Arial" w:hAnsiTheme="minorHAnsi" w:cstheme="minorHAnsi"/>
          <w:lang w:eastAsia="en-US"/>
        </w:rPr>
        <w:t>=</w:t>
      </w:r>
      <w:r w:rsidRPr="00FD6A8F">
        <w:rPr>
          <w:rFonts w:asciiTheme="minorHAnsi" w:eastAsia="Arial" w:hAnsiTheme="minorHAnsi" w:cstheme="minorHAnsi"/>
          <w:lang w:eastAsia="en-US"/>
        </w:rPr>
        <w:t>5 (Satisfactory). the project has met its targets.</w:t>
      </w:r>
    </w:p>
    <w:p w14:paraId="74E9A4BA" w14:textId="3A14EF45" w:rsidR="00407290" w:rsidRPr="00FD6A8F"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FD6A8F">
        <w:rPr>
          <w:rFonts w:asciiTheme="minorHAnsi" w:eastAsia="Arial" w:hAnsiTheme="minorHAnsi" w:cstheme="minorHAnsi"/>
          <w:u w:val="single"/>
          <w:lang w:eastAsia="en-US"/>
        </w:rPr>
        <w:t xml:space="preserve">Overall Project </w:t>
      </w:r>
      <w:r w:rsidR="00FD6A8F">
        <w:rPr>
          <w:rFonts w:asciiTheme="minorHAnsi" w:eastAsia="Arial" w:hAnsiTheme="minorHAnsi" w:cstheme="minorHAnsi"/>
          <w:u w:val="single"/>
          <w:lang w:eastAsia="en-US"/>
        </w:rPr>
        <w:t>O</w:t>
      </w:r>
      <w:r w:rsidRPr="00FD6A8F">
        <w:rPr>
          <w:rFonts w:asciiTheme="minorHAnsi" w:eastAsia="Arial" w:hAnsiTheme="minorHAnsi" w:cstheme="minorHAnsi"/>
          <w:u w:val="single"/>
          <w:lang w:eastAsia="en-US"/>
        </w:rPr>
        <w:t>utcome Rating is S (5)</w:t>
      </w:r>
      <w:r w:rsidRPr="00FD6A8F">
        <w:rPr>
          <w:rFonts w:asciiTheme="minorHAnsi" w:eastAsia="Arial" w:hAnsiTheme="minorHAnsi" w:cstheme="minorHAnsi"/>
          <w:lang w:eastAsia="en-US"/>
        </w:rPr>
        <w:t xml:space="preserve">. </w:t>
      </w:r>
    </w:p>
    <w:p w14:paraId="42616743" w14:textId="77777777" w:rsidR="00407290" w:rsidRPr="00FD6A8F" w:rsidRDefault="00407290" w:rsidP="00407290">
      <w:pPr>
        <w:widowControl w:val="0"/>
        <w:numPr>
          <w:ilvl w:val="0"/>
          <w:numId w:val="78"/>
        </w:numPr>
        <w:autoSpaceDE w:val="0"/>
        <w:autoSpaceDN w:val="0"/>
        <w:spacing w:after="120" w:line="240" w:lineRule="auto"/>
        <w:ind w:right="254"/>
        <w:jc w:val="both"/>
        <w:rPr>
          <w:rFonts w:asciiTheme="minorHAnsi" w:eastAsia="Arial" w:hAnsiTheme="minorHAnsi" w:cstheme="minorHAnsi"/>
          <w:lang w:eastAsia="en-US"/>
        </w:rPr>
      </w:pPr>
      <w:r w:rsidRPr="00FD6A8F">
        <w:rPr>
          <w:rFonts w:asciiTheme="minorHAnsi" w:eastAsia="Arial" w:hAnsiTheme="minorHAnsi" w:cstheme="minorHAnsi"/>
          <w:u w:val="single"/>
          <w:lang w:eastAsia="en-US"/>
        </w:rPr>
        <w:t>Sustainability</w:t>
      </w:r>
      <w:r w:rsidRPr="00FD6A8F">
        <w:rPr>
          <w:rFonts w:asciiTheme="minorHAnsi" w:eastAsia="Arial" w:hAnsiTheme="minorHAnsi" w:cstheme="minorHAnsi"/>
          <w:lang w:eastAsia="en-US"/>
        </w:rPr>
        <w:t xml:space="preserve">: See Table 1.  </w:t>
      </w:r>
    </w:p>
    <w:p w14:paraId="421D1AC6" w14:textId="39C8685B" w:rsidR="00407290" w:rsidRDefault="00407290" w:rsidP="00E64686">
      <w:pPr>
        <w:jc w:val="both"/>
      </w:pPr>
      <w:bookmarkStart w:id="8" w:name="_Hlk90435635"/>
    </w:p>
    <w:p w14:paraId="42BFF743" w14:textId="7C564504" w:rsidR="00470E1C" w:rsidRPr="006D78AE" w:rsidRDefault="00470E1C" w:rsidP="00E64686">
      <w:pPr>
        <w:rPr>
          <w:rFonts w:asciiTheme="minorHAnsi" w:hAnsiTheme="minorHAnsi" w:cstheme="minorHAnsi"/>
          <w:sz w:val="20"/>
          <w:szCs w:val="20"/>
        </w:rPr>
      </w:pPr>
      <w:bookmarkStart w:id="9" w:name="_Hlk87977352"/>
      <w:r w:rsidRPr="006D78AE">
        <w:rPr>
          <w:rFonts w:asciiTheme="minorHAnsi" w:hAnsiTheme="minorHAnsi" w:cstheme="minorHAnsi"/>
          <w:sz w:val="20"/>
          <w:szCs w:val="20"/>
        </w:rPr>
        <w:t xml:space="preserve">Table </w:t>
      </w:r>
      <w:r w:rsidR="002B67A8" w:rsidRPr="006D78AE">
        <w:rPr>
          <w:rFonts w:asciiTheme="minorHAnsi" w:hAnsiTheme="minorHAnsi" w:cstheme="minorHAnsi"/>
          <w:sz w:val="20"/>
          <w:szCs w:val="20"/>
        </w:rPr>
        <w:t>2</w:t>
      </w:r>
      <w:r w:rsidRPr="006D78AE">
        <w:rPr>
          <w:rFonts w:asciiTheme="minorHAnsi" w:hAnsiTheme="minorHAnsi" w:cstheme="minorHAnsi"/>
          <w:sz w:val="20"/>
          <w:szCs w:val="20"/>
        </w:rPr>
        <w:t>. Evaluation Ratings Table</w:t>
      </w:r>
    </w:p>
    <w:tbl>
      <w:tblPr>
        <w:tblStyle w:val="TableNormal2"/>
        <w:tblW w:w="94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56"/>
        <w:gridCol w:w="1796"/>
        <w:gridCol w:w="49"/>
      </w:tblGrid>
      <w:tr w:rsidR="00470E1C" w:rsidRPr="006D78AE" w14:paraId="752976F7" w14:textId="77777777" w:rsidTr="009B4C22">
        <w:trPr>
          <w:gridAfter w:val="1"/>
          <w:wAfter w:w="49" w:type="dxa"/>
          <w:trHeight w:val="278"/>
        </w:trPr>
        <w:tc>
          <w:tcPr>
            <w:tcW w:w="7556" w:type="dxa"/>
            <w:tcBorders>
              <w:top w:val="nil"/>
            </w:tcBorders>
            <w:shd w:val="clear" w:color="auto" w:fill="1F3863"/>
          </w:tcPr>
          <w:p w14:paraId="597DAC37" w14:textId="77777777" w:rsidR="00470E1C" w:rsidRPr="006D78AE" w:rsidRDefault="00470E1C" w:rsidP="00BA2312">
            <w:pPr>
              <w:pStyle w:val="TableParagraph"/>
              <w:tabs>
                <w:tab w:val="left" w:pos="448"/>
              </w:tabs>
              <w:spacing w:line="258" w:lineRule="exact"/>
              <w:ind w:left="88"/>
              <w:rPr>
                <w:rFonts w:asciiTheme="minorHAnsi" w:hAnsiTheme="minorHAnsi" w:cstheme="minorHAnsi"/>
                <w:sz w:val="20"/>
                <w:szCs w:val="20"/>
              </w:rPr>
            </w:pPr>
            <w:r w:rsidRPr="006D78AE">
              <w:rPr>
                <w:rFonts w:asciiTheme="minorHAnsi" w:hAnsiTheme="minorHAnsi" w:cstheme="minorHAnsi"/>
                <w:color w:val="FFFFFF"/>
                <w:sz w:val="20"/>
                <w:szCs w:val="20"/>
              </w:rPr>
              <w:t>1.</w:t>
            </w:r>
            <w:r w:rsidRPr="006D78AE">
              <w:rPr>
                <w:rFonts w:asciiTheme="minorHAnsi" w:hAnsiTheme="minorHAnsi" w:cstheme="minorHAnsi"/>
                <w:color w:val="FFFFFF"/>
                <w:sz w:val="20"/>
                <w:szCs w:val="20"/>
              </w:rPr>
              <w:tab/>
              <w:t>Monitoring &amp; Evaluation</w:t>
            </w:r>
            <w:r w:rsidRPr="006D78AE">
              <w:rPr>
                <w:rFonts w:asciiTheme="minorHAnsi" w:hAnsiTheme="minorHAnsi" w:cstheme="minorHAnsi"/>
                <w:color w:val="FFFFFF"/>
                <w:spacing w:val="-7"/>
                <w:sz w:val="20"/>
                <w:szCs w:val="20"/>
              </w:rPr>
              <w:t xml:space="preserve"> </w:t>
            </w:r>
            <w:r w:rsidRPr="006D78AE">
              <w:rPr>
                <w:rFonts w:asciiTheme="minorHAnsi" w:hAnsiTheme="minorHAnsi" w:cstheme="minorHAnsi"/>
                <w:color w:val="FFFFFF"/>
                <w:sz w:val="20"/>
                <w:szCs w:val="20"/>
              </w:rPr>
              <w:t>(M&amp;E)</w:t>
            </w:r>
          </w:p>
        </w:tc>
        <w:tc>
          <w:tcPr>
            <w:tcW w:w="1796" w:type="dxa"/>
            <w:tcBorders>
              <w:top w:val="nil"/>
            </w:tcBorders>
            <w:shd w:val="clear" w:color="auto" w:fill="1F3863"/>
          </w:tcPr>
          <w:p w14:paraId="4544A2E1" w14:textId="77777777" w:rsidR="00470E1C" w:rsidRPr="006D78AE" w:rsidRDefault="00470E1C" w:rsidP="00124E61">
            <w:pPr>
              <w:pStyle w:val="TableParagraph"/>
              <w:spacing w:line="258" w:lineRule="exact"/>
              <w:ind w:left="578" w:right="575"/>
              <w:jc w:val="center"/>
              <w:rPr>
                <w:rFonts w:asciiTheme="minorHAnsi" w:hAnsiTheme="minorHAnsi" w:cstheme="minorHAnsi"/>
                <w:sz w:val="20"/>
                <w:szCs w:val="20"/>
              </w:rPr>
            </w:pPr>
            <w:r w:rsidRPr="006D78AE">
              <w:rPr>
                <w:rFonts w:asciiTheme="minorHAnsi" w:hAnsiTheme="minorHAnsi" w:cstheme="minorHAnsi"/>
                <w:color w:val="FFFFFF"/>
                <w:sz w:val="20"/>
                <w:szCs w:val="20"/>
              </w:rPr>
              <w:t>Rating</w:t>
            </w:r>
          </w:p>
        </w:tc>
      </w:tr>
      <w:tr w:rsidR="00470E1C" w:rsidRPr="006D78AE" w14:paraId="0C59540E" w14:textId="77777777" w:rsidTr="009B4C22">
        <w:trPr>
          <w:gridAfter w:val="1"/>
          <w:wAfter w:w="49" w:type="dxa"/>
          <w:trHeight w:val="280"/>
        </w:trPr>
        <w:tc>
          <w:tcPr>
            <w:tcW w:w="7556" w:type="dxa"/>
            <w:shd w:val="clear" w:color="auto" w:fill="D9E1F3"/>
          </w:tcPr>
          <w:p w14:paraId="52C5CAC7" w14:textId="77777777" w:rsidR="00470E1C" w:rsidRPr="006D78AE" w:rsidRDefault="00470E1C" w:rsidP="00BA2312">
            <w:pPr>
              <w:pStyle w:val="TableParagraph"/>
              <w:spacing w:line="261"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M&amp;E design at entry</w:t>
            </w:r>
          </w:p>
        </w:tc>
        <w:tc>
          <w:tcPr>
            <w:tcW w:w="1796" w:type="dxa"/>
          </w:tcPr>
          <w:p w14:paraId="0901279C" w14:textId="35AFC142" w:rsidR="00470E1C" w:rsidRPr="006D78AE" w:rsidRDefault="00124E61"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5=S</w:t>
            </w:r>
          </w:p>
        </w:tc>
      </w:tr>
      <w:tr w:rsidR="00470E1C" w:rsidRPr="006D78AE" w14:paraId="39BE8FEA" w14:textId="77777777" w:rsidTr="009B4C22">
        <w:trPr>
          <w:gridAfter w:val="1"/>
          <w:wAfter w:w="49" w:type="dxa"/>
          <w:trHeight w:val="278"/>
        </w:trPr>
        <w:tc>
          <w:tcPr>
            <w:tcW w:w="7556" w:type="dxa"/>
            <w:shd w:val="clear" w:color="auto" w:fill="D9E1F3"/>
          </w:tcPr>
          <w:p w14:paraId="59FA6265" w14:textId="77777777" w:rsidR="00470E1C" w:rsidRPr="006D78AE" w:rsidRDefault="00470E1C" w:rsidP="00BA2312">
            <w:pPr>
              <w:pStyle w:val="TableParagraph"/>
              <w:spacing w:line="258"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M&amp;E Plan Implementation</w:t>
            </w:r>
          </w:p>
        </w:tc>
        <w:tc>
          <w:tcPr>
            <w:tcW w:w="1796" w:type="dxa"/>
          </w:tcPr>
          <w:p w14:paraId="759D9734" w14:textId="09F0D194" w:rsidR="00470E1C" w:rsidRPr="006D78AE" w:rsidRDefault="00124E61"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6=</w:t>
            </w:r>
            <w:r w:rsidR="00435E92">
              <w:rPr>
                <w:rFonts w:asciiTheme="minorHAnsi" w:hAnsiTheme="minorHAnsi" w:cstheme="minorHAnsi"/>
                <w:sz w:val="20"/>
                <w:szCs w:val="20"/>
              </w:rPr>
              <w:t>HS</w:t>
            </w:r>
          </w:p>
        </w:tc>
      </w:tr>
      <w:tr w:rsidR="00470E1C" w:rsidRPr="006D78AE" w14:paraId="0C7AE7F2" w14:textId="77777777" w:rsidTr="009B4C22">
        <w:trPr>
          <w:gridAfter w:val="1"/>
          <w:wAfter w:w="49" w:type="dxa"/>
          <w:trHeight w:val="280"/>
        </w:trPr>
        <w:tc>
          <w:tcPr>
            <w:tcW w:w="7556" w:type="dxa"/>
            <w:shd w:val="clear" w:color="auto" w:fill="D9E1F3"/>
          </w:tcPr>
          <w:p w14:paraId="5EA3DEBF" w14:textId="77777777" w:rsidR="00470E1C" w:rsidRPr="006D78AE" w:rsidRDefault="00470E1C" w:rsidP="00BA2312">
            <w:pPr>
              <w:pStyle w:val="TableParagraph"/>
              <w:spacing w:line="261"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Overall Quality of M&amp;E</w:t>
            </w:r>
          </w:p>
        </w:tc>
        <w:tc>
          <w:tcPr>
            <w:tcW w:w="1796" w:type="dxa"/>
          </w:tcPr>
          <w:p w14:paraId="4FA51DF4" w14:textId="6AEDA662" w:rsidR="00470E1C" w:rsidRPr="006D78AE" w:rsidRDefault="002A6837"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6</w:t>
            </w:r>
            <w:r w:rsidR="00435E92">
              <w:rPr>
                <w:rFonts w:asciiTheme="minorHAnsi" w:hAnsiTheme="minorHAnsi" w:cstheme="minorHAnsi"/>
                <w:sz w:val="20"/>
                <w:szCs w:val="20"/>
              </w:rPr>
              <w:t>=HS</w:t>
            </w:r>
          </w:p>
        </w:tc>
      </w:tr>
      <w:tr w:rsidR="00470E1C" w:rsidRPr="006D78AE" w14:paraId="1944D5C7" w14:textId="77777777" w:rsidTr="009B4C22">
        <w:trPr>
          <w:gridAfter w:val="1"/>
          <w:wAfter w:w="49" w:type="dxa"/>
          <w:trHeight w:val="556"/>
        </w:trPr>
        <w:tc>
          <w:tcPr>
            <w:tcW w:w="7556" w:type="dxa"/>
            <w:shd w:val="clear" w:color="auto" w:fill="1F3863"/>
          </w:tcPr>
          <w:p w14:paraId="6220DB45" w14:textId="77777777" w:rsidR="00470E1C" w:rsidRPr="006D78AE" w:rsidRDefault="00470E1C" w:rsidP="00BA2312">
            <w:pPr>
              <w:pStyle w:val="TableParagraph"/>
              <w:spacing w:before="3" w:line="278" w:lineRule="exact"/>
              <w:ind w:left="448" w:right="65" w:hanging="341"/>
              <w:rPr>
                <w:rFonts w:asciiTheme="minorHAnsi" w:hAnsiTheme="minorHAnsi" w:cstheme="minorHAnsi"/>
                <w:sz w:val="20"/>
                <w:szCs w:val="20"/>
              </w:rPr>
            </w:pPr>
            <w:r w:rsidRPr="006D78AE">
              <w:rPr>
                <w:rFonts w:asciiTheme="minorHAnsi" w:hAnsiTheme="minorHAnsi" w:cstheme="minorHAnsi"/>
                <w:color w:val="FFFFFF"/>
                <w:sz w:val="20"/>
                <w:szCs w:val="20"/>
              </w:rPr>
              <w:t>2. Implementing Agency (IA) Implementation &amp; Executing Agency (EA) Execution</w:t>
            </w:r>
          </w:p>
        </w:tc>
        <w:tc>
          <w:tcPr>
            <w:tcW w:w="1796" w:type="dxa"/>
            <w:shd w:val="clear" w:color="auto" w:fill="1F3863"/>
          </w:tcPr>
          <w:p w14:paraId="2188D44A" w14:textId="77777777" w:rsidR="00470E1C" w:rsidRPr="006D78AE" w:rsidRDefault="00470E1C" w:rsidP="00124E61">
            <w:pPr>
              <w:pStyle w:val="TableParagraph"/>
              <w:spacing w:before="138"/>
              <w:ind w:left="578" w:right="575"/>
              <w:jc w:val="center"/>
              <w:rPr>
                <w:rFonts w:asciiTheme="minorHAnsi" w:hAnsiTheme="minorHAnsi" w:cstheme="minorHAnsi"/>
                <w:sz w:val="20"/>
                <w:szCs w:val="20"/>
              </w:rPr>
            </w:pPr>
            <w:r w:rsidRPr="006D78AE">
              <w:rPr>
                <w:rFonts w:asciiTheme="minorHAnsi" w:hAnsiTheme="minorHAnsi" w:cstheme="minorHAnsi"/>
                <w:color w:val="FFFFFF"/>
                <w:sz w:val="20"/>
                <w:szCs w:val="20"/>
              </w:rPr>
              <w:t>Rating</w:t>
            </w:r>
          </w:p>
        </w:tc>
      </w:tr>
      <w:tr w:rsidR="00470E1C" w:rsidRPr="006D78AE" w14:paraId="42142779" w14:textId="77777777" w:rsidTr="009B4C22">
        <w:trPr>
          <w:gridAfter w:val="1"/>
          <w:wAfter w:w="49" w:type="dxa"/>
          <w:trHeight w:val="279"/>
        </w:trPr>
        <w:tc>
          <w:tcPr>
            <w:tcW w:w="7556" w:type="dxa"/>
            <w:shd w:val="clear" w:color="auto" w:fill="D9E1F3"/>
          </w:tcPr>
          <w:p w14:paraId="00CA044B" w14:textId="77777777" w:rsidR="00470E1C" w:rsidRPr="006D78AE" w:rsidRDefault="00470E1C" w:rsidP="00BA2312">
            <w:pPr>
              <w:pStyle w:val="TableParagraph"/>
              <w:spacing w:line="259" w:lineRule="exact"/>
              <w:ind w:left="467"/>
              <w:rPr>
                <w:rFonts w:asciiTheme="minorHAnsi" w:hAnsiTheme="minorHAnsi" w:cstheme="minorHAnsi"/>
                <w:sz w:val="20"/>
                <w:szCs w:val="20"/>
              </w:rPr>
            </w:pPr>
            <w:r w:rsidRPr="006D78AE">
              <w:rPr>
                <w:rFonts w:asciiTheme="minorHAnsi" w:hAnsiTheme="minorHAnsi" w:cstheme="minorHAnsi"/>
                <w:color w:val="1F3863"/>
                <w:sz w:val="20"/>
                <w:szCs w:val="20"/>
              </w:rPr>
              <w:t>Quality of UNDP Implementation/Oversight</w:t>
            </w:r>
          </w:p>
        </w:tc>
        <w:tc>
          <w:tcPr>
            <w:tcW w:w="1796" w:type="dxa"/>
          </w:tcPr>
          <w:p w14:paraId="61137248" w14:textId="49AEB94D"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6=HS</w:t>
            </w:r>
          </w:p>
        </w:tc>
      </w:tr>
      <w:tr w:rsidR="00470E1C" w:rsidRPr="006D78AE" w14:paraId="121D87CC" w14:textId="77777777" w:rsidTr="009B4C22">
        <w:trPr>
          <w:gridAfter w:val="1"/>
          <w:wAfter w:w="49" w:type="dxa"/>
          <w:trHeight w:val="278"/>
        </w:trPr>
        <w:tc>
          <w:tcPr>
            <w:tcW w:w="7556" w:type="dxa"/>
            <w:shd w:val="clear" w:color="auto" w:fill="D9E1F3"/>
          </w:tcPr>
          <w:p w14:paraId="1A3B20CE" w14:textId="77777777" w:rsidR="00470E1C" w:rsidRPr="006D78AE" w:rsidRDefault="00470E1C" w:rsidP="00BA2312">
            <w:pPr>
              <w:pStyle w:val="TableParagraph"/>
              <w:spacing w:line="258" w:lineRule="exact"/>
              <w:ind w:left="467"/>
              <w:rPr>
                <w:rFonts w:asciiTheme="minorHAnsi" w:hAnsiTheme="minorHAnsi" w:cstheme="minorHAnsi"/>
                <w:sz w:val="20"/>
                <w:szCs w:val="20"/>
              </w:rPr>
            </w:pPr>
            <w:r w:rsidRPr="006D78AE">
              <w:rPr>
                <w:rFonts w:asciiTheme="minorHAnsi" w:hAnsiTheme="minorHAnsi" w:cstheme="minorHAnsi"/>
                <w:color w:val="1F3863"/>
                <w:sz w:val="20"/>
                <w:szCs w:val="20"/>
              </w:rPr>
              <w:t>Quality of Implementing Partner Execution</w:t>
            </w:r>
          </w:p>
        </w:tc>
        <w:tc>
          <w:tcPr>
            <w:tcW w:w="1796" w:type="dxa"/>
          </w:tcPr>
          <w:p w14:paraId="69663C20" w14:textId="6A650B7B"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6=HS</w:t>
            </w:r>
          </w:p>
        </w:tc>
      </w:tr>
      <w:tr w:rsidR="00470E1C" w:rsidRPr="006D78AE" w14:paraId="214FC75A" w14:textId="77777777" w:rsidTr="009B4C22">
        <w:trPr>
          <w:gridAfter w:val="1"/>
          <w:wAfter w:w="49" w:type="dxa"/>
          <w:trHeight w:val="280"/>
        </w:trPr>
        <w:tc>
          <w:tcPr>
            <w:tcW w:w="7556" w:type="dxa"/>
            <w:shd w:val="clear" w:color="auto" w:fill="D9E1F3"/>
          </w:tcPr>
          <w:p w14:paraId="11EF4D5E" w14:textId="77777777" w:rsidR="00470E1C" w:rsidRPr="006D78AE" w:rsidRDefault="00470E1C" w:rsidP="00BA2312">
            <w:pPr>
              <w:pStyle w:val="TableParagraph"/>
              <w:spacing w:line="261" w:lineRule="exact"/>
              <w:ind w:left="467"/>
              <w:rPr>
                <w:rFonts w:asciiTheme="minorHAnsi" w:hAnsiTheme="minorHAnsi" w:cstheme="minorHAnsi"/>
                <w:sz w:val="20"/>
                <w:szCs w:val="20"/>
              </w:rPr>
            </w:pPr>
            <w:r w:rsidRPr="006D78AE">
              <w:rPr>
                <w:rFonts w:asciiTheme="minorHAnsi" w:hAnsiTheme="minorHAnsi" w:cstheme="minorHAnsi"/>
                <w:color w:val="1F3863"/>
                <w:sz w:val="20"/>
                <w:szCs w:val="20"/>
              </w:rPr>
              <w:t>Overall quality of Implementation/Execution</w:t>
            </w:r>
          </w:p>
        </w:tc>
        <w:tc>
          <w:tcPr>
            <w:tcW w:w="1796" w:type="dxa"/>
          </w:tcPr>
          <w:p w14:paraId="2477C1BA" w14:textId="2D7A6F3F"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6=HS</w:t>
            </w:r>
          </w:p>
        </w:tc>
      </w:tr>
      <w:tr w:rsidR="00470E1C" w:rsidRPr="006D78AE" w14:paraId="69DE7AE5" w14:textId="77777777" w:rsidTr="009B4C22">
        <w:trPr>
          <w:gridAfter w:val="1"/>
          <w:wAfter w:w="49" w:type="dxa"/>
          <w:trHeight w:val="278"/>
        </w:trPr>
        <w:tc>
          <w:tcPr>
            <w:tcW w:w="7556" w:type="dxa"/>
            <w:shd w:val="clear" w:color="auto" w:fill="1F3863"/>
          </w:tcPr>
          <w:p w14:paraId="0C9F85D0" w14:textId="77777777" w:rsidR="00470E1C" w:rsidRPr="006D78AE" w:rsidRDefault="00470E1C" w:rsidP="00BA2312">
            <w:pPr>
              <w:pStyle w:val="TableParagraph"/>
              <w:tabs>
                <w:tab w:val="left" w:pos="448"/>
              </w:tabs>
              <w:spacing w:line="258" w:lineRule="exact"/>
              <w:ind w:left="88"/>
              <w:rPr>
                <w:rFonts w:asciiTheme="minorHAnsi" w:hAnsiTheme="minorHAnsi" w:cstheme="minorHAnsi"/>
                <w:sz w:val="20"/>
                <w:szCs w:val="20"/>
              </w:rPr>
            </w:pPr>
            <w:r w:rsidRPr="006D78AE">
              <w:rPr>
                <w:rFonts w:asciiTheme="minorHAnsi" w:hAnsiTheme="minorHAnsi" w:cstheme="minorHAnsi"/>
                <w:color w:val="FFFFFF"/>
                <w:sz w:val="20"/>
                <w:szCs w:val="20"/>
              </w:rPr>
              <w:t>3.</w:t>
            </w:r>
            <w:r w:rsidRPr="006D78AE">
              <w:rPr>
                <w:rFonts w:asciiTheme="minorHAnsi" w:hAnsiTheme="minorHAnsi" w:cstheme="minorHAnsi"/>
                <w:color w:val="FFFFFF"/>
                <w:sz w:val="20"/>
                <w:szCs w:val="20"/>
              </w:rPr>
              <w:tab/>
              <w:t>Assessment of</w:t>
            </w:r>
            <w:r w:rsidRPr="006D78AE">
              <w:rPr>
                <w:rFonts w:asciiTheme="minorHAnsi" w:hAnsiTheme="minorHAnsi" w:cstheme="minorHAnsi"/>
                <w:color w:val="FFFFFF"/>
                <w:spacing w:val="-2"/>
                <w:sz w:val="20"/>
                <w:szCs w:val="20"/>
              </w:rPr>
              <w:t xml:space="preserve"> </w:t>
            </w:r>
            <w:r w:rsidRPr="006D78AE">
              <w:rPr>
                <w:rFonts w:asciiTheme="minorHAnsi" w:hAnsiTheme="minorHAnsi" w:cstheme="minorHAnsi"/>
                <w:color w:val="FFFFFF"/>
                <w:sz w:val="20"/>
                <w:szCs w:val="20"/>
              </w:rPr>
              <w:t>Outcomes</w:t>
            </w:r>
          </w:p>
        </w:tc>
        <w:tc>
          <w:tcPr>
            <w:tcW w:w="1796" w:type="dxa"/>
            <w:shd w:val="clear" w:color="auto" w:fill="1F3863"/>
          </w:tcPr>
          <w:p w14:paraId="5EDD464A" w14:textId="77777777" w:rsidR="00470E1C" w:rsidRPr="006D78AE" w:rsidRDefault="00470E1C" w:rsidP="00124E61">
            <w:pPr>
              <w:pStyle w:val="TableParagraph"/>
              <w:spacing w:line="258" w:lineRule="exact"/>
              <w:ind w:left="578" w:right="575"/>
              <w:jc w:val="center"/>
              <w:rPr>
                <w:rFonts w:asciiTheme="minorHAnsi" w:hAnsiTheme="minorHAnsi" w:cstheme="minorHAnsi"/>
                <w:sz w:val="20"/>
                <w:szCs w:val="20"/>
              </w:rPr>
            </w:pPr>
            <w:r w:rsidRPr="006D78AE">
              <w:rPr>
                <w:rFonts w:asciiTheme="minorHAnsi" w:hAnsiTheme="minorHAnsi" w:cstheme="minorHAnsi"/>
                <w:color w:val="FFFFFF"/>
                <w:sz w:val="20"/>
                <w:szCs w:val="20"/>
              </w:rPr>
              <w:t>Rating</w:t>
            </w:r>
          </w:p>
        </w:tc>
      </w:tr>
      <w:tr w:rsidR="00470E1C" w:rsidRPr="006D78AE" w14:paraId="38166974" w14:textId="77777777" w:rsidTr="009B4C22">
        <w:trPr>
          <w:gridAfter w:val="1"/>
          <w:wAfter w:w="49" w:type="dxa"/>
          <w:trHeight w:val="280"/>
        </w:trPr>
        <w:tc>
          <w:tcPr>
            <w:tcW w:w="7556" w:type="dxa"/>
            <w:shd w:val="clear" w:color="auto" w:fill="D9E1F3"/>
          </w:tcPr>
          <w:p w14:paraId="171D8041" w14:textId="77777777" w:rsidR="00470E1C" w:rsidRPr="006D78AE" w:rsidRDefault="00470E1C" w:rsidP="00BA2312">
            <w:pPr>
              <w:pStyle w:val="TableParagraph"/>
              <w:spacing w:line="261"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Relevance</w:t>
            </w:r>
          </w:p>
        </w:tc>
        <w:tc>
          <w:tcPr>
            <w:tcW w:w="1796" w:type="dxa"/>
          </w:tcPr>
          <w:p w14:paraId="61CE0804" w14:textId="009CBAF2"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6=HS</w:t>
            </w:r>
          </w:p>
        </w:tc>
      </w:tr>
      <w:tr w:rsidR="00470E1C" w:rsidRPr="006D78AE" w14:paraId="1817D264" w14:textId="77777777" w:rsidTr="009B4C22">
        <w:trPr>
          <w:gridAfter w:val="1"/>
          <w:wAfter w:w="49" w:type="dxa"/>
          <w:trHeight w:val="278"/>
        </w:trPr>
        <w:tc>
          <w:tcPr>
            <w:tcW w:w="7556" w:type="dxa"/>
            <w:shd w:val="clear" w:color="auto" w:fill="D9E1F3"/>
          </w:tcPr>
          <w:p w14:paraId="4ED8657A" w14:textId="77777777" w:rsidR="00470E1C" w:rsidRPr="006D78AE" w:rsidRDefault="00470E1C" w:rsidP="00BA2312">
            <w:pPr>
              <w:pStyle w:val="TableParagraph"/>
              <w:spacing w:line="258"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Effectiveness</w:t>
            </w:r>
          </w:p>
        </w:tc>
        <w:tc>
          <w:tcPr>
            <w:tcW w:w="1796" w:type="dxa"/>
          </w:tcPr>
          <w:p w14:paraId="5EB9C718" w14:textId="0022CAB3"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5=S</w:t>
            </w:r>
          </w:p>
        </w:tc>
      </w:tr>
      <w:tr w:rsidR="00470E1C" w:rsidRPr="006D78AE" w14:paraId="6077BFC3" w14:textId="77777777" w:rsidTr="009B4C22">
        <w:trPr>
          <w:gridAfter w:val="1"/>
          <w:wAfter w:w="49" w:type="dxa"/>
          <w:trHeight w:val="280"/>
        </w:trPr>
        <w:tc>
          <w:tcPr>
            <w:tcW w:w="7556" w:type="dxa"/>
            <w:shd w:val="clear" w:color="auto" w:fill="D9E1F3"/>
          </w:tcPr>
          <w:p w14:paraId="64EF04AB" w14:textId="77777777" w:rsidR="00470E1C" w:rsidRPr="006D78AE" w:rsidRDefault="00470E1C" w:rsidP="00BA2312">
            <w:pPr>
              <w:pStyle w:val="TableParagraph"/>
              <w:spacing w:line="261"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Efficiency</w:t>
            </w:r>
          </w:p>
        </w:tc>
        <w:tc>
          <w:tcPr>
            <w:tcW w:w="1796" w:type="dxa"/>
          </w:tcPr>
          <w:p w14:paraId="4092F2C1" w14:textId="6469DB24"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5=S</w:t>
            </w:r>
          </w:p>
        </w:tc>
      </w:tr>
      <w:tr w:rsidR="00470E1C" w:rsidRPr="006D78AE" w14:paraId="67FC6626" w14:textId="77777777" w:rsidTr="009B4C22">
        <w:trPr>
          <w:gridAfter w:val="1"/>
          <w:wAfter w:w="49" w:type="dxa"/>
          <w:trHeight w:val="278"/>
        </w:trPr>
        <w:tc>
          <w:tcPr>
            <w:tcW w:w="7556" w:type="dxa"/>
            <w:shd w:val="clear" w:color="auto" w:fill="D9E1F3"/>
          </w:tcPr>
          <w:p w14:paraId="6D047A06" w14:textId="77777777" w:rsidR="00470E1C" w:rsidRPr="006D78AE" w:rsidRDefault="00470E1C" w:rsidP="00BA2312">
            <w:pPr>
              <w:pStyle w:val="TableParagraph"/>
              <w:spacing w:line="258"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Overall Project Outcome Rating</w:t>
            </w:r>
          </w:p>
        </w:tc>
        <w:tc>
          <w:tcPr>
            <w:tcW w:w="1796" w:type="dxa"/>
          </w:tcPr>
          <w:p w14:paraId="5FCA1E61" w14:textId="518545E7"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5=S</w:t>
            </w:r>
          </w:p>
        </w:tc>
      </w:tr>
      <w:tr w:rsidR="00470E1C" w:rsidRPr="006D78AE" w14:paraId="2257D7AB" w14:textId="77777777" w:rsidTr="009B4C22">
        <w:trPr>
          <w:gridAfter w:val="1"/>
          <w:wAfter w:w="49" w:type="dxa"/>
          <w:trHeight w:val="280"/>
        </w:trPr>
        <w:tc>
          <w:tcPr>
            <w:tcW w:w="7556" w:type="dxa"/>
            <w:shd w:val="clear" w:color="auto" w:fill="1F3863"/>
          </w:tcPr>
          <w:p w14:paraId="58E7A3C2" w14:textId="77777777" w:rsidR="00470E1C" w:rsidRPr="006D78AE" w:rsidRDefault="00470E1C" w:rsidP="00BA2312">
            <w:pPr>
              <w:pStyle w:val="TableParagraph"/>
              <w:tabs>
                <w:tab w:val="left" w:pos="448"/>
              </w:tabs>
              <w:spacing w:line="261" w:lineRule="exact"/>
              <w:ind w:left="88"/>
              <w:rPr>
                <w:rFonts w:asciiTheme="minorHAnsi" w:hAnsiTheme="minorHAnsi" w:cstheme="minorHAnsi"/>
                <w:sz w:val="20"/>
                <w:szCs w:val="20"/>
              </w:rPr>
            </w:pPr>
            <w:r w:rsidRPr="006D78AE">
              <w:rPr>
                <w:rFonts w:asciiTheme="minorHAnsi" w:hAnsiTheme="minorHAnsi" w:cstheme="minorHAnsi"/>
                <w:color w:val="FFFFFF"/>
                <w:sz w:val="20"/>
                <w:szCs w:val="20"/>
              </w:rPr>
              <w:t>4.</w:t>
            </w:r>
            <w:r w:rsidRPr="006D78AE">
              <w:rPr>
                <w:rFonts w:asciiTheme="minorHAnsi" w:hAnsiTheme="minorHAnsi" w:cstheme="minorHAnsi"/>
                <w:color w:val="FFFFFF"/>
                <w:sz w:val="20"/>
                <w:szCs w:val="20"/>
              </w:rPr>
              <w:tab/>
              <w:t>Sustainability</w:t>
            </w:r>
          </w:p>
        </w:tc>
        <w:tc>
          <w:tcPr>
            <w:tcW w:w="1796" w:type="dxa"/>
            <w:shd w:val="clear" w:color="auto" w:fill="1F3863"/>
          </w:tcPr>
          <w:p w14:paraId="49822F27" w14:textId="77777777" w:rsidR="00470E1C" w:rsidRPr="006D78AE" w:rsidRDefault="00470E1C" w:rsidP="00124E61">
            <w:pPr>
              <w:pStyle w:val="TableParagraph"/>
              <w:spacing w:line="261" w:lineRule="exact"/>
              <w:ind w:left="578" w:right="575"/>
              <w:jc w:val="center"/>
              <w:rPr>
                <w:rFonts w:asciiTheme="minorHAnsi" w:hAnsiTheme="minorHAnsi" w:cstheme="minorHAnsi"/>
                <w:sz w:val="20"/>
                <w:szCs w:val="20"/>
              </w:rPr>
            </w:pPr>
            <w:r w:rsidRPr="006D78AE">
              <w:rPr>
                <w:rFonts w:asciiTheme="minorHAnsi" w:hAnsiTheme="minorHAnsi" w:cstheme="minorHAnsi"/>
                <w:color w:val="FFFFFF"/>
                <w:sz w:val="20"/>
                <w:szCs w:val="20"/>
              </w:rPr>
              <w:t>Rating</w:t>
            </w:r>
          </w:p>
        </w:tc>
      </w:tr>
      <w:tr w:rsidR="00470E1C" w:rsidRPr="006D78AE" w14:paraId="41ADA721" w14:textId="77777777" w:rsidTr="009B4C22">
        <w:trPr>
          <w:gridAfter w:val="1"/>
          <w:wAfter w:w="49" w:type="dxa"/>
          <w:trHeight w:val="278"/>
        </w:trPr>
        <w:tc>
          <w:tcPr>
            <w:tcW w:w="7556" w:type="dxa"/>
            <w:shd w:val="clear" w:color="auto" w:fill="D9E1F3"/>
          </w:tcPr>
          <w:p w14:paraId="1EF96F33" w14:textId="77777777" w:rsidR="00470E1C" w:rsidRPr="006D78AE" w:rsidRDefault="00470E1C" w:rsidP="00BA2312">
            <w:pPr>
              <w:pStyle w:val="TableParagraph"/>
              <w:spacing w:line="258"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Financial sustainability</w:t>
            </w:r>
          </w:p>
        </w:tc>
        <w:tc>
          <w:tcPr>
            <w:tcW w:w="1796" w:type="dxa"/>
          </w:tcPr>
          <w:p w14:paraId="622BB438" w14:textId="1E354F82"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L</w:t>
            </w:r>
          </w:p>
        </w:tc>
      </w:tr>
      <w:tr w:rsidR="00470E1C" w:rsidRPr="006D78AE" w14:paraId="7FAFCBE6" w14:textId="77777777" w:rsidTr="009B4C22">
        <w:trPr>
          <w:gridAfter w:val="1"/>
          <w:wAfter w:w="49" w:type="dxa"/>
          <w:trHeight w:val="280"/>
        </w:trPr>
        <w:tc>
          <w:tcPr>
            <w:tcW w:w="7556" w:type="dxa"/>
            <w:shd w:val="clear" w:color="auto" w:fill="D9E1F3"/>
          </w:tcPr>
          <w:p w14:paraId="3DF16E36" w14:textId="77777777" w:rsidR="00470E1C" w:rsidRPr="006D78AE" w:rsidRDefault="00470E1C" w:rsidP="00BA2312">
            <w:pPr>
              <w:pStyle w:val="TableParagraph"/>
              <w:spacing w:line="261"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Socio-political sustainability</w:t>
            </w:r>
          </w:p>
        </w:tc>
        <w:tc>
          <w:tcPr>
            <w:tcW w:w="1796" w:type="dxa"/>
          </w:tcPr>
          <w:p w14:paraId="721DE38F" w14:textId="7E37F93A"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L</w:t>
            </w:r>
          </w:p>
        </w:tc>
      </w:tr>
      <w:tr w:rsidR="00470E1C" w:rsidRPr="006D78AE" w14:paraId="77E24CAE" w14:textId="77777777" w:rsidTr="009B4C22">
        <w:trPr>
          <w:gridAfter w:val="1"/>
          <w:wAfter w:w="49" w:type="dxa"/>
          <w:trHeight w:val="278"/>
        </w:trPr>
        <w:tc>
          <w:tcPr>
            <w:tcW w:w="7556" w:type="dxa"/>
            <w:shd w:val="clear" w:color="auto" w:fill="D9E1F3"/>
          </w:tcPr>
          <w:p w14:paraId="162E2693" w14:textId="77777777" w:rsidR="00470E1C" w:rsidRPr="006D78AE" w:rsidRDefault="00470E1C" w:rsidP="00BA2312">
            <w:pPr>
              <w:pStyle w:val="TableParagraph"/>
              <w:spacing w:line="258"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Institutional framework and governance sustainability</w:t>
            </w:r>
          </w:p>
        </w:tc>
        <w:tc>
          <w:tcPr>
            <w:tcW w:w="1796" w:type="dxa"/>
          </w:tcPr>
          <w:p w14:paraId="038A9E29" w14:textId="5D0088DE"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ML</w:t>
            </w:r>
          </w:p>
        </w:tc>
      </w:tr>
      <w:tr w:rsidR="00470E1C" w:rsidRPr="006D78AE" w14:paraId="4092620E" w14:textId="77777777" w:rsidTr="009B4C22">
        <w:trPr>
          <w:gridAfter w:val="1"/>
          <w:wAfter w:w="49" w:type="dxa"/>
          <w:trHeight w:val="278"/>
        </w:trPr>
        <w:tc>
          <w:tcPr>
            <w:tcW w:w="7556" w:type="dxa"/>
            <w:shd w:val="clear" w:color="auto" w:fill="D9E1F3"/>
          </w:tcPr>
          <w:p w14:paraId="3FA49B7C" w14:textId="77777777" w:rsidR="00470E1C" w:rsidRPr="006D78AE" w:rsidRDefault="00470E1C" w:rsidP="00BA2312">
            <w:pPr>
              <w:pStyle w:val="TableParagraph"/>
              <w:spacing w:line="259"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Environmental sustainability</w:t>
            </w:r>
          </w:p>
        </w:tc>
        <w:tc>
          <w:tcPr>
            <w:tcW w:w="1796" w:type="dxa"/>
          </w:tcPr>
          <w:p w14:paraId="28EDA9A8" w14:textId="788FA3C8"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L</w:t>
            </w:r>
          </w:p>
        </w:tc>
      </w:tr>
      <w:tr w:rsidR="00470E1C" w:rsidRPr="006D78AE" w14:paraId="2A0F8465" w14:textId="77777777" w:rsidTr="009B4C22">
        <w:trPr>
          <w:gridAfter w:val="1"/>
          <w:wAfter w:w="49" w:type="dxa"/>
          <w:trHeight w:val="295"/>
        </w:trPr>
        <w:tc>
          <w:tcPr>
            <w:tcW w:w="7556" w:type="dxa"/>
            <w:shd w:val="clear" w:color="auto" w:fill="D9E1F3"/>
          </w:tcPr>
          <w:p w14:paraId="4AC88CA0" w14:textId="77777777" w:rsidR="00470E1C" w:rsidRPr="006D78AE" w:rsidRDefault="00470E1C" w:rsidP="00BA2312">
            <w:pPr>
              <w:pStyle w:val="TableParagraph"/>
              <w:spacing w:before="1" w:line="274" w:lineRule="exact"/>
              <w:ind w:left="448"/>
              <w:rPr>
                <w:rFonts w:asciiTheme="minorHAnsi" w:hAnsiTheme="minorHAnsi" w:cstheme="minorHAnsi"/>
                <w:sz w:val="20"/>
                <w:szCs w:val="20"/>
              </w:rPr>
            </w:pPr>
            <w:r w:rsidRPr="006D78AE">
              <w:rPr>
                <w:rFonts w:asciiTheme="minorHAnsi" w:hAnsiTheme="minorHAnsi" w:cstheme="minorHAnsi"/>
                <w:color w:val="1F3863"/>
                <w:sz w:val="20"/>
                <w:szCs w:val="20"/>
              </w:rPr>
              <w:t>Overall Likelihood of Sustainability</w:t>
            </w:r>
          </w:p>
        </w:tc>
        <w:tc>
          <w:tcPr>
            <w:tcW w:w="1796" w:type="dxa"/>
          </w:tcPr>
          <w:p w14:paraId="0AC7B24A" w14:textId="398B2884" w:rsidR="00470E1C" w:rsidRPr="006D78AE" w:rsidRDefault="00435E92" w:rsidP="00124E61">
            <w:pPr>
              <w:pStyle w:val="TableParagraph"/>
              <w:jc w:val="center"/>
              <w:rPr>
                <w:rFonts w:asciiTheme="minorHAnsi" w:hAnsiTheme="minorHAnsi" w:cstheme="minorHAnsi"/>
                <w:sz w:val="20"/>
                <w:szCs w:val="20"/>
              </w:rPr>
            </w:pPr>
            <w:r>
              <w:rPr>
                <w:rFonts w:asciiTheme="minorHAnsi" w:hAnsiTheme="minorHAnsi" w:cstheme="minorHAnsi"/>
                <w:sz w:val="20"/>
                <w:szCs w:val="20"/>
              </w:rPr>
              <w:t>L</w:t>
            </w:r>
          </w:p>
        </w:tc>
      </w:tr>
      <w:tr w:rsidR="00470E1C" w:rsidRPr="009E7CE1" w14:paraId="2D514C7E" w14:textId="77777777" w:rsidTr="00491BE0">
        <w:trPr>
          <w:trHeight w:val="293"/>
        </w:trPr>
        <w:tc>
          <w:tcPr>
            <w:tcW w:w="9401" w:type="dxa"/>
            <w:gridSpan w:val="3"/>
            <w:tcBorders>
              <w:top w:val="nil"/>
              <w:left w:val="nil"/>
              <w:bottom w:val="nil"/>
              <w:right w:val="nil"/>
            </w:tcBorders>
          </w:tcPr>
          <w:p w14:paraId="05DBB49A" w14:textId="77777777" w:rsidR="00F662D6" w:rsidRPr="00C15C73" w:rsidRDefault="00F662D6" w:rsidP="00F662D6">
            <w:pPr>
              <w:spacing w:after="120"/>
              <w:rPr>
                <w:rFonts w:asciiTheme="minorHAnsi" w:hAnsiTheme="minorHAnsi" w:cstheme="minorHAnsi"/>
                <w:color w:val="4C4C4C"/>
                <w:kern w:val="24"/>
                <w:sz w:val="18"/>
                <w:szCs w:val="18"/>
              </w:rPr>
            </w:pPr>
            <w:bookmarkStart w:id="10" w:name="_Hlk87977545"/>
            <w:bookmarkEnd w:id="9"/>
            <w:r w:rsidRPr="00C15C73">
              <w:rPr>
                <w:rFonts w:asciiTheme="minorHAnsi" w:hAnsiTheme="minorHAnsi" w:cstheme="minorHAnsi"/>
                <w:color w:val="4C4C4C"/>
                <w:kern w:val="24"/>
                <w:sz w:val="18"/>
                <w:szCs w:val="18"/>
              </w:rPr>
              <w:t>L= Likely; ML= Moderately Likely</w:t>
            </w:r>
            <w:r>
              <w:rPr>
                <w:rFonts w:asciiTheme="minorHAnsi" w:hAnsiTheme="minorHAnsi" w:cstheme="minorHAnsi"/>
                <w:color w:val="4C4C4C"/>
                <w:kern w:val="24"/>
                <w:sz w:val="18"/>
                <w:szCs w:val="18"/>
              </w:rPr>
              <w:t>; MU=Moderately Unlikely; U=Unlikely (U/A=Unable to Assess)</w:t>
            </w:r>
          </w:p>
          <w:p w14:paraId="624648A0" w14:textId="6DD2724D" w:rsidR="001E4730" w:rsidRDefault="00011C41" w:rsidP="00A2070E">
            <w:r>
              <w:rPr>
                <w:noProof/>
              </w:rPr>
              <mc:AlternateContent>
                <mc:Choice Requires="wps">
                  <w:drawing>
                    <wp:anchor distT="0" distB="0" distL="114300" distR="114300" simplePos="0" relativeHeight="251658752" behindDoc="0" locked="0" layoutInCell="1" allowOverlap="1" wp14:anchorId="50B5D505" wp14:editId="261AD10C">
                      <wp:simplePos x="0" y="0"/>
                      <wp:positionH relativeFrom="column">
                        <wp:posOffset>-3175</wp:posOffset>
                      </wp:positionH>
                      <wp:positionV relativeFrom="paragraph">
                        <wp:posOffset>259715</wp:posOffset>
                      </wp:positionV>
                      <wp:extent cx="6093460" cy="2762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276225"/>
                              </a:xfrm>
                              <a:prstGeom prst="rect">
                                <a:avLst/>
                              </a:prstGeom>
                              <a:noFill/>
                              <a:ln>
                                <a:noFill/>
                              </a:ln>
                            </wps:spPr>
                            <wps:txbx>
                              <w:txbxContent>
                                <w:p w14:paraId="3F4FFF90" w14:textId="77777777" w:rsidR="00F662D6" w:rsidRPr="00C15C73" w:rsidRDefault="00F662D6" w:rsidP="00C15C73">
                                  <w:pPr>
                                    <w:spacing w:after="120"/>
                                    <w:rPr>
                                      <w:rFonts w:asciiTheme="minorHAnsi" w:hAnsiTheme="minorHAnsi" w:cstheme="minorHAnsi"/>
                                      <w:color w:val="4C4C4C"/>
                                      <w:kern w:val="24"/>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5D505" id="_x0000_t202" coordsize="21600,21600" o:spt="202" path="m,l,21600r21600,l21600,xe">
                      <v:stroke joinstyle="miter"/>
                      <v:path gradientshapeok="t" o:connecttype="rect"/>
                    </v:shapetype>
                    <v:shape id="Text Box 24" o:spid="_x0000_s1026" type="#_x0000_t202" style="position:absolute;margin-left:-.25pt;margin-top:20.45pt;width:479.8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" filled="f" stroked="f">
                      <v:textbox>
                        <w:txbxContent>
                          <w:p w14:paraId="3F4FFF90" w14:textId="77777777" w:rsidR="00F662D6" w:rsidRPr="00C15C73" w:rsidRDefault="00F662D6" w:rsidP="00C15C73">
                            <w:pPr>
                              <w:spacing w:after="120"/>
                              <w:rPr>
                                <w:rFonts w:asciiTheme="minorHAnsi" w:hAnsiTheme="minorHAnsi" w:cstheme="minorHAnsi"/>
                                <w:color w:val="4C4C4C"/>
                                <w:kern w:val="24"/>
                                <w:sz w:val="18"/>
                                <w:szCs w:val="18"/>
                              </w:rPr>
                            </w:pPr>
                          </w:p>
                        </w:txbxContent>
                      </v:textbox>
                    </v:shape>
                  </w:pict>
                </mc:Fallback>
              </mc:AlternateContent>
            </w:r>
            <w:r w:rsidR="00AA4240" w:rsidRPr="00C15C73">
              <w:rPr>
                <w:noProof/>
              </w:rPr>
              <w:drawing>
                <wp:anchor distT="0" distB="0" distL="114300" distR="114300" simplePos="0" relativeHeight="251670016" behindDoc="1" locked="0" layoutInCell="1" allowOverlap="1" wp14:anchorId="4A7BD5E6" wp14:editId="2220101A">
                  <wp:simplePos x="0" y="0"/>
                  <wp:positionH relativeFrom="column">
                    <wp:posOffset>0</wp:posOffset>
                  </wp:positionH>
                  <wp:positionV relativeFrom="paragraph">
                    <wp:posOffset>2540</wp:posOffset>
                  </wp:positionV>
                  <wp:extent cx="5981700" cy="257175"/>
                  <wp:effectExtent l="0" t="0" r="0" b="0"/>
                  <wp:wrapTight wrapText="bothSides">
                    <wp:wrapPolygon edited="0">
                      <wp:start x="69" y="1600"/>
                      <wp:lineTo x="69" y="17600"/>
                      <wp:lineTo x="21394" y="17600"/>
                      <wp:lineTo x="21462" y="8000"/>
                      <wp:lineTo x="20568" y="1600"/>
                      <wp:lineTo x="69" y="1600"/>
                    </wp:wrapPolygon>
                  </wp:wrapTight>
                  <wp:docPr id="243" name="Google Shape;243;p24"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43" name="Google Shape;243;p24" descr="Forma&#10;&#10;Descripción generada automáticamente con confianza media"/>
                          <pic:cNvPicPr preferRelativeResize="0"/>
                        </pic:nvPicPr>
                        <pic:blipFill rotWithShape="1">
                          <a:blip r:embed="rId13" cstate="print">
                            <a:alphaModFix/>
                            <a:extLst>
                              <a:ext uri="{28A0092B-C50C-407E-A947-70E740481C1C}">
                                <a14:useLocalDpi xmlns:a14="http://schemas.microsoft.com/office/drawing/2010/main" val="0"/>
                              </a:ext>
                            </a:extLst>
                          </a:blip>
                          <a:srcRect/>
                          <a:stretch/>
                        </pic:blipFill>
                        <pic:spPr>
                          <a:xfrm>
                            <a:off x="0" y="0"/>
                            <a:ext cx="59817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6F1B3" w14:textId="5E2327CF" w:rsidR="00516839" w:rsidRPr="009E7CE1" w:rsidRDefault="00516839" w:rsidP="00A2070E"/>
          <w:p w14:paraId="5BC48E31" w14:textId="1E8FE068" w:rsidR="00516839" w:rsidRPr="009E7CE1" w:rsidRDefault="00516839" w:rsidP="00124E61">
            <w:pPr>
              <w:jc w:val="center"/>
              <w:rPr>
                <w:rFonts w:ascii="Segoe UI" w:hAnsi="Segoe UI" w:cs="Segoe UI"/>
                <w:sz w:val="20"/>
                <w:szCs w:val="20"/>
              </w:rPr>
            </w:pPr>
          </w:p>
          <w:p w14:paraId="09DA56D6" w14:textId="506894C8" w:rsidR="00516839" w:rsidRPr="00E64686" w:rsidRDefault="00E64686" w:rsidP="00815478">
            <w:pPr>
              <w:pStyle w:val="Heading2"/>
              <w:outlineLvl w:val="1"/>
            </w:pPr>
            <w:bookmarkStart w:id="11" w:name="_Toc96772460"/>
            <w:r w:rsidRPr="00E64686">
              <w:t xml:space="preserve">1.5 </w:t>
            </w:r>
            <w:r w:rsidR="00516839" w:rsidRPr="00E64686">
              <w:t>Recommendations Summary</w:t>
            </w:r>
            <w:bookmarkEnd w:id="11"/>
          </w:p>
          <w:p w14:paraId="62E09F3F" w14:textId="77777777" w:rsidR="00516839" w:rsidRPr="009E7CE1" w:rsidRDefault="00516839" w:rsidP="00124E61">
            <w:pPr>
              <w:jc w:val="center"/>
              <w:rPr>
                <w:rFonts w:ascii="Segoe UI" w:hAnsi="Segoe UI" w:cs="Segoe UI"/>
                <w:sz w:val="20"/>
                <w:szCs w:val="20"/>
              </w:rPr>
            </w:pPr>
          </w:p>
          <w:p w14:paraId="0AA31460" w14:textId="7F5BE78B" w:rsidR="00470E1C" w:rsidRPr="009E7CE1" w:rsidRDefault="00470E1C" w:rsidP="00815478">
            <w:pPr>
              <w:pStyle w:val="TableParagraph"/>
              <w:spacing w:before="1" w:line="273" w:lineRule="exact"/>
              <w:ind w:right="2878"/>
              <w:rPr>
                <w:rFonts w:ascii="Segoe UI" w:hAnsi="Segoe UI" w:cs="Segoe UI"/>
                <w:bCs/>
                <w:sz w:val="20"/>
                <w:szCs w:val="20"/>
              </w:rPr>
            </w:pPr>
          </w:p>
        </w:tc>
      </w:tr>
    </w:tbl>
    <w:bookmarkEnd w:id="10"/>
    <w:p w14:paraId="685B0458" w14:textId="77777777" w:rsidR="008B6F1F" w:rsidRDefault="008B6F1F" w:rsidP="008B6F1F">
      <w:r>
        <w:t>The following summarized the recommendations from the evaluation. They are intended to inform the design, monitoring and evaluation of future programs and projects. More detailed recommendations are included in the text.</w:t>
      </w:r>
    </w:p>
    <w:p w14:paraId="06C2A526" w14:textId="77777777" w:rsidR="008B6F1F" w:rsidRDefault="008B6F1F" w:rsidP="008B6F1F"/>
    <w:p w14:paraId="17B1456D" w14:textId="60EEC846" w:rsidR="008B6F1F" w:rsidRDefault="008B6F1F" w:rsidP="00BA2312">
      <w:pPr>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Table 4. Recommendations Table</w:t>
      </w:r>
    </w:p>
    <w:tbl>
      <w:tblPr>
        <w:tblW w:w="9435" w:type="dxa"/>
        <w:tblInd w:w="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85"/>
        <w:gridCol w:w="6675"/>
        <w:gridCol w:w="1080"/>
        <w:gridCol w:w="1095"/>
      </w:tblGrid>
      <w:tr w:rsidR="008B6F1F" w14:paraId="16AD9FF0" w14:textId="77777777" w:rsidTr="00D85601">
        <w:trPr>
          <w:trHeight w:val="561"/>
        </w:trPr>
        <w:tc>
          <w:tcPr>
            <w:tcW w:w="585" w:type="dxa"/>
            <w:tcBorders>
              <w:top w:val="nil"/>
              <w:left w:val="nil"/>
              <w:right w:val="nil"/>
            </w:tcBorders>
            <w:shd w:val="clear" w:color="auto" w:fill="1F3863"/>
          </w:tcPr>
          <w:p w14:paraId="381DAE43" w14:textId="6159EDA9" w:rsidR="008B6F1F" w:rsidRDefault="008B6F1F" w:rsidP="001E025D">
            <w:pPr>
              <w:spacing w:before="8" w:line="278" w:lineRule="auto"/>
              <w:ind w:left="220" w:right="97" w:hanging="104"/>
              <w:rPr>
                <w:rFonts w:ascii="Quattrocento Sans" w:eastAsia="Quattrocento Sans" w:hAnsi="Quattrocento Sans" w:cs="Quattrocento Sans"/>
                <w:sz w:val="20"/>
                <w:szCs w:val="20"/>
              </w:rPr>
            </w:pPr>
            <w:r>
              <w:rPr>
                <w:rFonts w:ascii="Quattrocento Sans" w:eastAsia="Quattrocento Sans" w:hAnsi="Quattrocento Sans" w:cs="Quattrocento Sans"/>
                <w:color w:val="FFFFFF"/>
                <w:sz w:val="20"/>
                <w:szCs w:val="20"/>
              </w:rPr>
              <w:t>#</w:t>
            </w:r>
          </w:p>
        </w:tc>
        <w:tc>
          <w:tcPr>
            <w:tcW w:w="6675" w:type="dxa"/>
            <w:tcBorders>
              <w:top w:val="nil"/>
              <w:left w:val="nil"/>
              <w:right w:val="nil"/>
            </w:tcBorders>
            <w:shd w:val="clear" w:color="auto" w:fill="1F3863"/>
          </w:tcPr>
          <w:p w14:paraId="65B3209F" w14:textId="77777777" w:rsidR="008B6F1F" w:rsidRDefault="006D7FD6" w:rsidP="001E025D">
            <w:pPr>
              <w:spacing w:before="143"/>
              <w:ind w:left="1680"/>
              <w:rPr>
                <w:rFonts w:ascii="Quattrocento Sans" w:eastAsia="Quattrocento Sans" w:hAnsi="Quattrocento Sans" w:cs="Quattrocento Sans"/>
                <w:sz w:val="20"/>
                <w:szCs w:val="20"/>
              </w:rPr>
            </w:pPr>
            <w:sdt>
              <w:sdtPr>
                <w:tag w:val="goog_rdk_1"/>
                <w:id w:val="1422990900"/>
              </w:sdtPr>
              <w:sdtEndPr/>
              <w:sdtContent/>
            </w:sdt>
            <w:r w:rsidR="008B6F1F">
              <w:rPr>
                <w:rFonts w:ascii="Quattrocento Sans" w:eastAsia="Quattrocento Sans" w:hAnsi="Quattrocento Sans" w:cs="Quattrocento Sans"/>
                <w:color w:val="FFFFFF"/>
                <w:sz w:val="20"/>
                <w:szCs w:val="20"/>
              </w:rPr>
              <w:t>TE Recommendation</w:t>
            </w:r>
          </w:p>
        </w:tc>
        <w:tc>
          <w:tcPr>
            <w:tcW w:w="1080" w:type="dxa"/>
            <w:tcBorders>
              <w:top w:val="nil"/>
              <w:left w:val="nil"/>
              <w:right w:val="nil"/>
            </w:tcBorders>
            <w:shd w:val="clear" w:color="auto" w:fill="1F3863"/>
          </w:tcPr>
          <w:p w14:paraId="23F75D43" w14:textId="77777777" w:rsidR="008B6F1F" w:rsidRDefault="008B6F1F" w:rsidP="001E025D">
            <w:pPr>
              <w:spacing w:before="143"/>
              <w:ind w:left="303"/>
              <w:jc w:val="center"/>
              <w:rPr>
                <w:rFonts w:ascii="Quattrocento Sans" w:eastAsia="Quattrocento Sans" w:hAnsi="Quattrocento Sans" w:cs="Quattrocento Sans"/>
                <w:sz w:val="20"/>
                <w:szCs w:val="20"/>
              </w:rPr>
            </w:pPr>
            <w:r>
              <w:rPr>
                <w:rFonts w:ascii="Quattrocento Sans" w:eastAsia="Quattrocento Sans" w:hAnsi="Quattrocento Sans" w:cs="Quattrocento Sans"/>
                <w:color w:val="FFFFFF"/>
                <w:sz w:val="20"/>
                <w:szCs w:val="20"/>
              </w:rPr>
              <w:t>Entity Responsible</w:t>
            </w:r>
          </w:p>
        </w:tc>
        <w:tc>
          <w:tcPr>
            <w:tcW w:w="1095" w:type="dxa"/>
            <w:tcBorders>
              <w:top w:val="nil"/>
              <w:left w:val="nil"/>
              <w:right w:val="nil"/>
            </w:tcBorders>
            <w:shd w:val="clear" w:color="auto" w:fill="1F3863"/>
          </w:tcPr>
          <w:p w14:paraId="63C1A396" w14:textId="41DADE02" w:rsidR="008B6F1F" w:rsidRDefault="008B6F1F" w:rsidP="001E025D">
            <w:pPr>
              <w:spacing w:before="8" w:line="278" w:lineRule="auto"/>
              <w:ind w:left="347" w:right="317" w:firstLine="40"/>
              <w:jc w:val="center"/>
              <w:rPr>
                <w:rFonts w:ascii="Quattrocento Sans" w:eastAsia="Quattrocento Sans" w:hAnsi="Quattrocento Sans" w:cs="Quattrocento Sans"/>
                <w:sz w:val="20"/>
                <w:szCs w:val="20"/>
              </w:rPr>
            </w:pPr>
          </w:p>
        </w:tc>
      </w:tr>
      <w:tr w:rsidR="008B6F1F" w14:paraId="1C8D8AF9" w14:textId="77777777" w:rsidTr="00D85601">
        <w:trPr>
          <w:trHeight w:val="280"/>
        </w:trPr>
        <w:tc>
          <w:tcPr>
            <w:tcW w:w="585" w:type="dxa"/>
            <w:shd w:val="clear" w:color="auto" w:fill="D9E1F3"/>
          </w:tcPr>
          <w:p w14:paraId="504F0FE2" w14:textId="22B7F1B8" w:rsidR="008B6F1F" w:rsidRDefault="00D85601" w:rsidP="001E025D">
            <w:pPr>
              <w:spacing w:line="261" w:lineRule="auto"/>
              <w:ind w:left="107"/>
              <w:rPr>
                <w:rFonts w:ascii="Quattrocento Sans" w:eastAsia="Quattrocento Sans" w:hAnsi="Quattrocento Sans" w:cs="Quattrocento Sans"/>
                <w:sz w:val="20"/>
                <w:szCs w:val="20"/>
              </w:rPr>
            </w:pPr>
            <w:r>
              <w:rPr>
                <w:rFonts w:ascii="Quattrocento Sans" w:eastAsia="Quattrocento Sans" w:hAnsi="Quattrocento Sans" w:cs="Quattrocento Sans"/>
                <w:color w:val="1F3863"/>
                <w:sz w:val="20"/>
                <w:szCs w:val="20"/>
              </w:rPr>
              <w:t>A</w:t>
            </w:r>
          </w:p>
        </w:tc>
        <w:tc>
          <w:tcPr>
            <w:tcW w:w="6675" w:type="dxa"/>
            <w:shd w:val="clear" w:color="auto" w:fill="D9E1F3"/>
          </w:tcPr>
          <w:p w14:paraId="04213CED" w14:textId="77777777" w:rsidR="008B6F1F" w:rsidRDefault="006D7FD6" w:rsidP="001E025D">
            <w:pPr>
              <w:spacing w:line="261" w:lineRule="auto"/>
              <w:ind w:left="105"/>
              <w:rPr>
                <w:rFonts w:ascii="Quattrocento Sans" w:eastAsia="Quattrocento Sans" w:hAnsi="Quattrocento Sans" w:cs="Quattrocento Sans"/>
                <w:sz w:val="20"/>
                <w:szCs w:val="20"/>
              </w:rPr>
            </w:pPr>
            <w:sdt>
              <w:sdtPr>
                <w:tag w:val="goog_rdk_7"/>
                <w:id w:val="-1738778164"/>
              </w:sdtPr>
              <w:sdtEndPr/>
              <w:sdtContent/>
            </w:sdt>
            <w:sdt>
              <w:sdtPr>
                <w:tag w:val="goog_rdk_8"/>
                <w:id w:val="1277835616"/>
              </w:sdtPr>
              <w:sdtEndPr/>
              <w:sdtContent/>
            </w:sdt>
            <w:r w:rsidR="008B6F1F">
              <w:rPr>
                <w:b/>
                <w:sz w:val="20"/>
                <w:szCs w:val="20"/>
              </w:rPr>
              <w:t>Project Strategy and Design</w:t>
            </w:r>
          </w:p>
        </w:tc>
        <w:tc>
          <w:tcPr>
            <w:tcW w:w="2175" w:type="dxa"/>
            <w:gridSpan w:val="2"/>
            <w:shd w:val="clear" w:color="auto" w:fill="D9E1F3"/>
          </w:tcPr>
          <w:p w14:paraId="316576DB" w14:textId="77777777" w:rsidR="008B6F1F" w:rsidRDefault="008B6F1F" w:rsidP="001E025D">
            <w:pPr>
              <w:jc w:val="center"/>
              <w:rPr>
                <w:rFonts w:ascii="Quattrocento Sans" w:eastAsia="Quattrocento Sans" w:hAnsi="Quattrocento Sans" w:cs="Quattrocento Sans"/>
                <w:sz w:val="20"/>
                <w:szCs w:val="20"/>
              </w:rPr>
            </w:pPr>
          </w:p>
        </w:tc>
      </w:tr>
      <w:tr w:rsidR="008B6F1F" w14:paraId="538F6140" w14:textId="77777777" w:rsidTr="00D85601">
        <w:trPr>
          <w:trHeight w:val="278"/>
        </w:trPr>
        <w:tc>
          <w:tcPr>
            <w:tcW w:w="585" w:type="dxa"/>
          </w:tcPr>
          <w:p w14:paraId="7D193D02" w14:textId="05C0F019" w:rsidR="008B6F1F" w:rsidRDefault="00D85601" w:rsidP="001E025D">
            <w:pPr>
              <w:spacing w:line="258" w:lineRule="auto"/>
              <w:ind w:left="107"/>
              <w:rPr>
                <w:rFonts w:ascii="Quattrocento Sans" w:eastAsia="Quattrocento Sans" w:hAnsi="Quattrocento Sans" w:cs="Quattrocento Sans"/>
                <w:sz w:val="20"/>
                <w:szCs w:val="20"/>
              </w:rPr>
            </w:pPr>
            <w:r>
              <w:rPr>
                <w:rFonts w:ascii="Quattrocento Sans" w:eastAsia="Quattrocento Sans" w:hAnsi="Quattrocento Sans" w:cs="Quattrocento Sans"/>
                <w:color w:val="1F3863"/>
                <w:sz w:val="20"/>
                <w:szCs w:val="20"/>
              </w:rPr>
              <w:t>A</w:t>
            </w:r>
            <w:r w:rsidR="008B6F1F">
              <w:rPr>
                <w:rFonts w:ascii="Quattrocento Sans" w:eastAsia="Quattrocento Sans" w:hAnsi="Quattrocento Sans" w:cs="Quattrocento Sans"/>
                <w:color w:val="1F3863"/>
                <w:sz w:val="20"/>
                <w:szCs w:val="20"/>
              </w:rPr>
              <w:t>.1</w:t>
            </w:r>
          </w:p>
        </w:tc>
        <w:tc>
          <w:tcPr>
            <w:tcW w:w="6675" w:type="dxa"/>
          </w:tcPr>
          <w:p w14:paraId="4C466BAA" w14:textId="44688817" w:rsidR="008B6F1F" w:rsidRDefault="006D7FD6" w:rsidP="001E025D">
            <w:pPr>
              <w:spacing w:line="258" w:lineRule="auto"/>
              <w:ind w:left="105"/>
              <w:jc w:val="both"/>
              <w:rPr>
                <w:rFonts w:ascii="Quattrocento Sans" w:eastAsia="Quattrocento Sans" w:hAnsi="Quattrocento Sans" w:cs="Quattrocento Sans"/>
                <w:i/>
                <w:color w:val="808080"/>
                <w:sz w:val="20"/>
                <w:szCs w:val="20"/>
              </w:rPr>
            </w:pPr>
            <w:sdt>
              <w:sdtPr>
                <w:tag w:val="goog_rdk_9"/>
                <w:id w:val="-200856269"/>
              </w:sdtPr>
              <w:sdtEndPr/>
              <w:sdtContent/>
            </w:sdt>
            <w:sdt>
              <w:sdtPr>
                <w:tag w:val="goog_rdk_10"/>
                <w:id w:val="1267037599"/>
              </w:sdtPr>
              <w:sdtEndPr/>
              <w:sdtContent/>
            </w:sdt>
            <w:r w:rsidR="00D85601" w:rsidRPr="00D85601">
              <w:rPr>
                <w:sz w:val="20"/>
                <w:szCs w:val="20"/>
              </w:rPr>
              <w:t>For future Impact Programmes (IPs), follow the structure of FOLUR, with integrated country projects, rather than the one of GGP, where countries were addressed separately in each supply chain related child project.</w:t>
            </w:r>
          </w:p>
        </w:tc>
        <w:tc>
          <w:tcPr>
            <w:tcW w:w="2175" w:type="dxa"/>
            <w:gridSpan w:val="2"/>
          </w:tcPr>
          <w:p w14:paraId="5D20EF76" w14:textId="7939B9D0" w:rsidR="008B6F1F" w:rsidRDefault="00D85601"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w:t>
            </w:r>
          </w:p>
        </w:tc>
      </w:tr>
      <w:tr w:rsidR="008B6F1F" w14:paraId="38021EB9" w14:textId="77777777" w:rsidTr="00D85601">
        <w:trPr>
          <w:trHeight w:val="278"/>
        </w:trPr>
        <w:tc>
          <w:tcPr>
            <w:tcW w:w="585" w:type="dxa"/>
          </w:tcPr>
          <w:p w14:paraId="3E92B6DB" w14:textId="369A4A23" w:rsidR="008B6F1F" w:rsidRDefault="00F47D6C" w:rsidP="001E025D">
            <w:pPr>
              <w:spacing w:line="258" w:lineRule="auto"/>
              <w:ind w:left="107"/>
              <w:rPr>
                <w:rFonts w:ascii="Quattrocento Sans" w:eastAsia="Quattrocento Sans" w:hAnsi="Quattrocento Sans" w:cs="Quattrocento Sans"/>
                <w:sz w:val="20"/>
                <w:szCs w:val="20"/>
              </w:rPr>
            </w:pPr>
            <w:r>
              <w:rPr>
                <w:rFonts w:ascii="Quattrocento Sans" w:eastAsia="Quattrocento Sans" w:hAnsi="Quattrocento Sans" w:cs="Quattrocento Sans"/>
                <w:color w:val="1F3863"/>
                <w:sz w:val="20"/>
                <w:szCs w:val="20"/>
              </w:rPr>
              <w:t>A</w:t>
            </w:r>
            <w:r w:rsidR="008B6F1F">
              <w:rPr>
                <w:rFonts w:ascii="Quattrocento Sans" w:eastAsia="Quattrocento Sans" w:hAnsi="Quattrocento Sans" w:cs="Quattrocento Sans"/>
                <w:color w:val="1F3863"/>
                <w:sz w:val="20"/>
                <w:szCs w:val="20"/>
              </w:rPr>
              <w:t>.2.</w:t>
            </w:r>
          </w:p>
        </w:tc>
        <w:tc>
          <w:tcPr>
            <w:tcW w:w="6675" w:type="dxa"/>
          </w:tcPr>
          <w:p w14:paraId="21776ABF" w14:textId="5FBAE925" w:rsidR="00AA7575" w:rsidRPr="00AA7575" w:rsidRDefault="00AA7575" w:rsidP="00AA7575">
            <w:pPr>
              <w:ind w:left="105"/>
              <w:jc w:val="both"/>
              <w:rPr>
                <w:rFonts w:eastAsia="Times New Roman"/>
                <w:sz w:val="20"/>
                <w:szCs w:val="20"/>
                <w:lang w:eastAsia="en-US"/>
              </w:rPr>
            </w:pPr>
            <w:bookmarkStart w:id="12" w:name="_heading=h.3znysh7" w:colFirst="0" w:colLast="0"/>
            <w:bookmarkEnd w:id="12"/>
            <w:r>
              <w:rPr>
                <w:sz w:val="20"/>
                <w:szCs w:val="20"/>
              </w:rPr>
              <w:t xml:space="preserve"> </w:t>
            </w:r>
            <w:r w:rsidRPr="00AA7575">
              <w:rPr>
                <w:rFonts w:eastAsia="Times New Roman"/>
                <w:sz w:val="20"/>
                <w:szCs w:val="20"/>
                <w:lang w:eastAsia="en-US"/>
              </w:rPr>
              <w:t xml:space="preserve">For future IPs, the following structural adjustments are also recommended: </w:t>
            </w:r>
          </w:p>
          <w:p w14:paraId="7D46F454" w14:textId="77777777" w:rsidR="00AA7575" w:rsidRPr="00AA7575" w:rsidRDefault="00AA7575" w:rsidP="00AA7575">
            <w:pPr>
              <w:numPr>
                <w:ilvl w:val="0"/>
                <w:numId w:val="81"/>
              </w:numPr>
              <w:spacing w:after="0" w:line="240" w:lineRule="auto"/>
              <w:contextualSpacing/>
              <w:jc w:val="both"/>
              <w:rPr>
                <w:rFonts w:eastAsia="Times New Roman"/>
                <w:sz w:val="20"/>
                <w:szCs w:val="20"/>
                <w:lang w:eastAsia="en-US"/>
              </w:rPr>
            </w:pPr>
            <w:r w:rsidRPr="00AA7575">
              <w:rPr>
                <w:rFonts w:eastAsia="Times New Roman"/>
                <w:sz w:val="20"/>
                <w:szCs w:val="20"/>
                <w:lang w:eastAsia="en-US"/>
              </w:rPr>
              <w:t xml:space="preserve">For projects with a coordinating function such as A&amp;L, allocate resources for a full-time PMU – as only 30% effort is insufficient. </w:t>
            </w:r>
          </w:p>
          <w:p w14:paraId="26183DA4" w14:textId="77777777" w:rsidR="00AA7575" w:rsidRPr="00AA7575" w:rsidRDefault="00AA7575" w:rsidP="00AA7575">
            <w:pPr>
              <w:numPr>
                <w:ilvl w:val="0"/>
                <w:numId w:val="81"/>
              </w:numPr>
              <w:spacing w:after="0" w:line="240" w:lineRule="auto"/>
              <w:contextualSpacing/>
              <w:jc w:val="both"/>
              <w:rPr>
                <w:rFonts w:eastAsia="Times New Roman"/>
                <w:sz w:val="20"/>
                <w:szCs w:val="20"/>
                <w:lang w:eastAsia="en-US"/>
              </w:rPr>
            </w:pPr>
            <w:r w:rsidRPr="00AA7575">
              <w:rPr>
                <w:rFonts w:eastAsia="Times New Roman"/>
                <w:sz w:val="20"/>
                <w:szCs w:val="20"/>
                <w:lang w:eastAsia="en-US"/>
              </w:rPr>
              <w:t xml:space="preserve">Include one or two common components on M&amp;E and/or Knowledge Management in all child projects, including resources for child project staff (a dedicated staff person with M&amp;E or analytical expertise in each country would be ideal) to support monitoring, evaluation and learning at programme (IP) level in addition to the needs of the individual child project. That responsibility should be reflected also in the TORs for the position of MEL or Project Manager of the child project. </w:t>
            </w:r>
          </w:p>
          <w:p w14:paraId="0B0191A0" w14:textId="77777777" w:rsidR="00AA7575" w:rsidRPr="00AA7575" w:rsidRDefault="00AA7575" w:rsidP="00AA7575">
            <w:pPr>
              <w:numPr>
                <w:ilvl w:val="0"/>
                <w:numId w:val="81"/>
              </w:numPr>
              <w:spacing w:after="0" w:line="240" w:lineRule="auto"/>
              <w:contextualSpacing/>
              <w:jc w:val="both"/>
              <w:rPr>
                <w:rFonts w:eastAsia="Times New Roman"/>
                <w:sz w:val="20"/>
                <w:szCs w:val="20"/>
                <w:lang w:eastAsia="en-US"/>
              </w:rPr>
            </w:pPr>
            <w:r w:rsidRPr="00AA7575">
              <w:rPr>
                <w:rFonts w:eastAsia="Times New Roman"/>
                <w:sz w:val="20"/>
                <w:szCs w:val="20"/>
                <w:lang w:eastAsia="en-US"/>
              </w:rPr>
              <w:t xml:space="preserve">Overall, build the central coordination structure, M&amp;E and KM components first and integrate these into the design of the child projects. Have adequate budget at the Program-level or embedded in each child project to facilitate the integration of components in each country. </w:t>
            </w:r>
          </w:p>
          <w:p w14:paraId="1D7DCAE6" w14:textId="563C60D2" w:rsidR="008B6F1F" w:rsidRDefault="008B6F1F" w:rsidP="001E025D">
            <w:pPr>
              <w:spacing w:line="258" w:lineRule="auto"/>
              <w:ind w:left="105"/>
              <w:jc w:val="both"/>
              <w:rPr>
                <w:rFonts w:ascii="Quattrocento Sans" w:eastAsia="Quattrocento Sans" w:hAnsi="Quattrocento Sans" w:cs="Quattrocento Sans"/>
                <w:i/>
                <w:color w:val="808080"/>
                <w:sz w:val="20"/>
                <w:szCs w:val="20"/>
              </w:rPr>
            </w:pPr>
          </w:p>
        </w:tc>
        <w:tc>
          <w:tcPr>
            <w:tcW w:w="2175" w:type="dxa"/>
            <w:gridSpan w:val="2"/>
          </w:tcPr>
          <w:p w14:paraId="39E241C6" w14:textId="208F294E" w:rsidR="008B6F1F" w:rsidRDefault="00AA7575"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w:t>
            </w:r>
          </w:p>
        </w:tc>
      </w:tr>
      <w:tr w:rsidR="00F47D6C" w14:paraId="224FBC89" w14:textId="77777777" w:rsidTr="00D85601">
        <w:trPr>
          <w:trHeight w:val="280"/>
        </w:trPr>
        <w:tc>
          <w:tcPr>
            <w:tcW w:w="585" w:type="dxa"/>
          </w:tcPr>
          <w:p w14:paraId="6DECB2FD" w14:textId="00C92820" w:rsidR="00F47D6C" w:rsidRDefault="00F47D6C"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A.3</w:t>
            </w:r>
          </w:p>
        </w:tc>
        <w:tc>
          <w:tcPr>
            <w:tcW w:w="6675" w:type="dxa"/>
          </w:tcPr>
          <w:p w14:paraId="686F32DC" w14:textId="77777777" w:rsidR="00F47D6C" w:rsidRDefault="00F47D6C" w:rsidP="00F47D6C">
            <w:pPr>
              <w:ind w:left="105"/>
              <w:jc w:val="both"/>
              <w:rPr>
                <w:rFonts w:eastAsia="Times New Roman"/>
                <w:sz w:val="20"/>
                <w:szCs w:val="20"/>
                <w:lang w:eastAsia="en-US"/>
              </w:rPr>
            </w:pPr>
            <w:r>
              <w:rPr>
                <w:rFonts w:eastAsia="Times New Roman"/>
                <w:sz w:val="20"/>
                <w:szCs w:val="20"/>
              </w:rPr>
              <w:t>Future IP development should take into account the time and resources needed for trust-building, sensitizing populations to different ideas (including through increased participation throughout project implementation), and enough time for knowledge from child projects to be gleaned from demonstrations, and adequately capitalized (including through communications). For this reason, IPs such as GGP should last 6 years minimum.</w:t>
            </w:r>
          </w:p>
          <w:p w14:paraId="48332369" w14:textId="7E960C14" w:rsidR="00F47D6C" w:rsidRPr="00A64652" w:rsidRDefault="00F47D6C" w:rsidP="005B06B8">
            <w:pPr>
              <w:ind w:left="105"/>
              <w:jc w:val="both"/>
              <w:rPr>
                <w:rFonts w:eastAsia="Times New Roman"/>
                <w:sz w:val="20"/>
                <w:szCs w:val="20"/>
                <w:lang w:eastAsia="en-US"/>
              </w:rPr>
            </w:pPr>
            <w:r>
              <w:rPr>
                <w:rFonts w:eastAsia="Times New Roman"/>
                <w:sz w:val="20"/>
                <w:szCs w:val="20"/>
              </w:rPr>
              <w:t>Levels of trust and participation should be monitored and tested. If the participation of key actors cannot be secured, then a shift in Management arrangements might be necessary, including through more engagement of the national focal points to</w:t>
            </w:r>
            <w:r w:rsidR="000824C8">
              <w:rPr>
                <w:rFonts w:eastAsia="Times New Roman"/>
                <w:sz w:val="20"/>
                <w:szCs w:val="20"/>
              </w:rPr>
              <w:t xml:space="preserve"> share </w:t>
            </w:r>
            <w:r w:rsidR="00C76AA7">
              <w:rPr>
                <w:rFonts w:eastAsia="Times New Roman"/>
                <w:sz w:val="20"/>
                <w:szCs w:val="20"/>
              </w:rPr>
              <w:t>and</w:t>
            </w:r>
            <w:r w:rsidR="000824C8">
              <w:rPr>
                <w:rFonts w:eastAsia="Times New Roman"/>
                <w:sz w:val="20"/>
                <w:szCs w:val="20"/>
              </w:rPr>
              <w:t xml:space="preserve"> lessen the risks for all</w:t>
            </w:r>
            <w:r>
              <w:rPr>
                <w:rFonts w:eastAsia="Times New Roman"/>
                <w:sz w:val="20"/>
                <w:szCs w:val="20"/>
              </w:rPr>
              <w:t>.</w:t>
            </w:r>
            <w:r>
              <w:rPr>
                <w:rFonts w:ascii="Times New Roman" w:hAnsi="Times New Roman" w:cs="Times New Roman"/>
              </w:rPr>
              <w:t xml:space="preserve"> </w:t>
            </w:r>
          </w:p>
          <w:p w14:paraId="2C9B78B1" w14:textId="77777777" w:rsidR="00F47D6C" w:rsidRDefault="00F47D6C" w:rsidP="001E025D">
            <w:pPr>
              <w:spacing w:line="261" w:lineRule="auto"/>
              <w:ind w:left="105"/>
              <w:jc w:val="both"/>
              <w:rPr>
                <w:sz w:val="20"/>
                <w:szCs w:val="20"/>
              </w:rPr>
            </w:pPr>
          </w:p>
        </w:tc>
        <w:tc>
          <w:tcPr>
            <w:tcW w:w="2175" w:type="dxa"/>
            <w:gridSpan w:val="2"/>
          </w:tcPr>
          <w:p w14:paraId="6371DD9D" w14:textId="6F60C20F" w:rsidR="00F47D6C" w:rsidRDefault="00F47D6C"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w:t>
            </w:r>
          </w:p>
        </w:tc>
      </w:tr>
      <w:tr w:rsidR="008B6F1F" w14:paraId="5AAE3F8D" w14:textId="77777777" w:rsidTr="00D85601">
        <w:trPr>
          <w:trHeight w:val="280"/>
        </w:trPr>
        <w:tc>
          <w:tcPr>
            <w:tcW w:w="585" w:type="dxa"/>
          </w:tcPr>
          <w:p w14:paraId="17553E46" w14:textId="708D643B" w:rsidR="008B6F1F" w:rsidRDefault="00F47D6C" w:rsidP="001E025D">
            <w:pPr>
              <w:spacing w:line="261" w:lineRule="auto"/>
              <w:ind w:left="107"/>
              <w:rPr>
                <w:rFonts w:ascii="Quattrocento Sans" w:eastAsia="Quattrocento Sans" w:hAnsi="Quattrocento Sans" w:cs="Quattrocento Sans"/>
                <w:sz w:val="20"/>
                <w:szCs w:val="20"/>
              </w:rPr>
            </w:pPr>
            <w:r>
              <w:rPr>
                <w:rFonts w:ascii="Quattrocento Sans" w:eastAsia="Quattrocento Sans" w:hAnsi="Quattrocento Sans" w:cs="Quattrocento Sans"/>
                <w:color w:val="1F3863"/>
                <w:sz w:val="20"/>
                <w:szCs w:val="20"/>
              </w:rPr>
              <w:t>A</w:t>
            </w:r>
            <w:r w:rsidR="008B6F1F">
              <w:rPr>
                <w:rFonts w:ascii="Quattrocento Sans" w:eastAsia="Quattrocento Sans" w:hAnsi="Quattrocento Sans" w:cs="Quattrocento Sans"/>
                <w:color w:val="1F3863"/>
                <w:sz w:val="20"/>
                <w:szCs w:val="20"/>
              </w:rPr>
              <w:t>.</w:t>
            </w:r>
            <w:r>
              <w:rPr>
                <w:rFonts w:ascii="Quattrocento Sans" w:eastAsia="Quattrocento Sans" w:hAnsi="Quattrocento Sans" w:cs="Quattrocento Sans"/>
                <w:color w:val="1F3863"/>
                <w:sz w:val="20"/>
                <w:szCs w:val="20"/>
              </w:rPr>
              <w:t>4</w:t>
            </w:r>
          </w:p>
        </w:tc>
        <w:tc>
          <w:tcPr>
            <w:tcW w:w="6675" w:type="dxa"/>
          </w:tcPr>
          <w:p w14:paraId="3C42B76E" w14:textId="5124CA63" w:rsidR="008B6F1F" w:rsidRDefault="008B6F1F" w:rsidP="001E025D">
            <w:pPr>
              <w:spacing w:line="261" w:lineRule="auto"/>
              <w:ind w:left="105"/>
              <w:jc w:val="both"/>
              <w:rPr>
                <w:rFonts w:ascii="Quattrocento Sans" w:eastAsia="Quattrocento Sans" w:hAnsi="Quattrocento Sans" w:cs="Quattrocento Sans"/>
                <w:i/>
                <w:color w:val="808080"/>
                <w:sz w:val="20"/>
                <w:szCs w:val="20"/>
              </w:rPr>
            </w:pPr>
            <w:r>
              <w:rPr>
                <w:sz w:val="20"/>
                <w:szCs w:val="20"/>
              </w:rPr>
              <w:t xml:space="preserve">For a pilot program, a </w:t>
            </w:r>
            <w:r w:rsidR="00E07315">
              <w:rPr>
                <w:sz w:val="20"/>
                <w:szCs w:val="20"/>
              </w:rPr>
              <w:t xml:space="preserve">combination </w:t>
            </w:r>
            <w:r>
              <w:rPr>
                <w:sz w:val="20"/>
                <w:szCs w:val="20"/>
              </w:rPr>
              <w:t>of, process</w:t>
            </w:r>
            <w:r w:rsidR="004A4EAE" w:rsidRPr="004A4EAE">
              <w:rPr>
                <w:rFonts w:eastAsia="Times New Roman"/>
                <w:sz w:val="20"/>
                <w:szCs w:val="20"/>
                <w:lang w:eastAsia="en-US"/>
              </w:rPr>
              <w:t xml:space="preserve">, structure, status </w:t>
            </w:r>
            <w:r>
              <w:rPr>
                <w:sz w:val="20"/>
                <w:szCs w:val="20"/>
              </w:rPr>
              <w:t xml:space="preserve"> and impact indicators is important for Pilot initiatives to generate </w:t>
            </w:r>
            <w:r w:rsidR="008D638F">
              <w:rPr>
                <w:sz w:val="20"/>
                <w:szCs w:val="20"/>
              </w:rPr>
              <w:t xml:space="preserve">a diverse suite of quantitative and qualitative data to better inform </w:t>
            </w:r>
            <w:r>
              <w:rPr>
                <w:sz w:val="20"/>
                <w:szCs w:val="20"/>
              </w:rPr>
              <w:t>lessons learned and orient future initiatives</w:t>
            </w:r>
            <w:r w:rsidR="00BB2912">
              <w:rPr>
                <w:sz w:val="20"/>
                <w:szCs w:val="20"/>
              </w:rPr>
              <w:t>.</w:t>
            </w:r>
            <w:r w:rsidR="00857840">
              <w:rPr>
                <w:sz w:val="20"/>
                <w:szCs w:val="20"/>
              </w:rPr>
              <w:t xml:space="preserve"> T</w:t>
            </w:r>
            <w:r w:rsidR="007A08BB" w:rsidRPr="007A08BB">
              <w:rPr>
                <w:sz w:val="20"/>
                <w:szCs w:val="20"/>
              </w:rPr>
              <w:t>his will enable different types of Means of Verification (MOVs) and improve triangulation</w:t>
            </w:r>
            <w:r w:rsidR="007A08BB">
              <w:rPr>
                <w:sz w:val="20"/>
                <w:szCs w:val="20"/>
              </w:rPr>
              <w:t xml:space="preserve">. </w:t>
            </w:r>
            <w:r w:rsidR="007A08BB" w:rsidRPr="007A08BB">
              <w:rPr>
                <w:sz w:val="20"/>
                <w:szCs w:val="20"/>
              </w:rPr>
              <w:t xml:space="preserve">For example, learning on gender is based </w:t>
            </w:r>
            <w:r w:rsidR="007A08BB" w:rsidRPr="007A08BB">
              <w:rPr>
                <w:sz w:val="20"/>
                <w:szCs w:val="20"/>
              </w:rPr>
              <w:lastRenderedPageBreak/>
              <w:t>on the number of documents, not on the value placed on the material by the user, or the use of knowledge to change practices is measured by a survey of users with a binary response, rather than a qualitative indicator of the benefits generated from the practice. A blend of quantitative and qualitative indicators could have greatly informed future programs</w:t>
            </w:r>
            <w:r w:rsidR="00C76AA7">
              <w:rPr>
                <w:sz w:val="20"/>
                <w:szCs w:val="20"/>
              </w:rPr>
              <w:t>.</w:t>
            </w:r>
          </w:p>
        </w:tc>
        <w:tc>
          <w:tcPr>
            <w:tcW w:w="2175" w:type="dxa"/>
            <w:gridSpan w:val="2"/>
          </w:tcPr>
          <w:p w14:paraId="6A445643" w14:textId="7A5CB040" w:rsidR="008B6F1F" w:rsidRDefault="008B6F1F"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lastRenderedPageBreak/>
              <w:t>GEF</w:t>
            </w:r>
          </w:p>
        </w:tc>
      </w:tr>
      <w:tr w:rsidR="008B6F1F" w14:paraId="7785D4EA" w14:textId="77777777" w:rsidTr="00D85601">
        <w:trPr>
          <w:trHeight w:val="280"/>
        </w:trPr>
        <w:tc>
          <w:tcPr>
            <w:tcW w:w="585" w:type="dxa"/>
          </w:tcPr>
          <w:p w14:paraId="69C8DDAF" w14:textId="26E24A5F" w:rsidR="008B6F1F" w:rsidRDefault="00F47D6C"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A</w:t>
            </w:r>
            <w:r w:rsidR="008B6F1F">
              <w:rPr>
                <w:rFonts w:ascii="Quattrocento Sans" w:eastAsia="Quattrocento Sans" w:hAnsi="Quattrocento Sans" w:cs="Quattrocento Sans"/>
                <w:color w:val="1F3863"/>
                <w:sz w:val="20"/>
                <w:szCs w:val="20"/>
              </w:rPr>
              <w:t>.</w:t>
            </w:r>
            <w:r>
              <w:rPr>
                <w:rFonts w:ascii="Quattrocento Sans" w:eastAsia="Quattrocento Sans" w:hAnsi="Quattrocento Sans" w:cs="Quattrocento Sans"/>
                <w:color w:val="1F3863"/>
                <w:sz w:val="20"/>
                <w:szCs w:val="20"/>
              </w:rPr>
              <w:t>5</w:t>
            </w:r>
          </w:p>
        </w:tc>
        <w:tc>
          <w:tcPr>
            <w:tcW w:w="6675" w:type="dxa"/>
          </w:tcPr>
          <w:p w14:paraId="59ED7E21" w14:textId="77777777" w:rsidR="008B6F1F" w:rsidRDefault="008B6F1F" w:rsidP="001E025D">
            <w:pPr>
              <w:spacing w:line="261" w:lineRule="auto"/>
              <w:ind w:left="105"/>
              <w:jc w:val="both"/>
              <w:rPr>
                <w:sz w:val="20"/>
                <w:szCs w:val="20"/>
              </w:rPr>
            </w:pPr>
            <w:r>
              <w:rPr>
                <w:sz w:val="20"/>
                <w:szCs w:val="20"/>
              </w:rPr>
              <w:t xml:space="preserve">Establish the common monitoring and evaluation system for Programme application prior to the design of individual child projects. Consider a common monitoring and evaluation platform to foster integration.  In the event of separate implementing agencies, always present quarterly and PIR results in a synthesized document. </w:t>
            </w:r>
          </w:p>
        </w:tc>
        <w:tc>
          <w:tcPr>
            <w:tcW w:w="2175" w:type="dxa"/>
            <w:gridSpan w:val="2"/>
          </w:tcPr>
          <w:p w14:paraId="0B4880E7" w14:textId="524BD56F" w:rsidR="008B6F1F" w:rsidRDefault="00F47D6C"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w:t>
            </w:r>
          </w:p>
        </w:tc>
      </w:tr>
      <w:tr w:rsidR="008B6F1F" w14:paraId="0FBD9451" w14:textId="77777777" w:rsidTr="00D85601">
        <w:trPr>
          <w:trHeight w:val="278"/>
        </w:trPr>
        <w:tc>
          <w:tcPr>
            <w:tcW w:w="585" w:type="dxa"/>
            <w:shd w:val="clear" w:color="auto" w:fill="D9E1F3"/>
          </w:tcPr>
          <w:p w14:paraId="6445FB48" w14:textId="4247E2A2" w:rsidR="008B6F1F" w:rsidRDefault="005B06B8" w:rsidP="001E025D">
            <w:pPr>
              <w:spacing w:line="258" w:lineRule="auto"/>
              <w:ind w:left="107"/>
              <w:rPr>
                <w:rFonts w:ascii="Quattrocento Sans" w:eastAsia="Quattrocento Sans" w:hAnsi="Quattrocento Sans" w:cs="Quattrocento Sans"/>
                <w:sz w:val="20"/>
                <w:szCs w:val="20"/>
              </w:rPr>
            </w:pPr>
            <w:r>
              <w:rPr>
                <w:rFonts w:ascii="Quattrocento Sans" w:eastAsia="Quattrocento Sans" w:hAnsi="Quattrocento Sans" w:cs="Quattrocento Sans"/>
                <w:color w:val="1F3863"/>
                <w:sz w:val="20"/>
                <w:szCs w:val="20"/>
              </w:rPr>
              <w:t>B</w:t>
            </w:r>
          </w:p>
        </w:tc>
        <w:tc>
          <w:tcPr>
            <w:tcW w:w="6675" w:type="dxa"/>
            <w:shd w:val="clear" w:color="auto" w:fill="D9E1F3"/>
          </w:tcPr>
          <w:p w14:paraId="6BC5F71C" w14:textId="77777777" w:rsidR="008B6F1F" w:rsidRDefault="008B6F1F" w:rsidP="001E025D">
            <w:pPr>
              <w:spacing w:line="258" w:lineRule="auto"/>
              <w:ind w:left="105"/>
              <w:rPr>
                <w:rFonts w:ascii="Quattrocento Sans" w:eastAsia="Quattrocento Sans" w:hAnsi="Quattrocento Sans" w:cs="Quattrocento Sans"/>
                <w:sz w:val="20"/>
                <w:szCs w:val="20"/>
              </w:rPr>
            </w:pPr>
            <w:r>
              <w:rPr>
                <w:b/>
                <w:sz w:val="20"/>
                <w:szCs w:val="20"/>
              </w:rPr>
              <w:t>Assumptions and Risks</w:t>
            </w:r>
          </w:p>
        </w:tc>
        <w:tc>
          <w:tcPr>
            <w:tcW w:w="2175" w:type="dxa"/>
            <w:gridSpan w:val="2"/>
            <w:shd w:val="clear" w:color="auto" w:fill="D9E1F3"/>
          </w:tcPr>
          <w:p w14:paraId="08C1D964" w14:textId="77777777" w:rsidR="008B6F1F" w:rsidRDefault="008B6F1F" w:rsidP="001E025D">
            <w:pPr>
              <w:jc w:val="center"/>
              <w:rPr>
                <w:rFonts w:ascii="Quattrocento Sans" w:eastAsia="Quattrocento Sans" w:hAnsi="Quattrocento Sans" w:cs="Quattrocento Sans"/>
                <w:sz w:val="20"/>
                <w:szCs w:val="20"/>
              </w:rPr>
            </w:pPr>
          </w:p>
        </w:tc>
      </w:tr>
      <w:tr w:rsidR="008B6F1F" w14:paraId="160FCB6A" w14:textId="77777777" w:rsidTr="00D85601">
        <w:trPr>
          <w:trHeight w:val="280"/>
        </w:trPr>
        <w:tc>
          <w:tcPr>
            <w:tcW w:w="585" w:type="dxa"/>
          </w:tcPr>
          <w:p w14:paraId="5E0F8013" w14:textId="5ACE3C7D"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B</w:t>
            </w:r>
            <w:r w:rsidR="008B6F1F">
              <w:rPr>
                <w:rFonts w:ascii="Quattrocento Sans" w:eastAsia="Quattrocento Sans" w:hAnsi="Quattrocento Sans" w:cs="Quattrocento Sans"/>
                <w:color w:val="1F3863"/>
                <w:sz w:val="20"/>
                <w:szCs w:val="20"/>
              </w:rPr>
              <w:t>.</w:t>
            </w:r>
            <w:r w:rsidR="00465F5C">
              <w:rPr>
                <w:rFonts w:ascii="Quattrocento Sans" w:eastAsia="Quattrocento Sans" w:hAnsi="Quattrocento Sans" w:cs="Quattrocento Sans"/>
                <w:color w:val="1F3863"/>
                <w:sz w:val="20"/>
                <w:szCs w:val="20"/>
              </w:rPr>
              <w:t>1</w:t>
            </w:r>
          </w:p>
        </w:tc>
        <w:tc>
          <w:tcPr>
            <w:tcW w:w="6675" w:type="dxa"/>
          </w:tcPr>
          <w:p w14:paraId="13B14B2C" w14:textId="67C22A3F" w:rsidR="008B6F1F" w:rsidRDefault="00815873" w:rsidP="001E025D">
            <w:pPr>
              <w:spacing w:line="261" w:lineRule="auto"/>
              <w:ind w:left="105"/>
              <w:jc w:val="both"/>
              <w:rPr>
                <w:sz w:val="20"/>
                <w:szCs w:val="20"/>
              </w:rPr>
            </w:pPr>
            <w:r>
              <w:rPr>
                <w:sz w:val="20"/>
                <w:szCs w:val="20"/>
              </w:rPr>
              <w:t>Clearly distinguish between risks and assumptions. Many assumptions were actually pre-conditions</w:t>
            </w:r>
            <w:r w:rsidR="00F47D6C">
              <w:rPr>
                <w:sz w:val="20"/>
                <w:szCs w:val="20"/>
              </w:rPr>
              <w:t>.</w:t>
            </w:r>
            <w:r>
              <w:rPr>
                <w:sz w:val="20"/>
                <w:szCs w:val="20"/>
              </w:rPr>
              <w:t xml:space="preserve"> </w:t>
            </w:r>
            <w:r w:rsidR="008B6F1F">
              <w:rPr>
                <w:sz w:val="20"/>
                <w:szCs w:val="20"/>
              </w:rPr>
              <w:t xml:space="preserve">Future projects should place more importance on the analysis of assumptions. Assumptions should be </w:t>
            </w:r>
            <w:r>
              <w:rPr>
                <w:sz w:val="20"/>
                <w:szCs w:val="20"/>
              </w:rPr>
              <w:t xml:space="preserve">phenomenon </w:t>
            </w:r>
            <w:r w:rsidR="008B6F1F">
              <w:rPr>
                <w:sz w:val="20"/>
                <w:szCs w:val="20"/>
              </w:rPr>
              <w:t>out</w:t>
            </w:r>
            <w:r>
              <w:rPr>
                <w:sz w:val="20"/>
                <w:szCs w:val="20"/>
              </w:rPr>
              <w:t>side</w:t>
            </w:r>
            <w:r w:rsidR="008B6F1F">
              <w:rPr>
                <w:sz w:val="20"/>
                <w:szCs w:val="20"/>
              </w:rPr>
              <w:t xml:space="preserve"> of management control</w:t>
            </w:r>
            <w:r>
              <w:rPr>
                <w:sz w:val="20"/>
                <w:szCs w:val="20"/>
              </w:rPr>
              <w:t xml:space="preserve"> i.e., </w:t>
            </w:r>
            <w:r w:rsidR="008B6F1F">
              <w:rPr>
                <w:sz w:val="20"/>
                <w:szCs w:val="20"/>
              </w:rPr>
              <w:t>independent and necessary for results to be obtained.</w:t>
            </w:r>
          </w:p>
        </w:tc>
        <w:tc>
          <w:tcPr>
            <w:tcW w:w="2175" w:type="dxa"/>
            <w:gridSpan w:val="2"/>
          </w:tcPr>
          <w:p w14:paraId="1DD8826A" w14:textId="15A34838" w:rsidR="008B6F1F" w:rsidRDefault="008B6F1F"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w:t>
            </w:r>
          </w:p>
        </w:tc>
      </w:tr>
      <w:tr w:rsidR="008B6F1F" w14:paraId="7FA6A001" w14:textId="77777777" w:rsidTr="00D85601">
        <w:trPr>
          <w:trHeight w:val="280"/>
        </w:trPr>
        <w:tc>
          <w:tcPr>
            <w:tcW w:w="585" w:type="dxa"/>
          </w:tcPr>
          <w:p w14:paraId="76FB701B" w14:textId="34F366DF"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B</w:t>
            </w:r>
            <w:r w:rsidR="008B6F1F">
              <w:rPr>
                <w:rFonts w:ascii="Quattrocento Sans" w:eastAsia="Quattrocento Sans" w:hAnsi="Quattrocento Sans" w:cs="Quattrocento Sans"/>
                <w:color w:val="1F3863"/>
                <w:sz w:val="20"/>
                <w:szCs w:val="20"/>
              </w:rPr>
              <w:t>.</w:t>
            </w:r>
            <w:r w:rsidR="00465F5C">
              <w:rPr>
                <w:rFonts w:ascii="Quattrocento Sans" w:eastAsia="Quattrocento Sans" w:hAnsi="Quattrocento Sans" w:cs="Quattrocento Sans"/>
                <w:color w:val="1F3863"/>
                <w:sz w:val="20"/>
                <w:szCs w:val="20"/>
              </w:rPr>
              <w:t>2</w:t>
            </w:r>
          </w:p>
        </w:tc>
        <w:tc>
          <w:tcPr>
            <w:tcW w:w="6675" w:type="dxa"/>
          </w:tcPr>
          <w:p w14:paraId="2708AA68" w14:textId="7627575E" w:rsidR="008B6F1F" w:rsidRDefault="008B6F1F" w:rsidP="001E025D">
            <w:pPr>
              <w:spacing w:line="261" w:lineRule="auto"/>
              <w:ind w:left="105"/>
              <w:jc w:val="both"/>
              <w:rPr>
                <w:sz w:val="20"/>
                <w:szCs w:val="20"/>
              </w:rPr>
            </w:pPr>
            <w:r>
              <w:rPr>
                <w:sz w:val="20"/>
                <w:szCs w:val="20"/>
              </w:rPr>
              <w:t xml:space="preserve">Adjust the risk rating upward from “Low” or Probability 2 to “significant” or Probability 3-4. The adjusted rating includes the addition of </w:t>
            </w:r>
            <w:r w:rsidR="00D50761">
              <w:rPr>
                <w:sz w:val="20"/>
                <w:szCs w:val="20"/>
              </w:rPr>
              <w:t xml:space="preserve">the </w:t>
            </w:r>
            <w:r>
              <w:rPr>
                <w:sz w:val="20"/>
                <w:szCs w:val="20"/>
              </w:rPr>
              <w:t>pandemic to environmental risks, and increase in risk of natural disasters</w:t>
            </w:r>
            <w:r w:rsidR="00D50761">
              <w:rPr>
                <w:sz w:val="20"/>
                <w:szCs w:val="20"/>
              </w:rPr>
              <w:t xml:space="preserve"> to child projects</w:t>
            </w:r>
            <w:r>
              <w:rPr>
                <w:sz w:val="20"/>
                <w:szCs w:val="20"/>
              </w:rPr>
              <w:t xml:space="preserve"> as experienced in Chaco, Paraguay (drought) and Indonesia (flooding)</w:t>
            </w:r>
            <w:r w:rsidR="00D50761">
              <w:rPr>
                <w:sz w:val="20"/>
                <w:szCs w:val="20"/>
              </w:rPr>
              <w:t xml:space="preserve"> that limit participation in M&amp;E, KM, etc</w:t>
            </w:r>
            <w:r>
              <w:rPr>
                <w:sz w:val="20"/>
                <w:szCs w:val="20"/>
              </w:rPr>
              <w:t>. In addition to adding higher probabilities to existing risks</w:t>
            </w:r>
            <w:r w:rsidR="00FC7950">
              <w:rPr>
                <w:sz w:val="20"/>
                <w:szCs w:val="20"/>
              </w:rPr>
              <w:t>.</w:t>
            </w:r>
            <w:r>
              <w:rPr>
                <w:sz w:val="20"/>
                <w:szCs w:val="20"/>
              </w:rPr>
              <w:t xml:space="preserve">. See the Revised Risk Rating table in </w:t>
            </w:r>
            <w:hyperlink w:anchor="_Annex_3._Revised" w:history="1">
              <w:r w:rsidRPr="00FC7950">
                <w:rPr>
                  <w:rStyle w:val="Hyperlink"/>
                  <w:sz w:val="20"/>
                  <w:szCs w:val="20"/>
                </w:rPr>
                <w:t>Annex 3</w:t>
              </w:r>
            </w:hyperlink>
          </w:p>
        </w:tc>
        <w:tc>
          <w:tcPr>
            <w:tcW w:w="2175" w:type="dxa"/>
            <w:gridSpan w:val="2"/>
          </w:tcPr>
          <w:p w14:paraId="09182DED" w14:textId="78BE3C38" w:rsidR="008B6F1F" w:rsidRDefault="00F47D6C"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UNDP</w:t>
            </w:r>
          </w:p>
        </w:tc>
      </w:tr>
      <w:tr w:rsidR="008B6F1F" w14:paraId="35EFAED3" w14:textId="77777777" w:rsidTr="00D85601">
        <w:trPr>
          <w:trHeight w:val="280"/>
        </w:trPr>
        <w:tc>
          <w:tcPr>
            <w:tcW w:w="585" w:type="dxa"/>
            <w:shd w:val="clear" w:color="auto" w:fill="D9E2F3"/>
          </w:tcPr>
          <w:p w14:paraId="36554E6F" w14:textId="35192DED"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C</w:t>
            </w:r>
          </w:p>
        </w:tc>
        <w:tc>
          <w:tcPr>
            <w:tcW w:w="6675" w:type="dxa"/>
            <w:shd w:val="clear" w:color="auto" w:fill="D9E2F3"/>
          </w:tcPr>
          <w:p w14:paraId="01AECCC6" w14:textId="77777777" w:rsidR="008B6F1F" w:rsidRDefault="008B6F1F" w:rsidP="001E025D">
            <w:pPr>
              <w:spacing w:line="261" w:lineRule="auto"/>
              <w:ind w:left="105"/>
              <w:jc w:val="both"/>
              <w:rPr>
                <w:sz w:val="20"/>
                <w:szCs w:val="20"/>
              </w:rPr>
            </w:pPr>
            <w:r>
              <w:rPr>
                <w:b/>
                <w:sz w:val="20"/>
                <w:szCs w:val="20"/>
              </w:rPr>
              <w:t>Progress towards Objectives</w:t>
            </w:r>
          </w:p>
        </w:tc>
        <w:tc>
          <w:tcPr>
            <w:tcW w:w="2175" w:type="dxa"/>
            <w:gridSpan w:val="2"/>
            <w:shd w:val="clear" w:color="auto" w:fill="D9E2F3"/>
          </w:tcPr>
          <w:p w14:paraId="54C8C9B9" w14:textId="77777777" w:rsidR="008B6F1F" w:rsidRDefault="008B6F1F" w:rsidP="001E025D">
            <w:pPr>
              <w:jc w:val="center"/>
              <w:rPr>
                <w:rFonts w:ascii="Quattrocento Sans" w:eastAsia="Quattrocento Sans" w:hAnsi="Quattrocento Sans" w:cs="Quattrocento Sans"/>
                <w:sz w:val="20"/>
                <w:szCs w:val="20"/>
              </w:rPr>
            </w:pPr>
          </w:p>
        </w:tc>
      </w:tr>
      <w:tr w:rsidR="008B6F1F" w14:paraId="1D6BFBAD" w14:textId="77777777" w:rsidTr="00D85601">
        <w:trPr>
          <w:trHeight w:val="280"/>
        </w:trPr>
        <w:tc>
          <w:tcPr>
            <w:tcW w:w="585" w:type="dxa"/>
            <w:shd w:val="clear" w:color="auto" w:fill="auto"/>
          </w:tcPr>
          <w:p w14:paraId="4712AEB7" w14:textId="2203A10F" w:rsidR="008B6F1F" w:rsidRDefault="005B06B8" w:rsidP="00021F10">
            <w:pPr>
              <w:spacing w:line="261" w:lineRule="auto"/>
              <w:ind w:left="107"/>
              <w:jc w:val="both"/>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C</w:t>
            </w:r>
            <w:r w:rsidR="008B6F1F">
              <w:rPr>
                <w:rFonts w:ascii="Quattrocento Sans" w:eastAsia="Quattrocento Sans" w:hAnsi="Quattrocento Sans" w:cs="Quattrocento Sans"/>
                <w:color w:val="1F3863"/>
                <w:sz w:val="20"/>
                <w:szCs w:val="20"/>
              </w:rPr>
              <w:t>.1</w:t>
            </w:r>
          </w:p>
        </w:tc>
        <w:tc>
          <w:tcPr>
            <w:tcW w:w="6675" w:type="dxa"/>
          </w:tcPr>
          <w:p w14:paraId="32C5890F" w14:textId="2F9D4A00" w:rsidR="008B6F1F" w:rsidRDefault="008B6F1F" w:rsidP="001E025D">
            <w:pPr>
              <w:spacing w:line="261" w:lineRule="auto"/>
              <w:ind w:left="105"/>
              <w:jc w:val="both"/>
              <w:rPr>
                <w:b/>
                <w:sz w:val="20"/>
                <w:szCs w:val="20"/>
              </w:rPr>
            </w:pPr>
            <w:r>
              <w:rPr>
                <w:sz w:val="20"/>
                <w:szCs w:val="20"/>
              </w:rPr>
              <w:t xml:space="preserve">A Partnership </w:t>
            </w:r>
            <w:r w:rsidR="00C93689">
              <w:rPr>
                <w:sz w:val="20"/>
                <w:szCs w:val="20"/>
              </w:rPr>
              <w:t xml:space="preserve">that </w:t>
            </w:r>
            <w:r>
              <w:rPr>
                <w:sz w:val="20"/>
                <w:szCs w:val="20"/>
              </w:rPr>
              <w:t xml:space="preserve">is </w:t>
            </w:r>
            <w:r w:rsidR="00C93689">
              <w:rPr>
                <w:sz w:val="20"/>
                <w:szCs w:val="20"/>
              </w:rPr>
              <w:t xml:space="preserve">defined as two </w:t>
            </w:r>
            <w:r>
              <w:rPr>
                <w:sz w:val="20"/>
                <w:szCs w:val="20"/>
              </w:rPr>
              <w:t xml:space="preserve"> points of contact</w:t>
            </w:r>
            <w:r w:rsidR="00C93689">
              <w:rPr>
                <w:sz w:val="20"/>
                <w:szCs w:val="20"/>
              </w:rPr>
              <w:t xml:space="preserve"> is too </w:t>
            </w:r>
            <w:r>
              <w:rPr>
                <w:sz w:val="20"/>
                <w:szCs w:val="20"/>
              </w:rPr>
              <w:t xml:space="preserve">limited. </w:t>
            </w:r>
            <w:r w:rsidR="00C93689">
              <w:rPr>
                <w:sz w:val="20"/>
                <w:szCs w:val="20"/>
              </w:rPr>
              <w:t xml:space="preserve">Three </w:t>
            </w:r>
            <w:r>
              <w:rPr>
                <w:sz w:val="20"/>
                <w:szCs w:val="20"/>
              </w:rPr>
              <w:t xml:space="preserve"> or more is recommended to better reflect the integrated approach. Under the present criterion, you could have </w:t>
            </w:r>
            <w:r w:rsidR="00C93689">
              <w:rPr>
                <w:sz w:val="20"/>
                <w:szCs w:val="20"/>
              </w:rPr>
              <w:t>two</w:t>
            </w:r>
            <w:r>
              <w:rPr>
                <w:sz w:val="20"/>
                <w:szCs w:val="20"/>
              </w:rPr>
              <w:t xml:space="preserve"> commercial entities qualify as a partnership, leaving out the producer. The partnership criterion should be expanded</w:t>
            </w:r>
            <w:r w:rsidR="00FC7950">
              <w:rPr>
                <w:sz w:val="20"/>
                <w:szCs w:val="20"/>
              </w:rPr>
              <w:t xml:space="preserve"> to better represent the supply chain and integration of production, demand and transaction</w:t>
            </w:r>
            <w:r>
              <w:rPr>
                <w:sz w:val="20"/>
                <w:szCs w:val="20"/>
              </w:rPr>
              <w:t>.</w:t>
            </w:r>
          </w:p>
        </w:tc>
        <w:tc>
          <w:tcPr>
            <w:tcW w:w="2175" w:type="dxa"/>
            <w:gridSpan w:val="2"/>
          </w:tcPr>
          <w:p w14:paraId="159C04AC" w14:textId="00468CA0" w:rsidR="008B6F1F" w:rsidRDefault="005B06B8"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UNDP</w:t>
            </w:r>
          </w:p>
        </w:tc>
      </w:tr>
      <w:tr w:rsidR="008B6F1F" w14:paraId="5155BDA0" w14:textId="77777777" w:rsidTr="00D85601">
        <w:trPr>
          <w:trHeight w:val="280"/>
        </w:trPr>
        <w:tc>
          <w:tcPr>
            <w:tcW w:w="585" w:type="dxa"/>
            <w:shd w:val="clear" w:color="auto" w:fill="D9E2F3"/>
          </w:tcPr>
          <w:p w14:paraId="52A2D05F" w14:textId="2D8D973D"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D</w:t>
            </w:r>
          </w:p>
        </w:tc>
        <w:tc>
          <w:tcPr>
            <w:tcW w:w="6675" w:type="dxa"/>
            <w:shd w:val="clear" w:color="auto" w:fill="D9E2F3"/>
          </w:tcPr>
          <w:p w14:paraId="4B20B303" w14:textId="77777777" w:rsidR="008B6F1F" w:rsidRDefault="008B6F1F" w:rsidP="001E025D">
            <w:pPr>
              <w:spacing w:line="261" w:lineRule="auto"/>
              <w:ind w:left="105"/>
              <w:jc w:val="both"/>
              <w:rPr>
                <w:b/>
                <w:sz w:val="20"/>
                <w:szCs w:val="20"/>
              </w:rPr>
            </w:pPr>
            <w:r>
              <w:rPr>
                <w:b/>
                <w:sz w:val="20"/>
                <w:szCs w:val="20"/>
              </w:rPr>
              <w:t>Outcome 2.2</w:t>
            </w:r>
          </w:p>
        </w:tc>
        <w:tc>
          <w:tcPr>
            <w:tcW w:w="2175" w:type="dxa"/>
            <w:gridSpan w:val="2"/>
            <w:shd w:val="clear" w:color="auto" w:fill="D9E2F3"/>
          </w:tcPr>
          <w:p w14:paraId="18E98310" w14:textId="77777777" w:rsidR="008B6F1F" w:rsidRDefault="008B6F1F" w:rsidP="001E025D">
            <w:pPr>
              <w:jc w:val="center"/>
              <w:rPr>
                <w:rFonts w:ascii="Quattrocento Sans" w:eastAsia="Quattrocento Sans" w:hAnsi="Quattrocento Sans" w:cs="Quattrocento Sans"/>
                <w:sz w:val="20"/>
                <w:szCs w:val="20"/>
              </w:rPr>
            </w:pPr>
          </w:p>
        </w:tc>
      </w:tr>
      <w:tr w:rsidR="008B6F1F" w14:paraId="0A8D06F0" w14:textId="77777777" w:rsidTr="00D85601">
        <w:trPr>
          <w:trHeight w:val="280"/>
        </w:trPr>
        <w:tc>
          <w:tcPr>
            <w:tcW w:w="585" w:type="dxa"/>
            <w:shd w:val="clear" w:color="auto" w:fill="auto"/>
          </w:tcPr>
          <w:p w14:paraId="61588188" w14:textId="2BEFD315"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D</w:t>
            </w:r>
            <w:r w:rsidR="008B6F1F">
              <w:rPr>
                <w:rFonts w:ascii="Quattrocento Sans" w:eastAsia="Quattrocento Sans" w:hAnsi="Quattrocento Sans" w:cs="Quattrocento Sans"/>
                <w:color w:val="1F3863"/>
                <w:sz w:val="20"/>
                <w:szCs w:val="20"/>
              </w:rPr>
              <w:t>.1</w:t>
            </w:r>
          </w:p>
        </w:tc>
        <w:tc>
          <w:tcPr>
            <w:tcW w:w="6675" w:type="dxa"/>
          </w:tcPr>
          <w:p w14:paraId="1B6E3984" w14:textId="1EA72397" w:rsidR="008B6F1F" w:rsidRDefault="008B6F1F" w:rsidP="001E025D">
            <w:pPr>
              <w:spacing w:line="261" w:lineRule="auto"/>
              <w:ind w:left="105"/>
              <w:jc w:val="both"/>
              <w:rPr>
                <w:b/>
                <w:sz w:val="20"/>
                <w:szCs w:val="20"/>
              </w:rPr>
            </w:pPr>
            <w:r>
              <w:rPr>
                <w:sz w:val="20"/>
                <w:szCs w:val="20"/>
              </w:rPr>
              <w:t xml:space="preserve">Evidensia: </w:t>
            </w:r>
            <w:r w:rsidR="00812AF6">
              <w:rPr>
                <w:sz w:val="20"/>
                <w:szCs w:val="20"/>
              </w:rPr>
              <w:t xml:space="preserve">Recommend </w:t>
            </w:r>
            <w:r>
              <w:rPr>
                <w:sz w:val="20"/>
                <w:szCs w:val="20"/>
              </w:rPr>
              <w:t>produc</w:t>
            </w:r>
            <w:r w:rsidR="00812AF6">
              <w:rPr>
                <w:sz w:val="20"/>
                <w:szCs w:val="20"/>
              </w:rPr>
              <w:t>ing</w:t>
            </w:r>
            <w:r>
              <w:rPr>
                <w:sz w:val="20"/>
                <w:szCs w:val="20"/>
              </w:rPr>
              <w:t xml:space="preserve"> stylized </w:t>
            </w:r>
            <w:r w:rsidR="00812AF6">
              <w:rPr>
                <w:sz w:val="20"/>
                <w:szCs w:val="20"/>
              </w:rPr>
              <w:t xml:space="preserve">model </w:t>
            </w:r>
            <w:r>
              <w:rPr>
                <w:sz w:val="20"/>
                <w:szCs w:val="20"/>
              </w:rPr>
              <w:t xml:space="preserve">synthesis </w:t>
            </w:r>
            <w:r w:rsidR="00812AF6">
              <w:rPr>
                <w:sz w:val="20"/>
                <w:szCs w:val="20"/>
              </w:rPr>
              <w:t xml:space="preserve">to be sent to key </w:t>
            </w:r>
            <w:r>
              <w:rPr>
                <w:sz w:val="20"/>
                <w:szCs w:val="20"/>
              </w:rPr>
              <w:t xml:space="preserve">government ministers and private sector companies to </w:t>
            </w:r>
            <w:r w:rsidR="00812AF6">
              <w:rPr>
                <w:sz w:val="20"/>
                <w:szCs w:val="20"/>
              </w:rPr>
              <w:t xml:space="preserve">invite them to visit Evidensia and explore it´s content  This could </w:t>
            </w:r>
            <w:r>
              <w:rPr>
                <w:sz w:val="20"/>
                <w:szCs w:val="20"/>
              </w:rPr>
              <w:t xml:space="preserve">increase the base of </w:t>
            </w:r>
            <w:r w:rsidR="00812AF6">
              <w:rPr>
                <w:sz w:val="20"/>
                <w:szCs w:val="20"/>
              </w:rPr>
              <w:t xml:space="preserve">qualified </w:t>
            </w:r>
            <w:r>
              <w:rPr>
                <w:sz w:val="20"/>
                <w:szCs w:val="20"/>
              </w:rPr>
              <w:t xml:space="preserve">users to the platform. </w:t>
            </w:r>
            <w:r w:rsidR="00812AF6">
              <w:rPr>
                <w:sz w:val="20"/>
                <w:szCs w:val="20"/>
              </w:rPr>
              <w:t>Consider a welcome video message explaining the parts</w:t>
            </w:r>
            <w:r w:rsidR="00AB64FE">
              <w:rPr>
                <w:sz w:val="20"/>
                <w:szCs w:val="20"/>
              </w:rPr>
              <w:t xml:space="preserve"> and a video “report” on the different syntheses. Video content is more likely to be seen and </w:t>
            </w:r>
            <w:r w:rsidR="00242852" w:rsidRPr="00242852">
              <w:rPr>
                <w:rFonts w:eastAsia="Times New Roman"/>
                <w:sz w:val="20"/>
                <w:szCs w:val="20"/>
                <w:lang w:eastAsia="en-US"/>
              </w:rPr>
              <w:t>acted upon. </w:t>
            </w:r>
            <w:r w:rsidR="00AB64FE">
              <w:rPr>
                <w:sz w:val="20"/>
                <w:szCs w:val="20"/>
              </w:rPr>
              <w:t>.</w:t>
            </w:r>
          </w:p>
        </w:tc>
        <w:tc>
          <w:tcPr>
            <w:tcW w:w="2175" w:type="dxa"/>
            <w:gridSpan w:val="2"/>
          </w:tcPr>
          <w:p w14:paraId="3B4CC0CB" w14:textId="3146A680" w:rsidR="008B6F1F" w:rsidRDefault="008B6F1F"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Iseal alliance, WWF</w:t>
            </w:r>
          </w:p>
        </w:tc>
      </w:tr>
      <w:tr w:rsidR="008B6F1F" w14:paraId="2B28FD30" w14:textId="77777777" w:rsidTr="00D85601">
        <w:trPr>
          <w:trHeight w:val="280"/>
        </w:trPr>
        <w:tc>
          <w:tcPr>
            <w:tcW w:w="585" w:type="dxa"/>
            <w:shd w:val="clear" w:color="auto" w:fill="D9E2F3"/>
          </w:tcPr>
          <w:p w14:paraId="5F4FDAD6" w14:textId="0D0D287B"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E</w:t>
            </w:r>
          </w:p>
        </w:tc>
        <w:tc>
          <w:tcPr>
            <w:tcW w:w="6675" w:type="dxa"/>
            <w:shd w:val="clear" w:color="auto" w:fill="D9E2F3"/>
          </w:tcPr>
          <w:p w14:paraId="158B1FAF" w14:textId="77777777" w:rsidR="008B6F1F" w:rsidRDefault="008B6F1F" w:rsidP="001E025D">
            <w:pPr>
              <w:spacing w:line="261" w:lineRule="auto"/>
              <w:ind w:left="105"/>
              <w:jc w:val="both"/>
              <w:rPr>
                <w:b/>
                <w:sz w:val="20"/>
                <w:szCs w:val="20"/>
              </w:rPr>
            </w:pPr>
            <w:r>
              <w:rPr>
                <w:b/>
                <w:sz w:val="20"/>
                <w:szCs w:val="20"/>
              </w:rPr>
              <w:t>Outcome 3.1</w:t>
            </w:r>
          </w:p>
        </w:tc>
        <w:tc>
          <w:tcPr>
            <w:tcW w:w="2175" w:type="dxa"/>
            <w:gridSpan w:val="2"/>
            <w:shd w:val="clear" w:color="auto" w:fill="D9E2F3"/>
          </w:tcPr>
          <w:p w14:paraId="7FC45CCC" w14:textId="77777777" w:rsidR="008B6F1F" w:rsidRDefault="008B6F1F" w:rsidP="001E025D">
            <w:pPr>
              <w:jc w:val="center"/>
              <w:rPr>
                <w:rFonts w:ascii="Quattrocento Sans" w:eastAsia="Quattrocento Sans" w:hAnsi="Quattrocento Sans" w:cs="Quattrocento Sans"/>
                <w:sz w:val="20"/>
                <w:szCs w:val="20"/>
              </w:rPr>
            </w:pPr>
          </w:p>
        </w:tc>
      </w:tr>
      <w:tr w:rsidR="008B6F1F" w14:paraId="59743978" w14:textId="77777777" w:rsidTr="00D85601">
        <w:trPr>
          <w:trHeight w:val="280"/>
        </w:trPr>
        <w:tc>
          <w:tcPr>
            <w:tcW w:w="585" w:type="dxa"/>
            <w:shd w:val="clear" w:color="auto" w:fill="auto"/>
          </w:tcPr>
          <w:p w14:paraId="5E85F6AC" w14:textId="4CD6BB3E"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E</w:t>
            </w:r>
            <w:r w:rsidR="008B6F1F">
              <w:rPr>
                <w:rFonts w:ascii="Quattrocento Sans" w:eastAsia="Quattrocento Sans" w:hAnsi="Quattrocento Sans" w:cs="Quattrocento Sans"/>
                <w:color w:val="1F3863"/>
                <w:sz w:val="20"/>
                <w:szCs w:val="20"/>
              </w:rPr>
              <w:t>.1</w:t>
            </w:r>
          </w:p>
        </w:tc>
        <w:tc>
          <w:tcPr>
            <w:tcW w:w="6675" w:type="dxa"/>
          </w:tcPr>
          <w:p w14:paraId="54551553" w14:textId="64DA1B14" w:rsidR="008B6F1F" w:rsidRDefault="00601242" w:rsidP="001E025D">
            <w:pPr>
              <w:spacing w:line="261" w:lineRule="auto"/>
              <w:ind w:left="105"/>
              <w:jc w:val="both"/>
              <w:rPr>
                <w:b/>
                <w:sz w:val="20"/>
                <w:szCs w:val="20"/>
              </w:rPr>
            </w:pPr>
            <w:r w:rsidRPr="00601242">
              <w:rPr>
                <w:sz w:val="20"/>
                <w:szCs w:val="20"/>
              </w:rPr>
              <w:t xml:space="preserve">Seek a method to widely disseminate the knowledge management tools, products and webinars for the continued benefit of the interested sectors. This could be done through offering access to the GCC and its knowledge products </w:t>
            </w:r>
            <w:r w:rsidRPr="00601242">
              <w:rPr>
                <w:sz w:val="20"/>
                <w:szCs w:val="20"/>
              </w:rPr>
              <w:lastRenderedPageBreak/>
              <w:t>on multiple platforms such as certification roundtables, business associations, even selected chambers of commerce, etc</w:t>
            </w:r>
            <w:r>
              <w:rPr>
                <w:sz w:val="20"/>
                <w:szCs w:val="20"/>
              </w:rPr>
              <w:t xml:space="preserve">. </w:t>
            </w:r>
          </w:p>
        </w:tc>
        <w:tc>
          <w:tcPr>
            <w:tcW w:w="2175" w:type="dxa"/>
            <w:gridSpan w:val="2"/>
          </w:tcPr>
          <w:p w14:paraId="69B17F79" w14:textId="648C3F4B" w:rsidR="008B6F1F" w:rsidRDefault="0045727B"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lastRenderedPageBreak/>
              <w:t>UNDP (</w:t>
            </w:r>
            <w:r w:rsidR="008B6F1F">
              <w:rPr>
                <w:rFonts w:ascii="Quattrocento Sans" w:eastAsia="Quattrocento Sans" w:hAnsi="Quattrocento Sans" w:cs="Quattrocento Sans"/>
                <w:sz w:val="20"/>
                <w:szCs w:val="20"/>
              </w:rPr>
              <w:t>GCC</w:t>
            </w:r>
            <w:r>
              <w:rPr>
                <w:rFonts w:ascii="Quattrocento Sans" w:eastAsia="Quattrocento Sans" w:hAnsi="Quattrocento Sans" w:cs="Quattrocento Sans"/>
                <w:sz w:val="20"/>
                <w:szCs w:val="20"/>
              </w:rPr>
              <w:t>)</w:t>
            </w:r>
          </w:p>
        </w:tc>
      </w:tr>
      <w:tr w:rsidR="008B6F1F" w14:paraId="5D57528E" w14:textId="77777777" w:rsidTr="00D85601">
        <w:trPr>
          <w:trHeight w:val="280"/>
        </w:trPr>
        <w:tc>
          <w:tcPr>
            <w:tcW w:w="585" w:type="dxa"/>
            <w:shd w:val="clear" w:color="auto" w:fill="auto"/>
          </w:tcPr>
          <w:p w14:paraId="5ACD9BBD" w14:textId="1E4DBB24"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E</w:t>
            </w:r>
            <w:r w:rsidR="008B6F1F">
              <w:rPr>
                <w:rFonts w:ascii="Quattrocento Sans" w:eastAsia="Quattrocento Sans" w:hAnsi="Quattrocento Sans" w:cs="Quattrocento Sans"/>
                <w:color w:val="1F3863"/>
                <w:sz w:val="20"/>
                <w:szCs w:val="20"/>
              </w:rPr>
              <w:t>.2</w:t>
            </w:r>
          </w:p>
        </w:tc>
        <w:bookmarkStart w:id="13" w:name="_heading=h.2et92p0" w:colFirst="0" w:colLast="0"/>
        <w:bookmarkEnd w:id="13"/>
        <w:tc>
          <w:tcPr>
            <w:tcW w:w="6675" w:type="dxa"/>
          </w:tcPr>
          <w:p w14:paraId="1CDC9820" w14:textId="2D1B77C6" w:rsidR="008B6F1F" w:rsidRDefault="006D7FD6" w:rsidP="001E025D">
            <w:pPr>
              <w:spacing w:line="261" w:lineRule="auto"/>
              <w:ind w:left="105"/>
              <w:jc w:val="both"/>
              <w:rPr>
                <w:b/>
                <w:sz w:val="20"/>
                <w:szCs w:val="20"/>
              </w:rPr>
            </w:pPr>
            <w:sdt>
              <w:sdtPr>
                <w:tag w:val="goog_rdk_26"/>
                <w:id w:val="-2042972060"/>
              </w:sdtPr>
              <w:sdtEndPr/>
              <w:sdtContent/>
            </w:sdt>
            <w:sdt>
              <w:sdtPr>
                <w:tag w:val="goog_rdk_27"/>
                <w:id w:val="942890123"/>
              </w:sdtPr>
              <w:sdtEndPr/>
              <w:sdtContent/>
            </w:sdt>
            <w:r w:rsidR="008B6F1F">
              <w:rPr>
                <w:sz w:val="20"/>
                <w:szCs w:val="20"/>
              </w:rPr>
              <w:t>Make all effort to expand the base of users to reduce the cost/beneficiary and the transaction costs.</w:t>
            </w:r>
          </w:p>
        </w:tc>
        <w:tc>
          <w:tcPr>
            <w:tcW w:w="2175" w:type="dxa"/>
            <w:gridSpan w:val="2"/>
          </w:tcPr>
          <w:p w14:paraId="77B1069B" w14:textId="2BED213D" w:rsidR="008B6F1F" w:rsidRDefault="00343AF6"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UNDP (</w:t>
            </w:r>
            <w:r w:rsidR="008B6F1F">
              <w:rPr>
                <w:rFonts w:ascii="Quattrocento Sans" w:eastAsia="Quattrocento Sans" w:hAnsi="Quattrocento Sans" w:cs="Quattrocento Sans"/>
                <w:sz w:val="20"/>
                <w:szCs w:val="20"/>
              </w:rPr>
              <w:t>GCC</w:t>
            </w:r>
            <w:r>
              <w:rPr>
                <w:rFonts w:ascii="Quattrocento Sans" w:eastAsia="Quattrocento Sans" w:hAnsi="Quattrocento Sans" w:cs="Quattrocento Sans"/>
                <w:sz w:val="20"/>
                <w:szCs w:val="20"/>
              </w:rPr>
              <w:t>)</w:t>
            </w:r>
          </w:p>
        </w:tc>
      </w:tr>
      <w:tr w:rsidR="008B6F1F" w14:paraId="50D8B916" w14:textId="77777777" w:rsidTr="00D85601">
        <w:trPr>
          <w:trHeight w:val="280"/>
        </w:trPr>
        <w:tc>
          <w:tcPr>
            <w:tcW w:w="585" w:type="dxa"/>
            <w:shd w:val="clear" w:color="auto" w:fill="auto"/>
          </w:tcPr>
          <w:p w14:paraId="7A07014D" w14:textId="720F9C99"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E</w:t>
            </w:r>
            <w:r w:rsidR="008B6F1F">
              <w:rPr>
                <w:rFonts w:ascii="Quattrocento Sans" w:eastAsia="Quattrocento Sans" w:hAnsi="Quattrocento Sans" w:cs="Quattrocento Sans"/>
                <w:color w:val="1F3863"/>
                <w:sz w:val="20"/>
                <w:szCs w:val="20"/>
              </w:rPr>
              <w:t>.3</w:t>
            </w:r>
          </w:p>
        </w:tc>
        <w:tc>
          <w:tcPr>
            <w:tcW w:w="6675" w:type="dxa"/>
          </w:tcPr>
          <w:p w14:paraId="79C9E081" w14:textId="77777777" w:rsidR="008B6F1F" w:rsidRDefault="008B6F1F" w:rsidP="001E025D">
            <w:pPr>
              <w:spacing w:line="261" w:lineRule="auto"/>
              <w:ind w:left="105"/>
              <w:jc w:val="both"/>
              <w:rPr>
                <w:b/>
                <w:sz w:val="20"/>
                <w:szCs w:val="20"/>
              </w:rPr>
            </w:pPr>
            <w:r>
              <w:rPr>
                <w:sz w:val="20"/>
                <w:szCs w:val="20"/>
              </w:rPr>
              <w:t>Highly encourage GEF projects in the commodities spaces to budget attendance at the Good Growth Conference</w:t>
            </w:r>
          </w:p>
        </w:tc>
        <w:tc>
          <w:tcPr>
            <w:tcW w:w="2175" w:type="dxa"/>
            <w:gridSpan w:val="2"/>
          </w:tcPr>
          <w:p w14:paraId="0A2537C2" w14:textId="7A5959F6" w:rsidR="008B6F1F" w:rsidRDefault="008B6F1F"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 UNDP</w:t>
            </w:r>
          </w:p>
        </w:tc>
      </w:tr>
      <w:tr w:rsidR="008B6F1F" w14:paraId="4BA055B8" w14:textId="77777777" w:rsidTr="00D85601">
        <w:trPr>
          <w:trHeight w:val="280"/>
        </w:trPr>
        <w:tc>
          <w:tcPr>
            <w:tcW w:w="585" w:type="dxa"/>
            <w:shd w:val="clear" w:color="auto" w:fill="auto"/>
          </w:tcPr>
          <w:p w14:paraId="25414FE5" w14:textId="5BF799C8"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E</w:t>
            </w:r>
            <w:r w:rsidR="008B6F1F">
              <w:rPr>
                <w:rFonts w:ascii="Quattrocento Sans" w:eastAsia="Quattrocento Sans" w:hAnsi="Quattrocento Sans" w:cs="Quattrocento Sans"/>
                <w:color w:val="1F3863"/>
                <w:sz w:val="20"/>
                <w:szCs w:val="20"/>
              </w:rPr>
              <w:t>.4.</w:t>
            </w:r>
          </w:p>
        </w:tc>
        <w:tc>
          <w:tcPr>
            <w:tcW w:w="6675" w:type="dxa"/>
          </w:tcPr>
          <w:p w14:paraId="55A2C1EE" w14:textId="3F209B41" w:rsidR="008B6F1F" w:rsidRDefault="00343AF6" w:rsidP="001E025D">
            <w:pPr>
              <w:spacing w:line="261" w:lineRule="auto"/>
              <w:ind w:left="105"/>
              <w:jc w:val="both"/>
              <w:rPr>
                <w:sz w:val="20"/>
                <w:szCs w:val="20"/>
              </w:rPr>
            </w:pPr>
            <w:r w:rsidRPr="00343AF6">
              <w:rPr>
                <w:sz w:val="20"/>
                <w:szCs w:val="20"/>
              </w:rPr>
              <w:t>For future IPs, use communications strategically</w:t>
            </w:r>
            <w:r>
              <w:rPr>
                <w:sz w:val="20"/>
                <w:szCs w:val="20"/>
              </w:rPr>
              <w:t xml:space="preserve"> by</w:t>
            </w:r>
            <w:r w:rsidRPr="00343AF6">
              <w:rPr>
                <w:sz w:val="20"/>
                <w:szCs w:val="20"/>
              </w:rPr>
              <w:t xml:space="preserve"> developing a programme-level  communications plan to embrace all child projects and the global audience. Bring Integration into communications</w:t>
            </w:r>
            <w:r>
              <w:rPr>
                <w:sz w:val="20"/>
                <w:szCs w:val="20"/>
              </w:rPr>
              <w:t xml:space="preserve">. </w:t>
            </w:r>
          </w:p>
        </w:tc>
        <w:tc>
          <w:tcPr>
            <w:tcW w:w="2175" w:type="dxa"/>
            <w:gridSpan w:val="2"/>
          </w:tcPr>
          <w:p w14:paraId="1773AC29" w14:textId="60F0D212" w:rsidR="008B6F1F" w:rsidRDefault="00343AF6"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GEF</w:t>
            </w:r>
          </w:p>
        </w:tc>
      </w:tr>
      <w:tr w:rsidR="008B6F1F" w14:paraId="2D828945" w14:textId="77777777" w:rsidTr="00D85601">
        <w:trPr>
          <w:trHeight w:val="280"/>
        </w:trPr>
        <w:tc>
          <w:tcPr>
            <w:tcW w:w="585" w:type="dxa"/>
            <w:shd w:val="clear" w:color="auto" w:fill="D9E2F3"/>
          </w:tcPr>
          <w:p w14:paraId="61054FDB" w14:textId="44D385C4"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F</w:t>
            </w:r>
            <w:r w:rsidR="008B6F1F">
              <w:rPr>
                <w:rFonts w:ascii="Quattrocento Sans" w:eastAsia="Quattrocento Sans" w:hAnsi="Quattrocento Sans" w:cs="Quattrocento Sans"/>
                <w:color w:val="1F3863"/>
                <w:sz w:val="20"/>
                <w:szCs w:val="20"/>
              </w:rPr>
              <w:t>.</w:t>
            </w:r>
          </w:p>
        </w:tc>
        <w:tc>
          <w:tcPr>
            <w:tcW w:w="6675" w:type="dxa"/>
            <w:shd w:val="clear" w:color="auto" w:fill="D9E2F3"/>
          </w:tcPr>
          <w:p w14:paraId="23D5607F" w14:textId="77777777" w:rsidR="008B6F1F" w:rsidRDefault="008B6F1F" w:rsidP="001E025D">
            <w:pPr>
              <w:spacing w:line="261" w:lineRule="auto"/>
              <w:ind w:left="105"/>
              <w:jc w:val="both"/>
              <w:rPr>
                <w:b/>
                <w:sz w:val="20"/>
                <w:szCs w:val="20"/>
              </w:rPr>
            </w:pPr>
            <w:r>
              <w:rPr>
                <w:b/>
                <w:sz w:val="20"/>
                <w:szCs w:val="20"/>
              </w:rPr>
              <w:t>Social and Environmental Safeguards</w:t>
            </w:r>
          </w:p>
        </w:tc>
        <w:tc>
          <w:tcPr>
            <w:tcW w:w="2175" w:type="dxa"/>
            <w:gridSpan w:val="2"/>
            <w:shd w:val="clear" w:color="auto" w:fill="D9E2F3"/>
          </w:tcPr>
          <w:p w14:paraId="7ADA8DE5" w14:textId="77777777" w:rsidR="008B6F1F" w:rsidRDefault="008B6F1F" w:rsidP="001E025D">
            <w:pPr>
              <w:jc w:val="center"/>
              <w:rPr>
                <w:rFonts w:ascii="Quattrocento Sans" w:eastAsia="Quattrocento Sans" w:hAnsi="Quattrocento Sans" w:cs="Quattrocento Sans"/>
                <w:sz w:val="20"/>
                <w:szCs w:val="20"/>
              </w:rPr>
            </w:pPr>
          </w:p>
        </w:tc>
      </w:tr>
      <w:tr w:rsidR="008B6F1F" w14:paraId="548054E9" w14:textId="77777777" w:rsidTr="00D85601">
        <w:trPr>
          <w:trHeight w:val="280"/>
        </w:trPr>
        <w:tc>
          <w:tcPr>
            <w:tcW w:w="585" w:type="dxa"/>
            <w:shd w:val="clear" w:color="auto" w:fill="auto"/>
          </w:tcPr>
          <w:p w14:paraId="03D8F84F" w14:textId="01BF9091"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F</w:t>
            </w:r>
            <w:r w:rsidR="008B6F1F">
              <w:rPr>
                <w:rFonts w:ascii="Quattrocento Sans" w:eastAsia="Quattrocento Sans" w:hAnsi="Quattrocento Sans" w:cs="Quattrocento Sans"/>
                <w:color w:val="1F3863"/>
                <w:sz w:val="20"/>
                <w:szCs w:val="20"/>
              </w:rPr>
              <w:t>.1</w:t>
            </w:r>
          </w:p>
        </w:tc>
        <w:tc>
          <w:tcPr>
            <w:tcW w:w="6675" w:type="dxa"/>
          </w:tcPr>
          <w:p w14:paraId="35BA92D1" w14:textId="23B9C5E0" w:rsidR="008B6F1F" w:rsidRDefault="008B6F1F" w:rsidP="001E025D">
            <w:pPr>
              <w:spacing w:line="261" w:lineRule="auto"/>
              <w:ind w:left="105"/>
              <w:jc w:val="both"/>
              <w:rPr>
                <w:sz w:val="20"/>
                <w:szCs w:val="20"/>
              </w:rPr>
            </w:pPr>
            <w:r>
              <w:rPr>
                <w:sz w:val="20"/>
                <w:szCs w:val="20"/>
              </w:rPr>
              <w:t xml:space="preserve">Consider a Policy working group with actual politicians from the participating nations to better engage national decision-makers in the policy space. Elicit more talks and interventions in the </w:t>
            </w:r>
            <w:r w:rsidR="00343AF6">
              <w:rPr>
                <w:sz w:val="20"/>
                <w:szCs w:val="20"/>
              </w:rPr>
              <w:t>G</w:t>
            </w:r>
            <w:r>
              <w:rPr>
                <w:sz w:val="20"/>
                <w:szCs w:val="20"/>
              </w:rPr>
              <w:t xml:space="preserve">CC for that audience. </w:t>
            </w:r>
          </w:p>
        </w:tc>
        <w:tc>
          <w:tcPr>
            <w:tcW w:w="2175" w:type="dxa"/>
            <w:gridSpan w:val="2"/>
          </w:tcPr>
          <w:p w14:paraId="61494F9E" w14:textId="080D5897" w:rsidR="008B6F1F" w:rsidRDefault="00343AF6"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UNDP (</w:t>
            </w:r>
            <w:r w:rsidR="00A03AD7">
              <w:rPr>
                <w:rFonts w:ascii="Quattrocento Sans" w:eastAsia="Quattrocento Sans" w:hAnsi="Quattrocento Sans" w:cs="Quattrocento Sans"/>
                <w:sz w:val="20"/>
                <w:szCs w:val="20"/>
              </w:rPr>
              <w:t>GCC)</w:t>
            </w:r>
          </w:p>
        </w:tc>
      </w:tr>
      <w:tr w:rsidR="008B6F1F" w14:paraId="0381B62D" w14:textId="77777777" w:rsidTr="00D85601">
        <w:trPr>
          <w:trHeight w:val="280"/>
        </w:trPr>
        <w:tc>
          <w:tcPr>
            <w:tcW w:w="585" w:type="dxa"/>
            <w:shd w:val="clear" w:color="auto" w:fill="D9E2F3"/>
          </w:tcPr>
          <w:p w14:paraId="5A4659CA" w14:textId="2D19AE6B"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G</w:t>
            </w:r>
          </w:p>
        </w:tc>
        <w:tc>
          <w:tcPr>
            <w:tcW w:w="6675" w:type="dxa"/>
            <w:shd w:val="clear" w:color="auto" w:fill="D9E2F3"/>
          </w:tcPr>
          <w:p w14:paraId="57EF90D8" w14:textId="77777777" w:rsidR="008B6F1F" w:rsidRDefault="006D7FD6" w:rsidP="001E025D">
            <w:pPr>
              <w:spacing w:line="261" w:lineRule="auto"/>
              <w:ind w:left="105"/>
              <w:jc w:val="both"/>
              <w:rPr>
                <w:sz w:val="20"/>
                <w:szCs w:val="20"/>
              </w:rPr>
            </w:pPr>
            <w:sdt>
              <w:sdtPr>
                <w:tag w:val="goog_rdk_29"/>
                <w:id w:val="-941525235"/>
              </w:sdtPr>
              <w:sdtEndPr/>
              <w:sdtContent/>
            </w:sdt>
            <w:sdt>
              <w:sdtPr>
                <w:tag w:val="goog_rdk_30"/>
                <w:id w:val="-1884393927"/>
              </w:sdtPr>
              <w:sdtEndPr/>
              <w:sdtContent/>
            </w:sdt>
            <w:r w:rsidR="008B6F1F">
              <w:rPr>
                <w:b/>
                <w:sz w:val="20"/>
                <w:szCs w:val="20"/>
              </w:rPr>
              <w:t>Sustainability</w:t>
            </w:r>
          </w:p>
        </w:tc>
        <w:tc>
          <w:tcPr>
            <w:tcW w:w="2175" w:type="dxa"/>
            <w:gridSpan w:val="2"/>
            <w:shd w:val="clear" w:color="auto" w:fill="D9E2F3"/>
          </w:tcPr>
          <w:p w14:paraId="0A3DE4DD" w14:textId="77777777" w:rsidR="008B6F1F" w:rsidRDefault="008B6F1F" w:rsidP="001E025D">
            <w:pPr>
              <w:jc w:val="center"/>
              <w:rPr>
                <w:rFonts w:ascii="Quattrocento Sans" w:eastAsia="Quattrocento Sans" w:hAnsi="Quattrocento Sans" w:cs="Quattrocento Sans"/>
                <w:sz w:val="20"/>
                <w:szCs w:val="20"/>
              </w:rPr>
            </w:pPr>
          </w:p>
        </w:tc>
      </w:tr>
      <w:tr w:rsidR="008B6F1F" w14:paraId="6F22DB0A" w14:textId="77777777" w:rsidTr="00D85601">
        <w:trPr>
          <w:trHeight w:val="280"/>
        </w:trPr>
        <w:tc>
          <w:tcPr>
            <w:tcW w:w="585" w:type="dxa"/>
            <w:shd w:val="clear" w:color="auto" w:fill="auto"/>
          </w:tcPr>
          <w:p w14:paraId="22367F31" w14:textId="56693C2E" w:rsidR="008B6F1F" w:rsidRDefault="005B06B8" w:rsidP="001E025D">
            <w:pPr>
              <w:spacing w:line="261" w:lineRule="auto"/>
              <w:ind w:left="107"/>
              <w:rPr>
                <w:rFonts w:ascii="Quattrocento Sans" w:eastAsia="Quattrocento Sans" w:hAnsi="Quattrocento Sans" w:cs="Quattrocento Sans"/>
                <w:color w:val="1F3863"/>
                <w:sz w:val="20"/>
                <w:szCs w:val="20"/>
              </w:rPr>
            </w:pPr>
            <w:r>
              <w:rPr>
                <w:rFonts w:ascii="Quattrocento Sans" w:eastAsia="Quattrocento Sans" w:hAnsi="Quattrocento Sans" w:cs="Quattrocento Sans"/>
                <w:color w:val="1F3863"/>
                <w:sz w:val="20"/>
                <w:szCs w:val="20"/>
              </w:rPr>
              <w:t>G</w:t>
            </w:r>
            <w:r w:rsidR="008B6F1F">
              <w:rPr>
                <w:rFonts w:ascii="Quattrocento Sans" w:eastAsia="Quattrocento Sans" w:hAnsi="Quattrocento Sans" w:cs="Quattrocento Sans"/>
                <w:color w:val="1F3863"/>
                <w:sz w:val="20"/>
                <w:szCs w:val="20"/>
              </w:rPr>
              <w:t>.1</w:t>
            </w:r>
          </w:p>
        </w:tc>
        <w:tc>
          <w:tcPr>
            <w:tcW w:w="6675" w:type="dxa"/>
          </w:tcPr>
          <w:p w14:paraId="1FBA4009" w14:textId="56D89FB1" w:rsidR="008B6F1F" w:rsidRDefault="006D7FD6" w:rsidP="001E025D">
            <w:pPr>
              <w:jc w:val="both"/>
              <w:rPr>
                <w:b/>
                <w:sz w:val="20"/>
                <w:szCs w:val="20"/>
              </w:rPr>
            </w:pPr>
            <w:sdt>
              <w:sdtPr>
                <w:tag w:val="goog_rdk_31"/>
                <w:id w:val="-736783986"/>
              </w:sdtPr>
              <w:sdtEndPr/>
              <w:sdtContent/>
            </w:sdt>
            <w:sdt>
              <w:sdtPr>
                <w:tag w:val="goog_rdk_32"/>
                <w:id w:val="1108705289"/>
              </w:sdtPr>
              <w:sdtEndPr/>
              <w:sdtContent/>
            </w:sdt>
            <w:r w:rsidR="008B6F1F">
              <w:rPr>
                <w:sz w:val="20"/>
                <w:szCs w:val="20"/>
              </w:rPr>
              <w:t xml:space="preserve">Calculate how many dollars in benefits have been generated for farmers from </w:t>
            </w:r>
            <w:r w:rsidR="00A03AD7">
              <w:rPr>
                <w:sz w:val="20"/>
                <w:szCs w:val="20"/>
              </w:rPr>
              <w:t>a $</w:t>
            </w:r>
            <w:r w:rsidR="008B6F1F">
              <w:rPr>
                <w:sz w:val="20"/>
                <w:szCs w:val="20"/>
              </w:rPr>
              <w:t>1</w:t>
            </w:r>
            <w:r w:rsidR="00A03AD7">
              <w:rPr>
                <w:sz w:val="20"/>
                <w:szCs w:val="20"/>
              </w:rPr>
              <w:t xml:space="preserve">.00 U.S. </w:t>
            </w:r>
            <w:r w:rsidR="008B6F1F">
              <w:rPr>
                <w:sz w:val="20"/>
                <w:szCs w:val="20"/>
              </w:rPr>
              <w:t xml:space="preserve"> invested in GGP training. </w:t>
            </w:r>
            <w:r w:rsidR="00A03AD7">
              <w:rPr>
                <w:sz w:val="20"/>
                <w:szCs w:val="20"/>
              </w:rPr>
              <w:t>C</w:t>
            </w:r>
            <w:r w:rsidR="008B6F1F">
              <w:rPr>
                <w:sz w:val="20"/>
                <w:szCs w:val="20"/>
              </w:rPr>
              <w:t xml:space="preserve">urrent training in the Production Project is yielding 2 to 3X returns immediately.  </w:t>
            </w:r>
            <w:sdt>
              <w:sdtPr>
                <w:tag w:val="goog_rdk_33"/>
                <w:id w:val="-1319576729"/>
              </w:sdtPr>
              <w:sdtEndPr/>
              <w:sdtContent/>
            </w:sdt>
            <w:sdt>
              <w:sdtPr>
                <w:tag w:val="goog_rdk_34"/>
                <w:id w:val="1527438183"/>
              </w:sdtPr>
              <w:sdtEndPr/>
              <w:sdtContent/>
            </w:sdt>
            <w:r w:rsidR="008B6F1F">
              <w:rPr>
                <w:sz w:val="20"/>
                <w:szCs w:val="20"/>
              </w:rPr>
              <w:t xml:space="preserve">Use this amount as a fundraising tool to support financial sustainability. </w:t>
            </w:r>
          </w:p>
        </w:tc>
        <w:tc>
          <w:tcPr>
            <w:tcW w:w="2175" w:type="dxa"/>
            <w:gridSpan w:val="2"/>
          </w:tcPr>
          <w:p w14:paraId="345655B5" w14:textId="4F7324B6" w:rsidR="008B6F1F" w:rsidRDefault="00A03AD7" w:rsidP="001E025D">
            <w:pPr>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UNDP</w:t>
            </w:r>
          </w:p>
        </w:tc>
      </w:tr>
    </w:tbl>
    <w:p w14:paraId="4914F512" w14:textId="77777777" w:rsidR="008B6F1F" w:rsidRDefault="008B6F1F" w:rsidP="008B6F1F"/>
    <w:p w14:paraId="43861898" w14:textId="77777777" w:rsidR="008B6F1F" w:rsidRDefault="008B6F1F" w:rsidP="00BA2312"/>
    <w:p w14:paraId="221B8FEF" w14:textId="08B24888" w:rsidR="00A66D56" w:rsidRPr="00EA5BA4" w:rsidRDefault="00516839" w:rsidP="00D80344">
      <w:pPr>
        <w:pStyle w:val="Heading1"/>
        <w:numPr>
          <w:ilvl w:val="0"/>
          <w:numId w:val="5"/>
        </w:numPr>
        <w:jc w:val="both"/>
        <w:rPr>
          <w:sz w:val="28"/>
          <w:szCs w:val="28"/>
        </w:rPr>
      </w:pPr>
      <w:bookmarkStart w:id="14" w:name="_Toc96772461"/>
      <w:bookmarkEnd w:id="8"/>
      <w:r w:rsidRPr="003769D0">
        <w:rPr>
          <w:rFonts w:asciiTheme="minorHAnsi" w:hAnsiTheme="minorHAnsi" w:cstheme="minorHAnsi"/>
          <w:sz w:val="28"/>
          <w:szCs w:val="28"/>
        </w:rPr>
        <w:t>Introduction</w:t>
      </w:r>
      <w:bookmarkStart w:id="15" w:name="_TOC_250019"/>
      <w:bookmarkEnd w:id="14"/>
    </w:p>
    <w:p w14:paraId="3A952EF2" w14:textId="77777777" w:rsidR="00044279" w:rsidRPr="00BF4FCB" w:rsidRDefault="00044279" w:rsidP="00044279">
      <w:pPr>
        <w:pStyle w:val="Heading1"/>
        <w:ind w:left="830"/>
        <w:jc w:val="both"/>
      </w:pPr>
    </w:p>
    <w:p w14:paraId="07D63276" w14:textId="664909BF" w:rsidR="00F94D82" w:rsidRPr="006D78AE" w:rsidRDefault="00E64686" w:rsidP="00044279">
      <w:pPr>
        <w:pStyle w:val="Heading2"/>
        <w:rPr>
          <w:rFonts w:ascii="Calibri" w:hAnsi="Calibri" w:cs="Calibri"/>
          <w:sz w:val="24"/>
          <w:szCs w:val="24"/>
        </w:rPr>
      </w:pPr>
      <w:bookmarkStart w:id="16" w:name="_Toc96772462"/>
      <w:bookmarkEnd w:id="15"/>
      <w:r w:rsidRPr="006D78AE">
        <w:rPr>
          <w:rFonts w:ascii="Calibri" w:hAnsi="Calibri" w:cs="Calibri"/>
          <w:sz w:val="24"/>
          <w:szCs w:val="24"/>
        </w:rPr>
        <w:t xml:space="preserve">2.1 </w:t>
      </w:r>
      <w:r w:rsidR="007F21D0" w:rsidRPr="006D78AE">
        <w:rPr>
          <w:rFonts w:ascii="Calibri" w:hAnsi="Calibri" w:cs="Calibri"/>
          <w:sz w:val="24"/>
          <w:szCs w:val="24"/>
        </w:rPr>
        <w:t>Purpose</w:t>
      </w:r>
      <w:r w:rsidR="00C166F3" w:rsidRPr="006D78AE">
        <w:rPr>
          <w:rFonts w:ascii="Calibri" w:hAnsi="Calibri" w:cs="Calibri"/>
          <w:sz w:val="24"/>
          <w:szCs w:val="24"/>
        </w:rPr>
        <w:t xml:space="preserve">, </w:t>
      </w:r>
      <w:r w:rsidR="007F21D0" w:rsidRPr="006D78AE">
        <w:rPr>
          <w:rFonts w:ascii="Calibri" w:hAnsi="Calibri" w:cs="Calibri"/>
          <w:sz w:val="24"/>
          <w:szCs w:val="24"/>
        </w:rPr>
        <w:t>Objective</w:t>
      </w:r>
      <w:r w:rsidR="00C166F3" w:rsidRPr="006D78AE">
        <w:rPr>
          <w:rFonts w:ascii="Calibri" w:hAnsi="Calibri" w:cs="Calibri"/>
          <w:sz w:val="24"/>
          <w:szCs w:val="24"/>
        </w:rPr>
        <w:t>, and Scope</w:t>
      </w:r>
      <w:r w:rsidR="007F21D0" w:rsidRPr="006D78AE">
        <w:rPr>
          <w:rFonts w:ascii="Calibri" w:hAnsi="Calibri" w:cs="Calibri"/>
          <w:sz w:val="24"/>
          <w:szCs w:val="24"/>
        </w:rPr>
        <w:t xml:space="preserve"> of the T</w:t>
      </w:r>
      <w:r w:rsidR="00C166F3" w:rsidRPr="006D78AE">
        <w:rPr>
          <w:rFonts w:ascii="Calibri" w:hAnsi="Calibri" w:cs="Calibri"/>
          <w:sz w:val="24"/>
          <w:szCs w:val="24"/>
        </w:rPr>
        <w:t>erminal Evaluation</w:t>
      </w:r>
      <w:bookmarkEnd w:id="16"/>
    </w:p>
    <w:p w14:paraId="50CC1C8B" w14:textId="77777777" w:rsidR="00B515BC" w:rsidRDefault="00B515BC" w:rsidP="00B515BC">
      <w:pPr>
        <w:jc w:val="both"/>
        <w:rPr>
          <w:rFonts w:asciiTheme="minorHAnsi" w:eastAsia="Segoe UI" w:hAnsiTheme="minorHAnsi" w:cstheme="minorHAnsi"/>
          <w:lang w:bidi="en-US"/>
        </w:rPr>
      </w:pPr>
    </w:p>
    <w:p w14:paraId="64D86DA8" w14:textId="00261A50" w:rsidR="00C166F3" w:rsidRPr="00B515BC" w:rsidRDefault="00C166F3" w:rsidP="00B515BC">
      <w:pPr>
        <w:jc w:val="both"/>
        <w:rPr>
          <w:rFonts w:asciiTheme="minorHAnsi" w:eastAsia="Segoe UI" w:hAnsiTheme="minorHAnsi" w:cstheme="minorHAnsi"/>
          <w:lang w:bidi="en-US"/>
        </w:rPr>
      </w:pPr>
      <w:r w:rsidRPr="00B515BC">
        <w:rPr>
          <w:rFonts w:asciiTheme="minorHAnsi" w:eastAsia="Segoe UI" w:hAnsiTheme="minorHAnsi" w:cstheme="minorHAnsi"/>
          <w:lang w:bidi="en-US"/>
        </w:rPr>
        <w:t xml:space="preserve">The evaluation is an independent technical and financial Terminal Evaluation (TE) of the GEF Adaptive Management and Learning for the Commodities IAP (UNDP 5665-GEF ID 9179). In adherence with UNDP and GEF M&amp;E policies and procedures, UNDP RH LAC, the GEF implementing agency, has contracted an independent consulting firm, </w:t>
      </w:r>
      <w:r w:rsidRPr="00B515BC">
        <w:rPr>
          <w:rFonts w:asciiTheme="minorHAnsi" w:eastAsia="Segoe UI" w:hAnsiTheme="minorHAnsi" w:cstheme="minorHAnsi"/>
          <w:i/>
          <w:iCs/>
          <w:lang w:bidi="en-US"/>
        </w:rPr>
        <w:t>Asesoramiento Ambiental Estratégico</w:t>
      </w:r>
      <w:r w:rsidRPr="00B515BC">
        <w:rPr>
          <w:rFonts w:asciiTheme="minorHAnsi" w:eastAsia="Segoe UI" w:hAnsiTheme="minorHAnsi" w:cstheme="minorHAnsi"/>
          <w:lang w:bidi="en-US"/>
        </w:rPr>
        <w:t xml:space="preserve"> (AAE), to execute the TE. </w:t>
      </w:r>
    </w:p>
    <w:p w14:paraId="5DF3AC75" w14:textId="2C006722" w:rsidR="00C166F3" w:rsidRPr="00B515BC" w:rsidRDefault="00C166F3" w:rsidP="00B515BC">
      <w:pPr>
        <w:jc w:val="both"/>
        <w:rPr>
          <w:rFonts w:asciiTheme="minorHAnsi" w:eastAsia="Segoe UI" w:hAnsiTheme="minorHAnsi" w:cstheme="minorHAnsi"/>
          <w:lang w:bidi="en-US"/>
        </w:rPr>
      </w:pPr>
      <w:r w:rsidRPr="00B515BC">
        <w:rPr>
          <w:rFonts w:asciiTheme="minorHAnsi" w:eastAsia="Segoe UI" w:hAnsiTheme="minorHAnsi" w:cstheme="minorHAnsi"/>
          <w:lang w:bidi="en-US"/>
        </w:rPr>
        <w:t>UNDP and GEF M&amp;E policies and procedures require that all full- and medium-sized UNDP- supported GEF-financed projects undergo a Terminal Evaluation (TE) at the end of the project. Adaptive Management and Learning for the Commodities IAP (PIMS #5665- Atlas award 00097946) is a full-sized project under the Good Growth Partnership (GGP), one of the GEF-funded integrated approach pilots (IAPs)</w:t>
      </w:r>
      <w:r w:rsidR="00B51C94" w:rsidRPr="00B515BC">
        <w:rPr>
          <w:rFonts w:asciiTheme="minorHAnsi" w:eastAsia="Segoe UI" w:hAnsiTheme="minorHAnsi" w:cstheme="minorHAnsi"/>
          <w:lang w:bidi="en-US"/>
        </w:rPr>
        <w:t xml:space="preserve">. </w:t>
      </w:r>
      <w:r w:rsidRPr="00B515BC">
        <w:rPr>
          <w:rFonts w:asciiTheme="minorHAnsi" w:eastAsia="Segoe UI" w:hAnsiTheme="minorHAnsi" w:cstheme="minorHAnsi"/>
          <w:lang w:bidi="en-US"/>
        </w:rPr>
        <w:t xml:space="preserve">The project began in March 2017 and its termination date was extended to 31 March 2022. </w:t>
      </w:r>
    </w:p>
    <w:p w14:paraId="682BE9F4" w14:textId="77777777" w:rsidR="00C166F3" w:rsidRPr="00B515BC" w:rsidRDefault="00C166F3" w:rsidP="00B515BC">
      <w:pPr>
        <w:jc w:val="both"/>
        <w:rPr>
          <w:rFonts w:asciiTheme="minorHAnsi" w:eastAsia="Segoe UI" w:hAnsiTheme="minorHAnsi" w:cstheme="minorHAnsi"/>
          <w:lang w:bidi="en-US"/>
        </w:rPr>
      </w:pPr>
      <w:r w:rsidRPr="00B515BC">
        <w:rPr>
          <w:rFonts w:asciiTheme="minorHAnsi" w:eastAsia="Segoe UI" w:hAnsiTheme="minorHAnsi" w:cstheme="minorHAnsi"/>
          <w:lang w:bidi="en-US"/>
        </w:rPr>
        <w:t xml:space="preserve">The objective of the evaluation is to determine whether the project achieved its intended objective of effectively leveraging demand, transactions, and support to production to ensure a successful implementation of the overall Commodities IAP program while leading on program-level activities, through the achievement of the project outcomes and outputs. The TE product is a Terminal Evaluation </w:t>
      </w:r>
      <w:r w:rsidRPr="00B515BC">
        <w:rPr>
          <w:rFonts w:asciiTheme="minorHAnsi" w:eastAsia="Segoe UI" w:hAnsiTheme="minorHAnsi" w:cstheme="minorHAnsi"/>
          <w:lang w:bidi="en-US"/>
        </w:rPr>
        <w:lastRenderedPageBreak/>
        <w:t>Report that assesses the achievement of project results against expectations and draws lessons aimed to improve the sustainability of project benefits and aid in the overall enhancement of UNDP programming by informing future project design and implementation. The TE Report promotes accountability and transparency and assesses the extent of project accomplishments, including through adaptation to the outbreak of the COVID-19 pandemic.</w:t>
      </w:r>
    </w:p>
    <w:p w14:paraId="5BF6C9FA" w14:textId="4476DD7D" w:rsidR="0045660E" w:rsidRDefault="00C166F3" w:rsidP="00403AE1">
      <w:pPr>
        <w:pStyle w:val="NoSpacing"/>
        <w:spacing w:after="120"/>
        <w:jc w:val="both"/>
        <w:rPr>
          <w:rFonts w:asciiTheme="minorHAnsi" w:eastAsia="Segoe UI" w:hAnsiTheme="minorHAnsi" w:cstheme="minorHAnsi"/>
          <w:lang w:eastAsia="en-US" w:bidi="en-US"/>
        </w:rPr>
      </w:pPr>
      <w:r w:rsidRPr="00B91AD6">
        <w:rPr>
          <w:rFonts w:asciiTheme="minorHAnsi" w:eastAsia="Segoe UI" w:hAnsiTheme="minorHAnsi" w:cstheme="minorHAnsi"/>
          <w:lang w:eastAsia="en-US" w:bidi="en-US"/>
        </w:rPr>
        <w:t>The TE assess</w:t>
      </w:r>
      <w:r w:rsidR="001A6736">
        <w:rPr>
          <w:rFonts w:asciiTheme="minorHAnsi" w:eastAsia="Segoe UI" w:hAnsiTheme="minorHAnsi" w:cstheme="minorHAnsi"/>
          <w:lang w:eastAsia="en-US" w:bidi="en-US"/>
        </w:rPr>
        <w:t>ed</w:t>
      </w:r>
      <w:r w:rsidRPr="00B91AD6">
        <w:rPr>
          <w:rFonts w:asciiTheme="minorHAnsi" w:eastAsia="Segoe UI" w:hAnsiTheme="minorHAnsi" w:cstheme="minorHAnsi"/>
          <w:lang w:eastAsia="en-US" w:bidi="en-US"/>
        </w:rPr>
        <w:t xml:space="preserve"> project performance against indicators set out in the project’s Results Framework</w:t>
      </w:r>
      <w:r w:rsidR="00B51C94" w:rsidRPr="00B91AD6">
        <w:rPr>
          <w:rFonts w:asciiTheme="minorHAnsi" w:eastAsia="Segoe UI" w:hAnsiTheme="minorHAnsi" w:cstheme="minorHAnsi"/>
          <w:lang w:eastAsia="en-US" w:bidi="en-US"/>
        </w:rPr>
        <w:t xml:space="preserve">. </w:t>
      </w:r>
      <w:r w:rsidRPr="00B91AD6">
        <w:rPr>
          <w:rFonts w:asciiTheme="minorHAnsi" w:eastAsia="Segoe UI" w:hAnsiTheme="minorHAnsi" w:cstheme="minorHAnsi"/>
          <w:lang w:eastAsia="en-US" w:bidi="en-US"/>
        </w:rPr>
        <w:t>The TE will also assess results according to UNDP guidance for Terminal Evaluations of GEF-financed Projects</w:t>
      </w:r>
      <w:r w:rsidRPr="00B91AD6">
        <w:rPr>
          <w:rFonts w:asciiTheme="minorHAnsi" w:eastAsia="Segoe UI" w:hAnsiTheme="minorHAnsi" w:cstheme="minorHAnsi"/>
          <w:vertAlign w:val="superscript"/>
          <w:lang w:eastAsia="en-US" w:bidi="en-US"/>
        </w:rPr>
        <w:footnoteReference w:id="3"/>
      </w:r>
      <w:r w:rsidRPr="00B91AD6">
        <w:rPr>
          <w:rFonts w:asciiTheme="minorHAnsi" w:eastAsia="Segoe UI" w:hAnsiTheme="minorHAnsi" w:cstheme="minorHAnsi"/>
          <w:lang w:eastAsia="en-US" w:bidi="en-US"/>
        </w:rPr>
        <w:t>. Hence, the Findings section of the TE report will cover the</w:t>
      </w:r>
      <w:r w:rsidR="0045660E">
        <w:rPr>
          <w:rFonts w:asciiTheme="minorHAnsi" w:eastAsia="Segoe UI" w:hAnsiTheme="minorHAnsi" w:cstheme="minorHAnsi"/>
          <w:lang w:eastAsia="en-US" w:bidi="en-US"/>
        </w:rPr>
        <w:t xml:space="preserve"> following</w:t>
      </w:r>
      <w:r w:rsidRPr="00B91AD6">
        <w:rPr>
          <w:rFonts w:asciiTheme="minorHAnsi" w:eastAsia="Segoe UI" w:hAnsiTheme="minorHAnsi" w:cstheme="minorHAnsi"/>
          <w:lang w:eastAsia="en-US" w:bidi="en-US"/>
        </w:rPr>
        <w:t xml:space="preserve"> categories and criteria</w:t>
      </w:r>
      <w:r w:rsidR="0045660E">
        <w:rPr>
          <w:rFonts w:asciiTheme="minorHAnsi" w:eastAsia="Segoe UI" w:hAnsiTheme="minorHAnsi" w:cstheme="minorHAnsi"/>
          <w:lang w:eastAsia="en-US" w:bidi="en-US"/>
        </w:rPr>
        <w:t>:</w:t>
      </w:r>
    </w:p>
    <w:p w14:paraId="6C6426A6" w14:textId="4034B93A" w:rsidR="0045660E" w:rsidRPr="00B91AD6" w:rsidRDefault="0045660E" w:rsidP="00D80344">
      <w:pPr>
        <w:pStyle w:val="ListParagraph"/>
        <w:numPr>
          <w:ilvl w:val="0"/>
          <w:numId w:val="2"/>
        </w:numPr>
        <w:spacing w:before="0"/>
        <w:rPr>
          <w:rFonts w:asciiTheme="minorHAnsi" w:hAnsiTheme="minorHAnsi" w:cstheme="minorHAnsi"/>
        </w:rPr>
      </w:pPr>
      <w:r w:rsidRPr="00B91AD6">
        <w:rPr>
          <w:rFonts w:asciiTheme="minorHAnsi" w:hAnsiTheme="minorHAnsi" w:cstheme="minorHAnsi"/>
          <w:u w:val="single"/>
        </w:rPr>
        <w:t>Relevance</w:t>
      </w:r>
      <w:r w:rsidRPr="00B91AD6">
        <w:rPr>
          <w:rFonts w:asciiTheme="minorHAnsi" w:hAnsiTheme="minorHAnsi" w:cstheme="minorHAnsi"/>
        </w:rPr>
        <w:t>: How has the project relate</w:t>
      </w:r>
      <w:r w:rsidR="0096498F">
        <w:rPr>
          <w:rFonts w:asciiTheme="minorHAnsi" w:hAnsiTheme="minorHAnsi" w:cstheme="minorHAnsi"/>
        </w:rPr>
        <w:t>d</w:t>
      </w:r>
      <w:r w:rsidRPr="00B91AD6">
        <w:rPr>
          <w:rFonts w:asciiTheme="minorHAnsi" w:hAnsiTheme="minorHAnsi" w:cstheme="minorHAnsi"/>
        </w:rPr>
        <w:t xml:space="preserve"> to the main objectives of the GEF and to the national environment and development policies where the project is executed?</w:t>
      </w:r>
    </w:p>
    <w:p w14:paraId="592BA092" w14:textId="77777777" w:rsidR="0045660E" w:rsidRPr="00B91AD6" w:rsidRDefault="0045660E" w:rsidP="00D80344">
      <w:pPr>
        <w:pStyle w:val="ListParagraph"/>
        <w:numPr>
          <w:ilvl w:val="0"/>
          <w:numId w:val="2"/>
        </w:numPr>
        <w:spacing w:before="0"/>
        <w:rPr>
          <w:rFonts w:asciiTheme="minorHAnsi" w:hAnsiTheme="minorHAnsi" w:cstheme="minorHAnsi"/>
        </w:rPr>
      </w:pPr>
      <w:r w:rsidRPr="00B91AD6">
        <w:rPr>
          <w:rFonts w:asciiTheme="minorHAnsi" w:hAnsiTheme="minorHAnsi" w:cstheme="minorHAnsi"/>
          <w:u w:val="single"/>
        </w:rPr>
        <w:t>Effectiveness</w:t>
      </w:r>
      <w:r w:rsidRPr="00B91AD6">
        <w:rPr>
          <w:rFonts w:asciiTheme="minorHAnsi" w:hAnsiTheme="minorHAnsi" w:cstheme="minorHAnsi"/>
        </w:rPr>
        <w:t>: To what extent have the expected objective and outcomes been achieved?</w:t>
      </w:r>
    </w:p>
    <w:p w14:paraId="79BBDB06" w14:textId="77777777" w:rsidR="0045660E" w:rsidRPr="00B91AD6" w:rsidRDefault="0045660E" w:rsidP="00D80344">
      <w:pPr>
        <w:pStyle w:val="ListParagraph"/>
        <w:numPr>
          <w:ilvl w:val="0"/>
          <w:numId w:val="2"/>
        </w:numPr>
        <w:spacing w:before="0"/>
        <w:rPr>
          <w:rFonts w:asciiTheme="minorHAnsi" w:hAnsiTheme="minorHAnsi" w:cstheme="minorHAnsi"/>
        </w:rPr>
      </w:pPr>
      <w:r w:rsidRPr="00B91AD6">
        <w:rPr>
          <w:rFonts w:asciiTheme="minorHAnsi" w:hAnsiTheme="minorHAnsi" w:cstheme="minorHAnsi"/>
          <w:u w:val="single"/>
        </w:rPr>
        <w:t>Efficiency</w:t>
      </w:r>
      <w:r w:rsidRPr="00B91AD6">
        <w:rPr>
          <w:rFonts w:asciiTheme="minorHAnsi" w:hAnsiTheme="minorHAnsi" w:cstheme="minorHAnsi"/>
        </w:rPr>
        <w:t>: Was the project implemented efficiently in-line with international and national norms and standards?</w:t>
      </w:r>
    </w:p>
    <w:p w14:paraId="36CE7B27" w14:textId="77777777" w:rsidR="0045660E" w:rsidRPr="00B91AD6" w:rsidRDefault="0045660E" w:rsidP="00D80344">
      <w:pPr>
        <w:pStyle w:val="ListParagraph"/>
        <w:numPr>
          <w:ilvl w:val="0"/>
          <w:numId w:val="2"/>
        </w:numPr>
        <w:spacing w:before="0"/>
        <w:rPr>
          <w:rFonts w:asciiTheme="minorHAnsi" w:hAnsiTheme="minorHAnsi" w:cstheme="minorHAnsi"/>
        </w:rPr>
      </w:pPr>
      <w:r w:rsidRPr="00B91AD6">
        <w:rPr>
          <w:rFonts w:asciiTheme="minorHAnsi" w:hAnsiTheme="minorHAnsi" w:cstheme="minorHAnsi"/>
          <w:u w:val="single"/>
        </w:rPr>
        <w:t>Sustainability</w:t>
      </w:r>
      <w:r w:rsidRPr="00B91AD6">
        <w:rPr>
          <w:rFonts w:asciiTheme="minorHAnsi" w:hAnsiTheme="minorHAnsi" w:cstheme="minorHAnsi"/>
        </w:rPr>
        <w:t>: To what extent is there financial, institutional, socio-political and/or environmental risks to sustaining long-term project results?</w:t>
      </w:r>
    </w:p>
    <w:p w14:paraId="2A575851" w14:textId="77777777" w:rsidR="0045660E" w:rsidRPr="00B91AD6" w:rsidRDefault="0045660E" w:rsidP="00D80344">
      <w:pPr>
        <w:pStyle w:val="ListParagraph"/>
        <w:numPr>
          <w:ilvl w:val="0"/>
          <w:numId w:val="2"/>
        </w:numPr>
        <w:spacing w:before="0"/>
        <w:rPr>
          <w:rFonts w:asciiTheme="minorHAnsi" w:hAnsiTheme="minorHAnsi" w:cstheme="minorHAnsi"/>
        </w:rPr>
      </w:pPr>
      <w:r w:rsidRPr="00B91AD6">
        <w:rPr>
          <w:rFonts w:asciiTheme="minorHAnsi" w:hAnsiTheme="minorHAnsi" w:cstheme="minorHAnsi"/>
          <w:u w:val="single"/>
        </w:rPr>
        <w:t>Safeguards</w:t>
      </w:r>
      <w:r w:rsidRPr="00B91AD6">
        <w:rPr>
          <w:rFonts w:asciiTheme="minorHAnsi" w:hAnsiTheme="minorHAnsi" w:cstheme="minorHAnsi"/>
        </w:rPr>
        <w:t xml:space="preserve">: Did the project provide for active stakeholder engagement? Did the project foment gender equality and women´s empowerment? </w:t>
      </w:r>
    </w:p>
    <w:p w14:paraId="73E3EA66" w14:textId="77777777" w:rsidR="0045660E" w:rsidRPr="00B91AD6" w:rsidRDefault="0045660E" w:rsidP="00D80344">
      <w:pPr>
        <w:pStyle w:val="ListParagraph"/>
        <w:numPr>
          <w:ilvl w:val="0"/>
          <w:numId w:val="2"/>
        </w:numPr>
        <w:spacing w:before="0" w:after="120"/>
        <w:rPr>
          <w:rFonts w:asciiTheme="minorHAnsi" w:hAnsiTheme="minorHAnsi" w:cstheme="minorHAnsi"/>
        </w:rPr>
      </w:pPr>
      <w:r w:rsidRPr="00B91AD6">
        <w:rPr>
          <w:rFonts w:asciiTheme="minorHAnsi" w:hAnsiTheme="minorHAnsi" w:cstheme="minorHAnsi"/>
          <w:u w:val="single"/>
        </w:rPr>
        <w:t>Impact</w:t>
      </w:r>
      <w:r w:rsidRPr="00B91AD6">
        <w:rPr>
          <w:rFonts w:asciiTheme="minorHAnsi" w:hAnsiTheme="minorHAnsi" w:cstheme="minorHAnsi"/>
        </w:rPr>
        <w:t>: Are there indications that the project has contributed to or enabled progress towards reduced environmental stress and/or improved ecological status?</w:t>
      </w:r>
    </w:p>
    <w:p w14:paraId="5DAE7D1F" w14:textId="07ABB211" w:rsidR="00C166F3" w:rsidRPr="00B91AD6" w:rsidRDefault="00403AE1" w:rsidP="00403AE1">
      <w:pPr>
        <w:pStyle w:val="NoSpacing"/>
        <w:spacing w:after="120"/>
        <w:jc w:val="both"/>
        <w:rPr>
          <w:rFonts w:asciiTheme="minorHAnsi" w:eastAsia="Segoe UI" w:hAnsiTheme="minorHAnsi" w:cstheme="minorHAnsi"/>
          <w:lang w:eastAsia="en-US" w:bidi="en-US"/>
        </w:rPr>
      </w:pPr>
      <w:r>
        <w:rPr>
          <w:rFonts w:asciiTheme="minorHAnsi" w:eastAsia="Segoe UI" w:hAnsiTheme="minorHAnsi" w:cstheme="minorHAnsi"/>
          <w:lang w:eastAsia="en-US" w:bidi="en-US"/>
        </w:rPr>
        <w:t xml:space="preserve">The </w:t>
      </w:r>
      <w:r w:rsidR="002804BE">
        <w:rPr>
          <w:rFonts w:asciiTheme="minorHAnsi" w:eastAsia="Segoe UI" w:hAnsiTheme="minorHAnsi" w:cstheme="minorHAnsi"/>
          <w:lang w:eastAsia="en-US" w:bidi="en-US"/>
        </w:rPr>
        <w:t xml:space="preserve">format for the presentation of findings is </w:t>
      </w:r>
      <w:r>
        <w:rPr>
          <w:rFonts w:asciiTheme="minorHAnsi" w:eastAsia="Segoe UI" w:hAnsiTheme="minorHAnsi" w:cstheme="minorHAnsi"/>
          <w:lang w:eastAsia="en-US" w:bidi="en-US"/>
        </w:rPr>
        <w:t xml:space="preserve">presented in Table </w:t>
      </w:r>
      <w:r w:rsidR="00EF655E">
        <w:rPr>
          <w:rFonts w:asciiTheme="minorHAnsi" w:eastAsia="Segoe UI" w:hAnsiTheme="minorHAnsi" w:cstheme="minorHAnsi"/>
          <w:lang w:eastAsia="en-US" w:bidi="en-US"/>
        </w:rPr>
        <w:t>5</w:t>
      </w:r>
      <w:r>
        <w:rPr>
          <w:rFonts w:asciiTheme="minorHAnsi" w:eastAsia="Segoe UI" w:hAnsiTheme="minorHAnsi" w:cstheme="minorHAnsi"/>
          <w:lang w:eastAsia="en-US" w:bidi="en-US"/>
        </w:rPr>
        <w:t>, in Section 2.5: Structure of the TE Report</w:t>
      </w:r>
      <w:r w:rsidR="00C166F3" w:rsidRPr="00B91AD6">
        <w:rPr>
          <w:rFonts w:asciiTheme="minorHAnsi" w:eastAsia="Segoe UI" w:hAnsiTheme="minorHAnsi" w:cstheme="minorHAnsi"/>
          <w:lang w:eastAsia="en-US" w:bidi="en-US"/>
        </w:rPr>
        <w:t xml:space="preserve">. </w:t>
      </w:r>
      <w:r w:rsidR="0045660E" w:rsidRPr="0045660E">
        <w:rPr>
          <w:rFonts w:asciiTheme="minorHAnsi" w:eastAsia="Segoe UI" w:hAnsiTheme="minorHAnsi" w:cstheme="minorHAnsi"/>
          <w:lang w:eastAsia="en-US" w:bidi="en-US"/>
        </w:rPr>
        <w:t xml:space="preserve">Criteria </w:t>
      </w:r>
      <w:r w:rsidR="001A6736">
        <w:rPr>
          <w:rFonts w:asciiTheme="minorHAnsi" w:eastAsia="Segoe UI" w:hAnsiTheme="minorHAnsi" w:cstheme="minorHAnsi"/>
          <w:lang w:eastAsia="en-US" w:bidi="en-US"/>
        </w:rPr>
        <w:t xml:space="preserve">required </w:t>
      </w:r>
      <w:r w:rsidR="0045660E" w:rsidRPr="0045660E">
        <w:rPr>
          <w:rFonts w:asciiTheme="minorHAnsi" w:eastAsia="Segoe UI" w:hAnsiTheme="minorHAnsi" w:cstheme="minorHAnsi"/>
          <w:lang w:eastAsia="en-US" w:bidi="en-US"/>
        </w:rPr>
        <w:t xml:space="preserve">to receive a rating are denoted by an asterisk. </w:t>
      </w:r>
      <w:r w:rsidR="001A6736">
        <w:rPr>
          <w:rFonts w:asciiTheme="minorHAnsi" w:eastAsia="Segoe UI" w:hAnsiTheme="minorHAnsi" w:cstheme="minorHAnsi"/>
          <w:lang w:eastAsia="en-US" w:bidi="en-US"/>
        </w:rPr>
        <w:t>T</w:t>
      </w:r>
      <w:r w:rsidR="002804BE">
        <w:rPr>
          <w:rFonts w:asciiTheme="minorHAnsi" w:eastAsia="Segoe UI" w:hAnsiTheme="minorHAnsi" w:cstheme="minorHAnsi"/>
          <w:lang w:eastAsia="en-US" w:bidi="en-US"/>
        </w:rPr>
        <w:t xml:space="preserve">he </w:t>
      </w:r>
      <w:r w:rsidR="0045660E" w:rsidRPr="0045660E">
        <w:rPr>
          <w:rFonts w:asciiTheme="minorHAnsi" w:eastAsia="Segoe UI" w:hAnsiTheme="minorHAnsi" w:cstheme="minorHAnsi"/>
          <w:lang w:eastAsia="en-US" w:bidi="en-US"/>
        </w:rPr>
        <w:t xml:space="preserve">UNDP-GEF Rating scales vary by category and are </w:t>
      </w:r>
      <w:r w:rsidR="002804BE">
        <w:rPr>
          <w:rFonts w:asciiTheme="minorHAnsi" w:eastAsia="Segoe UI" w:hAnsiTheme="minorHAnsi" w:cstheme="minorHAnsi"/>
          <w:lang w:eastAsia="en-US" w:bidi="en-US"/>
        </w:rPr>
        <w:t xml:space="preserve">also </w:t>
      </w:r>
      <w:r w:rsidR="0045660E" w:rsidRPr="0045660E">
        <w:rPr>
          <w:rFonts w:asciiTheme="minorHAnsi" w:eastAsia="Segoe UI" w:hAnsiTheme="minorHAnsi" w:cstheme="minorHAnsi"/>
          <w:lang w:eastAsia="en-US" w:bidi="en-US"/>
        </w:rPr>
        <w:t>defined by UNDP-GEF guidance</w:t>
      </w:r>
      <w:r w:rsidR="002804BE">
        <w:rPr>
          <w:rFonts w:asciiTheme="minorHAnsi" w:eastAsia="Segoe UI" w:hAnsiTheme="minorHAnsi" w:cstheme="minorHAnsi"/>
          <w:lang w:eastAsia="en-US" w:bidi="en-US"/>
        </w:rPr>
        <w:t xml:space="preserve">. The rating scales are presented in </w:t>
      </w:r>
      <w:hyperlink w:anchor="_Annex_1._Summary" w:history="1">
        <w:r w:rsidR="002804BE" w:rsidRPr="001A6736">
          <w:rPr>
            <w:rStyle w:val="Hyperlink"/>
            <w:rFonts w:asciiTheme="minorHAnsi" w:eastAsia="Segoe UI" w:hAnsiTheme="minorHAnsi" w:cstheme="minorHAnsi"/>
            <w:lang w:eastAsia="en-US" w:bidi="en-US"/>
          </w:rPr>
          <w:t xml:space="preserve">Annex </w:t>
        </w:r>
        <w:r w:rsidR="007B0011" w:rsidRPr="001A6736">
          <w:rPr>
            <w:rStyle w:val="Hyperlink"/>
            <w:rFonts w:asciiTheme="minorHAnsi" w:eastAsia="Segoe UI" w:hAnsiTheme="minorHAnsi" w:cstheme="minorHAnsi"/>
            <w:lang w:eastAsia="en-US" w:bidi="en-US"/>
          </w:rPr>
          <w:t>1</w:t>
        </w:r>
      </w:hyperlink>
      <w:r w:rsidR="002804BE" w:rsidRPr="003769D0">
        <w:rPr>
          <w:rFonts w:asciiTheme="minorHAnsi" w:eastAsia="Segoe UI" w:hAnsiTheme="minorHAnsi" w:cstheme="minorHAnsi"/>
          <w:lang w:eastAsia="en-US" w:bidi="en-US"/>
        </w:rPr>
        <w:t>.</w:t>
      </w:r>
    </w:p>
    <w:p w14:paraId="78D0FB1C" w14:textId="77777777" w:rsidR="00C166F3" w:rsidRPr="00B91AD6" w:rsidRDefault="00C166F3" w:rsidP="00BA2312">
      <w:pPr>
        <w:pStyle w:val="ListParagraph"/>
        <w:ind w:left="720" w:firstLine="0"/>
        <w:rPr>
          <w:rFonts w:asciiTheme="minorHAnsi" w:hAnsiTheme="minorHAnsi" w:cstheme="minorHAnsi"/>
        </w:rPr>
      </w:pPr>
    </w:p>
    <w:p w14:paraId="5DC1D24B" w14:textId="6EFE591D" w:rsidR="00A66D56" w:rsidRPr="009E7CE1" w:rsidRDefault="00044279" w:rsidP="00044279">
      <w:pPr>
        <w:pStyle w:val="Heading2"/>
      </w:pPr>
      <w:bookmarkStart w:id="17" w:name="_TOC_250017"/>
      <w:bookmarkStart w:id="18" w:name="_Toc96772463"/>
      <w:bookmarkEnd w:id="17"/>
      <w:r>
        <w:t xml:space="preserve">2.2 </w:t>
      </w:r>
      <w:r w:rsidR="00A66D56" w:rsidRPr="009E7CE1">
        <w:t>Methodology</w:t>
      </w:r>
      <w:bookmarkEnd w:id="18"/>
    </w:p>
    <w:p w14:paraId="557911B1" w14:textId="77777777" w:rsidR="003520D6" w:rsidRDefault="003520D6" w:rsidP="003520D6">
      <w:pPr>
        <w:jc w:val="both"/>
        <w:rPr>
          <w:rFonts w:asciiTheme="minorHAnsi" w:eastAsia="Segoe UI" w:hAnsiTheme="minorHAnsi" w:cstheme="minorHAnsi"/>
          <w:lang w:bidi="en-US"/>
        </w:rPr>
      </w:pPr>
    </w:p>
    <w:p w14:paraId="4EA6CD2B" w14:textId="3FA40C33" w:rsidR="003520D6" w:rsidRPr="002C1867" w:rsidRDefault="00661DFA" w:rsidP="003520D6">
      <w:pPr>
        <w:spacing w:line="240" w:lineRule="auto"/>
        <w:jc w:val="both"/>
        <w:rPr>
          <w:bCs/>
        </w:rPr>
      </w:pPr>
      <w:r w:rsidRPr="00661DFA">
        <w:rPr>
          <w:rFonts w:asciiTheme="minorHAnsi" w:eastAsia="Segoe UI" w:hAnsiTheme="minorHAnsi" w:cstheme="minorHAnsi"/>
          <w:lang w:bidi="en-US"/>
        </w:rPr>
        <w:t xml:space="preserve">Given the nature and the object of study, </w:t>
      </w:r>
      <w:r w:rsidR="003520D6">
        <w:t>it was proposed that there will be no field mission to the Child Project’s locations. Instead, the TE consultant organized zoom interview</w:t>
      </w:r>
      <w:r w:rsidR="00D63712">
        <w:t>s with</w:t>
      </w:r>
      <w:r w:rsidR="003520D6">
        <w:t xml:space="preserve"> key stakeholders, partners, beneficiaries</w:t>
      </w:r>
      <w:r w:rsidR="0095243D">
        <w:t xml:space="preserve"> </w:t>
      </w:r>
      <w:r w:rsidR="00D63712">
        <w:sym w:font="Symbol" w:char="F02D"/>
      </w:r>
      <w:r w:rsidR="00D63712">
        <w:t xml:space="preserve"> </w:t>
      </w:r>
      <w:r w:rsidR="0095243D">
        <w:t>namely project staff from the child projects</w:t>
      </w:r>
      <w:r w:rsidR="00D63712">
        <w:t xml:space="preserve"> </w:t>
      </w:r>
      <w:r w:rsidR="00D63712">
        <w:sym w:font="Symbol" w:char="F02D"/>
      </w:r>
      <w:r w:rsidR="000013D0">
        <w:t xml:space="preserve"> and select partners</w:t>
      </w:r>
      <w:r w:rsidR="003520D6">
        <w:t xml:space="preserve">. The calls were organized to </w:t>
      </w:r>
      <w:r w:rsidR="000013D0">
        <w:t xml:space="preserve">glean </w:t>
      </w:r>
      <w:r w:rsidR="003520D6">
        <w:t>opinion</w:t>
      </w:r>
      <w:r w:rsidR="000013D0">
        <w:t>s</w:t>
      </w:r>
      <w:r w:rsidR="003520D6">
        <w:t xml:space="preserve"> </w:t>
      </w:r>
      <w:r w:rsidR="000013D0">
        <w:t>on</w:t>
      </w:r>
      <w:r w:rsidR="003520D6">
        <w:t xml:space="preserve"> the Project’s achievements, impacts, sustainability, efficiency, and relevance.</w:t>
      </w:r>
      <w:r w:rsidR="003520D6">
        <w:rPr>
          <w:spacing w:val="-15"/>
        </w:rPr>
        <w:t xml:space="preserve"> </w:t>
      </w:r>
      <w:r w:rsidR="003520D6">
        <w:t>The</w:t>
      </w:r>
      <w:r w:rsidR="003520D6">
        <w:rPr>
          <w:spacing w:val="-16"/>
        </w:rPr>
        <w:t xml:space="preserve"> </w:t>
      </w:r>
      <w:r w:rsidR="003520D6">
        <w:t>TE</w:t>
      </w:r>
      <w:r w:rsidR="003520D6">
        <w:rPr>
          <w:spacing w:val="-14"/>
        </w:rPr>
        <w:t xml:space="preserve"> </w:t>
      </w:r>
      <w:r w:rsidR="003520D6">
        <w:t>was</w:t>
      </w:r>
      <w:r w:rsidR="003520D6">
        <w:rPr>
          <w:spacing w:val="-13"/>
        </w:rPr>
        <w:t xml:space="preserve"> </w:t>
      </w:r>
      <w:r w:rsidR="003520D6">
        <w:t>carried</w:t>
      </w:r>
      <w:r w:rsidR="003520D6">
        <w:rPr>
          <w:spacing w:val="-15"/>
        </w:rPr>
        <w:t xml:space="preserve"> </w:t>
      </w:r>
      <w:r w:rsidR="003520D6">
        <w:t>out</w:t>
      </w:r>
      <w:r w:rsidR="003520D6">
        <w:rPr>
          <w:spacing w:val="-13"/>
        </w:rPr>
        <w:t xml:space="preserve"> </w:t>
      </w:r>
      <w:r w:rsidR="003520D6">
        <w:t>in</w:t>
      </w:r>
      <w:r w:rsidR="003520D6">
        <w:rPr>
          <w:spacing w:val="-14"/>
        </w:rPr>
        <w:t xml:space="preserve"> </w:t>
      </w:r>
      <w:r w:rsidR="003520D6">
        <w:t>accordance</w:t>
      </w:r>
      <w:r w:rsidR="003520D6">
        <w:rPr>
          <w:spacing w:val="-15"/>
        </w:rPr>
        <w:t xml:space="preserve"> </w:t>
      </w:r>
      <w:r w:rsidR="003520D6">
        <w:t>with</w:t>
      </w:r>
      <w:r w:rsidR="003520D6">
        <w:rPr>
          <w:spacing w:val="-15"/>
        </w:rPr>
        <w:t xml:space="preserve"> </w:t>
      </w:r>
      <w:r w:rsidR="003520D6">
        <w:t>the</w:t>
      </w:r>
      <w:r w:rsidR="003520D6">
        <w:rPr>
          <w:spacing w:val="-14"/>
        </w:rPr>
        <w:t xml:space="preserve"> </w:t>
      </w:r>
      <w:r w:rsidR="003520D6">
        <w:t>evaluation</w:t>
      </w:r>
      <w:r w:rsidR="003520D6">
        <w:rPr>
          <w:spacing w:val="-13"/>
        </w:rPr>
        <w:t xml:space="preserve"> </w:t>
      </w:r>
      <w:hyperlink w:anchor="_Annex_2._Terms" w:history="1">
        <w:r w:rsidR="003520D6" w:rsidRPr="000D4FA1">
          <w:rPr>
            <w:rStyle w:val="Hyperlink"/>
          </w:rPr>
          <w:t>Terms</w:t>
        </w:r>
        <w:r w:rsidR="003520D6" w:rsidRPr="000D4FA1">
          <w:rPr>
            <w:rStyle w:val="Hyperlink"/>
            <w:spacing w:val="-13"/>
          </w:rPr>
          <w:t xml:space="preserve"> </w:t>
        </w:r>
        <w:r w:rsidR="003520D6" w:rsidRPr="000D4FA1">
          <w:rPr>
            <w:rStyle w:val="Hyperlink"/>
          </w:rPr>
          <w:t>of</w:t>
        </w:r>
        <w:r w:rsidR="003520D6" w:rsidRPr="000D4FA1">
          <w:rPr>
            <w:rStyle w:val="Hyperlink"/>
            <w:spacing w:val="-15"/>
          </w:rPr>
          <w:t xml:space="preserve"> </w:t>
        </w:r>
        <w:r w:rsidR="003520D6" w:rsidRPr="000D4FA1">
          <w:rPr>
            <w:rStyle w:val="Hyperlink"/>
          </w:rPr>
          <w:t>Reference</w:t>
        </w:r>
      </w:hyperlink>
      <w:r w:rsidR="003520D6">
        <w:rPr>
          <w:spacing w:val="-12"/>
        </w:rPr>
        <w:t xml:space="preserve"> </w:t>
      </w:r>
      <w:r w:rsidR="00E463EE" w:rsidRPr="002C1867">
        <w:rPr>
          <w:bCs/>
        </w:rPr>
        <w:t>(</w:t>
      </w:r>
      <w:hyperlink w:anchor="_Annex_2._Terms" w:history="1">
        <w:r w:rsidR="00E463EE" w:rsidRPr="00463811">
          <w:rPr>
            <w:rStyle w:val="Hyperlink"/>
            <w:bCs/>
          </w:rPr>
          <w:t>Annex</w:t>
        </w:r>
        <w:r w:rsidR="00F3481C" w:rsidRPr="00463811">
          <w:rPr>
            <w:rStyle w:val="Hyperlink"/>
            <w:bCs/>
          </w:rPr>
          <w:t xml:space="preserve"> 2</w:t>
        </w:r>
        <w:r w:rsidR="003520D6" w:rsidRPr="00463811">
          <w:rPr>
            <w:rStyle w:val="Hyperlink"/>
            <w:bCs/>
          </w:rPr>
          <w:t>).</w:t>
        </w:r>
      </w:hyperlink>
    </w:p>
    <w:p w14:paraId="42ACD43D" w14:textId="1AD2F36C" w:rsidR="00661DFA" w:rsidRDefault="003520D6" w:rsidP="0071732D">
      <w:pPr>
        <w:spacing w:after="120" w:line="240" w:lineRule="auto"/>
        <w:jc w:val="both"/>
        <w:rPr>
          <w:rFonts w:asciiTheme="minorHAnsi" w:eastAsia="Segoe UI" w:hAnsiTheme="minorHAnsi" w:cstheme="minorHAnsi"/>
          <w:lang w:eastAsia="en-US" w:bidi="en-US"/>
        </w:rPr>
      </w:pPr>
      <w:r>
        <w:rPr>
          <w:rFonts w:asciiTheme="minorHAnsi" w:eastAsia="Segoe UI" w:hAnsiTheme="minorHAnsi" w:cstheme="minorHAnsi"/>
          <w:lang w:bidi="en-US"/>
        </w:rPr>
        <w:t>T</w:t>
      </w:r>
      <w:r w:rsidR="00661DFA" w:rsidRPr="00661DFA">
        <w:rPr>
          <w:rFonts w:asciiTheme="minorHAnsi" w:eastAsia="Segoe UI" w:hAnsiTheme="minorHAnsi" w:cstheme="minorHAnsi"/>
          <w:lang w:bidi="en-US"/>
        </w:rPr>
        <w:t xml:space="preserve">he methodology combines qualitative (including participatory techniques) and quantitative methods (data collection, processing, analysis, and presentation of information), allowing the evaluators to uncover findings and draw conclusions on project performance with regards to the mentioned categories and criteria.  The evaluation process is illustrated in an </w:t>
      </w:r>
      <w:hyperlink w:anchor="_Annex_8._Evaluation" w:history="1">
        <w:r w:rsidR="00661DFA" w:rsidRPr="008B1E9C">
          <w:rPr>
            <w:rStyle w:val="Hyperlink"/>
            <w:rFonts w:asciiTheme="minorHAnsi" w:eastAsia="Segoe UI" w:hAnsiTheme="minorHAnsi" w:cstheme="minorHAnsi"/>
            <w:lang w:eastAsia="en-US" w:bidi="en-US"/>
          </w:rPr>
          <w:t>Evaluation Matrix</w:t>
        </w:r>
      </w:hyperlink>
      <w:r w:rsidR="00661DFA" w:rsidRPr="00661DFA">
        <w:rPr>
          <w:rFonts w:asciiTheme="minorHAnsi" w:eastAsia="Segoe UI" w:hAnsiTheme="minorHAnsi" w:cstheme="minorHAnsi"/>
          <w:lang w:bidi="en-US"/>
        </w:rPr>
        <w:t xml:space="preserve"> </w:t>
      </w:r>
      <w:hyperlink w:anchor="_Annex_8._Evaluation" w:history="1">
        <w:r w:rsidR="00517951" w:rsidRPr="00463811">
          <w:rPr>
            <w:rStyle w:val="Hyperlink"/>
            <w:rFonts w:asciiTheme="minorHAnsi" w:eastAsia="Segoe UI" w:hAnsiTheme="minorHAnsi" w:cstheme="minorHAnsi"/>
            <w:lang w:bidi="en-US"/>
          </w:rPr>
          <w:t>(Annex 8)</w:t>
        </w:r>
      </w:hyperlink>
      <w:r w:rsidR="00517951">
        <w:rPr>
          <w:rFonts w:asciiTheme="minorHAnsi" w:eastAsia="Segoe UI" w:hAnsiTheme="minorHAnsi" w:cstheme="minorHAnsi"/>
          <w:lang w:bidi="en-US"/>
        </w:rPr>
        <w:t xml:space="preserve"> that </w:t>
      </w:r>
      <w:r w:rsidR="00661DFA" w:rsidRPr="00661DFA">
        <w:rPr>
          <w:rFonts w:asciiTheme="minorHAnsi" w:eastAsia="Segoe UI" w:hAnsiTheme="minorHAnsi" w:cstheme="minorHAnsi"/>
          <w:lang w:bidi="en-US"/>
        </w:rPr>
        <w:t xml:space="preserve">demonstrates the alignment between the </w:t>
      </w:r>
      <w:r w:rsidR="00517951">
        <w:rPr>
          <w:rFonts w:asciiTheme="minorHAnsi" w:eastAsia="Segoe UI" w:hAnsiTheme="minorHAnsi" w:cstheme="minorHAnsi"/>
          <w:lang w:bidi="en-US"/>
        </w:rPr>
        <w:t>key</w:t>
      </w:r>
      <w:r w:rsidR="00661DFA" w:rsidRPr="00661DFA">
        <w:rPr>
          <w:rFonts w:asciiTheme="minorHAnsi" w:eastAsia="Segoe UI" w:hAnsiTheme="minorHAnsi" w:cstheme="minorHAnsi"/>
          <w:lang w:bidi="en-US"/>
        </w:rPr>
        <w:t xml:space="preserve"> questions by category and according to the mentioned criteria</w:t>
      </w:r>
      <w:r w:rsidR="00517951">
        <w:rPr>
          <w:rFonts w:asciiTheme="minorHAnsi" w:eastAsia="Segoe UI" w:hAnsiTheme="minorHAnsi" w:cstheme="minorHAnsi"/>
          <w:lang w:bidi="en-US"/>
        </w:rPr>
        <w:t xml:space="preserve">. </w:t>
      </w:r>
      <w:r w:rsidR="00661DFA" w:rsidRPr="00B91AD6">
        <w:rPr>
          <w:rFonts w:asciiTheme="minorHAnsi" w:eastAsia="Segoe UI" w:hAnsiTheme="minorHAnsi" w:cstheme="minorHAnsi"/>
          <w:lang w:eastAsia="en-US" w:bidi="en-US"/>
        </w:rPr>
        <w:t xml:space="preserve">The techniques for collecting and analyzing information </w:t>
      </w:r>
      <w:r w:rsidR="00B17CB9">
        <w:rPr>
          <w:rFonts w:asciiTheme="minorHAnsi" w:eastAsia="Segoe UI" w:hAnsiTheme="minorHAnsi" w:cstheme="minorHAnsi"/>
          <w:lang w:eastAsia="en-US" w:bidi="en-US"/>
        </w:rPr>
        <w:t>implemented</w:t>
      </w:r>
      <w:r w:rsidR="00661DFA" w:rsidRPr="00B91AD6">
        <w:rPr>
          <w:rFonts w:asciiTheme="minorHAnsi" w:eastAsia="Segoe UI" w:hAnsiTheme="minorHAnsi" w:cstheme="minorHAnsi"/>
          <w:lang w:eastAsia="en-US" w:bidi="en-US"/>
        </w:rPr>
        <w:t xml:space="preserve"> for the TE are as follows:</w:t>
      </w:r>
    </w:p>
    <w:p w14:paraId="2393A1F8" w14:textId="1541BDEF" w:rsidR="00B17CB9" w:rsidRPr="00D95DF4" w:rsidRDefault="00661DFA" w:rsidP="002804BE">
      <w:pPr>
        <w:spacing w:after="120" w:line="240" w:lineRule="auto"/>
        <w:jc w:val="both"/>
      </w:pPr>
      <w:r w:rsidRPr="00661DFA">
        <w:rPr>
          <w:rFonts w:asciiTheme="minorHAnsi" w:eastAsia="Segoe UI" w:hAnsiTheme="minorHAnsi" w:cstheme="minorHAnsi"/>
          <w:b/>
          <w:bCs/>
          <w:lang w:bidi="en-US"/>
        </w:rPr>
        <w:t>Desk Review</w:t>
      </w:r>
      <w:r w:rsidR="00B17CB9">
        <w:rPr>
          <w:rFonts w:asciiTheme="minorHAnsi" w:eastAsia="Segoe UI" w:hAnsiTheme="minorHAnsi" w:cstheme="minorHAnsi"/>
          <w:lang w:bidi="en-US"/>
        </w:rPr>
        <w:t xml:space="preserve">: </w:t>
      </w:r>
      <w:r w:rsidR="00F205C7">
        <w:rPr>
          <w:rFonts w:asciiTheme="minorHAnsi" w:eastAsia="Segoe UI" w:hAnsiTheme="minorHAnsi" w:cstheme="minorHAnsi"/>
          <w:lang w:bidi="en-US"/>
        </w:rPr>
        <w:t>D</w:t>
      </w:r>
      <w:r w:rsidRPr="00661DFA">
        <w:rPr>
          <w:rFonts w:asciiTheme="minorHAnsi" w:eastAsia="Segoe UI" w:hAnsiTheme="minorHAnsi" w:cstheme="minorHAnsi"/>
          <w:lang w:bidi="en-US"/>
        </w:rPr>
        <w:t>ocuments related to the Project were reviewed and analyzed from different perspectives such as</w:t>
      </w:r>
      <w:r w:rsidR="008B1E9C">
        <w:rPr>
          <w:rFonts w:asciiTheme="minorHAnsi" w:eastAsia="Segoe UI" w:hAnsiTheme="minorHAnsi" w:cstheme="minorHAnsi"/>
          <w:lang w:bidi="en-US"/>
        </w:rPr>
        <w:t>,</w:t>
      </w:r>
      <w:r w:rsidRPr="00661DFA">
        <w:rPr>
          <w:rFonts w:asciiTheme="minorHAnsi" w:eastAsia="Segoe UI" w:hAnsiTheme="minorHAnsi" w:cstheme="minorHAnsi"/>
          <w:lang w:bidi="en-US"/>
        </w:rPr>
        <w:t xml:space="preserve"> the quality and relevance of the information provided, identification of gaps, coherence, </w:t>
      </w:r>
      <w:r w:rsidR="00B51C94" w:rsidRPr="00661DFA">
        <w:rPr>
          <w:rFonts w:asciiTheme="minorHAnsi" w:eastAsia="Segoe UI" w:hAnsiTheme="minorHAnsi" w:cstheme="minorHAnsi"/>
          <w:lang w:bidi="en-US"/>
        </w:rPr>
        <w:t>etc.</w:t>
      </w:r>
      <w:r w:rsidRPr="00661DFA">
        <w:rPr>
          <w:rFonts w:asciiTheme="minorHAnsi" w:eastAsia="Segoe UI" w:hAnsiTheme="minorHAnsi" w:cstheme="minorHAnsi"/>
          <w:lang w:bidi="en-US"/>
        </w:rPr>
        <w:t xml:space="preserve">. </w:t>
      </w:r>
      <w:hyperlink w:anchor="_Annex_7:_List" w:history="1">
        <w:r w:rsidR="00B51C94" w:rsidRPr="00463811">
          <w:rPr>
            <w:rStyle w:val="Hyperlink"/>
            <w:rFonts w:asciiTheme="minorHAnsi" w:eastAsia="Segoe UI" w:hAnsiTheme="minorHAnsi" w:cstheme="minorHAnsi"/>
            <w:lang w:bidi="en-US"/>
          </w:rPr>
          <w:t xml:space="preserve">Annex </w:t>
        </w:r>
        <w:r w:rsidR="008B1E9C" w:rsidRPr="00463811">
          <w:rPr>
            <w:rStyle w:val="Hyperlink"/>
            <w:rFonts w:asciiTheme="minorHAnsi" w:eastAsia="Segoe UI" w:hAnsiTheme="minorHAnsi" w:cstheme="minorHAnsi"/>
            <w:lang w:bidi="en-US"/>
          </w:rPr>
          <w:t>7</w:t>
        </w:r>
      </w:hyperlink>
      <w:r w:rsidR="00B51C94">
        <w:rPr>
          <w:rFonts w:asciiTheme="minorHAnsi" w:eastAsia="Segoe UI" w:hAnsiTheme="minorHAnsi" w:cstheme="minorHAnsi"/>
          <w:lang w:bidi="en-US"/>
        </w:rPr>
        <w:t xml:space="preserve"> </w:t>
      </w:r>
      <w:r w:rsidRPr="00661DFA">
        <w:rPr>
          <w:rFonts w:asciiTheme="minorHAnsi" w:eastAsia="Segoe UI" w:hAnsiTheme="minorHAnsi" w:cstheme="minorHAnsi"/>
          <w:lang w:bidi="en-US"/>
        </w:rPr>
        <w:t>contain</w:t>
      </w:r>
      <w:r w:rsidR="00B51C94">
        <w:rPr>
          <w:rFonts w:asciiTheme="minorHAnsi" w:eastAsia="Segoe UI" w:hAnsiTheme="minorHAnsi" w:cstheme="minorHAnsi"/>
          <w:lang w:bidi="en-US"/>
        </w:rPr>
        <w:t>s</w:t>
      </w:r>
      <w:r w:rsidRPr="00661DFA">
        <w:rPr>
          <w:rFonts w:asciiTheme="minorHAnsi" w:eastAsia="Segoe UI" w:hAnsiTheme="minorHAnsi" w:cstheme="minorHAnsi"/>
          <w:lang w:bidi="en-US"/>
        </w:rPr>
        <w:t xml:space="preserve"> a </w:t>
      </w:r>
      <w:hyperlink w:anchor="_Annex_7:_List" w:history="1">
        <w:r w:rsidR="00D35691" w:rsidRPr="00D35691">
          <w:rPr>
            <w:rStyle w:val="Hyperlink"/>
            <w:rFonts w:asciiTheme="minorHAnsi" w:eastAsia="Segoe UI" w:hAnsiTheme="minorHAnsi" w:cstheme="minorHAnsi"/>
            <w:lang w:bidi="en-US"/>
          </w:rPr>
          <w:t>List of Documents Reviewed</w:t>
        </w:r>
      </w:hyperlink>
      <w:r w:rsidR="00D35691">
        <w:rPr>
          <w:rFonts w:asciiTheme="minorHAnsi" w:eastAsia="Segoe UI" w:hAnsiTheme="minorHAnsi" w:cstheme="minorHAnsi"/>
          <w:lang w:bidi="en-US"/>
        </w:rPr>
        <w:t xml:space="preserve"> </w:t>
      </w:r>
      <w:r w:rsidRPr="00661DFA">
        <w:rPr>
          <w:rFonts w:asciiTheme="minorHAnsi" w:eastAsia="Segoe UI" w:hAnsiTheme="minorHAnsi" w:cstheme="minorHAnsi"/>
          <w:lang w:bidi="en-US"/>
        </w:rPr>
        <w:t xml:space="preserve">throughout the TE process. </w:t>
      </w:r>
      <w:r w:rsidR="002804BE">
        <w:rPr>
          <w:rFonts w:asciiTheme="minorHAnsi" w:eastAsia="Segoe UI" w:hAnsiTheme="minorHAnsi" w:cstheme="minorHAnsi"/>
          <w:lang w:bidi="en-US"/>
        </w:rPr>
        <w:t xml:space="preserve">Following the review, </w:t>
      </w:r>
      <w:r w:rsidR="00B17CB9" w:rsidRPr="00B17CB9">
        <w:t xml:space="preserve">an Inception Report (IR) was prepared and submitted to UNDP for approval on </w:t>
      </w:r>
      <w:r w:rsidR="00D95DF4" w:rsidRPr="00D95DF4">
        <w:t>2</w:t>
      </w:r>
      <w:r w:rsidR="00B17CB9" w:rsidRPr="00D95DF4">
        <w:t xml:space="preserve"> </w:t>
      </w:r>
      <w:r w:rsidR="00D95DF4" w:rsidRPr="00D95DF4">
        <w:t>August 2021</w:t>
      </w:r>
      <w:r w:rsidR="0071732D">
        <w:t>.</w:t>
      </w:r>
    </w:p>
    <w:p w14:paraId="12E40873" w14:textId="43A9B57F" w:rsidR="00661DFA" w:rsidRPr="00661DFA" w:rsidRDefault="00661DFA" w:rsidP="0071732D">
      <w:pPr>
        <w:spacing w:after="120" w:line="240" w:lineRule="auto"/>
        <w:jc w:val="both"/>
        <w:rPr>
          <w:rFonts w:asciiTheme="minorHAnsi" w:eastAsia="Segoe UI" w:hAnsiTheme="minorHAnsi" w:cstheme="minorHAnsi"/>
          <w:lang w:bidi="en-US"/>
        </w:rPr>
      </w:pPr>
      <w:r w:rsidRPr="00661DFA">
        <w:rPr>
          <w:rFonts w:asciiTheme="minorHAnsi" w:eastAsia="Segoe UI" w:hAnsiTheme="minorHAnsi" w:cstheme="minorHAnsi"/>
          <w:b/>
          <w:bCs/>
          <w:lang w:bidi="en-US"/>
        </w:rPr>
        <w:lastRenderedPageBreak/>
        <w:t>Key Informant Interviews (KIIs):</w:t>
      </w:r>
      <w:r w:rsidRPr="00661DFA">
        <w:rPr>
          <w:rFonts w:asciiTheme="minorHAnsi" w:eastAsia="Segoe UI" w:hAnsiTheme="minorHAnsi" w:cstheme="minorHAnsi"/>
          <w:lang w:bidi="en-US"/>
        </w:rPr>
        <w:t xml:space="preserve"> Key informants from each pertinent stakeholder group </w:t>
      </w:r>
      <w:r w:rsidR="00F00920">
        <w:rPr>
          <w:rFonts w:asciiTheme="minorHAnsi" w:eastAsia="Segoe UI" w:hAnsiTheme="minorHAnsi" w:cstheme="minorHAnsi"/>
          <w:lang w:bidi="en-US"/>
        </w:rPr>
        <w:t xml:space="preserve">were </w:t>
      </w:r>
      <w:r w:rsidR="00F00920" w:rsidRPr="00661DFA">
        <w:rPr>
          <w:rFonts w:asciiTheme="minorHAnsi" w:eastAsia="Segoe UI" w:hAnsiTheme="minorHAnsi" w:cstheme="minorHAnsi"/>
          <w:lang w:bidi="en-US"/>
        </w:rPr>
        <w:t>interviewed</w:t>
      </w:r>
      <w:r w:rsidRPr="00661DFA">
        <w:rPr>
          <w:rFonts w:asciiTheme="minorHAnsi" w:eastAsia="Segoe UI" w:hAnsiTheme="minorHAnsi" w:cstheme="minorHAnsi"/>
          <w:lang w:bidi="en-US"/>
        </w:rPr>
        <w:t xml:space="preserve">, based-on the relevance and amount of information the interviewee </w:t>
      </w:r>
      <w:r w:rsidR="0071732D">
        <w:rPr>
          <w:rFonts w:asciiTheme="minorHAnsi" w:eastAsia="Segoe UI" w:hAnsiTheme="minorHAnsi" w:cstheme="minorHAnsi"/>
          <w:lang w:bidi="en-US"/>
        </w:rPr>
        <w:t>could</w:t>
      </w:r>
      <w:r w:rsidRPr="00661DFA">
        <w:rPr>
          <w:rFonts w:asciiTheme="minorHAnsi" w:eastAsia="Segoe UI" w:hAnsiTheme="minorHAnsi" w:cstheme="minorHAnsi"/>
          <w:lang w:bidi="en-US"/>
        </w:rPr>
        <w:t xml:space="preserve"> offer. The KIIs are both a primary data source and a mechanism to triangulate and compliment the information gleaned from the Desk Review. </w:t>
      </w:r>
      <w:hyperlink w:anchor="_Annex_9._Semi-structured" w:history="1">
        <w:r w:rsidRPr="007C310D">
          <w:rPr>
            <w:rStyle w:val="Hyperlink"/>
            <w:rFonts w:asciiTheme="minorHAnsi" w:eastAsia="Segoe UI" w:hAnsiTheme="minorHAnsi" w:cstheme="minorHAnsi"/>
            <w:lang w:eastAsia="en-US" w:bidi="en-US"/>
          </w:rPr>
          <w:t xml:space="preserve">Annex </w:t>
        </w:r>
        <w:r w:rsidR="007C310D" w:rsidRPr="007C310D">
          <w:rPr>
            <w:rStyle w:val="Hyperlink"/>
            <w:rFonts w:asciiTheme="minorHAnsi" w:eastAsia="Segoe UI" w:hAnsiTheme="minorHAnsi" w:cstheme="minorHAnsi"/>
            <w:lang w:eastAsia="en-US" w:bidi="en-US"/>
          </w:rPr>
          <w:t>9</w:t>
        </w:r>
      </w:hyperlink>
      <w:r w:rsidRPr="00A87211">
        <w:rPr>
          <w:rFonts w:asciiTheme="minorHAnsi" w:eastAsia="Segoe UI" w:hAnsiTheme="minorHAnsi" w:cstheme="minorHAnsi"/>
          <w:lang w:eastAsia="en-US" w:bidi="en-US"/>
        </w:rPr>
        <w:t xml:space="preserve"> Presents a </w:t>
      </w:r>
      <w:hyperlink w:anchor="_Annex_9._Semi-structure" w:history="1">
        <w:r w:rsidRPr="00F205C7">
          <w:rPr>
            <w:rStyle w:val="Hyperlink"/>
            <w:rFonts w:asciiTheme="minorHAnsi" w:eastAsia="Segoe UI" w:hAnsiTheme="minorHAnsi" w:cstheme="minorHAnsi"/>
            <w:lang w:eastAsia="en-US" w:bidi="en-US"/>
          </w:rPr>
          <w:t>Semi-structured Interview Guide</w:t>
        </w:r>
      </w:hyperlink>
      <w:r w:rsidRPr="00661DFA">
        <w:rPr>
          <w:rFonts w:asciiTheme="minorHAnsi" w:eastAsia="Segoe UI" w:hAnsiTheme="minorHAnsi" w:cstheme="minorHAnsi"/>
          <w:lang w:bidi="en-US"/>
        </w:rPr>
        <w:t xml:space="preserve"> developed to facilitate the interview process.</w:t>
      </w:r>
    </w:p>
    <w:p w14:paraId="3A3E6F20" w14:textId="0132FA02" w:rsidR="00C44D3B" w:rsidRDefault="00661DFA" w:rsidP="0071732D">
      <w:pPr>
        <w:spacing w:after="120" w:line="240" w:lineRule="auto"/>
        <w:jc w:val="both"/>
        <w:rPr>
          <w:rFonts w:asciiTheme="minorHAnsi" w:eastAsia="Segoe UI" w:hAnsiTheme="minorHAnsi" w:cstheme="minorHAnsi"/>
          <w:lang w:bidi="en-US"/>
        </w:rPr>
      </w:pPr>
      <w:r w:rsidRPr="00661DFA">
        <w:rPr>
          <w:rFonts w:asciiTheme="minorHAnsi" w:eastAsia="Segoe UI" w:hAnsiTheme="minorHAnsi" w:cstheme="minorHAnsi"/>
          <w:b/>
          <w:bCs/>
          <w:lang w:bidi="en-US"/>
        </w:rPr>
        <w:t>Focus Groups Discussions (FGD):</w:t>
      </w:r>
      <w:r w:rsidRPr="00661DFA">
        <w:rPr>
          <w:rFonts w:asciiTheme="minorHAnsi" w:eastAsia="Segoe UI" w:hAnsiTheme="minorHAnsi" w:cstheme="minorHAnsi"/>
          <w:lang w:bidi="en-US"/>
        </w:rPr>
        <w:t xml:space="preserve"> Focus group discussions</w:t>
      </w:r>
      <w:r w:rsidR="00D02AD3">
        <w:rPr>
          <w:rFonts w:asciiTheme="minorHAnsi" w:eastAsia="Segoe UI" w:hAnsiTheme="minorHAnsi" w:cstheme="minorHAnsi"/>
          <w:lang w:bidi="en-US"/>
        </w:rPr>
        <w:t xml:space="preserve"> </w:t>
      </w:r>
      <w:r w:rsidR="00A77A2A">
        <w:rPr>
          <w:rFonts w:asciiTheme="minorHAnsi" w:eastAsia="Segoe UI" w:hAnsiTheme="minorHAnsi" w:cstheme="minorHAnsi"/>
          <w:lang w:bidi="en-US"/>
        </w:rPr>
        <w:t>through the</w:t>
      </w:r>
      <w:r w:rsidR="00D3046E">
        <w:rPr>
          <w:rFonts w:asciiTheme="minorHAnsi" w:eastAsia="Segoe UI" w:hAnsiTheme="minorHAnsi" w:cstheme="minorHAnsi"/>
          <w:lang w:bidi="en-US"/>
        </w:rPr>
        <w:t xml:space="preserve"> </w:t>
      </w:r>
      <w:r w:rsidR="00A77A2A">
        <w:rPr>
          <w:rFonts w:asciiTheme="minorHAnsi" w:eastAsia="Segoe UI" w:hAnsiTheme="minorHAnsi" w:cstheme="minorHAnsi"/>
          <w:lang w:bidi="en-US"/>
        </w:rPr>
        <w:t xml:space="preserve"> Production</w:t>
      </w:r>
      <w:r w:rsidR="00D3046E">
        <w:rPr>
          <w:rFonts w:asciiTheme="minorHAnsi" w:eastAsia="Segoe UI" w:hAnsiTheme="minorHAnsi" w:cstheme="minorHAnsi"/>
          <w:lang w:bidi="en-US"/>
        </w:rPr>
        <w:t>, Demand and Transaction</w:t>
      </w:r>
      <w:r w:rsidR="00A77A2A">
        <w:rPr>
          <w:rFonts w:asciiTheme="minorHAnsi" w:eastAsia="Segoe UI" w:hAnsiTheme="minorHAnsi" w:cstheme="minorHAnsi"/>
          <w:lang w:bidi="en-US"/>
        </w:rPr>
        <w:t xml:space="preserve"> </w:t>
      </w:r>
      <w:r w:rsidR="00D3046E">
        <w:rPr>
          <w:rFonts w:asciiTheme="minorHAnsi" w:eastAsia="Segoe UI" w:hAnsiTheme="minorHAnsi" w:cstheme="minorHAnsi"/>
          <w:lang w:bidi="en-US"/>
        </w:rPr>
        <w:t xml:space="preserve">Child </w:t>
      </w:r>
      <w:r w:rsidR="00A77A2A">
        <w:rPr>
          <w:rFonts w:asciiTheme="minorHAnsi" w:eastAsia="Segoe UI" w:hAnsiTheme="minorHAnsi" w:cstheme="minorHAnsi"/>
          <w:lang w:bidi="en-US"/>
        </w:rPr>
        <w:t>project</w:t>
      </w:r>
      <w:r w:rsidR="00D3046E">
        <w:rPr>
          <w:rFonts w:asciiTheme="minorHAnsi" w:eastAsia="Segoe UI" w:hAnsiTheme="minorHAnsi" w:cstheme="minorHAnsi"/>
          <w:lang w:bidi="en-US"/>
        </w:rPr>
        <w:t>s</w:t>
      </w:r>
      <w:r w:rsidR="00A77A2A">
        <w:rPr>
          <w:rFonts w:asciiTheme="minorHAnsi" w:eastAsia="Segoe UI" w:hAnsiTheme="minorHAnsi" w:cstheme="minorHAnsi"/>
          <w:lang w:bidi="en-US"/>
        </w:rPr>
        <w:t xml:space="preserve"> in </w:t>
      </w:r>
      <w:r w:rsidR="00D02AD3">
        <w:rPr>
          <w:rFonts w:asciiTheme="minorHAnsi" w:eastAsia="Segoe UI" w:hAnsiTheme="minorHAnsi" w:cstheme="minorHAnsi"/>
          <w:lang w:bidi="en-US"/>
        </w:rPr>
        <w:t xml:space="preserve">Paraguay, Indonesia, Liberia, and Brazil provided interesting insights on how </w:t>
      </w:r>
      <w:r w:rsidR="00501BF0">
        <w:rPr>
          <w:rFonts w:asciiTheme="minorHAnsi" w:eastAsia="Segoe UI" w:hAnsiTheme="minorHAnsi" w:cstheme="minorHAnsi"/>
          <w:lang w:bidi="en-US"/>
        </w:rPr>
        <w:t xml:space="preserve">sequencing, </w:t>
      </w:r>
      <w:r w:rsidR="00D02AD3">
        <w:rPr>
          <w:rFonts w:asciiTheme="minorHAnsi" w:eastAsia="Segoe UI" w:hAnsiTheme="minorHAnsi" w:cstheme="minorHAnsi"/>
          <w:lang w:bidi="en-US"/>
        </w:rPr>
        <w:t>integration</w:t>
      </w:r>
      <w:r w:rsidR="00501BF0">
        <w:rPr>
          <w:rFonts w:asciiTheme="minorHAnsi" w:eastAsia="Segoe UI" w:hAnsiTheme="minorHAnsi" w:cstheme="minorHAnsi"/>
          <w:lang w:bidi="en-US"/>
        </w:rPr>
        <w:t xml:space="preserve">, monitoring and evaluation, etc. were perceived </w:t>
      </w:r>
      <w:r w:rsidR="00D02AD3">
        <w:rPr>
          <w:rFonts w:asciiTheme="minorHAnsi" w:eastAsia="Segoe UI" w:hAnsiTheme="minorHAnsi" w:cstheme="minorHAnsi"/>
          <w:lang w:bidi="en-US"/>
        </w:rPr>
        <w:t>at country level</w:t>
      </w:r>
      <w:r w:rsidR="00501BF0">
        <w:rPr>
          <w:rFonts w:asciiTheme="minorHAnsi" w:eastAsia="Segoe UI" w:hAnsiTheme="minorHAnsi" w:cstheme="minorHAnsi"/>
          <w:lang w:bidi="en-US"/>
        </w:rPr>
        <w:t xml:space="preserve"> and </w:t>
      </w:r>
      <w:r w:rsidR="00372917">
        <w:rPr>
          <w:rFonts w:asciiTheme="minorHAnsi" w:eastAsia="Segoe UI" w:hAnsiTheme="minorHAnsi" w:cstheme="minorHAnsi"/>
          <w:lang w:bidi="en-US"/>
        </w:rPr>
        <w:t>provid</w:t>
      </w:r>
      <w:r w:rsidR="00501BF0">
        <w:rPr>
          <w:rFonts w:asciiTheme="minorHAnsi" w:eastAsia="Segoe UI" w:hAnsiTheme="minorHAnsi" w:cstheme="minorHAnsi"/>
          <w:lang w:bidi="en-US"/>
        </w:rPr>
        <w:t xml:space="preserve">ed </w:t>
      </w:r>
      <w:r w:rsidRPr="00661DFA">
        <w:rPr>
          <w:rFonts w:asciiTheme="minorHAnsi" w:eastAsia="Segoe UI" w:hAnsiTheme="minorHAnsi" w:cstheme="minorHAnsi"/>
          <w:lang w:bidi="en-US"/>
        </w:rPr>
        <w:t>triangulation</w:t>
      </w:r>
      <w:r w:rsidR="00501BF0">
        <w:rPr>
          <w:rFonts w:asciiTheme="minorHAnsi" w:eastAsia="Segoe UI" w:hAnsiTheme="minorHAnsi" w:cstheme="minorHAnsi"/>
          <w:lang w:bidi="en-US"/>
        </w:rPr>
        <w:t xml:space="preserve"> of </w:t>
      </w:r>
      <w:r w:rsidR="00372917">
        <w:rPr>
          <w:rFonts w:asciiTheme="minorHAnsi" w:eastAsia="Segoe UI" w:hAnsiTheme="minorHAnsi" w:cstheme="minorHAnsi"/>
          <w:lang w:bidi="en-US"/>
        </w:rPr>
        <w:t>A&amp;L</w:t>
      </w:r>
      <w:r w:rsidR="00501BF0">
        <w:rPr>
          <w:rFonts w:asciiTheme="minorHAnsi" w:eastAsia="Segoe UI" w:hAnsiTheme="minorHAnsi" w:cstheme="minorHAnsi"/>
          <w:lang w:bidi="en-US"/>
        </w:rPr>
        <w:t xml:space="preserve"> actors. </w:t>
      </w:r>
      <w:r w:rsidR="00372917">
        <w:t xml:space="preserve">The information collected, including documentary evidence, interviews, and observations </w:t>
      </w:r>
      <w:r w:rsidR="00501BF0">
        <w:t xml:space="preserve">was </w:t>
      </w:r>
      <w:r w:rsidR="00372917">
        <w:t xml:space="preserve">compiled, analyzed and organized according to the questions asked in the evaluation. </w:t>
      </w:r>
      <w:r w:rsidRPr="00661DFA">
        <w:rPr>
          <w:rFonts w:asciiTheme="minorHAnsi" w:eastAsia="Segoe UI" w:hAnsiTheme="minorHAnsi" w:cstheme="minorHAnsi"/>
          <w:lang w:bidi="en-US"/>
        </w:rPr>
        <w:t xml:space="preserve">Data triangulation </w:t>
      </w:r>
      <w:r w:rsidR="00372917">
        <w:rPr>
          <w:rFonts w:asciiTheme="minorHAnsi" w:eastAsia="Segoe UI" w:hAnsiTheme="minorHAnsi" w:cstheme="minorHAnsi"/>
          <w:lang w:bidi="en-US"/>
        </w:rPr>
        <w:t>was</w:t>
      </w:r>
      <w:r w:rsidRPr="00661DFA">
        <w:rPr>
          <w:rFonts w:asciiTheme="minorHAnsi" w:eastAsia="Segoe UI" w:hAnsiTheme="minorHAnsi" w:cstheme="minorHAnsi"/>
          <w:lang w:bidi="en-US"/>
        </w:rPr>
        <w:t xml:space="preserve"> used for the </w:t>
      </w:r>
      <w:r w:rsidR="00780923">
        <w:rPr>
          <w:rFonts w:asciiTheme="minorHAnsi" w:eastAsia="Segoe UI" w:hAnsiTheme="minorHAnsi" w:cstheme="minorHAnsi"/>
          <w:lang w:bidi="en-US"/>
        </w:rPr>
        <w:t xml:space="preserve">assessment and </w:t>
      </w:r>
      <w:r w:rsidRPr="00661DFA">
        <w:rPr>
          <w:rFonts w:asciiTheme="minorHAnsi" w:eastAsia="Segoe UI" w:hAnsiTheme="minorHAnsi" w:cstheme="minorHAnsi"/>
          <w:lang w:bidi="en-US"/>
        </w:rPr>
        <w:t>interpretation of the findings</w:t>
      </w:r>
      <w:r w:rsidR="00780923">
        <w:rPr>
          <w:rFonts w:asciiTheme="minorHAnsi" w:eastAsia="Segoe UI" w:hAnsiTheme="minorHAnsi" w:cstheme="minorHAnsi"/>
          <w:lang w:bidi="en-US"/>
        </w:rPr>
        <w:t xml:space="preserve">. </w:t>
      </w:r>
      <w:r w:rsidR="00372917">
        <w:rPr>
          <w:rFonts w:asciiTheme="minorHAnsi" w:eastAsia="Segoe UI" w:hAnsiTheme="minorHAnsi" w:cstheme="minorHAnsi"/>
          <w:lang w:bidi="en-US"/>
        </w:rPr>
        <w:t>T</w:t>
      </w:r>
      <w:r w:rsidRPr="00661DFA">
        <w:rPr>
          <w:rFonts w:asciiTheme="minorHAnsi" w:eastAsia="Segoe UI" w:hAnsiTheme="minorHAnsi" w:cstheme="minorHAnsi"/>
          <w:lang w:bidi="en-US"/>
        </w:rPr>
        <w:t>he results of the analyses w</w:t>
      </w:r>
      <w:r w:rsidR="00372917">
        <w:rPr>
          <w:rFonts w:asciiTheme="minorHAnsi" w:eastAsia="Segoe UI" w:hAnsiTheme="minorHAnsi" w:cstheme="minorHAnsi"/>
          <w:lang w:bidi="en-US"/>
        </w:rPr>
        <w:t xml:space="preserve">ere </w:t>
      </w:r>
      <w:r w:rsidRPr="00661DFA">
        <w:rPr>
          <w:rFonts w:asciiTheme="minorHAnsi" w:eastAsia="Segoe UI" w:hAnsiTheme="minorHAnsi" w:cstheme="minorHAnsi"/>
          <w:lang w:bidi="en-US"/>
        </w:rPr>
        <w:t>verified by comparing two or three sources and through different collection methods.</w:t>
      </w:r>
      <w:r w:rsidR="00501BF0">
        <w:rPr>
          <w:rFonts w:asciiTheme="minorHAnsi" w:eastAsia="Segoe UI" w:hAnsiTheme="minorHAnsi" w:cstheme="minorHAnsi"/>
          <w:lang w:bidi="en-US"/>
        </w:rPr>
        <w:t xml:space="preserve">  </w:t>
      </w:r>
    </w:p>
    <w:p w14:paraId="2538B953" w14:textId="0C72A26F" w:rsidR="00B74EB1" w:rsidRDefault="00C44D3B" w:rsidP="008532F6">
      <w:pPr>
        <w:spacing w:after="120" w:line="240" w:lineRule="auto"/>
        <w:jc w:val="both"/>
      </w:pPr>
      <w:r w:rsidRPr="00C44D3B">
        <w:rPr>
          <w:rFonts w:asciiTheme="minorHAnsi" w:eastAsia="Segoe UI" w:hAnsiTheme="minorHAnsi" w:cstheme="minorHAnsi"/>
          <w:b/>
          <w:bCs/>
          <w:lang w:bidi="en-US"/>
        </w:rPr>
        <w:t>Presentation of Preliminary Findings</w:t>
      </w:r>
      <w:r>
        <w:rPr>
          <w:rFonts w:asciiTheme="minorHAnsi" w:eastAsia="Segoe UI" w:hAnsiTheme="minorHAnsi" w:cstheme="minorHAnsi"/>
          <w:lang w:bidi="en-US"/>
        </w:rPr>
        <w:t xml:space="preserve">: </w:t>
      </w:r>
      <w:r w:rsidR="00501BF0">
        <w:rPr>
          <w:rFonts w:asciiTheme="minorHAnsi" w:eastAsia="Segoe UI" w:hAnsiTheme="minorHAnsi" w:cstheme="minorHAnsi"/>
          <w:lang w:bidi="en-US"/>
        </w:rPr>
        <w:t>Preliminary f</w:t>
      </w:r>
      <w:r w:rsidR="00661DFA" w:rsidRPr="00661DFA">
        <w:rPr>
          <w:rFonts w:asciiTheme="minorHAnsi" w:eastAsia="Segoe UI" w:hAnsiTheme="minorHAnsi" w:cstheme="minorHAnsi"/>
          <w:lang w:bidi="en-US"/>
        </w:rPr>
        <w:t xml:space="preserve">indings </w:t>
      </w:r>
      <w:r w:rsidR="00B74EB1">
        <w:rPr>
          <w:rFonts w:asciiTheme="minorHAnsi" w:eastAsia="Segoe UI" w:hAnsiTheme="minorHAnsi" w:cstheme="minorHAnsi"/>
          <w:lang w:bidi="en-US"/>
        </w:rPr>
        <w:t>were</w:t>
      </w:r>
      <w:r w:rsidR="00661DFA" w:rsidRPr="00661DFA">
        <w:rPr>
          <w:rFonts w:asciiTheme="minorHAnsi" w:eastAsia="Segoe UI" w:hAnsiTheme="minorHAnsi" w:cstheme="minorHAnsi"/>
          <w:lang w:bidi="en-US"/>
        </w:rPr>
        <w:t xml:space="preserve"> presented to the UNDP</w:t>
      </w:r>
      <w:r>
        <w:rPr>
          <w:rFonts w:asciiTheme="minorHAnsi" w:eastAsia="Segoe UI" w:hAnsiTheme="minorHAnsi" w:cstheme="minorHAnsi"/>
          <w:lang w:bidi="en-US"/>
        </w:rPr>
        <w:t xml:space="preserve"> Project Management Unit (PMU)</w:t>
      </w:r>
      <w:r w:rsidR="00661DFA" w:rsidRPr="00661DFA">
        <w:rPr>
          <w:rFonts w:asciiTheme="minorHAnsi" w:eastAsia="Segoe UI" w:hAnsiTheme="minorHAnsi" w:cstheme="minorHAnsi"/>
          <w:lang w:bidi="en-US"/>
        </w:rPr>
        <w:t xml:space="preserve"> </w:t>
      </w:r>
      <w:r w:rsidR="00B74EB1">
        <w:rPr>
          <w:rFonts w:asciiTheme="minorHAnsi" w:eastAsia="Segoe UI" w:hAnsiTheme="minorHAnsi" w:cstheme="minorHAnsi"/>
          <w:lang w:bidi="en-US"/>
        </w:rPr>
        <w:t xml:space="preserve">on October 28, 2021, </w:t>
      </w:r>
      <w:r w:rsidR="00661DFA" w:rsidRPr="00661DFA">
        <w:rPr>
          <w:rFonts w:asciiTheme="minorHAnsi" w:eastAsia="Segoe UI" w:hAnsiTheme="minorHAnsi" w:cstheme="minorHAnsi"/>
          <w:lang w:bidi="en-US"/>
        </w:rPr>
        <w:t>triggering a feedback loop validat</w:t>
      </w:r>
      <w:r w:rsidR="00780923">
        <w:rPr>
          <w:rFonts w:asciiTheme="minorHAnsi" w:eastAsia="Segoe UI" w:hAnsiTheme="minorHAnsi" w:cstheme="minorHAnsi"/>
          <w:lang w:bidi="en-US"/>
        </w:rPr>
        <w:t>ing and correcting</w:t>
      </w:r>
      <w:r w:rsidR="00661DFA" w:rsidRPr="00661DFA">
        <w:rPr>
          <w:rFonts w:asciiTheme="minorHAnsi" w:eastAsia="Segoe UI" w:hAnsiTheme="minorHAnsi" w:cstheme="minorHAnsi"/>
          <w:lang w:bidi="en-US"/>
        </w:rPr>
        <w:t xml:space="preserve"> the preliminary findings through comments to </w:t>
      </w:r>
      <w:r w:rsidR="002A37D7">
        <w:rPr>
          <w:rFonts w:asciiTheme="minorHAnsi" w:eastAsia="Segoe UI" w:hAnsiTheme="minorHAnsi" w:cstheme="minorHAnsi"/>
          <w:lang w:bidi="en-US"/>
        </w:rPr>
        <w:t>th</w:t>
      </w:r>
      <w:r w:rsidR="00EE162E">
        <w:rPr>
          <w:rFonts w:asciiTheme="minorHAnsi" w:eastAsia="Segoe UI" w:hAnsiTheme="minorHAnsi" w:cstheme="minorHAnsi"/>
          <w:lang w:bidi="en-US"/>
        </w:rPr>
        <w:t xml:space="preserve">e first </w:t>
      </w:r>
      <w:r w:rsidR="008532F6">
        <w:rPr>
          <w:rFonts w:asciiTheme="minorHAnsi" w:eastAsia="Segoe UI" w:hAnsiTheme="minorHAnsi" w:cstheme="minorHAnsi"/>
          <w:lang w:bidi="en-US"/>
        </w:rPr>
        <w:t>Draft Terminal Report and ultimately into th</w:t>
      </w:r>
      <w:r w:rsidR="00EE162E">
        <w:rPr>
          <w:rFonts w:asciiTheme="minorHAnsi" w:eastAsia="Segoe UI" w:hAnsiTheme="minorHAnsi" w:cstheme="minorHAnsi"/>
          <w:lang w:bidi="en-US"/>
        </w:rPr>
        <w:t xml:space="preserve">is </w:t>
      </w:r>
      <w:r w:rsidR="00F03640">
        <w:rPr>
          <w:rFonts w:asciiTheme="minorHAnsi" w:eastAsia="Segoe UI" w:hAnsiTheme="minorHAnsi" w:cstheme="minorHAnsi"/>
          <w:lang w:bidi="en-US"/>
        </w:rPr>
        <w:t>F</w:t>
      </w:r>
      <w:r w:rsidR="008532F6">
        <w:rPr>
          <w:rFonts w:asciiTheme="minorHAnsi" w:eastAsia="Segoe UI" w:hAnsiTheme="minorHAnsi" w:cstheme="minorHAnsi"/>
          <w:lang w:bidi="en-US"/>
        </w:rPr>
        <w:t>inal Termination Evaluation Report. The response</w:t>
      </w:r>
      <w:r w:rsidR="00EE162E">
        <w:rPr>
          <w:rFonts w:asciiTheme="minorHAnsi" w:eastAsia="Segoe UI" w:hAnsiTheme="minorHAnsi" w:cstheme="minorHAnsi"/>
          <w:lang w:bidi="en-US"/>
        </w:rPr>
        <w:t>s</w:t>
      </w:r>
      <w:r w:rsidR="008532F6">
        <w:rPr>
          <w:rFonts w:asciiTheme="minorHAnsi" w:eastAsia="Segoe UI" w:hAnsiTheme="minorHAnsi" w:cstheme="minorHAnsi"/>
          <w:lang w:bidi="en-US"/>
        </w:rPr>
        <w:t xml:space="preserve"> to comments </w:t>
      </w:r>
      <w:r w:rsidR="00780923">
        <w:rPr>
          <w:rFonts w:asciiTheme="minorHAnsi" w:eastAsia="Segoe UI" w:hAnsiTheme="minorHAnsi" w:cstheme="minorHAnsi"/>
          <w:lang w:bidi="en-US"/>
        </w:rPr>
        <w:t xml:space="preserve">are </w:t>
      </w:r>
      <w:r w:rsidR="008532F6">
        <w:rPr>
          <w:rFonts w:asciiTheme="minorHAnsi" w:eastAsia="Segoe UI" w:hAnsiTheme="minorHAnsi" w:cstheme="minorHAnsi"/>
          <w:lang w:bidi="en-US"/>
        </w:rPr>
        <w:t>tracked</w:t>
      </w:r>
      <w:r w:rsidR="00780923">
        <w:rPr>
          <w:rFonts w:asciiTheme="minorHAnsi" w:eastAsia="Segoe UI" w:hAnsiTheme="minorHAnsi" w:cstheme="minorHAnsi"/>
          <w:lang w:bidi="en-US"/>
        </w:rPr>
        <w:t xml:space="preserve"> in the comments</w:t>
      </w:r>
      <w:r w:rsidR="00EE162E">
        <w:rPr>
          <w:rFonts w:asciiTheme="minorHAnsi" w:eastAsia="Segoe UI" w:hAnsiTheme="minorHAnsi" w:cstheme="minorHAnsi"/>
          <w:lang w:bidi="en-US"/>
        </w:rPr>
        <w:t xml:space="preserve"> window and </w:t>
      </w:r>
      <w:r w:rsidR="008532F6">
        <w:rPr>
          <w:rFonts w:asciiTheme="minorHAnsi" w:eastAsia="Segoe UI" w:hAnsiTheme="minorHAnsi" w:cstheme="minorHAnsi"/>
          <w:lang w:bidi="en-US"/>
        </w:rPr>
        <w:t xml:space="preserve">an </w:t>
      </w:r>
      <w:r w:rsidR="00B74EB1">
        <w:rPr>
          <w:b/>
        </w:rPr>
        <w:t xml:space="preserve">“Audit Trail” </w:t>
      </w:r>
      <w:r w:rsidR="002D1A41" w:rsidRPr="00FF1D8F">
        <w:rPr>
          <w:bCs/>
        </w:rPr>
        <w:t xml:space="preserve">for component 2 is included in </w:t>
      </w:r>
      <w:hyperlink w:anchor="_Annex_17._Audit" w:history="1">
        <w:r w:rsidR="005407BC" w:rsidRPr="007C310D">
          <w:rPr>
            <w:rStyle w:val="Hyperlink"/>
            <w:bCs/>
          </w:rPr>
          <w:t>Annex 17</w:t>
        </w:r>
      </w:hyperlink>
      <w:r w:rsidR="002D1A41">
        <w:t xml:space="preserve"> </w:t>
      </w:r>
    </w:p>
    <w:p w14:paraId="41D3658C" w14:textId="7F30CD8B" w:rsidR="00F94D82" w:rsidRPr="00DA75DB" w:rsidRDefault="00DA75DB" w:rsidP="004D6F44">
      <w:pPr>
        <w:pStyle w:val="Heading2"/>
      </w:pPr>
      <w:bookmarkStart w:id="19" w:name="_TOC_250015"/>
      <w:bookmarkStart w:id="20" w:name="_Toc96772464"/>
      <w:bookmarkEnd w:id="19"/>
      <w:r>
        <w:t>2.</w:t>
      </w:r>
      <w:r w:rsidR="004D6F44">
        <w:t>3</w:t>
      </w:r>
      <w:r>
        <w:t xml:space="preserve"> </w:t>
      </w:r>
      <w:r w:rsidR="00F94D82" w:rsidRPr="00DA75DB">
        <w:t>Ethics</w:t>
      </w:r>
      <w:bookmarkEnd w:id="20"/>
    </w:p>
    <w:p w14:paraId="461108DF" w14:textId="6150B819" w:rsidR="00661DFA" w:rsidRPr="00661DFA" w:rsidRDefault="00661DFA" w:rsidP="00D47704">
      <w:pPr>
        <w:jc w:val="both"/>
        <w:rPr>
          <w:rFonts w:ascii="Segoe UI" w:hAnsi="Segoe UI" w:cs="Segoe UI"/>
          <w:sz w:val="20"/>
          <w:szCs w:val="20"/>
        </w:rPr>
      </w:pPr>
      <w:r>
        <w:rPr>
          <w:rFonts w:asciiTheme="minorHAnsi" w:eastAsia="Segoe UI" w:hAnsiTheme="minorHAnsi" w:cstheme="minorHAnsi"/>
          <w:lang w:bidi="en-US"/>
        </w:rPr>
        <w:t>The evaluation was</w:t>
      </w:r>
      <w:r w:rsidRPr="00661DFA">
        <w:rPr>
          <w:rFonts w:asciiTheme="minorHAnsi" w:eastAsia="Segoe UI" w:hAnsiTheme="minorHAnsi" w:cstheme="minorHAnsi"/>
          <w:lang w:bidi="en-US"/>
        </w:rPr>
        <w:t xml:space="preserve"> conducted in accordance with the norms, standards, ethical, and conduct guidelines as defined in the GEF guidance and UNDP Policy stating</w:t>
      </w:r>
      <w:r w:rsidR="00A12835">
        <w:rPr>
          <w:rFonts w:asciiTheme="minorHAnsi" w:eastAsia="Segoe UI" w:hAnsiTheme="minorHAnsi" w:cstheme="minorHAnsi"/>
          <w:lang w:bidi="en-US"/>
        </w:rPr>
        <w:t xml:space="preserve"> </w:t>
      </w:r>
      <w:r w:rsidRPr="00661DFA">
        <w:rPr>
          <w:rFonts w:asciiTheme="minorHAnsi" w:eastAsia="Segoe UI" w:hAnsiTheme="minorHAnsi" w:cstheme="minorHAnsi"/>
          <w:lang w:bidi="en-US"/>
        </w:rPr>
        <w:t xml:space="preserve">that evaluations must abide by professional and ethical guidelines and codes with respect to research on human subjects as described in UNDP’s human research ethics policy and be mindful of differences in culture, language, customs, religious beliefs, and practices of all stakeholders. The evaluation </w:t>
      </w:r>
      <w:r w:rsidR="00CD185E">
        <w:rPr>
          <w:rFonts w:asciiTheme="minorHAnsi" w:eastAsia="Segoe UI" w:hAnsiTheme="minorHAnsi" w:cstheme="minorHAnsi"/>
          <w:lang w:bidi="en-US"/>
        </w:rPr>
        <w:t>made</w:t>
      </w:r>
      <w:r w:rsidRPr="00661DFA">
        <w:rPr>
          <w:rFonts w:asciiTheme="minorHAnsi" w:eastAsia="Segoe UI" w:hAnsiTheme="minorHAnsi" w:cstheme="minorHAnsi"/>
          <w:lang w:bidi="en-US"/>
        </w:rPr>
        <w:t xml:space="preserve"> judgements on their definition/design, implementation and achievements based on accountability and learning. </w:t>
      </w:r>
      <w:r w:rsidRPr="00661DFA">
        <w:rPr>
          <w:rFonts w:asciiTheme="minorHAnsi" w:eastAsia="Segoe UI" w:hAnsiTheme="minorHAnsi" w:cstheme="minorHAnsi"/>
          <w:lang w:eastAsia="en-US" w:bidi="en-US"/>
        </w:rPr>
        <w:t xml:space="preserve">The evaluation </w:t>
      </w:r>
      <w:r w:rsidRPr="00661DFA">
        <w:rPr>
          <w:rFonts w:ascii="Segoe UI" w:hAnsi="Segoe UI" w:cs="Segoe UI"/>
          <w:sz w:val="20"/>
          <w:szCs w:val="20"/>
        </w:rPr>
        <w:t>was conducted in accordance with the principles outlined in the United Nations Evaluation Group (UNEG) ‘Ethical Guidelines for Evaluations</w:t>
      </w:r>
      <w:r w:rsidR="00AD6866">
        <w:rPr>
          <w:rFonts w:ascii="Segoe UI" w:hAnsi="Segoe UI" w:cs="Segoe UI"/>
          <w:sz w:val="20"/>
          <w:szCs w:val="20"/>
        </w:rPr>
        <w:t>.</w:t>
      </w:r>
      <w:r w:rsidR="00A12835">
        <w:rPr>
          <w:rFonts w:ascii="Segoe UI" w:hAnsi="Segoe UI" w:cs="Segoe UI"/>
          <w:sz w:val="20"/>
          <w:szCs w:val="20"/>
        </w:rPr>
        <w:t xml:space="preserve"> </w:t>
      </w:r>
      <w:r w:rsidR="00A12835">
        <w:rPr>
          <w:rStyle w:val="FootnoteReference"/>
          <w:rFonts w:ascii="Segoe UI" w:hAnsi="Segoe UI" w:cs="Segoe UI"/>
          <w:sz w:val="20"/>
          <w:szCs w:val="20"/>
        </w:rPr>
        <w:footnoteReference w:id="4"/>
      </w:r>
    </w:p>
    <w:p w14:paraId="51789439" w14:textId="7272F038" w:rsidR="00F94D82" w:rsidRPr="00DA75DB" w:rsidRDefault="00DA75DB" w:rsidP="004D6F44">
      <w:pPr>
        <w:pStyle w:val="Heading2"/>
      </w:pPr>
      <w:bookmarkStart w:id="21" w:name="_Toc96772465"/>
      <w:r>
        <w:t>2.</w:t>
      </w:r>
      <w:r w:rsidR="004D6F44">
        <w:t>4</w:t>
      </w:r>
      <w:r>
        <w:t xml:space="preserve"> </w:t>
      </w:r>
      <w:r w:rsidR="00F94D82" w:rsidRPr="00DA75DB">
        <w:t>Limitations</w:t>
      </w:r>
      <w:r w:rsidR="007F21D0" w:rsidRPr="00DA75DB">
        <w:t xml:space="preserve"> to the Evaluation</w:t>
      </w:r>
      <w:bookmarkEnd w:id="21"/>
    </w:p>
    <w:p w14:paraId="1AAD289E" w14:textId="77777777" w:rsidR="00D47704" w:rsidRDefault="00D47704" w:rsidP="005C22F9">
      <w:pPr>
        <w:jc w:val="both"/>
        <w:rPr>
          <w:rFonts w:asciiTheme="minorHAnsi" w:eastAsia="Segoe UI" w:hAnsiTheme="minorHAnsi" w:cstheme="minorHAnsi"/>
          <w:lang w:eastAsia="en-US" w:bidi="en-US"/>
        </w:rPr>
      </w:pPr>
    </w:p>
    <w:p w14:paraId="33B888FB" w14:textId="6833B411" w:rsidR="00EE232B" w:rsidRDefault="00D47704" w:rsidP="005C22F9">
      <w:pPr>
        <w:jc w:val="both"/>
        <w:rPr>
          <w:rFonts w:asciiTheme="minorHAnsi" w:eastAsia="Segoe UI" w:hAnsiTheme="minorHAnsi" w:cstheme="minorHAnsi"/>
          <w:lang w:eastAsia="en-US" w:bidi="en-US"/>
        </w:rPr>
      </w:pPr>
      <w:r>
        <w:rPr>
          <w:rFonts w:asciiTheme="minorHAnsi" w:eastAsia="Segoe UI" w:hAnsiTheme="minorHAnsi" w:cstheme="minorHAnsi"/>
          <w:lang w:eastAsia="en-US" w:bidi="en-US"/>
        </w:rPr>
        <w:t xml:space="preserve">The </w:t>
      </w:r>
      <w:r w:rsidR="000E6DCC">
        <w:rPr>
          <w:rFonts w:asciiTheme="minorHAnsi" w:eastAsia="Segoe UI" w:hAnsiTheme="minorHAnsi" w:cstheme="minorHAnsi"/>
          <w:lang w:eastAsia="en-US" w:bidi="en-US"/>
        </w:rPr>
        <w:t xml:space="preserve">TE consultants faced </w:t>
      </w:r>
      <w:r w:rsidR="00EE232B" w:rsidRPr="00B91AD6">
        <w:rPr>
          <w:rFonts w:asciiTheme="minorHAnsi" w:eastAsia="Segoe UI" w:hAnsiTheme="minorHAnsi" w:cstheme="minorHAnsi"/>
          <w:lang w:eastAsia="en-US" w:bidi="en-US"/>
        </w:rPr>
        <w:t xml:space="preserve">the following limitations: </w:t>
      </w:r>
    </w:p>
    <w:p w14:paraId="44F4797F" w14:textId="651B6F4F" w:rsidR="00891FAD" w:rsidRPr="00891FAD" w:rsidRDefault="00E463EE" w:rsidP="00D80344">
      <w:pPr>
        <w:pStyle w:val="ListParagraph"/>
        <w:numPr>
          <w:ilvl w:val="0"/>
          <w:numId w:val="3"/>
        </w:numPr>
        <w:spacing w:before="0" w:after="120"/>
        <w:jc w:val="both"/>
        <w:rPr>
          <w:rFonts w:asciiTheme="minorHAnsi" w:eastAsia="Segoe UI" w:hAnsiTheme="minorHAnsi" w:cstheme="minorHAnsi"/>
          <w:lang w:bidi="en-US"/>
        </w:rPr>
      </w:pPr>
      <w:r>
        <w:rPr>
          <w:rFonts w:asciiTheme="minorHAnsi" w:eastAsia="Segoe UI" w:hAnsiTheme="minorHAnsi" w:cstheme="minorHAnsi"/>
          <w:lang w:bidi="en-US"/>
        </w:rPr>
        <w:t>T</w:t>
      </w:r>
      <w:r w:rsidR="00D47704">
        <w:rPr>
          <w:rFonts w:asciiTheme="minorHAnsi" w:eastAsia="Segoe UI" w:hAnsiTheme="minorHAnsi" w:cstheme="minorHAnsi"/>
          <w:lang w:bidi="en-US"/>
        </w:rPr>
        <w:t>he evaluation</w:t>
      </w:r>
      <w:r w:rsidR="0083501F" w:rsidRPr="00891FAD">
        <w:rPr>
          <w:rFonts w:asciiTheme="minorHAnsi" w:eastAsia="Segoe UI" w:hAnsiTheme="minorHAnsi" w:cstheme="minorHAnsi"/>
          <w:lang w:bidi="en-US"/>
        </w:rPr>
        <w:t xml:space="preserve"> Team Leader </w:t>
      </w:r>
      <w:r w:rsidR="00D47704">
        <w:rPr>
          <w:rFonts w:asciiTheme="minorHAnsi" w:eastAsia="Segoe UI" w:hAnsiTheme="minorHAnsi" w:cstheme="minorHAnsi"/>
          <w:lang w:bidi="en-US"/>
        </w:rPr>
        <w:t xml:space="preserve">fell </w:t>
      </w:r>
      <w:r w:rsidR="00654856">
        <w:rPr>
          <w:rFonts w:asciiTheme="minorHAnsi" w:eastAsia="Segoe UI" w:hAnsiTheme="minorHAnsi" w:cstheme="minorHAnsi"/>
          <w:lang w:bidi="en-US"/>
        </w:rPr>
        <w:t xml:space="preserve">ill </w:t>
      </w:r>
      <w:r w:rsidR="00D47704">
        <w:rPr>
          <w:rFonts w:asciiTheme="minorHAnsi" w:eastAsia="Segoe UI" w:hAnsiTheme="minorHAnsi" w:cstheme="minorHAnsi"/>
          <w:lang w:bidi="en-US"/>
        </w:rPr>
        <w:t xml:space="preserve">to </w:t>
      </w:r>
      <w:r w:rsidR="00891FAD" w:rsidRPr="00891FAD">
        <w:rPr>
          <w:rFonts w:asciiTheme="minorHAnsi" w:hAnsiTheme="minorHAnsi" w:cstheme="minorHAnsi"/>
          <w:lang w:val="en" w:bidi="en-US"/>
        </w:rPr>
        <w:t>C</w:t>
      </w:r>
      <w:r w:rsidR="00654856">
        <w:rPr>
          <w:rFonts w:asciiTheme="minorHAnsi" w:hAnsiTheme="minorHAnsi" w:cstheme="minorHAnsi"/>
          <w:lang w:val="en" w:bidi="en-US"/>
        </w:rPr>
        <w:t>OVID-19</w:t>
      </w:r>
      <w:r w:rsidR="00891FAD" w:rsidRPr="00891FAD">
        <w:rPr>
          <w:rFonts w:asciiTheme="minorHAnsi" w:hAnsiTheme="minorHAnsi" w:cstheme="minorHAnsi"/>
          <w:lang w:val="en" w:bidi="en-US"/>
        </w:rPr>
        <w:t xml:space="preserve"> </w:t>
      </w:r>
      <w:r w:rsidR="00D47704">
        <w:rPr>
          <w:rFonts w:asciiTheme="minorHAnsi" w:hAnsiTheme="minorHAnsi" w:cstheme="minorHAnsi"/>
          <w:lang w:val="en" w:bidi="en-US"/>
        </w:rPr>
        <w:t>affecting the</w:t>
      </w:r>
      <w:r w:rsidR="00891FAD">
        <w:rPr>
          <w:rFonts w:asciiTheme="minorHAnsi" w:hAnsiTheme="minorHAnsi" w:cstheme="minorHAnsi"/>
          <w:lang w:val="en" w:bidi="en-US"/>
        </w:rPr>
        <w:t xml:space="preserve"> </w:t>
      </w:r>
      <w:r w:rsidR="002B34CC">
        <w:rPr>
          <w:rFonts w:asciiTheme="minorHAnsi" w:hAnsiTheme="minorHAnsi" w:cstheme="minorHAnsi"/>
          <w:lang w:val="en" w:bidi="en-US"/>
        </w:rPr>
        <w:t>timing of the</w:t>
      </w:r>
      <w:r w:rsidR="00654856">
        <w:rPr>
          <w:rFonts w:asciiTheme="minorHAnsi" w:hAnsiTheme="minorHAnsi" w:cstheme="minorHAnsi"/>
          <w:lang w:val="en" w:bidi="en-US"/>
        </w:rPr>
        <w:t xml:space="preserve"> </w:t>
      </w:r>
      <w:r w:rsidR="00891FAD">
        <w:rPr>
          <w:rFonts w:asciiTheme="minorHAnsi" w:hAnsiTheme="minorHAnsi" w:cstheme="minorHAnsi"/>
          <w:lang w:val="en" w:bidi="en-US"/>
        </w:rPr>
        <w:t>scheduled</w:t>
      </w:r>
      <w:r w:rsidR="00891FAD" w:rsidRPr="00891FAD">
        <w:rPr>
          <w:rFonts w:asciiTheme="minorHAnsi" w:hAnsiTheme="minorHAnsi" w:cstheme="minorHAnsi"/>
          <w:lang w:val="en" w:bidi="en-US"/>
        </w:rPr>
        <w:t xml:space="preserve"> deliverables</w:t>
      </w:r>
      <w:r w:rsidR="00891FAD">
        <w:rPr>
          <w:rFonts w:asciiTheme="minorHAnsi" w:hAnsiTheme="minorHAnsi" w:cstheme="minorHAnsi"/>
          <w:lang w:val="en" w:bidi="en-US"/>
        </w:rPr>
        <w:t xml:space="preserve">. </w:t>
      </w:r>
      <w:r w:rsidR="00654856">
        <w:rPr>
          <w:rFonts w:asciiTheme="minorHAnsi" w:hAnsiTheme="minorHAnsi" w:cstheme="minorHAnsi"/>
          <w:lang w:val="en" w:bidi="en-US"/>
        </w:rPr>
        <w:t>The</w:t>
      </w:r>
      <w:r w:rsidR="00891FAD">
        <w:rPr>
          <w:rFonts w:asciiTheme="minorHAnsi" w:hAnsiTheme="minorHAnsi" w:cstheme="minorHAnsi"/>
          <w:lang w:val="en" w:bidi="en-US"/>
        </w:rPr>
        <w:t xml:space="preserve"> process continue</w:t>
      </w:r>
      <w:r w:rsidR="00552C12">
        <w:rPr>
          <w:rFonts w:asciiTheme="minorHAnsi" w:hAnsiTheme="minorHAnsi" w:cstheme="minorHAnsi"/>
          <w:lang w:val="en" w:bidi="en-US"/>
        </w:rPr>
        <w:t>d</w:t>
      </w:r>
      <w:r w:rsidR="00891FAD">
        <w:rPr>
          <w:rFonts w:asciiTheme="minorHAnsi" w:hAnsiTheme="minorHAnsi" w:cstheme="minorHAnsi"/>
          <w:lang w:val="en" w:bidi="en-US"/>
        </w:rPr>
        <w:t xml:space="preserve"> </w:t>
      </w:r>
      <w:r w:rsidR="00891FAD" w:rsidRPr="00891FAD">
        <w:rPr>
          <w:rFonts w:asciiTheme="minorHAnsi" w:hAnsiTheme="minorHAnsi" w:cstheme="minorHAnsi"/>
          <w:lang w:val="en" w:bidi="en-US"/>
        </w:rPr>
        <w:t xml:space="preserve">at a slower pace </w:t>
      </w:r>
      <w:r w:rsidR="00552C12">
        <w:rPr>
          <w:rFonts w:asciiTheme="minorHAnsi" w:hAnsiTheme="minorHAnsi" w:cstheme="minorHAnsi"/>
          <w:lang w:val="en" w:bidi="en-US"/>
        </w:rPr>
        <w:t xml:space="preserve">than originally planned. </w:t>
      </w:r>
    </w:p>
    <w:p w14:paraId="04E9BA00" w14:textId="77EEDD1B" w:rsidR="00DA2924" w:rsidRPr="00DA2924" w:rsidRDefault="00EE232B" w:rsidP="00D80344">
      <w:pPr>
        <w:numPr>
          <w:ilvl w:val="0"/>
          <w:numId w:val="3"/>
        </w:numPr>
        <w:pBdr>
          <w:top w:val="nil"/>
          <w:left w:val="nil"/>
          <w:bottom w:val="nil"/>
          <w:right w:val="nil"/>
          <w:between w:val="nil"/>
        </w:pBdr>
        <w:tabs>
          <w:tab w:val="left" w:pos="284"/>
        </w:tabs>
        <w:spacing w:after="120" w:line="240" w:lineRule="auto"/>
        <w:jc w:val="both"/>
        <w:rPr>
          <w:rFonts w:asciiTheme="minorHAnsi" w:eastAsia="Segoe UI" w:hAnsiTheme="minorHAnsi" w:cstheme="minorHAnsi"/>
          <w:lang w:eastAsia="en-US" w:bidi="en-US"/>
        </w:rPr>
      </w:pPr>
      <w:r w:rsidRPr="00B91AD6">
        <w:rPr>
          <w:rFonts w:asciiTheme="minorHAnsi" w:eastAsia="Segoe UI" w:hAnsiTheme="minorHAnsi" w:cstheme="minorHAnsi"/>
          <w:lang w:eastAsia="en-US" w:bidi="en-US"/>
        </w:rPr>
        <w:t>Virtual interviews w</w:t>
      </w:r>
      <w:r w:rsidR="00891FAD">
        <w:rPr>
          <w:rFonts w:asciiTheme="minorHAnsi" w:eastAsia="Segoe UI" w:hAnsiTheme="minorHAnsi" w:cstheme="minorHAnsi"/>
          <w:lang w:eastAsia="en-US" w:bidi="en-US"/>
        </w:rPr>
        <w:t>ere conducted starting in August 2021.</w:t>
      </w:r>
      <w:r w:rsidRPr="00B91AD6">
        <w:rPr>
          <w:rFonts w:asciiTheme="minorHAnsi" w:eastAsia="Segoe UI" w:hAnsiTheme="minorHAnsi" w:cstheme="minorHAnsi"/>
          <w:lang w:eastAsia="en-US" w:bidi="en-US"/>
        </w:rPr>
        <w:t xml:space="preserve"> </w:t>
      </w:r>
      <w:r w:rsidR="00DA2924" w:rsidRPr="00DA2924">
        <w:rPr>
          <w:rFonts w:asciiTheme="minorHAnsi" w:eastAsia="Segoe UI" w:hAnsiTheme="minorHAnsi" w:cstheme="minorHAnsi"/>
          <w:lang w:eastAsia="en-US" w:bidi="en-US"/>
        </w:rPr>
        <w:t>“</w:t>
      </w:r>
      <w:r w:rsidR="00DA2924">
        <w:rPr>
          <w:rFonts w:asciiTheme="minorHAnsi" w:eastAsia="Segoe UI" w:hAnsiTheme="minorHAnsi" w:cstheme="minorHAnsi"/>
          <w:lang w:eastAsia="en-US" w:bidi="en-US"/>
        </w:rPr>
        <w:t>Z</w:t>
      </w:r>
      <w:r w:rsidR="00DA2924" w:rsidRPr="00DA2924">
        <w:rPr>
          <w:rFonts w:asciiTheme="minorHAnsi" w:eastAsia="Segoe UI" w:hAnsiTheme="minorHAnsi" w:cstheme="minorHAnsi"/>
          <w:lang w:eastAsia="en-US" w:bidi="en-US"/>
        </w:rPr>
        <w:t>oom” fatigue was an issue. A limited number of key actors never responded to the team´s request for interviews: Meanwhile other representatives of the same organizations did participate at the country-level and eventually filled-in the gaps in information. These required more time</w:t>
      </w:r>
      <w:r w:rsidR="00DA2924">
        <w:rPr>
          <w:rFonts w:asciiTheme="minorHAnsi" w:eastAsia="Segoe UI" w:hAnsiTheme="minorHAnsi" w:cstheme="minorHAnsi"/>
          <w:lang w:eastAsia="en-US" w:bidi="en-US"/>
        </w:rPr>
        <w:t xml:space="preserve"> than expected</w:t>
      </w:r>
      <w:r w:rsidR="00DA2924" w:rsidRPr="00DA2924">
        <w:rPr>
          <w:rFonts w:asciiTheme="minorHAnsi" w:eastAsia="Segoe UI" w:hAnsiTheme="minorHAnsi" w:cstheme="minorHAnsi"/>
          <w:lang w:eastAsia="en-US" w:bidi="en-US"/>
        </w:rPr>
        <w:t xml:space="preserve"> to schedule, manage and process and reschedule than an in-person proceedure. The process was </w:t>
      </w:r>
      <w:r w:rsidR="00BF7349">
        <w:rPr>
          <w:rFonts w:asciiTheme="minorHAnsi" w:eastAsia="Segoe UI" w:hAnsiTheme="minorHAnsi" w:cstheme="minorHAnsi"/>
          <w:lang w:eastAsia="en-US" w:bidi="en-US"/>
        </w:rPr>
        <w:t xml:space="preserve">eventually </w:t>
      </w:r>
      <w:r w:rsidR="00DA2924" w:rsidRPr="00DA2924">
        <w:rPr>
          <w:rFonts w:asciiTheme="minorHAnsi" w:eastAsia="Segoe UI" w:hAnsiTheme="minorHAnsi" w:cstheme="minorHAnsi"/>
          <w:lang w:eastAsia="en-US" w:bidi="en-US"/>
        </w:rPr>
        <w:t xml:space="preserve">completed to the satisfaction of the evaluators.  </w:t>
      </w:r>
    </w:p>
    <w:p w14:paraId="7F027590" w14:textId="77891B75" w:rsidR="00552C12" w:rsidRDefault="00654856" w:rsidP="00D80344">
      <w:pPr>
        <w:numPr>
          <w:ilvl w:val="0"/>
          <w:numId w:val="3"/>
        </w:numPr>
        <w:pBdr>
          <w:top w:val="nil"/>
          <w:left w:val="nil"/>
          <w:bottom w:val="nil"/>
          <w:right w:val="nil"/>
          <w:between w:val="nil"/>
        </w:pBdr>
        <w:tabs>
          <w:tab w:val="left" w:pos="284"/>
        </w:tabs>
        <w:spacing w:after="120" w:line="240" w:lineRule="auto"/>
        <w:jc w:val="both"/>
        <w:rPr>
          <w:rFonts w:asciiTheme="minorHAnsi" w:eastAsia="Segoe UI" w:hAnsiTheme="minorHAnsi" w:cstheme="minorHAnsi"/>
          <w:lang w:eastAsia="en-US" w:bidi="en-US"/>
        </w:rPr>
      </w:pPr>
      <w:r w:rsidRPr="00B91AD6">
        <w:rPr>
          <w:rFonts w:asciiTheme="minorHAnsi" w:eastAsia="Segoe UI" w:hAnsiTheme="minorHAnsi" w:cstheme="minorHAnsi"/>
          <w:lang w:eastAsia="en-US" w:bidi="en-US"/>
        </w:rPr>
        <w:t xml:space="preserve">The evaluation </w:t>
      </w:r>
      <w:r>
        <w:rPr>
          <w:rFonts w:asciiTheme="minorHAnsi" w:eastAsia="Segoe UI" w:hAnsiTheme="minorHAnsi" w:cstheme="minorHAnsi"/>
          <w:lang w:eastAsia="en-US" w:bidi="en-US"/>
        </w:rPr>
        <w:t>was</w:t>
      </w:r>
      <w:r w:rsidRPr="00B91AD6">
        <w:rPr>
          <w:rFonts w:asciiTheme="minorHAnsi" w:eastAsia="Segoe UI" w:hAnsiTheme="minorHAnsi" w:cstheme="minorHAnsi"/>
          <w:lang w:eastAsia="en-US" w:bidi="en-US"/>
        </w:rPr>
        <w:t xml:space="preserve"> launched during vacation season</w:t>
      </w:r>
      <w:r>
        <w:rPr>
          <w:rFonts w:asciiTheme="minorHAnsi" w:eastAsia="Segoe UI" w:hAnsiTheme="minorHAnsi" w:cstheme="minorHAnsi"/>
          <w:lang w:eastAsia="en-US" w:bidi="en-US"/>
        </w:rPr>
        <w:t xml:space="preserve"> causing a</w:t>
      </w:r>
      <w:r w:rsidRPr="00B91AD6">
        <w:rPr>
          <w:rFonts w:asciiTheme="minorHAnsi" w:eastAsia="Segoe UI" w:hAnsiTheme="minorHAnsi" w:cstheme="minorHAnsi"/>
          <w:lang w:eastAsia="en-US" w:bidi="en-US"/>
        </w:rPr>
        <w:t>vailability</w:t>
      </w:r>
      <w:r>
        <w:rPr>
          <w:rFonts w:asciiTheme="minorHAnsi" w:eastAsia="Segoe UI" w:hAnsiTheme="minorHAnsi" w:cstheme="minorHAnsi"/>
          <w:lang w:eastAsia="en-US" w:bidi="en-US"/>
        </w:rPr>
        <w:t xml:space="preserve"> problems for many participants. Slight delays resulted. The evaluation team is grateful to the many that participated during their annual leave</w:t>
      </w:r>
      <w:r w:rsidR="00DA2924">
        <w:rPr>
          <w:rFonts w:asciiTheme="minorHAnsi" w:eastAsia="Segoe UI" w:hAnsiTheme="minorHAnsi" w:cstheme="minorHAnsi"/>
          <w:lang w:eastAsia="en-US" w:bidi="en-US"/>
        </w:rPr>
        <w:t>.</w:t>
      </w:r>
    </w:p>
    <w:p w14:paraId="08C62383" w14:textId="77777777" w:rsidR="00891FAD" w:rsidRDefault="00891FAD" w:rsidP="00891FAD">
      <w:pPr>
        <w:pBdr>
          <w:top w:val="nil"/>
          <w:left w:val="nil"/>
          <w:bottom w:val="nil"/>
          <w:right w:val="nil"/>
          <w:between w:val="nil"/>
        </w:pBdr>
        <w:tabs>
          <w:tab w:val="left" w:pos="284"/>
        </w:tabs>
        <w:spacing w:after="120" w:line="240" w:lineRule="auto"/>
        <w:ind w:left="720"/>
        <w:jc w:val="both"/>
        <w:rPr>
          <w:rFonts w:asciiTheme="minorHAnsi" w:eastAsia="Segoe UI" w:hAnsiTheme="minorHAnsi" w:cstheme="minorHAnsi"/>
          <w:lang w:eastAsia="en-US" w:bidi="en-US"/>
        </w:rPr>
      </w:pPr>
    </w:p>
    <w:p w14:paraId="50768074" w14:textId="380FDA59" w:rsidR="001C1186" w:rsidRDefault="00DA75DB" w:rsidP="00DA75DB">
      <w:pPr>
        <w:pStyle w:val="Heading2"/>
        <w:rPr>
          <w:rFonts w:eastAsia="Times New Roman"/>
        </w:rPr>
      </w:pPr>
      <w:bookmarkStart w:id="22" w:name="_Toc96772466"/>
      <w:r>
        <w:rPr>
          <w:rFonts w:eastAsia="Times New Roman"/>
        </w:rPr>
        <w:lastRenderedPageBreak/>
        <w:t>2.</w:t>
      </w:r>
      <w:r w:rsidR="004D6F44">
        <w:rPr>
          <w:rFonts w:eastAsia="Times New Roman"/>
        </w:rPr>
        <w:t>5</w:t>
      </w:r>
      <w:r>
        <w:rPr>
          <w:rFonts w:eastAsia="Times New Roman"/>
        </w:rPr>
        <w:t xml:space="preserve"> </w:t>
      </w:r>
      <w:r w:rsidR="001C1186" w:rsidRPr="001C1186">
        <w:rPr>
          <w:rFonts w:eastAsia="Times New Roman"/>
        </w:rPr>
        <w:t>Structure of the TE</w:t>
      </w:r>
      <w:r w:rsidR="001C1186" w:rsidRPr="001C1186">
        <w:rPr>
          <w:rFonts w:eastAsia="Times New Roman"/>
          <w:spacing w:val="-2"/>
        </w:rPr>
        <w:t xml:space="preserve"> </w:t>
      </w:r>
      <w:r w:rsidR="001C1186" w:rsidRPr="001C1186">
        <w:rPr>
          <w:rFonts w:eastAsia="Times New Roman"/>
        </w:rPr>
        <w:t>report</w:t>
      </w:r>
      <w:bookmarkEnd w:id="22"/>
    </w:p>
    <w:p w14:paraId="64C254AC" w14:textId="2DA406E7" w:rsidR="00846B7C" w:rsidRPr="00846B7C" w:rsidRDefault="002960EC" w:rsidP="002F6C83">
      <w:pPr>
        <w:tabs>
          <w:tab w:val="left" w:pos="860"/>
          <w:tab w:val="left" w:pos="861"/>
        </w:tabs>
        <w:spacing w:before="242"/>
        <w:jc w:val="both"/>
        <w:rPr>
          <w:rFonts w:asciiTheme="minorHAnsi" w:hAnsiTheme="minorHAnsi" w:cstheme="minorHAnsi"/>
        </w:rPr>
      </w:pPr>
      <w:r w:rsidRPr="00222D15">
        <w:rPr>
          <w:rFonts w:asciiTheme="minorHAnsi" w:hAnsiTheme="minorHAnsi" w:cstheme="minorHAnsi"/>
        </w:rPr>
        <w:t xml:space="preserve">The structure of the TE report follows </w:t>
      </w:r>
      <w:r w:rsidR="00BF7349">
        <w:rPr>
          <w:rFonts w:asciiTheme="minorHAnsi" w:hAnsiTheme="minorHAnsi" w:cstheme="minorHAnsi"/>
        </w:rPr>
        <w:t>UNDP-</w:t>
      </w:r>
      <w:r w:rsidRPr="00222D15">
        <w:rPr>
          <w:rFonts w:asciiTheme="minorHAnsi" w:hAnsiTheme="minorHAnsi" w:cstheme="minorHAnsi"/>
        </w:rPr>
        <w:t>GEF guidelines</w:t>
      </w:r>
      <w:r w:rsidR="00370D2D">
        <w:rPr>
          <w:rFonts w:asciiTheme="minorHAnsi" w:hAnsiTheme="minorHAnsi" w:cstheme="minorHAnsi"/>
        </w:rPr>
        <w:t xml:space="preserve"> and is presented in the following three categories: </w:t>
      </w:r>
      <w:r w:rsidRPr="00222D15">
        <w:rPr>
          <w:rFonts w:asciiTheme="minorHAnsi" w:hAnsiTheme="minorHAnsi" w:cstheme="minorHAnsi"/>
        </w:rPr>
        <w:t>(</w:t>
      </w:r>
      <w:r w:rsidR="00A12835">
        <w:rPr>
          <w:rFonts w:asciiTheme="minorHAnsi" w:hAnsiTheme="minorHAnsi" w:cstheme="minorHAnsi"/>
        </w:rPr>
        <w:t>a</w:t>
      </w:r>
      <w:r w:rsidRPr="00222D15">
        <w:t xml:space="preserve">) </w:t>
      </w:r>
      <w:r w:rsidR="00222D15" w:rsidRPr="00222D15">
        <w:t>Project Design/Formulation</w:t>
      </w:r>
      <w:r w:rsidR="00222D15">
        <w:t xml:space="preserve">, </w:t>
      </w:r>
      <w:r w:rsidR="00222D15" w:rsidRPr="002960EC">
        <w:rPr>
          <w:rFonts w:asciiTheme="minorHAnsi" w:hAnsiTheme="minorHAnsi" w:cstheme="minorHAnsi"/>
          <w:spacing w:val="-10"/>
        </w:rPr>
        <w:t>(</w:t>
      </w:r>
      <w:r w:rsidR="00A12835">
        <w:rPr>
          <w:rFonts w:asciiTheme="minorHAnsi" w:hAnsiTheme="minorHAnsi" w:cstheme="minorHAnsi"/>
          <w:spacing w:val="-10"/>
        </w:rPr>
        <w:t>b</w:t>
      </w:r>
      <w:r w:rsidRPr="002960EC">
        <w:rPr>
          <w:rFonts w:asciiTheme="minorHAnsi" w:hAnsiTheme="minorHAnsi" w:cstheme="minorHAnsi"/>
        </w:rPr>
        <w:t>)</w:t>
      </w:r>
      <w:r w:rsidRPr="002960EC">
        <w:rPr>
          <w:rFonts w:asciiTheme="minorHAnsi" w:hAnsiTheme="minorHAnsi" w:cstheme="minorHAnsi"/>
          <w:spacing w:val="-9"/>
        </w:rPr>
        <w:t xml:space="preserve"> </w:t>
      </w:r>
      <w:r w:rsidR="00222D15" w:rsidRPr="00222D15">
        <w:t>Project Implementation</w:t>
      </w:r>
      <w:r w:rsidR="00222D15">
        <w:t xml:space="preserve">, and </w:t>
      </w:r>
      <w:r w:rsidR="00222D15">
        <w:rPr>
          <w:rFonts w:asciiTheme="minorHAnsi" w:hAnsiTheme="minorHAnsi" w:cstheme="minorHAnsi"/>
        </w:rPr>
        <w:t>(</w:t>
      </w:r>
      <w:r w:rsidR="00A12835">
        <w:rPr>
          <w:rFonts w:asciiTheme="minorHAnsi" w:hAnsiTheme="minorHAnsi" w:cstheme="minorHAnsi"/>
        </w:rPr>
        <w:t>c</w:t>
      </w:r>
      <w:r w:rsidRPr="002960EC">
        <w:rPr>
          <w:rFonts w:asciiTheme="minorHAnsi" w:hAnsiTheme="minorHAnsi" w:cstheme="minorHAnsi"/>
        </w:rPr>
        <w:t xml:space="preserve">) </w:t>
      </w:r>
      <w:r w:rsidR="00222D15" w:rsidRPr="00222D15">
        <w:t xml:space="preserve">Project </w:t>
      </w:r>
      <w:r w:rsidR="007B0011" w:rsidRPr="00222D15">
        <w:t>Results</w:t>
      </w:r>
      <w:r w:rsidR="00BF7349">
        <w:t xml:space="preserve"> with required criteria </w:t>
      </w:r>
      <w:r w:rsidR="008873E4" w:rsidRPr="008873E4">
        <w:t>e.g. Relevance, Effectiveness, Efficiency, Sustainability, Gender equality</w:t>
      </w:r>
      <w:r w:rsidR="008873E4">
        <w:t xml:space="preserve">, </w:t>
      </w:r>
      <w:r w:rsidR="008873E4" w:rsidRPr="008873E4">
        <w:t>Long-Term Impact</w:t>
      </w:r>
      <w:r w:rsidR="008873E4">
        <w:t xml:space="preserve"> and a </w:t>
      </w:r>
      <w:r w:rsidR="008873E4" w:rsidRPr="008873E4">
        <w:t xml:space="preserve">list of conclusion, recommendations and lessons learned. </w:t>
      </w:r>
      <w:r w:rsidR="008873E4">
        <w:t xml:space="preserve">A </w:t>
      </w:r>
      <w:hyperlink w:anchor="_Annex_10._TE" w:history="1">
        <w:r w:rsidR="008873E4" w:rsidRPr="00FC5A0E">
          <w:rPr>
            <w:rStyle w:val="Hyperlink"/>
          </w:rPr>
          <w:t>Summary Table</w:t>
        </w:r>
      </w:hyperlink>
      <w:r w:rsidR="008D2F5D">
        <w:t xml:space="preserve"> of Criteria by Component</w:t>
      </w:r>
      <w:r w:rsidR="008873E4">
        <w:t xml:space="preserve"> is included in </w:t>
      </w:r>
      <w:hyperlink w:anchor="_Annex_10._TE" w:history="1">
        <w:r w:rsidR="008873E4" w:rsidRPr="007C310D">
          <w:rPr>
            <w:rStyle w:val="Hyperlink"/>
          </w:rPr>
          <w:t xml:space="preserve">Annex </w:t>
        </w:r>
        <w:r w:rsidR="008D2F5D" w:rsidRPr="007C310D">
          <w:rPr>
            <w:rStyle w:val="Hyperlink"/>
          </w:rPr>
          <w:t>10</w:t>
        </w:r>
      </w:hyperlink>
      <w:r w:rsidR="008873E4">
        <w:t xml:space="preserve"> </w:t>
      </w:r>
    </w:p>
    <w:p w14:paraId="178A3EC8" w14:textId="2D973069" w:rsidR="00D144AC" w:rsidRDefault="00D144AC" w:rsidP="00846B7C">
      <w:pPr>
        <w:rPr>
          <w:rFonts w:asciiTheme="minorHAnsi" w:hAnsiTheme="minorHAnsi" w:cstheme="minorHAnsi"/>
        </w:rPr>
      </w:pPr>
    </w:p>
    <w:p w14:paraId="42E0197B" w14:textId="0AD888A5" w:rsidR="00D00D6D" w:rsidRPr="00403AE1" w:rsidRDefault="00D00D6D" w:rsidP="00D80344">
      <w:pPr>
        <w:pStyle w:val="Heading1"/>
        <w:numPr>
          <w:ilvl w:val="0"/>
          <w:numId w:val="5"/>
        </w:numPr>
        <w:ind w:left="540" w:hanging="540"/>
        <w:rPr>
          <w:sz w:val="28"/>
          <w:szCs w:val="28"/>
        </w:rPr>
      </w:pPr>
      <w:bookmarkStart w:id="23" w:name="_TOC_250013"/>
      <w:bookmarkStart w:id="24" w:name="_Toc96772467"/>
      <w:r w:rsidRPr="00B07C1D">
        <w:rPr>
          <w:rFonts w:asciiTheme="minorHAnsi" w:hAnsiTheme="minorHAnsi" w:cstheme="minorHAnsi"/>
          <w:sz w:val="28"/>
          <w:szCs w:val="28"/>
        </w:rPr>
        <w:t>Project</w:t>
      </w:r>
      <w:r w:rsidRPr="00403AE1">
        <w:rPr>
          <w:sz w:val="28"/>
          <w:szCs w:val="28"/>
        </w:rPr>
        <w:t xml:space="preserve"> </w:t>
      </w:r>
      <w:bookmarkEnd w:id="23"/>
      <w:r w:rsidRPr="00D144AC">
        <w:rPr>
          <w:rFonts w:asciiTheme="minorHAnsi" w:hAnsiTheme="minorHAnsi" w:cstheme="minorHAnsi"/>
          <w:sz w:val="28"/>
          <w:szCs w:val="28"/>
        </w:rPr>
        <w:t>Description</w:t>
      </w:r>
      <w:bookmarkEnd w:id="24"/>
    </w:p>
    <w:p w14:paraId="2C97A095" w14:textId="4FF84460" w:rsidR="00D4678A" w:rsidRDefault="00D4678A" w:rsidP="00BA2312"/>
    <w:p w14:paraId="19C364E7" w14:textId="22FFB6AB" w:rsidR="00466A23" w:rsidRPr="00403AE1" w:rsidRDefault="00466A23" w:rsidP="00466A23">
      <w:pPr>
        <w:pStyle w:val="Heading2"/>
        <w:rPr>
          <w:rFonts w:ascii="Calibri" w:hAnsi="Calibri" w:cs="Calibri"/>
          <w:sz w:val="24"/>
          <w:szCs w:val="24"/>
        </w:rPr>
      </w:pPr>
      <w:bookmarkStart w:id="25" w:name="_Toc96772468"/>
      <w:r w:rsidRPr="00403AE1">
        <w:rPr>
          <w:rFonts w:ascii="Calibri" w:hAnsi="Calibri" w:cs="Calibri"/>
          <w:sz w:val="24"/>
          <w:szCs w:val="24"/>
        </w:rPr>
        <w:t>3.1</w:t>
      </w:r>
      <w:r w:rsidRPr="00403AE1">
        <w:rPr>
          <w:rFonts w:ascii="Calibri" w:hAnsi="Calibri" w:cs="Calibri"/>
          <w:sz w:val="24"/>
          <w:szCs w:val="24"/>
        </w:rPr>
        <w:tab/>
        <w:t>Project Start and Duration</w:t>
      </w:r>
      <w:bookmarkEnd w:id="25"/>
    </w:p>
    <w:p w14:paraId="63338456" w14:textId="77777777" w:rsidR="00403AE1" w:rsidRDefault="00403AE1" w:rsidP="008D2A2B">
      <w:pPr>
        <w:spacing w:after="120" w:line="240" w:lineRule="auto"/>
        <w:jc w:val="both"/>
      </w:pPr>
    </w:p>
    <w:p w14:paraId="2FDBB70C" w14:textId="20F1A920" w:rsidR="009D6EA6" w:rsidRDefault="00312A94" w:rsidP="009D6EA6">
      <w:pPr>
        <w:jc w:val="both"/>
      </w:pPr>
      <w:r w:rsidRPr="00D4678A">
        <w:t xml:space="preserve">The project received CEO endorsement in December 2016 </w:t>
      </w:r>
      <w:r w:rsidR="00FC5A0E">
        <w:t>with an End-of-Project (EOP) date of</w:t>
      </w:r>
      <w:r w:rsidRPr="00D4678A">
        <w:t xml:space="preserve"> </w:t>
      </w:r>
      <w:r>
        <w:t xml:space="preserve">December </w:t>
      </w:r>
      <w:r w:rsidRPr="00D4678A">
        <w:t>2020.</w:t>
      </w:r>
      <w:r w:rsidR="002B54D7" w:rsidRPr="002B54D7">
        <w:t xml:space="preserve"> </w:t>
      </w:r>
      <w:r w:rsidR="002B54D7">
        <w:t xml:space="preserve">Although the ProDoc was signed in March 2017, the official launch of the project </w:t>
      </w:r>
      <w:r w:rsidR="00FC5A0E">
        <w:t xml:space="preserve">and hiring of the Project Manager </w:t>
      </w:r>
      <w:r w:rsidR="002B54D7">
        <w:t>was not until September 2017</w:t>
      </w:r>
      <w:r w:rsidR="00FC5A0E">
        <w:t xml:space="preserve">. </w:t>
      </w:r>
      <w:r w:rsidR="002B54D7">
        <w:t>The inception workshop for the UNDP managed components of the A&amp;L took place in November 2017, within three months of the</w:t>
      </w:r>
      <w:r w:rsidR="00B15FFE">
        <w:t xml:space="preserve"> Project’s launch</w:t>
      </w:r>
      <w:r w:rsidR="002B54D7">
        <w:t xml:space="preserve">. The inception workshop for Component 2, </w:t>
      </w:r>
      <w:r w:rsidR="00B15FFE">
        <w:t>implemented</w:t>
      </w:r>
      <w:r w:rsidR="002B54D7">
        <w:t xml:space="preserve"> by WWF-US and </w:t>
      </w:r>
      <w:r w:rsidR="00B15FFE">
        <w:t>executed by the</w:t>
      </w:r>
      <w:r w:rsidR="002B54D7">
        <w:t xml:space="preserve"> ISEAL Alliance, was held in April 2017 alongside the inception workshop for the Demand project, also led by WWF-US.</w:t>
      </w:r>
      <w:r w:rsidR="009D6EA6">
        <w:t xml:space="preserve"> </w:t>
      </w:r>
      <w:r w:rsidR="007C00A6" w:rsidRPr="007C00A6">
        <w:rPr>
          <w:rFonts w:asciiTheme="minorHAnsi" w:hAnsiTheme="minorHAnsi" w:cstheme="minorHAnsi"/>
        </w:rPr>
        <w:t xml:space="preserve">The Mid-term review </w:t>
      </w:r>
      <w:r w:rsidR="002A2E19">
        <w:rPr>
          <w:rFonts w:asciiTheme="minorHAnsi" w:hAnsiTheme="minorHAnsi" w:cstheme="minorHAnsi"/>
        </w:rPr>
        <w:t xml:space="preserve">was completed on December 31, 2019. </w:t>
      </w:r>
      <w:r w:rsidR="00361A92">
        <w:rPr>
          <w:rFonts w:asciiTheme="minorHAnsi" w:hAnsiTheme="minorHAnsi" w:cstheme="minorHAnsi"/>
        </w:rPr>
        <w:t xml:space="preserve">The project board was granted a no-cost project extension from March 2021 until December 2021. in lieu of </w:t>
      </w:r>
      <w:r w:rsidR="009D6EA6">
        <w:t xml:space="preserve">the </w:t>
      </w:r>
      <w:r w:rsidR="00EE15E1">
        <w:t>late</w:t>
      </w:r>
      <w:r w:rsidR="009D6EA6">
        <w:t xml:space="preserve"> project start, the complexity of the programme and </w:t>
      </w:r>
      <w:r w:rsidR="00EE15E1">
        <w:t xml:space="preserve">the </w:t>
      </w:r>
      <w:r w:rsidR="009D6EA6">
        <w:t>dependencies on other child projects to achieve some of its Objective and Outcome Level Indicators</w:t>
      </w:r>
      <w:r w:rsidR="00361A92">
        <w:t xml:space="preserve">. A second extension until the end of March 2022 was granted in response to </w:t>
      </w:r>
      <w:r w:rsidR="009D6EA6">
        <w:t xml:space="preserve">further delays and uncertainties related to the COVID-19 </w:t>
      </w:r>
      <w:r w:rsidR="00361A92">
        <w:t xml:space="preserve">pandemic. </w:t>
      </w:r>
    </w:p>
    <w:p w14:paraId="432C37DE" w14:textId="3EFEE94D" w:rsidR="002B54D7" w:rsidRDefault="002B54D7" w:rsidP="007C00A6">
      <w:pPr>
        <w:jc w:val="both"/>
        <w:rPr>
          <w:rFonts w:asciiTheme="minorHAnsi" w:hAnsiTheme="minorHAnsi" w:cstheme="minorHAnsi"/>
        </w:rPr>
      </w:pPr>
    </w:p>
    <w:p w14:paraId="53E6C66A" w14:textId="5697100B" w:rsidR="002A2E19" w:rsidRDefault="002A2E19" w:rsidP="002A2E19">
      <w:pPr>
        <w:pStyle w:val="Heading2"/>
      </w:pPr>
      <w:bookmarkStart w:id="26" w:name="_Toc96772469"/>
      <w:r>
        <w:t>3.2 Development Context</w:t>
      </w:r>
      <w:bookmarkEnd w:id="26"/>
    </w:p>
    <w:p w14:paraId="318FF87D" w14:textId="5A7949AB" w:rsidR="002A2E19" w:rsidRDefault="002A2E19" w:rsidP="00B15FFE">
      <w:pPr>
        <w:spacing w:after="120" w:line="240" w:lineRule="auto"/>
        <w:jc w:val="both"/>
        <w:rPr>
          <w:rFonts w:asciiTheme="minorHAnsi" w:hAnsiTheme="minorHAnsi" w:cstheme="minorHAnsi"/>
        </w:rPr>
      </w:pPr>
    </w:p>
    <w:p w14:paraId="4BEB9C28" w14:textId="5977270C" w:rsidR="00CB295E" w:rsidRPr="00CB295E" w:rsidRDefault="00CB295E" w:rsidP="00CB295E">
      <w:pPr>
        <w:jc w:val="both"/>
        <w:rPr>
          <w:rFonts w:asciiTheme="minorHAnsi" w:hAnsiTheme="minorHAnsi" w:cstheme="minorHAnsi"/>
        </w:rPr>
      </w:pPr>
      <w:r w:rsidRPr="00CB295E">
        <w:rPr>
          <w:rFonts w:asciiTheme="minorHAnsi" w:hAnsiTheme="minorHAnsi" w:cstheme="minorHAnsi"/>
        </w:rPr>
        <w:t xml:space="preserve">Soy, beef, and palm oil and derivatives are consumed by billions of people through global commodity trade. While important factors in many national economies, </w:t>
      </w:r>
      <w:r w:rsidR="007001DF">
        <w:rPr>
          <w:rFonts w:asciiTheme="minorHAnsi" w:hAnsiTheme="minorHAnsi" w:cstheme="minorHAnsi"/>
        </w:rPr>
        <w:t xml:space="preserve">agricultural expansion and land conversion </w:t>
      </w:r>
      <w:r w:rsidRPr="00CB295E">
        <w:rPr>
          <w:rFonts w:asciiTheme="minorHAnsi" w:hAnsiTheme="minorHAnsi" w:cstheme="minorHAnsi"/>
        </w:rPr>
        <w:t xml:space="preserve">are </w:t>
      </w:r>
      <w:r w:rsidR="007001DF" w:rsidRPr="007001DF">
        <w:rPr>
          <w:rFonts w:asciiTheme="minorHAnsi" w:hAnsiTheme="minorHAnsi" w:cstheme="minorHAnsi"/>
        </w:rPr>
        <w:t>identified as the primary driver of approximately 80 % of deforestation worldwide</w:t>
      </w:r>
      <w:r w:rsidR="007001DF">
        <w:rPr>
          <w:rFonts w:asciiTheme="minorHAnsi" w:hAnsiTheme="minorHAnsi" w:cstheme="minorHAnsi"/>
        </w:rPr>
        <w:t>. The demand for these commodities is increasing due to a</w:t>
      </w:r>
      <w:r w:rsidRPr="00CB295E">
        <w:rPr>
          <w:rFonts w:asciiTheme="minorHAnsi" w:hAnsiTheme="minorHAnsi" w:cstheme="minorHAnsi"/>
        </w:rPr>
        <w:t xml:space="preserve"> growing population, economic growth and changing diets</w:t>
      </w:r>
      <w:r w:rsidR="007001DF">
        <w:rPr>
          <w:rFonts w:asciiTheme="minorHAnsi" w:hAnsiTheme="minorHAnsi" w:cstheme="minorHAnsi"/>
        </w:rPr>
        <w:t xml:space="preserve">. </w:t>
      </w:r>
      <w:r w:rsidRPr="00CB295E">
        <w:rPr>
          <w:rFonts w:asciiTheme="minorHAnsi" w:hAnsiTheme="minorHAnsi" w:cstheme="minorHAnsi"/>
        </w:rPr>
        <w:t>Therefore, the Global Environment Facility (GEF) states: “</w:t>
      </w:r>
      <w:r w:rsidRPr="00B727D0">
        <w:rPr>
          <w:rFonts w:asciiTheme="minorHAnsi" w:hAnsiTheme="minorHAnsi" w:cstheme="minorHAnsi"/>
          <w:i/>
          <w:iCs/>
        </w:rPr>
        <w:t xml:space="preserve">sustainability within these commodities will only be reached by linking long-term national sustainable development plans with day-to-day value chain </w:t>
      </w:r>
      <w:r w:rsidR="00D144AC" w:rsidRPr="00B727D0">
        <w:rPr>
          <w:rFonts w:asciiTheme="minorHAnsi" w:hAnsiTheme="minorHAnsi" w:cstheme="minorHAnsi"/>
          <w:i/>
          <w:iCs/>
        </w:rPr>
        <w:t>management.</w:t>
      </w:r>
      <w:r w:rsidRPr="00CB295E">
        <w:rPr>
          <w:rFonts w:asciiTheme="minorHAnsi" w:hAnsiTheme="minorHAnsi" w:cstheme="minorHAnsi"/>
        </w:rPr>
        <w:t>” Soy, beef and palm oil are particular</w:t>
      </w:r>
      <w:r w:rsidR="00B727D0">
        <w:rPr>
          <w:rFonts w:asciiTheme="minorHAnsi" w:hAnsiTheme="minorHAnsi" w:cstheme="minorHAnsi"/>
        </w:rPr>
        <w:t>ly</w:t>
      </w:r>
      <w:r w:rsidRPr="00CB295E">
        <w:rPr>
          <w:rFonts w:asciiTheme="minorHAnsi" w:hAnsiTheme="minorHAnsi" w:cstheme="minorHAnsi"/>
        </w:rPr>
        <w:t xml:space="preserve"> importa</w:t>
      </w:r>
      <w:r w:rsidR="00B727D0">
        <w:rPr>
          <w:rFonts w:asciiTheme="minorHAnsi" w:hAnsiTheme="minorHAnsi" w:cstheme="minorHAnsi"/>
        </w:rPr>
        <w:t xml:space="preserve">nt </w:t>
      </w:r>
      <w:r w:rsidRPr="00CB295E">
        <w:rPr>
          <w:rFonts w:asciiTheme="minorHAnsi" w:hAnsiTheme="minorHAnsi" w:cstheme="minorHAnsi"/>
        </w:rPr>
        <w:t>for the GEF partnership due to the</w:t>
      </w:r>
      <w:r w:rsidR="00283C68">
        <w:rPr>
          <w:rFonts w:asciiTheme="minorHAnsi" w:hAnsiTheme="minorHAnsi" w:cstheme="minorHAnsi"/>
        </w:rPr>
        <w:t>ir</w:t>
      </w:r>
      <w:r w:rsidRPr="00CB295E">
        <w:rPr>
          <w:rFonts w:asciiTheme="minorHAnsi" w:hAnsiTheme="minorHAnsi" w:cstheme="minorHAnsi"/>
        </w:rPr>
        <w:t xml:space="preserve"> magnitude and </w:t>
      </w:r>
      <w:r w:rsidR="00283C68">
        <w:rPr>
          <w:rFonts w:asciiTheme="minorHAnsi" w:hAnsiTheme="minorHAnsi" w:cstheme="minorHAnsi"/>
        </w:rPr>
        <w:t xml:space="preserve">rapid </w:t>
      </w:r>
      <w:r w:rsidRPr="00CB295E">
        <w:rPr>
          <w:rFonts w:asciiTheme="minorHAnsi" w:hAnsiTheme="minorHAnsi" w:cstheme="minorHAnsi"/>
        </w:rPr>
        <w:t xml:space="preserve">expansion </w:t>
      </w:r>
      <w:r w:rsidR="00283C68">
        <w:rPr>
          <w:rFonts w:asciiTheme="minorHAnsi" w:hAnsiTheme="minorHAnsi" w:cstheme="minorHAnsi"/>
        </w:rPr>
        <w:t xml:space="preserve">within </w:t>
      </w:r>
      <w:r w:rsidRPr="00CB295E">
        <w:rPr>
          <w:rFonts w:asciiTheme="minorHAnsi" w:hAnsiTheme="minorHAnsi" w:cstheme="minorHAnsi"/>
        </w:rPr>
        <w:t xml:space="preserve">the tropical rain forests of Latin America, West Africa, and </w:t>
      </w:r>
      <w:r w:rsidR="00D144AC" w:rsidRPr="00CB295E">
        <w:rPr>
          <w:rFonts w:asciiTheme="minorHAnsi" w:hAnsiTheme="minorHAnsi" w:cstheme="minorHAnsi"/>
        </w:rPr>
        <w:t>Southeast</w:t>
      </w:r>
      <w:r w:rsidRPr="00CB295E">
        <w:rPr>
          <w:rFonts w:asciiTheme="minorHAnsi" w:hAnsiTheme="minorHAnsi" w:cstheme="minorHAnsi"/>
        </w:rPr>
        <w:t xml:space="preserve"> Asia</w:t>
      </w:r>
      <w:r w:rsidR="00283C68">
        <w:rPr>
          <w:rFonts w:asciiTheme="minorHAnsi" w:hAnsiTheme="minorHAnsi" w:cstheme="minorHAnsi"/>
        </w:rPr>
        <w:t xml:space="preserve"> exposing them to increased </w:t>
      </w:r>
      <w:r w:rsidR="00B727D0">
        <w:rPr>
          <w:rFonts w:asciiTheme="minorHAnsi" w:hAnsiTheme="minorHAnsi" w:cstheme="minorHAnsi"/>
        </w:rPr>
        <w:t xml:space="preserve">agricultural conversion causing ecosystem fragmentation, </w:t>
      </w:r>
      <w:r w:rsidR="00283C68">
        <w:rPr>
          <w:rFonts w:asciiTheme="minorHAnsi" w:hAnsiTheme="minorHAnsi" w:cstheme="minorHAnsi"/>
        </w:rPr>
        <w:t xml:space="preserve">loss and degradation of habitats supporting </w:t>
      </w:r>
      <w:r w:rsidR="0042328D">
        <w:rPr>
          <w:rFonts w:asciiTheme="minorHAnsi" w:hAnsiTheme="minorHAnsi" w:cstheme="minorHAnsi"/>
        </w:rPr>
        <w:t xml:space="preserve">critical ecosystem and species-level biodiversity, and </w:t>
      </w:r>
      <w:r w:rsidR="0030566A">
        <w:rPr>
          <w:rFonts w:asciiTheme="minorHAnsi" w:hAnsiTheme="minorHAnsi" w:cstheme="minorHAnsi"/>
        </w:rPr>
        <w:t xml:space="preserve">the </w:t>
      </w:r>
      <w:r w:rsidR="0042328D">
        <w:rPr>
          <w:rFonts w:asciiTheme="minorHAnsi" w:hAnsiTheme="minorHAnsi" w:cstheme="minorHAnsi"/>
        </w:rPr>
        <w:t>loss of carbon stocks</w:t>
      </w:r>
      <w:r w:rsidR="00B727D0">
        <w:rPr>
          <w:rFonts w:asciiTheme="minorHAnsi" w:hAnsiTheme="minorHAnsi" w:cstheme="minorHAnsi"/>
        </w:rPr>
        <w:t xml:space="preserve">, </w:t>
      </w:r>
      <w:r w:rsidR="0042328D">
        <w:rPr>
          <w:rFonts w:asciiTheme="minorHAnsi" w:hAnsiTheme="minorHAnsi" w:cstheme="minorHAnsi"/>
        </w:rPr>
        <w:t xml:space="preserve"> </w:t>
      </w:r>
      <w:r w:rsidRPr="00CB295E">
        <w:rPr>
          <w:rFonts w:asciiTheme="minorHAnsi" w:hAnsiTheme="minorHAnsi" w:cstheme="minorHAnsi"/>
        </w:rPr>
        <w:t>Production methods must, therefore, be reconciled with other societal objectives such as forest conservation, maintenance of ecosystem services, and climate regulation.</w:t>
      </w:r>
    </w:p>
    <w:p w14:paraId="50A77726" w14:textId="4BC21C10" w:rsidR="00DB4A7C" w:rsidRDefault="00CB295E" w:rsidP="007C00A6">
      <w:pPr>
        <w:jc w:val="both"/>
        <w:rPr>
          <w:rFonts w:asciiTheme="minorHAnsi" w:hAnsiTheme="minorHAnsi" w:cstheme="minorHAnsi"/>
        </w:rPr>
      </w:pPr>
      <w:r w:rsidRPr="00CB295E">
        <w:rPr>
          <w:rFonts w:asciiTheme="minorHAnsi" w:hAnsiTheme="minorHAnsi" w:cstheme="minorHAnsi"/>
        </w:rPr>
        <w:t>The expansion of commodity production and the associated deforestation is a result of complex national and international supply chains involving many actors</w:t>
      </w:r>
      <w:r w:rsidR="0046128C" w:rsidRPr="0046128C">
        <w:t xml:space="preserve"> </w:t>
      </w:r>
      <w:r w:rsidR="0046128C">
        <w:t xml:space="preserve">from </w:t>
      </w:r>
      <w:r w:rsidR="0046128C" w:rsidRPr="0046128C">
        <w:rPr>
          <w:rFonts w:asciiTheme="minorHAnsi" w:hAnsiTheme="minorHAnsi" w:cstheme="minorHAnsi"/>
        </w:rPr>
        <w:t xml:space="preserve">large and small- scale growers, traders, </w:t>
      </w:r>
      <w:r w:rsidR="0046128C" w:rsidRPr="0046128C">
        <w:rPr>
          <w:rFonts w:asciiTheme="minorHAnsi" w:hAnsiTheme="minorHAnsi" w:cstheme="minorHAnsi"/>
        </w:rPr>
        <w:lastRenderedPageBreak/>
        <w:t>manufacturers, retailers, and financiers, as well as governments at national and local levels</w:t>
      </w:r>
      <w:r w:rsidRPr="00CB295E">
        <w:rPr>
          <w:rFonts w:asciiTheme="minorHAnsi" w:hAnsiTheme="minorHAnsi" w:cstheme="minorHAnsi"/>
        </w:rPr>
        <w:t xml:space="preserve"> with diverse </w:t>
      </w:r>
      <w:r w:rsidR="0046128C">
        <w:rPr>
          <w:rFonts w:asciiTheme="minorHAnsi" w:hAnsiTheme="minorHAnsi" w:cstheme="minorHAnsi"/>
        </w:rPr>
        <w:t>interests</w:t>
      </w:r>
      <w:r w:rsidRPr="00CB295E">
        <w:rPr>
          <w:rFonts w:asciiTheme="minorHAnsi" w:hAnsiTheme="minorHAnsi" w:cstheme="minorHAnsi"/>
        </w:rPr>
        <w:t xml:space="preserve"> and incentives</w:t>
      </w:r>
      <w:r w:rsidR="0046128C">
        <w:rPr>
          <w:rFonts w:asciiTheme="minorHAnsi" w:hAnsiTheme="minorHAnsi" w:cstheme="minorHAnsi"/>
        </w:rPr>
        <w:t xml:space="preserve"> before finally reaching consumers with diverse tastes and preferences. </w:t>
      </w:r>
      <w:r w:rsidRPr="00CB295E">
        <w:rPr>
          <w:rFonts w:asciiTheme="minorHAnsi" w:hAnsiTheme="minorHAnsi" w:cstheme="minorHAnsi"/>
        </w:rPr>
        <w:t xml:space="preserve">However, these same chains offer </w:t>
      </w:r>
      <w:r w:rsidR="0046128C">
        <w:rPr>
          <w:rFonts w:asciiTheme="minorHAnsi" w:hAnsiTheme="minorHAnsi" w:cstheme="minorHAnsi"/>
        </w:rPr>
        <w:t>an</w:t>
      </w:r>
      <w:r w:rsidRPr="00CB295E">
        <w:rPr>
          <w:rFonts w:asciiTheme="minorHAnsi" w:hAnsiTheme="minorHAnsi" w:cstheme="minorHAnsi"/>
        </w:rPr>
        <w:t xml:space="preserve"> opportunity to </w:t>
      </w:r>
      <w:r w:rsidR="0046128C">
        <w:rPr>
          <w:rFonts w:asciiTheme="minorHAnsi" w:hAnsiTheme="minorHAnsi" w:cstheme="minorHAnsi"/>
        </w:rPr>
        <w:t>use</w:t>
      </w:r>
      <w:r w:rsidRPr="00CB295E">
        <w:rPr>
          <w:rFonts w:asciiTheme="minorHAnsi" w:hAnsiTheme="minorHAnsi" w:cstheme="minorHAnsi"/>
        </w:rPr>
        <w:t xml:space="preserve"> the power of the market to move commodity production away from its current unsustainable pathway and remove deforestation from commodity supply chains.</w:t>
      </w:r>
      <w:r w:rsidR="0084739C">
        <w:rPr>
          <w:rFonts w:asciiTheme="minorHAnsi" w:hAnsiTheme="minorHAnsi" w:cstheme="minorHAnsi"/>
        </w:rPr>
        <w:t xml:space="preserve"> </w:t>
      </w:r>
      <w:r w:rsidRPr="00CB295E">
        <w:rPr>
          <w:rFonts w:asciiTheme="minorHAnsi" w:hAnsiTheme="minorHAnsi" w:cstheme="minorHAnsi"/>
        </w:rPr>
        <w:t xml:space="preserve">The GEF 2020 strategy emphasizes support </w:t>
      </w:r>
      <w:r w:rsidR="0084739C">
        <w:rPr>
          <w:rFonts w:asciiTheme="minorHAnsi" w:hAnsiTheme="minorHAnsi" w:cstheme="minorHAnsi"/>
        </w:rPr>
        <w:t xml:space="preserve">for </w:t>
      </w:r>
      <w:r w:rsidRPr="00CB295E">
        <w:rPr>
          <w:rFonts w:asciiTheme="minorHAnsi" w:hAnsiTheme="minorHAnsi" w:cstheme="minorHAnsi"/>
        </w:rPr>
        <w:t xml:space="preserve">transformational change </w:t>
      </w:r>
      <w:r w:rsidR="0084739C">
        <w:rPr>
          <w:rFonts w:asciiTheme="minorHAnsi" w:hAnsiTheme="minorHAnsi" w:cstheme="minorHAnsi"/>
        </w:rPr>
        <w:t>to</w:t>
      </w:r>
      <w:r w:rsidRPr="00CB295E">
        <w:rPr>
          <w:rFonts w:asciiTheme="minorHAnsi" w:hAnsiTheme="minorHAnsi" w:cstheme="minorHAnsi"/>
        </w:rPr>
        <w:t xml:space="preserve"> achieve impacts on a broader scale. </w:t>
      </w:r>
      <w:r w:rsidR="0084739C">
        <w:rPr>
          <w:rFonts w:asciiTheme="minorHAnsi" w:hAnsiTheme="minorHAnsi" w:cstheme="minorHAnsi"/>
        </w:rPr>
        <w:t>The</w:t>
      </w:r>
      <w:r w:rsidRPr="00CB295E">
        <w:rPr>
          <w:rFonts w:asciiTheme="minorHAnsi" w:hAnsiTheme="minorHAnsi" w:cstheme="minorHAnsi"/>
        </w:rPr>
        <w:t xml:space="preserve"> strategy focuses on the drivers of environmental degradation and support</w:t>
      </w:r>
      <w:r w:rsidR="0084739C">
        <w:rPr>
          <w:rFonts w:asciiTheme="minorHAnsi" w:hAnsiTheme="minorHAnsi" w:cstheme="minorHAnsi"/>
        </w:rPr>
        <w:t>s</w:t>
      </w:r>
      <w:r w:rsidRPr="00CB295E">
        <w:rPr>
          <w:rFonts w:asciiTheme="minorHAnsi" w:hAnsiTheme="minorHAnsi" w:cstheme="minorHAnsi"/>
        </w:rPr>
        <w:t xml:space="preserve"> broad coalitions of committed stakeholders </w:t>
      </w:r>
      <w:r w:rsidR="0084739C">
        <w:rPr>
          <w:rFonts w:asciiTheme="minorHAnsi" w:hAnsiTheme="minorHAnsi" w:cstheme="minorHAnsi"/>
        </w:rPr>
        <w:t xml:space="preserve">and </w:t>
      </w:r>
      <w:r w:rsidRPr="00CB295E">
        <w:rPr>
          <w:rFonts w:asciiTheme="minorHAnsi" w:hAnsiTheme="minorHAnsi" w:cstheme="minorHAnsi"/>
        </w:rPr>
        <w:t xml:space="preserve">innovative and scalable activities. </w:t>
      </w:r>
      <w:r w:rsidR="0084739C">
        <w:rPr>
          <w:rFonts w:asciiTheme="minorHAnsi" w:hAnsiTheme="minorHAnsi" w:cstheme="minorHAnsi"/>
        </w:rPr>
        <w:t xml:space="preserve">Hence, </w:t>
      </w:r>
      <w:r w:rsidRPr="00CB295E">
        <w:rPr>
          <w:rFonts w:asciiTheme="minorHAnsi" w:hAnsiTheme="minorHAnsi" w:cstheme="minorHAnsi"/>
        </w:rPr>
        <w:t xml:space="preserve">the GEF funded three </w:t>
      </w:r>
      <w:r w:rsidR="0084739C">
        <w:rPr>
          <w:rFonts w:asciiTheme="minorHAnsi" w:hAnsiTheme="minorHAnsi" w:cstheme="minorHAnsi"/>
        </w:rPr>
        <w:t>IAPs</w:t>
      </w:r>
      <w:r w:rsidRPr="00CB295E">
        <w:rPr>
          <w:rFonts w:asciiTheme="minorHAnsi" w:hAnsiTheme="minorHAnsi" w:cstheme="minorHAnsi"/>
        </w:rPr>
        <w:t xml:space="preserve"> including: Fostering Sustainability and Resilience for Food Security in Sub-Saharan Africa; Sustainable Cities; and Taking Deforestation out of Commodity Supply Chains</w:t>
      </w:r>
      <w:r w:rsidR="0084739C">
        <w:rPr>
          <w:rFonts w:asciiTheme="minorHAnsi" w:hAnsiTheme="minorHAnsi" w:cstheme="minorHAnsi"/>
        </w:rPr>
        <w:t xml:space="preserve"> to test </w:t>
      </w:r>
      <w:r w:rsidRPr="00CB295E">
        <w:rPr>
          <w:rFonts w:asciiTheme="minorHAnsi" w:hAnsiTheme="minorHAnsi" w:cstheme="minorHAnsi"/>
        </w:rPr>
        <w:t>the delivery of integrated approaches that address discrete, time-bound global environment challenges.</w:t>
      </w:r>
    </w:p>
    <w:p w14:paraId="6025FDBA" w14:textId="77777777" w:rsidR="00DB4A7C" w:rsidRDefault="00DB4A7C" w:rsidP="007C00A6">
      <w:pPr>
        <w:jc w:val="both"/>
        <w:rPr>
          <w:rFonts w:asciiTheme="minorHAnsi" w:hAnsiTheme="minorHAnsi" w:cstheme="minorHAnsi"/>
        </w:rPr>
      </w:pPr>
    </w:p>
    <w:p w14:paraId="61EC00A0" w14:textId="553BE8C7" w:rsidR="002A2E19" w:rsidRDefault="002A2E19" w:rsidP="002A2E19">
      <w:pPr>
        <w:pStyle w:val="Heading2"/>
      </w:pPr>
      <w:bookmarkStart w:id="27" w:name="_Toc96772470"/>
      <w:r>
        <w:t>3.3 Problems that the Project sought to address, threa</w:t>
      </w:r>
      <w:r w:rsidR="005811BB">
        <w:t>t</w:t>
      </w:r>
      <w:r>
        <w:t>s and barriers targeted</w:t>
      </w:r>
      <w:bookmarkEnd w:id="27"/>
    </w:p>
    <w:p w14:paraId="7E996BC2" w14:textId="64F4ABEE" w:rsidR="002A2E19" w:rsidRPr="00C633DD" w:rsidRDefault="002A2E19" w:rsidP="00C633DD">
      <w:pPr>
        <w:spacing w:after="120" w:line="240" w:lineRule="auto"/>
        <w:jc w:val="both"/>
        <w:rPr>
          <w:rFonts w:asciiTheme="minorHAnsi" w:hAnsiTheme="minorHAnsi" w:cstheme="minorHAnsi"/>
        </w:rPr>
      </w:pPr>
    </w:p>
    <w:p w14:paraId="384BBB2C" w14:textId="47B08001" w:rsidR="005811BB" w:rsidRPr="00C633DD" w:rsidRDefault="00602203" w:rsidP="00C633DD">
      <w:pPr>
        <w:spacing w:after="120" w:line="240" w:lineRule="auto"/>
        <w:jc w:val="both"/>
        <w:rPr>
          <w:rFonts w:asciiTheme="minorHAnsi" w:hAnsiTheme="minorHAnsi" w:cstheme="minorHAnsi"/>
        </w:rPr>
      </w:pPr>
      <w:r w:rsidRPr="00C633DD">
        <w:rPr>
          <w:rFonts w:asciiTheme="minorHAnsi" w:hAnsiTheme="minorHAnsi" w:cstheme="minorHAnsi"/>
        </w:rPr>
        <w:t>The</w:t>
      </w:r>
      <w:r w:rsidR="00DB4A7C">
        <w:rPr>
          <w:rFonts w:asciiTheme="minorHAnsi" w:hAnsiTheme="minorHAnsi" w:cstheme="minorHAnsi"/>
        </w:rPr>
        <w:t xml:space="preserve"> Problem address</w:t>
      </w:r>
      <w:r w:rsidR="00024879">
        <w:rPr>
          <w:rFonts w:asciiTheme="minorHAnsi" w:hAnsiTheme="minorHAnsi" w:cstheme="minorHAnsi"/>
        </w:rPr>
        <w:t>ed</w:t>
      </w:r>
      <w:r w:rsidR="00DB4A7C">
        <w:rPr>
          <w:rFonts w:asciiTheme="minorHAnsi" w:hAnsiTheme="minorHAnsi" w:cstheme="minorHAnsi"/>
        </w:rPr>
        <w:t xml:space="preserve"> </w:t>
      </w:r>
      <w:r w:rsidR="00024879">
        <w:rPr>
          <w:rFonts w:asciiTheme="minorHAnsi" w:hAnsiTheme="minorHAnsi" w:cstheme="minorHAnsi"/>
        </w:rPr>
        <w:t xml:space="preserve">by the IAP </w:t>
      </w:r>
      <w:r w:rsidR="00DB4A7C">
        <w:rPr>
          <w:rFonts w:asciiTheme="minorHAnsi" w:hAnsiTheme="minorHAnsi" w:cstheme="minorHAnsi"/>
        </w:rPr>
        <w:t>is:</w:t>
      </w:r>
      <w:r w:rsidR="00881491" w:rsidRPr="00C633DD">
        <w:rPr>
          <w:rFonts w:asciiTheme="minorHAnsi" w:hAnsiTheme="minorHAnsi" w:cstheme="minorHAnsi"/>
        </w:rPr>
        <w:t xml:space="preserve"> </w:t>
      </w:r>
      <w:r w:rsidR="002D56E9" w:rsidRPr="00C633DD">
        <w:rPr>
          <w:rFonts w:asciiTheme="minorHAnsi" w:hAnsiTheme="minorHAnsi" w:cstheme="minorHAnsi"/>
          <w:i/>
          <w:iCs/>
        </w:rPr>
        <w:t>How to reduce the global environmental impacts of agricultural commodity production by meeting the growing demand for palm oil, soy and beef through supply that is associated with sharply reduced tropical deforestation, lower GHG emissions and reduced impacts on biodiversity</w:t>
      </w:r>
      <w:r w:rsidR="00881491" w:rsidRPr="00C633DD">
        <w:rPr>
          <w:rFonts w:asciiTheme="minorHAnsi" w:hAnsiTheme="minorHAnsi" w:cstheme="minorHAnsi"/>
          <w:i/>
          <w:iCs/>
        </w:rPr>
        <w:t>?</w:t>
      </w:r>
      <w:r w:rsidR="0013728E">
        <w:rPr>
          <w:rFonts w:asciiTheme="minorHAnsi" w:hAnsiTheme="minorHAnsi" w:cstheme="minorHAnsi"/>
          <w:i/>
          <w:iCs/>
        </w:rPr>
        <w:t xml:space="preserve"> </w:t>
      </w:r>
    </w:p>
    <w:p w14:paraId="4D9113E6" w14:textId="76FBC751" w:rsidR="002F5E5F" w:rsidRDefault="00CB295E" w:rsidP="00C633DD">
      <w:pPr>
        <w:spacing w:after="120" w:line="240" w:lineRule="auto"/>
        <w:jc w:val="both"/>
        <w:rPr>
          <w:rFonts w:asciiTheme="minorHAnsi" w:hAnsiTheme="minorHAnsi" w:cstheme="minorHAnsi"/>
        </w:rPr>
      </w:pPr>
      <w:r>
        <w:rPr>
          <w:rFonts w:asciiTheme="minorHAnsi" w:hAnsiTheme="minorHAnsi" w:cstheme="minorHAnsi"/>
        </w:rPr>
        <w:t xml:space="preserve">The problem address </w:t>
      </w:r>
      <w:r w:rsidR="00024879">
        <w:rPr>
          <w:rFonts w:asciiTheme="minorHAnsi" w:hAnsiTheme="minorHAnsi" w:cstheme="minorHAnsi"/>
        </w:rPr>
        <w:t>by</w:t>
      </w:r>
      <w:r>
        <w:rPr>
          <w:rFonts w:asciiTheme="minorHAnsi" w:hAnsiTheme="minorHAnsi" w:cstheme="minorHAnsi"/>
        </w:rPr>
        <w:t xml:space="preserve"> the A&amp;L project is</w:t>
      </w:r>
      <w:r w:rsidR="00024879">
        <w:rPr>
          <w:rFonts w:asciiTheme="minorHAnsi" w:hAnsiTheme="minorHAnsi" w:cstheme="minorHAnsi"/>
        </w:rPr>
        <w:t>, “</w:t>
      </w:r>
      <w:r w:rsidRPr="00024879">
        <w:rPr>
          <w:rFonts w:asciiTheme="minorHAnsi" w:hAnsiTheme="minorHAnsi" w:cstheme="minorHAnsi"/>
          <w:i/>
          <w:iCs/>
        </w:rPr>
        <w:t>how to integrate the large stakeholder universe, their initiatives, divergent Theories of Change (TOC) in such a way as to add value and create synergies</w:t>
      </w:r>
      <w:r w:rsidR="0013728E" w:rsidRPr="00024879">
        <w:rPr>
          <w:rFonts w:asciiTheme="minorHAnsi" w:hAnsiTheme="minorHAnsi" w:cstheme="minorHAnsi"/>
          <w:i/>
          <w:iCs/>
        </w:rPr>
        <w:t xml:space="preserve"> and reduce the negative effects that come from working in silos</w:t>
      </w:r>
      <w:r w:rsidR="0013728E">
        <w:rPr>
          <w:rFonts w:asciiTheme="minorHAnsi" w:hAnsiTheme="minorHAnsi" w:cstheme="minorHAnsi"/>
        </w:rPr>
        <w:t>.</w:t>
      </w:r>
      <w:r w:rsidR="00024879">
        <w:rPr>
          <w:rFonts w:asciiTheme="minorHAnsi" w:hAnsiTheme="minorHAnsi" w:cstheme="minorHAnsi"/>
        </w:rPr>
        <w:t>”</w:t>
      </w:r>
      <w:r w:rsidR="0013728E">
        <w:rPr>
          <w:rFonts w:asciiTheme="minorHAnsi" w:hAnsiTheme="minorHAnsi" w:cstheme="minorHAnsi"/>
        </w:rPr>
        <w:t xml:space="preserve"> </w:t>
      </w:r>
    </w:p>
    <w:p w14:paraId="49145A00" w14:textId="56D08AA0" w:rsidR="00CB295E" w:rsidRDefault="001F3A00" w:rsidP="00C633DD">
      <w:pPr>
        <w:spacing w:after="120" w:line="240" w:lineRule="auto"/>
        <w:jc w:val="both"/>
        <w:rPr>
          <w:rFonts w:asciiTheme="minorHAnsi" w:hAnsiTheme="minorHAnsi" w:cstheme="minorHAnsi"/>
        </w:rPr>
      </w:pPr>
      <w:r>
        <w:rPr>
          <w:rFonts w:asciiTheme="minorHAnsi" w:hAnsiTheme="minorHAnsi" w:cstheme="minorHAnsi"/>
        </w:rPr>
        <w:t>The persistent b</w:t>
      </w:r>
      <w:r w:rsidR="0013728E">
        <w:rPr>
          <w:rFonts w:asciiTheme="minorHAnsi" w:hAnsiTheme="minorHAnsi" w:cstheme="minorHAnsi"/>
        </w:rPr>
        <w:t xml:space="preserve">arriers cited at the program-level are: </w:t>
      </w:r>
    </w:p>
    <w:p w14:paraId="07822997" w14:textId="5624C369" w:rsidR="0013728E" w:rsidRDefault="0013728E" w:rsidP="00D80344">
      <w:pPr>
        <w:pStyle w:val="ListParagraph"/>
        <w:numPr>
          <w:ilvl w:val="0"/>
          <w:numId w:val="33"/>
        </w:numPr>
        <w:spacing w:after="120"/>
        <w:jc w:val="both"/>
        <w:rPr>
          <w:rFonts w:asciiTheme="minorHAnsi" w:hAnsiTheme="minorHAnsi" w:cstheme="minorHAnsi"/>
        </w:rPr>
      </w:pPr>
      <w:r>
        <w:rPr>
          <w:rFonts w:asciiTheme="minorHAnsi" w:hAnsiTheme="minorHAnsi" w:cstheme="minorHAnsi"/>
        </w:rPr>
        <w:t>I</w:t>
      </w:r>
      <w:r w:rsidRPr="0013728E">
        <w:rPr>
          <w:rFonts w:asciiTheme="minorHAnsi" w:hAnsiTheme="minorHAnsi" w:cstheme="minorHAnsi"/>
        </w:rPr>
        <w:t>nsufficient piloting of integrated approaches to link work on the key elements of agricultural commodity production supply chains and to achieve technical synergies</w:t>
      </w:r>
    </w:p>
    <w:p w14:paraId="5B696484" w14:textId="6EA4DFA4" w:rsidR="0013728E" w:rsidRDefault="00044894" w:rsidP="00D80344">
      <w:pPr>
        <w:pStyle w:val="ListParagraph"/>
        <w:numPr>
          <w:ilvl w:val="0"/>
          <w:numId w:val="33"/>
        </w:numPr>
        <w:spacing w:after="120"/>
        <w:jc w:val="both"/>
        <w:rPr>
          <w:rFonts w:asciiTheme="minorHAnsi" w:hAnsiTheme="minorHAnsi" w:cstheme="minorHAnsi"/>
        </w:rPr>
      </w:pPr>
      <w:r>
        <w:rPr>
          <w:rFonts w:asciiTheme="minorHAnsi" w:hAnsiTheme="minorHAnsi" w:cstheme="minorHAnsi"/>
        </w:rPr>
        <w:t>L</w:t>
      </w:r>
      <w:r w:rsidRPr="00044894">
        <w:rPr>
          <w:rFonts w:asciiTheme="minorHAnsi" w:hAnsiTheme="minorHAnsi" w:cstheme="minorHAnsi"/>
        </w:rPr>
        <w:t>essons</w:t>
      </w:r>
      <w:r>
        <w:rPr>
          <w:rFonts w:asciiTheme="minorHAnsi" w:hAnsiTheme="minorHAnsi" w:cstheme="minorHAnsi"/>
        </w:rPr>
        <w:t xml:space="preserve">, </w:t>
      </w:r>
      <w:r w:rsidRPr="00044894">
        <w:rPr>
          <w:rFonts w:asciiTheme="minorHAnsi" w:hAnsiTheme="minorHAnsi" w:cstheme="minorHAnsi"/>
        </w:rPr>
        <w:t>best practices</w:t>
      </w:r>
      <w:r>
        <w:rPr>
          <w:rFonts w:asciiTheme="minorHAnsi" w:hAnsiTheme="minorHAnsi" w:cstheme="minorHAnsi"/>
        </w:rPr>
        <w:t xml:space="preserve">, </w:t>
      </w:r>
      <w:r w:rsidR="00D144AC">
        <w:rPr>
          <w:rFonts w:asciiTheme="minorHAnsi" w:hAnsiTheme="minorHAnsi" w:cstheme="minorHAnsi"/>
        </w:rPr>
        <w:t>strategies,</w:t>
      </w:r>
      <w:r>
        <w:rPr>
          <w:rFonts w:asciiTheme="minorHAnsi" w:hAnsiTheme="minorHAnsi" w:cstheme="minorHAnsi"/>
        </w:rPr>
        <w:t xml:space="preserve"> and tools</w:t>
      </w:r>
      <w:r w:rsidRPr="00044894">
        <w:rPr>
          <w:rFonts w:asciiTheme="minorHAnsi" w:hAnsiTheme="minorHAnsi" w:cstheme="minorHAnsi"/>
        </w:rPr>
        <w:t xml:space="preserve"> to remove deforestation from commodity supply chains are not effectively captured and/or are not effectively shared and disseminated</w:t>
      </w:r>
      <w:r>
        <w:rPr>
          <w:rFonts w:asciiTheme="minorHAnsi" w:hAnsiTheme="minorHAnsi" w:cstheme="minorHAnsi"/>
        </w:rPr>
        <w:t xml:space="preserve"> between the many organizations with experience in the commodities space</w:t>
      </w:r>
    </w:p>
    <w:p w14:paraId="78B36B89" w14:textId="70B376C3" w:rsidR="00044894" w:rsidRDefault="00044894" w:rsidP="00D80344">
      <w:pPr>
        <w:pStyle w:val="ListParagraph"/>
        <w:numPr>
          <w:ilvl w:val="0"/>
          <w:numId w:val="33"/>
        </w:numPr>
        <w:spacing w:after="120"/>
        <w:jc w:val="both"/>
        <w:rPr>
          <w:rFonts w:asciiTheme="minorHAnsi" w:hAnsiTheme="minorHAnsi" w:cstheme="minorHAnsi"/>
        </w:rPr>
      </w:pPr>
      <w:r w:rsidRPr="00044894">
        <w:rPr>
          <w:rFonts w:asciiTheme="minorHAnsi" w:hAnsiTheme="minorHAnsi" w:cstheme="minorHAnsi"/>
        </w:rPr>
        <w:t>the multitude of stakeholders working in the commodity deforestation arena</w:t>
      </w:r>
      <w:r w:rsidR="0013653B">
        <w:rPr>
          <w:rFonts w:asciiTheme="minorHAnsi" w:hAnsiTheme="minorHAnsi" w:cstheme="minorHAnsi"/>
        </w:rPr>
        <w:t>. A</w:t>
      </w:r>
      <w:r w:rsidRPr="00044894">
        <w:rPr>
          <w:rFonts w:asciiTheme="minorHAnsi" w:hAnsiTheme="minorHAnsi" w:cstheme="minorHAnsi"/>
        </w:rPr>
        <w:t xml:space="preserve"> prevailing issue is that interventions at national, </w:t>
      </w:r>
      <w:r w:rsidR="00D144AC" w:rsidRPr="00044894">
        <w:rPr>
          <w:rFonts w:asciiTheme="minorHAnsi" w:hAnsiTheme="minorHAnsi" w:cstheme="minorHAnsi"/>
        </w:rPr>
        <w:t>regional,</w:t>
      </w:r>
      <w:r w:rsidRPr="00044894">
        <w:rPr>
          <w:rFonts w:asciiTheme="minorHAnsi" w:hAnsiTheme="minorHAnsi" w:cstheme="minorHAnsi"/>
        </w:rPr>
        <w:t xml:space="preserve"> or global levels are not always coordinated</w:t>
      </w:r>
    </w:p>
    <w:p w14:paraId="19BD4954" w14:textId="203723CF" w:rsidR="009E1652" w:rsidRPr="00024879" w:rsidRDefault="00044894" w:rsidP="00D80344">
      <w:pPr>
        <w:pStyle w:val="ListParagraph"/>
        <w:numPr>
          <w:ilvl w:val="0"/>
          <w:numId w:val="33"/>
        </w:numPr>
        <w:spacing w:after="120"/>
        <w:jc w:val="both"/>
        <w:rPr>
          <w:rFonts w:asciiTheme="minorHAnsi" w:hAnsiTheme="minorHAnsi" w:cstheme="minorHAnsi"/>
        </w:rPr>
      </w:pPr>
      <w:r w:rsidRPr="00024879">
        <w:rPr>
          <w:rFonts w:asciiTheme="minorHAnsi" w:hAnsiTheme="minorHAnsi" w:cstheme="minorHAnsi"/>
        </w:rPr>
        <w:t>The lack of robust and policy-relevant evidence on VSS and VSS-like mechanisms undermines the ability to improve VSS and similar mechanisms</w:t>
      </w:r>
      <w:r w:rsidR="009E1652" w:rsidRPr="00024879">
        <w:rPr>
          <w:rFonts w:asciiTheme="minorHAnsi" w:hAnsiTheme="minorHAnsi" w:cstheme="minorHAnsi"/>
        </w:rPr>
        <w:t xml:space="preserve"> including: </w:t>
      </w:r>
      <w:r w:rsidR="00024879" w:rsidRPr="00024879">
        <w:rPr>
          <w:rFonts w:asciiTheme="minorHAnsi" w:hAnsiTheme="minorHAnsi" w:cstheme="minorHAnsi"/>
        </w:rPr>
        <w:t>(i) k</w:t>
      </w:r>
      <w:r w:rsidR="009E1652" w:rsidRPr="00024879">
        <w:rPr>
          <w:rFonts w:asciiTheme="minorHAnsi" w:hAnsiTheme="minorHAnsi" w:cstheme="minorHAnsi"/>
        </w:rPr>
        <w:t>ey gaps in the evidence base</w:t>
      </w:r>
      <w:r w:rsidR="00024879" w:rsidRPr="00024879">
        <w:rPr>
          <w:rFonts w:asciiTheme="minorHAnsi" w:hAnsiTheme="minorHAnsi" w:cstheme="minorHAnsi"/>
        </w:rPr>
        <w:t>; (ii) e</w:t>
      </w:r>
      <w:r w:rsidR="009E1652" w:rsidRPr="00024879">
        <w:rPr>
          <w:rFonts w:asciiTheme="minorHAnsi" w:hAnsiTheme="minorHAnsi" w:cstheme="minorHAnsi"/>
        </w:rPr>
        <w:t>xisting evidence not sufficiently accessible to key user groups</w:t>
      </w:r>
      <w:r w:rsidR="00024879" w:rsidRPr="00024879">
        <w:rPr>
          <w:rFonts w:asciiTheme="minorHAnsi" w:hAnsiTheme="minorHAnsi" w:cstheme="minorHAnsi"/>
        </w:rPr>
        <w:t xml:space="preserve">; and (iii) </w:t>
      </w:r>
      <w:r w:rsidR="00024879">
        <w:rPr>
          <w:rFonts w:asciiTheme="minorHAnsi" w:hAnsiTheme="minorHAnsi" w:cstheme="minorHAnsi"/>
        </w:rPr>
        <w:t>e</w:t>
      </w:r>
      <w:r w:rsidR="009E1652" w:rsidRPr="00024879">
        <w:rPr>
          <w:rFonts w:asciiTheme="minorHAnsi" w:hAnsiTheme="minorHAnsi" w:cstheme="minorHAnsi"/>
        </w:rPr>
        <w:t>vidence has not been synthesized and communicated in decision-relevant terms to specific stakeholder groups</w:t>
      </w:r>
    </w:p>
    <w:p w14:paraId="5E9442F8" w14:textId="77777777" w:rsidR="0013728E" w:rsidRPr="00C633DD" w:rsidRDefault="0013728E" w:rsidP="00C633DD">
      <w:pPr>
        <w:spacing w:after="120" w:line="240" w:lineRule="auto"/>
        <w:jc w:val="both"/>
        <w:rPr>
          <w:rFonts w:asciiTheme="minorHAnsi" w:hAnsiTheme="minorHAnsi" w:cstheme="minorHAnsi"/>
        </w:rPr>
      </w:pPr>
    </w:p>
    <w:p w14:paraId="3EDDE986" w14:textId="0B876DA9" w:rsidR="006912A0" w:rsidRDefault="006912A0" w:rsidP="00417B78">
      <w:pPr>
        <w:pStyle w:val="Heading2"/>
      </w:pPr>
      <w:bookmarkStart w:id="28" w:name="_Toc96772471"/>
      <w:r>
        <w:t xml:space="preserve">3.4 </w:t>
      </w:r>
      <w:r w:rsidR="00DB4A7C">
        <w:t xml:space="preserve">Immediate and Development </w:t>
      </w:r>
      <w:r w:rsidR="00417B78">
        <w:t>Objective</w:t>
      </w:r>
      <w:r w:rsidR="00DB4A7C">
        <w:t>s</w:t>
      </w:r>
      <w:r w:rsidR="00417B78">
        <w:t xml:space="preserve"> of the Project</w:t>
      </w:r>
      <w:bookmarkEnd w:id="28"/>
    </w:p>
    <w:p w14:paraId="5D2DCC62" w14:textId="6C9C9C1B" w:rsidR="002F5E5F" w:rsidRDefault="002F5E5F" w:rsidP="00DA75DB">
      <w:pPr>
        <w:jc w:val="both"/>
      </w:pPr>
    </w:p>
    <w:p w14:paraId="7BA7C97D" w14:textId="35997750" w:rsidR="00DB4A7C" w:rsidRPr="00C633DD" w:rsidRDefault="00DB4A7C" w:rsidP="00DB4A7C">
      <w:pPr>
        <w:spacing w:after="120" w:line="240" w:lineRule="auto"/>
        <w:jc w:val="both"/>
        <w:rPr>
          <w:rFonts w:asciiTheme="minorHAnsi" w:hAnsiTheme="minorHAnsi" w:cstheme="minorHAnsi"/>
        </w:rPr>
      </w:pPr>
      <w:r w:rsidRPr="00C633DD">
        <w:rPr>
          <w:rFonts w:asciiTheme="minorHAnsi" w:hAnsiTheme="minorHAnsi" w:cstheme="minorHAnsi"/>
        </w:rPr>
        <w:t>The "Taking Deforestation out of Commodity Supply Chains - Commodities Integrated Approach Pilot</w:t>
      </w:r>
      <w:r w:rsidR="005876A6">
        <w:rPr>
          <w:rFonts w:asciiTheme="minorHAnsi" w:hAnsiTheme="minorHAnsi" w:cstheme="minorHAnsi"/>
        </w:rPr>
        <w:t>,</w:t>
      </w:r>
      <w:r w:rsidRPr="00C633DD">
        <w:rPr>
          <w:rFonts w:asciiTheme="minorHAnsi" w:hAnsiTheme="minorHAnsi" w:cstheme="minorHAnsi"/>
        </w:rPr>
        <w:t xml:space="preserve">" </w:t>
      </w:r>
      <w:r w:rsidR="005876A6">
        <w:rPr>
          <w:rFonts w:asciiTheme="minorHAnsi" w:hAnsiTheme="minorHAnsi" w:cstheme="minorHAnsi"/>
        </w:rPr>
        <w:t>r</w:t>
      </w:r>
      <w:r w:rsidRPr="00C633DD">
        <w:rPr>
          <w:rFonts w:asciiTheme="minorHAnsi" w:hAnsiTheme="minorHAnsi" w:cstheme="minorHAnsi"/>
        </w:rPr>
        <w:t xml:space="preserve">ebranded as the “Good Growth </w:t>
      </w:r>
      <w:r w:rsidR="009A70E9" w:rsidRPr="00C633DD">
        <w:rPr>
          <w:rFonts w:asciiTheme="minorHAnsi" w:hAnsiTheme="minorHAnsi" w:cstheme="minorHAnsi"/>
        </w:rPr>
        <w:t>Partnership “(</w:t>
      </w:r>
      <w:r w:rsidRPr="00C633DD">
        <w:rPr>
          <w:rFonts w:asciiTheme="minorHAnsi" w:hAnsiTheme="minorHAnsi" w:cstheme="minorHAnsi"/>
        </w:rPr>
        <w:t>GGP)</w:t>
      </w:r>
      <w:r w:rsidR="00AE32C2">
        <w:rPr>
          <w:rFonts w:asciiTheme="minorHAnsi" w:hAnsiTheme="minorHAnsi" w:cstheme="minorHAnsi"/>
        </w:rPr>
        <w:t>,</w:t>
      </w:r>
      <w:r w:rsidRPr="00C633DD">
        <w:rPr>
          <w:rFonts w:asciiTheme="minorHAnsi" w:hAnsiTheme="minorHAnsi" w:cstheme="minorHAnsi"/>
        </w:rPr>
        <w:t xml:space="preserve"> is a commodities-focused programme that introduces sustainability measures throughout commodity supply chains and promotes an integrated</w:t>
      </w:r>
      <w:r w:rsidRPr="00C633DD">
        <w:rPr>
          <w:rFonts w:asciiTheme="minorHAnsi" w:hAnsiTheme="minorHAnsi" w:cstheme="minorHAnsi"/>
          <w:spacing w:val="-12"/>
        </w:rPr>
        <w:t xml:space="preserve"> </w:t>
      </w:r>
      <w:r w:rsidRPr="00C633DD">
        <w:rPr>
          <w:rFonts w:asciiTheme="minorHAnsi" w:hAnsiTheme="minorHAnsi" w:cstheme="minorHAnsi"/>
        </w:rPr>
        <w:t>approach</w:t>
      </w:r>
      <w:r w:rsidRPr="00C633DD">
        <w:rPr>
          <w:rFonts w:asciiTheme="minorHAnsi" w:hAnsiTheme="minorHAnsi" w:cstheme="minorHAnsi"/>
          <w:spacing w:val="-15"/>
        </w:rPr>
        <w:t xml:space="preserve"> </w:t>
      </w:r>
      <w:r w:rsidRPr="00C633DD">
        <w:rPr>
          <w:rFonts w:asciiTheme="minorHAnsi" w:hAnsiTheme="minorHAnsi" w:cstheme="minorHAnsi"/>
        </w:rPr>
        <w:t>consisting</w:t>
      </w:r>
      <w:r w:rsidRPr="00C633DD">
        <w:rPr>
          <w:rFonts w:asciiTheme="minorHAnsi" w:hAnsiTheme="minorHAnsi" w:cstheme="minorHAnsi"/>
          <w:spacing w:val="-16"/>
        </w:rPr>
        <w:t xml:space="preserve"> </w:t>
      </w:r>
      <w:r w:rsidRPr="00C633DD">
        <w:rPr>
          <w:rFonts w:asciiTheme="minorHAnsi" w:hAnsiTheme="minorHAnsi" w:cstheme="minorHAnsi"/>
        </w:rPr>
        <w:t>of</w:t>
      </w:r>
      <w:r w:rsidRPr="00C633DD">
        <w:rPr>
          <w:rFonts w:asciiTheme="minorHAnsi" w:hAnsiTheme="minorHAnsi" w:cstheme="minorHAnsi"/>
          <w:spacing w:val="-15"/>
        </w:rPr>
        <w:t xml:space="preserve"> </w:t>
      </w:r>
      <w:r w:rsidRPr="00C633DD">
        <w:rPr>
          <w:rFonts w:asciiTheme="minorHAnsi" w:hAnsiTheme="minorHAnsi" w:cstheme="minorHAnsi"/>
        </w:rPr>
        <w:t>5</w:t>
      </w:r>
      <w:r w:rsidRPr="00C633DD">
        <w:rPr>
          <w:rFonts w:asciiTheme="minorHAnsi" w:hAnsiTheme="minorHAnsi" w:cstheme="minorHAnsi"/>
          <w:spacing w:val="-15"/>
        </w:rPr>
        <w:t xml:space="preserve"> </w:t>
      </w:r>
      <w:r w:rsidRPr="00C633DD">
        <w:rPr>
          <w:rFonts w:asciiTheme="minorHAnsi" w:hAnsiTheme="minorHAnsi" w:cstheme="minorHAnsi"/>
        </w:rPr>
        <w:t>GEF-funded</w:t>
      </w:r>
      <w:r w:rsidRPr="00C633DD">
        <w:rPr>
          <w:rFonts w:asciiTheme="minorHAnsi" w:hAnsiTheme="minorHAnsi" w:cstheme="minorHAnsi"/>
          <w:spacing w:val="-15"/>
        </w:rPr>
        <w:t xml:space="preserve"> </w:t>
      </w:r>
      <w:r w:rsidRPr="00C633DD">
        <w:rPr>
          <w:rFonts w:asciiTheme="minorHAnsi" w:hAnsiTheme="minorHAnsi" w:cstheme="minorHAnsi"/>
        </w:rPr>
        <w:t>child</w:t>
      </w:r>
      <w:r w:rsidRPr="00C633DD">
        <w:rPr>
          <w:rFonts w:asciiTheme="minorHAnsi" w:hAnsiTheme="minorHAnsi" w:cstheme="minorHAnsi"/>
          <w:spacing w:val="-14"/>
        </w:rPr>
        <w:t xml:space="preserve"> </w:t>
      </w:r>
      <w:r w:rsidRPr="00C633DD">
        <w:rPr>
          <w:rFonts w:asciiTheme="minorHAnsi" w:hAnsiTheme="minorHAnsi" w:cstheme="minorHAnsi"/>
        </w:rPr>
        <w:t>projects working across production, financing and demand in emblematic commodities in Brazil (soy), Indonesia (</w:t>
      </w:r>
      <w:r w:rsidR="00EB721A">
        <w:rPr>
          <w:rFonts w:asciiTheme="minorHAnsi" w:hAnsiTheme="minorHAnsi" w:cstheme="minorHAnsi"/>
        </w:rPr>
        <w:t>p</w:t>
      </w:r>
      <w:r w:rsidRPr="00C633DD">
        <w:rPr>
          <w:rFonts w:asciiTheme="minorHAnsi" w:hAnsiTheme="minorHAnsi" w:cstheme="minorHAnsi"/>
        </w:rPr>
        <w:t xml:space="preserve">alm </w:t>
      </w:r>
      <w:r w:rsidR="00EB721A">
        <w:rPr>
          <w:rFonts w:asciiTheme="minorHAnsi" w:hAnsiTheme="minorHAnsi" w:cstheme="minorHAnsi"/>
        </w:rPr>
        <w:t>o</w:t>
      </w:r>
      <w:r w:rsidRPr="00C633DD">
        <w:rPr>
          <w:rFonts w:asciiTheme="minorHAnsi" w:hAnsiTheme="minorHAnsi" w:cstheme="minorHAnsi"/>
        </w:rPr>
        <w:t>il), Liberia (</w:t>
      </w:r>
      <w:r w:rsidR="00EB721A">
        <w:rPr>
          <w:rFonts w:asciiTheme="minorHAnsi" w:hAnsiTheme="minorHAnsi" w:cstheme="minorHAnsi"/>
        </w:rPr>
        <w:t>p</w:t>
      </w:r>
      <w:r w:rsidRPr="00C633DD">
        <w:rPr>
          <w:rFonts w:asciiTheme="minorHAnsi" w:hAnsiTheme="minorHAnsi" w:cstheme="minorHAnsi"/>
        </w:rPr>
        <w:t xml:space="preserve">alm </w:t>
      </w:r>
      <w:r w:rsidR="00EB721A">
        <w:rPr>
          <w:rFonts w:asciiTheme="minorHAnsi" w:hAnsiTheme="minorHAnsi" w:cstheme="minorHAnsi"/>
        </w:rPr>
        <w:t>o</w:t>
      </w:r>
      <w:r w:rsidRPr="00C633DD">
        <w:rPr>
          <w:rFonts w:asciiTheme="minorHAnsi" w:hAnsiTheme="minorHAnsi" w:cstheme="minorHAnsi"/>
        </w:rPr>
        <w:t>il), and Paraguay (</w:t>
      </w:r>
      <w:r w:rsidR="00EB721A">
        <w:rPr>
          <w:rFonts w:asciiTheme="minorHAnsi" w:hAnsiTheme="minorHAnsi" w:cstheme="minorHAnsi"/>
        </w:rPr>
        <w:t>b</w:t>
      </w:r>
      <w:r w:rsidRPr="00C633DD">
        <w:rPr>
          <w:rFonts w:asciiTheme="minorHAnsi" w:hAnsiTheme="minorHAnsi" w:cstheme="minorHAnsi"/>
        </w:rPr>
        <w:t xml:space="preserve">eef). Each </w:t>
      </w:r>
      <w:r w:rsidRPr="00C633DD">
        <w:rPr>
          <w:rFonts w:asciiTheme="minorHAnsi" w:hAnsiTheme="minorHAnsi" w:cstheme="minorHAnsi"/>
        </w:rPr>
        <w:lastRenderedPageBreak/>
        <w:t xml:space="preserve">are key production and demand geographies and in commodity </w:t>
      </w:r>
      <w:r w:rsidR="00AE32C2">
        <w:rPr>
          <w:rFonts w:asciiTheme="minorHAnsi" w:hAnsiTheme="minorHAnsi" w:cstheme="minorHAnsi"/>
        </w:rPr>
        <w:t>regions</w:t>
      </w:r>
      <w:r w:rsidRPr="00C633DD">
        <w:rPr>
          <w:rFonts w:asciiTheme="minorHAnsi" w:hAnsiTheme="minorHAnsi" w:cstheme="minorHAnsi"/>
        </w:rPr>
        <w:t xml:space="preserve"> where the majority of deforestation occurs. Investments are targeted to points of the supply chain identified</w:t>
      </w:r>
      <w:r w:rsidRPr="00C633DD">
        <w:rPr>
          <w:rFonts w:asciiTheme="minorHAnsi" w:hAnsiTheme="minorHAnsi" w:cstheme="minorHAnsi"/>
          <w:spacing w:val="-23"/>
        </w:rPr>
        <w:t xml:space="preserve"> </w:t>
      </w:r>
      <w:r w:rsidRPr="00C633DD">
        <w:rPr>
          <w:rFonts w:asciiTheme="minorHAnsi" w:hAnsiTheme="minorHAnsi" w:cstheme="minorHAnsi"/>
        </w:rPr>
        <w:t>as barriers, and links existing but siloed initiatives to replicate</w:t>
      </w:r>
      <w:r w:rsidRPr="00C633DD">
        <w:rPr>
          <w:rFonts w:asciiTheme="minorHAnsi" w:hAnsiTheme="minorHAnsi" w:cstheme="minorHAnsi"/>
          <w:spacing w:val="-5"/>
        </w:rPr>
        <w:t xml:space="preserve"> </w:t>
      </w:r>
      <w:r w:rsidRPr="00C633DD">
        <w:rPr>
          <w:rFonts w:asciiTheme="minorHAnsi" w:hAnsiTheme="minorHAnsi" w:cstheme="minorHAnsi"/>
        </w:rPr>
        <w:t xml:space="preserve">them through the </w:t>
      </w:r>
      <w:r w:rsidR="00510A4E">
        <w:rPr>
          <w:rFonts w:asciiTheme="minorHAnsi" w:hAnsiTheme="minorHAnsi" w:cstheme="minorHAnsi"/>
        </w:rPr>
        <w:t xml:space="preserve">Child Projects. </w:t>
      </w:r>
    </w:p>
    <w:p w14:paraId="17E58057" w14:textId="2E7689A4" w:rsidR="00DB4A7C" w:rsidRPr="00C633DD" w:rsidRDefault="00DB4A7C" w:rsidP="00DB4A7C">
      <w:pPr>
        <w:spacing w:after="120" w:line="240" w:lineRule="auto"/>
        <w:jc w:val="both"/>
        <w:rPr>
          <w:rFonts w:asciiTheme="minorHAnsi" w:hAnsiTheme="minorHAnsi" w:cstheme="minorHAnsi"/>
        </w:rPr>
      </w:pPr>
      <w:r w:rsidRPr="00C633DD">
        <w:rPr>
          <w:rFonts w:asciiTheme="minorHAnsi" w:hAnsiTheme="minorHAnsi" w:cstheme="minorHAnsi"/>
        </w:rPr>
        <w:t>The A&amp;L project stems from the realization that i</w:t>
      </w:r>
      <w:r w:rsidRPr="00C633DD">
        <w:rPr>
          <w:rFonts w:asciiTheme="minorHAnsi" w:eastAsia="Times New Roman" w:hAnsiTheme="minorHAnsi" w:cstheme="minorHAnsi"/>
          <w:lang w:eastAsia="en-US"/>
        </w:rPr>
        <w:t xml:space="preserve">nterventions at different </w:t>
      </w:r>
      <w:r w:rsidR="00510A4E">
        <w:rPr>
          <w:rFonts w:asciiTheme="minorHAnsi" w:eastAsia="Times New Roman" w:hAnsiTheme="minorHAnsi" w:cstheme="minorHAnsi"/>
          <w:lang w:eastAsia="en-US"/>
        </w:rPr>
        <w:t>points</w:t>
      </w:r>
      <w:r w:rsidRPr="00C633DD">
        <w:rPr>
          <w:rFonts w:asciiTheme="minorHAnsi" w:eastAsia="Times New Roman" w:hAnsiTheme="minorHAnsi" w:cstheme="minorHAnsi"/>
          <w:lang w:eastAsia="en-US"/>
        </w:rPr>
        <w:t xml:space="preserve"> in the supply chain</w:t>
      </w:r>
      <w:r w:rsidR="00510A4E">
        <w:rPr>
          <w:rFonts w:asciiTheme="minorHAnsi" w:eastAsia="Times New Roman" w:hAnsiTheme="minorHAnsi" w:cstheme="minorHAnsi"/>
          <w:lang w:eastAsia="en-US"/>
        </w:rPr>
        <w:t>s</w:t>
      </w:r>
      <w:r w:rsidRPr="00C633DD">
        <w:rPr>
          <w:rFonts w:asciiTheme="minorHAnsi" w:eastAsia="Times New Roman" w:hAnsiTheme="minorHAnsi" w:cstheme="minorHAnsi"/>
          <w:lang w:eastAsia="en-US"/>
        </w:rPr>
        <w:t xml:space="preserve"> of multiple commodities from different projects must be well coordinated </w:t>
      </w:r>
      <w:r w:rsidR="00A72F34">
        <w:rPr>
          <w:rFonts w:asciiTheme="minorHAnsi" w:eastAsia="Times New Roman" w:hAnsiTheme="minorHAnsi" w:cstheme="minorHAnsi"/>
          <w:lang w:eastAsia="en-US"/>
        </w:rPr>
        <w:t xml:space="preserve">to produce </w:t>
      </w:r>
      <w:r w:rsidRPr="00C633DD">
        <w:rPr>
          <w:rFonts w:asciiTheme="minorHAnsi" w:eastAsia="Times New Roman" w:hAnsiTheme="minorHAnsi" w:cstheme="minorHAnsi"/>
          <w:lang w:eastAsia="en-US"/>
        </w:rPr>
        <w:t xml:space="preserve">a greater and transformational impact on reducing deforestation. In addition, there is a need for the GEF and </w:t>
      </w:r>
      <w:r w:rsidR="00A72F34">
        <w:rPr>
          <w:rFonts w:asciiTheme="minorHAnsi" w:eastAsia="Times New Roman" w:hAnsiTheme="minorHAnsi" w:cstheme="minorHAnsi"/>
          <w:lang w:eastAsia="en-US"/>
        </w:rPr>
        <w:t xml:space="preserve">the IAP </w:t>
      </w:r>
      <w:r w:rsidRPr="00C633DD">
        <w:rPr>
          <w:rFonts w:asciiTheme="minorHAnsi" w:eastAsia="Times New Roman" w:hAnsiTheme="minorHAnsi" w:cstheme="minorHAnsi"/>
          <w:lang w:eastAsia="en-US"/>
        </w:rPr>
        <w:t xml:space="preserve">partners for a common monitoring platform to provide </w:t>
      </w:r>
      <w:r w:rsidR="00A72F34">
        <w:rPr>
          <w:rFonts w:asciiTheme="minorHAnsi" w:eastAsia="Times New Roman" w:hAnsiTheme="minorHAnsi" w:cstheme="minorHAnsi"/>
          <w:lang w:eastAsia="en-US"/>
        </w:rPr>
        <w:t xml:space="preserve">evidence-based </w:t>
      </w:r>
      <w:r w:rsidRPr="00C633DD">
        <w:rPr>
          <w:rFonts w:asciiTheme="minorHAnsi" w:eastAsia="Times New Roman" w:hAnsiTheme="minorHAnsi" w:cstheme="minorHAnsi"/>
          <w:lang w:eastAsia="en-US"/>
        </w:rPr>
        <w:t xml:space="preserve">information to support program-level decision-making and </w:t>
      </w:r>
      <w:r w:rsidR="00A72F34">
        <w:rPr>
          <w:rFonts w:asciiTheme="minorHAnsi" w:eastAsia="Times New Roman" w:hAnsiTheme="minorHAnsi" w:cstheme="minorHAnsi"/>
          <w:lang w:eastAsia="en-US"/>
        </w:rPr>
        <w:t xml:space="preserve">the </w:t>
      </w:r>
      <w:r w:rsidRPr="00C633DD">
        <w:rPr>
          <w:rFonts w:asciiTheme="minorHAnsi" w:eastAsia="Times New Roman" w:hAnsiTheme="minorHAnsi" w:cstheme="minorHAnsi"/>
          <w:lang w:eastAsia="en-US"/>
        </w:rPr>
        <w:t>sharing</w:t>
      </w:r>
      <w:r w:rsidR="00A72F34">
        <w:rPr>
          <w:rFonts w:asciiTheme="minorHAnsi" w:eastAsia="Times New Roman" w:hAnsiTheme="minorHAnsi" w:cstheme="minorHAnsi"/>
          <w:lang w:eastAsia="en-US"/>
        </w:rPr>
        <w:t xml:space="preserve"> of</w:t>
      </w:r>
      <w:r w:rsidRPr="00C633DD">
        <w:rPr>
          <w:rFonts w:asciiTheme="minorHAnsi" w:eastAsia="Times New Roman" w:hAnsiTheme="minorHAnsi" w:cstheme="minorHAnsi"/>
          <w:lang w:eastAsia="en-US"/>
        </w:rPr>
        <w:t xml:space="preserve"> knowledge and lessons learned to support synergies and decision-making at the national levels. </w:t>
      </w:r>
      <w:r w:rsidR="00A72F34">
        <w:rPr>
          <w:rFonts w:asciiTheme="minorHAnsi" w:eastAsia="Times New Roman" w:hAnsiTheme="minorHAnsi" w:cstheme="minorHAnsi"/>
          <w:lang w:eastAsia="en-US"/>
        </w:rPr>
        <w:t>The</w:t>
      </w:r>
      <w:r w:rsidRPr="00C633DD">
        <w:rPr>
          <w:rFonts w:asciiTheme="minorHAnsi" w:eastAsia="Times New Roman" w:hAnsiTheme="minorHAnsi" w:cstheme="minorHAnsi"/>
          <w:lang w:eastAsia="en-US"/>
        </w:rPr>
        <w:t xml:space="preserve"> A&amp;L project provides</w:t>
      </w:r>
      <w:r w:rsidR="00D41A44">
        <w:rPr>
          <w:rFonts w:asciiTheme="minorHAnsi" w:eastAsia="Times New Roman" w:hAnsiTheme="minorHAnsi" w:cstheme="minorHAnsi"/>
          <w:lang w:eastAsia="en-US"/>
        </w:rPr>
        <w:t xml:space="preserve"> </w:t>
      </w:r>
      <w:r w:rsidRPr="00C633DD">
        <w:rPr>
          <w:rFonts w:asciiTheme="minorHAnsi" w:eastAsia="Times New Roman" w:hAnsiTheme="minorHAnsi" w:cstheme="minorHAnsi"/>
          <w:lang w:eastAsia="en-US"/>
        </w:rPr>
        <w:t>a</w:t>
      </w:r>
      <w:r w:rsidR="00394F89">
        <w:rPr>
          <w:rFonts w:asciiTheme="minorHAnsi" w:eastAsia="Times New Roman" w:hAnsiTheme="minorHAnsi" w:cstheme="minorHAnsi"/>
          <w:lang w:eastAsia="en-US"/>
        </w:rPr>
        <w:t>n integrated</w:t>
      </w:r>
      <w:r w:rsidRPr="00C633DD">
        <w:rPr>
          <w:rFonts w:asciiTheme="minorHAnsi" w:eastAsia="Times New Roman" w:hAnsiTheme="minorHAnsi" w:cstheme="minorHAnsi"/>
          <w:lang w:eastAsia="en-US"/>
        </w:rPr>
        <w:t xml:space="preserve"> management structure</w:t>
      </w:r>
      <w:r w:rsidR="00394F89">
        <w:rPr>
          <w:rFonts w:asciiTheme="minorHAnsi" w:eastAsia="Times New Roman" w:hAnsiTheme="minorHAnsi" w:cstheme="minorHAnsi"/>
          <w:lang w:eastAsia="en-US"/>
        </w:rPr>
        <w:t xml:space="preserve"> across projects</w:t>
      </w:r>
      <w:r w:rsidRPr="00C633DD">
        <w:rPr>
          <w:rFonts w:asciiTheme="minorHAnsi" w:eastAsia="Times New Roman" w:hAnsiTheme="minorHAnsi" w:cstheme="minorHAnsi"/>
          <w:lang w:eastAsia="en-US"/>
        </w:rPr>
        <w:t>, tools, and processes for collective decision-making, access to information and knowledge management that will lead to a stronger partnership between implementing agencies</w:t>
      </w:r>
      <w:r w:rsidR="00394F89">
        <w:rPr>
          <w:rFonts w:asciiTheme="minorHAnsi" w:eastAsia="Times New Roman" w:hAnsiTheme="minorHAnsi" w:cstheme="minorHAnsi"/>
          <w:lang w:eastAsia="en-US"/>
        </w:rPr>
        <w:t xml:space="preserve"> and</w:t>
      </w:r>
      <w:r w:rsidRPr="00C633DD">
        <w:rPr>
          <w:rFonts w:asciiTheme="minorHAnsi" w:eastAsia="Times New Roman" w:hAnsiTheme="minorHAnsi" w:cstheme="minorHAnsi"/>
          <w:lang w:eastAsia="en-US"/>
        </w:rPr>
        <w:t xml:space="preserve"> integration across the child projects and across the commodities and </w:t>
      </w:r>
      <w:r>
        <w:rPr>
          <w:rFonts w:asciiTheme="minorHAnsi" w:eastAsia="Times New Roman" w:hAnsiTheme="minorHAnsi" w:cstheme="minorHAnsi"/>
          <w:lang w:eastAsia="en-US"/>
        </w:rPr>
        <w:t xml:space="preserve">targeted </w:t>
      </w:r>
      <w:r w:rsidRPr="00C633DD">
        <w:rPr>
          <w:rFonts w:asciiTheme="minorHAnsi" w:eastAsia="Times New Roman" w:hAnsiTheme="minorHAnsi" w:cstheme="minorHAnsi"/>
          <w:lang w:eastAsia="en-US"/>
        </w:rPr>
        <w:t>geographies.</w:t>
      </w:r>
    </w:p>
    <w:p w14:paraId="42E80284" w14:textId="426CD4C3" w:rsidR="00D4678A" w:rsidRDefault="00D4678A" w:rsidP="00DA75DB">
      <w:pPr>
        <w:jc w:val="both"/>
      </w:pPr>
      <w:r w:rsidRPr="00D4678A">
        <w:t xml:space="preserve">The A&amp;L project’s objective is to </w:t>
      </w:r>
      <w:r w:rsidR="00D41F8C">
        <w:t>“</w:t>
      </w:r>
      <w:r w:rsidRPr="00C330FD">
        <w:rPr>
          <w:i/>
          <w:iCs/>
        </w:rPr>
        <w:t xml:space="preserve">effectively leverage demand, </w:t>
      </w:r>
      <w:r w:rsidR="00AD2B8A" w:rsidRPr="00C330FD">
        <w:rPr>
          <w:i/>
          <w:iCs/>
        </w:rPr>
        <w:t>transactions,</w:t>
      </w:r>
      <w:r w:rsidRPr="00C330FD">
        <w:rPr>
          <w:i/>
          <w:iCs/>
        </w:rPr>
        <w:t xml:space="preserve"> and support to production to ensure successful implementation of </w:t>
      </w:r>
      <w:r w:rsidR="00D41F8C" w:rsidRPr="00C330FD">
        <w:rPr>
          <w:i/>
          <w:iCs/>
        </w:rPr>
        <w:t>Commodities IAP program</w:t>
      </w:r>
      <w:r w:rsidR="00D41F8C">
        <w:t>.</w:t>
      </w:r>
      <w:r w:rsidR="00C330FD">
        <w:t>”</w:t>
      </w:r>
      <w:r w:rsidR="00D41F8C">
        <w:t xml:space="preserve"> </w:t>
      </w:r>
    </w:p>
    <w:p w14:paraId="76AE44B4" w14:textId="77777777" w:rsidR="009A70E9" w:rsidRPr="00D4678A" w:rsidRDefault="009A70E9" w:rsidP="00DA75DB">
      <w:pPr>
        <w:jc w:val="both"/>
      </w:pPr>
    </w:p>
    <w:p w14:paraId="2C95B8E3" w14:textId="123A910C" w:rsidR="006912A0" w:rsidRDefault="00417B78" w:rsidP="00417B78">
      <w:pPr>
        <w:pStyle w:val="Heading2"/>
      </w:pPr>
      <w:bookmarkStart w:id="29" w:name="_Toc96772472"/>
      <w:r>
        <w:t>3.5 Expected Results</w:t>
      </w:r>
      <w:bookmarkEnd w:id="29"/>
    </w:p>
    <w:p w14:paraId="7DDA7472" w14:textId="77777777" w:rsidR="00D41F8C" w:rsidRDefault="00D41F8C" w:rsidP="00DA75DB">
      <w:pPr>
        <w:jc w:val="both"/>
      </w:pPr>
    </w:p>
    <w:p w14:paraId="728B76A7" w14:textId="641BDA8C" w:rsidR="00D41F8C" w:rsidRDefault="009E5571" w:rsidP="00DA75DB">
      <w:pPr>
        <w:jc w:val="both"/>
      </w:pPr>
      <w:r w:rsidRPr="009E5571">
        <w:t>To achieve that end, A&amp;L supports the overall coordination between all child projects to ensure coherence and consistency, as well as communications and partnership building, and to foster substantial knowledge management at the global level to advance the supply chain approach for beef, soy, and oil palm.</w:t>
      </w:r>
      <w:r w:rsidR="000F0B04">
        <w:t xml:space="preserve"> The project addresses the objective through the following three components:</w:t>
      </w:r>
    </w:p>
    <w:p w14:paraId="64D64B20" w14:textId="44E4E4FE" w:rsidR="00D4678A" w:rsidRPr="00D4678A" w:rsidRDefault="000F0B04" w:rsidP="00DA75DB">
      <w:pPr>
        <w:jc w:val="both"/>
      </w:pPr>
      <w:r>
        <w:t xml:space="preserve">1. </w:t>
      </w:r>
      <w:r w:rsidR="00D4678A" w:rsidRPr="00D4678A">
        <w:t>Coordinated management of the Commodities Integrated Approach Pilot leading to logical technical sequencing of activities</w:t>
      </w:r>
      <w:r w:rsidR="0016037C">
        <w:t>;</w:t>
      </w:r>
      <w:r w:rsidR="00D4678A" w:rsidRPr="00D4678A">
        <w:t xml:space="preserve"> </w:t>
      </w:r>
      <w:r w:rsidR="0016037C">
        <w:t>p</w:t>
      </w:r>
      <w:r w:rsidR="00D4678A" w:rsidRPr="00D4678A">
        <w:t xml:space="preserve">rogram-level monitoring and evaluation and overall resilience. </w:t>
      </w:r>
      <w:r>
        <w:t>The project does this by</w:t>
      </w:r>
      <w:r w:rsidR="0016037C">
        <w:t>: (i)</w:t>
      </w:r>
      <w:r>
        <w:t xml:space="preserve"> </w:t>
      </w:r>
      <w:r w:rsidR="0016037C">
        <w:t xml:space="preserve">logical technical sequencing of activities across individual child projects; (ii) program-level monitoring and evaluation; </w:t>
      </w:r>
      <w:r w:rsidR="005B52BF">
        <w:t xml:space="preserve">(iii) program-level feedback loops that enable tracking of progress on </w:t>
      </w:r>
      <w:r w:rsidR="004933F9">
        <w:t>th</w:t>
      </w:r>
      <w:r w:rsidR="005B52BF">
        <w:t xml:space="preserve">e deliverables and among agencies and implementing partners leading to adaptive </w:t>
      </w:r>
      <w:r w:rsidR="00C23A59">
        <w:t>management</w:t>
      </w:r>
      <w:r w:rsidR="005B52BF">
        <w:t xml:space="preserve"> and supporting program resilience. </w:t>
      </w:r>
      <w:r w:rsidR="00C23A59">
        <w:t xml:space="preserve"> This component is the essence of the management effectiveness of the program. </w:t>
      </w:r>
    </w:p>
    <w:p w14:paraId="0C0CE90A" w14:textId="1C31BE1D" w:rsidR="00D4678A" w:rsidRDefault="005B52BF" w:rsidP="00DA75DB">
      <w:pPr>
        <w:jc w:val="both"/>
      </w:pPr>
      <w:r>
        <w:t xml:space="preserve">2. </w:t>
      </w:r>
      <w:r w:rsidR="00D4678A" w:rsidRPr="00D4678A">
        <w:t>Increased understanding of the impacts of voluntary sustainability standards (VSS) and VSS- like mechanisms on deforestation, biodiversity habitat, and other social and environmental outcomes across different geographies and contexts, to promote adaptive management and to increase the effectiveness of these mechanisms.</w:t>
      </w:r>
      <w:r w:rsidR="00060963">
        <w:t xml:space="preserve"> The project sought to achieve this through the following: (i) a global online database and knowledge platform on the deforestation re</w:t>
      </w:r>
      <w:r w:rsidR="00F83F35">
        <w:t>d</w:t>
      </w:r>
      <w:r w:rsidR="00060963">
        <w:t xml:space="preserve">uction and related impacts of VSS and VSS-like mechanisms; (ii) syntheses documenting evidence disseminated to key decision-makers; (iii) engagement with stakeholders and decision-makers at knowledge-sharing </w:t>
      </w:r>
      <w:r w:rsidR="00F83F35">
        <w:t>events fostering learning and adaptive management towards increasing the effectiveness of VSS and VS</w:t>
      </w:r>
      <w:r w:rsidR="00302CED">
        <w:t>S</w:t>
      </w:r>
      <w:r w:rsidR="00F83F35">
        <w:t xml:space="preserve">-like mechanisms. </w:t>
      </w:r>
    </w:p>
    <w:p w14:paraId="6654D303" w14:textId="7A3B4A92" w:rsidR="00D4678A" w:rsidRDefault="00F83F35" w:rsidP="00DA75DB">
      <w:pPr>
        <w:jc w:val="both"/>
      </w:pPr>
      <w:r>
        <w:t xml:space="preserve">3. </w:t>
      </w:r>
      <w:r w:rsidR="00D4678A" w:rsidRPr="00D4678A">
        <w:t xml:space="preserve">Knowledge management, partnership development and communications implemented to maximize learning, foster </w:t>
      </w:r>
      <w:r w:rsidR="00AD2B8A" w:rsidRPr="00D4678A">
        <w:t>synergies,</w:t>
      </w:r>
      <w:r w:rsidR="00D4678A" w:rsidRPr="00D4678A">
        <w:t xml:space="preserve"> and promote replication and upscaling of actions to address deforestation in commodity supply chains. </w:t>
      </w:r>
      <w:r w:rsidR="00F64514">
        <w:t xml:space="preserve">This is achieved through: (i) knowledge generated by the Program is shared at the national and global levels and relevant learnings from other parties and other IAP Programs are shared, captured and leveraged; (ii) a broad </w:t>
      </w:r>
      <w:r w:rsidR="00110C4F">
        <w:t>global</w:t>
      </w:r>
      <w:r w:rsidR="00F64514">
        <w:t xml:space="preserve"> Community of Practice convenes to share best </w:t>
      </w:r>
      <w:r w:rsidR="00F64514">
        <w:lastRenderedPageBreak/>
        <w:t xml:space="preserve">practices and lessons learned across countries and to promote replication; (iii) strong partnerships are established to support knowledge management and increase synergies in order to maximize progress towards reducing deforestation from global commodity production: (iv) implementation of a program-level communication </w:t>
      </w:r>
      <w:r w:rsidR="00110C4F">
        <w:t>strategy</w:t>
      </w:r>
      <w:r w:rsidR="00F64514">
        <w:t xml:space="preserve"> raises awareness of the impacts of the I</w:t>
      </w:r>
      <w:r w:rsidR="00E75BDB">
        <w:t>A</w:t>
      </w:r>
      <w:r w:rsidR="00F64514">
        <w:t xml:space="preserve">P and facilitates </w:t>
      </w:r>
      <w:r w:rsidR="00E75BDB">
        <w:t>dissemination</w:t>
      </w:r>
      <w:r w:rsidR="00F64514">
        <w:t xml:space="preserve"> of kn</w:t>
      </w:r>
      <w:r w:rsidR="00E75BDB">
        <w:t>o</w:t>
      </w:r>
      <w:r w:rsidR="00F64514">
        <w:t>wledg</w:t>
      </w:r>
      <w:r w:rsidR="00E75BDB">
        <w:t>e.</w:t>
      </w:r>
      <w:r w:rsidR="00F64514">
        <w:t xml:space="preserve"> </w:t>
      </w:r>
    </w:p>
    <w:p w14:paraId="3D952644" w14:textId="00C80140" w:rsidR="000D1973" w:rsidRDefault="000D1973" w:rsidP="000D1973">
      <w:pPr>
        <w:jc w:val="both"/>
      </w:pPr>
      <w:r>
        <w:t>The Program</w:t>
      </w:r>
      <w:r w:rsidR="009B7627">
        <w:t>´s target contributions to global environmental benefits reported in the approved CEO Endorsement Request</w:t>
      </w:r>
      <w:r>
        <w:t xml:space="preserve"> seeks to r</w:t>
      </w:r>
      <w:r w:rsidRPr="00C330FD">
        <w:t xml:space="preserve">educe the global impacts of agriculture commodities expansion on GHG emissions and biodiversity by meeting the growing demand of palm oil, soy and beef through supply that do not lead to deforestation, </w:t>
      </w:r>
      <w:r w:rsidR="009B7627">
        <w:t>“</w:t>
      </w:r>
      <w:r w:rsidRPr="00C330FD">
        <w:t xml:space="preserve">contributing to </w:t>
      </w:r>
      <w:r w:rsidRPr="009B7627">
        <w:rPr>
          <w:i/>
          <w:iCs/>
        </w:rPr>
        <w:t>23 million hectares under improved management to protect globally significant biodiversity and ecosystem services and 1,000,000 ha under sustainable land management and 117.5 million tons of CO2 eq. directly and indirectly mitigated</w:t>
      </w:r>
      <w:r>
        <w:t>.</w:t>
      </w:r>
      <w:r w:rsidR="009B7627">
        <w:t>”</w:t>
      </w:r>
    </w:p>
    <w:p w14:paraId="468ED5C2" w14:textId="3B573035" w:rsidR="006B5B9B" w:rsidRDefault="00A24B31" w:rsidP="00DA75DB">
      <w:pPr>
        <w:jc w:val="both"/>
      </w:pPr>
      <w:r>
        <w:t>Specific indicators for the results are available in the Project´s Results Framework. These are presented and discussed</w:t>
      </w:r>
      <w:r w:rsidR="00D628EB">
        <w:t xml:space="preserve"> later in this report as a basis for the </w:t>
      </w:r>
      <w:r>
        <w:t>findings for each of the mentioned components.</w:t>
      </w:r>
    </w:p>
    <w:p w14:paraId="7EA9437E" w14:textId="77777777" w:rsidR="00A24B31" w:rsidRDefault="00A24B31" w:rsidP="00DA75DB">
      <w:pPr>
        <w:jc w:val="both"/>
      </w:pPr>
    </w:p>
    <w:p w14:paraId="30E938D4" w14:textId="1248DBEA" w:rsidR="00417B78" w:rsidRDefault="00417B78" w:rsidP="00417B78">
      <w:pPr>
        <w:pStyle w:val="Heading2"/>
      </w:pPr>
      <w:bookmarkStart w:id="30" w:name="_Toc96772473"/>
      <w:r>
        <w:t>3.6 Main Stakeholders: Summary List</w:t>
      </w:r>
      <w:bookmarkEnd w:id="30"/>
    </w:p>
    <w:p w14:paraId="0BDF8AD8" w14:textId="77777777" w:rsidR="00A24B31" w:rsidRDefault="00A24B31" w:rsidP="00DA290F">
      <w:pPr>
        <w:jc w:val="both"/>
      </w:pPr>
    </w:p>
    <w:p w14:paraId="052CD5E7" w14:textId="2E228824" w:rsidR="000338F5" w:rsidRPr="000338F5" w:rsidRDefault="00312A94" w:rsidP="00DA290F">
      <w:pPr>
        <w:jc w:val="both"/>
        <w:rPr>
          <w:rFonts w:asciiTheme="minorHAnsi" w:hAnsiTheme="minorHAnsi" w:cstheme="minorHAnsi"/>
        </w:rPr>
      </w:pPr>
      <w:r w:rsidRPr="00AD2B8A">
        <w:t>The main stakeholders of the A&amp;L project are the GGP partners and their</w:t>
      </w:r>
      <w:r w:rsidRPr="00AD2B8A">
        <w:rPr>
          <w:spacing w:val="-3"/>
        </w:rPr>
        <w:t xml:space="preserve"> </w:t>
      </w:r>
      <w:r w:rsidRPr="00AD2B8A">
        <w:t>stakeholders</w:t>
      </w:r>
      <w:r w:rsidR="00AD2B8A" w:rsidRPr="00AD2B8A">
        <w:t>:  UNDP, WWF-US, IFC, UNEP-F</w:t>
      </w:r>
      <w:r w:rsidR="00FF47DE">
        <w:t>I</w:t>
      </w:r>
      <w:r w:rsidR="00AD2B8A" w:rsidRPr="00AD2B8A">
        <w:t xml:space="preserve"> and CI.</w:t>
      </w:r>
      <w:r w:rsidR="00E87461">
        <w:t xml:space="preserve"> </w:t>
      </w:r>
      <w:r w:rsidR="007C310D">
        <w:t>T</w:t>
      </w:r>
      <w:r w:rsidR="00AD2B8A" w:rsidRPr="00AE25F2">
        <w:rPr>
          <w:rFonts w:asciiTheme="minorHAnsi" w:hAnsiTheme="minorHAnsi" w:cstheme="minorHAnsi"/>
        </w:rPr>
        <w:t>he Adaptive Management &amp; Learning Child Project Partners/ Program level partners, including their role in the IAP</w:t>
      </w:r>
      <w:r w:rsidR="0003573D">
        <w:rPr>
          <w:rFonts w:asciiTheme="minorHAnsi" w:hAnsiTheme="minorHAnsi" w:cstheme="minorHAnsi"/>
        </w:rPr>
        <w:t>, such as the following, for example:</w:t>
      </w:r>
      <w:r w:rsidR="00A24B31">
        <w:rPr>
          <w:rFonts w:asciiTheme="minorHAnsi" w:hAnsiTheme="minorHAnsi" w:cstheme="minorHAnsi"/>
        </w:rPr>
        <w:t xml:space="preserve">: </w:t>
      </w:r>
    </w:p>
    <w:p w14:paraId="78A15902" w14:textId="723BE8F0" w:rsidR="007C7640" w:rsidRPr="00110C4F" w:rsidRDefault="007C7640" w:rsidP="00D80344">
      <w:pPr>
        <w:pStyle w:val="ListParagraph"/>
        <w:numPr>
          <w:ilvl w:val="0"/>
          <w:numId w:val="32"/>
        </w:numPr>
        <w:rPr>
          <w:rFonts w:ascii="Calibri" w:eastAsia="Calibri" w:hAnsi="Calibri" w:cs="Calibri"/>
          <w:lang w:eastAsia="es-ES"/>
        </w:rPr>
      </w:pPr>
      <w:r w:rsidRPr="00110C4F">
        <w:rPr>
          <w:rFonts w:ascii="Calibri" w:eastAsia="Calibri" w:hAnsi="Calibri" w:cs="Calibri"/>
          <w:lang w:eastAsia="es-ES"/>
        </w:rPr>
        <w:t xml:space="preserve">Platforms/Forum: Tropical Forest Alliance (TFA), Consumer Goods Forum (CGF), Climate &amp; Land Use Alliance (CLUA), Sustainable Trade Initiative (IDH), </w:t>
      </w:r>
      <w:r w:rsidR="000338F5" w:rsidRPr="00110C4F">
        <w:rPr>
          <w:rFonts w:ascii="Calibri" w:eastAsia="Calibri" w:hAnsi="Calibri" w:cs="Calibri"/>
          <w:lang w:eastAsia="es-ES"/>
        </w:rPr>
        <w:t xml:space="preserve">and </w:t>
      </w:r>
      <w:r w:rsidRPr="00110C4F">
        <w:rPr>
          <w:rFonts w:ascii="Calibri" w:eastAsia="Calibri" w:hAnsi="Calibri" w:cs="Calibri"/>
          <w:lang w:eastAsia="es-ES"/>
        </w:rPr>
        <w:t>ISEAL Alliance</w:t>
      </w:r>
      <w:r w:rsidR="000338F5" w:rsidRPr="00110C4F">
        <w:rPr>
          <w:rFonts w:ascii="Calibri" w:eastAsia="Calibri" w:hAnsi="Calibri" w:cs="Calibri"/>
          <w:lang w:eastAsia="es-ES"/>
        </w:rPr>
        <w:t>.</w:t>
      </w:r>
    </w:p>
    <w:p w14:paraId="061CE434" w14:textId="54EB2B44" w:rsidR="007C7640" w:rsidRPr="00110C4F" w:rsidRDefault="000338F5" w:rsidP="00D80344">
      <w:pPr>
        <w:pStyle w:val="ListParagraph"/>
        <w:numPr>
          <w:ilvl w:val="0"/>
          <w:numId w:val="32"/>
        </w:numPr>
        <w:rPr>
          <w:rFonts w:ascii="Calibri" w:eastAsia="Calibri" w:hAnsi="Calibri" w:cs="Calibri"/>
          <w:lang w:eastAsia="es-ES"/>
        </w:rPr>
      </w:pPr>
      <w:r w:rsidRPr="00110C4F">
        <w:rPr>
          <w:rFonts w:ascii="Calibri" w:eastAsia="Calibri" w:hAnsi="Calibri" w:cs="Calibri"/>
          <w:lang w:eastAsia="es-ES"/>
        </w:rPr>
        <w:t>NGOs: Global Canopy Program, Climate Advisors</w:t>
      </w:r>
    </w:p>
    <w:p w14:paraId="5CE7AE30" w14:textId="4CE8BA60" w:rsidR="000338F5" w:rsidRPr="0003573D" w:rsidRDefault="000338F5" w:rsidP="00D80344">
      <w:pPr>
        <w:pStyle w:val="ListParagraph"/>
        <w:numPr>
          <w:ilvl w:val="0"/>
          <w:numId w:val="32"/>
        </w:numPr>
        <w:rPr>
          <w:rFonts w:ascii="Calibri" w:eastAsia="Calibri" w:hAnsi="Calibri" w:cs="Calibri"/>
          <w:lang w:eastAsia="es-ES"/>
        </w:rPr>
      </w:pPr>
      <w:r w:rsidRPr="0003573D">
        <w:rPr>
          <w:rFonts w:ascii="Calibri" w:eastAsia="Calibri" w:hAnsi="Calibri" w:cs="Calibri"/>
          <w:lang w:eastAsia="es-ES"/>
        </w:rPr>
        <w:t xml:space="preserve">Private Sector: </w:t>
      </w:r>
      <w:r w:rsidR="0003573D" w:rsidRPr="0003573D">
        <w:rPr>
          <w:rFonts w:ascii="Calibri" w:eastAsia="Calibri" w:hAnsi="Calibri" w:cs="Calibri"/>
          <w:lang w:eastAsia="es-ES"/>
        </w:rPr>
        <w:t xml:space="preserve">Musim Mas, MANCO, Frigorifico Guarani, </w:t>
      </w:r>
      <w:r w:rsidR="0003573D">
        <w:rPr>
          <w:rFonts w:ascii="Calibri" w:eastAsia="Calibri" w:hAnsi="Calibri" w:cs="Calibri"/>
          <w:lang w:eastAsia="es-ES"/>
        </w:rPr>
        <w:t>p</w:t>
      </w:r>
      <w:r w:rsidR="0003573D" w:rsidRPr="0003573D">
        <w:rPr>
          <w:rFonts w:ascii="Calibri" w:eastAsia="Calibri" w:hAnsi="Calibri" w:cs="Calibri"/>
          <w:lang w:eastAsia="es-ES"/>
        </w:rPr>
        <w:t xml:space="preserve">roducers associations, </w:t>
      </w:r>
      <w:r w:rsidR="0003573D">
        <w:rPr>
          <w:rFonts w:ascii="Calibri" w:eastAsia="Calibri" w:hAnsi="Calibri" w:cs="Calibri"/>
          <w:lang w:eastAsia="es-ES"/>
        </w:rPr>
        <w:t>c</w:t>
      </w:r>
      <w:r w:rsidR="0003573D" w:rsidRPr="0003573D">
        <w:rPr>
          <w:rFonts w:ascii="Calibri" w:eastAsia="Calibri" w:hAnsi="Calibri" w:cs="Calibri"/>
          <w:lang w:eastAsia="es-ES"/>
        </w:rPr>
        <w:t>ertification organizations, etc.</w:t>
      </w:r>
    </w:p>
    <w:p w14:paraId="2D699D03" w14:textId="37D31A66" w:rsidR="000338F5" w:rsidRPr="00110C4F" w:rsidRDefault="000338F5" w:rsidP="00D80344">
      <w:pPr>
        <w:pStyle w:val="ListParagraph"/>
        <w:numPr>
          <w:ilvl w:val="0"/>
          <w:numId w:val="32"/>
        </w:numPr>
        <w:rPr>
          <w:rFonts w:ascii="Calibri" w:eastAsia="Calibri" w:hAnsi="Calibri" w:cs="Calibri"/>
          <w:lang w:eastAsia="es-ES"/>
        </w:rPr>
      </w:pPr>
      <w:r w:rsidRPr="00110C4F">
        <w:rPr>
          <w:rFonts w:ascii="Calibri" w:eastAsia="Calibri" w:hAnsi="Calibri" w:cs="Calibri"/>
          <w:lang w:eastAsia="es-ES"/>
        </w:rPr>
        <w:t>Donor Organizations/Financiers: DFID, USAID, KLD (Norwegian International Climate &amp; Forest Initiative)</w:t>
      </w:r>
    </w:p>
    <w:p w14:paraId="009F10CB" w14:textId="012839A6" w:rsidR="000338F5" w:rsidRPr="00C23A59" w:rsidRDefault="00D628EB" w:rsidP="00D628EB">
      <w:pPr>
        <w:jc w:val="both"/>
      </w:pPr>
      <w:r>
        <w:t xml:space="preserve">Stakeholder relationships are managed by </w:t>
      </w:r>
      <w:r w:rsidR="00594AF3">
        <w:t xml:space="preserve">the Global Project Manager or </w:t>
      </w:r>
      <w:r w:rsidR="00C02304">
        <w:t>G</w:t>
      </w:r>
      <w:r w:rsidR="00594AF3">
        <w:t xml:space="preserve">lobal </w:t>
      </w:r>
      <w:r w:rsidR="00C02304">
        <w:t>A</w:t>
      </w:r>
      <w:r w:rsidR="00594AF3">
        <w:t>dvisors who are involved under the A&amp;L project and have the relationship with the p</w:t>
      </w:r>
      <w:r w:rsidR="00C02304">
        <w:t>artners.</w:t>
      </w:r>
      <w:r w:rsidR="000338F5" w:rsidRPr="00C23A59">
        <w:t xml:space="preserve"> </w:t>
      </w:r>
    </w:p>
    <w:p w14:paraId="0151C0A0" w14:textId="77777777" w:rsidR="000338F5" w:rsidRPr="000338F5" w:rsidRDefault="000338F5" w:rsidP="007C7640"/>
    <w:p w14:paraId="63C3765E" w14:textId="243EC54D" w:rsidR="00417B78" w:rsidRDefault="00417B78" w:rsidP="00417B78">
      <w:pPr>
        <w:pStyle w:val="Heading2"/>
      </w:pPr>
      <w:bookmarkStart w:id="31" w:name="_Toc96772474"/>
      <w:r>
        <w:t>3.7 Theory of Change</w:t>
      </w:r>
      <w:bookmarkEnd w:id="31"/>
    </w:p>
    <w:p w14:paraId="5EE1A328" w14:textId="77777777" w:rsidR="00F77DCB" w:rsidRDefault="00F77DCB" w:rsidP="00AD4F84">
      <w:pPr>
        <w:jc w:val="both"/>
      </w:pPr>
    </w:p>
    <w:p w14:paraId="15B62DDC" w14:textId="053B6CBE" w:rsidR="00AD4F84" w:rsidRDefault="00AD4F84" w:rsidP="00AD4F84">
      <w:pPr>
        <w:jc w:val="both"/>
      </w:pPr>
      <w:r>
        <w:t>The A&amp;L ProDoc presents two Theories of Change</w:t>
      </w:r>
      <w:r w:rsidR="00D67A5C">
        <w:t xml:space="preserve"> (TOC)</w:t>
      </w:r>
      <w:r>
        <w:t xml:space="preserve"> since the Adaptive Management and Learning is one</w:t>
      </w:r>
      <w:r w:rsidR="002C261C">
        <w:t xml:space="preserve"> project within an IAP.</w:t>
      </w:r>
      <w:r w:rsidR="0098772A">
        <w:t xml:space="preserve"> </w:t>
      </w:r>
      <w:r w:rsidR="002C261C">
        <w:t>A TOC is presented for both levels.</w:t>
      </w:r>
      <w:r>
        <w:t xml:space="preserve"> </w:t>
      </w:r>
    </w:p>
    <w:p w14:paraId="74CC7C81" w14:textId="0BED6CFB" w:rsidR="001B2A32" w:rsidRDefault="005E65D5" w:rsidP="001B2A32">
      <w:pPr>
        <w:tabs>
          <w:tab w:val="left" w:pos="1539"/>
          <w:tab w:val="left" w:pos="1540"/>
        </w:tabs>
        <w:jc w:val="both"/>
      </w:pPr>
      <w:r w:rsidRPr="003B2D46">
        <w:t xml:space="preserve">The Theory of Change for the </w:t>
      </w:r>
      <w:r w:rsidR="002C261C">
        <w:t>P</w:t>
      </w:r>
      <w:r w:rsidRPr="003B2D46">
        <w:t xml:space="preserve">rogram builds on the premise that the increased adoption of agricultural commodity production practices that are less destructive of forests is contingent on several factors. Firstly, enabling conditions including policies and land use/spatial plans must be in place to make the right lands available for production and to make high biodiversity value and high carbon stock forests less accessible. Secondly, producers need enhanced capacity to adopt good agricultural practices and improve </w:t>
      </w:r>
      <w:r w:rsidRPr="003B2D46">
        <w:lastRenderedPageBreak/>
        <w:t xml:space="preserve">yields. Thirdly, increased financial flows and economic incentives are necessary to support these good production practices in the right locations and less incentives must be provided in inappropriate locations. Fourthly, market awareness and demand for reduced deforestation supply are critical to promote more sustainable production. If these factors are addressed, agricultural production can be </w:t>
      </w:r>
      <w:r w:rsidR="00A373CD" w:rsidRPr="003B2D46">
        <w:t>increased,</w:t>
      </w:r>
      <w:r w:rsidR="00F77DCB">
        <w:t xml:space="preserve"> </w:t>
      </w:r>
      <w:r w:rsidRPr="003B2D46">
        <w:t>and growth achieved with sharp reductions in deforestation compared to business-as-usual scenarios.</w:t>
      </w:r>
    </w:p>
    <w:p w14:paraId="7FBB97B3" w14:textId="06176B60" w:rsidR="00AF39F3" w:rsidRDefault="00BD12C6" w:rsidP="00BD12C6">
      <w:pPr>
        <w:jc w:val="both"/>
      </w:pPr>
      <w:r>
        <w:t>The TOC for the A&amp;L project is presented piecemeal</w:t>
      </w:r>
      <w:r w:rsidR="00D67A5C">
        <w:t xml:space="preserve"> in the Project Document. </w:t>
      </w:r>
      <w:r w:rsidR="00543DB3">
        <w:t>Within t</w:t>
      </w:r>
      <w:r w:rsidR="00AF39F3">
        <w:t xml:space="preserve">he Project Document (page 11) </w:t>
      </w:r>
      <w:r w:rsidR="00356D64">
        <w:t>p</w:t>
      </w:r>
      <w:r w:rsidR="00D67A5C">
        <w:t xml:space="preserve">aragraph 18 does the best job at </w:t>
      </w:r>
      <w:r w:rsidR="00356D64">
        <w:t>articulating</w:t>
      </w:r>
      <w:r w:rsidR="00D67A5C">
        <w:t xml:space="preserve"> the A&amp;L situation</w:t>
      </w:r>
      <w:r w:rsidR="00356D64">
        <w:t xml:space="preserve">: </w:t>
      </w:r>
    </w:p>
    <w:p w14:paraId="0710E991" w14:textId="1B63C1AA" w:rsidR="00BD12C6" w:rsidRPr="00356D64" w:rsidRDefault="00D67A5C" w:rsidP="00356D64">
      <w:pPr>
        <w:ind w:left="450" w:right="450"/>
        <w:jc w:val="both"/>
        <w:rPr>
          <w:i/>
          <w:iCs/>
        </w:rPr>
      </w:pPr>
      <w:r w:rsidRPr="00356D64">
        <w:rPr>
          <w:i/>
          <w:iCs/>
        </w:rPr>
        <w:t>…“</w:t>
      </w:r>
      <w:r w:rsidR="00BD12C6" w:rsidRPr="00356D64">
        <w:rPr>
          <w:i/>
          <w:iCs/>
        </w:rPr>
        <w:t>If interventions at different chains in the supply chain are well coordinated, there will be greater and transformational impact on reducing deforestation than if different interventions are carried out without a coordinated and synergistic approach</w:t>
      </w:r>
      <w:r w:rsidRPr="00356D64">
        <w:rPr>
          <w:i/>
          <w:iCs/>
        </w:rPr>
        <w:t xml:space="preserve">…[this] </w:t>
      </w:r>
      <w:r w:rsidR="00BD12C6" w:rsidRPr="00356D64">
        <w:rPr>
          <w:i/>
          <w:iCs/>
        </w:rPr>
        <w:t>will therefore ensure that the overall IAP Program is coordinated among the different agencies and countries and that there is clear Program</w:t>
      </w:r>
      <w:r w:rsidRPr="00356D64">
        <w:rPr>
          <w:i/>
          <w:iCs/>
        </w:rPr>
        <w:t xml:space="preserve"> cohesion and branding.</w:t>
      </w:r>
      <w:r w:rsidR="00356D64" w:rsidRPr="00356D64">
        <w:rPr>
          <w:i/>
          <w:iCs/>
        </w:rPr>
        <w:t xml:space="preserve"> It will support the technical sequencing of key technical deliverables and will be instrumental in aggregating the project-level monitoring results to a Program level, enabling Program impact to be assessed. The IAP has </w:t>
      </w:r>
      <w:r w:rsidR="0043595F" w:rsidRPr="00356D64">
        <w:rPr>
          <w:i/>
          <w:iCs/>
        </w:rPr>
        <w:t>considered</w:t>
      </w:r>
      <w:r w:rsidR="00356D64" w:rsidRPr="00356D64">
        <w:rPr>
          <w:i/>
          <w:iCs/>
        </w:rPr>
        <w:t xml:space="preserve"> external factors and unpredictable changes that could occur and that could affect the results chain and the Theory of Change and has built resilience into its design</w:t>
      </w:r>
      <w:r w:rsidR="00356D64">
        <w:rPr>
          <w:i/>
          <w:iCs/>
        </w:rPr>
        <w:t>.”</w:t>
      </w:r>
    </w:p>
    <w:p w14:paraId="2EDD0DFC" w14:textId="3A7FC154" w:rsidR="00BD12C6" w:rsidRDefault="00D67A5C" w:rsidP="00BD12C6">
      <w:pPr>
        <w:jc w:val="both"/>
      </w:pPr>
      <w:r>
        <w:t>The presentation of finding</w:t>
      </w:r>
      <w:r w:rsidR="00AF39F3">
        <w:t>s</w:t>
      </w:r>
      <w:r>
        <w:t xml:space="preserve"> below focus</w:t>
      </w:r>
      <w:r w:rsidR="00AF39F3">
        <w:t>es</w:t>
      </w:r>
      <w:r>
        <w:t xml:space="preserve"> on the TOC for the A&amp;L project as a management unit and corresponding functions and results in support of the IAP objective. </w:t>
      </w:r>
    </w:p>
    <w:p w14:paraId="73219135" w14:textId="2D87CC88" w:rsidR="00417B78" w:rsidRPr="00D4678A" w:rsidRDefault="00417B78" w:rsidP="00BD12C6">
      <w:pPr>
        <w:jc w:val="both"/>
      </w:pPr>
    </w:p>
    <w:p w14:paraId="3643C474" w14:textId="7212A6D6" w:rsidR="009150C2" w:rsidRPr="009E7CE1" w:rsidRDefault="009150C2" w:rsidP="00DA75DB">
      <w:pPr>
        <w:rPr>
          <w:rFonts w:ascii="Segoe UI" w:hAnsi="Segoe UI" w:cs="Segoe UI"/>
        </w:rPr>
      </w:pPr>
    </w:p>
    <w:p w14:paraId="6695B521" w14:textId="69B15299" w:rsidR="00D00D6D" w:rsidRPr="00115F23" w:rsidRDefault="00D00D6D" w:rsidP="005A260F">
      <w:pPr>
        <w:pStyle w:val="Heading1"/>
        <w:numPr>
          <w:ilvl w:val="0"/>
          <w:numId w:val="1"/>
        </w:numPr>
        <w:ind w:hanging="450"/>
        <w:rPr>
          <w:sz w:val="28"/>
          <w:szCs w:val="28"/>
        </w:rPr>
      </w:pPr>
      <w:bookmarkStart w:id="32" w:name="_TOC_250012"/>
      <w:bookmarkStart w:id="33" w:name="_Toc96772475"/>
      <w:bookmarkEnd w:id="32"/>
      <w:r w:rsidRPr="002D1CA3">
        <w:rPr>
          <w:rFonts w:asciiTheme="minorHAnsi" w:hAnsiTheme="minorHAnsi" w:cstheme="minorHAnsi"/>
          <w:sz w:val="28"/>
          <w:szCs w:val="28"/>
        </w:rPr>
        <w:t>Findings</w:t>
      </w:r>
      <w:bookmarkEnd w:id="33"/>
    </w:p>
    <w:p w14:paraId="54F60CAC" w14:textId="72E1616A" w:rsidR="009E7CE1" w:rsidRDefault="009E7CE1" w:rsidP="00BA2312">
      <w:pPr>
        <w:pStyle w:val="Heading3"/>
        <w:ind w:left="252" w:firstLine="708"/>
      </w:pPr>
      <w:bookmarkStart w:id="34" w:name="_TOC_250011"/>
    </w:p>
    <w:p w14:paraId="053406AE" w14:textId="1BB877B7" w:rsidR="00D00D6D" w:rsidRPr="0043595F" w:rsidRDefault="00DA75DB" w:rsidP="00DA75DB">
      <w:pPr>
        <w:pStyle w:val="Heading2"/>
        <w:rPr>
          <w:sz w:val="24"/>
          <w:szCs w:val="24"/>
        </w:rPr>
      </w:pPr>
      <w:bookmarkStart w:id="35" w:name="_Toc96772476"/>
      <w:r w:rsidRPr="0043595F">
        <w:rPr>
          <w:sz w:val="24"/>
          <w:szCs w:val="24"/>
        </w:rPr>
        <w:t xml:space="preserve">4.1 </w:t>
      </w:r>
      <w:r w:rsidR="00D00D6D" w:rsidRPr="0043595F">
        <w:rPr>
          <w:sz w:val="24"/>
          <w:szCs w:val="24"/>
        </w:rPr>
        <w:t xml:space="preserve">Project </w:t>
      </w:r>
      <w:bookmarkEnd w:id="34"/>
      <w:r w:rsidR="00D00D6D" w:rsidRPr="0043595F">
        <w:rPr>
          <w:sz w:val="24"/>
          <w:szCs w:val="24"/>
        </w:rPr>
        <w:t>Design/Formulation</w:t>
      </w:r>
      <w:r w:rsidR="00DF7BFA" w:rsidRPr="0043595F">
        <w:rPr>
          <w:sz w:val="24"/>
          <w:szCs w:val="24"/>
        </w:rPr>
        <w:t>: Project Justification</w:t>
      </w:r>
      <w:bookmarkEnd w:id="35"/>
    </w:p>
    <w:p w14:paraId="6FA0FE21" w14:textId="77777777" w:rsidR="003A22E8" w:rsidRDefault="003A22E8" w:rsidP="00DA75DB">
      <w:pPr>
        <w:jc w:val="both"/>
        <w:rPr>
          <w:rFonts w:eastAsiaTheme="minorEastAsia" w:cstheme="minorBidi"/>
          <w:color w:val="000000" w:themeColor="text1"/>
          <w:kern w:val="24"/>
          <w:sz w:val="24"/>
          <w:szCs w:val="24"/>
        </w:rPr>
      </w:pPr>
    </w:p>
    <w:p w14:paraId="328ABF04" w14:textId="0CEB1800" w:rsidR="003A22E8" w:rsidRPr="00690785" w:rsidRDefault="003A22E8" w:rsidP="003A22E8">
      <w:pPr>
        <w:pStyle w:val="Heading3"/>
        <w:rPr>
          <w:sz w:val="22"/>
          <w:szCs w:val="22"/>
        </w:rPr>
      </w:pPr>
      <w:bookmarkStart w:id="36" w:name="_Toc96772477"/>
      <w:r w:rsidRPr="00690785">
        <w:rPr>
          <w:sz w:val="22"/>
          <w:szCs w:val="22"/>
        </w:rPr>
        <w:t>4.1.1</w:t>
      </w:r>
      <w:r w:rsidRPr="00690785">
        <w:rPr>
          <w:sz w:val="22"/>
          <w:szCs w:val="22"/>
        </w:rPr>
        <w:tab/>
        <w:t xml:space="preserve">Project </w:t>
      </w:r>
      <w:r w:rsidR="003323B0" w:rsidRPr="00690785">
        <w:rPr>
          <w:sz w:val="22"/>
          <w:szCs w:val="22"/>
        </w:rPr>
        <w:t xml:space="preserve">Context and </w:t>
      </w:r>
      <w:r w:rsidRPr="00690785">
        <w:rPr>
          <w:sz w:val="22"/>
          <w:szCs w:val="22"/>
        </w:rPr>
        <w:t>Justification</w:t>
      </w:r>
      <w:bookmarkEnd w:id="36"/>
    </w:p>
    <w:p w14:paraId="0A146E8C" w14:textId="77777777" w:rsidR="003A22E8" w:rsidRDefault="003A22E8" w:rsidP="00DA75DB">
      <w:pPr>
        <w:jc w:val="both"/>
      </w:pPr>
    </w:p>
    <w:p w14:paraId="077FEB7B" w14:textId="731D2EF0" w:rsidR="00A208D8" w:rsidRDefault="002E6CBB" w:rsidP="00DA75DB">
      <w:pPr>
        <w:jc w:val="both"/>
      </w:pPr>
      <w:r>
        <w:t xml:space="preserve">Information from </w:t>
      </w:r>
      <w:r w:rsidR="004343AB">
        <w:t xml:space="preserve">a review of the project´s GEF approved documents, the Mid Term Review, Project </w:t>
      </w:r>
      <w:r w:rsidR="00AF39F3">
        <w:t>Implementation</w:t>
      </w:r>
      <w:r w:rsidR="004343AB">
        <w:t xml:space="preserve"> Reports (PIRs) and Quarterly reports (QRs) w</w:t>
      </w:r>
      <w:r>
        <w:t>as</w:t>
      </w:r>
      <w:r w:rsidR="004343AB">
        <w:t xml:space="preserve"> triangulated through </w:t>
      </w:r>
      <w:r>
        <w:t xml:space="preserve">KIIs </w:t>
      </w:r>
      <w:r w:rsidR="004343AB">
        <w:t xml:space="preserve">with Project staff </w:t>
      </w:r>
      <w:r>
        <w:t xml:space="preserve">from the A&amp;L </w:t>
      </w:r>
      <w:r w:rsidR="004343AB">
        <w:t xml:space="preserve">and </w:t>
      </w:r>
      <w:r w:rsidR="00A208D8">
        <w:t>from other child projects</w:t>
      </w:r>
      <w:r>
        <w:t xml:space="preserve"> </w:t>
      </w:r>
      <w:r w:rsidR="00A208D8">
        <w:t xml:space="preserve">provided findings on the relevance and effectiveness of the project design phase. Those findings are also cross referenced in the relevance and effectiveness areas of this report. </w:t>
      </w:r>
    </w:p>
    <w:p w14:paraId="3BBC91FA" w14:textId="7AFC0CEA" w:rsidR="00A243F3" w:rsidRPr="00A243F3" w:rsidRDefault="006A6C67" w:rsidP="00DA75DB">
      <w:pPr>
        <w:jc w:val="both"/>
      </w:pPr>
      <w:r w:rsidRPr="00E90718">
        <w:rPr>
          <w:noProof/>
        </w:rPr>
        <w:lastRenderedPageBreak/>
        <w:drawing>
          <wp:anchor distT="0" distB="0" distL="114300" distR="114300" simplePos="0" relativeHeight="251646464" behindDoc="1" locked="0" layoutInCell="1" allowOverlap="1" wp14:anchorId="22BB4469" wp14:editId="699F91F0">
            <wp:simplePos x="0" y="0"/>
            <wp:positionH relativeFrom="column">
              <wp:posOffset>22225</wp:posOffset>
            </wp:positionH>
            <wp:positionV relativeFrom="paragraph">
              <wp:posOffset>144145</wp:posOffset>
            </wp:positionV>
            <wp:extent cx="3162300" cy="2663825"/>
            <wp:effectExtent l="0" t="0" r="0" b="3175"/>
            <wp:wrapTight wrapText="bothSides">
              <wp:wrapPolygon edited="0">
                <wp:start x="0" y="0"/>
                <wp:lineTo x="0" y="21471"/>
                <wp:lineTo x="21470" y="21471"/>
                <wp:lineTo x="21470" y="0"/>
                <wp:lineTo x="0" y="0"/>
              </wp:wrapPolygon>
            </wp:wrapTight>
            <wp:docPr id="34" name="Picture 5" descr="Diagrama&#10;&#10;Descripción generada automáticamente">
              <a:extLst xmlns:a="http://schemas.openxmlformats.org/drawingml/2006/main">
                <a:ext uri="{FF2B5EF4-FFF2-40B4-BE49-F238E27FC236}">
                  <a16:creationId xmlns:a16="http://schemas.microsoft.com/office/drawing/2014/main" id="{EE13B981-0B43-42E4-983B-DF46C93D55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5" descr="Diagrama&#10;&#10;Descripción generada automáticamente">
                      <a:extLst>
                        <a:ext uri="{FF2B5EF4-FFF2-40B4-BE49-F238E27FC236}">
                          <a16:creationId xmlns:a16="http://schemas.microsoft.com/office/drawing/2014/main" id="{EE13B981-0B43-42E4-983B-DF46C93D5598}"/>
                        </a:ext>
                      </a:extLst>
                    </pic:cNvPr>
                    <pic:cNvPicPr>
                      <a:picLocks noGrp="1" noChangeAspect="1"/>
                    </pic:cNvPicPr>
                  </pic:nvPicPr>
                  <pic:blipFill rotWithShape="1">
                    <a:blip r:embed="rId14" cstate="email">
                      <a:extLst>
                        <a:ext uri="{28A0092B-C50C-407E-A947-70E740481C1C}">
                          <a14:useLocalDpi xmlns:a14="http://schemas.microsoft.com/office/drawing/2010/main" val="0"/>
                        </a:ext>
                      </a:extLst>
                    </a:blip>
                    <a:stretch/>
                  </pic:blipFill>
                  <pic:spPr>
                    <a:xfrm>
                      <a:off x="0" y="0"/>
                      <a:ext cx="3162300" cy="2663825"/>
                    </a:xfrm>
                    <a:prstGeom prst="rect">
                      <a:avLst/>
                    </a:prstGeom>
                  </pic:spPr>
                </pic:pic>
              </a:graphicData>
            </a:graphic>
            <wp14:sizeRelH relativeFrom="margin">
              <wp14:pctWidth>0</wp14:pctWidth>
            </wp14:sizeRelH>
            <wp14:sizeRelV relativeFrom="margin">
              <wp14:pctHeight>0</wp14:pctHeight>
            </wp14:sizeRelV>
          </wp:anchor>
        </w:drawing>
      </w:r>
      <w:r w:rsidR="00007D4E">
        <w:t xml:space="preserve">The </w:t>
      </w:r>
      <w:r w:rsidR="00A243F3" w:rsidRPr="00A243F3">
        <w:t xml:space="preserve">A&amp;L supports the overall coordination, coherence and consistency, </w:t>
      </w:r>
      <w:r w:rsidR="00265191">
        <w:t xml:space="preserve">programme-level </w:t>
      </w:r>
      <w:r w:rsidR="00A243F3" w:rsidRPr="00A243F3">
        <w:t>communications</w:t>
      </w:r>
      <w:r w:rsidR="00007D4E">
        <w:t xml:space="preserve">, monitoring and </w:t>
      </w:r>
      <w:r w:rsidR="002D1CA3">
        <w:t>evaluation</w:t>
      </w:r>
      <w:r w:rsidR="00007D4E">
        <w:t>,</w:t>
      </w:r>
      <w:r w:rsidR="00A243F3" w:rsidRPr="00A243F3">
        <w:t xml:space="preserve"> partnership building </w:t>
      </w:r>
      <w:r w:rsidR="00007D4E">
        <w:t xml:space="preserve">and knowledge management </w:t>
      </w:r>
      <w:r w:rsidR="00935996">
        <w:t xml:space="preserve">for </w:t>
      </w:r>
      <w:r w:rsidR="00007D4E">
        <w:t xml:space="preserve">the </w:t>
      </w:r>
      <w:r w:rsidR="00836A78">
        <w:t>four</w:t>
      </w:r>
      <w:r w:rsidR="00A243F3" w:rsidRPr="00A243F3">
        <w:t xml:space="preserve"> </w:t>
      </w:r>
      <w:r w:rsidR="00935996">
        <w:t>other</w:t>
      </w:r>
      <w:r w:rsidR="00A243F3" w:rsidRPr="00A243F3">
        <w:t xml:space="preserve"> GEF </w:t>
      </w:r>
      <w:r w:rsidR="00007D4E">
        <w:t xml:space="preserve">GGP </w:t>
      </w:r>
      <w:r w:rsidR="00A243F3" w:rsidRPr="00A243F3">
        <w:t>Child Projects</w:t>
      </w:r>
      <w:r w:rsidR="00751589">
        <w:t xml:space="preserve">, </w:t>
      </w:r>
      <w:r w:rsidR="00007D4E">
        <w:t xml:space="preserve"> in addition to the management function</w:t>
      </w:r>
      <w:r w:rsidR="0037363A">
        <w:t>s</w:t>
      </w:r>
      <w:r w:rsidR="00007D4E">
        <w:t xml:space="preserve"> of compiling reports, tracking progress and informing a constructed secretariat and a Program Steering Committee (PSC). </w:t>
      </w:r>
    </w:p>
    <w:p w14:paraId="61DDF26C" w14:textId="5C9E6D73" w:rsidR="00A243F3" w:rsidRPr="00A243F3" w:rsidRDefault="00A243F3" w:rsidP="00DA75DB">
      <w:pPr>
        <w:jc w:val="both"/>
      </w:pPr>
      <w:r w:rsidRPr="00DA75DB">
        <w:rPr>
          <w:i/>
        </w:rPr>
        <w:t xml:space="preserve">Reflection: </w:t>
      </w:r>
      <w:r w:rsidRPr="00A243F3">
        <w:rPr>
          <w:i/>
          <w:iCs/>
        </w:rPr>
        <w:t>Would each child project have been better off without</w:t>
      </w:r>
      <w:r w:rsidR="00305234">
        <w:rPr>
          <w:i/>
          <w:iCs/>
        </w:rPr>
        <w:t xml:space="preserve"> an</w:t>
      </w:r>
      <w:r w:rsidRPr="00A243F3">
        <w:rPr>
          <w:i/>
          <w:iCs/>
        </w:rPr>
        <w:t xml:space="preserve"> A&amp;L intervention or is it true that without A&amp;L the programme </w:t>
      </w:r>
      <w:r w:rsidR="006C7744">
        <w:rPr>
          <w:i/>
          <w:iCs/>
        </w:rPr>
        <w:t xml:space="preserve">could </w:t>
      </w:r>
      <w:r w:rsidR="00305234">
        <w:rPr>
          <w:i/>
          <w:iCs/>
        </w:rPr>
        <w:t>have had the same results</w:t>
      </w:r>
      <w:r w:rsidRPr="00A243F3">
        <w:rPr>
          <w:i/>
          <w:iCs/>
        </w:rPr>
        <w:t xml:space="preserve">? </w:t>
      </w:r>
    </w:p>
    <w:p w14:paraId="5F7A0075" w14:textId="17D6FC7D" w:rsidR="001D6048" w:rsidRPr="00036DE4" w:rsidRDefault="00A243F3" w:rsidP="00DA75DB">
      <w:pPr>
        <w:jc w:val="both"/>
        <w:rPr>
          <w:rFonts w:asciiTheme="minorHAnsi" w:hAnsiTheme="minorHAnsi" w:cstheme="minorHAnsi"/>
        </w:rPr>
      </w:pPr>
      <w:r w:rsidRPr="00A243F3">
        <w:t>The</w:t>
      </w:r>
      <w:r w:rsidR="007D70D3">
        <w:t xml:space="preserve"> A&amp;L project is justified </w:t>
      </w:r>
      <w:r w:rsidR="007509B7">
        <w:t xml:space="preserve">in the documentation </w:t>
      </w:r>
      <w:r w:rsidR="007D70D3">
        <w:t xml:space="preserve">by the need for an </w:t>
      </w:r>
      <w:r w:rsidRPr="00A243F3">
        <w:t xml:space="preserve">effective coordination mechanism </w:t>
      </w:r>
      <w:r w:rsidR="00DF7BFA">
        <w:t xml:space="preserve">to create synergies, avoid </w:t>
      </w:r>
      <w:r w:rsidR="00AF39F3">
        <w:t>duplication</w:t>
      </w:r>
      <w:r w:rsidR="00DF7BFA">
        <w:t xml:space="preserve">, and provide </w:t>
      </w:r>
      <w:r w:rsidRPr="00A243F3">
        <w:t>for effective coordination and management decision-making support at the programme level</w:t>
      </w:r>
      <w:r w:rsidR="002D1CA3" w:rsidRPr="00A243F3">
        <w:t xml:space="preserve">. </w:t>
      </w:r>
      <w:r w:rsidR="007B79E0">
        <w:t>To test the assertion, evaluators consulted project evaluation documents from other Programme</w:t>
      </w:r>
      <w:r w:rsidR="0037363A">
        <w:t>-</w:t>
      </w:r>
      <w:r w:rsidR="007B79E0">
        <w:t xml:space="preserve">level initiatives with multiple </w:t>
      </w:r>
      <w:r w:rsidR="008804DE">
        <w:t xml:space="preserve">projects and </w:t>
      </w:r>
      <w:r w:rsidR="007B79E0">
        <w:t xml:space="preserve">stakeholders, such as </w:t>
      </w:r>
      <w:r w:rsidR="007D70D3">
        <w:t xml:space="preserve">the Central Asian Countries Initiative for Land Management, </w:t>
      </w:r>
      <w:r w:rsidR="007B79E0">
        <w:t>,</w:t>
      </w:r>
      <w:r w:rsidR="0037363A">
        <w:t>the</w:t>
      </w:r>
      <w:r w:rsidR="007B79E0">
        <w:t xml:space="preserve"> Amazon Sustainable Landscapes Programme, and third-party </w:t>
      </w:r>
      <w:r w:rsidR="007B79E0" w:rsidRPr="00036DE4">
        <w:rPr>
          <w:rFonts w:asciiTheme="minorHAnsi" w:hAnsiTheme="minorHAnsi" w:cstheme="minorHAnsi"/>
        </w:rPr>
        <w:t>websites</w:t>
      </w:r>
      <w:r w:rsidR="008804DE" w:rsidRPr="00036DE4">
        <w:rPr>
          <w:rFonts w:asciiTheme="minorHAnsi" w:hAnsiTheme="minorHAnsi" w:cstheme="minorHAnsi"/>
        </w:rPr>
        <w:t xml:space="preserve"> and triangulated the desk review with opinions from KIIs with </w:t>
      </w:r>
      <w:r w:rsidR="001D6048" w:rsidRPr="00036DE4">
        <w:rPr>
          <w:rFonts w:asciiTheme="minorHAnsi" w:hAnsiTheme="minorHAnsi" w:cstheme="minorHAnsi"/>
        </w:rPr>
        <w:t xml:space="preserve">the following findings:  </w:t>
      </w:r>
    </w:p>
    <w:p w14:paraId="09C9D168" w14:textId="6C2AA2B0" w:rsidR="00E90718" w:rsidRPr="00036DE4" w:rsidRDefault="004760A3" w:rsidP="00E51279">
      <w:pPr>
        <w:pStyle w:val="BodyText"/>
        <w:spacing w:before="126" w:line="259" w:lineRule="auto"/>
        <w:ind w:left="540" w:right="360"/>
        <w:jc w:val="both"/>
        <w:rPr>
          <w:rFonts w:asciiTheme="minorHAnsi" w:hAnsiTheme="minorHAnsi" w:cstheme="minorHAnsi"/>
          <w:sz w:val="22"/>
          <w:szCs w:val="22"/>
        </w:rPr>
      </w:pPr>
      <w:r w:rsidRPr="00036DE4">
        <w:rPr>
          <w:rFonts w:asciiTheme="minorHAnsi" w:hAnsiTheme="minorHAnsi" w:cstheme="minorHAnsi"/>
          <w:sz w:val="22"/>
          <w:szCs w:val="22"/>
        </w:rPr>
        <w:t xml:space="preserve">(1) </w:t>
      </w:r>
      <w:r w:rsidR="001D6048" w:rsidRPr="00036DE4">
        <w:rPr>
          <w:rFonts w:asciiTheme="minorHAnsi" w:hAnsiTheme="minorHAnsi" w:cstheme="minorHAnsi"/>
          <w:sz w:val="22"/>
          <w:szCs w:val="22"/>
        </w:rPr>
        <w:t xml:space="preserve">The project is justified through empirical data and citing of credible sources.  </w:t>
      </w:r>
    </w:p>
    <w:p w14:paraId="6B3CCC80" w14:textId="17434B93" w:rsidR="00EA0AA7" w:rsidRPr="00036DE4" w:rsidRDefault="004760A3" w:rsidP="00036DE4">
      <w:pPr>
        <w:pStyle w:val="BodyText"/>
        <w:spacing w:before="126" w:line="259" w:lineRule="auto"/>
        <w:ind w:left="540" w:right="360"/>
        <w:jc w:val="both"/>
        <w:rPr>
          <w:rFonts w:asciiTheme="minorHAnsi" w:hAnsiTheme="minorHAnsi" w:cstheme="minorHAnsi"/>
          <w:sz w:val="22"/>
          <w:szCs w:val="22"/>
        </w:rPr>
      </w:pPr>
      <w:r w:rsidRPr="00036DE4">
        <w:rPr>
          <w:rFonts w:asciiTheme="minorHAnsi" w:hAnsiTheme="minorHAnsi" w:cstheme="minorHAnsi"/>
          <w:sz w:val="22"/>
          <w:szCs w:val="22"/>
        </w:rPr>
        <w:t xml:space="preserve">(2) </w:t>
      </w:r>
      <w:r w:rsidR="00E51279" w:rsidRPr="00036DE4">
        <w:rPr>
          <w:rFonts w:asciiTheme="minorHAnsi" w:hAnsiTheme="minorHAnsi" w:cstheme="minorHAnsi"/>
          <w:sz w:val="22"/>
          <w:szCs w:val="22"/>
        </w:rPr>
        <w:t>Key Informants</w:t>
      </w:r>
      <w:r w:rsidR="00E5632B" w:rsidRPr="00036DE4">
        <w:rPr>
          <w:rFonts w:asciiTheme="minorHAnsi" w:hAnsiTheme="minorHAnsi" w:cstheme="minorHAnsi"/>
          <w:sz w:val="22"/>
          <w:szCs w:val="22"/>
        </w:rPr>
        <w:t xml:space="preserve"> could not imagine adding the extra management energy in </w:t>
      </w:r>
      <w:r w:rsidR="00E51279" w:rsidRPr="00036DE4">
        <w:rPr>
          <w:rFonts w:asciiTheme="minorHAnsi" w:hAnsiTheme="minorHAnsi" w:cstheme="minorHAnsi"/>
          <w:sz w:val="22"/>
          <w:szCs w:val="22"/>
        </w:rPr>
        <w:t xml:space="preserve">coordinating and </w:t>
      </w:r>
      <w:r w:rsidR="00E5632B" w:rsidRPr="00036DE4">
        <w:rPr>
          <w:rFonts w:asciiTheme="minorHAnsi" w:hAnsiTheme="minorHAnsi" w:cstheme="minorHAnsi"/>
          <w:sz w:val="22"/>
          <w:szCs w:val="22"/>
        </w:rPr>
        <w:t>producing specialized information for the PSC given their human resources.</w:t>
      </w:r>
    </w:p>
    <w:p w14:paraId="4817C190" w14:textId="6C9D1F03" w:rsidR="001D6048" w:rsidRPr="00036DE4" w:rsidRDefault="00F37780" w:rsidP="00E51279">
      <w:pPr>
        <w:pStyle w:val="BodyText"/>
        <w:spacing w:before="126" w:line="259" w:lineRule="auto"/>
        <w:ind w:left="540" w:right="360"/>
        <w:jc w:val="both"/>
        <w:rPr>
          <w:rFonts w:asciiTheme="minorHAnsi" w:hAnsiTheme="minorHAnsi" w:cstheme="minorHAnsi"/>
          <w:sz w:val="22"/>
          <w:szCs w:val="22"/>
        </w:rPr>
      </w:pPr>
      <w:r w:rsidRPr="00036DE4">
        <w:rPr>
          <w:rFonts w:asciiTheme="minorHAnsi" w:hAnsiTheme="minorHAnsi" w:cstheme="minorHAnsi"/>
          <w:sz w:val="22"/>
          <w:szCs w:val="22"/>
        </w:rPr>
        <w:t>(</w:t>
      </w:r>
      <w:r w:rsidR="00FE3605" w:rsidRPr="00036DE4">
        <w:rPr>
          <w:rFonts w:asciiTheme="minorHAnsi" w:hAnsiTheme="minorHAnsi" w:cstheme="minorHAnsi"/>
          <w:sz w:val="22"/>
          <w:szCs w:val="22"/>
        </w:rPr>
        <w:t>3</w:t>
      </w:r>
      <w:r w:rsidRPr="00036DE4">
        <w:rPr>
          <w:rFonts w:asciiTheme="minorHAnsi" w:hAnsiTheme="minorHAnsi" w:cstheme="minorHAnsi"/>
          <w:sz w:val="22"/>
          <w:szCs w:val="22"/>
        </w:rPr>
        <w:t xml:space="preserve">) </w:t>
      </w:r>
      <w:r w:rsidR="00E5632B" w:rsidRPr="00036DE4">
        <w:rPr>
          <w:rFonts w:asciiTheme="minorHAnsi" w:hAnsiTheme="minorHAnsi" w:cstheme="minorHAnsi"/>
          <w:sz w:val="22"/>
          <w:szCs w:val="22"/>
        </w:rPr>
        <w:t xml:space="preserve">It is more expeditious in terms of time to have a dedicated unit working in the center to facilitate upstream and downstream </w:t>
      </w:r>
      <w:r w:rsidR="00364525" w:rsidRPr="00036DE4">
        <w:rPr>
          <w:rFonts w:asciiTheme="minorHAnsi" w:hAnsiTheme="minorHAnsi" w:cstheme="minorHAnsi"/>
          <w:sz w:val="22"/>
          <w:szCs w:val="22"/>
        </w:rPr>
        <w:t>communications</w:t>
      </w:r>
      <w:r w:rsidR="00EA0AA7" w:rsidRPr="00036DE4">
        <w:rPr>
          <w:rFonts w:asciiTheme="minorHAnsi" w:hAnsiTheme="minorHAnsi" w:cstheme="minorHAnsi"/>
          <w:sz w:val="22"/>
          <w:szCs w:val="22"/>
        </w:rPr>
        <w:t xml:space="preserve"> and opportunities. </w:t>
      </w:r>
    </w:p>
    <w:p w14:paraId="794D5A71" w14:textId="77777777" w:rsidR="00131CD1" w:rsidRDefault="00F37780" w:rsidP="00131CD1">
      <w:pPr>
        <w:pStyle w:val="BodyText"/>
        <w:spacing w:before="126" w:line="259" w:lineRule="auto"/>
        <w:ind w:left="540" w:right="360"/>
        <w:jc w:val="both"/>
        <w:rPr>
          <w:rFonts w:asciiTheme="minorHAnsi" w:hAnsiTheme="minorHAnsi" w:cstheme="minorHAnsi"/>
          <w:sz w:val="22"/>
          <w:szCs w:val="22"/>
        </w:rPr>
      </w:pPr>
      <w:r w:rsidRPr="00036DE4">
        <w:rPr>
          <w:rFonts w:asciiTheme="minorHAnsi" w:hAnsiTheme="minorHAnsi" w:cstheme="minorHAnsi"/>
          <w:sz w:val="22"/>
          <w:szCs w:val="22"/>
        </w:rPr>
        <w:t>(</w:t>
      </w:r>
      <w:r w:rsidR="00FE3605" w:rsidRPr="00036DE4">
        <w:rPr>
          <w:rFonts w:asciiTheme="minorHAnsi" w:hAnsiTheme="minorHAnsi" w:cstheme="minorHAnsi"/>
          <w:sz w:val="22"/>
          <w:szCs w:val="22"/>
        </w:rPr>
        <w:t>4</w:t>
      </w:r>
      <w:r w:rsidRPr="00036DE4">
        <w:rPr>
          <w:rFonts w:asciiTheme="minorHAnsi" w:hAnsiTheme="minorHAnsi" w:cstheme="minorHAnsi"/>
          <w:sz w:val="22"/>
          <w:szCs w:val="22"/>
        </w:rPr>
        <w:t xml:space="preserve">) </w:t>
      </w:r>
      <w:r w:rsidR="00364525" w:rsidRPr="00036DE4">
        <w:rPr>
          <w:rFonts w:asciiTheme="minorHAnsi" w:hAnsiTheme="minorHAnsi" w:cstheme="minorHAnsi"/>
          <w:sz w:val="22"/>
          <w:szCs w:val="22"/>
        </w:rPr>
        <w:t xml:space="preserve">The barriers presented were </w:t>
      </w:r>
      <w:r w:rsidR="00624082" w:rsidRPr="00036DE4">
        <w:rPr>
          <w:rFonts w:asciiTheme="minorHAnsi" w:hAnsiTheme="minorHAnsi" w:cstheme="minorHAnsi"/>
          <w:sz w:val="22"/>
          <w:szCs w:val="22"/>
        </w:rPr>
        <w:t>at</w:t>
      </w:r>
      <w:r w:rsidR="00364525" w:rsidRPr="00036DE4">
        <w:rPr>
          <w:rFonts w:asciiTheme="minorHAnsi" w:hAnsiTheme="minorHAnsi" w:cstheme="minorHAnsi"/>
          <w:sz w:val="22"/>
          <w:szCs w:val="22"/>
        </w:rPr>
        <w:t xml:space="preserve"> the programmatic level. No management barriers were listed</w:t>
      </w:r>
      <w:r w:rsidR="00E51279" w:rsidRPr="00036DE4">
        <w:rPr>
          <w:rFonts w:asciiTheme="minorHAnsi" w:hAnsiTheme="minorHAnsi" w:cstheme="minorHAnsi"/>
          <w:sz w:val="22"/>
          <w:szCs w:val="22"/>
        </w:rPr>
        <w:t xml:space="preserve"> in the Project Context</w:t>
      </w:r>
      <w:r w:rsidR="00364525" w:rsidRPr="00036DE4">
        <w:rPr>
          <w:rFonts w:asciiTheme="minorHAnsi" w:hAnsiTheme="minorHAnsi" w:cstheme="minorHAnsi"/>
          <w:sz w:val="22"/>
          <w:szCs w:val="22"/>
        </w:rPr>
        <w:t xml:space="preserve">. </w:t>
      </w:r>
      <w:r w:rsidR="009872BA" w:rsidRPr="00036DE4">
        <w:rPr>
          <w:rFonts w:asciiTheme="minorHAnsi" w:hAnsiTheme="minorHAnsi" w:cstheme="minorHAnsi"/>
          <w:sz w:val="22"/>
          <w:szCs w:val="22"/>
        </w:rPr>
        <w:t>However, s</w:t>
      </w:r>
      <w:r w:rsidR="00364525" w:rsidRPr="00036DE4">
        <w:rPr>
          <w:rFonts w:asciiTheme="minorHAnsi" w:hAnsiTheme="minorHAnsi" w:cstheme="minorHAnsi"/>
          <w:sz w:val="22"/>
          <w:szCs w:val="22"/>
        </w:rPr>
        <w:t xml:space="preserve">ome barriers to effective management were listed in the risk assessment.  </w:t>
      </w:r>
      <w:r w:rsidR="00B65F45" w:rsidRPr="00036DE4">
        <w:rPr>
          <w:rFonts w:asciiTheme="minorHAnsi" w:hAnsiTheme="minorHAnsi" w:cstheme="minorHAnsi"/>
          <w:sz w:val="22"/>
          <w:szCs w:val="22"/>
        </w:rPr>
        <w:t xml:space="preserve">These were not risks with a probability of occurrence. They were part of the status quo </w:t>
      </w:r>
      <w:r w:rsidR="004760A3" w:rsidRPr="00036DE4">
        <w:rPr>
          <w:rFonts w:asciiTheme="minorHAnsi" w:hAnsiTheme="minorHAnsi" w:cstheme="minorHAnsi"/>
          <w:sz w:val="22"/>
          <w:szCs w:val="22"/>
        </w:rPr>
        <w:t>and should have been</w:t>
      </w:r>
      <w:r w:rsidR="00B65F45" w:rsidRPr="00036DE4">
        <w:rPr>
          <w:rFonts w:asciiTheme="minorHAnsi" w:hAnsiTheme="minorHAnsi" w:cstheme="minorHAnsi"/>
          <w:sz w:val="22"/>
          <w:szCs w:val="22"/>
        </w:rPr>
        <w:t xml:space="preserve"> addressed during the design phase. </w:t>
      </w:r>
    </w:p>
    <w:p w14:paraId="62F7AAE1" w14:textId="1875AFA3" w:rsidR="00131CD1" w:rsidRDefault="00131CD1" w:rsidP="00131CD1">
      <w:pPr>
        <w:pStyle w:val="BodyText"/>
        <w:spacing w:before="126" w:line="259" w:lineRule="auto"/>
        <w:ind w:left="540" w:right="360"/>
        <w:jc w:val="both"/>
        <w:rPr>
          <w:rFonts w:asciiTheme="minorHAnsi" w:hAnsiTheme="minorHAnsi" w:cstheme="minorHAnsi"/>
          <w:sz w:val="22"/>
          <w:szCs w:val="22"/>
        </w:rPr>
      </w:pPr>
      <w:r>
        <w:rPr>
          <w:noProof/>
        </w:rPr>
        <w:lastRenderedPageBreak/>
        <w:drawing>
          <wp:anchor distT="0" distB="0" distL="114300" distR="114300" simplePos="0" relativeHeight="251674112" behindDoc="0" locked="0" layoutInCell="1" allowOverlap="1" wp14:anchorId="75DFCF56" wp14:editId="72B8BE78">
            <wp:simplePos x="0" y="0"/>
            <wp:positionH relativeFrom="column">
              <wp:posOffset>885825</wp:posOffset>
            </wp:positionH>
            <wp:positionV relativeFrom="paragraph">
              <wp:posOffset>180340</wp:posOffset>
            </wp:positionV>
            <wp:extent cx="4371975" cy="2458720"/>
            <wp:effectExtent l="0" t="0" r="9525" b="0"/>
            <wp:wrapTopAndBottom/>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71975" cy="2458720"/>
                    </a:xfrm>
                    <a:prstGeom prst="rect">
                      <a:avLst/>
                    </a:prstGeom>
                  </pic:spPr>
                </pic:pic>
              </a:graphicData>
            </a:graphic>
            <wp14:sizeRelH relativeFrom="margin">
              <wp14:pctWidth>0</wp14:pctWidth>
            </wp14:sizeRelH>
            <wp14:sizeRelV relativeFrom="margin">
              <wp14:pctHeight>0</wp14:pctHeight>
            </wp14:sizeRelV>
          </wp:anchor>
        </w:drawing>
      </w:r>
    </w:p>
    <w:p w14:paraId="27F8FB4A" w14:textId="346FEA0B" w:rsidR="006C37C4" w:rsidRDefault="00EA2F1E" w:rsidP="00131CD1">
      <w:pPr>
        <w:pStyle w:val="BodyText"/>
        <w:spacing w:before="126" w:line="259" w:lineRule="auto"/>
        <w:ind w:left="540" w:right="360"/>
        <w:jc w:val="both"/>
        <w:rPr>
          <w:rFonts w:asciiTheme="minorHAnsi" w:hAnsiTheme="minorHAnsi" w:cstheme="minorHAnsi"/>
          <w:sz w:val="22"/>
          <w:szCs w:val="22"/>
        </w:rPr>
      </w:pPr>
      <w:r>
        <w:rPr>
          <w:rFonts w:asciiTheme="minorHAnsi" w:hAnsiTheme="minorHAnsi" w:cstheme="minorHAnsi"/>
          <w:sz w:val="22"/>
          <w:szCs w:val="22"/>
        </w:rPr>
        <w:t>Conclusion</w:t>
      </w:r>
      <w:r w:rsidR="004760A3">
        <w:rPr>
          <w:rFonts w:asciiTheme="minorHAnsi" w:hAnsiTheme="minorHAnsi" w:cstheme="minorHAnsi"/>
          <w:sz w:val="22"/>
          <w:szCs w:val="22"/>
        </w:rPr>
        <w:t>s</w:t>
      </w:r>
      <w:r>
        <w:rPr>
          <w:rFonts w:asciiTheme="minorHAnsi" w:hAnsiTheme="minorHAnsi" w:cstheme="minorHAnsi"/>
          <w:sz w:val="22"/>
          <w:szCs w:val="22"/>
        </w:rPr>
        <w:t xml:space="preserve">: </w:t>
      </w:r>
    </w:p>
    <w:p w14:paraId="43905A6B" w14:textId="06E4210F" w:rsidR="00307A5C" w:rsidRDefault="00307A5C" w:rsidP="00FC61FD">
      <w:pPr>
        <w:pStyle w:val="BodyText"/>
        <w:spacing w:before="126" w:line="259" w:lineRule="auto"/>
        <w:ind w:left="360" w:right="902"/>
        <w:jc w:val="both"/>
        <w:rPr>
          <w:rFonts w:asciiTheme="minorHAnsi" w:hAnsiTheme="minorHAnsi" w:cstheme="minorHAnsi"/>
          <w:sz w:val="22"/>
          <w:szCs w:val="22"/>
        </w:rPr>
      </w:pPr>
      <w:r w:rsidRPr="00307A5C">
        <w:rPr>
          <w:rFonts w:asciiTheme="minorHAnsi" w:hAnsiTheme="minorHAnsi" w:cstheme="minorHAnsi"/>
          <w:sz w:val="22"/>
          <w:szCs w:val="22"/>
        </w:rPr>
        <w:t xml:space="preserve">(1) The need for a Child Project dedicated </w:t>
      </w:r>
      <w:r w:rsidR="002974F8">
        <w:rPr>
          <w:rFonts w:asciiTheme="minorHAnsi" w:hAnsiTheme="minorHAnsi" w:cstheme="minorHAnsi"/>
          <w:sz w:val="22"/>
          <w:szCs w:val="22"/>
        </w:rPr>
        <w:t>Project Management Unit (PMU) for a</w:t>
      </w:r>
      <w:r w:rsidRPr="00307A5C">
        <w:rPr>
          <w:rFonts w:asciiTheme="minorHAnsi" w:hAnsiTheme="minorHAnsi" w:cstheme="minorHAnsi"/>
          <w:sz w:val="22"/>
          <w:szCs w:val="22"/>
        </w:rPr>
        <w:t>daptive management and Lessons learned is validated.</w:t>
      </w:r>
    </w:p>
    <w:p w14:paraId="5B3A0312" w14:textId="06860AC4" w:rsidR="00CF7890" w:rsidRDefault="00307A5C" w:rsidP="00FC61FD">
      <w:pPr>
        <w:pStyle w:val="BodyText"/>
        <w:spacing w:before="126" w:line="259" w:lineRule="auto"/>
        <w:ind w:left="360" w:right="902"/>
        <w:jc w:val="both"/>
        <w:rPr>
          <w:rFonts w:asciiTheme="minorHAnsi" w:hAnsiTheme="minorHAnsi" w:cstheme="minorHAnsi"/>
          <w:sz w:val="22"/>
          <w:szCs w:val="22"/>
        </w:rPr>
      </w:pPr>
      <w:r>
        <w:rPr>
          <w:rFonts w:asciiTheme="minorHAnsi" w:hAnsiTheme="minorHAnsi" w:cstheme="minorHAnsi"/>
          <w:sz w:val="22"/>
          <w:szCs w:val="22"/>
        </w:rPr>
        <w:t xml:space="preserve">(2) </w:t>
      </w:r>
      <w:r w:rsidR="00CE7218" w:rsidRPr="00CE7218">
        <w:rPr>
          <w:rFonts w:asciiTheme="minorHAnsi" w:hAnsiTheme="minorHAnsi" w:cstheme="minorHAnsi"/>
          <w:sz w:val="22"/>
          <w:szCs w:val="22"/>
        </w:rPr>
        <w:t xml:space="preserve">The integrated approach is the right approach in solving complex world-wide problems that are beyond the capacity of any single agency or NGO </w:t>
      </w:r>
      <w:r w:rsidR="00CF7890">
        <w:rPr>
          <w:rFonts w:asciiTheme="minorHAnsi" w:hAnsiTheme="minorHAnsi" w:cstheme="minorHAnsi"/>
          <w:sz w:val="22"/>
          <w:szCs w:val="22"/>
        </w:rPr>
        <w:t>and requires systematic coordination</w:t>
      </w:r>
      <w:r w:rsidR="006C37C4" w:rsidRPr="006C37C4">
        <w:rPr>
          <w:rFonts w:asciiTheme="minorHAnsi" w:hAnsiTheme="minorHAnsi" w:cstheme="minorHAnsi"/>
          <w:sz w:val="22"/>
          <w:szCs w:val="22"/>
        </w:rPr>
        <w:t xml:space="preserve">. </w:t>
      </w:r>
    </w:p>
    <w:p w14:paraId="05D8A506" w14:textId="70C9A5DD" w:rsidR="00CF7890" w:rsidRDefault="00CF7890" w:rsidP="00FC61FD">
      <w:pPr>
        <w:pStyle w:val="BodyText"/>
        <w:spacing w:before="126" w:line="259" w:lineRule="auto"/>
        <w:ind w:left="360" w:right="902"/>
        <w:jc w:val="both"/>
        <w:rPr>
          <w:rFonts w:asciiTheme="minorHAnsi" w:hAnsiTheme="minorHAnsi" w:cstheme="minorHAnsi"/>
          <w:sz w:val="22"/>
          <w:szCs w:val="22"/>
        </w:rPr>
      </w:pPr>
      <w:r>
        <w:rPr>
          <w:rFonts w:asciiTheme="minorHAnsi" w:hAnsiTheme="minorHAnsi" w:cstheme="minorHAnsi"/>
          <w:sz w:val="22"/>
          <w:szCs w:val="22"/>
        </w:rPr>
        <w:t xml:space="preserve">(3) The barriers </w:t>
      </w:r>
      <w:r w:rsidR="00FE3605">
        <w:rPr>
          <w:rFonts w:asciiTheme="minorHAnsi" w:hAnsiTheme="minorHAnsi" w:cstheme="minorHAnsi"/>
          <w:sz w:val="22"/>
          <w:szCs w:val="22"/>
        </w:rPr>
        <w:t xml:space="preserve">did affect project implementation and </w:t>
      </w:r>
      <w:r>
        <w:rPr>
          <w:rFonts w:asciiTheme="minorHAnsi" w:hAnsiTheme="minorHAnsi" w:cstheme="minorHAnsi"/>
          <w:sz w:val="22"/>
          <w:szCs w:val="22"/>
        </w:rPr>
        <w:t>were effectively recognized and man</w:t>
      </w:r>
      <w:r w:rsidR="00FE3605">
        <w:rPr>
          <w:rFonts w:asciiTheme="minorHAnsi" w:hAnsiTheme="minorHAnsi" w:cstheme="minorHAnsi"/>
          <w:sz w:val="22"/>
          <w:szCs w:val="22"/>
        </w:rPr>
        <w:t>a</w:t>
      </w:r>
      <w:r>
        <w:rPr>
          <w:rFonts w:asciiTheme="minorHAnsi" w:hAnsiTheme="minorHAnsi" w:cstheme="minorHAnsi"/>
          <w:sz w:val="22"/>
          <w:szCs w:val="22"/>
        </w:rPr>
        <w:t>ged by the PMU</w:t>
      </w:r>
      <w:r w:rsidR="00001266">
        <w:rPr>
          <w:rFonts w:asciiTheme="minorHAnsi" w:hAnsiTheme="minorHAnsi" w:cstheme="minorHAnsi"/>
          <w:sz w:val="22"/>
          <w:szCs w:val="22"/>
        </w:rPr>
        <w:t xml:space="preserve"> (see also efficiency)</w:t>
      </w:r>
      <w:r w:rsidR="00FE3605">
        <w:rPr>
          <w:rFonts w:asciiTheme="minorHAnsi" w:hAnsiTheme="minorHAnsi" w:cstheme="minorHAnsi"/>
          <w:sz w:val="22"/>
          <w:szCs w:val="22"/>
        </w:rPr>
        <w:t xml:space="preserve">. </w:t>
      </w:r>
    </w:p>
    <w:p w14:paraId="18B52DD6" w14:textId="5A89FFDF" w:rsidR="00CF7890" w:rsidRDefault="00CF7890" w:rsidP="00CF7890">
      <w:pPr>
        <w:pStyle w:val="BodyText"/>
        <w:spacing w:before="126" w:line="259" w:lineRule="auto"/>
        <w:ind w:left="90" w:right="902"/>
        <w:jc w:val="both"/>
        <w:rPr>
          <w:rFonts w:asciiTheme="minorHAnsi" w:hAnsiTheme="minorHAnsi" w:cstheme="minorHAnsi"/>
          <w:sz w:val="22"/>
          <w:szCs w:val="22"/>
        </w:rPr>
      </w:pPr>
      <w:r>
        <w:rPr>
          <w:rFonts w:asciiTheme="minorHAnsi" w:hAnsiTheme="minorHAnsi" w:cstheme="minorHAnsi"/>
          <w:sz w:val="22"/>
          <w:szCs w:val="22"/>
        </w:rPr>
        <w:t>Lesson Leaned:</w:t>
      </w:r>
    </w:p>
    <w:p w14:paraId="75FF73A4" w14:textId="1E32F304" w:rsidR="006C37C4" w:rsidRPr="006A6C67" w:rsidRDefault="00CF7890" w:rsidP="00FC61FD">
      <w:pPr>
        <w:pStyle w:val="BodyText"/>
        <w:spacing w:before="126" w:line="259" w:lineRule="auto"/>
        <w:ind w:left="360" w:right="902"/>
        <w:jc w:val="both"/>
        <w:rPr>
          <w:rFonts w:asciiTheme="minorHAnsi" w:hAnsiTheme="minorHAnsi" w:cstheme="minorHAnsi"/>
          <w:sz w:val="22"/>
          <w:szCs w:val="22"/>
        </w:rPr>
      </w:pPr>
      <w:r>
        <w:rPr>
          <w:rFonts w:asciiTheme="minorHAnsi" w:hAnsiTheme="minorHAnsi" w:cstheme="minorHAnsi"/>
          <w:sz w:val="22"/>
          <w:szCs w:val="22"/>
        </w:rPr>
        <w:t xml:space="preserve">(1) </w:t>
      </w:r>
      <w:r w:rsidR="006C37C4" w:rsidRPr="006C37C4">
        <w:rPr>
          <w:rFonts w:asciiTheme="minorHAnsi" w:hAnsiTheme="minorHAnsi" w:cstheme="minorHAnsi"/>
          <w:sz w:val="22"/>
          <w:szCs w:val="22"/>
        </w:rPr>
        <w:t>It is more expeditious in terms of time to have a dedicated unit working in the center to facilitate upstream and downstream communications.</w:t>
      </w:r>
      <w:r w:rsidR="00307A5C">
        <w:rPr>
          <w:rFonts w:asciiTheme="minorHAnsi" w:hAnsiTheme="minorHAnsi" w:cstheme="minorHAnsi"/>
          <w:sz w:val="22"/>
          <w:szCs w:val="22"/>
        </w:rPr>
        <w:t xml:space="preserve"> The Program and Project justification is validated.</w:t>
      </w:r>
    </w:p>
    <w:p w14:paraId="32D4B587" w14:textId="217B2455" w:rsidR="003A70E1" w:rsidRPr="00810F34" w:rsidRDefault="003A70E1" w:rsidP="002D1CA3">
      <w:pPr>
        <w:rPr>
          <w:rFonts w:asciiTheme="minorHAnsi" w:hAnsiTheme="minorHAnsi" w:cstheme="minorHAnsi"/>
        </w:rPr>
      </w:pPr>
    </w:p>
    <w:p w14:paraId="0C6D90FD" w14:textId="7709AC15" w:rsidR="00E90718" w:rsidRPr="00690785" w:rsidRDefault="00810F34" w:rsidP="00323340">
      <w:pPr>
        <w:pStyle w:val="Heading3"/>
      </w:pPr>
      <w:bookmarkStart w:id="37" w:name="_Toc96772478"/>
      <w:r w:rsidRPr="00690785">
        <w:t>4.1.</w:t>
      </w:r>
      <w:r w:rsidR="0046439E" w:rsidRPr="00690785">
        <w:t>2</w:t>
      </w:r>
      <w:r w:rsidRPr="00690785">
        <w:t xml:space="preserve">. </w:t>
      </w:r>
      <w:r w:rsidR="0046439E" w:rsidRPr="00690785">
        <w:t xml:space="preserve">Results Framework: Project Strategy, </w:t>
      </w:r>
      <w:r w:rsidRPr="00690785">
        <w:t>Design</w:t>
      </w:r>
      <w:r w:rsidRPr="00690785">
        <w:rPr>
          <w:b/>
          <w:bCs/>
        </w:rPr>
        <w:t xml:space="preserve">, </w:t>
      </w:r>
      <w:r w:rsidR="0046439E" w:rsidRPr="00690785">
        <w:t>Logic</w:t>
      </w:r>
      <w:r w:rsidRPr="00690785">
        <w:t>, and Indicators</w:t>
      </w:r>
      <w:bookmarkEnd w:id="37"/>
    </w:p>
    <w:p w14:paraId="305D827E" w14:textId="41A01E4E" w:rsidR="0046439E" w:rsidRDefault="0046439E" w:rsidP="001D6048"/>
    <w:p w14:paraId="1E0DA11B" w14:textId="349CE304" w:rsidR="0046439E" w:rsidRDefault="0046439E" w:rsidP="00323340">
      <w:pPr>
        <w:jc w:val="both"/>
      </w:pPr>
      <w:r>
        <w:t xml:space="preserve">The Project </w:t>
      </w:r>
      <w:r w:rsidR="003F0141">
        <w:t>S</w:t>
      </w:r>
      <w:r>
        <w:t xml:space="preserve">trategy and Design </w:t>
      </w:r>
      <w:r w:rsidR="003F0141">
        <w:t xml:space="preserve">vis-à-vis </w:t>
      </w:r>
      <w:r>
        <w:t xml:space="preserve">the results framework was analyzed by comparing the results of the project as </w:t>
      </w:r>
      <w:r w:rsidR="003F0141">
        <w:t>reported</w:t>
      </w:r>
      <w:r>
        <w:t xml:space="preserve"> in the P</w:t>
      </w:r>
      <w:r w:rsidR="003F0141">
        <w:t>roject Implementation Reports (P</w:t>
      </w:r>
      <w:r>
        <w:t>IRs</w:t>
      </w:r>
      <w:r w:rsidR="003F0141">
        <w:t>)</w:t>
      </w:r>
      <w:r>
        <w:t xml:space="preserve"> and triangulated through KIIs</w:t>
      </w:r>
      <w:r w:rsidR="00ED3C76">
        <w:t xml:space="preserve"> to understand if the components presented were sufficient to achieve the project objective. That issue is further </w:t>
      </w:r>
      <w:r w:rsidR="003F0141">
        <w:t>discussed</w:t>
      </w:r>
      <w:r w:rsidR="00ED3C76">
        <w:t xml:space="preserve"> </w:t>
      </w:r>
      <w:r w:rsidR="003F0141">
        <w:t>in the P</w:t>
      </w:r>
      <w:r w:rsidR="00ED3C76">
        <w:t xml:space="preserve">rogress </w:t>
      </w:r>
      <w:r w:rsidR="003F0141">
        <w:t>T</w:t>
      </w:r>
      <w:r w:rsidR="00ED3C76">
        <w:t xml:space="preserve">owards </w:t>
      </w:r>
      <w:r w:rsidR="003F0141">
        <w:t>R</w:t>
      </w:r>
      <w:r w:rsidR="00ED3C76">
        <w:t>esults</w:t>
      </w:r>
      <w:r w:rsidR="003F0141">
        <w:t xml:space="preserve"> section of this report</w:t>
      </w:r>
      <w:r w:rsidR="00ED3C76">
        <w:t xml:space="preserve">.  </w:t>
      </w:r>
      <w:r w:rsidR="003F0141">
        <w:t xml:space="preserve">Here we discuss </w:t>
      </w:r>
      <w:r w:rsidR="00ED3C76">
        <w:t>if the design process enabled stakeholder priorities</w:t>
      </w:r>
      <w:r w:rsidR="003F0141">
        <w:t xml:space="preserve"> </w:t>
      </w:r>
      <w:r w:rsidR="00ED3C76">
        <w:t xml:space="preserve">and the soundness </w:t>
      </w:r>
      <w:r w:rsidR="003F0141">
        <w:t xml:space="preserve">and integrity </w:t>
      </w:r>
      <w:r w:rsidR="00ED3C76">
        <w:t>of the Results Framework given the context of the project. Evaluators asse</w:t>
      </w:r>
      <w:r w:rsidR="00C50A93">
        <w:t>sse</w:t>
      </w:r>
      <w:r w:rsidR="00ED3C76">
        <w:t>d the quality and reliability of the stated indicators</w:t>
      </w:r>
      <w:r>
        <w:t>.  In addition, synthesis documents and Power-p</w:t>
      </w:r>
      <w:r w:rsidR="006B3D87">
        <w:t>o</w:t>
      </w:r>
      <w:r>
        <w:t>int presentations by the PMU to the P</w:t>
      </w:r>
      <w:r w:rsidR="003F0141">
        <w:t xml:space="preserve">roject </w:t>
      </w:r>
      <w:r>
        <w:t>S</w:t>
      </w:r>
      <w:r w:rsidR="003F0141">
        <w:t xml:space="preserve">teering </w:t>
      </w:r>
      <w:r>
        <w:t>C</w:t>
      </w:r>
      <w:r w:rsidR="003F0141">
        <w:t>ommittee</w:t>
      </w:r>
      <w:r>
        <w:t xml:space="preserve"> were made available and useful in </w:t>
      </w:r>
      <w:r w:rsidR="00CD21FD">
        <w:t>identifying</w:t>
      </w:r>
      <w:r>
        <w:t xml:space="preserve"> gaps in the project design. Additionally, the M</w:t>
      </w:r>
      <w:r w:rsidR="00ED3C76">
        <w:t xml:space="preserve">TR Report and </w:t>
      </w:r>
      <w:r w:rsidR="005F6D4A">
        <w:t xml:space="preserve">Response Matrix was consulted with results triangulated by </w:t>
      </w:r>
      <w:r w:rsidR="00CA50E3">
        <w:t xml:space="preserve">KIIs. </w:t>
      </w:r>
    </w:p>
    <w:p w14:paraId="1A426400" w14:textId="0E363BD3" w:rsidR="00E00F6D" w:rsidRDefault="00E00F6D" w:rsidP="00323340">
      <w:pPr>
        <w:jc w:val="both"/>
      </w:pPr>
      <w:r>
        <w:t xml:space="preserve">To foment the expected benefits, UNDP RH-LAC recruited a dedicated Project Management Unit with 30% dedication to A&amp;L processes and 70% to the Production </w:t>
      </w:r>
      <w:r w:rsidR="005233DF">
        <w:t xml:space="preserve">Child </w:t>
      </w:r>
      <w:r>
        <w:t>Project.</w:t>
      </w:r>
      <w:r w:rsidR="005233DF">
        <w:t xml:space="preserve"> In addition, a full secretariat </w:t>
      </w:r>
      <w:r w:rsidR="00262AEF">
        <w:t xml:space="preserve">and </w:t>
      </w:r>
      <w:r w:rsidR="00CD21FD">
        <w:lastRenderedPageBreak/>
        <w:t xml:space="preserve">PSC </w:t>
      </w:r>
      <w:r w:rsidR="005233DF">
        <w:t xml:space="preserve">comprised of representatives from each </w:t>
      </w:r>
      <w:r w:rsidR="00D56448">
        <w:t xml:space="preserve">Child Project </w:t>
      </w:r>
      <w:r w:rsidR="00262AEF">
        <w:t xml:space="preserve">were </w:t>
      </w:r>
      <w:r w:rsidR="005233DF">
        <w:t xml:space="preserve">constituted and functioning. </w:t>
      </w:r>
      <w:r w:rsidR="00D56448">
        <w:t xml:space="preserve">This structure provided an avenue for upstream and downstream communications, M&amp;E, and knowledge management. </w:t>
      </w:r>
    </w:p>
    <w:p w14:paraId="5129038D" w14:textId="240D0D12" w:rsidR="001E37C8" w:rsidRDefault="001E37C8" w:rsidP="00323340">
      <w:pPr>
        <w:jc w:val="both"/>
      </w:pPr>
      <w:r>
        <w:t xml:space="preserve">The evaluators </w:t>
      </w:r>
      <w:r w:rsidR="00CD21FD">
        <w:t xml:space="preserve">chose </w:t>
      </w:r>
      <w:r>
        <w:t xml:space="preserve">to not litigate the </w:t>
      </w:r>
      <w:r w:rsidR="000C4D7E">
        <w:t xml:space="preserve">GGP´s </w:t>
      </w:r>
      <w:r>
        <w:t xml:space="preserve">design aspects with the understanding that a program-level evaluation would be necessary to fully test the design from </w:t>
      </w:r>
      <w:r w:rsidR="000C4D7E">
        <w:t xml:space="preserve">the perspective </w:t>
      </w:r>
      <w:r>
        <w:t>of each child project and the relationship</w:t>
      </w:r>
      <w:r w:rsidR="000C4D7E">
        <w:t>s between the Program and Child Project objectives.</w:t>
      </w:r>
      <w:r w:rsidR="005C52B7">
        <w:t xml:space="preserve"> </w:t>
      </w:r>
      <w:r>
        <w:t xml:space="preserve"> The A&amp;L project is essentially a management project that provides the overall management and coordination</w:t>
      </w:r>
      <w:r w:rsidR="00E00F6D">
        <w:t xml:space="preserve"> of the actors and projects in the GGP. Within that framework, the following findings are noted: </w:t>
      </w:r>
    </w:p>
    <w:p w14:paraId="5B73A23D" w14:textId="6794C9B6" w:rsidR="005C52B7" w:rsidRPr="00552E3E" w:rsidRDefault="00552E3E" w:rsidP="00552E3E">
      <w:pPr>
        <w:ind w:left="360"/>
        <w:jc w:val="both"/>
      </w:pPr>
      <w:r>
        <w:t xml:space="preserve">(4) </w:t>
      </w:r>
      <w:r w:rsidR="005C52B7" w:rsidRPr="00552E3E">
        <w:t xml:space="preserve">The creation of the secretariat was confirmed by all those interviewed as important and </w:t>
      </w:r>
      <w:r w:rsidR="00496F33" w:rsidRPr="00552E3E">
        <w:t xml:space="preserve">an </w:t>
      </w:r>
      <w:r w:rsidR="005C52B7" w:rsidRPr="00552E3E">
        <w:t>effective</w:t>
      </w:r>
      <w:r w:rsidR="00496F33" w:rsidRPr="00552E3E">
        <w:t xml:space="preserve"> space for integration between </w:t>
      </w:r>
      <w:r w:rsidR="00D435B3" w:rsidRPr="00552E3E">
        <w:t>and sharing of strategies</w:t>
      </w:r>
      <w:r w:rsidR="003566A6" w:rsidRPr="00552E3E">
        <w:t xml:space="preserve"> and communication to partner organizations</w:t>
      </w:r>
      <w:r w:rsidR="00E247E0" w:rsidRPr="00552E3E">
        <w:t>,</w:t>
      </w:r>
      <w:r w:rsidR="00D435B3" w:rsidRPr="00552E3E">
        <w:t xml:space="preserve"> as well as</w:t>
      </w:r>
      <w:r w:rsidR="003566A6" w:rsidRPr="00552E3E">
        <w:t xml:space="preserve"> upsteam communication to </w:t>
      </w:r>
      <w:r w:rsidR="00E247E0" w:rsidRPr="00552E3E">
        <w:t>a Steering</w:t>
      </w:r>
      <w:r w:rsidR="00073A3D" w:rsidRPr="00552E3E">
        <w:t xml:space="preserve"> </w:t>
      </w:r>
      <w:r w:rsidR="00627EB5" w:rsidRPr="00552E3E">
        <w:t xml:space="preserve">Committee, </w:t>
      </w:r>
      <w:r w:rsidR="003566A6" w:rsidRPr="00552E3E">
        <w:t xml:space="preserve">also </w:t>
      </w:r>
      <w:r w:rsidR="00627EB5" w:rsidRPr="00552E3E">
        <w:t xml:space="preserve">providing </w:t>
      </w:r>
      <w:r w:rsidR="003566A6" w:rsidRPr="00552E3E">
        <w:t xml:space="preserve">downstream </w:t>
      </w:r>
      <w:r w:rsidR="00627EB5" w:rsidRPr="00552E3E">
        <w:t>guidance to the Secretariat</w:t>
      </w:r>
      <w:r w:rsidR="00D435B3" w:rsidRPr="00552E3E">
        <w:t xml:space="preserve">. </w:t>
      </w:r>
      <w:r w:rsidR="005C52B7" w:rsidRPr="00552E3E">
        <w:t xml:space="preserve"> </w:t>
      </w:r>
    </w:p>
    <w:p w14:paraId="13B038F2" w14:textId="2082F4CD" w:rsidR="0047172C" w:rsidRPr="00552E3E" w:rsidRDefault="00552E3E" w:rsidP="00552E3E">
      <w:pPr>
        <w:ind w:left="360"/>
        <w:jc w:val="both"/>
      </w:pPr>
      <w:r>
        <w:t xml:space="preserve">(5) </w:t>
      </w:r>
      <w:r w:rsidR="0047172C" w:rsidRPr="00552E3E">
        <w:t xml:space="preserve">A dedicated PMU was confirmed by all interviewed as necessary to the operation of the GGP. </w:t>
      </w:r>
      <w:r w:rsidR="009700C2" w:rsidRPr="009700C2">
        <w:rPr>
          <w:sz w:val="20"/>
          <w:szCs w:val="20"/>
        </w:rPr>
        <w:t>The PMU staff split their time between A&amp;L (30</w:t>
      </w:r>
      <w:r w:rsidR="009700C2">
        <w:rPr>
          <w:sz w:val="20"/>
          <w:szCs w:val="20"/>
        </w:rPr>
        <w:t>%</w:t>
      </w:r>
      <w:r w:rsidR="009700C2" w:rsidRPr="009700C2">
        <w:rPr>
          <w:sz w:val="20"/>
          <w:szCs w:val="20"/>
        </w:rPr>
        <w:t>) and Production (70</w:t>
      </w:r>
      <w:r w:rsidR="009700C2">
        <w:rPr>
          <w:sz w:val="20"/>
          <w:szCs w:val="20"/>
        </w:rPr>
        <w:t>%</w:t>
      </w:r>
      <w:r w:rsidR="009700C2" w:rsidRPr="009700C2">
        <w:rPr>
          <w:sz w:val="20"/>
          <w:szCs w:val="20"/>
        </w:rPr>
        <w:t>).</w:t>
      </w:r>
    </w:p>
    <w:p w14:paraId="351D1FB1" w14:textId="1139754F" w:rsidR="003B311E" w:rsidRPr="00552E3E" w:rsidRDefault="00BB47E4" w:rsidP="00552E3E">
      <w:pPr>
        <w:ind w:left="360"/>
        <w:jc w:val="both"/>
      </w:pPr>
      <w:r>
        <w:t xml:space="preserve">(6) </w:t>
      </w:r>
      <w:r w:rsidR="00D435B3" w:rsidRPr="00552E3E">
        <w:t>Integration at the national level was marginally successful due to design flaws</w:t>
      </w:r>
      <w:r w:rsidR="000C4D7E" w:rsidRPr="00552E3E">
        <w:t xml:space="preserve"> which were adequately </w:t>
      </w:r>
      <w:r w:rsidR="00D435B3" w:rsidRPr="00552E3E">
        <w:t xml:space="preserve">litigated at the Mid-term Review (MTR).  </w:t>
      </w:r>
      <w:r w:rsidR="0047172C" w:rsidRPr="00552E3E">
        <w:t xml:space="preserve">The child projects were designed using a linear </w:t>
      </w:r>
      <w:r w:rsidR="003566A6" w:rsidRPr="00552E3E">
        <w:t xml:space="preserve">rather than </w:t>
      </w:r>
      <w:r w:rsidR="0047172C" w:rsidRPr="00552E3E">
        <w:t>a systems approach. These were not wired for connectivity</w:t>
      </w:r>
      <w:r>
        <w:t xml:space="preserve">. </w:t>
      </w:r>
    </w:p>
    <w:p w14:paraId="19D32037" w14:textId="64560601" w:rsidR="0047172C" w:rsidRPr="00552E3E" w:rsidRDefault="00EC0804" w:rsidP="00552E3E">
      <w:pPr>
        <w:ind w:left="360"/>
        <w:jc w:val="both"/>
      </w:pPr>
      <w:r>
        <w:t>(7)</w:t>
      </w:r>
      <w:r w:rsidR="001222CE">
        <w:t xml:space="preserve"> </w:t>
      </w:r>
      <w:r w:rsidR="0047172C" w:rsidRPr="00552E3E">
        <w:t>The design of each child project did not include outcomes</w:t>
      </w:r>
      <w:r w:rsidR="0003343E" w:rsidRPr="00552E3E">
        <w:t xml:space="preserve"> for funding</w:t>
      </w:r>
      <w:r w:rsidR="0047172C" w:rsidRPr="00552E3E">
        <w:t xml:space="preserve"> for program-level </w:t>
      </w:r>
      <w:r w:rsidR="005E2926" w:rsidRPr="00552E3E">
        <w:t xml:space="preserve">coordination, </w:t>
      </w:r>
      <w:r w:rsidR="0047172C" w:rsidRPr="00552E3E">
        <w:t>M&amp;E</w:t>
      </w:r>
      <w:r w:rsidR="005E2926" w:rsidRPr="00552E3E">
        <w:t>, communication</w:t>
      </w:r>
      <w:r w:rsidR="0047172C" w:rsidRPr="00552E3E">
        <w:t xml:space="preserve"> and knowledge management connected to a central vision of how those processes should have played</w:t>
      </w:r>
      <w:r w:rsidR="00154ABF" w:rsidRPr="00552E3E">
        <w:t>-</w:t>
      </w:r>
      <w:r w:rsidR="0047172C" w:rsidRPr="00552E3E">
        <w:t xml:space="preserve">out across </w:t>
      </w:r>
      <w:r w:rsidR="00154ABF" w:rsidRPr="00552E3E">
        <w:t xml:space="preserve">the </w:t>
      </w:r>
      <w:r w:rsidR="0047172C" w:rsidRPr="00552E3E">
        <w:t>child projects</w:t>
      </w:r>
      <w:r w:rsidR="0003343E" w:rsidRPr="00552E3E">
        <w:t xml:space="preserve">. </w:t>
      </w:r>
    </w:p>
    <w:p w14:paraId="7442F54F" w14:textId="733F5144" w:rsidR="005C52B7" w:rsidRPr="00552E3E" w:rsidRDefault="007F7967" w:rsidP="00552E3E">
      <w:pPr>
        <w:ind w:left="360"/>
        <w:jc w:val="both"/>
      </w:pPr>
      <w:r>
        <w:t xml:space="preserve">(8) </w:t>
      </w:r>
      <w:r w:rsidR="00496F33" w:rsidRPr="00552E3E">
        <w:t>Often the Child projects</w:t>
      </w:r>
      <w:r w:rsidR="0047172C" w:rsidRPr="00552E3E">
        <w:t xml:space="preserve"> staff</w:t>
      </w:r>
      <w:r w:rsidR="00496F33" w:rsidRPr="00552E3E">
        <w:t xml:space="preserve"> </w:t>
      </w:r>
      <w:r w:rsidR="00154ABF" w:rsidRPr="00552E3E">
        <w:t xml:space="preserve">perceived </w:t>
      </w:r>
      <w:r w:rsidR="00496F33" w:rsidRPr="00552E3E">
        <w:t xml:space="preserve">the extra time needed </w:t>
      </w:r>
      <w:r w:rsidR="00154ABF" w:rsidRPr="00552E3E">
        <w:t xml:space="preserve">for M&amp;E and knowledge products </w:t>
      </w:r>
      <w:r w:rsidR="00496F33" w:rsidRPr="00552E3E">
        <w:t>as a burden</w:t>
      </w:r>
      <w:r w:rsidR="006F0DBC" w:rsidRPr="00552E3E">
        <w:t xml:space="preserve"> or outside of the</w:t>
      </w:r>
      <w:r w:rsidR="00154ABF" w:rsidRPr="00552E3E">
        <w:t>ir</w:t>
      </w:r>
      <w:r w:rsidR="006F0DBC" w:rsidRPr="00552E3E">
        <w:t xml:space="preserve"> scope of work.</w:t>
      </w:r>
      <w:r w:rsidR="0068300E">
        <w:t xml:space="preserve"> This is a probable consequence of the previous finding.</w:t>
      </w:r>
      <w:r w:rsidR="00496F33" w:rsidRPr="00552E3E">
        <w:t xml:space="preserve">. </w:t>
      </w:r>
    </w:p>
    <w:p w14:paraId="39FFB12F" w14:textId="0F453356" w:rsidR="00834B5B" w:rsidRPr="00552E3E" w:rsidRDefault="007F7967" w:rsidP="00552E3E">
      <w:pPr>
        <w:ind w:left="360"/>
        <w:jc w:val="both"/>
      </w:pPr>
      <w:r>
        <w:t xml:space="preserve">(9) </w:t>
      </w:r>
      <w:r w:rsidR="00834B5B" w:rsidRPr="00552E3E">
        <w:t xml:space="preserve">The response mechanism to the MTR did an admirable job in trying to respond and improve </w:t>
      </w:r>
      <w:r w:rsidR="00741B40">
        <w:t xml:space="preserve">participation and </w:t>
      </w:r>
      <w:r w:rsidR="00834B5B" w:rsidRPr="00552E3E">
        <w:t xml:space="preserve">integration. The increase in the number of calls </w:t>
      </w:r>
      <w:r w:rsidR="004557C3" w:rsidRPr="00552E3E">
        <w:t>related to GGP coordination</w:t>
      </w:r>
      <w:r w:rsidR="00834B5B" w:rsidRPr="00552E3E">
        <w:t xml:space="preserve"> </w:t>
      </w:r>
      <w:r w:rsidR="00E46AA9" w:rsidRPr="00552E3E">
        <w:t xml:space="preserve">for country teams </w:t>
      </w:r>
      <w:r w:rsidR="00834B5B" w:rsidRPr="00552E3E">
        <w:t>was not well received</w:t>
      </w:r>
      <w:r w:rsidR="00E46AA9" w:rsidRPr="00552E3E">
        <w:t xml:space="preserve"> and securing their participation</w:t>
      </w:r>
      <w:r w:rsidR="004557C3" w:rsidRPr="00552E3E">
        <w:t xml:space="preserve"> in GGP Secretariat meetings</w:t>
      </w:r>
      <w:r w:rsidR="00E46AA9" w:rsidRPr="00552E3E">
        <w:t xml:space="preserve"> was challenging</w:t>
      </w:r>
      <w:r w:rsidR="00834B5B" w:rsidRPr="00552E3E">
        <w:t xml:space="preserve">. When these were modified to </w:t>
      </w:r>
      <w:r w:rsidR="004557C3" w:rsidRPr="00552E3E">
        <w:t xml:space="preserve">quarterly Secretarait </w:t>
      </w:r>
      <w:r w:rsidR="00834B5B" w:rsidRPr="00552E3E">
        <w:t>country specific calls</w:t>
      </w:r>
      <w:r w:rsidR="004557C3" w:rsidRPr="00552E3E">
        <w:t xml:space="preserve"> for country teams</w:t>
      </w:r>
      <w:r w:rsidR="00834B5B" w:rsidRPr="00552E3E">
        <w:t>, the utility increased greatly and was described by those interviewed as very positive and beneficial</w:t>
      </w:r>
      <w:r w:rsidR="001E787E" w:rsidRPr="00552E3E">
        <w:t>, as also playing a role of supporting GGP integration at the country level.</w:t>
      </w:r>
    </w:p>
    <w:p w14:paraId="44988D85" w14:textId="3AC04E64" w:rsidR="00C3349D" w:rsidRPr="00552E3E" w:rsidRDefault="007F7967" w:rsidP="00552E3E">
      <w:pPr>
        <w:ind w:left="360"/>
        <w:jc w:val="both"/>
      </w:pPr>
      <w:r>
        <w:t xml:space="preserve">(10) </w:t>
      </w:r>
      <w:r w:rsidR="00C3349D" w:rsidRPr="00552E3E">
        <w:t>All interviewed agreed that the suite of components and outcomes for the A&amp;L project were correct for this project. At times child project or IA representatives needed to be reminded of what the outputs actually were, but when reminded, the response supported the integral design of the project.</w:t>
      </w:r>
    </w:p>
    <w:p w14:paraId="11C720B8" w14:textId="00A6C52F" w:rsidR="009A0D48" w:rsidRPr="00552E3E" w:rsidRDefault="007F7967" w:rsidP="00552E3E">
      <w:pPr>
        <w:ind w:left="360"/>
        <w:jc w:val="both"/>
      </w:pPr>
      <w:r>
        <w:t xml:space="preserve">(11) </w:t>
      </w:r>
      <w:r w:rsidR="009A0D48" w:rsidRPr="00552E3E">
        <w:t>All those interviewed agreed that the project timeline was too short and underbudgeted. Areas for increased time are tangible actions for trust-building, increased resources for field presence and promotion, communications and M&amp;E, and knowledge management.</w:t>
      </w:r>
    </w:p>
    <w:p w14:paraId="33087BA6" w14:textId="14DC2308" w:rsidR="00AE0E89" w:rsidRPr="00552E3E" w:rsidRDefault="00740A03" w:rsidP="00552E3E">
      <w:pPr>
        <w:ind w:left="360"/>
        <w:jc w:val="both"/>
      </w:pPr>
      <w:r>
        <w:t xml:space="preserve">(12) </w:t>
      </w:r>
      <w:r w:rsidR="00FE6B88" w:rsidRPr="00552E3E">
        <w:t xml:space="preserve">Stakeholders were widely consulted during the project design phase. </w:t>
      </w:r>
      <w:r w:rsidR="00B102AA" w:rsidRPr="00552E3E">
        <w:t>Persons interviewed</w:t>
      </w:r>
      <w:r w:rsidR="00AE0E89" w:rsidRPr="00552E3E">
        <w:t xml:space="preserve"> during </w:t>
      </w:r>
      <w:r w:rsidR="00FE6B88" w:rsidRPr="00552E3E">
        <w:t xml:space="preserve">reported that those consulted </w:t>
      </w:r>
      <w:r w:rsidR="00AE0E89" w:rsidRPr="00552E3E">
        <w:t xml:space="preserve">tended to be technical persons. The same with visiting consultants. The political sector was not consulted </w:t>
      </w:r>
      <w:r w:rsidR="00FE6B88" w:rsidRPr="00552E3E">
        <w:t xml:space="preserve">equally. This may have skewed the project design towards technical outputs rather than political outputs. </w:t>
      </w:r>
    </w:p>
    <w:p w14:paraId="4F32645D" w14:textId="0BF4F9CA" w:rsidR="000B541E" w:rsidRPr="00552E3E" w:rsidRDefault="00740A03" w:rsidP="00552E3E">
      <w:pPr>
        <w:ind w:left="360"/>
        <w:jc w:val="both"/>
      </w:pPr>
      <w:r>
        <w:lastRenderedPageBreak/>
        <w:t xml:space="preserve">(13) </w:t>
      </w:r>
      <w:r w:rsidR="00B102AA" w:rsidRPr="00552E3E">
        <w:t xml:space="preserve">At MTR, </w:t>
      </w:r>
      <w:r w:rsidR="00E21C9F" w:rsidRPr="00552E3E">
        <w:t>the</w:t>
      </w:r>
      <w:r w:rsidR="000B541E" w:rsidRPr="00552E3E">
        <w:t xml:space="preserve"> balance of indicators was called into question. Of the suite of indicators, all were structure indicators with the exception of two process indicators: Objective indicator 2 (Level of engagement) and Outcome 3.2. (Percentage of participant</w:t>
      </w:r>
      <w:r w:rsidR="00ED752C" w:rsidRPr="00552E3E">
        <w:t>s</w:t>
      </w:r>
      <w:r w:rsidR="000B541E" w:rsidRPr="00552E3E">
        <w:t xml:space="preserve">). In the response, there was no </w:t>
      </w:r>
      <w:r w:rsidR="00ED752C" w:rsidRPr="00552E3E">
        <w:t>adjustment</w:t>
      </w:r>
      <w:r w:rsidR="000B541E" w:rsidRPr="00552E3E">
        <w:t xml:space="preserve"> of the indicators </w:t>
      </w:r>
      <w:r w:rsidR="007809A5">
        <w:t xml:space="preserve">during implementation </w:t>
      </w:r>
      <w:r w:rsidR="000B541E" w:rsidRPr="00552E3E">
        <w:t xml:space="preserve">to include more process or </w:t>
      </w:r>
      <w:r w:rsidR="00DE321B" w:rsidRPr="00552E3E">
        <w:t xml:space="preserve">balanced with Outcome and Impact indicators. </w:t>
      </w:r>
    </w:p>
    <w:p w14:paraId="72F4B25E" w14:textId="306BB796" w:rsidR="00655194" w:rsidRDefault="00655194" w:rsidP="001D6048"/>
    <w:p w14:paraId="2F6EBDA6" w14:textId="613E6E64" w:rsidR="00655194" w:rsidRDefault="00655194" w:rsidP="001D6048">
      <w:r>
        <w:t xml:space="preserve">Conclusions: </w:t>
      </w:r>
    </w:p>
    <w:p w14:paraId="3F2F4A69" w14:textId="2305926C" w:rsidR="00C3349D" w:rsidRPr="007809A5" w:rsidRDefault="007809A5" w:rsidP="007809A5">
      <w:pPr>
        <w:ind w:left="720"/>
        <w:jc w:val="both"/>
        <w:rPr>
          <w:rFonts w:asciiTheme="minorHAnsi" w:hAnsiTheme="minorHAnsi" w:cstheme="minorHAnsi"/>
        </w:rPr>
      </w:pPr>
      <w:r>
        <w:rPr>
          <w:rFonts w:asciiTheme="minorHAnsi" w:hAnsiTheme="minorHAnsi" w:cstheme="minorHAnsi"/>
        </w:rPr>
        <w:t xml:space="preserve">(4) </w:t>
      </w:r>
      <w:r w:rsidR="00C3349D" w:rsidRPr="007809A5">
        <w:rPr>
          <w:rFonts w:asciiTheme="minorHAnsi" w:hAnsiTheme="minorHAnsi" w:cstheme="minorHAnsi"/>
        </w:rPr>
        <w:t xml:space="preserve">The project design creates adequate governance structures to foment integration amongst the partners at the </w:t>
      </w:r>
      <w:r w:rsidR="00323340" w:rsidRPr="007809A5">
        <w:rPr>
          <w:rFonts w:asciiTheme="minorHAnsi" w:hAnsiTheme="minorHAnsi" w:cstheme="minorHAnsi"/>
        </w:rPr>
        <w:t>international level</w:t>
      </w:r>
      <w:r w:rsidR="00C3349D" w:rsidRPr="007809A5">
        <w:rPr>
          <w:rFonts w:asciiTheme="minorHAnsi" w:hAnsiTheme="minorHAnsi" w:cstheme="minorHAnsi"/>
        </w:rPr>
        <w:t>.</w:t>
      </w:r>
      <w:r>
        <w:rPr>
          <w:rFonts w:asciiTheme="minorHAnsi" w:hAnsiTheme="minorHAnsi" w:cstheme="minorHAnsi"/>
        </w:rPr>
        <w:t xml:space="preserve"> </w:t>
      </w:r>
    </w:p>
    <w:p w14:paraId="15754923" w14:textId="695DE696" w:rsidR="00C0051F" w:rsidRPr="007809A5" w:rsidRDefault="00F739CF" w:rsidP="007809A5">
      <w:pPr>
        <w:ind w:left="720"/>
        <w:jc w:val="both"/>
        <w:rPr>
          <w:rFonts w:asciiTheme="minorHAnsi" w:hAnsiTheme="minorHAnsi" w:cstheme="minorHAnsi"/>
        </w:rPr>
      </w:pPr>
      <w:r>
        <w:rPr>
          <w:rFonts w:asciiTheme="minorHAnsi" w:hAnsiTheme="minorHAnsi" w:cstheme="minorHAnsi"/>
        </w:rPr>
        <w:t xml:space="preserve">(5) </w:t>
      </w:r>
      <w:r w:rsidR="00C0051F" w:rsidRPr="007809A5">
        <w:rPr>
          <w:rFonts w:asciiTheme="minorHAnsi" w:hAnsiTheme="minorHAnsi" w:cstheme="minorHAnsi"/>
        </w:rPr>
        <w:t>The management structure defined at the formulation stage is adequate in terms of role, but inadequate in scope and financing</w:t>
      </w:r>
    </w:p>
    <w:p w14:paraId="08C06238" w14:textId="70DF29CC" w:rsidR="00C3349D" w:rsidRDefault="006C02EE" w:rsidP="007809A5">
      <w:pPr>
        <w:ind w:left="720"/>
        <w:jc w:val="both"/>
        <w:rPr>
          <w:rFonts w:asciiTheme="minorHAnsi" w:hAnsiTheme="minorHAnsi" w:cstheme="minorHAnsi"/>
        </w:rPr>
      </w:pPr>
      <w:r>
        <w:rPr>
          <w:rFonts w:asciiTheme="minorHAnsi" w:hAnsiTheme="minorHAnsi" w:cstheme="minorHAnsi"/>
        </w:rPr>
        <w:t xml:space="preserve">(6) </w:t>
      </w:r>
      <w:r w:rsidR="00C3349D" w:rsidRPr="007809A5">
        <w:rPr>
          <w:rFonts w:asciiTheme="minorHAnsi" w:hAnsiTheme="minorHAnsi" w:cstheme="minorHAnsi"/>
        </w:rPr>
        <w:t xml:space="preserve">The design of the child projects did not facilitate the success of the A&amp;L project. As a “connector” project, there was great desire </w:t>
      </w:r>
      <w:r w:rsidR="00724EDC" w:rsidRPr="007809A5">
        <w:rPr>
          <w:rFonts w:asciiTheme="minorHAnsi" w:hAnsiTheme="minorHAnsi" w:cstheme="minorHAnsi"/>
        </w:rPr>
        <w:t>but</w:t>
      </w:r>
      <w:r w:rsidR="00C3349D" w:rsidRPr="007809A5">
        <w:rPr>
          <w:rFonts w:asciiTheme="minorHAnsi" w:hAnsiTheme="minorHAnsi" w:cstheme="minorHAnsi"/>
        </w:rPr>
        <w:t xml:space="preserve"> managers in each of the child projects had no common objectives for investing time and resources in program-level M&amp;E, transfer of information, or knowledge management. This was a consistent criticism by all interviewed and recognized by the PMU.</w:t>
      </w:r>
    </w:p>
    <w:p w14:paraId="3C536568" w14:textId="2CDF90DC" w:rsidR="00820549" w:rsidRPr="007809A5" w:rsidRDefault="00820549" w:rsidP="007809A5">
      <w:pPr>
        <w:ind w:left="720"/>
        <w:jc w:val="both"/>
        <w:rPr>
          <w:rFonts w:asciiTheme="minorHAnsi" w:hAnsiTheme="minorHAnsi" w:cstheme="minorHAnsi"/>
        </w:rPr>
      </w:pPr>
      <w:r>
        <w:rPr>
          <w:rFonts w:asciiTheme="minorHAnsi" w:hAnsiTheme="minorHAnsi" w:cstheme="minorHAnsi"/>
        </w:rPr>
        <w:t>(</w:t>
      </w:r>
      <w:r w:rsidR="002737FA">
        <w:rPr>
          <w:rFonts w:asciiTheme="minorHAnsi" w:hAnsiTheme="minorHAnsi" w:cstheme="minorHAnsi"/>
        </w:rPr>
        <w:t>7</w:t>
      </w:r>
      <w:r>
        <w:rPr>
          <w:rFonts w:asciiTheme="minorHAnsi" w:hAnsiTheme="minorHAnsi" w:cstheme="minorHAnsi"/>
        </w:rPr>
        <w:t xml:space="preserve">) </w:t>
      </w:r>
      <w:r w:rsidRPr="00820549">
        <w:rPr>
          <w:rFonts w:asciiTheme="minorHAnsi" w:hAnsiTheme="minorHAnsi" w:cstheme="minorHAnsi"/>
        </w:rPr>
        <w:t>The PMU did a good job promoting systems thinking but the structure was already hardened into place</w:t>
      </w:r>
    </w:p>
    <w:p w14:paraId="09A31FAD" w14:textId="0AC8BB38" w:rsidR="002737FA" w:rsidRDefault="006C02EE" w:rsidP="007809A5">
      <w:pPr>
        <w:ind w:left="720"/>
        <w:jc w:val="both"/>
        <w:rPr>
          <w:rFonts w:asciiTheme="minorHAnsi" w:hAnsiTheme="minorHAnsi" w:cstheme="minorHAnsi"/>
        </w:rPr>
      </w:pPr>
      <w:r>
        <w:rPr>
          <w:rFonts w:asciiTheme="minorHAnsi" w:hAnsiTheme="minorHAnsi" w:cstheme="minorHAnsi"/>
        </w:rPr>
        <w:t>(</w:t>
      </w:r>
      <w:r w:rsidR="002737FA">
        <w:rPr>
          <w:rFonts w:asciiTheme="minorHAnsi" w:hAnsiTheme="minorHAnsi" w:cstheme="minorHAnsi"/>
        </w:rPr>
        <w:t>8</w:t>
      </w:r>
      <w:r>
        <w:rPr>
          <w:rFonts w:asciiTheme="minorHAnsi" w:hAnsiTheme="minorHAnsi" w:cstheme="minorHAnsi"/>
        </w:rPr>
        <w:t xml:space="preserve">) </w:t>
      </w:r>
      <w:r w:rsidR="002737FA" w:rsidRPr="002737FA">
        <w:rPr>
          <w:rFonts w:asciiTheme="minorHAnsi" w:hAnsiTheme="minorHAnsi" w:cstheme="minorHAnsi"/>
        </w:rPr>
        <w:t>The project was underfunded restricting the development of Monitoring and knowledge management outputs across the GGP.</w:t>
      </w:r>
    </w:p>
    <w:p w14:paraId="530238F5" w14:textId="3507575A" w:rsidR="00C0051F" w:rsidRPr="007809A5" w:rsidRDefault="002737FA" w:rsidP="007809A5">
      <w:pPr>
        <w:ind w:left="720"/>
        <w:jc w:val="both"/>
        <w:rPr>
          <w:rFonts w:asciiTheme="minorHAnsi" w:hAnsiTheme="minorHAnsi" w:cstheme="minorHAnsi"/>
        </w:rPr>
      </w:pPr>
      <w:r>
        <w:rPr>
          <w:rFonts w:asciiTheme="minorHAnsi" w:hAnsiTheme="minorHAnsi" w:cstheme="minorHAnsi"/>
        </w:rPr>
        <w:t xml:space="preserve">(9) </w:t>
      </w:r>
      <w:r w:rsidR="00C0051F" w:rsidRPr="007809A5">
        <w:rPr>
          <w:rFonts w:asciiTheme="minorHAnsi" w:hAnsiTheme="minorHAnsi" w:cstheme="minorHAnsi"/>
        </w:rPr>
        <w:t xml:space="preserve">The response mechanism to the MTR did an admirable job in trying to respond and improve integration with new procedures and learning tools.  More interest was generated as the </w:t>
      </w:r>
      <w:r w:rsidR="00C151B8" w:rsidRPr="007809A5">
        <w:rPr>
          <w:rFonts w:asciiTheme="minorHAnsi" w:hAnsiTheme="minorHAnsi" w:cstheme="minorHAnsi"/>
        </w:rPr>
        <w:t xml:space="preserve">Secretariat coordination </w:t>
      </w:r>
      <w:r w:rsidR="00C0051F" w:rsidRPr="007809A5">
        <w:rPr>
          <w:rFonts w:asciiTheme="minorHAnsi" w:hAnsiTheme="minorHAnsi" w:cstheme="minorHAnsi"/>
        </w:rPr>
        <w:t xml:space="preserve">calls shifted to </w:t>
      </w:r>
      <w:r w:rsidR="00C151B8" w:rsidRPr="007809A5">
        <w:rPr>
          <w:rFonts w:asciiTheme="minorHAnsi" w:hAnsiTheme="minorHAnsi" w:cstheme="minorHAnsi"/>
        </w:rPr>
        <w:t xml:space="preserve">quarterly </w:t>
      </w:r>
      <w:r w:rsidR="00C0051F" w:rsidRPr="007809A5">
        <w:rPr>
          <w:rFonts w:asciiTheme="minorHAnsi" w:hAnsiTheme="minorHAnsi" w:cstheme="minorHAnsi"/>
        </w:rPr>
        <w:t>Country specific calls</w:t>
      </w:r>
      <w:r w:rsidR="00C151B8" w:rsidRPr="007809A5">
        <w:rPr>
          <w:rFonts w:asciiTheme="minorHAnsi" w:hAnsiTheme="minorHAnsi" w:cstheme="minorHAnsi"/>
        </w:rPr>
        <w:t xml:space="preserve"> for country calls, while monthly coordination meetings were maintained at the global level</w:t>
      </w:r>
      <w:r w:rsidR="00C0051F" w:rsidRPr="007809A5">
        <w:rPr>
          <w:rFonts w:asciiTheme="minorHAnsi" w:hAnsiTheme="minorHAnsi" w:cstheme="minorHAnsi"/>
        </w:rPr>
        <w:t>.</w:t>
      </w:r>
    </w:p>
    <w:p w14:paraId="0D9542EA" w14:textId="457F6D84" w:rsidR="00737E5F" w:rsidRPr="007809A5" w:rsidRDefault="002737FA" w:rsidP="007809A5">
      <w:pPr>
        <w:ind w:left="720"/>
        <w:jc w:val="both"/>
        <w:rPr>
          <w:rFonts w:asciiTheme="minorHAnsi" w:hAnsiTheme="minorHAnsi" w:cstheme="minorHAnsi"/>
        </w:rPr>
      </w:pPr>
      <w:r>
        <w:rPr>
          <w:rFonts w:asciiTheme="minorHAnsi" w:hAnsiTheme="minorHAnsi" w:cstheme="minorHAnsi"/>
        </w:rPr>
        <w:t xml:space="preserve">(10) </w:t>
      </w:r>
      <w:r w:rsidR="00737E5F" w:rsidRPr="007809A5">
        <w:rPr>
          <w:rFonts w:asciiTheme="minorHAnsi" w:hAnsiTheme="minorHAnsi" w:cstheme="minorHAnsi"/>
        </w:rPr>
        <w:t xml:space="preserve">A review of the components, outcomes and outputs demonstrates acceptable internal logic and sufficient activities to achieve the outcomes. </w:t>
      </w:r>
    </w:p>
    <w:p w14:paraId="1368796B" w14:textId="7CB0F318" w:rsidR="00655194" w:rsidRPr="007809A5" w:rsidRDefault="00CD42CE" w:rsidP="007809A5">
      <w:pPr>
        <w:ind w:left="720"/>
        <w:jc w:val="both"/>
        <w:rPr>
          <w:rFonts w:asciiTheme="minorHAnsi" w:hAnsiTheme="minorHAnsi" w:cstheme="minorHAnsi"/>
        </w:rPr>
      </w:pPr>
      <w:r>
        <w:rPr>
          <w:rFonts w:asciiTheme="minorHAnsi" w:hAnsiTheme="minorHAnsi" w:cstheme="minorHAnsi"/>
        </w:rPr>
        <w:t xml:space="preserve">(11) </w:t>
      </w:r>
      <w:r w:rsidR="00F73869" w:rsidRPr="007809A5">
        <w:rPr>
          <w:rFonts w:asciiTheme="minorHAnsi" w:hAnsiTheme="minorHAnsi" w:cstheme="minorHAnsi"/>
        </w:rPr>
        <w:t>T</w:t>
      </w:r>
      <w:r w:rsidR="00C0051F" w:rsidRPr="007809A5">
        <w:rPr>
          <w:rFonts w:asciiTheme="minorHAnsi" w:hAnsiTheme="minorHAnsi" w:cstheme="minorHAnsi"/>
        </w:rPr>
        <w:t xml:space="preserve">he project timeline was too short and </w:t>
      </w:r>
      <w:r w:rsidR="00F73869" w:rsidRPr="007809A5">
        <w:rPr>
          <w:rFonts w:asciiTheme="minorHAnsi" w:hAnsiTheme="minorHAnsi" w:cstheme="minorHAnsi"/>
        </w:rPr>
        <w:t>the project</w:t>
      </w:r>
      <w:r w:rsidR="00C0051F" w:rsidRPr="007809A5">
        <w:rPr>
          <w:rFonts w:asciiTheme="minorHAnsi" w:hAnsiTheme="minorHAnsi" w:cstheme="minorHAnsi"/>
        </w:rPr>
        <w:t xml:space="preserve"> underbudgeted</w:t>
      </w:r>
    </w:p>
    <w:p w14:paraId="02E47FFD" w14:textId="6F2FA719" w:rsidR="00B102AA" w:rsidRPr="007809A5" w:rsidRDefault="00CD42CE" w:rsidP="007809A5">
      <w:pPr>
        <w:ind w:left="720"/>
        <w:jc w:val="both"/>
        <w:rPr>
          <w:rFonts w:asciiTheme="minorHAnsi" w:hAnsiTheme="minorHAnsi" w:cstheme="minorHAnsi"/>
        </w:rPr>
      </w:pPr>
      <w:r>
        <w:rPr>
          <w:rFonts w:asciiTheme="minorHAnsi" w:hAnsiTheme="minorHAnsi" w:cstheme="minorHAnsi"/>
        </w:rPr>
        <w:t xml:space="preserve">(12) </w:t>
      </w:r>
      <w:r w:rsidRPr="00CD42CE">
        <w:rPr>
          <w:rFonts w:asciiTheme="minorHAnsi" w:hAnsiTheme="minorHAnsi" w:cstheme="minorHAnsi"/>
        </w:rPr>
        <w:t xml:space="preserve">Policy aspects did not have the same footprint as technical aspects. </w:t>
      </w:r>
      <w:r w:rsidR="00B102AA" w:rsidRPr="007809A5">
        <w:rPr>
          <w:rFonts w:asciiTheme="minorHAnsi" w:hAnsiTheme="minorHAnsi" w:cstheme="minorHAnsi"/>
        </w:rPr>
        <w:t>There may be a technical bias built into the project design towards technical outputs rather than political outputs. The multi-stakeholder platforms mitigate this problem through a participative process.</w:t>
      </w:r>
    </w:p>
    <w:p w14:paraId="53726A53" w14:textId="17A7C214" w:rsidR="00EF2797" w:rsidRPr="007809A5" w:rsidRDefault="00CD42CE" w:rsidP="007809A5">
      <w:pPr>
        <w:ind w:left="720"/>
        <w:jc w:val="both"/>
        <w:rPr>
          <w:rFonts w:asciiTheme="minorHAnsi" w:hAnsiTheme="minorHAnsi" w:cstheme="minorHAnsi"/>
        </w:rPr>
      </w:pPr>
      <w:r>
        <w:rPr>
          <w:rFonts w:asciiTheme="minorHAnsi" w:hAnsiTheme="minorHAnsi" w:cstheme="minorHAnsi"/>
        </w:rPr>
        <w:t xml:space="preserve">(13) </w:t>
      </w:r>
      <w:r w:rsidR="00127AAA" w:rsidRPr="007809A5">
        <w:rPr>
          <w:rFonts w:asciiTheme="minorHAnsi" w:hAnsiTheme="minorHAnsi" w:cstheme="minorHAnsi"/>
        </w:rPr>
        <w:t>The indicators are generally SMART</w:t>
      </w:r>
      <w:r w:rsidR="006B70DD" w:rsidRPr="007809A5">
        <w:rPr>
          <w:rFonts w:asciiTheme="minorHAnsi" w:hAnsiTheme="minorHAnsi" w:cstheme="minorHAnsi"/>
        </w:rPr>
        <w:t>.</w:t>
      </w:r>
      <w:r>
        <w:rPr>
          <w:rFonts w:asciiTheme="minorHAnsi" w:hAnsiTheme="minorHAnsi" w:cstheme="minorHAnsi"/>
        </w:rPr>
        <w:t xml:space="preserve"> A</w:t>
      </w:r>
      <w:r w:rsidR="00EF2797" w:rsidRPr="007809A5">
        <w:rPr>
          <w:rFonts w:asciiTheme="minorHAnsi" w:hAnsiTheme="minorHAnsi" w:cstheme="minorHAnsi"/>
        </w:rPr>
        <w:t>s a pilot program, the project missed an important opportunity to generate an understanding of the performance of the outcomes</w:t>
      </w:r>
      <w:r w:rsidR="00AD6534">
        <w:rPr>
          <w:rFonts w:asciiTheme="minorHAnsi" w:hAnsiTheme="minorHAnsi" w:cstheme="minorHAnsi"/>
        </w:rPr>
        <w:t xml:space="preserve"> by expanding the types of indicators</w:t>
      </w:r>
      <w:r w:rsidR="00EF2797" w:rsidRPr="007809A5">
        <w:rPr>
          <w:rFonts w:asciiTheme="minorHAnsi" w:hAnsiTheme="minorHAnsi" w:cstheme="minorHAnsi"/>
        </w:rPr>
        <w:t>.</w:t>
      </w:r>
      <w:r w:rsidR="00AD6534">
        <w:rPr>
          <w:rFonts w:asciiTheme="minorHAnsi" w:hAnsiTheme="minorHAnsi" w:cstheme="minorHAnsi"/>
        </w:rPr>
        <w:t xml:space="preserve">  There is little qualitative information provided by the indicators on the value placed on collaboration, utility of evidence products, or utility of GCC events or knowledge management products. A diversity of indicators is a good idea for pilot initiatives.  </w:t>
      </w:r>
    </w:p>
    <w:p w14:paraId="239E2E38" w14:textId="77777777" w:rsidR="002737FA" w:rsidRDefault="002737FA" w:rsidP="002737FA">
      <w:pPr>
        <w:ind w:left="720"/>
        <w:jc w:val="both"/>
        <w:rPr>
          <w:rFonts w:asciiTheme="minorHAnsi" w:hAnsiTheme="minorHAnsi" w:cstheme="minorHAnsi"/>
        </w:rPr>
      </w:pPr>
    </w:p>
    <w:p w14:paraId="065FE1E7" w14:textId="2CCDE72E" w:rsidR="002737FA" w:rsidRPr="007809A5" w:rsidRDefault="002737FA" w:rsidP="002737FA">
      <w:pPr>
        <w:ind w:left="720"/>
        <w:jc w:val="both"/>
        <w:rPr>
          <w:rFonts w:asciiTheme="minorHAnsi" w:hAnsiTheme="minorHAnsi" w:cstheme="minorHAnsi"/>
        </w:rPr>
      </w:pPr>
      <w:r w:rsidRPr="007809A5">
        <w:rPr>
          <w:rFonts w:asciiTheme="minorHAnsi" w:hAnsiTheme="minorHAnsi" w:cstheme="minorHAnsi"/>
        </w:rPr>
        <w:lastRenderedPageBreak/>
        <w:t xml:space="preserve">The results, although not ideal for integration do reflect the diverse nature of thinking on commodities at the national level. </w:t>
      </w:r>
      <w:r>
        <w:rPr>
          <w:rFonts w:asciiTheme="minorHAnsi" w:hAnsiTheme="minorHAnsi" w:cstheme="minorHAnsi"/>
        </w:rPr>
        <w:t xml:space="preserve">The participating organizations have different </w:t>
      </w:r>
      <w:r w:rsidR="00A93A2C">
        <w:rPr>
          <w:rFonts w:asciiTheme="minorHAnsi" w:hAnsiTheme="minorHAnsi" w:cstheme="minorHAnsi"/>
        </w:rPr>
        <w:t xml:space="preserve">and sometimes competing </w:t>
      </w:r>
      <w:r>
        <w:rPr>
          <w:rFonts w:asciiTheme="minorHAnsi" w:hAnsiTheme="minorHAnsi" w:cstheme="minorHAnsi"/>
        </w:rPr>
        <w:t xml:space="preserve">TOCs about how to deal with commodities </w:t>
      </w:r>
      <w:r w:rsidR="00A93A2C">
        <w:rPr>
          <w:rFonts w:asciiTheme="minorHAnsi" w:hAnsiTheme="minorHAnsi" w:cstheme="minorHAnsi"/>
        </w:rPr>
        <w:t xml:space="preserve">were not systematically vetted </w:t>
      </w:r>
      <w:r>
        <w:rPr>
          <w:rFonts w:asciiTheme="minorHAnsi" w:hAnsiTheme="minorHAnsi" w:cstheme="minorHAnsi"/>
        </w:rPr>
        <w:t xml:space="preserve"> in the Green Commodities Community or other </w:t>
      </w:r>
      <w:r w:rsidRPr="00820549">
        <w:rPr>
          <w:rFonts w:asciiTheme="minorHAnsi" w:hAnsiTheme="minorHAnsi" w:cstheme="minorHAnsi"/>
          <w:i/>
          <w:iCs/>
        </w:rPr>
        <w:t>Fora</w:t>
      </w:r>
      <w:r>
        <w:rPr>
          <w:rFonts w:asciiTheme="minorHAnsi" w:hAnsiTheme="minorHAnsi" w:cstheme="minorHAnsi"/>
        </w:rPr>
        <w:t xml:space="preserve">. </w:t>
      </w:r>
      <w:r w:rsidR="00A93A2C">
        <w:rPr>
          <w:rFonts w:asciiTheme="minorHAnsi" w:hAnsiTheme="minorHAnsi" w:cstheme="minorHAnsi"/>
        </w:rPr>
        <w:t>For example, s</w:t>
      </w:r>
      <w:r>
        <w:rPr>
          <w:rFonts w:asciiTheme="minorHAnsi" w:hAnsiTheme="minorHAnsi" w:cstheme="minorHAnsi"/>
        </w:rPr>
        <w:t>ome do not operationally embrace the multi-stakeholder approach</w:t>
      </w:r>
      <w:r w:rsidR="00A93A2C">
        <w:rPr>
          <w:rFonts w:asciiTheme="minorHAnsi" w:hAnsiTheme="minorHAnsi" w:cstheme="minorHAnsi"/>
        </w:rPr>
        <w:t xml:space="preserve"> in favor of technical or market approach whilst others rely on a zero deforestation approach vs. other types of planning. </w:t>
      </w:r>
      <w:r>
        <w:rPr>
          <w:rFonts w:asciiTheme="minorHAnsi" w:hAnsiTheme="minorHAnsi" w:cstheme="minorHAnsi"/>
        </w:rPr>
        <w:t>If these are vetted, then more concrete recommendations to save time and resources could be crafted and disseminated.</w:t>
      </w:r>
      <w:r w:rsidR="00A93A2C">
        <w:rPr>
          <w:rFonts w:asciiTheme="minorHAnsi" w:hAnsiTheme="minorHAnsi" w:cstheme="minorHAnsi"/>
        </w:rPr>
        <w:t xml:space="preserve"> </w:t>
      </w:r>
    </w:p>
    <w:p w14:paraId="60103B02" w14:textId="01EBBD5F" w:rsidR="00655194" w:rsidRDefault="00655194" w:rsidP="001D6048"/>
    <w:p w14:paraId="4BCCA799" w14:textId="38366E6B" w:rsidR="00DE5D9A" w:rsidRDefault="00DE5D9A" w:rsidP="001D6048">
      <w:r>
        <w:t>Recommendations</w:t>
      </w:r>
    </w:p>
    <w:p w14:paraId="7BD13433" w14:textId="548303AE" w:rsidR="00DE5D9A" w:rsidRPr="00D3382E" w:rsidRDefault="000D5B5E" w:rsidP="00D3382E">
      <w:pPr>
        <w:spacing w:after="120"/>
        <w:ind w:left="720"/>
        <w:jc w:val="both"/>
        <w:rPr>
          <w:rFonts w:asciiTheme="minorHAnsi" w:hAnsiTheme="minorHAnsi" w:cstheme="minorBidi"/>
        </w:rPr>
      </w:pPr>
      <w:r>
        <w:rPr>
          <w:rFonts w:asciiTheme="minorHAnsi" w:hAnsiTheme="minorHAnsi" w:cstheme="minorBidi"/>
        </w:rPr>
        <w:t xml:space="preserve">(3) </w:t>
      </w:r>
      <w:r w:rsidR="00CD0A03" w:rsidRPr="00CD0A03">
        <w:rPr>
          <w:rFonts w:asciiTheme="minorHAnsi" w:hAnsiTheme="minorHAnsi" w:cstheme="minorBidi"/>
        </w:rPr>
        <w:t>•</w:t>
      </w:r>
      <w:r w:rsidR="00CD0A03" w:rsidRPr="00CD0A03">
        <w:rPr>
          <w:rFonts w:asciiTheme="minorHAnsi" w:hAnsiTheme="minorHAnsi" w:cstheme="minorBidi"/>
        </w:rPr>
        <w:tab/>
        <w:t>For projects with a coordinating function such as A&amp;L, allocate resources for a full-time PMU – as only 30% effort is insufficient</w:t>
      </w:r>
      <w:r w:rsidR="00BB526D" w:rsidRPr="00D3382E">
        <w:rPr>
          <w:rFonts w:asciiTheme="minorHAnsi" w:hAnsiTheme="minorHAnsi" w:cstheme="minorBidi"/>
        </w:rPr>
        <w:t>. A staff person in each country with M&amp;E or analytical experience and responsibilities detailed to IAs or Child Project staff would be optimal.</w:t>
      </w:r>
    </w:p>
    <w:p w14:paraId="624C77DA" w14:textId="41311941" w:rsidR="00BB526D" w:rsidRPr="00D3382E" w:rsidRDefault="000D5B5E" w:rsidP="00D3382E">
      <w:pPr>
        <w:spacing w:after="120"/>
        <w:ind w:left="720"/>
        <w:jc w:val="both"/>
        <w:rPr>
          <w:rFonts w:asciiTheme="minorHAnsi" w:hAnsiTheme="minorHAnsi" w:cstheme="minorHAnsi"/>
        </w:rPr>
      </w:pPr>
      <w:r>
        <w:rPr>
          <w:rFonts w:asciiTheme="minorHAnsi" w:hAnsiTheme="minorHAnsi" w:cstheme="minorHAnsi"/>
        </w:rPr>
        <w:t xml:space="preserve">(4) </w:t>
      </w:r>
      <w:r w:rsidR="00BB526D" w:rsidRPr="00D3382E">
        <w:rPr>
          <w:rFonts w:asciiTheme="minorHAnsi" w:hAnsiTheme="minorHAnsi" w:cstheme="minorHAnsi"/>
        </w:rPr>
        <w:t>The differences between approaches amongst partner organizations are opportunities to test different strategies. A program-level evaluation might want to examine the effectiveness of different strategies</w:t>
      </w:r>
      <w:r w:rsidR="00652D4A">
        <w:rPr>
          <w:rFonts w:asciiTheme="minorHAnsi" w:hAnsiTheme="minorHAnsi" w:cstheme="minorHAnsi"/>
        </w:rPr>
        <w:t xml:space="preserve"> through a variety of indicators. </w:t>
      </w:r>
      <w:r w:rsidR="00B478E0" w:rsidRPr="00B478E0">
        <w:rPr>
          <w:rFonts w:asciiTheme="minorHAnsi" w:hAnsiTheme="minorHAnsi" w:cstheme="minorHAnsi"/>
        </w:rPr>
        <w:t xml:space="preserve">For a pilot program, a variety of process, structure, status and impact indicators is important for Pilot initiatives to generate lessons learned and orient future follow-on initiatives. At MTR, it was suggested to add more qualitative targets to better link indicators. This apparently has not happened and puts into question the validity of the indicators. For example, learning on gender is based on the number of documents, not on the value placed on the material by the user, or the use of knowledge to change practices is measured by a survey of users with a binary response, rather than a qualitative indicator of the benefits generated from the practice. </w:t>
      </w:r>
      <w:r w:rsidR="00CD0A03">
        <w:rPr>
          <w:rFonts w:asciiTheme="minorHAnsi" w:hAnsiTheme="minorHAnsi" w:cstheme="minorHAnsi"/>
        </w:rPr>
        <w:t xml:space="preserve">A blend of quantitative and qualitative </w:t>
      </w:r>
      <w:r w:rsidR="00B478E0" w:rsidRPr="00B478E0">
        <w:rPr>
          <w:rFonts w:asciiTheme="minorHAnsi" w:hAnsiTheme="minorHAnsi" w:cstheme="minorHAnsi"/>
        </w:rPr>
        <w:t>indicators could have greatly informed future programs</w:t>
      </w:r>
      <w:r w:rsidR="00BB526D" w:rsidRPr="00D3382E">
        <w:rPr>
          <w:rFonts w:asciiTheme="minorHAnsi" w:hAnsiTheme="minorHAnsi" w:cstheme="minorHAnsi"/>
        </w:rPr>
        <w:t>.</w:t>
      </w:r>
    </w:p>
    <w:p w14:paraId="5090CA71" w14:textId="13A2B3CC" w:rsidR="007C0672" w:rsidRPr="007C0672" w:rsidRDefault="000D5B5E" w:rsidP="007C0672">
      <w:pPr>
        <w:spacing w:after="120"/>
        <w:ind w:left="720"/>
        <w:jc w:val="both"/>
        <w:rPr>
          <w:rFonts w:asciiTheme="minorHAnsi" w:hAnsiTheme="minorHAnsi" w:cstheme="minorHAnsi"/>
        </w:rPr>
      </w:pPr>
      <w:r>
        <w:rPr>
          <w:rFonts w:asciiTheme="minorHAnsi" w:hAnsiTheme="minorHAnsi" w:cstheme="minorHAnsi"/>
        </w:rPr>
        <w:t xml:space="preserve">(5) </w:t>
      </w:r>
      <w:r w:rsidR="00BB526D" w:rsidRPr="00D3382E">
        <w:rPr>
          <w:rFonts w:asciiTheme="minorHAnsi" w:hAnsiTheme="minorHAnsi" w:cstheme="minorHAnsi"/>
        </w:rPr>
        <w:t>Take into consideration in future formulations the time and resources needed for trust-building, participation, and communications and knowledge management</w:t>
      </w:r>
      <w:r w:rsidR="00F87434">
        <w:rPr>
          <w:rFonts w:asciiTheme="minorHAnsi" w:hAnsiTheme="minorHAnsi" w:cstheme="minorHAnsi"/>
        </w:rPr>
        <w:t xml:space="preserve"> A 6-year timeframe for future IPs is recommended.</w:t>
      </w:r>
      <w:r w:rsidR="007C0672" w:rsidRPr="007C0672">
        <w:t xml:space="preserve"> </w:t>
      </w:r>
      <w:r w:rsidR="007C0672" w:rsidRPr="007C0672">
        <w:rPr>
          <w:rFonts w:asciiTheme="minorHAnsi" w:hAnsiTheme="minorHAnsi" w:cstheme="minorHAnsi"/>
        </w:rPr>
        <w:t>Future IP development should take into account the time and resources needed for trust-building, sensitizing populations to different ideas (including through increased participation throughout project implementation), and enough time for knowledge from child projects to be gleaned from demonstrations, and adequately capitalized (including through communications). For this reason, IPs such as GGP should last 6 years minimum.</w:t>
      </w:r>
    </w:p>
    <w:p w14:paraId="4717F81E" w14:textId="5DB3280B" w:rsidR="00BB526D" w:rsidRDefault="007C0672" w:rsidP="007C0672">
      <w:pPr>
        <w:spacing w:after="120"/>
        <w:ind w:left="720"/>
        <w:jc w:val="both"/>
        <w:rPr>
          <w:rFonts w:asciiTheme="minorHAnsi" w:hAnsiTheme="minorHAnsi" w:cstheme="minorHAnsi"/>
        </w:rPr>
      </w:pPr>
      <w:r w:rsidRPr="007C0672">
        <w:rPr>
          <w:rFonts w:asciiTheme="minorHAnsi" w:hAnsiTheme="minorHAnsi" w:cstheme="minorHAnsi"/>
        </w:rPr>
        <w:t>Levels of trust and participation should be monitored and tested. If the participation of key actors cannot be secured, then a shift in Management arrangements might be necessary, including through more engagement of the national focal points to spread the risk around</w:t>
      </w:r>
    </w:p>
    <w:p w14:paraId="18D8E4B9" w14:textId="63D86323" w:rsidR="00BB526D" w:rsidRPr="000824C8" w:rsidRDefault="000D5B5E" w:rsidP="00D3382E">
      <w:pPr>
        <w:spacing w:after="120"/>
        <w:ind w:left="720"/>
        <w:jc w:val="both"/>
        <w:rPr>
          <w:rFonts w:asciiTheme="minorHAnsi" w:hAnsiTheme="minorHAnsi" w:cstheme="minorHAnsi"/>
        </w:rPr>
      </w:pPr>
      <w:r w:rsidRPr="000824C8">
        <w:t>(6) For future programs, build the Central coordination</w:t>
      </w:r>
      <w:r w:rsidR="00F87434" w:rsidRPr="000824C8">
        <w:t xml:space="preserve"> in the form of one or two</w:t>
      </w:r>
      <w:r w:rsidRPr="000824C8">
        <w:t xml:space="preserve">, M&amp;E and KM components into the design of </w:t>
      </w:r>
      <w:r w:rsidR="00F87434" w:rsidRPr="000824C8">
        <w:t xml:space="preserve">all </w:t>
      </w:r>
      <w:r w:rsidRPr="000824C8">
        <w:t>child projects. Have a dedicated Program-level coordinator for each child project and an adequate budget at the Program-level to facilitate the management components in each country</w:t>
      </w:r>
      <w:r w:rsidR="00F87434" w:rsidRPr="000824C8">
        <w:t>, which should be reflected in the TORs</w:t>
      </w:r>
      <w:r w:rsidRPr="000824C8">
        <w:t>.</w:t>
      </w:r>
      <w:r w:rsidR="00024F45" w:rsidRPr="000824C8">
        <w:t xml:space="preserve"> </w:t>
      </w:r>
    </w:p>
    <w:p w14:paraId="0D0C90D7" w14:textId="77777777" w:rsidR="003E6EDD" w:rsidRDefault="003E6EDD" w:rsidP="001D6048"/>
    <w:p w14:paraId="0E0EA9F0" w14:textId="6D6D817D" w:rsidR="00496847" w:rsidRDefault="004A2465" w:rsidP="001D6048">
      <w:r>
        <w:t>Lessons Learned</w:t>
      </w:r>
    </w:p>
    <w:p w14:paraId="0045A37B" w14:textId="69331DD7" w:rsidR="00CA3F4E" w:rsidRPr="0057085C" w:rsidRDefault="00412AF3" w:rsidP="000824C8">
      <w:pPr>
        <w:spacing w:after="120"/>
        <w:ind w:left="360"/>
        <w:jc w:val="both"/>
        <w:rPr>
          <w:rFonts w:asciiTheme="minorHAnsi" w:hAnsiTheme="minorHAnsi" w:cstheme="minorHAnsi"/>
        </w:rPr>
      </w:pPr>
      <w:r w:rsidRPr="0057085C">
        <w:rPr>
          <w:rFonts w:asciiTheme="minorHAnsi" w:hAnsiTheme="minorHAnsi" w:cstheme="minorHAnsi"/>
        </w:rPr>
        <w:lastRenderedPageBreak/>
        <w:t xml:space="preserve">The structure of the project is every bit as important as the process.  To have country ownership and have the initiative be part of a global process, investment is needed at the national level to develop the talent and systems required for integration of production, demand, and transactions.  The national-level of coordination amongst those factors is critical to the long-term success of changes in the commodity space. Coordination and cohesion must happen at the national level as well as at the global level. </w:t>
      </w:r>
      <w:r w:rsidR="00CA3F4E" w:rsidRPr="0057085C">
        <w:rPr>
          <w:rFonts w:asciiTheme="minorHAnsi" w:hAnsiTheme="minorHAnsi" w:cstheme="minorHAnsi"/>
        </w:rPr>
        <w:t>.</w:t>
      </w:r>
    </w:p>
    <w:p w14:paraId="52223318" w14:textId="52EDDCE9" w:rsidR="00655194" w:rsidRPr="0057085C" w:rsidRDefault="004A2465" w:rsidP="000824C8">
      <w:pPr>
        <w:spacing w:after="120"/>
        <w:ind w:left="360"/>
        <w:jc w:val="both"/>
        <w:rPr>
          <w:rFonts w:asciiTheme="minorHAnsi" w:hAnsiTheme="minorHAnsi" w:cstheme="minorHAnsi"/>
        </w:rPr>
      </w:pPr>
      <w:r w:rsidRPr="0057085C">
        <w:rPr>
          <w:rFonts w:asciiTheme="minorHAnsi" w:hAnsiTheme="minorHAnsi" w:cstheme="minorHAnsi"/>
        </w:rPr>
        <w:t>Differences in approaches among NGOs may actually reflect the best opportunity for development in a given country or sub-region or under changing priorities. The approach of a partner organization is a reflection of their organic values and strategies.</w:t>
      </w:r>
      <w:r w:rsidR="00412AF3" w:rsidRPr="0057085C">
        <w:rPr>
          <w:rFonts w:asciiTheme="minorHAnsi" w:hAnsiTheme="minorHAnsi" w:cstheme="minorHAnsi"/>
        </w:rPr>
        <w:t xml:space="preserve"> An IAP is an opportunity to text the different strategies and arrive at conclusions. For that reason, multiple types of indicators have been recommended. </w:t>
      </w:r>
    </w:p>
    <w:p w14:paraId="7B2288F9" w14:textId="422B6C13" w:rsidR="004A2465" w:rsidRPr="0057085C" w:rsidRDefault="004A2465" w:rsidP="000824C8">
      <w:pPr>
        <w:spacing w:after="120"/>
        <w:ind w:left="360"/>
        <w:jc w:val="both"/>
        <w:rPr>
          <w:rFonts w:asciiTheme="minorHAnsi" w:hAnsiTheme="minorHAnsi" w:cstheme="minorHAnsi"/>
        </w:rPr>
      </w:pPr>
      <w:r w:rsidRPr="0057085C">
        <w:rPr>
          <w:rFonts w:asciiTheme="minorHAnsi" w:hAnsiTheme="minorHAnsi" w:cstheme="minorHAnsi"/>
        </w:rPr>
        <w:t>Trust-building, participation, and communications and knowledge management are integral areas needed for success at the project and program levels. Those areas must be adequately formulated and budgeted</w:t>
      </w:r>
      <w:r w:rsidR="00412AF3" w:rsidRPr="0057085C">
        <w:rPr>
          <w:rFonts w:asciiTheme="minorHAnsi" w:hAnsiTheme="minorHAnsi" w:cstheme="minorHAnsi"/>
        </w:rPr>
        <w:t xml:space="preserve"> both financially and in terms of time</w:t>
      </w:r>
      <w:r w:rsidRPr="0057085C">
        <w:rPr>
          <w:rFonts w:asciiTheme="minorHAnsi" w:hAnsiTheme="minorHAnsi" w:cstheme="minorHAnsi"/>
        </w:rPr>
        <w:t>.</w:t>
      </w:r>
    </w:p>
    <w:p w14:paraId="11C38A72" w14:textId="04FFCA7B" w:rsidR="004A2465" w:rsidRDefault="004A2465" w:rsidP="000824C8">
      <w:pPr>
        <w:spacing w:after="120"/>
        <w:ind w:left="360"/>
        <w:jc w:val="both"/>
        <w:rPr>
          <w:rFonts w:asciiTheme="minorHAnsi" w:hAnsiTheme="minorHAnsi" w:cstheme="minorHAnsi"/>
        </w:rPr>
      </w:pPr>
      <w:r w:rsidRPr="0057085C">
        <w:rPr>
          <w:rFonts w:asciiTheme="minorHAnsi" w:hAnsiTheme="minorHAnsi" w:cstheme="minorHAnsi"/>
        </w:rPr>
        <w:t>Stakeholder engagement requires multistakeholder collaborations –consensus building and a framework to align and coordinate action.</w:t>
      </w:r>
    </w:p>
    <w:p w14:paraId="64077A0B" w14:textId="25E7EDBD" w:rsidR="00AE5482" w:rsidRDefault="00AE5482" w:rsidP="000824C8">
      <w:pPr>
        <w:spacing w:after="120"/>
        <w:ind w:left="360"/>
        <w:jc w:val="both"/>
      </w:pPr>
      <w:r w:rsidRPr="00AE5482">
        <w:t>Transitional programs require a minimum of 6 years to develop trust, confidence, run demonstrations (especially in agro) and glean the knowledge and lessons for adaptation.</w:t>
      </w:r>
    </w:p>
    <w:p w14:paraId="611AD07F" w14:textId="77777777" w:rsidR="00BB526D" w:rsidRDefault="00BB526D" w:rsidP="001D6048"/>
    <w:p w14:paraId="3A0FD0C3" w14:textId="687B010D" w:rsidR="00BB526D" w:rsidRPr="00690785" w:rsidRDefault="00BB526D" w:rsidP="00BB526D">
      <w:pPr>
        <w:pStyle w:val="Heading3"/>
        <w:rPr>
          <w:sz w:val="22"/>
          <w:szCs w:val="22"/>
        </w:rPr>
      </w:pPr>
      <w:bookmarkStart w:id="38" w:name="_Toc96772479"/>
      <w:r w:rsidRPr="00690785">
        <w:rPr>
          <w:sz w:val="22"/>
          <w:szCs w:val="22"/>
        </w:rPr>
        <w:t>4.1.3. Assumptions and Risks</w:t>
      </w:r>
      <w:bookmarkEnd w:id="38"/>
    </w:p>
    <w:p w14:paraId="323806AC" w14:textId="77777777" w:rsidR="00BB526D" w:rsidRDefault="00BB526D" w:rsidP="001D6048"/>
    <w:p w14:paraId="1EA19FBE" w14:textId="2609D4FE" w:rsidR="009711D0" w:rsidRDefault="009711D0" w:rsidP="001D6048">
      <w:r>
        <w:t>Assumptions:</w:t>
      </w:r>
    </w:p>
    <w:p w14:paraId="5BCADA4C" w14:textId="13724FED" w:rsidR="002C62A1" w:rsidRDefault="00E2497A" w:rsidP="003E6EDD">
      <w:pPr>
        <w:jc w:val="both"/>
      </w:pPr>
      <w:r>
        <w:t xml:space="preserve">The MTR </w:t>
      </w:r>
      <w:r w:rsidR="0036387B">
        <w:t xml:space="preserve">analyzed </w:t>
      </w:r>
      <w:r w:rsidR="00185988">
        <w:t xml:space="preserve">the assumptions </w:t>
      </w:r>
      <w:r w:rsidR="004C01EC">
        <w:t>at the program</w:t>
      </w:r>
      <w:r w:rsidR="0036387B">
        <w:t>me-level</w:t>
      </w:r>
      <w:r w:rsidR="004C01EC">
        <w:t xml:space="preserve"> </w:t>
      </w:r>
      <w:r w:rsidR="00185988">
        <w:t xml:space="preserve">that must prove true to </w:t>
      </w:r>
      <w:r w:rsidR="00D26167">
        <w:t xml:space="preserve">enable </w:t>
      </w:r>
      <w:r w:rsidR="00185988">
        <w:t xml:space="preserve">the results.  </w:t>
      </w:r>
      <w:r w:rsidR="00D26167">
        <w:t>T</w:t>
      </w:r>
      <w:r w:rsidR="004F682B">
        <w:t xml:space="preserve">he TE did not re-litigate </w:t>
      </w:r>
      <w:r w:rsidR="001C267C">
        <w:t>these assumptions within the scope of the A&amp;L Project. The evaluation team is currently implementing the TE for the Production project where the programmatic assumptions such as the effect of price or good agricultural practices has on deforestation</w:t>
      </w:r>
      <w:r w:rsidR="00F62A64">
        <w:t xml:space="preserve"> is </w:t>
      </w:r>
      <w:r w:rsidR="00D26167">
        <w:t>under review</w:t>
      </w:r>
      <w:r w:rsidR="001C267C">
        <w:t xml:space="preserve">.  </w:t>
      </w:r>
      <w:r w:rsidR="00D26167">
        <w:t xml:space="preserve">The following </w:t>
      </w:r>
      <w:r w:rsidR="002C62A1">
        <w:t xml:space="preserve">assumptions </w:t>
      </w:r>
      <w:r w:rsidR="00D26167">
        <w:t xml:space="preserve">were </w:t>
      </w:r>
      <w:r w:rsidR="002C62A1">
        <w:t>identified</w:t>
      </w:r>
      <w:r w:rsidR="00D26167">
        <w:t>:</w:t>
      </w:r>
      <w:r w:rsidR="002C62A1">
        <w:t>:</w:t>
      </w:r>
    </w:p>
    <w:p w14:paraId="5FB261D8" w14:textId="01608B7A" w:rsidR="00B4309E" w:rsidRDefault="000A73FD" w:rsidP="003E6EDD">
      <w:pPr>
        <w:jc w:val="both"/>
      </w:pPr>
      <w:r>
        <w:rPr>
          <w:u w:val="single"/>
        </w:rPr>
        <w:t xml:space="preserve">1. </w:t>
      </w:r>
      <w:r w:rsidR="00B4309E" w:rsidRPr="00C21A07">
        <w:rPr>
          <w:u w:val="single"/>
        </w:rPr>
        <w:t>Willingness to participate</w:t>
      </w:r>
      <w:r w:rsidR="00B4309E">
        <w:t xml:space="preserve">: </w:t>
      </w:r>
      <w:r w:rsidR="00D26167">
        <w:t xml:space="preserve">“Willingness is a pre-condition. It is not an assumption because it is not independent of the PMU and is responsive to management. This is an aspect that should have been vetted under the PPG or project design process. </w:t>
      </w:r>
      <w:r w:rsidR="001D60B2">
        <w:t>Unfortunately</w:t>
      </w:r>
      <w:r w:rsidR="00F0080A">
        <w:t xml:space="preserve"> for the A&amp;L PMU</w:t>
      </w:r>
      <w:r w:rsidR="001D60B2">
        <w:t xml:space="preserve">, the willingness to participate proved inconsistent across the staff of the child projects due to time constraints, </w:t>
      </w:r>
      <w:r w:rsidR="00F0080A">
        <w:t>lack of ownership, low-levels of buy-in</w:t>
      </w:r>
      <w:r w:rsidR="00F64260">
        <w:t xml:space="preserve">, </w:t>
      </w:r>
      <w:r w:rsidR="00E96D13">
        <w:t xml:space="preserve">pertinence of content, </w:t>
      </w:r>
      <w:r w:rsidR="00F64260">
        <w:t>no penalty for non-compliance</w:t>
      </w:r>
      <w:r w:rsidR="00F0080A">
        <w:t xml:space="preserve"> or</w:t>
      </w:r>
      <w:r w:rsidR="00D26167">
        <w:t>in many cases, a</w:t>
      </w:r>
      <w:r w:rsidR="00F0080A">
        <w:t xml:space="preserve"> lack of resources to support participation</w:t>
      </w:r>
      <w:r w:rsidR="00F64260">
        <w:t xml:space="preserve"> </w:t>
      </w:r>
      <w:r w:rsidR="00F714E1">
        <w:t xml:space="preserve">was cited in KIIs. </w:t>
      </w:r>
      <w:r w:rsidR="00F64260">
        <w:t xml:space="preserve">The result was absenteeism from scheduled calls or other scheduled events, late or incomplete response to monitoring activities, etc.  The occurrence of these factors was not enough to derail the project´s outputs, but it did result in additional management energy on the part of the PMU </w:t>
      </w:r>
      <w:r w:rsidR="00F714E1">
        <w:t xml:space="preserve">with </w:t>
      </w:r>
      <w:r w:rsidR="00F64260">
        <w:t xml:space="preserve">a small staff on a </w:t>
      </w:r>
      <w:r w:rsidR="003E6EDD">
        <w:t>30%-time</w:t>
      </w:r>
      <w:r w:rsidR="00F64260">
        <w:t xml:space="preserve"> basis.  In </w:t>
      </w:r>
      <w:r w:rsidR="00F714E1">
        <w:t>KIIs</w:t>
      </w:r>
      <w:r w:rsidR="00F64260">
        <w:t xml:space="preserve">, time constraints were the </w:t>
      </w:r>
      <w:r w:rsidR="002F023C">
        <w:t>most frequent constraint</w:t>
      </w:r>
      <w:r w:rsidR="00E96D13">
        <w:t xml:space="preserve">.  For many, knowing the recording of a call or an event would be available to be reviewed at a later time facilitated non-participation. </w:t>
      </w:r>
      <w:r w:rsidR="00F714E1">
        <w:t>E</w:t>
      </w:r>
      <w:r w:rsidR="00E96D13">
        <w:t xml:space="preserve">vents, such as </w:t>
      </w:r>
      <w:r w:rsidR="00726725">
        <w:t>coordination meetings with country teams</w:t>
      </w:r>
      <w:r w:rsidR="00DA2F19">
        <w:t xml:space="preserve"> were shifted to a </w:t>
      </w:r>
      <w:r w:rsidR="00726725">
        <w:t xml:space="preserve">quarterly schedule and </w:t>
      </w:r>
      <w:r w:rsidR="00DA2F19">
        <w:t xml:space="preserve">to a </w:t>
      </w:r>
      <w:r w:rsidR="00E96D13">
        <w:t>country</w:t>
      </w:r>
      <w:r w:rsidR="00DA2F19">
        <w:t>-</w:t>
      </w:r>
      <w:r w:rsidR="00E96D13">
        <w:t>focus</w:t>
      </w:r>
      <w:r w:rsidR="00DA2F19">
        <w:t xml:space="preserve"> appealing to country staff </w:t>
      </w:r>
      <w:r w:rsidR="00E96D13">
        <w:t xml:space="preserve">and stimulated higher levels of interest.  </w:t>
      </w:r>
    </w:p>
    <w:p w14:paraId="3579F364" w14:textId="1FE10CDC" w:rsidR="000E40B1" w:rsidRDefault="000A73FD" w:rsidP="00127AAA">
      <w:pPr>
        <w:jc w:val="both"/>
      </w:pPr>
      <w:r>
        <w:rPr>
          <w:u w:val="single"/>
        </w:rPr>
        <w:lastRenderedPageBreak/>
        <w:t xml:space="preserve">2. </w:t>
      </w:r>
      <w:r w:rsidR="000E40B1" w:rsidRPr="00C21A07">
        <w:rPr>
          <w:u w:val="single"/>
        </w:rPr>
        <w:t>Environmental or Climatic Events</w:t>
      </w:r>
      <w:r w:rsidR="000E40B1">
        <w:t>:  This is a classic assumption outside of the control of any manager. In agriculture, acceptable rainfall is generally the accep</w:t>
      </w:r>
      <w:r w:rsidR="00B50BCC">
        <w:t>t</w:t>
      </w:r>
      <w:r w:rsidR="000E40B1">
        <w:t>ed assumption underlying success or failure.  In the case of A</w:t>
      </w:r>
      <w:r w:rsidR="00B50BCC">
        <w:t>&amp;L, country staff experienced excessive drought in Paraguay and excessive flooding in Indonesia.</w:t>
      </w:r>
      <w:r w:rsidR="00F714E1">
        <w:t>that affected the delivery of products and the availability of many members and beneficiaries  of the child projects.</w:t>
      </w:r>
      <w:r w:rsidR="00B50BCC">
        <w:t xml:space="preserve"> The onset of COVID-19 was a</w:t>
      </w:r>
      <w:r w:rsidR="00F714E1">
        <w:t>nother</w:t>
      </w:r>
      <w:r w:rsidR="00B50BCC">
        <w:t xml:space="preserve"> significant </w:t>
      </w:r>
      <w:r w:rsidR="00DA2F19">
        <w:t xml:space="preserve">environmental </w:t>
      </w:r>
      <w:r w:rsidR="00B50BCC">
        <w:t>event that limited participation and led to the drastic alteration of the second Good Growth Conference, a capstone event in the A&amp;L project</w:t>
      </w:r>
      <w:r w:rsidR="00DA2F19">
        <w:t xml:space="preserve"> from an in-person format to a virtual scenario</w:t>
      </w:r>
      <w:r w:rsidR="00B50BCC">
        <w:t xml:space="preserve">. </w:t>
      </w:r>
      <w:r w:rsidR="00DA2F19">
        <w:t>Fortunately, many of the management functions and many of the project´s outputs were responsive to digital processes.</w:t>
      </w:r>
    </w:p>
    <w:p w14:paraId="65D739FB" w14:textId="1012FB99" w:rsidR="00B4309E" w:rsidRDefault="000A73FD" w:rsidP="00127AAA">
      <w:pPr>
        <w:jc w:val="both"/>
      </w:pPr>
      <w:r>
        <w:rPr>
          <w:u w:val="single"/>
        </w:rPr>
        <w:t xml:space="preserve">3. </w:t>
      </w:r>
      <w:r w:rsidR="006B58F2" w:rsidRPr="00C21A07">
        <w:rPr>
          <w:u w:val="single"/>
        </w:rPr>
        <w:t>Unforeseen staff turnover</w:t>
      </w:r>
      <w:r w:rsidR="006B58F2">
        <w:t xml:space="preserve">: A management project nested in 4 child projects in different countries </w:t>
      </w:r>
      <w:r w:rsidR="00265AED">
        <w:t xml:space="preserve">has a high likelihood of </w:t>
      </w:r>
      <w:r w:rsidR="006B58F2">
        <w:t xml:space="preserve">staff turnover. </w:t>
      </w:r>
      <w:r w:rsidR="00265AED">
        <w:t xml:space="preserve">Delays were experienced in all countries and in the PMU as key positions were filled. In many cases, turnover caused an improvement in project execution as qualified staff members were added.  A good example is Monitoring and Evaluation where additions in M&amp;E improved the M&amp;E system and led to better follow-up and training at the country-level, in addition to the addition of knowledge products. </w:t>
      </w:r>
      <w:r w:rsidR="002E1FB2">
        <w:t>Since it is impossible to predict what people will do, it is classified as an assumption. Evaluators notes that there was not excessive staff turnover, which indicates there were no management issues underpinning the process.</w:t>
      </w:r>
    </w:p>
    <w:p w14:paraId="61B69B9F" w14:textId="68B12B87" w:rsidR="00265AED" w:rsidRDefault="000A73FD" w:rsidP="00127AAA">
      <w:pPr>
        <w:jc w:val="both"/>
      </w:pPr>
      <w:r>
        <w:rPr>
          <w:u w:val="single"/>
        </w:rPr>
        <w:t xml:space="preserve">4. </w:t>
      </w:r>
      <w:r w:rsidR="00411C87" w:rsidRPr="00C21A07">
        <w:rPr>
          <w:u w:val="single"/>
        </w:rPr>
        <w:t>Users switch to n</w:t>
      </w:r>
      <w:r w:rsidR="00265AED" w:rsidRPr="00C21A07">
        <w:rPr>
          <w:u w:val="single"/>
        </w:rPr>
        <w:t>ew o</w:t>
      </w:r>
      <w:r w:rsidR="00411C87" w:rsidRPr="00C21A07">
        <w:rPr>
          <w:u w:val="single"/>
        </w:rPr>
        <w:t>f</w:t>
      </w:r>
      <w:r w:rsidR="00265AED" w:rsidRPr="00C21A07">
        <w:rPr>
          <w:u w:val="single"/>
        </w:rPr>
        <w:t xml:space="preserve"> competing platforms</w:t>
      </w:r>
      <w:r w:rsidR="00265AED">
        <w:t xml:space="preserve">:  </w:t>
      </w:r>
      <w:r w:rsidR="00411C87">
        <w:t xml:space="preserve">The A&amp;L project has produced the Evidensia platform (component 2) and </w:t>
      </w:r>
      <w:r w:rsidR="00AB7EDB">
        <w:t xml:space="preserve">further developed </w:t>
      </w:r>
      <w:r w:rsidR="00411C87">
        <w:t xml:space="preserve">the </w:t>
      </w:r>
      <w:r w:rsidR="003B0508">
        <w:t>G</w:t>
      </w:r>
      <w:r w:rsidR="00411C87">
        <w:t xml:space="preserve">ood Commodities Community (Community of Practice).  The platforms are exposed to the same time and utility issues as described in the willingness to participate assumption. KIIs with users indicated that much of the same types of information could be found instantly on search engines. The Evidensia platform is unique and is yielding </w:t>
      </w:r>
      <w:r w:rsidR="003B0508">
        <w:t xml:space="preserve">results that are especially </w:t>
      </w:r>
      <w:r w:rsidR="007C33B0">
        <w:t>attractive</w:t>
      </w:r>
      <w:r w:rsidR="003B0508">
        <w:t xml:space="preserve"> to the Academic community but are yet to devise synthesized information </w:t>
      </w:r>
      <w:r w:rsidR="00DF0E63">
        <w:t xml:space="preserve">tailored and marketed to </w:t>
      </w:r>
      <w:r w:rsidR="003B0508">
        <w:t xml:space="preserve"> governments or the private sector, two key audiences. The Good Growth Community is open to only a limited number of users at the time of the TE and was relatively unknown to NGOs and Private sector actors interviewed at the nat</w:t>
      </w:r>
      <w:r w:rsidR="007C33B0">
        <w:t>i</w:t>
      </w:r>
      <w:r w:rsidR="003B0508">
        <w:t>onal level. Both are operating in a un</w:t>
      </w:r>
      <w:r w:rsidR="007C33B0">
        <w:t>i</w:t>
      </w:r>
      <w:r w:rsidR="003B0508">
        <w:t xml:space="preserve">verse full of competing platforms. Smart marketing and targeted content development </w:t>
      </w:r>
      <w:r w:rsidR="003E6EDD">
        <w:t>are</w:t>
      </w:r>
      <w:r w:rsidR="003B0508">
        <w:t xml:space="preserve"> probably the key to avoiding loss of interest to other platforms, activities that </w:t>
      </w:r>
      <w:r w:rsidR="007C33B0">
        <w:t xml:space="preserve">both had on their </w:t>
      </w:r>
      <w:r w:rsidR="00E27AE1">
        <w:t xml:space="preserve">radar </w:t>
      </w:r>
      <w:r w:rsidR="007C33B0">
        <w:t xml:space="preserve">screen </w:t>
      </w:r>
      <w:r w:rsidR="003B0508">
        <w:t>at the time of the TE</w:t>
      </w:r>
      <w:r w:rsidR="001E0565">
        <w:t>.</w:t>
      </w:r>
      <w:r w:rsidR="00411C87">
        <w:t xml:space="preserve"> </w:t>
      </w:r>
    </w:p>
    <w:p w14:paraId="2CDCE94E" w14:textId="7735F72B" w:rsidR="000A73FD" w:rsidRDefault="000A73FD" w:rsidP="00127AAA">
      <w:pPr>
        <w:jc w:val="both"/>
      </w:pPr>
      <w:r>
        <w:t xml:space="preserve">Finding </w:t>
      </w:r>
      <w:r w:rsidR="0057085C">
        <w:t>(12)</w:t>
      </w:r>
      <w:r w:rsidR="00B33119">
        <w:t xml:space="preserve">: Four </w:t>
      </w:r>
      <w:r w:rsidRPr="000A73FD">
        <w:t xml:space="preserve"> assumptions were noted</w:t>
      </w:r>
      <w:r w:rsidR="00B33119">
        <w:t xml:space="preserve"> </w:t>
      </w:r>
      <w:r w:rsidRPr="000A73FD">
        <w:t>(i) Willing participation of the Child Project staff; (ii</w:t>
      </w:r>
      <w:r w:rsidR="003E6EDD" w:rsidRPr="000A73FD">
        <w:t>) Barring</w:t>
      </w:r>
      <w:r w:rsidRPr="000A73FD">
        <w:t xml:space="preserve"> significant environmental or climatic events; (iii) Barring unforeseen staff turnover of key personnel; (iv</w:t>
      </w:r>
      <w:r w:rsidR="00E21C9F" w:rsidRPr="000A73FD">
        <w:t>) Barring</w:t>
      </w:r>
      <w:r w:rsidRPr="000A73FD">
        <w:t xml:space="preserve"> any new or competing information platform more attractive to users. The first is no longer an assumption as it has materialized. The second has also materialized and the fourth has a high likelihood.</w:t>
      </w:r>
    </w:p>
    <w:p w14:paraId="006E083E" w14:textId="2782DCE7" w:rsidR="000A73FD" w:rsidRDefault="000A73FD" w:rsidP="00127AAA">
      <w:pPr>
        <w:jc w:val="both"/>
      </w:pPr>
      <w:r>
        <w:t>Conclusion</w:t>
      </w:r>
      <w:r w:rsidR="00B33119">
        <w:t xml:space="preserve"> (14)</w:t>
      </w:r>
      <w:r>
        <w:t xml:space="preserve">: </w:t>
      </w:r>
      <w:r w:rsidRPr="000A73FD">
        <w:t>There are assumptions that were actually pre-conditions for the project, such as (i). The PPG phase should have vetted that possibility with UNDP and partner country offices.</w:t>
      </w:r>
      <w:r w:rsidR="002E1FB2">
        <w:t xml:space="preserve"> </w:t>
      </w:r>
    </w:p>
    <w:p w14:paraId="3D72748B" w14:textId="09BD1A71" w:rsidR="000A73FD" w:rsidRPr="003E6EDD" w:rsidRDefault="000A73FD" w:rsidP="00127AAA">
      <w:pPr>
        <w:jc w:val="both"/>
        <w:rPr>
          <w:lang w:eastAsia="en-US"/>
        </w:rPr>
      </w:pPr>
      <w:r w:rsidRPr="003E6EDD">
        <w:t>Recommendation</w:t>
      </w:r>
      <w:r w:rsidR="00BC1B65">
        <w:t xml:space="preserve"> (11)</w:t>
      </w:r>
      <w:r w:rsidRPr="003E6EDD">
        <w:t xml:space="preserve">: </w:t>
      </w:r>
      <w:r w:rsidR="00BC1B65" w:rsidRPr="00BC1B65">
        <w:rPr>
          <w:lang w:eastAsia="en-US"/>
        </w:rPr>
        <w:t>Future projects should place more importance on the analysis of assumptions. Assumptions should be out of management control and be independent and necessary for results to be obtained.</w:t>
      </w:r>
    </w:p>
    <w:p w14:paraId="7132DE6F" w14:textId="41057D7D" w:rsidR="000A73FD" w:rsidRPr="003E6EDD" w:rsidRDefault="000A73FD" w:rsidP="00127AAA">
      <w:pPr>
        <w:jc w:val="both"/>
      </w:pPr>
      <w:r w:rsidRPr="003E6EDD">
        <w:rPr>
          <w:lang w:eastAsia="en-US"/>
        </w:rPr>
        <w:t>Lesson Learned: The PPG process must test for values such as participation and trust, perhaps by vetting future key participants, signing MOUs that detail participation and conditions, and involvement of the national governments in the arrangements, e.g. national project directors.</w:t>
      </w:r>
    </w:p>
    <w:p w14:paraId="5182BA04" w14:textId="273611FD" w:rsidR="009711D0" w:rsidRPr="005429EB" w:rsidRDefault="009711D0" w:rsidP="005429EB">
      <w:pPr>
        <w:spacing w:after="120" w:line="240" w:lineRule="auto"/>
        <w:jc w:val="both"/>
        <w:rPr>
          <w:rFonts w:asciiTheme="minorHAnsi" w:hAnsiTheme="minorHAnsi" w:cstheme="minorHAnsi"/>
        </w:rPr>
      </w:pPr>
      <w:r w:rsidRPr="005429EB">
        <w:rPr>
          <w:rFonts w:asciiTheme="minorHAnsi" w:hAnsiTheme="minorHAnsi" w:cstheme="minorHAnsi"/>
        </w:rPr>
        <w:t xml:space="preserve">Risks: </w:t>
      </w:r>
    </w:p>
    <w:p w14:paraId="370B7F88" w14:textId="04FDB54D" w:rsidR="009711D0" w:rsidRPr="005429EB" w:rsidRDefault="00FD4A59" w:rsidP="005429EB">
      <w:pPr>
        <w:spacing w:after="120" w:line="240" w:lineRule="auto"/>
        <w:jc w:val="both"/>
        <w:rPr>
          <w:rFonts w:asciiTheme="minorHAnsi" w:hAnsiTheme="minorHAnsi" w:cstheme="minorHAnsi"/>
        </w:rPr>
      </w:pPr>
      <w:r>
        <w:rPr>
          <w:rFonts w:asciiTheme="minorHAnsi" w:hAnsiTheme="minorHAnsi" w:cstheme="minorHAnsi"/>
        </w:rPr>
        <w:lastRenderedPageBreak/>
        <w:t>C</w:t>
      </w:r>
      <w:r w:rsidR="009711D0" w:rsidRPr="005429EB">
        <w:rPr>
          <w:rFonts w:asciiTheme="minorHAnsi" w:hAnsiTheme="minorHAnsi" w:cstheme="minorHAnsi"/>
        </w:rPr>
        <w:t xml:space="preserve">hanges in risks from the initial risk assessment elaborated during the PPG phase.  The </w:t>
      </w:r>
      <w:r w:rsidR="006B6A30">
        <w:rPr>
          <w:rFonts w:asciiTheme="minorHAnsi" w:hAnsiTheme="minorHAnsi" w:cstheme="minorHAnsi"/>
        </w:rPr>
        <w:t>R</w:t>
      </w:r>
      <w:r w:rsidR="009711D0" w:rsidRPr="005429EB">
        <w:rPr>
          <w:rFonts w:asciiTheme="minorHAnsi" w:hAnsiTheme="minorHAnsi" w:cstheme="minorHAnsi"/>
        </w:rPr>
        <w:t xml:space="preserve">evised </w:t>
      </w:r>
      <w:r w:rsidR="006B6A30">
        <w:rPr>
          <w:rFonts w:asciiTheme="minorHAnsi" w:hAnsiTheme="minorHAnsi" w:cstheme="minorHAnsi"/>
        </w:rPr>
        <w:t>R</w:t>
      </w:r>
      <w:r w:rsidR="009711D0" w:rsidRPr="005429EB">
        <w:rPr>
          <w:rFonts w:asciiTheme="minorHAnsi" w:hAnsiTheme="minorHAnsi" w:cstheme="minorHAnsi"/>
        </w:rPr>
        <w:t xml:space="preserve">risk </w:t>
      </w:r>
      <w:r w:rsidR="006B6A30">
        <w:rPr>
          <w:rFonts w:asciiTheme="minorHAnsi" w:hAnsiTheme="minorHAnsi" w:cstheme="minorHAnsi"/>
        </w:rPr>
        <w:t>R</w:t>
      </w:r>
      <w:r w:rsidR="009711D0" w:rsidRPr="005429EB">
        <w:rPr>
          <w:rFonts w:asciiTheme="minorHAnsi" w:hAnsiTheme="minorHAnsi" w:cstheme="minorHAnsi"/>
        </w:rPr>
        <w:t xml:space="preserve">rating </w:t>
      </w:r>
      <w:r w:rsidR="006B6A30">
        <w:rPr>
          <w:rFonts w:asciiTheme="minorHAnsi" w:hAnsiTheme="minorHAnsi" w:cstheme="minorHAnsi"/>
        </w:rPr>
        <w:t>T</w:t>
      </w:r>
      <w:r w:rsidR="009711D0" w:rsidRPr="005429EB">
        <w:rPr>
          <w:rFonts w:asciiTheme="minorHAnsi" w:hAnsiTheme="minorHAnsi" w:cstheme="minorHAnsi"/>
        </w:rPr>
        <w:t xml:space="preserve">table </w:t>
      </w:r>
      <w:r w:rsidR="003137AB">
        <w:rPr>
          <w:rFonts w:asciiTheme="minorHAnsi" w:hAnsiTheme="minorHAnsi" w:cstheme="minorHAnsi"/>
        </w:rPr>
        <w:t xml:space="preserve">based on information presentee in the PIR </w:t>
      </w:r>
      <w:r w:rsidR="009711D0" w:rsidRPr="005429EB">
        <w:rPr>
          <w:rFonts w:asciiTheme="minorHAnsi" w:hAnsiTheme="minorHAnsi" w:cstheme="minorHAnsi"/>
        </w:rPr>
        <w:t xml:space="preserve">is provided in </w:t>
      </w:r>
      <w:r w:rsidR="00334A1C" w:rsidRPr="005429EB">
        <w:rPr>
          <w:rFonts w:asciiTheme="minorHAnsi" w:hAnsiTheme="minorHAnsi" w:cstheme="minorHAnsi"/>
        </w:rPr>
        <w:t xml:space="preserve">Annex </w:t>
      </w:r>
      <w:r w:rsidR="00334A1C">
        <w:rPr>
          <w:rFonts w:asciiTheme="minorHAnsi" w:hAnsiTheme="minorHAnsi" w:cstheme="minorHAnsi"/>
        </w:rPr>
        <w:t>3</w:t>
      </w:r>
      <w:r w:rsidR="00D758E8">
        <w:rPr>
          <w:rFonts w:asciiTheme="minorHAnsi" w:hAnsiTheme="minorHAnsi" w:cstheme="minorHAnsi"/>
        </w:rPr>
        <w:t xml:space="preserve">.  Risks are tracked and reported in the PIR.  </w:t>
      </w:r>
      <w:r w:rsidR="00D758E8" w:rsidRPr="00D758E8">
        <w:rPr>
          <w:rFonts w:asciiTheme="minorHAnsi" w:hAnsiTheme="minorHAnsi" w:cstheme="minorHAnsi"/>
        </w:rPr>
        <w:t xml:space="preserve">The PMU also maintains a risk log </w:t>
      </w:r>
      <w:r w:rsidR="00D758E8">
        <w:rPr>
          <w:rFonts w:asciiTheme="minorHAnsi" w:hAnsiTheme="minorHAnsi" w:cstheme="minorHAnsi"/>
        </w:rPr>
        <w:t xml:space="preserve">related to the implementation of </w:t>
      </w:r>
      <w:r w:rsidR="00D758E8" w:rsidRPr="00D758E8">
        <w:rPr>
          <w:rFonts w:asciiTheme="minorHAnsi" w:hAnsiTheme="minorHAnsi" w:cstheme="minorHAnsi"/>
        </w:rPr>
        <w:t>individual activities</w:t>
      </w:r>
      <w:r w:rsidR="0022796C">
        <w:rPr>
          <w:rFonts w:asciiTheme="minorHAnsi" w:hAnsiTheme="minorHAnsi" w:cstheme="minorHAnsi"/>
        </w:rPr>
        <w:t xml:space="preserve">, which appears to be more of an adaptive management tool rather than risk assessment.  </w:t>
      </w:r>
      <w:r w:rsidR="009711D0" w:rsidRPr="005429EB">
        <w:rPr>
          <w:rFonts w:asciiTheme="minorHAnsi" w:hAnsiTheme="minorHAnsi" w:cstheme="minorHAnsi"/>
        </w:rPr>
        <w:t>The following summarizes the findings:</w:t>
      </w:r>
    </w:p>
    <w:p w14:paraId="51754EA4" w14:textId="092F8227" w:rsidR="002D4443" w:rsidRPr="003137AB" w:rsidRDefault="00D758E8" w:rsidP="00D758E8">
      <w:pPr>
        <w:spacing w:after="120"/>
        <w:jc w:val="both"/>
        <w:rPr>
          <w:rFonts w:asciiTheme="minorHAnsi" w:hAnsiTheme="minorHAnsi" w:cstheme="minorHAnsi"/>
        </w:rPr>
      </w:pPr>
      <w:r>
        <w:rPr>
          <w:rFonts w:asciiTheme="minorHAnsi" w:hAnsiTheme="minorHAnsi" w:cstheme="minorHAnsi"/>
        </w:rPr>
        <w:t xml:space="preserve">(15) </w:t>
      </w:r>
      <w:r w:rsidR="002D4443" w:rsidRPr="003137AB">
        <w:rPr>
          <w:rFonts w:asciiTheme="minorHAnsi" w:hAnsiTheme="minorHAnsi" w:cstheme="minorHAnsi"/>
        </w:rPr>
        <w:t>Five</w:t>
      </w:r>
      <w:r w:rsidR="009711D0" w:rsidRPr="003137AB">
        <w:rPr>
          <w:rFonts w:asciiTheme="minorHAnsi" w:hAnsiTheme="minorHAnsi" w:cstheme="minorHAnsi"/>
        </w:rPr>
        <w:t xml:space="preserve"> of eight risks were underestimated for probability and impact. All risks were adjusted upwards. These are: (i) </w:t>
      </w:r>
      <w:r w:rsidR="00386AF3" w:rsidRPr="003137AB">
        <w:rPr>
          <w:rFonts w:asciiTheme="minorHAnsi" w:hAnsiTheme="minorHAnsi" w:cstheme="minorHAnsi"/>
        </w:rPr>
        <w:t xml:space="preserve">slow-downs due to bureaucracy; (ii) Overlap between the IAP KM platform and existing platforms; (iii) low success in penetrating many actors in the deforestation space; (iv) Environmental risks, e.g., </w:t>
      </w:r>
      <w:r w:rsidR="002D4443" w:rsidRPr="003137AB">
        <w:rPr>
          <w:rFonts w:asciiTheme="minorHAnsi" w:hAnsiTheme="minorHAnsi" w:cstheme="minorHAnsi"/>
        </w:rPr>
        <w:t xml:space="preserve">(v) </w:t>
      </w:r>
      <w:r w:rsidR="00386AF3" w:rsidRPr="003137AB">
        <w:rPr>
          <w:rFonts w:asciiTheme="minorHAnsi" w:hAnsiTheme="minorHAnsi" w:cstheme="minorHAnsi"/>
        </w:rPr>
        <w:t>Climate and pandemic related</w:t>
      </w:r>
      <w:r w:rsidR="003137AB">
        <w:rPr>
          <w:rFonts w:asciiTheme="minorHAnsi" w:hAnsiTheme="minorHAnsi" w:cstheme="minorHAnsi"/>
        </w:rPr>
        <w:t xml:space="preserve">. </w:t>
      </w:r>
      <w:r w:rsidR="002D4443" w:rsidRPr="003137AB">
        <w:rPr>
          <w:rFonts w:asciiTheme="minorHAnsi" w:hAnsiTheme="minorHAnsi" w:cstheme="minorHAnsi"/>
        </w:rPr>
        <w:t xml:space="preserve">One risk has no change: (vi) Funding dries up for platform. </w:t>
      </w:r>
      <w:r w:rsidR="003137AB">
        <w:rPr>
          <w:rFonts w:asciiTheme="minorHAnsi" w:hAnsiTheme="minorHAnsi" w:cstheme="minorHAnsi"/>
        </w:rPr>
        <w:t xml:space="preserve"> </w:t>
      </w:r>
      <w:r w:rsidR="002D4443" w:rsidRPr="003137AB">
        <w:rPr>
          <w:rFonts w:asciiTheme="minorHAnsi" w:hAnsiTheme="minorHAnsi" w:cstheme="minorHAnsi"/>
        </w:rPr>
        <w:t xml:space="preserve">There are two new risks: (vii) </w:t>
      </w:r>
      <w:r w:rsidR="00FA2D2F" w:rsidRPr="003137AB">
        <w:rPr>
          <w:rFonts w:asciiTheme="minorHAnsi" w:hAnsiTheme="minorHAnsi" w:cstheme="minorHAnsi"/>
        </w:rPr>
        <w:t xml:space="preserve">GGP Partners could disengage from GGP programme-level, coordination; and </w:t>
      </w:r>
      <w:r w:rsidR="00E738E8" w:rsidRPr="003137AB">
        <w:rPr>
          <w:rFonts w:asciiTheme="minorHAnsi" w:hAnsiTheme="minorHAnsi" w:cstheme="minorHAnsi"/>
        </w:rPr>
        <w:t xml:space="preserve">(viii) </w:t>
      </w:r>
      <w:r w:rsidR="00FE4C6F" w:rsidRPr="003137AB">
        <w:rPr>
          <w:rFonts w:asciiTheme="minorHAnsi" w:hAnsiTheme="minorHAnsi" w:cstheme="minorHAnsi"/>
        </w:rPr>
        <w:t>not achieving Outcome 1 partnerships. Number (viii) requires more definition as to the source of the risk or the reason for concern</w:t>
      </w:r>
    </w:p>
    <w:p w14:paraId="38E94B2F" w14:textId="3F66D7A5" w:rsidR="0064109C" w:rsidRDefault="00E738E8" w:rsidP="0064109C">
      <w:pPr>
        <w:jc w:val="both"/>
        <w:rPr>
          <w:rFonts w:asciiTheme="minorHAnsi" w:hAnsiTheme="minorHAnsi" w:cstheme="minorHAnsi"/>
        </w:rPr>
      </w:pPr>
      <w:r>
        <w:t xml:space="preserve">Conclusion: </w:t>
      </w:r>
      <w:r w:rsidR="00E67846">
        <w:t xml:space="preserve">(15) </w:t>
      </w:r>
      <w:r w:rsidRPr="0064109C">
        <w:rPr>
          <w:rFonts w:asciiTheme="minorHAnsi" w:hAnsiTheme="minorHAnsi" w:cstheme="minorHAnsi"/>
        </w:rPr>
        <w:t xml:space="preserve">The overall risk rating </w:t>
      </w:r>
      <w:r w:rsidR="0064109C">
        <w:rPr>
          <w:rFonts w:asciiTheme="minorHAnsi" w:hAnsiTheme="minorHAnsi" w:cstheme="minorHAnsi"/>
        </w:rPr>
        <w:t>was underestimated</w:t>
      </w:r>
      <w:r w:rsidR="0022796C">
        <w:rPr>
          <w:rFonts w:asciiTheme="minorHAnsi" w:hAnsiTheme="minorHAnsi" w:cstheme="minorHAnsi"/>
        </w:rPr>
        <w:t xml:space="preserve"> from the start of the project. </w:t>
      </w:r>
      <w:r w:rsidR="001013E0">
        <w:rPr>
          <w:rFonts w:asciiTheme="minorHAnsi" w:hAnsiTheme="minorHAnsi" w:cstheme="minorHAnsi"/>
        </w:rPr>
        <w:t>The PMU does a good job of tracking and logging risks as part of adaptive management framework. Some barriers are lised as risks and require management or project design solutions, such as “participation” No additional risks were detected</w:t>
      </w:r>
      <w:r w:rsidR="0064109C">
        <w:rPr>
          <w:rFonts w:asciiTheme="minorHAnsi" w:hAnsiTheme="minorHAnsi" w:cstheme="minorHAnsi"/>
        </w:rPr>
        <w:t xml:space="preserve">. </w:t>
      </w:r>
    </w:p>
    <w:p w14:paraId="218903BE" w14:textId="3BA602B1" w:rsidR="0064109C" w:rsidRPr="0064109C" w:rsidRDefault="0064109C" w:rsidP="0064109C">
      <w:pPr>
        <w:pStyle w:val="ListParagraph"/>
        <w:spacing w:before="0" w:after="120"/>
        <w:ind w:left="0" w:firstLine="0"/>
        <w:jc w:val="both"/>
        <w:rPr>
          <w:rFonts w:asciiTheme="minorHAnsi" w:hAnsiTheme="minorHAnsi" w:cstheme="minorHAnsi"/>
        </w:rPr>
      </w:pPr>
      <w:r w:rsidRPr="0064109C">
        <w:rPr>
          <w:rFonts w:asciiTheme="minorHAnsi" w:hAnsiTheme="minorHAnsi" w:cstheme="minorHAnsi"/>
        </w:rPr>
        <w:t xml:space="preserve">Recommendation: </w:t>
      </w:r>
      <w:r w:rsidR="00E67846">
        <w:rPr>
          <w:rFonts w:asciiTheme="minorHAnsi" w:hAnsiTheme="minorHAnsi" w:cstheme="minorHAnsi"/>
        </w:rPr>
        <w:t xml:space="preserve">(12) </w:t>
      </w:r>
      <w:r>
        <w:rPr>
          <w:rFonts w:asciiTheme="minorHAnsi" w:hAnsiTheme="minorHAnsi" w:cstheme="minorHAnsi"/>
        </w:rPr>
        <w:t xml:space="preserve">Adjust the risk rating </w:t>
      </w:r>
      <w:r w:rsidRPr="0064109C">
        <w:rPr>
          <w:rFonts w:asciiTheme="minorHAnsi" w:hAnsiTheme="minorHAnsi" w:cstheme="minorHAnsi"/>
        </w:rPr>
        <w:t xml:space="preserve">upward from “Low” or Probability 2 to “significant” or Probability 3-4. The adjusted rating includes the addition of pandemic to environmental </w:t>
      </w:r>
      <w:r w:rsidR="003E6EDD" w:rsidRPr="0064109C">
        <w:rPr>
          <w:rFonts w:asciiTheme="minorHAnsi" w:hAnsiTheme="minorHAnsi" w:cstheme="minorHAnsi"/>
        </w:rPr>
        <w:t>risks and</w:t>
      </w:r>
      <w:r w:rsidRPr="0064109C">
        <w:rPr>
          <w:rFonts w:asciiTheme="minorHAnsi" w:hAnsiTheme="minorHAnsi" w:cstheme="minorHAnsi"/>
        </w:rPr>
        <w:t xml:space="preserve"> increase in risk of natural disasters as experienced in Chaco, Paraguay (drought) and Indonesia (flooding)</w:t>
      </w:r>
      <w:r w:rsidR="006B6A30">
        <w:rPr>
          <w:rFonts w:asciiTheme="minorHAnsi" w:hAnsiTheme="minorHAnsi" w:cstheme="minorHAnsi"/>
        </w:rPr>
        <w:t xml:space="preserve"> that can limit participation in monitoring or in the GCC</w:t>
      </w:r>
      <w:r w:rsidRPr="0064109C">
        <w:rPr>
          <w:rFonts w:asciiTheme="minorHAnsi" w:hAnsiTheme="minorHAnsi" w:cstheme="minorHAnsi"/>
        </w:rPr>
        <w:t>. In addition to adding higher probabilities to existing risks based on real observations and KIIs.</w:t>
      </w:r>
      <w:r>
        <w:rPr>
          <w:rFonts w:asciiTheme="minorHAnsi" w:hAnsiTheme="minorHAnsi" w:cstheme="minorHAnsi"/>
        </w:rPr>
        <w:t xml:space="preserve"> See the Revised Risk Rating </w:t>
      </w:r>
      <w:r w:rsidR="00334A1C">
        <w:rPr>
          <w:rFonts w:asciiTheme="minorHAnsi" w:hAnsiTheme="minorHAnsi" w:cstheme="minorHAnsi"/>
        </w:rPr>
        <w:t>Table</w:t>
      </w:r>
      <w:r>
        <w:rPr>
          <w:rFonts w:asciiTheme="minorHAnsi" w:hAnsiTheme="minorHAnsi" w:cstheme="minorHAnsi"/>
        </w:rPr>
        <w:t xml:space="preserve"> in </w:t>
      </w:r>
      <w:hyperlink w:anchor="_Annex_3._Revised" w:history="1">
        <w:r w:rsidRPr="00682233">
          <w:rPr>
            <w:rStyle w:val="Hyperlink"/>
            <w:rFonts w:asciiTheme="minorHAnsi" w:hAnsiTheme="minorHAnsi" w:cstheme="minorHAnsi"/>
          </w:rPr>
          <w:t xml:space="preserve">Annex </w:t>
        </w:r>
        <w:r w:rsidR="00334A1C" w:rsidRPr="00682233">
          <w:rPr>
            <w:rStyle w:val="Hyperlink"/>
            <w:rFonts w:asciiTheme="minorHAnsi" w:hAnsiTheme="minorHAnsi" w:cstheme="minorHAnsi"/>
          </w:rPr>
          <w:t>3</w:t>
        </w:r>
      </w:hyperlink>
      <w:r>
        <w:rPr>
          <w:rFonts w:asciiTheme="minorHAnsi" w:hAnsiTheme="minorHAnsi" w:cstheme="minorHAnsi"/>
        </w:rPr>
        <w:t xml:space="preserve"> </w:t>
      </w:r>
    </w:p>
    <w:p w14:paraId="7E5AA431" w14:textId="2061661E" w:rsidR="00E738E8" w:rsidRDefault="00E738E8" w:rsidP="00127AAA">
      <w:pPr>
        <w:jc w:val="both"/>
      </w:pPr>
    </w:p>
    <w:p w14:paraId="03FB7782" w14:textId="380D97E0" w:rsidR="00D00D6D" w:rsidRPr="00690785" w:rsidRDefault="00A078C8" w:rsidP="00A078C8">
      <w:pPr>
        <w:pStyle w:val="Heading3"/>
        <w:rPr>
          <w:sz w:val="22"/>
          <w:szCs w:val="22"/>
        </w:rPr>
      </w:pPr>
      <w:bookmarkStart w:id="39" w:name="_Toc96772480"/>
      <w:r w:rsidRPr="00690785">
        <w:rPr>
          <w:sz w:val="22"/>
          <w:szCs w:val="22"/>
        </w:rPr>
        <w:t xml:space="preserve">4.1.4 </w:t>
      </w:r>
      <w:r w:rsidR="00D00D6D" w:rsidRPr="00690785">
        <w:rPr>
          <w:sz w:val="22"/>
          <w:szCs w:val="22"/>
        </w:rPr>
        <w:t xml:space="preserve">Lessons from other </w:t>
      </w:r>
      <w:r w:rsidR="00CB06A5" w:rsidRPr="00690785">
        <w:rPr>
          <w:sz w:val="22"/>
          <w:szCs w:val="22"/>
        </w:rPr>
        <w:t>sector-</w:t>
      </w:r>
      <w:r w:rsidR="00D00D6D" w:rsidRPr="00690785">
        <w:rPr>
          <w:sz w:val="22"/>
          <w:szCs w:val="22"/>
        </w:rPr>
        <w:t>relevant projects incorporated into project design</w:t>
      </w:r>
      <w:bookmarkEnd w:id="39"/>
    </w:p>
    <w:p w14:paraId="4CDE113A" w14:textId="5DE3C653" w:rsidR="00D00D6D" w:rsidRPr="00DE521F" w:rsidRDefault="006344AB" w:rsidP="00DE521F">
      <w:pPr>
        <w:pStyle w:val="BodyText"/>
        <w:spacing w:after="120"/>
        <w:jc w:val="both"/>
        <w:rPr>
          <w:rFonts w:ascii="Calibri" w:hAnsi="Calibri" w:cs="Calibri"/>
          <w:sz w:val="22"/>
          <w:szCs w:val="22"/>
        </w:rPr>
      </w:pPr>
      <w:r w:rsidRPr="00DE521F">
        <w:rPr>
          <w:rFonts w:ascii="Calibri" w:hAnsi="Calibri" w:cs="Calibri"/>
          <w:sz w:val="22"/>
          <w:szCs w:val="22"/>
        </w:rPr>
        <w:t>The</w:t>
      </w:r>
      <w:r w:rsidRPr="00DE521F">
        <w:rPr>
          <w:rFonts w:ascii="Calibri" w:hAnsi="Calibri" w:cs="Calibri"/>
          <w:spacing w:val="-7"/>
          <w:sz w:val="22"/>
          <w:szCs w:val="22"/>
        </w:rPr>
        <w:t xml:space="preserve"> </w:t>
      </w:r>
      <w:r w:rsidR="005A7AE0" w:rsidRPr="00DE521F">
        <w:rPr>
          <w:rFonts w:ascii="Calibri" w:hAnsi="Calibri" w:cs="Calibri"/>
          <w:spacing w:val="-7"/>
          <w:sz w:val="22"/>
          <w:szCs w:val="22"/>
        </w:rPr>
        <w:t xml:space="preserve">project </w:t>
      </w:r>
      <w:r w:rsidR="00CB06A5" w:rsidRPr="00DE521F">
        <w:rPr>
          <w:rFonts w:ascii="Calibri" w:hAnsi="Calibri" w:cs="Calibri"/>
          <w:spacing w:val="-7"/>
          <w:sz w:val="22"/>
          <w:szCs w:val="22"/>
        </w:rPr>
        <w:t xml:space="preserve">documentation at approval presents ample examples of </w:t>
      </w:r>
      <w:r w:rsidR="005A7AE0" w:rsidRPr="00DE521F">
        <w:rPr>
          <w:rFonts w:ascii="Calibri" w:hAnsi="Calibri" w:cs="Calibri"/>
          <w:spacing w:val="-7"/>
          <w:sz w:val="22"/>
          <w:szCs w:val="22"/>
        </w:rPr>
        <w:t xml:space="preserve">lessons learned and </w:t>
      </w:r>
      <w:r w:rsidR="00CB06A5" w:rsidRPr="00DE521F">
        <w:rPr>
          <w:rFonts w:ascii="Calibri" w:hAnsi="Calibri" w:cs="Calibri"/>
          <w:spacing w:val="-7"/>
          <w:sz w:val="22"/>
          <w:szCs w:val="22"/>
        </w:rPr>
        <w:t xml:space="preserve">linkages </w:t>
      </w:r>
      <w:r w:rsidR="005A7AE0" w:rsidRPr="00DE521F">
        <w:rPr>
          <w:rFonts w:ascii="Calibri" w:hAnsi="Calibri" w:cs="Calibri"/>
          <w:spacing w:val="-7"/>
          <w:sz w:val="22"/>
          <w:szCs w:val="22"/>
        </w:rPr>
        <w:t>from several key initiatives listed below.  In addition, the TOC evolved from the previous experience of the UNDP Green Commodities Program</w:t>
      </w:r>
      <w:r w:rsidR="00CE4D96">
        <w:rPr>
          <w:rFonts w:ascii="Calibri" w:hAnsi="Calibri" w:cs="Calibri"/>
          <w:spacing w:val="-7"/>
          <w:sz w:val="22"/>
          <w:szCs w:val="22"/>
        </w:rPr>
        <w:t>me</w:t>
      </w:r>
      <w:r w:rsidR="005A7AE0" w:rsidRPr="00DE521F">
        <w:rPr>
          <w:rFonts w:ascii="Calibri" w:hAnsi="Calibri" w:cs="Calibri"/>
          <w:spacing w:val="-7"/>
          <w:sz w:val="22"/>
          <w:szCs w:val="22"/>
        </w:rPr>
        <w:t xml:space="preserve"> that has been online since 2008 </w:t>
      </w:r>
      <w:r w:rsidR="00CB06A5" w:rsidRPr="00DE521F">
        <w:rPr>
          <w:rFonts w:ascii="Calibri" w:hAnsi="Calibri" w:cs="Calibri"/>
          <w:spacing w:val="-7"/>
          <w:sz w:val="22"/>
          <w:szCs w:val="22"/>
        </w:rPr>
        <w:t xml:space="preserve">working to reduce deforestation and habitat destruction </w:t>
      </w:r>
      <w:r w:rsidR="005A7AE0" w:rsidRPr="00DE521F">
        <w:rPr>
          <w:rFonts w:ascii="Calibri" w:hAnsi="Calibri" w:cs="Calibri"/>
          <w:spacing w:val="-7"/>
          <w:sz w:val="22"/>
          <w:szCs w:val="22"/>
        </w:rPr>
        <w:t>in coordination with major initiatives in the commodities space, such as the following</w:t>
      </w:r>
      <w:r w:rsidR="001A28E2">
        <w:rPr>
          <w:rFonts w:ascii="Calibri" w:hAnsi="Calibri" w:cs="Calibri"/>
          <w:spacing w:val="-7"/>
          <w:sz w:val="22"/>
          <w:szCs w:val="22"/>
        </w:rPr>
        <w:t>:</w:t>
      </w:r>
      <w:r w:rsidR="005A7AE0" w:rsidRPr="00DE521F">
        <w:rPr>
          <w:rFonts w:ascii="Calibri" w:hAnsi="Calibri" w:cs="Calibri"/>
          <w:spacing w:val="-7"/>
          <w:sz w:val="22"/>
          <w:szCs w:val="22"/>
        </w:rPr>
        <w:t xml:space="preserve"> </w:t>
      </w:r>
    </w:p>
    <w:p w14:paraId="5FF73776" w14:textId="77777777" w:rsidR="00411C59" w:rsidRPr="00E202A0" w:rsidRDefault="00D4628E" w:rsidP="00D80344">
      <w:pPr>
        <w:widowControl w:val="0"/>
        <w:numPr>
          <w:ilvl w:val="0"/>
          <w:numId w:val="36"/>
        </w:numPr>
        <w:autoSpaceDE w:val="0"/>
        <w:autoSpaceDN w:val="0"/>
        <w:spacing w:after="120" w:line="240" w:lineRule="auto"/>
        <w:ind w:left="900" w:right="593" w:hanging="360"/>
        <w:jc w:val="both"/>
        <w:rPr>
          <w:rFonts w:eastAsia="Times New Roman"/>
          <w:lang w:eastAsia="en-US"/>
        </w:rPr>
      </w:pPr>
      <w:r w:rsidRPr="00DE521F">
        <w:rPr>
          <w:rFonts w:eastAsia="Arial"/>
          <w:lang w:eastAsia="en-US"/>
        </w:rPr>
        <w:t>The Consumer Goods Forum, which support</w:t>
      </w:r>
      <w:r w:rsidR="00CB06A5" w:rsidRPr="00DE521F">
        <w:rPr>
          <w:rFonts w:eastAsia="Arial"/>
          <w:lang w:eastAsia="en-US"/>
        </w:rPr>
        <w:t xml:space="preserve"> a </w:t>
      </w:r>
      <w:r w:rsidRPr="00DE521F">
        <w:rPr>
          <w:rFonts w:eastAsia="Arial"/>
          <w:lang w:eastAsia="en-US"/>
        </w:rPr>
        <w:t xml:space="preserve">target made by 57 companies for zero net deforestation from soy, beef, palm oil and paper by 2020. </w:t>
      </w:r>
    </w:p>
    <w:p w14:paraId="78BBED05" w14:textId="1B0D154F" w:rsidR="00D4628E" w:rsidRPr="00DE521F" w:rsidRDefault="00D4628E" w:rsidP="00D80344">
      <w:pPr>
        <w:widowControl w:val="0"/>
        <w:numPr>
          <w:ilvl w:val="0"/>
          <w:numId w:val="36"/>
        </w:numPr>
        <w:autoSpaceDE w:val="0"/>
        <w:autoSpaceDN w:val="0"/>
        <w:spacing w:after="120" w:line="240" w:lineRule="auto"/>
        <w:ind w:left="900" w:right="593" w:hanging="360"/>
        <w:jc w:val="both"/>
        <w:rPr>
          <w:rFonts w:eastAsia="Times New Roman"/>
          <w:lang w:eastAsia="en-US"/>
        </w:rPr>
      </w:pPr>
      <w:r w:rsidRPr="00DE521F">
        <w:rPr>
          <w:rFonts w:eastAsia="Arial"/>
          <w:lang w:eastAsia="en-US"/>
        </w:rPr>
        <w:t>The New York Declaration of Forests saw world leaders, some of the largest companies, and various influential civil society and indigenous organizations endorse a global timeline to cut</w:t>
      </w:r>
      <w:r w:rsidRPr="00DE521F">
        <w:rPr>
          <w:rFonts w:eastAsia="Times New Roman"/>
          <w:lang w:eastAsia="en-US"/>
        </w:rPr>
        <w:t xml:space="preserve"> natural forest loss in half by</w:t>
      </w:r>
      <w:r w:rsidRPr="00DE521F">
        <w:rPr>
          <w:rFonts w:eastAsia="Times New Roman"/>
          <w:spacing w:val="-19"/>
          <w:lang w:eastAsia="en-US"/>
        </w:rPr>
        <w:t xml:space="preserve"> </w:t>
      </w:r>
      <w:r w:rsidRPr="00DE521F">
        <w:rPr>
          <w:rFonts w:eastAsia="Times New Roman"/>
          <w:lang w:eastAsia="en-US"/>
        </w:rPr>
        <w:t>2020.</w:t>
      </w:r>
    </w:p>
    <w:p w14:paraId="10E14971" w14:textId="1FBFDC79" w:rsidR="00A422DB" w:rsidRDefault="00D4628E" w:rsidP="00D80344">
      <w:pPr>
        <w:widowControl w:val="0"/>
        <w:numPr>
          <w:ilvl w:val="0"/>
          <w:numId w:val="36"/>
        </w:numPr>
        <w:autoSpaceDE w:val="0"/>
        <w:autoSpaceDN w:val="0"/>
        <w:spacing w:after="120" w:line="240" w:lineRule="auto"/>
        <w:ind w:left="900" w:right="410" w:hanging="360"/>
        <w:jc w:val="both"/>
        <w:rPr>
          <w:rFonts w:eastAsia="Times New Roman"/>
          <w:lang w:eastAsia="en-US"/>
        </w:rPr>
      </w:pPr>
      <w:r w:rsidRPr="00DE521F">
        <w:rPr>
          <w:rFonts w:eastAsia="Times New Roman"/>
          <w:lang w:eastAsia="en-US"/>
        </w:rPr>
        <w:t>UN REDD+ and the F</w:t>
      </w:r>
      <w:r w:rsidR="0073564F">
        <w:rPr>
          <w:rFonts w:eastAsia="Times New Roman"/>
          <w:lang w:eastAsia="en-US"/>
        </w:rPr>
        <w:t xml:space="preserve">orest </w:t>
      </w:r>
      <w:r w:rsidRPr="00DE521F">
        <w:rPr>
          <w:rFonts w:eastAsia="Times New Roman"/>
          <w:lang w:eastAsia="en-US"/>
        </w:rPr>
        <w:t>C</w:t>
      </w:r>
      <w:r w:rsidR="0073564F">
        <w:rPr>
          <w:rFonts w:eastAsia="Times New Roman"/>
          <w:lang w:eastAsia="en-US"/>
        </w:rPr>
        <w:t xml:space="preserve">arbon </w:t>
      </w:r>
      <w:r w:rsidRPr="00DE521F">
        <w:rPr>
          <w:rFonts w:eastAsia="Times New Roman"/>
          <w:lang w:eastAsia="en-US"/>
        </w:rPr>
        <w:t>P</w:t>
      </w:r>
      <w:r w:rsidR="0073564F">
        <w:rPr>
          <w:rFonts w:eastAsia="Times New Roman"/>
          <w:lang w:eastAsia="en-US"/>
        </w:rPr>
        <w:t xml:space="preserve">artnership </w:t>
      </w:r>
      <w:r w:rsidRPr="00DE521F">
        <w:rPr>
          <w:rFonts w:eastAsia="Times New Roman"/>
          <w:lang w:eastAsia="en-US"/>
        </w:rPr>
        <w:t>F</w:t>
      </w:r>
      <w:r w:rsidR="000117F4">
        <w:rPr>
          <w:rFonts w:eastAsia="Times New Roman"/>
          <w:lang w:eastAsia="en-US"/>
        </w:rPr>
        <w:t>acility</w:t>
      </w:r>
      <w:r w:rsidRPr="00DE521F">
        <w:rPr>
          <w:rFonts w:eastAsia="Times New Roman"/>
          <w:lang w:eastAsia="en-US"/>
        </w:rPr>
        <w:t xml:space="preserve"> are funding REDD+ readiness activities and will pilot projects providing financial incentives for emissions reductions. </w:t>
      </w:r>
    </w:p>
    <w:p w14:paraId="5C80DDE3" w14:textId="6C5EEE1A" w:rsidR="00D4628E" w:rsidRPr="00DE521F" w:rsidRDefault="00D4628E" w:rsidP="00D80344">
      <w:pPr>
        <w:widowControl w:val="0"/>
        <w:numPr>
          <w:ilvl w:val="0"/>
          <w:numId w:val="36"/>
        </w:numPr>
        <w:autoSpaceDE w:val="0"/>
        <w:autoSpaceDN w:val="0"/>
        <w:spacing w:after="120" w:line="240" w:lineRule="auto"/>
        <w:ind w:left="900" w:right="410" w:hanging="360"/>
        <w:jc w:val="both"/>
        <w:rPr>
          <w:rFonts w:eastAsia="Times New Roman"/>
          <w:lang w:eastAsia="en-US"/>
        </w:rPr>
      </w:pPr>
      <w:r w:rsidRPr="00DE521F">
        <w:rPr>
          <w:rFonts w:eastAsia="Times New Roman"/>
          <w:lang w:eastAsia="en-US"/>
        </w:rPr>
        <w:t>Norway provide</w:t>
      </w:r>
      <w:r w:rsidR="00CB06A5" w:rsidRPr="00DE521F">
        <w:rPr>
          <w:rFonts w:eastAsia="Times New Roman"/>
          <w:lang w:eastAsia="en-US"/>
        </w:rPr>
        <w:t>s</w:t>
      </w:r>
      <w:r w:rsidRPr="00DE521F">
        <w:rPr>
          <w:rFonts w:eastAsia="Times New Roman"/>
          <w:lang w:eastAsia="en-US"/>
        </w:rPr>
        <w:t xml:space="preserve"> substantial funds for a 5-year project entitled "Green Growth: </w:t>
      </w:r>
      <w:r w:rsidR="00334A1C" w:rsidRPr="00DE521F">
        <w:rPr>
          <w:rFonts w:eastAsia="Times New Roman"/>
          <w:lang w:eastAsia="en-US"/>
        </w:rPr>
        <w:t>Achieving Forest</w:t>
      </w:r>
      <w:r w:rsidRPr="00DE521F">
        <w:rPr>
          <w:rFonts w:eastAsia="Times New Roman"/>
          <w:lang w:eastAsia="en-US"/>
        </w:rPr>
        <w:t xml:space="preserve"> conservation in commercially productive landscapes in Indonesia, Liberia and Brazil", which will secure production-protection agreements for high conservation value and high carbon stock forests, intensify smallholder production in specific landscapes, and improve the livelihoods of smallholders and communities.</w:t>
      </w:r>
    </w:p>
    <w:p w14:paraId="56CD3E15" w14:textId="2A4F845B" w:rsidR="00D4628E" w:rsidRPr="00DE521F" w:rsidRDefault="00D4628E" w:rsidP="00D80344">
      <w:pPr>
        <w:widowControl w:val="0"/>
        <w:numPr>
          <w:ilvl w:val="0"/>
          <w:numId w:val="36"/>
        </w:numPr>
        <w:autoSpaceDE w:val="0"/>
        <w:autoSpaceDN w:val="0"/>
        <w:spacing w:after="120" w:line="240" w:lineRule="auto"/>
        <w:ind w:left="900" w:right="435" w:hanging="360"/>
        <w:jc w:val="both"/>
        <w:rPr>
          <w:rFonts w:eastAsia="Times New Roman"/>
          <w:lang w:eastAsia="en-US"/>
        </w:rPr>
      </w:pPr>
      <w:r w:rsidRPr="00DE521F">
        <w:rPr>
          <w:rFonts w:eastAsia="Times New Roman"/>
          <w:lang w:eastAsia="en-US"/>
        </w:rPr>
        <w:t>DFID funding for implementation of the Indonesia Forestry Land-use and Governance (FLAG) programme, which reduce</w:t>
      </w:r>
      <w:r w:rsidR="00CB06A5" w:rsidRPr="00DE521F">
        <w:rPr>
          <w:rFonts w:eastAsia="Times New Roman"/>
          <w:lang w:eastAsia="en-US"/>
        </w:rPr>
        <w:t>s</w:t>
      </w:r>
      <w:r w:rsidRPr="00DE521F">
        <w:rPr>
          <w:rFonts w:eastAsia="Times New Roman"/>
          <w:lang w:eastAsia="en-US"/>
        </w:rPr>
        <w:t xml:space="preserve"> the deforestation rate and reduce</w:t>
      </w:r>
      <w:r w:rsidR="00CB06A5" w:rsidRPr="00DE521F">
        <w:rPr>
          <w:rFonts w:eastAsia="Times New Roman"/>
          <w:lang w:eastAsia="en-US"/>
        </w:rPr>
        <w:t>s</w:t>
      </w:r>
      <w:r w:rsidRPr="00DE521F">
        <w:rPr>
          <w:rFonts w:eastAsia="Times New Roman"/>
          <w:lang w:eastAsia="en-US"/>
        </w:rPr>
        <w:t xml:space="preserve"> peat land degradation</w:t>
      </w:r>
      <w:r w:rsidR="00A6143F" w:rsidRPr="00DE521F">
        <w:rPr>
          <w:rFonts w:eastAsia="Times New Roman"/>
          <w:lang w:eastAsia="en-US"/>
        </w:rPr>
        <w:t xml:space="preserve">. DFID also funds </w:t>
      </w:r>
      <w:r w:rsidRPr="00DE521F">
        <w:rPr>
          <w:rFonts w:eastAsia="Times New Roman"/>
          <w:lang w:eastAsia="en-US"/>
        </w:rPr>
        <w:t xml:space="preserve">a forestry programme entitled “Investments in Forests and </w:t>
      </w:r>
      <w:r w:rsidRPr="00DE521F">
        <w:rPr>
          <w:rFonts w:eastAsia="Times New Roman"/>
          <w:lang w:eastAsia="en-US"/>
        </w:rPr>
        <w:lastRenderedPageBreak/>
        <w:t>Sustainable Land-Use (IFSLU)”, which work</w:t>
      </w:r>
      <w:r w:rsidR="00A6143F" w:rsidRPr="00DE521F">
        <w:rPr>
          <w:rFonts w:eastAsia="Times New Roman"/>
          <w:lang w:eastAsia="en-US"/>
        </w:rPr>
        <w:t>s</w:t>
      </w:r>
      <w:r w:rsidRPr="00DE521F">
        <w:rPr>
          <w:rFonts w:eastAsia="Times New Roman"/>
          <w:lang w:eastAsia="en-US"/>
        </w:rPr>
        <w:t xml:space="preserve"> to translate corporate commitments related to supply chain sustainability into action in West Africa and Southeast</w:t>
      </w:r>
      <w:r w:rsidRPr="00DE521F">
        <w:rPr>
          <w:rFonts w:eastAsia="Times New Roman"/>
          <w:spacing w:val="-7"/>
          <w:lang w:eastAsia="en-US"/>
        </w:rPr>
        <w:t xml:space="preserve"> </w:t>
      </w:r>
      <w:r w:rsidRPr="00DE521F">
        <w:rPr>
          <w:rFonts w:eastAsia="Times New Roman"/>
          <w:lang w:eastAsia="en-US"/>
        </w:rPr>
        <w:t>Asia.</w:t>
      </w:r>
    </w:p>
    <w:p w14:paraId="679D6C97" w14:textId="391E3328" w:rsidR="002B3CFC" w:rsidRPr="00DE521F" w:rsidRDefault="00D4628E" w:rsidP="00D80344">
      <w:pPr>
        <w:widowControl w:val="0"/>
        <w:numPr>
          <w:ilvl w:val="0"/>
          <w:numId w:val="36"/>
        </w:numPr>
        <w:autoSpaceDE w:val="0"/>
        <w:autoSpaceDN w:val="0"/>
        <w:spacing w:after="120" w:line="240" w:lineRule="auto"/>
        <w:ind w:left="900" w:right="469" w:hanging="360"/>
        <w:jc w:val="both"/>
        <w:rPr>
          <w:rFonts w:eastAsia="Times New Roman"/>
          <w:lang w:eastAsia="en-US"/>
        </w:rPr>
      </w:pPr>
      <w:r w:rsidRPr="00DE521F">
        <w:rPr>
          <w:rFonts w:eastAsia="Times New Roman"/>
          <w:lang w:eastAsia="en-US"/>
        </w:rPr>
        <w:t xml:space="preserve">USAID </w:t>
      </w:r>
      <w:r w:rsidR="00A6143F" w:rsidRPr="00DE521F">
        <w:rPr>
          <w:rFonts w:eastAsia="Times New Roman"/>
          <w:lang w:eastAsia="en-US"/>
        </w:rPr>
        <w:t>supports</w:t>
      </w:r>
      <w:r w:rsidRPr="00DE521F">
        <w:rPr>
          <w:rFonts w:eastAsia="Times New Roman"/>
          <w:lang w:eastAsia="en-US"/>
        </w:rPr>
        <w:t xml:space="preserve"> in the Chaco region</w:t>
      </w:r>
      <w:r w:rsidR="00A6143F" w:rsidRPr="00DE521F">
        <w:rPr>
          <w:rFonts w:eastAsia="Times New Roman"/>
          <w:lang w:eastAsia="en-US"/>
        </w:rPr>
        <w:t xml:space="preserve"> of Paraguay</w:t>
      </w:r>
      <w:r w:rsidRPr="00DE521F">
        <w:rPr>
          <w:rFonts w:eastAsia="Times New Roman"/>
          <w:lang w:eastAsia="en-US"/>
        </w:rPr>
        <w:t>, sustainable production to reduce deforestation and carbon emissions</w:t>
      </w:r>
      <w:r w:rsidR="00A6143F" w:rsidRPr="00DE521F">
        <w:rPr>
          <w:rFonts w:eastAsia="Times New Roman"/>
          <w:lang w:eastAsia="en-US"/>
        </w:rPr>
        <w:t>.</w:t>
      </w:r>
    </w:p>
    <w:p w14:paraId="1AD385B2" w14:textId="06FFB667" w:rsidR="00D4628E" w:rsidRPr="00DE521F" w:rsidRDefault="00D4628E" w:rsidP="00D80344">
      <w:pPr>
        <w:widowControl w:val="0"/>
        <w:numPr>
          <w:ilvl w:val="0"/>
          <w:numId w:val="36"/>
        </w:numPr>
        <w:autoSpaceDE w:val="0"/>
        <w:autoSpaceDN w:val="0"/>
        <w:spacing w:after="120" w:line="240" w:lineRule="auto"/>
        <w:ind w:left="900" w:right="469" w:hanging="360"/>
        <w:jc w:val="both"/>
        <w:rPr>
          <w:rFonts w:eastAsia="Times New Roman"/>
          <w:lang w:eastAsia="en-US"/>
        </w:rPr>
      </w:pPr>
      <w:r w:rsidRPr="00DE521F">
        <w:rPr>
          <w:rFonts w:eastAsia="Times New Roman"/>
          <w:lang w:eastAsia="en-US"/>
        </w:rPr>
        <w:t>S</w:t>
      </w:r>
      <w:r w:rsidR="002B3CFC" w:rsidRPr="00DE521F">
        <w:rPr>
          <w:rFonts w:eastAsia="Times New Roman"/>
          <w:lang w:eastAsia="en-US"/>
        </w:rPr>
        <w:t>IDA</w:t>
      </w:r>
      <w:r w:rsidRPr="00DE521F">
        <w:rPr>
          <w:rFonts w:eastAsia="Times New Roman"/>
          <w:lang w:eastAsia="en-US"/>
        </w:rPr>
        <w:t xml:space="preserve"> </w:t>
      </w:r>
      <w:r w:rsidR="002B3CFC" w:rsidRPr="00DE521F">
        <w:rPr>
          <w:rFonts w:eastAsia="Times New Roman"/>
          <w:lang w:eastAsia="en-US"/>
        </w:rPr>
        <w:t xml:space="preserve">funded </w:t>
      </w:r>
      <w:r w:rsidRPr="00DE521F">
        <w:rPr>
          <w:rFonts w:eastAsia="Times New Roman"/>
          <w:lang w:eastAsia="en-US"/>
        </w:rPr>
        <w:t>“Making Markets Work for People and Nature” which is focused on sustainable palm oil, timber, pulp and paper (and other commodities).</w:t>
      </w:r>
    </w:p>
    <w:p w14:paraId="2479B5C5" w14:textId="3FBCBDE1" w:rsidR="00D4628E" w:rsidRPr="00DE521F" w:rsidRDefault="00D4628E" w:rsidP="00D80344">
      <w:pPr>
        <w:pStyle w:val="BodyText"/>
        <w:numPr>
          <w:ilvl w:val="0"/>
          <w:numId w:val="36"/>
        </w:numPr>
        <w:spacing w:after="120"/>
        <w:ind w:left="900"/>
        <w:rPr>
          <w:rFonts w:ascii="Calibri" w:eastAsia="Times New Roman" w:hAnsi="Calibri" w:cs="Calibri"/>
          <w:sz w:val="22"/>
          <w:szCs w:val="22"/>
        </w:rPr>
      </w:pPr>
      <w:r w:rsidRPr="00DE521F">
        <w:rPr>
          <w:rFonts w:ascii="Calibri" w:eastAsia="Times New Roman" w:hAnsi="Calibri" w:cs="Calibri"/>
          <w:sz w:val="22"/>
          <w:szCs w:val="22"/>
        </w:rPr>
        <w:t>Tropical Forest Alliance, a global public-private partnership to reduce tropical deforestation associated with the sourcing of commodities.</w:t>
      </w:r>
    </w:p>
    <w:p w14:paraId="5E22C5EB" w14:textId="32E7654C" w:rsidR="00DE521F" w:rsidRDefault="00DE521F" w:rsidP="00DE521F">
      <w:pPr>
        <w:pStyle w:val="BodyText"/>
        <w:spacing w:after="120"/>
        <w:jc w:val="both"/>
        <w:rPr>
          <w:rFonts w:ascii="Calibri" w:eastAsia="Times New Roman" w:hAnsi="Calibri" w:cs="Calibri"/>
          <w:sz w:val="22"/>
          <w:szCs w:val="22"/>
        </w:rPr>
      </w:pPr>
      <w:r>
        <w:rPr>
          <w:rFonts w:ascii="Calibri" w:eastAsia="Times New Roman" w:hAnsi="Calibri" w:cs="Calibri"/>
          <w:sz w:val="22"/>
          <w:szCs w:val="22"/>
        </w:rPr>
        <w:t>Finding</w:t>
      </w:r>
      <w:r w:rsidR="009133B3">
        <w:rPr>
          <w:rFonts w:ascii="Calibri" w:eastAsia="Times New Roman" w:hAnsi="Calibri" w:cs="Calibri"/>
          <w:sz w:val="22"/>
          <w:szCs w:val="22"/>
        </w:rPr>
        <w:t xml:space="preserve"> (16) </w:t>
      </w:r>
      <w:r>
        <w:rPr>
          <w:rFonts w:ascii="Calibri" w:eastAsia="Times New Roman" w:hAnsi="Calibri" w:cs="Calibri"/>
          <w:sz w:val="22"/>
          <w:szCs w:val="22"/>
        </w:rPr>
        <w:t xml:space="preserve">The project presented numerous examples of lessons learned </w:t>
      </w:r>
      <w:r w:rsidR="001A28E2">
        <w:rPr>
          <w:rFonts w:ascii="Calibri" w:eastAsia="Times New Roman" w:hAnsi="Calibri" w:cs="Calibri"/>
          <w:sz w:val="22"/>
          <w:szCs w:val="22"/>
        </w:rPr>
        <w:t xml:space="preserve">from UNDP´s ongoing Green Commodities Programme </w:t>
      </w:r>
      <w:r>
        <w:rPr>
          <w:rFonts w:ascii="Calibri" w:eastAsia="Times New Roman" w:hAnsi="Calibri" w:cs="Calibri"/>
          <w:sz w:val="22"/>
          <w:szCs w:val="22"/>
        </w:rPr>
        <w:t xml:space="preserve">and </w:t>
      </w:r>
      <w:r w:rsidR="001A28E2">
        <w:rPr>
          <w:rFonts w:ascii="Calibri" w:eastAsia="Times New Roman" w:hAnsi="Calibri" w:cs="Calibri"/>
          <w:sz w:val="22"/>
          <w:szCs w:val="22"/>
        </w:rPr>
        <w:t xml:space="preserve">presented </w:t>
      </w:r>
      <w:r>
        <w:rPr>
          <w:rFonts w:ascii="Calibri" w:eastAsia="Times New Roman" w:hAnsi="Calibri" w:cs="Calibri"/>
          <w:sz w:val="22"/>
          <w:szCs w:val="22"/>
        </w:rPr>
        <w:t xml:space="preserve">a multi-partner framework that draws lessons learned from </w:t>
      </w:r>
      <w:r w:rsidRPr="00DE521F">
        <w:rPr>
          <w:rFonts w:ascii="Calibri" w:eastAsia="Times New Roman" w:hAnsi="Calibri" w:cs="Calibri"/>
          <w:sz w:val="22"/>
          <w:szCs w:val="22"/>
        </w:rPr>
        <w:t xml:space="preserve">each of the partner organizations (CI, WWF, UNEP FI, IFC) </w:t>
      </w:r>
      <w:r>
        <w:rPr>
          <w:rFonts w:ascii="Calibri" w:eastAsia="Times New Roman" w:hAnsi="Calibri" w:cs="Calibri"/>
          <w:sz w:val="22"/>
          <w:szCs w:val="22"/>
        </w:rPr>
        <w:t xml:space="preserve">and </w:t>
      </w:r>
      <w:r w:rsidRPr="00DE521F">
        <w:rPr>
          <w:rFonts w:ascii="Calibri" w:eastAsia="Times New Roman" w:hAnsi="Calibri" w:cs="Calibri"/>
          <w:sz w:val="22"/>
          <w:szCs w:val="22"/>
        </w:rPr>
        <w:t>brings experience and learning from numerous initiatives from within the targeted commodities and countries</w:t>
      </w:r>
      <w:r>
        <w:rPr>
          <w:rFonts w:ascii="Calibri" w:eastAsia="Times New Roman" w:hAnsi="Calibri" w:cs="Calibri"/>
          <w:sz w:val="22"/>
          <w:szCs w:val="22"/>
        </w:rPr>
        <w:t xml:space="preserve">. </w:t>
      </w:r>
      <w:r w:rsidR="00CD3163">
        <w:rPr>
          <w:rFonts w:ascii="Calibri" w:eastAsia="Times New Roman" w:hAnsi="Calibri" w:cs="Calibri"/>
          <w:sz w:val="22"/>
          <w:szCs w:val="22"/>
        </w:rPr>
        <w:t>For illustration, these include: (i) the need for tools and approaches to nest and integrate demand, production, transaction and policy reforms better together; (ii) Working in strong collaboration with partners and connecting all parts of the supply chain (production, demand and  finance) is the best way to effect systematic change to take deforestation out of agricultural commodity supply chains amongst others.</w:t>
      </w:r>
    </w:p>
    <w:p w14:paraId="46A6AC71" w14:textId="2BEEE193" w:rsidR="001A28E2" w:rsidRPr="00DE521F" w:rsidRDefault="001A28E2" w:rsidP="00DE521F">
      <w:pPr>
        <w:pStyle w:val="BodyText"/>
        <w:spacing w:after="120"/>
        <w:jc w:val="both"/>
        <w:rPr>
          <w:rFonts w:ascii="Calibri" w:eastAsia="Times New Roman" w:hAnsi="Calibri" w:cs="Calibri"/>
          <w:sz w:val="22"/>
          <w:szCs w:val="22"/>
        </w:rPr>
      </w:pPr>
      <w:r>
        <w:rPr>
          <w:rFonts w:ascii="Calibri" w:eastAsia="Times New Roman" w:hAnsi="Calibri" w:cs="Calibri"/>
          <w:sz w:val="22"/>
          <w:szCs w:val="22"/>
        </w:rPr>
        <w:t>Conclusion</w:t>
      </w:r>
      <w:r w:rsidR="00A2413E">
        <w:rPr>
          <w:rFonts w:ascii="Calibri" w:eastAsia="Times New Roman" w:hAnsi="Calibri" w:cs="Calibri"/>
          <w:sz w:val="22"/>
          <w:szCs w:val="22"/>
        </w:rPr>
        <w:t xml:space="preserve"> (1</w:t>
      </w:r>
      <w:r w:rsidR="00064F9B">
        <w:rPr>
          <w:rFonts w:ascii="Calibri" w:eastAsia="Times New Roman" w:hAnsi="Calibri" w:cs="Calibri"/>
          <w:sz w:val="22"/>
          <w:szCs w:val="22"/>
        </w:rPr>
        <w:t>6</w:t>
      </w:r>
      <w:r w:rsidR="00A2413E">
        <w:rPr>
          <w:rFonts w:ascii="Calibri" w:eastAsia="Times New Roman" w:hAnsi="Calibri" w:cs="Calibri"/>
          <w:sz w:val="22"/>
          <w:szCs w:val="22"/>
        </w:rPr>
        <w:t>)</w:t>
      </w:r>
      <w:r>
        <w:rPr>
          <w:rFonts w:ascii="Calibri" w:eastAsia="Times New Roman" w:hAnsi="Calibri" w:cs="Calibri"/>
          <w:sz w:val="22"/>
          <w:szCs w:val="22"/>
        </w:rPr>
        <w:t xml:space="preserve">. The project adequately incorporated best practices and lessons learned from other initiatives into the design of the </w:t>
      </w:r>
      <w:r w:rsidR="00BD2128">
        <w:rPr>
          <w:rFonts w:ascii="Calibri" w:eastAsia="Times New Roman" w:hAnsi="Calibri" w:cs="Calibri"/>
          <w:sz w:val="22"/>
          <w:szCs w:val="22"/>
        </w:rPr>
        <w:t>Project.</w:t>
      </w:r>
    </w:p>
    <w:p w14:paraId="3A260856" w14:textId="7B07B6CC" w:rsidR="005A7AE0" w:rsidRPr="005A7AE0" w:rsidRDefault="005A7AE0" w:rsidP="005A7AE0">
      <w:pPr>
        <w:pStyle w:val="BodyText"/>
        <w:spacing w:before="1"/>
        <w:jc w:val="both"/>
        <w:rPr>
          <w:rFonts w:ascii="Times New Roman" w:eastAsia="Times New Roman" w:hAnsi="Times New Roman" w:cs="Times New Roman"/>
          <w:sz w:val="22"/>
          <w:szCs w:val="22"/>
        </w:rPr>
      </w:pPr>
    </w:p>
    <w:p w14:paraId="7E47B62F" w14:textId="556A6C26" w:rsidR="00D00D6D" w:rsidRPr="00690785" w:rsidRDefault="00A078C8" w:rsidP="00A078C8">
      <w:pPr>
        <w:pStyle w:val="Heading3"/>
        <w:rPr>
          <w:sz w:val="22"/>
          <w:szCs w:val="22"/>
        </w:rPr>
      </w:pPr>
      <w:bookmarkStart w:id="40" w:name="_Toc96772481"/>
      <w:r w:rsidRPr="00690785">
        <w:rPr>
          <w:sz w:val="22"/>
          <w:szCs w:val="22"/>
        </w:rPr>
        <w:t xml:space="preserve">4.1.5 </w:t>
      </w:r>
      <w:r w:rsidR="00D00D6D" w:rsidRPr="00690785">
        <w:rPr>
          <w:sz w:val="22"/>
          <w:szCs w:val="22"/>
        </w:rPr>
        <w:t>Planned stakeholder participation</w:t>
      </w:r>
      <w:bookmarkEnd w:id="40"/>
    </w:p>
    <w:p w14:paraId="4062F3D3" w14:textId="77777777" w:rsidR="00193FCF" w:rsidRDefault="00193FCF" w:rsidP="00BA2312">
      <w:pPr>
        <w:pStyle w:val="BodyText"/>
        <w:spacing w:before="7"/>
        <w:rPr>
          <w:rFonts w:ascii="Segoe UI" w:hAnsi="Segoe UI" w:cs="Segoe UI"/>
          <w:iCs/>
        </w:rPr>
      </w:pPr>
    </w:p>
    <w:p w14:paraId="4D9E1579" w14:textId="1B05379B" w:rsidR="00064F9B" w:rsidRDefault="00193FCF" w:rsidP="000F4CF8">
      <w:pPr>
        <w:pStyle w:val="BodyText"/>
        <w:spacing w:before="7"/>
        <w:jc w:val="both"/>
        <w:rPr>
          <w:rFonts w:ascii="Segoe UI" w:hAnsi="Segoe UI" w:cs="Segoe UI"/>
          <w:iCs/>
        </w:rPr>
      </w:pPr>
      <w:r w:rsidRPr="00193FCF">
        <w:rPr>
          <w:rFonts w:ascii="Segoe UI" w:hAnsi="Segoe UI" w:cs="Segoe UI"/>
          <w:iCs/>
        </w:rPr>
        <w:t xml:space="preserve">A Partnership Strategy for the IAP </w:t>
      </w:r>
      <w:r w:rsidR="00A078C8" w:rsidRPr="00193FCF">
        <w:rPr>
          <w:rFonts w:ascii="Segoe UI" w:hAnsi="Segoe UI" w:cs="Segoe UI"/>
          <w:iCs/>
        </w:rPr>
        <w:t>was</w:t>
      </w:r>
      <w:r w:rsidRPr="00193FCF">
        <w:rPr>
          <w:rFonts w:ascii="Segoe UI" w:hAnsi="Segoe UI" w:cs="Segoe UI"/>
          <w:iCs/>
        </w:rPr>
        <w:t xml:space="preserve"> developed during the PPG phase, which identifies the role and relationship expected with stakeholders</w:t>
      </w:r>
      <w:r w:rsidR="00B76E73">
        <w:rPr>
          <w:rFonts w:ascii="Segoe UI" w:hAnsi="Segoe UI" w:cs="Segoe UI"/>
          <w:iCs/>
        </w:rPr>
        <w:t xml:space="preserve">. </w:t>
      </w:r>
      <w:r w:rsidRPr="00193FCF">
        <w:rPr>
          <w:rFonts w:ascii="Segoe UI" w:hAnsi="Segoe UI" w:cs="Segoe UI"/>
          <w:iCs/>
        </w:rPr>
        <w:t xml:space="preserve">The main processes for engagement of these key stakeholders included </w:t>
      </w:r>
      <w:r w:rsidR="00A6143F">
        <w:rPr>
          <w:rFonts w:ascii="Segoe UI" w:hAnsi="Segoe UI" w:cs="Segoe UI"/>
          <w:iCs/>
        </w:rPr>
        <w:t>multi-</w:t>
      </w:r>
      <w:r w:rsidR="00DE521F">
        <w:rPr>
          <w:rFonts w:ascii="Segoe UI" w:hAnsi="Segoe UI" w:cs="Segoe UI"/>
          <w:iCs/>
        </w:rPr>
        <w:t>stakeholder</w:t>
      </w:r>
      <w:r w:rsidR="00A6143F">
        <w:rPr>
          <w:rFonts w:ascii="Segoe UI" w:hAnsi="Segoe UI" w:cs="Segoe UI"/>
          <w:iCs/>
        </w:rPr>
        <w:t xml:space="preserve"> </w:t>
      </w:r>
      <w:r w:rsidRPr="00193FCF">
        <w:rPr>
          <w:rFonts w:ascii="Segoe UI" w:hAnsi="Segoe UI" w:cs="Segoe UI"/>
          <w:iCs/>
        </w:rPr>
        <w:t xml:space="preserve">platforms at the national level, </w:t>
      </w:r>
      <w:r w:rsidR="00A6143F">
        <w:rPr>
          <w:rFonts w:ascii="Segoe UI" w:hAnsi="Segoe UI" w:cs="Segoe UI"/>
          <w:iCs/>
        </w:rPr>
        <w:t xml:space="preserve">promotion of knowledge tools for multi-stakeholder participation, </w:t>
      </w:r>
      <w:r w:rsidRPr="00193FCF">
        <w:rPr>
          <w:rFonts w:ascii="Segoe UI" w:hAnsi="Segoe UI" w:cs="Segoe UI"/>
          <w:iCs/>
        </w:rPr>
        <w:t xml:space="preserve">bilateral consultations with key stakeholders, and the Community of Practice (Green Commodities Community) established through the A&amp;L project for </w:t>
      </w:r>
      <w:r w:rsidR="00A6143F">
        <w:rPr>
          <w:rFonts w:ascii="Segoe UI" w:hAnsi="Segoe UI" w:cs="Segoe UI"/>
          <w:iCs/>
        </w:rPr>
        <w:t xml:space="preserve">exchange of experiences and mutual knowledge sharing and learning across </w:t>
      </w:r>
      <w:r w:rsidRPr="00193FCF">
        <w:rPr>
          <w:rFonts w:ascii="Segoe UI" w:hAnsi="Segoe UI" w:cs="Segoe UI"/>
          <w:iCs/>
        </w:rPr>
        <w:t xml:space="preserve">a broader group of stakeholders. </w:t>
      </w:r>
    </w:p>
    <w:p w14:paraId="06726794" w14:textId="77777777" w:rsidR="00064F9B" w:rsidRDefault="00064F9B" w:rsidP="000F4CF8">
      <w:pPr>
        <w:pStyle w:val="BodyText"/>
        <w:spacing w:before="7"/>
        <w:jc w:val="both"/>
        <w:rPr>
          <w:rFonts w:ascii="Segoe UI" w:hAnsi="Segoe UI" w:cs="Segoe UI"/>
          <w:iCs/>
        </w:rPr>
      </w:pPr>
    </w:p>
    <w:p w14:paraId="60DE0A9F" w14:textId="3232F2E7" w:rsidR="00BD2128" w:rsidRDefault="00064F9B" w:rsidP="000F4CF8">
      <w:pPr>
        <w:pStyle w:val="BodyText"/>
        <w:spacing w:before="7"/>
        <w:jc w:val="both"/>
        <w:rPr>
          <w:rFonts w:ascii="Segoe UI" w:hAnsi="Segoe UI" w:cs="Segoe UI"/>
          <w:iCs/>
        </w:rPr>
      </w:pPr>
      <w:r>
        <w:rPr>
          <w:rFonts w:ascii="Segoe UI" w:hAnsi="Segoe UI" w:cs="Segoe UI"/>
          <w:iCs/>
        </w:rPr>
        <w:t xml:space="preserve">Finding 17: </w:t>
      </w:r>
      <w:r w:rsidR="00A6143F">
        <w:rPr>
          <w:rFonts w:ascii="Segoe UI" w:hAnsi="Segoe UI" w:cs="Segoe UI"/>
          <w:iCs/>
        </w:rPr>
        <w:t xml:space="preserve">The A&amp;L project </w:t>
      </w:r>
      <w:r w:rsidR="00BD2128">
        <w:rPr>
          <w:rFonts w:ascii="Segoe UI" w:hAnsi="Segoe UI" w:cs="Segoe UI"/>
          <w:iCs/>
        </w:rPr>
        <w:t xml:space="preserve">supported </w:t>
      </w:r>
      <w:r w:rsidR="00A6143F">
        <w:rPr>
          <w:rFonts w:ascii="Segoe UI" w:hAnsi="Segoe UI" w:cs="Segoe UI"/>
          <w:iCs/>
        </w:rPr>
        <w:t>e</w:t>
      </w:r>
      <w:r w:rsidR="00193FCF" w:rsidRPr="00193FCF">
        <w:rPr>
          <w:rFonts w:ascii="Segoe UI" w:hAnsi="Segoe UI" w:cs="Segoe UI"/>
          <w:iCs/>
        </w:rPr>
        <w:t xml:space="preserve">ach child </w:t>
      </w:r>
      <w:r w:rsidR="00C05A38">
        <w:rPr>
          <w:rFonts w:ascii="Segoe UI" w:hAnsi="Segoe UI" w:cs="Segoe UI"/>
          <w:iCs/>
        </w:rPr>
        <w:t xml:space="preserve">project </w:t>
      </w:r>
      <w:r w:rsidR="00BD2128">
        <w:rPr>
          <w:rFonts w:ascii="Segoe UI" w:hAnsi="Segoe UI" w:cs="Segoe UI"/>
          <w:iCs/>
        </w:rPr>
        <w:t xml:space="preserve">with opportunities for engagement through the Green </w:t>
      </w:r>
      <w:r w:rsidR="005F0E75">
        <w:rPr>
          <w:rFonts w:ascii="Segoe UI" w:hAnsi="Segoe UI" w:cs="Segoe UI"/>
        </w:rPr>
        <w:t xml:space="preserve">Commodities </w:t>
      </w:r>
      <w:r w:rsidR="00BD2128">
        <w:rPr>
          <w:rFonts w:ascii="Segoe UI" w:hAnsi="Segoe UI" w:cs="Segoe UI"/>
          <w:iCs/>
        </w:rPr>
        <w:t>Community and through coordination with</w:t>
      </w:r>
      <w:r w:rsidR="00193FCF" w:rsidRPr="00193FCF">
        <w:rPr>
          <w:rFonts w:ascii="Segoe UI" w:hAnsi="Segoe UI" w:cs="Segoe UI"/>
          <w:iCs/>
        </w:rPr>
        <w:t xml:space="preserve"> existing networks</w:t>
      </w:r>
      <w:r w:rsidR="00CF628B">
        <w:rPr>
          <w:rFonts w:ascii="Segoe UI" w:hAnsi="Segoe UI" w:cs="Segoe UI"/>
          <w:iCs/>
        </w:rPr>
        <w:t xml:space="preserve"> and through knowledge management tools and opportunities. </w:t>
      </w:r>
    </w:p>
    <w:p w14:paraId="5F1E079A" w14:textId="77777777" w:rsidR="00BD2128" w:rsidRDefault="00BD2128" w:rsidP="000F4CF8">
      <w:pPr>
        <w:pStyle w:val="BodyText"/>
        <w:spacing w:before="7"/>
        <w:jc w:val="both"/>
        <w:rPr>
          <w:rFonts w:ascii="Segoe UI" w:hAnsi="Segoe UI" w:cs="Segoe UI"/>
          <w:iCs/>
        </w:rPr>
      </w:pPr>
    </w:p>
    <w:p w14:paraId="03158064" w14:textId="04EA7297" w:rsidR="00193FCF" w:rsidRDefault="00CF628B" w:rsidP="000F4CF8">
      <w:pPr>
        <w:pStyle w:val="BodyText"/>
        <w:spacing w:before="7"/>
        <w:jc w:val="both"/>
        <w:rPr>
          <w:rFonts w:ascii="Segoe UI" w:hAnsi="Segoe UI" w:cs="Segoe UI"/>
          <w:iCs/>
        </w:rPr>
      </w:pPr>
      <w:r>
        <w:rPr>
          <w:rFonts w:ascii="Segoe UI" w:hAnsi="Segoe UI" w:cs="Segoe UI"/>
          <w:iCs/>
        </w:rPr>
        <w:t>Conclusion</w:t>
      </w:r>
      <w:r w:rsidR="00064F9B">
        <w:rPr>
          <w:rFonts w:ascii="Segoe UI" w:hAnsi="Segoe UI" w:cs="Segoe UI"/>
          <w:iCs/>
        </w:rPr>
        <w:t xml:space="preserve"> (17)</w:t>
      </w:r>
      <w:r>
        <w:rPr>
          <w:rFonts w:ascii="Segoe UI" w:hAnsi="Segoe UI" w:cs="Segoe UI"/>
          <w:iCs/>
        </w:rPr>
        <w:t>:</w:t>
      </w:r>
      <w:r w:rsidR="00BD2128">
        <w:rPr>
          <w:rFonts w:ascii="Segoe UI" w:hAnsi="Segoe UI" w:cs="Segoe UI"/>
          <w:iCs/>
        </w:rPr>
        <w:t xml:space="preserve"> T</w:t>
      </w:r>
      <w:r w:rsidR="00193FCF" w:rsidRPr="00193FCF">
        <w:rPr>
          <w:rFonts w:ascii="Segoe UI" w:hAnsi="Segoe UI" w:cs="Segoe UI"/>
          <w:iCs/>
        </w:rPr>
        <w:t xml:space="preserve">he A&amp;L project </w:t>
      </w:r>
      <w:r w:rsidR="00BD2128">
        <w:rPr>
          <w:rFonts w:ascii="Segoe UI" w:hAnsi="Segoe UI" w:cs="Segoe UI"/>
          <w:iCs/>
        </w:rPr>
        <w:t>provide</w:t>
      </w:r>
      <w:r>
        <w:rPr>
          <w:rFonts w:ascii="Segoe UI" w:hAnsi="Segoe UI" w:cs="Segoe UI"/>
          <w:iCs/>
        </w:rPr>
        <w:t>d</w:t>
      </w:r>
      <w:r w:rsidR="00BD2128">
        <w:rPr>
          <w:rFonts w:ascii="Segoe UI" w:hAnsi="Segoe UI" w:cs="Segoe UI"/>
          <w:iCs/>
        </w:rPr>
        <w:t xml:space="preserve"> ample structures and opportunities for stakeholder engagement</w:t>
      </w:r>
      <w:r>
        <w:rPr>
          <w:rFonts w:ascii="Segoe UI" w:hAnsi="Segoe UI" w:cs="Segoe UI"/>
          <w:iCs/>
        </w:rPr>
        <w:t xml:space="preserve"> in the design of the project</w:t>
      </w:r>
      <w:r w:rsidR="00193FCF" w:rsidRPr="00193FCF">
        <w:rPr>
          <w:rFonts w:ascii="Segoe UI" w:hAnsi="Segoe UI" w:cs="Segoe UI"/>
          <w:iCs/>
        </w:rPr>
        <w:t>.</w:t>
      </w:r>
      <w:r>
        <w:rPr>
          <w:rFonts w:ascii="Segoe UI" w:hAnsi="Segoe UI" w:cs="Segoe UI"/>
          <w:iCs/>
        </w:rPr>
        <w:t xml:space="preserve"> </w:t>
      </w:r>
    </w:p>
    <w:p w14:paraId="13361AB6" w14:textId="1DAB6A06" w:rsidR="00DE521F" w:rsidRDefault="00DE521F" w:rsidP="000F4CF8">
      <w:pPr>
        <w:pStyle w:val="BodyText"/>
        <w:spacing w:before="7"/>
        <w:jc w:val="both"/>
        <w:rPr>
          <w:rFonts w:ascii="Segoe UI" w:hAnsi="Segoe UI" w:cs="Segoe UI"/>
          <w:iCs/>
        </w:rPr>
      </w:pPr>
    </w:p>
    <w:p w14:paraId="0A74865D" w14:textId="59423052" w:rsidR="00D00D6D" w:rsidRPr="00690785" w:rsidRDefault="00A078C8" w:rsidP="00A078C8">
      <w:pPr>
        <w:pStyle w:val="Heading3"/>
        <w:rPr>
          <w:sz w:val="22"/>
          <w:szCs w:val="22"/>
        </w:rPr>
      </w:pPr>
      <w:bookmarkStart w:id="41" w:name="_Toc96772482"/>
      <w:r w:rsidRPr="00690785">
        <w:rPr>
          <w:sz w:val="22"/>
          <w:szCs w:val="22"/>
        </w:rPr>
        <w:t xml:space="preserve">4.1.6 </w:t>
      </w:r>
      <w:r w:rsidR="00D00D6D" w:rsidRPr="00690785">
        <w:rPr>
          <w:sz w:val="22"/>
          <w:szCs w:val="22"/>
        </w:rPr>
        <w:t xml:space="preserve">Linkages between </w:t>
      </w:r>
      <w:r w:rsidR="00C05A38" w:rsidRPr="00690785">
        <w:rPr>
          <w:sz w:val="22"/>
          <w:szCs w:val="22"/>
        </w:rPr>
        <w:t xml:space="preserve">the </w:t>
      </w:r>
      <w:r w:rsidR="00D00D6D" w:rsidRPr="00690785">
        <w:rPr>
          <w:sz w:val="22"/>
          <w:szCs w:val="22"/>
        </w:rPr>
        <w:t>project and other interventions within the sector</w:t>
      </w:r>
      <w:bookmarkEnd w:id="41"/>
    </w:p>
    <w:p w14:paraId="1C4AA112" w14:textId="12498299" w:rsidR="00D00D6D" w:rsidRPr="00CF628B" w:rsidRDefault="00D00D6D" w:rsidP="00CF628B">
      <w:pPr>
        <w:pStyle w:val="BodyText"/>
        <w:rPr>
          <w:rFonts w:ascii="Calibri" w:hAnsi="Calibri" w:cs="Calibri"/>
          <w:i/>
          <w:sz w:val="22"/>
          <w:szCs w:val="22"/>
        </w:rPr>
      </w:pPr>
    </w:p>
    <w:p w14:paraId="25BD8BFE" w14:textId="5ACC5AD2" w:rsidR="00743AEE" w:rsidRDefault="00C05A38" w:rsidP="008D2D4E">
      <w:pPr>
        <w:pStyle w:val="BodyText"/>
        <w:jc w:val="both"/>
        <w:rPr>
          <w:rFonts w:ascii="Calibri" w:eastAsia="Times New Roman" w:hAnsi="Calibri" w:cs="Calibri"/>
          <w:sz w:val="22"/>
          <w:szCs w:val="22"/>
        </w:rPr>
      </w:pPr>
      <w:r w:rsidRPr="00CF628B">
        <w:rPr>
          <w:rFonts w:ascii="Calibri" w:eastAsia="Times New Roman" w:hAnsi="Calibri" w:cs="Calibri"/>
          <w:sz w:val="22"/>
          <w:szCs w:val="22"/>
        </w:rPr>
        <w:t xml:space="preserve">The </w:t>
      </w:r>
      <w:r w:rsidRPr="00CF628B">
        <w:rPr>
          <w:rFonts w:ascii="Calibri" w:eastAsia="Times New Roman" w:hAnsi="Calibri" w:cs="Calibri"/>
          <w:spacing w:val="-2"/>
          <w:sz w:val="22"/>
          <w:szCs w:val="22"/>
        </w:rPr>
        <w:t xml:space="preserve">IAP </w:t>
      </w:r>
      <w:r w:rsidRPr="00CF628B">
        <w:rPr>
          <w:rFonts w:ascii="Calibri" w:eastAsia="Times New Roman" w:hAnsi="Calibri" w:cs="Calibri"/>
          <w:sz w:val="22"/>
          <w:szCs w:val="22"/>
        </w:rPr>
        <w:t>program support</w:t>
      </w:r>
      <w:r w:rsidR="00CF628B">
        <w:rPr>
          <w:rFonts w:ascii="Calibri" w:eastAsia="Times New Roman" w:hAnsi="Calibri" w:cs="Calibri"/>
          <w:sz w:val="22"/>
          <w:szCs w:val="22"/>
        </w:rPr>
        <w:t>s</w:t>
      </w:r>
      <w:r w:rsidRPr="00CF628B">
        <w:rPr>
          <w:rFonts w:ascii="Calibri" w:eastAsia="Times New Roman" w:hAnsi="Calibri" w:cs="Calibri"/>
          <w:sz w:val="22"/>
          <w:szCs w:val="22"/>
        </w:rPr>
        <w:t xml:space="preserve"> and strengthen</w:t>
      </w:r>
      <w:r w:rsidR="00CF628B">
        <w:rPr>
          <w:rFonts w:ascii="Calibri" w:eastAsia="Times New Roman" w:hAnsi="Calibri" w:cs="Calibri"/>
          <w:sz w:val="22"/>
          <w:szCs w:val="22"/>
        </w:rPr>
        <w:t>s</w:t>
      </w:r>
      <w:r w:rsidRPr="00CF628B">
        <w:rPr>
          <w:rFonts w:ascii="Calibri" w:eastAsia="Times New Roman" w:hAnsi="Calibri" w:cs="Calibri"/>
          <w:sz w:val="22"/>
          <w:szCs w:val="22"/>
        </w:rPr>
        <w:t xml:space="preserve"> the work of key partners through engagement in these initiatives, by sharing best practices, tools, and methodologies through global partnership management, the </w:t>
      </w:r>
      <w:r w:rsidR="00743AEE">
        <w:rPr>
          <w:rFonts w:ascii="Calibri" w:eastAsia="Times New Roman" w:hAnsi="Calibri" w:cs="Calibri"/>
          <w:sz w:val="22"/>
          <w:szCs w:val="22"/>
        </w:rPr>
        <w:t>Green Commodities Community</w:t>
      </w:r>
      <w:r w:rsidRPr="00CF628B">
        <w:rPr>
          <w:rFonts w:ascii="Calibri" w:eastAsia="Times New Roman" w:hAnsi="Calibri" w:cs="Calibri"/>
          <w:sz w:val="22"/>
          <w:szCs w:val="22"/>
        </w:rPr>
        <w:t xml:space="preserve">, the Asia Exchange, </w:t>
      </w:r>
      <w:r w:rsidR="00743AEE">
        <w:rPr>
          <w:rFonts w:ascii="Calibri" w:eastAsia="Times New Roman" w:hAnsi="Calibri" w:cs="Calibri"/>
          <w:sz w:val="22"/>
          <w:szCs w:val="22"/>
        </w:rPr>
        <w:t xml:space="preserve">integration with sector roundtables </w:t>
      </w:r>
      <w:r w:rsidRPr="00CF628B">
        <w:rPr>
          <w:rFonts w:ascii="Calibri" w:eastAsia="Times New Roman" w:hAnsi="Calibri" w:cs="Calibri"/>
          <w:sz w:val="22"/>
          <w:szCs w:val="22"/>
        </w:rPr>
        <w:t xml:space="preserve">and other means. The </w:t>
      </w:r>
      <w:r w:rsidRPr="00CF628B">
        <w:rPr>
          <w:rFonts w:ascii="Calibri" w:eastAsia="Times New Roman" w:hAnsi="Calibri" w:cs="Calibri"/>
          <w:spacing w:val="-2"/>
          <w:sz w:val="22"/>
          <w:szCs w:val="22"/>
        </w:rPr>
        <w:t xml:space="preserve">IAP </w:t>
      </w:r>
      <w:r w:rsidRPr="00CF628B">
        <w:rPr>
          <w:rFonts w:ascii="Calibri" w:eastAsia="Times New Roman" w:hAnsi="Calibri" w:cs="Calibri"/>
          <w:sz w:val="22"/>
          <w:szCs w:val="22"/>
        </w:rPr>
        <w:t>program provide</w:t>
      </w:r>
      <w:r w:rsidR="00743AEE">
        <w:rPr>
          <w:rFonts w:ascii="Calibri" w:eastAsia="Times New Roman" w:hAnsi="Calibri" w:cs="Calibri"/>
          <w:sz w:val="22"/>
          <w:szCs w:val="22"/>
        </w:rPr>
        <w:t>s</w:t>
      </w:r>
      <w:r w:rsidRPr="00CF628B">
        <w:rPr>
          <w:rFonts w:ascii="Calibri" w:eastAsia="Times New Roman" w:hAnsi="Calibri" w:cs="Calibri"/>
          <w:sz w:val="22"/>
          <w:szCs w:val="22"/>
        </w:rPr>
        <w:t xml:space="preserve"> </w:t>
      </w:r>
      <w:r w:rsidR="00743AEE">
        <w:rPr>
          <w:rFonts w:ascii="Calibri" w:eastAsia="Times New Roman" w:hAnsi="Calibri" w:cs="Calibri"/>
          <w:sz w:val="22"/>
          <w:szCs w:val="22"/>
        </w:rPr>
        <w:t xml:space="preserve">a </w:t>
      </w:r>
      <w:r w:rsidRPr="00CF628B">
        <w:rPr>
          <w:rFonts w:ascii="Calibri" w:eastAsia="Times New Roman" w:hAnsi="Calibri" w:cs="Calibri"/>
          <w:sz w:val="22"/>
          <w:szCs w:val="22"/>
        </w:rPr>
        <w:t>platform for collective engagement in this larger universe of players in order to further refine and work toward collective targets, share lessons learned, maximize synergies and collaboration and ultimately, ensure impact. This coordinated approach ensure</w:t>
      </w:r>
      <w:r w:rsidR="00743AEE">
        <w:rPr>
          <w:rFonts w:ascii="Calibri" w:eastAsia="Times New Roman" w:hAnsi="Calibri" w:cs="Calibri"/>
          <w:sz w:val="22"/>
          <w:szCs w:val="22"/>
        </w:rPr>
        <w:t>s</w:t>
      </w:r>
      <w:r w:rsidRPr="00CF628B">
        <w:rPr>
          <w:rFonts w:ascii="Calibri" w:eastAsia="Times New Roman" w:hAnsi="Calibri" w:cs="Calibri"/>
          <w:sz w:val="22"/>
          <w:szCs w:val="22"/>
        </w:rPr>
        <w:t xml:space="preserve"> that individual efforts are not pursued in isolation. </w:t>
      </w:r>
    </w:p>
    <w:p w14:paraId="4C902AD3" w14:textId="77777777" w:rsidR="00743AEE" w:rsidRDefault="00743AEE" w:rsidP="008D2D4E">
      <w:pPr>
        <w:pStyle w:val="BodyText"/>
        <w:jc w:val="both"/>
        <w:rPr>
          <w:rFonts w:ascii="Calibri" w:eastAsia="Times New Roman" w:hAnsi="Calibri" w:cs="Calibri"/>
          <w:sz w:val="22"/>
          <w:szCs w:val="22"/>
        </w:rPr>
      </w:pPr>
    </w:p>
    <w:p w14:paraId="2923F236" w14:textId="679D473B" w:rsidR="00ED49D7" w:rsidRDefault="00743AEE" w:rsidP="008D2D4E">
      <w:pPr>
        <w:pStyle w:val="BodyText"/>
        <w:jc w:val="both"/>
        <w:rPr>
          <w:rFonts w:ascii="Calibri" w:eastAsia="Times New Roman" w:hAnsi="Calibri" w:cs="Calibri"/>
          <w:sz w:val="22"/>
          <w:szCs w:val="22"/>
        </w:rPr>
      </w:pPr>
      <w:r>
        <w:rPr>
          <w:rFonts w:ascii="Calibri" w:eastAsia="Times New Roman" w:hAnsi="Calibri" w:cs="Calibri"/>
          <w:sz w:val="22"/>
          <w:szCs w:val="22"/>
        </w:rPr>
        <w:lastRenderedPageBreak/>
        <w:t>Finding</w:t>
      </w:r>
      <w:r w:rsidR="000002AE">
        <w:rPr>
          <w:rFonts w:ascii="Calibri" w:eastAsia="Times New Roman" w:hAnsi="Calibri" w:cs="Calibri"/>
          <w:sz w:val="22"/>
          <w:szCs w:val="22"/>
        </w:rPr>
        <w:t xml:space="preserve"> (18) </w:t>
      </w:r>
      <w:r>
        <w:rPr>
          <w:rFonts w:ascii="Calibri" w:eastAsia="Times New Roman" w:hAnsi="Calibri" w:cs="Calibri"/>
          <w:sz w:val="22"/>
          <w:szCs w:val="22"/>
        </w:rPr>
        <w:t xml:space="preserve">: </w:t>
      </w:r>
      <w:r w:rsidR="008D2D4E">
        <w:rPr>
          <w:rFonts w:ascii="Calibri" w:eastAsia="Times New Roman" w:hAnsi="Calibri" w:cs="Calibri"/>
          <w:sz w:val="22"/>
          <w:szCs w:val="22"/>
        </w:rPr>
        <w:t>T</w:t>
      </w:r>
      <w:r w:rsidR="00C05A38" w:rsidRPr="00CF628B">
        <w:rPr>
          <w:rFonts w:ascii="Calibri" w:eastAsia="Times New Roman" w:hAnsi="Calibri" w:cs="Calibri"/>
          <w:sz w:val="22"/>
          <w:szCs w:val="22"/>
        </w:rPr>
        <w:t xml:space="preserve">he A&amp;L project </w:t>
      </w:r>
      <w:r w:rsidR="008D2D4E">
        <w:rPr>
          <w:rFonts w:ascii="Calibri" w:eastAsia="Times New Roman" w:hAnsi="Calibri" w:cs="Calibri"/>
          <w:sz w:val="22"/>
          <w:szCs w:val="22"/>
        </w:rPr>
        <w:t>was designed to</w:t>
      </w:r>
      <w:r w:rsidR="00C05A38" w:rsidRPr="00CF628B">
        <w:rPr>
          <w:rFonts w:ascii="Calibri" w:eastAsia="Times New Roman" w:hAnsi="Calibri" w:cs="Calibri"/>
          <w:sz w:val="22"/>
          <w:szCs w:val="22"/>
        </w:rPr>
        <w:t xml:space="preserve"> ensure coordination within the </w:t>
      </w:r>
      <w:r w:rsidR="00C05A38" w:rsidRPr="00CF628B">
        <w:rPr>
          <w:rFonts w:ascii="Calibri" w:eastAsia="Times New Roman" w:hAnsi="Calibri" w:cs="Calibri"/>
          <w:spacing w:val="-2"/>
          <w:sz w:val="22"/>
          <w:szCs w:val="22"/>
        </w:rPr>
        <w:t xml:space="preserve">IAP </w:t>
      </w:r>
      <w:r w:rsidR="00C05A38" w:rsidRPr="00CF628B">
        <w:rPr>
          <w:rFonts w:ascii="Calibri" w:eastAsia="Times New Roman" w:hAnsi="Calibri" w:cs="Calibri"/>
          <w:sz w:val="22"/>
          <w:szCs w:val="22"/>
        </w:rPr>
        <w:t xml:space="preserve">among the different child projects for greater coherence, </w:t>
      </w:r>
      <w:r w:rsidR="00334A1C" w:rsidRPr="00CF628B">
        <w:rPr>
          <w:rFonts w:ascii="Calibri" w:eastAsia="Times New Roman" w:hAnsi="Calibri" w:cs="Calibri"/>
          <w:sz w:val="22"/>
          <w:szCs w:val="22"/>
        </w:rPr>
        <w:t>alignment,</w:t>
      </w:r>
      <w:r w:rsidR="00C05A38" w:rsidRPr="00CF628B">
        <w:rPr>
          <w:rFonts w:ascii="Calibri" w:eastAsia="Times New Roman" w:hAnsi="Calibri" w:cs="Calibri"/>
          <w:sz w:val="22"/>
          <w:szCs w:val="22"/>
        </w:rPr>
        <w:t xml:space="preserve"> and impact. The A&amp;L project </w:t>
      </w:r>
      <w:r>
        <w:rPr>
          <w:rFonts w:ascii="Calibri" w:eastAsia="Times New Roman" w:hAnsi="Calibri" w:cs="Calibri"/>
          <w:sz w:val="22"/>
          <w:szCs w:val="22"/>
        </w:rPr>
        <w:t xml:space="preserve">was structured to </w:t>
      </w:r>
      <w:r w:rsidR="00C05A38" w:rsidRPr="00CF628B">
        <w:rPr>
          <w:rFonts w:ascii="Calibri" w:eastAsia="Times New Roman" w:hAnsi="Calibri" w:cs="Calibri"/>
          <w:sz w:val="22"/>
          <w:szCs w:val="22"/>
        </w:rPr>
        <w:t xml:space="preserve">promote linkages between the actions being carried out on production, </w:t>
      </w:r>
      <w:r w:rsidR="00334A1C" w:rsidRPr="00CF628B">
        <w:rPr>
          <w:rFonts w:ascii="Calibri" w:eastAsia="Times New Roman" w:hAnsi="Calibri" w:cs="Calibri"/>
          <w:sz w:val="22"/>
          <w:szCs w:val="22"/>
        </w:rPr>
        <w:t>demand,</w:t>
      </w:r>
      <w:r w:rsidR="00C05A38" w:rsidRPr="00CF628B">
        <w:rPr>
          <w:rFonts w:ascii="Calibri" w:eastAsia="Times New Roman" w:hAnsi="Calibri" w:cs="Calibri"/>
          <w:sz w:val="22"/>
          <w:szCs w:val="22"/>
        </w:rPr>
        <w:t xml:space="preserve"> and finance</w:t>
      </w:r>
      <w:r w:rsidR="000002AE">
        <w:rPr>
          <w:rFonts w:ascii="Calibri" w:eastAsia="Times New Roman" w:hAnsi="Calibri" w:cs="Calibri"/>
          <w:sz w:val="22"/>
          <w:szCs w:val="22"/>
        </w:rPr>
        <w:t xml:space="preserve"> with private sector concerns, such as food processors, brokerages, alliances, such as the Iseal Alliance executing component 2, and numerous CSOs and CBOs, and INGOs.  Specifically, the projects were built upon the successful experiences, such as IFCs IPAS efforts to invest in small palm oil producers, to name a few. The A&amp;L and the GGP have evolved from the Green Commodities Programme that has provided toolkits, knowledge products and small-scale financing for sustainable production modules</w:t>
      </w:r>
    </w:p>
    <w:p w14:paraId="71684D8F" w14:textId="49745B9D" w:rsidR="00743AEE" w:rsidRDefault="00743AEE" w:rsidP="008D2D4E">
      <w:pPr>
        <w:pStyle w:val="BodyText"/>
        <w:jc w:val="both"/>
        <w:rPr>
          <w:rFonts w:ascii="Calibri" w:eastAsia="Times New Roman" w:hAnsi="Calibri" w:cs="Calibri"/>
          <w:sz w:val="22"/>
          <w:szCs w:val="22"/>
        </w:rPr>
      </w:pPr>
    </w:p>
    <w:p w14:paraId="0FEB68D6" w14:textId="4A81AC09" w:rsidR="00743AEE" w:rsidRPr="00CF628B" w:rsidRDefault="00743AEE" w:rsidP="00CF628B">
      <w:pPr>
        <w:pStyle w:val="BodyText"/>
        <w:rPr>
          <w:rFonts w:ascii="Calibri" w:hAnsi="Calibri" w:cs="Calibri"/>
          <w:iCs/>
          <w:sz w:val="22"/>
          <w:szCs w:val="22"/>
        </w:rPr>
      </w:pPr>
      <w:r>
        <w:rPr>
          <w:rFonts w:ascii="Calibri" w:eastAsia="Times New Roman" w:hAnsi="Calibri" w:cs="Calibri"/>
          <w:sz w:val="22"/>
          <w:szCs w:val="22"/>
        </w:rPr>
        <w:t>Conclusion</w:t>
      </w:r>
      <w:r w:rsidR="00241E91">
        <w:rPr>
          <w:rFonts w:ascii="Calibri" w:eastAsia="Times New Roman" w:hAnsi="Calibri" w:cs="Calibri"/>
          <w:sz w:val="22"/>
          <w:szCs w:val="22"/>
        </w:rPr>
        <w:t xml:space="preserve"> (18)</w:t>
      </w:r>
      <w:r>
        <w:rPr>
          <w:rFonts w:ascii="Calibri" w:eastAsia="Times New Roman" w:hAnsi="Calibri" w:cs="Calibri"/>
          <w:sz w:val="22"/>
          <w:szCs w:val="22"/>
        </w:rPr>
        <w:t xml:space="preserve">: </w:t>
      </w:r>
      <w:r w:rsidR="008D2D4E">
        <w:rPr>
          <w:rFonts w:ascii="Calibri" w:eastAsia="Times New Roman" w:hAnsi="Calibri" w:cs="Calibri"/>
          <w:sz w:val="22"/>
          <w:szCs w:val="22"/>
        </w:rPr>
        <w:t>The A&amp;L project adequately established linkages with other sector interventions in the design of the project.</w:t>
      </w:r>
    </w:p>
    <w:p w14:paraId="766567C1" w14:textId="77777777" w:rsidR="00ED49D7" w:rsidRPr="00CF628B" w:rsidRDefault="00ED49D7" w:rsidP="00CF628B">
      <w:pPr>
        <w:pStyle w:val="BodyText"/>
        <w:rPr>
          <w:rFonts w:ascii="Calibri" w:hAnsi="Calibri" w:cs="Calibri"/>
          <w:i/>
          <w:sz w:val="22"/>
          <w:szCs w:val="22"/>
        </w:rPr>
      </w:pPr>
    </w:p>
    <w:p w14:paraId="5DDA5BD6" w14:textId="3B434A90" w:rsidR="00B76E73" w:rsidRPr="00690785" w:rsidRDefault="00A078C8" w:rsidP="00B76E73">
      <w:pPr>
        <w:pStyle w:val="Heading3"/>
        <w:rPr>
          <w:sz w:val="22"/>
          <w:szCs w:val="22"/>
        </w:rPr>
      </w:pPr>
      <w:bookmarkStart w:id="42" w:name="_Toc96772483"/>
      <w:r w:rsidRPr="00690785">
        <w:rPr>
          <w:sz w:val="22"/>
          <w:szCs w:val="22"/>
        </w:rPr>
        <w:t xml:space="preserve">4.1.7 </w:t>
      </w:r>
      <w:r w:rsidR="00D00D6D" w:rsidRPr="00690785">
        <w:rPr>
          <w:sz w:val="22"/>
          <w:szCs w:val="22"/>
        </w:rPr>
        <w:t xml:space="preserve">Gender </w:t>
      </w:r>
      <w:r w:rsidR="00690785">
        <w:rPr>
          <w:sz w:val="22"/>
          <w:szCs w:val="22"/>
        </w:rPr>
        <w:t>R</w:t>
      </w:r>
      <w:r w:rsidR="00D00D6D" w:rsidRPr="00690785">
        <w:rPr>
          <w:sz w:val="22"/>
          <w:szCs w:val="22"/>
        </w:rPr>
        <w:t xml:space="preserve">esponsiveness of </w:t>
      </w:r>
      <w:r w:rsidR="00690785">
        <w:rPr>
          <w:sz w:val="22"/>
          <w:szCs w:val="22"/>
        </w:rPr>
        <w:t>P</w:t>
      </w:r>
      <w:r w:rsidR="00D00D6D" w:rsidRPr="00690785">
        <w:rPr>
          <w:sz w:val="22"/>
          <w:szCs w:val="22"/>
        </w:rPr>
        <w:t xml:space="preserve">roject </w:t>
      </w:r>
      <w:r w:rsidR="00690785">
        <w:rPr>
          <w:sz w:val="22"/>
          <w:szCs w:val="22"/>
        </w:rPr>
        <w:t>D</w:t>
      </w:r>
      <w:r w:rsidR="00D00D6D" w:rsidRPr="00690785">
        <w:rPr>
          <w:sz w:val="22"/>
          <w:szCs w:val="22"/>
        </w:rPr>
        <w:t>esign</w:t>
      </w:r>
      <w:r w:rsidR="00B76E73" w:rsidRPr="00690785">
        <w:rPr>
          <w:sz w:val="22"/>
          <w:szCs w:val="22"/>
        </w:rPr>
        <w:t>:</w:t>
      </w:r>
      <w:bookmarkEnd w:id="42"/>
      <w:r w:rsidR="00B76E73" w:rsidRPr="00690785">
        <w:rPr>
          <w:sz w:val="22"/>
          <w:szCs w:val="22"/>
        </w:rPr>
        <w:t xml:space="preserve"> </w:t>
      </w:r>
    </w:p>
    <w:p w14:paraId="71A44AD6" w14:textId="3F1236F9" w:rsidR="003F0453" w:rsidRDefault="003F0453" w:rsidP="003F0453"/>
    <w:p w14:paraId="2F0B650B" w14:textId="63A908FF" w:rsidR="003F0453" w:rsidRPr="005C1EED" w:rsidRDefault="003F0453" w:rsidP="008D2D4E">
      <w:pPr>
        <w:tabs>
          <w:tab w:val="left" w:pos="1539"/>
          <w:tab w:val="left" w:pos="1541"/>
        </w:tabs>
        <w:spacing w:before="74"/>
        <w:jc w:val="both"/>
      </w:pPr>
      <w:r w:rsidRPr="005C1EED">
        <w:t xml:space="preserve">The A&amp;L child project was assigned a gender marker of GEN2 (a "gender mainstreamed initiative"), meaning that "gender equality is not the main objective of the expected output, but the output promotes gender equality in a significant and consistent way". A gender analysis </w:t>
      </w:r>
      <w:r w:rsidR="008D2D4E">
        <w:t>was</w:t>
      </w:r>
      <w:r w:rsidRPr="005C1EED">
        <w:t xml:space="preserve"> carried out</w:t>
      </w:r>
      <w:r w:rsidR="00C960C7">
        <w:t xml:space="preserve"> at design stage</w:t>
      </w:r>
      <w:r w:rsidRPr="005C1EED">
        <w:t>, changes related to women's equality</w:t>
      </w:r>
      <w:r w:rsidR="004D3AA1" w:rsidRPr="005C1EED">
        <w:t xml:space="preserve"> were expected </w:t>
      </w:r>
      <w:r w:rsidRPr="005C1EED">
        <w:t xml:space="preserve">and indicators </w:t>
      </w:r>
      <w:r w:rsidR="008D2D4E">
        <w:t xml:space="preserve">were designed </w:t>
      </w:r>
      <w:r w:rsidRPr="005C1EED">
        <w:t xml:space="preserve">to measure </w:t>
      </w:r>
      <w:r w:rsidR="008D2D4E">
        <w:t xml:space="preserve">expected changes in women´s equality. </w:t>
      </w:r>
      <w:r w:rsidRPr="005C1EED">
        <w:t>The environmental and social screening tool</w:t>
      </w:r>
      <w:r w:rsidR="00207DDD">
        <w:t>s</w:t>
      </w:r>
      <w:r w:rsidRPr="005C1EED">
        <w:t xml:space="preserve"> also describe</w:t>
      </w:r>
      <w:r w:rsidR="004D3AA1" w:rsidRPr="005C1EED">
        <w:t>d</w:t>
      </w:r>
      <w:r w:rsidRPr="005C1EED">
        <w:t xml:space="preserve"> how gender issues </w:t>
      </w:r>
      <w:r w:rsidR="004D3AA1" w:rsidRPr="005C1EED">
        <w:t xml:space="preserve">were going to </w:t>
      </w:r>
      <w:r w:rsidRPr="005C1EED">
        <w:t>be addressed during project</w:t>
      </w:r>
      <w:r w:rsidRPr="005C1EED">
        <w:rPr>
          <w:spacing w:val="-28"/>
        </w:rPr>
        <w:t xml:space="preserve"> </w:t>
      </w:r>
      <w:r w:rsidRPr="005C1EED">
        <w:t>implementation.</w:t>
      </w:r>
      <w:r w:rsidR="00207DDD">
        <w:t xml:space="preserve"> </w:t>
      </w:r>
    </w:p>
    <w:p w14:paraId="60B54071" w14:textId="17C28EEF" w:rsidR="003F0453" w:rsidRPr="005C1EED" w:rsidRDefault="00207DDD" w:rsidP="000824C8">
      <w:pPr>
        <w:tabs>
          <w:tab w:val="left" w:pos="1541"/>
        </w:tabs>
        <w:ind w:right="-90"/>
        <w:jc w:val="both"/>
      </w:pPr>
      <w:r>
        <w:t>Finding</w:t>
      </w:r>
      <w:r w:rsidR="00364C2E">
        <w:t xml:space="preserve"> (19)</w:t>
      </w:r>
      <w:r>
        <w:t xml:space="preserve">: The assignment of the GEN2 marker indicates that </w:t>
      </w:r>
      <w:r w:rsidR="00AF5E2B">
        <w:t xml:space="preserve">the outputs promote gender equality in a significant and consistent way through the projection and </w:t>
      </w:r>
      <w:r w:rsidR="0064208C">
        <w:t>implementation</w:t>
      </w:r>
      <w:r w:rsidR="00AF5E2B">
        <w:t xml:space="preserve"> of a Strategy, Action Plan, and through </w:t>
      </w:r>
      <w:r w:rsidR="00364C2E">
        <w:t xml:space="preserve">feedback loops and reporting in quarterly and annual reports, use of gender disaggregated data, and through programmed knowledge products and from within </w:t>
      </w:r>
      <w:r w:rsidR="00AF5E2B">
        <w:t>the knowledge platform and governance structures.</w:t>
      </w:r>
      <w:r w:rsidR="00024CDD">
        <w:t xml:space="preserve"> </w:t>
      </w:r>
      <w:r w:rsidR="00AF5E2B">
        <w:t>Conclusion</w:t>
      </w:r>
      <w:r w:rsidR="00364C2E">
        <w:t xml:space="preserve"> (19)</w:t>
      </w:r>
      <w:r w:rsidR="00AF5E2B">
        <w:t xml:space="preserve">: Gender considerations were effectively mainstreamed into the design of the project and is compliant with </w:t>
      </w:r>
      <w:r w:rsidR="003F0453" w:rsidRPr="005C1EED">
        <w:t xml:space="preserve">the GEF Policy on gender and to the UNDP Gender Equality Strategy 2014-2017. </w:t>
      </w:r>
    </w:p>
    <w:p w14:paraId="2476121C" w14:textId="77777777" w:rsidR="003F0453" w:rsidRPr="003B2D46" w:rsidRDefault="003F0453" w:rsidP="003F0453">
      <w:pPr>
        <w:pStyle w:val="BodyText"/>
        <w:spacing w:before="9"/>
        <w:rPr>
          <w:sz w:val="21"/>
        </w:rPr>
      </w:pPr>
    </w:p>
    <w:p w14:paraId="390F1FE7" w14:textId="1B4287C7" w:rsidR="00D00D6D" w:rsidRPr="00690785" w:rsidRDefault="00D00D6D" w:rsidP="00D80344">
      <w:pPr>
        <w:pStyle w:val="Heading3"/>
        <w:numPr>
          <w:ilvl w:val="2"/>
          <w:numId w:val="6"/>
        </w:numPr>
        <w:rPr>
          <w:sz w:val="22"/>
          <w:szCs w:val="22"/>
        </w:rPr>
      </w:pPr>
      <w:bookmarkStart w:id="43" w:name="_Toc96772484"/>
      <w:r w:rsidRPr="00690785">
        <w:rPr>
          <w:sz w:val="22"/>
          <w:szCs w:val="22"/>
        </w:rPr>
        <w:t>Social and Environmental Safeguards</w:t>
      </w:r>
      <w:bookmarkEnd w:id="43"/>
    </w:p>
    <w:p w14:paraId="0798DB17" w14:textId="40549338" w:rsidR="007B6A1F" w:rsidRDefault="007B6A1F" w:rsidP="00A078C8">
      <w:pPr>
        <w:jc w:val="both"/>
      </w:pPr>
    </w:p>
    <w:p w14:paraId="1402EA98" w14:textId="5E4FC7B9" w:rsidR="00D07048" w:rsidRDefault="0064208C" w:rsidP="00633161">
      <w:pPr>
        <w:tabs>
          <w:tab w:val="left" w:pos="839"/>
          <w:tab w:val="left" w:pos="841"/>
        </w:tabs>
        <w:spacing w:before="62"/>
        <w:ind w:right="206"/>
        <w:jc w:val="both"/>
        <w:rPr>
          <w:rFonts w:asciiTheme="minorHAnsi" w:hAnsiTheme="minorHAnsi" w:cstheme="minorHAnsi"/>
        </w:rPr>
      </w:pPr>
      <w:r>
        <w:rPr>
          <w:rFonts w:asciiTheme="minorHAnsi" w:hAnsiTheme="minorHAnsi" w:cstheme="minorHAnsi"/>
        </w:rPr>
        <w:t>During the formulation phase, a</w:t>
      </w:r>
      <w:r w:rsidR="00894063" w:rsidRPr="00633161">
        <w:rPr>
          <w:rFonts w:asciiTheme="minorHAnsi" w:hAnsiTheme="minorHAnsi" w:cstheme="minorHAnsi"/>
        </w:rPr>
        <w:t xml:space="preserve"> social and environmental screening was carried out for this project. A</w:t>
      </w:r>
      <w:r>
        <w:rPr>
          <w:rFonts w:asciiTheme="minorHAnsi" w:hAnsiTheme="minorHAnsi" w:cstheme="minorHAnsi"/>
        </w:rPr>
        <w:t xml:space="preserve"> </w:t>
      </w:r>
      <w:r w:rsidR="00894063" w:rsidRPr="00633161">
        <w:rPr>
          <w:rFonts w:asciiTheme="minorHAnsi" w:hAnsiTheme="minorHAnsi" w:cstheme="minorHAnsi"/>
        </w:rPr>
        <w:t>SESP</w:t>
      </w:r>
      <w:r>
        <w:rPr>
          <w:rFonts w:asciiTheme="minorHAnsi" w:hAnsiTheme="minorHAnsi" w:cstheme="minorHAnsi"/>
        </w:rPr>
        <w:t xml:space="preserve"> was prepared</w:t>
      </w:r>
      <w:r w:rsidR="00D07048">
        <w:rPr>
          <w:rFonts w:asciiTheme="minorHAnsi" w:hAnsiTheme="minorHAnsi" w:cstheme="minorHAnsi"/>
        </w:rPr>
        <w:t xml:space="preserve">. As a management project, many of the environmental safeguard requirements were not applicable. The </w:t>
      </w:r>
      <w:r w:rsidR="00894063" w:rsidRPr="00633161">
        <w:rPr>
          <w:rFonts w:asciiTheme="minorHAnsi" w:hAnsiTheme="minorHAnsi" w:cstheme="minorHAnsi"/>
        </w:rPr>
        <w:t>project mainstreams the human-rights based approach, is likely to improve gender equality and women’s empowerment, and mainstreams environmental sustainability</w:t>
      </w:r>
      <w:r w:rsidR="00D07048">
        <w:rPr>
          <w:rFonts w:asciiTheme="minorHAnsi" w:hAnsiTheme="minorHAnsi" w:cstheme="minorHAnsi"/>
        </w:rPr>
        <w:t xml:space="preserve"> as a core objective of the IAP</w:t>
      </w:r>
      <w:r w:rsidR="00894063" w:rsidRPr="00633161">
        <w:rPr>
          <w:rFonts w:asciiTheme="minorHAnsi" w:hAnsiTheme="minorHAnsi" w:cstheme="minorHAnsi"/>
        </w:rPr>
        <w:t xml:space="preserve">. </w:t>
      </w:r>
    </w:p>
    <w:p w14:paraId="3804F839" w14:textId="51CD6FA7" w:rsidR="00894063" w:rsidRPr="00633161" w:rsidRDefault="00334A1C" w:rsidP="00334A1C">
      <w:pPr>
        <w:tabs>
          <w:tab w:val="left" w:pos="839"/>
          <w:tab w:val="left" w:pos="841"/>
        </w:tabs>
        <w:spacing w:before="62"/>
        <w:ind w:right="206"/>
        <w:jc w:val="both"/>
        <w:rPr>
          <w:rFonts w:asciiTheme="minorHAnsi" w:hAnsiTheme="minorHAnsi" w:cstheme="minorHAnsi"/>
        </w:rPr>
      </w:pPr>
      <w:r>
        <w:rPr>
          <w:rFonts w:asciiTheme="minorHAnsi" w:hAnsiTheme="minorHAnsi" w:cstheme="minorHAnsi"/>
        </w:rPr>
        <w:t>F</w:t>
      </w:r>
      <w:r w:rsidR="00D07048">
        <w:rPr>
          <w:rFonts w:asciiTheme="minorHAnsi" w:hAnsiTheme="minorHAnsi" w:cstheme="minorHAnsi"/>
        </w:rPr>
        <w:t>inding</w:t>
      </w:r>
      <w:r w:rsidR="001955EC">
        <w:rPr>
          <w:rFonts w:asciiTheme="minorHAnsi" w:hAnsiTheme="minorHAnsi" w:cstheme="minorHAnsi"/>
        </w:rPr>
        <w:t xml:space="preserve"> (20)</w:t>
      </w:r>
      <w:r w:rsidR="00D07048">
        <w:rPr>
          <w:rFonts w:asciiTheme="minorHAnsi" w:hAnsiTheme="minorHAnsi" w:cstheme="minorHAnsi"/>
        </w:rPr>
        <w:t xml:space="preserve">: </w:t>
      </w:r>
      <w:r w:rsidR="00894063" w:rsidRPr="00633161">
        <w:rPr>
          <w:rFonts w:asciiTheme="minorHAnsi" w:hAnsiTheme="minorHAnsi" w:cstheme="minorHAnsi"/>
        </w:rPr>
        <w:t>No environmental or social risks were identified for this child project and the project risk categorization was therefore low</w:t>
      </w:r>
      <w:r w:rsidR="00894063" w:rsidRPr="00633161">
        <w:rPr>
          <w:rFonts w:asciiTheme="minorHAnsi" w:hAnsiTheme="minorHAnsi" w:cstheme="minorHAnsi"/>
          <w:spacing w:val="-24"/>
        </w:rPr>
        <w:t xml:space="preserve"> </w:t>
      </w:r>
      <w:r w:rsidR="00894063" w:rsidRPr="00633161">
        <w:rPr>
          <w:rFonts w:asciiTheme="minorHAnsi" w:hAnsiTheme="minorHAnsi" w:cstheme="minorHAnsi"/>
        </w:rPr>
        <w:t>risk.</w:t>
      </w:r>
      <w:r w:rsidR="00341FC0">
        <w:rPr>
          <w:rFonts w:asciiTheme="minorHAnsi" w:hAnsiTheme="minorHAnsi" w:cstheme="minorHAnsi"/>
        </w:rPr>
        <w:t xml:space="preserve"> No commitment to maintaining a grievance mechanism specific to the GGP or the project was included in the project design</w:t>
      </w:r>
      <w:r w:rsidR="00247BB9">
        <w:rPr>
          <w:rFonts w:asciiTheme="minorHAnsi" w:hAnsiTheme="minorHAnsi" w:cstheme="minorHAnsi"/>
        </w:rPr>
        <w:t xml:space="preserve"> package</w:t>
      </w:r>
      <w:r w:rsidR="00341FC0">
        <w:rPr>
          <w:rFonts w:asciiTheme="minorHAnsi" w:hAnsiTheme="minorHAnsi" w:cstheme="minorHAnsi"/>
        </w:rPr>
        <w:t>. Grievance management is, however, internalized within UNDP safeguards.</w:t>
      </w:r>
    </w:p>
    <w:p w14:paraId="4BF4CD18" w14:textId="2D4412F5" w:rsidR="00894063" w:rsidRPr="00633161" w:rsidRDefault="00D07048" w:rsidP="00334A1C">
      <w:pPr>
        <w:tabs>
          <w:tab w:val="left" w:pos="840"/>
          <w:tab w:val="left" w:pos="841"/>
        </w:tabs>
        <w:jc w:val="both"/>
        <w:rPr>
          <w:rFonts w:asciiTheme="minorHAnsi" w:hAnsiTheme="minorHAnsi" w:cstheme="minorBidi"/>
        </w:rPr>
      </w:pPr>
      <w:r w:rsidRPr="74F78540">
        <w:rPr>
          <w:rFonts w:asciiTheme="minorHAnsi" w:hAnsiTheme="minorHAnsi" w:cstheme="minorBidi"/>
        </w:rPr>
        <w:t>Conclusion</w:t>
      </w:r>
      <w:r w:rsidR="00247BB9">
        <w:rPr>
          <w:rFonts w:asciiTheme="minorHAnsi" w:hAnsiTheme="minorHAnsi" w:cstheme="minorBidi"/>
        </w:rPr>
        <w:t xml:space="preserve"> (20)</w:t>
      </w:r>
      <w:r w:rsidRPr="74F78540">
        <w:rPr>
          <w:rFonts w:asciiTheme="minorHAnsi" w:hAnsiTheme="minorHAnsi" w:cstheme="minorBidi"/>
        </w:rPr>
        <w:t xml:space="preserve">: The project was compliant for safeguard screening and action planning during the formulation of the project. </w:t>
      </w:r>
    </w:p>
    <w:p w14:paraId="28BFBB57" w14:textId="77777777" w:rsidR="00C657DE" w:rsidRDefault="00C657DE" w:rsidP="00A078C8">
      <w:pPr>
        <w:jc w:val="both"/>
      </w:pPr>
    </w:p>
    <w:p w14:paraId="48E8A491" w14:textId="7C95D214" w:rsidR="00E160AF" w:rsidRDefault="00E160AF" w:rsidP="00D80344">
      <w:pPr>
        <w:pStyle w:val="Heading3"/>
        <w:numPr>
          <w:ilvl w:val="2"/>
          <w:numId w:val="6"/>
        </w:numPr>
        <w:rPr>
          <w:rFonts w:eastAsia="Arial"/>
          <w:sz w:val="22"/>
          <w:szCs w:val="22"/>
        </w:rPr>
      </w:pPr>
      <w:bookmarkStart w:id="44" w:name="_Toc96772485"/>
      <w:r w:rsidRPr="00690785">
        <w:rPr>
          <w:rFonts w:eastAsia="Arial"/>
          <w:sz w:val="22"/>
          <w:szCs w:val="22"/>
        </w:rPr>
        <w:t>Management Arrangements: Governance</w:t>
      </w:r>
      <w:bookmarkEnd w:id="44"/>
    </w:p>
    <w:p w14:paraId="19F737D5" w14:textId="77777777" w:rsidR="00690785" w:rsidRPr="00690785" w:rsidRDefault="00690785" w:rsidP="00690785"/>
    <w:p w14:paraId="68E95B18" w14:textId="58BA5D62" w:rsidR="00973AB9" w:rsidRDefault="00F03B7E" w:rsidP="00F03B7E">
      <w:pPr>
        <w:tabs>
          <w:tab w:val="left" w:pos="0"/>
        </w:tabs>
      </w:pPr>
      <w:r>
        <w:t>The Pro</w:t>
      </w:r>
      <w:r w:rsidR="00353B05">
        <w:t xml:space="preserve">gramme </w:t>
      </w:r>
      <w:r>
        <w:t xml:space="preserve"> is governed by a </w:t>
      </w:r>
      <w:r w:rsidR="00334A1C">
        <w:t>three-tier</w:t>
      </w:r>
      <w:r>
        <w:t xml:space="preserve"> management structure illustrated in </w:t>
      </w:r>
      <w:r w:rsidR="00353B05">
        <w:t xml:space="preserve"> </w:t>
      </w:r>
      <w:hyperlink w:anchor="_Annex_15._Charts" w:history="1">
        <w:r w:rsidR="00353B05" w:rsidRPr="00353B05">
          <w:rPr>
            <w:rStyle w:val="Hyperlink"/>
          </w:rPr>
          <w:t>Annex 15</w:t>
        </w:r>
      </w:hyperlink>
      <w:r w:rsidR="001955EC" w:rsidDel="001955EC">
        <w:t xml:space="preserve"> </w:t>
      </w:r>
      <w:r w:rsidR="001955EC">
        <w:t>within which the A&amp;L Project is also coordinated.</w:t>
      </w:r>
    </w:p>
    <w:p w14:paraId="00A3E57F" w14:textId="73D27872" w:rsidR="00404C1B" w:rsidRDefault="00F03B7E" w:rsidP="00596AF5">
      <w:pPr>
        <w:tabs>
          <w:tab w:val="left" w:pos="0"/>
        </w:tabs>
        <w:jc w:val="both"/>
      </w:pPr>
      <w:r>
        <w:t xml:space="preserve">The </w:t>
      </w:r>
      <w:r w:rsidR="00353B05">
        <w:t>GGP</w:t>
      </w:r>
      <w:r>
        <w:t xml:space="preserve"> is governed by a </w:t>
      </w:r>
      <w:r w:rsidR="00403A2A">
        <w:t>Program</w:t>
      </w:r>
      <w:r>
        <w:t xml:space="preserve"> Steering Committee (PSC) </w:t>
      </w:r>
      <w:r w:rsidR="00000205">
        <w:t xml:space="preserve">which </w:t>
      </w:r>
      <w:r w:rsidR="00147F85">
        <w:t xml:space="preserve">is chaired by UNDP´s </w:t>
      </w:r>
      <w:r w:rsidR="00CF0F94">
        <w:t xml:space="preserve">Green </w:t>
      </w:r>
      <w:r w:rsidR="00147F85">
        <w:t>Commodit</w:t>
      </w:r>
      <w:r w:rsidR="00CF0F94">
        <w:t>ies</w:t>
      </w:r>
      <w:r w:rsidR="00147F85">
        <w:t xml:space="preserve"> Programme Director. The A&amp;L Project Manager sits as secretary and the PSC is comprised of a representative from each of the partner agencies.  The PSC</w:t>
      </w:r>
      <w:r w:rsidR="0004136C">
        <w:t xml:space="preserve"> which meets </w:t>
      </w:r>
      <w:r w:rsidR="00BC53C5">
        <w:t>at least</w:t>
      </w:r>
      <w:r w:rsidR="0004136C">
        <w:t xml:space="preserve"> </w:t>
      </w:r>
      <w:r w:rsidR="005D7943">
        <w:t>two</w:t>
      </w:r>
      <w:r w:rsidR="0004136C">
        <w:t xml:space="preserve"> times per year </w:t>
      </w:r>
      <w:r w:rsidR="008B1F2F">
        <w:t xml:space="preserve">and </w:t>
      </w:r>
      <w:r w:rsidR="0004136C">
        <w:t xml:space="preserve">is dedicated to </w:t>
      </w:r>
      <w:r w:rsidR="00404C1B">
        <w:t xml:space="preserve">the overall governance and decision-making for the Program. Its functions are to maintain harmonious relationships with the </w:t>
      </w:r>
      <w:r w:rsidR="00403A2A">
        <w:t>partner</w:t>
      </w:r>
      <w:r w:rsidR="00404C1B">
        <w:t xml:space="preserve"> agencies and projects, resolve any disagreements that cannot be resolved bilaterally and to provide high-level coordination </w:t>
      </w:r>
      <w:r w:rsidR="00D01BC3">
        <w:t>and guidance</w:t>
      </w:r>
      <w:r w:rsidR="00404C1B">
        <w:t xml:space="preserve"> o</w:t>
      </w:r>
      <w:r w:rsidR="00D01BC3">
        <w:t>n</w:t>
      </w:r>
      <w:r w:rsidR="00404C1B">
        <w:t xml:space="preserve"> the technical alignment and synergy among the Program’s components. The PSC sets the agenda for all elements of the Programme, reviews program-level M&amp;E</w:t>
      </w:r>
      <w:r w:rsidR="00D6479C">
        <w:t xml:space="preserve">, </w:t>
      </w:r>
      <w:r w:rsidR="009F5F98">
        <w:t>takes strategic decisions for the Partnership</w:t>
      </w:r>
      <w:r w:rsidR="00404C1B">
        <w:t xml:space="preserve"> and approves any changes to the projects</w:t>
      </w:r>
      <w:r w:rsidR="00403A2A">
        <w:t xml:space="preserve"> and program. The PSC approves </w:t>
      </w:r>
      <w:r w:rsidR="00866530">
        <w:t xml:space="preserve">programme-level </w:t>
      </w:r>
      <w:r w:rsidR="00403A2A">
        <w:t xml:space="preserve">communications </w:t>
      </w:r>
      <w:r w:rsidR="00866530">
        <w:t xml:space="preserve">and knowledge </w:t>
      </w:r>
      <w:r w:rsidR="00403A2A">
        <w:t xml:space="preserve">documents and maintains inter-institutional partnerships and fundraising. </w:t>
      </w:r>
    </w:p>
    <w:p w14:paraId="51F5D42B" w14:textId="046C4093" w:rsidR="00404C1B" w:rsidRDefault="009F5268" w:rsidP="00334A1C">
      <w:pPr>
        <w:tabs>
          <w:tab w:val="left" w:pos="0"/>
        </w:tabs>
        <w:jc w:val="both"/>
      </w:pPr>
      <w:r>
        <w:t xml:space="preserve">The PSC works in coordination with a Secretariat that is chaired by the A&amp;L </w:t>
      </w:r>
      <w:r w:rsidR="00860F9B">
        <w:t xml:space="preserve">Global </w:t>
      </w:r>
      <w:r>
        <w:t xml:space="preserve">Project </w:t>
      </w:r>
      <w:r w:rsidR="00860F9B">
        <w:t xml:space="preserve">Manager </w:t>
      </w:r>
      <w:r>
        <w:t xml:space="preserve">and comprised of the </w:t>
      </w:r>
      <w:r w:rsidR="00860F9B">
        <w:t xml:space="preserve">global </w:t>
      </w:r>
      <w:r>
        <w:t xml:space="preserve">project </w:t>
      </w:r>
      <w:r w:rsidR="00860F9B">
        <w:t xml:space="preserve">managers </w:t>
      </w:r>
      <w:r>
        <w:t>of all Child Projects. Its role is to coordinate and integrate the different child projects</w:t>
      </w:r>
      <w:r w:rsidR="00DD1973">
        <w:t>, discuss programme-level activities and issues,</w:t>
      </w:r>
      <w:r>
        <w:t xml:space="preserve"> and provide upstream communication from the </w:t>
      </w:r>
      <w:r w:rsidR="003950CE">
        <w:t>n</w:t>
      </w:r>
      <w:r w:rsidR="00334A1C">
        <w:t>ational</w:t>
      </w:r>
      <w:r w:rsidR="003950CE">
        <w:t>-</w:t>
      </w:r>
      <w:r w:rsidR="00334A1C">
        <w:t>level</w:t>
      </w:r>
      <w:r>
        <w:t xml:space="preserve"> to the </w:t>
      </w:r>
      <w:r w:rsidR="003950CE">
        <w:t>PSC</w:t>
      </w:r>
      <w:r>
        <w:t>.</w:t>
      </w:r>
      <w:r w:rsidR="003950CE">
        <w:t xml:space="preserve"> See Annex 15 for an </w:t>
      </w:r>
      <w:hyperlink w:anchor="_Annex_15._Charts" w:history="1">
        <w:r w:rsidR="003950CE" w:rsidRPr="003950CE">
          <w:rPr>
            <w:rStyle w:val="Hyperlink"/>
          </w:rPr>
          <w:t>Organizational Chart</w:t>
        </w:r>
      </w:hyperlink>
      <w:r w:rsidR="003950CE">
        <w:t xml:space="preserve"> of the governance structures. </w:t>
      </w:r>
      <w:r>
        <w:t xml:space="preserve"> </w:t>
      </w:r>
    </w:p>
    <w:p w14:paraId="6E3348B2" w14:textId="48AB786D" w:rsidR="00F21EBF" w:rsidRDefault="00F21EBF" w:rsidP="00F21EBF">
      <w:pPr>
        <w:tabs>
          <w:tab w:val="left" w:pos="0"/>
        </w:tabs>
        <w:jc w:val="both"/>
      </w:pPr>
      <w:r>
        <w:t xml:space="preserve">The A&amp;L activities are supported by a dedicated Project Management Unit (PMU) as illustrated in </w:t>
      </w:r>
      <w:r w:rsidR="00353B05">
        <w:t xml:space="preserve"> Annex 15</w:t>
      </w:r>
      <w:r>
        <w:t xml:space="preserve">. The PMU is the operational entity. It is responsive to a Project Board comprised of the UN Resident Representatives of </w:t>
      </w:r>
      <w:r w:rsidR="006A487F">
        <w:t xml:space="preserve">countries where the </w:t>
      </w:r>
      <w:r w:rsidR="001D3373">
        <w:t>Production project is implemented</w:t>
      </w:r>
      <w:r>
        <w:t>.</w:t>
      </w:r>
      <w:r w:rsidR="005562AE">
        <w:t xml:space="preserve"> Given the overlap between Production and A&amp;L project staff, this decision was made </w:t>
      </w:r>
      <w:r w:rsidR="00966069">
        <w:t>to increase efficiency of this UNDP governance structure.</w:t>
      </w:r>
      <w:r>
        <w:t xml:space="preserve"> Since the project management is divided amongst UNDP RH LAC for Components 1 and 3</w:t>
      </w:r>
      <w:r w:rsidR="00A85261">
        <w:t>,</w:t>
      </w:r>
      <w:r>
        <w:t xml:space="preserve"> Component 2 has a separate operational structure </w:t>
      </w:r>
      <w:r w:rsidR="00973E47">
        <w:t>c</w:t>
      </w:r>
      <w:r>
        <w:t xml:space="preserve">onsisting of WWF as Implementing agency and ISEAL Alliance as Executing Agency. A separate </w:t>
      </w:r>
      <w:r w:rsidR="00EB2561">
        <w:t>B</w:t>
      </w:r>
      <w:r>
        <w:t>oard is dedicated to the design and function of the Evidensia Information Platform. To maintain communication and coordination between components a small bilateral structure between IAs was established and a seat on each board contains a member of each side.</w:t>
      </w:r>
      <w:r w:rsidR="001B3CEE">
        <w:t xml:space="preserve"> Coordination </w:t>
      </w:r>
      <w:r w:rsidR="00AE1916">
        <w:t>between this “</w:t>
      </w:r>
      <w:r w:rsidR="00F94756">
        <w:t xml:space="preserve">Joint Review Mechanism” </w:t>
      </w:r>
      <w:r w:rsidR="001B3CEE">
        <w:t xml:space="preserve">happened by emails </w:t>
      </w:r>
      <w:r w:rsidR="00F94756">
        <w:t>on a need and ad hoc basis.</w:t>
      </w:r>
    </w:p>
    <w:p w14:paraId="4078C07C" w14:textId="7A748821" w:rsidR="00F21EBF" w:rsidRDefault="00F21EBF" w:rsidP="00F21EBF">
      <w:pPr>
        <w:tabs>
          <w:tab w:val="left" w:pos="0"/>
        </w:tabs>
        <w:jc w:val="both"/>
      </w:pPr>
      <w:r>
        <w:t>Finding</w:t>
      </w:r>
      <w:r w:rsidR="00B546B2">
        <w:t xml:space="preserve"> </w:t>
      </w:r>
      <w:r w:rsidR="00563262">
        <w:t>(</w:t>
      </w:r>
      <w:r w:rsidR="00B546B2">
        <w:t>21</w:t>
      </w:r>
      <w:r w:rsidR="00563262">
        <w:t>)</w:t>
      </w:r>
      <w:r>
        <w:t xml:space="preserve">: The structure effectively includes all possible aspects for this size project. National perspectives are present through the PMU </w:t>
      </w:r>
      <w:r w:rsidR="00A622B1">
        <w:t>B</w:t>
      </w:r>
      <w:r>
        <w:t xml:space="preserve">oard </w:t>
      </w:r>
      <w:r w:rsidR="00E2278B">
        <w:t xml:space="preserve">which is composed by represetnatives of </w:t>
      </w:r>
      <w:r w:rsidR="00060204">
        <w:t>GGP countries</w:t>
      </w:r>
      <w:r>
        <w:t>. The secretariat also provides for a different universe of project partners, depending on the technical themes and finally, the upper level has high-level decision-makers from each level of the participating agencies.</w:t>
      </w:r>
    </w:p>
    <w:p w14:paraId="5B99AE3A" w14:textId="77777777" w:rsidR="003950CE" w:rsidRDefault="003950CE" w:rsidP="009E3B94">
      <w:pPr>
        <w:pStyle w:val="BodyText"/>
        <w:spacing w:before="6"/>
        <w:jc w:val="both"/>
        <w:rPr>
          <w:rFonts w:asciiTheme="minorHAnsi" w:hAnsiTheme="minorHAnsi" w:cstheme="minorHAnsi"/>
          <w:iCs/>
          <w:sz w:val="22"/>
          <w:szCs w:val="22"/>
        </w:rPr>
      </w:pPr>
    </w:p>
    <w:p w14:paraId="150BB1F5" w14:textId="3EC26EB0" w:rsidR="00D00D6D" w:rsidRPr="009E3B94" w:rsidRDefault="00CA24C5" w:rsidP="009E3B94">
      <w:pPr>
        <w:pStyle w:val="BodyText"/>
        <w:spacing w:before="6"/>
        <w:jc w:val="both"/>
        <w:rPr>
          <w:rFonts w:asciiTheme="minorHAnsi" w:hAnsiTheme="minorHAnsi" w:cstheme="minorHAnsi"/>
          <w:iCs/>
          <w:sz w:val="22"/>
          <w:szCs w:val="22"/>
        </w:rPr>
      </w:pPr>
      <w:r w:rsidRPr="009E3B94">
        <w:rPr>
          <w:rFonts w:asciiTheme="minorHAnsi" w:hAnsiTheme="minorHAnsi" w:cstheme="minorHAnsi"/>
          <w:iCs/>
          <w:sz w:val="22"/>
          <w:szCs w:val="22"/>
        </w:rPr>
        <w:t>Finding</w:t>
      </w:r>
      <w:r w:rsidR="00B546B2">
        <w:rPr>
          <w:rFonts w:asciiTheme="minorHAnsi" w:hAnsiTheme="minorHAnsi" w:cstheme="minorHAnsi"/>
          <w:iCs/>
          <w:sz w:val="22"/>
          <w:szCs w:val="22"/>
        </w:rPr>
        <w:t xml:space="preserve"> </w:t>
      </w:r>
      <w:r w:rsidR="00563262">
        <w:rPr>
          <w:rFonts w:asciiTheme="minorHAnsi" w:hAnsiTheme="minorHAnsi" w:cstheme="minorHAnsi"/>
          <w:iCs/>
          <w:sz w:val="22"/>
          <w:szCs w:val="22"/>
        </w:rPr>
        <w:t>(</w:t>
      </w:r>
      <w:r w:rsidR="00B546B2">
        <w:rPr>
          <w:rFonts w:asciiTheme="minorHAnsi" w:hAnsiTheme="minorHAnsi" w:cstheme="minorHAnsi"/>
          <w:iCs/>
          <w:sz w:val="22"/>
          <w:szCs w:val="22"/>
        </w:rPr>
        <w:t>22</w:t>
      </w:r>
      <w:r w:rsidR="00563262">
        <w:rPr>
          <w:rFonts w:asciiTheme="minorHAnsi" w:hAnsiTheme="minorHAnsi" w:cstheme="minorHAnsi"/>
          <w:iCs/>
          <w:sz w:val="22"/>
          <w:szCs w:val="22"/>
        </w:rPr>
        <w:t>)</w:t>
      </w:r>
      <w:r w:rsidRPr="009E3B94">
        <w:rPr>
          <w:rFonts w:asciiTheme="minorHAnsi" w:hAnsiTheme="minorHAnsi" w:cstheme="minorHAnsi"/>
          <w:iCs/>
          <w:sz w:val="22"/>
          <w:szCs w:val="22"/>
        </w:rPr>
        <w:t xml:space="preserve">: The project governance structure is a </w:t>
      </w:r>
      <w:r w:rsidR="009E3B94" w:rsidRPr="009E3B94">
        <w:rPr>
          <w:rFonts w:asciiTheme="minorHAnsi" w:hAnsiTheme="minorHAnsi" w:cstheme="minorHAnsi"/>
          <w:iCs/>
          <w:sz w:val="22"/>
          <w:szCs w:val="22"/>
        </w:rPr>
        <w:t>3-tier</w:t>
      </w:r>
      <w:r w:rsidRPr="009E3B94">
        <w:rPr>
          <w:rFonts w:asciiTheme="minorHAnsi" w:hAnsiTheme="minorHAnsi" w:cstheme="minorHAnsi"/>
          <w:iCs/>
          <w:sz w:val="22"/>
          <w:szCs w:val="22"/>
        </w:rPr>
        <w:t xml:space="preserve"> operational structure comprised of a Programme </w:t>
      </w:r>
      <w:r w:rsidR="00FC188F">
        <w:rPr>
          <w:rFonts w:asciiTheme="minorHAnsi" w:hAnsiTheme="minorHAnsi" w:cstheme="minorHAnsi"/>
          <w:iCs/>
          <w:sz w:val="22"/>
          <w:szCs w:val="22"/>
        </w:rPr>
        <w:t xml:space="preserve">Steering Committee, a Project </w:t>
      </w:r>
      <w:r w:rsidRPr="009E3B94">
        <w:rPr>
          <w:rFonts w:asciiTheme="minorHAnsi" w:hAnsiTheme="minorHAnsi" w:cstheme="minorHAnsi"/>
          <w:iCs/>
          <w:sz w:val="22"/>
          <w:szCs w:val="22"/>
        </w:rPr>
        <w:t xml:space="preserve">Board, a </w:t>
      </w:r>
      <w:r w:rsidR="00166D6A">
        <w:rPr>
          <w:rFonts w:asciiTheme="minorHAnsi" w:hAnsiTheme="minorHAnsi" w:cstheme="minorHAnsi"/>
          <w:iCs/>
          <w:sz w:val="22"/>
          <w:szCs w:val="22"/>
        </w:rPr>
        <w:t>S</w:t>
      </w:r>
      <w:r w:rsidRPr="009E3B94">
        <w:rPr>
          <w:rFonts w:asciiTheme="minorHAnsi" w:hAnsiTheme="minorHAnsi" w:cstheme="minorHAnsi"/>
          <w:iCs/>
          <w:sz w:val="22"/>
          <w:szCs w:val="22"/>
        </w:rPr>
        <w:t xml:space="preserve">ecretariat representing each agency, and a Project Management Unit based in Panama. </w:t>
      </w:r>
      <w:r w:rsidR="00563262">
        <w:rPr>
          <w:rFonts w:asciiTheme="minorHAnsi" w:hAnsiTheme="minorHAnsi" w:cstheme="minorHAnsi"/>
          <w:iCs/>
          <w:sz w:val="22"/>
          <w:szCs w:val="22"/>
        </w:rPr>
        <w:t>Countries were represented through the global managers.</w:t>
      </w:r>
    </w:p>
    <w:p w14:paraId="6682866C" w14:textId="386BC0AA" w:rsidR="00CA24C5" w:rsidRPr="009E3B94" w:rsidRDefault="00CA24C5" w:rsidP="009E3B94">
      <w:pPr>
        <w:pStyle w:val="BodyText"/>
        <w:spacing w:before="6"/>
        <w:jc w:val="both"/>
        <w:rPr>
          <w:rFonts w:asciiTheme="minorHAnsi" w:hAnsiTheme="minorHAnsi" w:cstheme="minorHAnsi"/>
          <w:iCs/>
          <w:sz w:val="22"/>
          <w:szCs w:val="22"/>
        </w:rPr>
      </w:pPr>
    </w:p>
    <w:p w14:paraId="18CB1506" w14:textId="541F3BB8" w:rsidR="00CA24C5" w:rsidRPr="009E3B94" w:rsidRDefault="00CA24C5" w:rsidP="009E3B94">
      <w:pPr>
        <w:pStyle w:val="BodyText"/>
        <w:spacing w:before="6"/>
        <w:jc w:val="both"/>
        <w:rPr>
          <w:rFonts w:asciiTheme="minorHAnsi" w:hAnsiTheme="minorHAnsi" w:cstheme="minorHAnsi"/>
          <w:iCs/>
          <w:sz w:val="22"/>
          <w:szCs w:val="22"/>
        </w:rPr>
      </w:pPr>
      <w:r w:rsidRPr="009E3B94">
        <w:rPr>
          <w:rFonts w:asciiTheme="minorHAnsi" w:hAnsiTheme="minorHAnsi" w:cstheme="minorHAnsi"/>
          <w:iCs/>
          <w:sz w:val="22"/>
          <w:szCs w:val="22"/>
        </w:rPr>
        <w:t>Conclusion</w:t>
      </w:r>
      <w:r w:rsidR="00B546B2">
        <w:rPr>
          <w:rFonts w:asciiTheme="minorHAnsi" w:hAnsiTheme="minorHAnsi" w:cstheme="minorHAnsi"/>
          <w:iCs/>
          <w:sz w:val="22"/>
          <w:szCs w:val="22"/>
        </w:rPr>
        <w:t xml:space="preserve"> </w:t>
      </w:r>
      <w:r w:rsidR="00563262">
        <w:rPr>
          <w:rFonts w:asciiTheme="minorHAnsi" w:hAnsiTheme="minorHAnsi" w:cstheme="minorHAnsi"/>
          <w:iCs/>
          <w:sz w:val="22"/>
          <w:szCs w:val="22"/>
        </w:rPr>
        <w:t>(</w:t>
      </w:r>
      <w:r w:rsidR="00B546B2">
        <w:rPr>
          <w:rFonts w:asciiTheme="minorHAnsi" w:hAnsiTheme="minorHAnsi" w:cstheme="minorHAnsi"/>
          <w:iCs/>
          <w:sz w:val="22"/>
          <w:szCs w:val="22"/>
        </w:rPr>
        <w:t>21</w:t>
      </w:r>
      <w:r w:rsidR="00563262">
        <w:rPr>
          <w:rFonts w:asciiTheme="minorHAnsi" w:hAnsiTheme="minorHAnsi" w:cstheme="minorHAnsi"/>
          <w:iCs/>
          <w:sz w:val="22"/>
          <w:szCs w:val="22"/>
        </w:rPr>
        <w:t>)</w:t>
      </w:r>
      <w:r w:rsidRPr="009E3B94">
        <w:rPr>
          <w:rFonts w:asciiTheme="minorHAnsi" w:hAnsiTheme="minorHAnsi" w:cstheme="minorHAnsi"/>
          <w:iCs/>
          <w:sz w:val="22"/>
          <w:szCs w:val="22"/>
        </w:rPr>
        <w:t xml:space="preserve">: The structure is inclusive, includes all possible stakeholders for a large and diverse project </w:t>
      </w:r>
      <w:r w:rsidRPr="009E3B94">
        <w:rPr>
          <w:rFonts w:asciiTheme="minorHAnsi" w:hAnsiTheme="minorHAnsi" w:cstheme="minorHAnsi"/>
          <w:iCs/>
          <w:sz w:val="22"/>
          <w:szCs w:val="22"/>
        </w:rPr>
        <w:lastRenderedPageBreak/>
        <w:t xml:space="preserve">and enables all management aspects. See comments on effectiveness. </w:t>
      </w:r>
    </w:p>
    <w:p w14:paraId="448D0CEE" w14:textId="7235DBA7" w:rsidR="003432A2" w:rsidRPr="003432A2" w:rsidRDefault="003432A2" w:rsidP="00BA2312">
      <w:pPr>
        <w:pStyle w:val="BodyText"/>
        <w:spacing w:before="6"/>
        <w:rPr>
          <w:rFonts w:ascii="Segoe UI" w:hAnsi="Segoe UI" w:cs="Segoe UI"/>
          <w:iCs/>
        </w:rPr>
      </w:pPr>
    </w:p>
    <w:p w14:paraId="173883AA" w14:textId="58BB3FD5" w:rsidR="003432A2" w:rsidRPr="003432A2" w:rsidRDefault="003432A2" w:rsidP="00BA2312">
      <w:pPr>
        <w:pStyle w:val="BodyText"/>
        <w:spacing w:before="6"/>
        <w:rPr>
          <w:rFonts w:ascii="Segoe UI" w:hAnsi="Segoe UI" w:cs="Segoe UI"/>
          <w:iCs/>
        </w:rPr>
      </w:pPr>
    </w:p>
    <w:p w14:paraId="08BDDA73" w14:textId="51E0884E" w:rsidR="000B2CDD" w:rsidRPr="00677517" w:rsidRDefault="000B2CDD" w:rsidP="000B2CDD">
      <w:pPr>
        <w:pStyle w:val="Heading2"/>
        <w:rPr>
          <w:color w:val="1F3762"/>
          <w:sz w:val="24"/>
          <w:szCs w:val="24"/>
        </w:rPr>
      </w:pPr>
      <w:bookmarkStart w:id="45" w:name="_TOC_250010"/>
      <w:bookmarkStart w:id="46" w:name="_Toc96772486"/>
      <w:r w:rsidRPr="00677517">
        <w:rPr>
          <w:sz w:val="24"/>
          <w:szCs w:val="24"/>
        </w:rPr>
        <w:t>4.2</w:t>
      </w:r>
      <w:r w:rsidRPr="00677517">
        <w:rPr>
          <w:sz w:val="24"/>
          <w:szCs w:val="24"/>
        </w:rPr>
        <w:tab/>
        <w:t>Project</w:t>
      </w:r>
      <w:r w:rsidRPr="00677517">
        <w:rPr>
          <w:spacing w:val="-3"/>
          <w:sz w:val="24"/>
          <w:szCs w:val="24"/>
        </w:rPr>
        <w:t xml:space="preserve"> </w:t>
      </w:r>
      <w:bookmarkEnd w:id="45"/>
      <w:r w:rsidRPr="00677517">
        <w:rPr>
          <w:sz w:val="24"/>
          <w:szCs w:val="24"/>
        </w:rPr>
        <w:t>Implementation</w:t>
      </w:r>
      <w:bookmarkEnd w:id="46"/>
    </w:p>
    <w:p w14:paraId="4B2E6636" w14:textId="77777777" w:rsidR="00CA24C5" w:rsidRDefault="00CA24C5" w:rsidP="000B2CDD">
      <w:pPr>
        <w:jc w:val="both"/>
      </w:pPr>
    </w:p>
    <w:p w14:paraId="76722539" w14:textId="4E13FCC2" w:rsidR="000B2CDD" w:rsidRPr="009E7CE1" w:rsidRDefault="000B2CDD" w:rsidP="000B2CDD">
      <w:pPr>
        <w:jc w:val="both"/>
      </w:pPr>
      <w:bookmarkStart w:id="47" w:name="_Hlk94440786"/>
      <w:r w:rsidRPr="009E7CE1">
        <w:t xml:space="preserve">The TE team </w:t>
      </w:r>
      <w:r>
        <w:t xml:space="preserve">has </w:t>
      </w:r>
      <w:r w:rsidRPr="009E7CE1">
        <w:t>assess</w:t>
      </w:r>
      <w:r>
        <w:t>ed</w:t>
      </w:r>
      <w:r w:rsidRPr="009E7CE1">
        <w:t xml:space="preserve"> project implementation and review</w:t>
      </w:r>
      <w:r>
        <w:t>ed</w:t>
      </w:r>
      <w:r w:rsidRPr="009E7CE1">
        <w:t xml:space="preserve"> adaptive management, project finance and co-finance, monitoring &amp; evaluation, and implementation &amp; execution.</w:t>
      </w:r>
    </w:p>
    <w:bookmarkEnd w:id="47"/>
    <w:p w14:paraId="1F950D7C" w14:textId="77777777" w:rsidR="00D00D6D" w:rsidRPr="009E7CE1" w:rsidRDefault="00D00D6D" w:rsidP="00BA2312">
      <w:pPr>
        <w:pStyle w:val="BodyText"/>
        <w:spacing w:before="1"/>
        <w:rPr>
          <w:rFonts w:ascii="Segoe UI" w:hAnsi="Segoe UI" w:cs="Segoe UI"/>
          <w:i/>
        </w:rPr>
      </w:pPr>
    </w:p>
    <w:p w14:paraId="7589D556" w14:textId="744D63F5" w:rsidR="00D00D6D" w:rsidRDefault="00E160AF" w:rsidP="00E160AF">
      <w:pPr>
        <w:pStyle w:val="Heading3"/>
      </w:pPr>
      <w:bookmarkStart w:id="48" w:name="_Toc96772487"/>
      <w:r>
        <w:t>4.2.1</w:t>
      </w:r>
      <w:r>
        <w:tab/>
      </w:r>
      <w:r w:rsidR="00D00D6D" w:rsidRPr="00E160AF">
        <w:t>Adaptive Management</w:t>
      </w:r>
      <w:bookmarkEnd w:id="48"/>
    </w:p>
    <w:p w14:paraId="7DACCD24" w14:textId="5B7E93B6" w:rsidR="00DD3370" w:rsidRDefault="00DD3370" w:rsidP="00DD3370"/>
    <w:p w14:paraId="21F5A528" w14:textId="5B666C3E" w:rsidR="007F5D55" w:rsidRDefault="007F5D55" w:rsidP="00334424">
      <w:pPr>
        <w:spacing w:after="120" w:line="240" w:lineRule="auto"/>
      </w:pPr>
      <w:bookmarkStart w:id="49" w:name="_Hlk94440845"/>
      <w:r>
        <w:t>The project evaluation team reviewed how the project adapted to challenges, to recommendations from evaluations, and to changing situations in the project since start-up</w:t>
      </w:r>
      <w:r w:rsidR="00782276">
        <w:t xml:space="preserve">, including changes to project design, </w:t>
      </w:r>
      <w:r w:rsidR="00E26249">
        <w:t>indicators,</w:t>
      </w:r>
      <w:r w:rsidR="00782276">
        <w:t xml:space="preserve"> or implementation modality. </w:t>
      </w:r>
    </w:p>
    <w:p w14:paraId="7E3C5E72" w14:textId="70C8AB95" w:rsidR="00B7616F" w:rsidRPr="00546386" w:rsidRDefault="007B6A1F" w:rsidP="00334424">
      <w:pPr>
        <w:spacing w:after="120" w:line="240" w:lineRule="auto"/>
        <w:rPr>
          <w:rFonts w:asciiTheme="minorHAnsi" w:hAnsiTheme="minorHAnsi" w:cstheme="minorHAnsi"/>
          <w:b/>
          <w:bCs/>
        </w:rPr>
      </w:pPr>
      <w:bookmarkStart w:id="50" w:name="_Hlk88207932"/>
      <w:r w:rsidRPr="00546386">
        <w:rPr>
          <w:rFonts w:asciiTheme="minorHAnsi" w:hAnsiTheme="minorHAnsi" w:cstheme="minorHAnsi"/>
          <w:b/>
          <w:bCs/>
        </w:rPr>
        <w:t>Changes made to the project design during implementation</w:t>
      </w:r>
    </w:p>
    <w:bookmarkEnd w:id="50"/>
    <w:p w14:paraId="5492D780" w14:textId="1D28C4B0" w:rsidR="00E67216" w:rsidRPr="00E67216" w:rsidRDefault="00782276" w:rsidP="00334424">
      <w:pPr>
        <w:spacing w:after="120" w:line="240" w:lineRule="auto"/>
        <w:jc w:val="both"/>
      </w:pPr>
      <w:r>
        <w:rPr>
          <w:spacing w:val="-4"/>
        </w:rPr>
        <w:t>T</w:t>
      </w:r>
      <w:r w:rsidR="00E67216" w:rsidRPr="00E67216">
        <w:t xml:space="preserve">he Inception Workshop (IW) for the Adaptive Management &amp; Learning (A&amp;L) project, took place on 24 November 2017 in Panama City, Panama. </w:t>
      </w:r>
      <w:r w:rsidR="00E26249">
        <w:t>The organizational structure of the project and t</w:t>
      </w:r>
      <w:r w:rsidR="00E67216" w:rsidRPr="00E67216">
        <w:t>he results</w:t>
      </w:r>
      <w:r w:rsidR="00E67216" w:rsidRPr="00E67216">
        <w:rPr>
          <w:spacing w:val="1"/>
        </w:rPr>
        <w:t xml:space="preserve"> </w:t>
      </w:r>
      <w:r w:rsidR="00E67216" w:rsidRPr="00E67216">
        <w:rPr>
          <w:spacing w:val="-1"/>
        </w:rPr>
        <w:t>framework</w:t>
      </w:r>
      <w:r w:rsidR="00E67216" w:rsidRPr="00E67216">
        <w:rPr>
          <w:spacing w:val="-10"/>
        </w:rPr>
        <w:t xml:space="preserve"> </w:t>
      </w:r>
      <w:r w:rsidR="00E67216" w:rsidRPr="00E67216">
        <w:rPr>
          <w:spacing w:val="-1"/>
        </w:rPr>
        <w:t>(indicators,</w:t>
      </w:r>
      <w:r w:rsidR="00E67216" w:rsidRPr="00E67216">
        <w:rPr>
          <w:spacing w:val="-14"/>
        </w:rPr>
        <w:t xml:space="preserve"> </w:t>
      </w:r>
      <w:r w:rsidR="00E67216" w:rsidRPr="00E67216">
        <w:rPr>
          <w:spacing w:val="-1"/>
        </w:rPr>
        <w:t>means</w:t>
      </w:r>
      <w:r w:rsidR="00E67216" w:rsidRPr="00E67216">
        <w:rPr>
          <w:spacing w:val="-12"/>
        </w:rPr>
        <w:t xml:space="preserve"> </w:t>
      </w:r>
      <w:r w:rsidR="00E67216" w:rsidRPr="00E67216">
        <w:t>of</w:t>
      </w:r>
      <w:r w:rsidR="00E67216" w:rsidRPr="00E67216">
        <w:rPr>
          <w:spacing w:val="-12"/>
        </w:rPr>
        <w:t xml:space="preserve"> </w:t>
      </w:r>
      <w:r w:rsidR="00E67216" w:rsidRPr="00E67216">
        <w:t>verification,</w:t>
      </w:r>
      <w:r w:rsidR="00E67216" w:rsidRPr="00E67216">
        <w:rPr>
          <w:spacing w:val="-14"/>
        </w:rPr>
        <w:t xml:space="preserve"> </w:t>
      </w:r>
      <w:r w:rsidR="00E67216" w:rsidRPr="00E67216">
        <w:t>assumptions) w</w:t>
      </w:r>
      <w:r>
        <w:t xml:space="preserve">ere </w:t>
      </w:r>
      <w:r w:rsidR="00E67216" w:rsidRPr="00E67216">
        <w:t xml:space="preserve">reviewed </w:t>
      </w:r>
      <w:r w:rsidR="00E26249">
        <w:t xml:space="preserve">and changes are presented in </w:t>
      </w:r>
      <w:r w:rsidR="003A0B0C">
        <w:t xml:space="preserve">the final </w:t>
      </w:r>
      <w:r w:rsidR="003A0B0C" w:rsidRPr="00B0741E">
        <w:rPr>
          <w:color w:val="1F3864" w:themeColor="accent1" w:themeShade="80"/>
        </w:rPr>
        <w:t>Project Logical/Results Framework</w:t>
      </w:r>
      <w:r w:rsidR="003A0B0C">
        <w:t xml:space="preserve"> used throught the project implementation (</w:t>
      </w:r>
      <w:hyperlink w:anchor="_Annex_4._Changes" w:history="1">
        <w:r w:rsidR="00E26249" w:rsidRPr="003A0B0C">
          <w:rPr>
            <w:rStyle w:val="Hyperlink"/>
          </w:rPr>
          <w:t>Annex 4</w:t>
        </w:r>
      </w:hyperlink>
      <w:r w:rsidR="003A0B0C">
        <w:t>)</w:t>
      </w:r>
      <w:r w:rsidR="00E26249">
        <w:t xml:space="preserve">. </w:t>
      </w:r>
    </w:p>
    <w:p w14:paraId="36AB065F" w14:textId="441D3266" w:rsidR="001C7AF0" w:rsidRPr="00B75026" w:rsidRDefault="00DB3A47" w:rsidP="00B75026">
      <w:pPr>
        <w:spacing w:after="120" w:line="240" w:lineRule="auto"/>
        <w:jc w:val="both"/>
        <w:rPr>
          <w:rFonts w:asciiTheme="minorHAnsi" w:hAnsiTheme="minorHAnsi" w:cstheme="minorHAnsi"/>
        </w:rPr>
      </w:pPr>
      <w:r>
        <w:rPr>
          <w:rFonts w:asciiTheme="minorHAnsi" w:hAnsiTheme="minorHAnsi" w:cstheme="minorHAnsi"/>
        </w:rPr>
        <w:t xml:space="preserve">(22) </w:t>
      </w:r>
      <w:r w:rsidR="001C7AF0" w:rsidRPr="00B75026">
        <w:rPr>
          <w:rFonts w:asciiTheme="minorHAnsi" w:hAnsiTheme="minorHAnsi" w:cstheme="minorHAnsi"/>
        </w:rPr>
        <w:t xml:space="preserve">The PMU took responsibility for adaptations and kept careful records of adaptations in management by the child projects. The “Adaptation Log” had over 400 registered instances of how management responded to challenges. These are reported in the PIR and reported to the board.  The evaluators concur with the MTR assessment that the adaptations were reactive to problems that occurred </w:t>
      </w:r>
      <w:r w:rsidR="00211593">
        <w:rPr>
          <w:rFonts w:asciiTheme="minorHAnsi" w:hAnsiTheme="minorHAnsi" w:cstheme="minorHAnsi"/>
        </w:rPr>
        <w:t xml:space="preserve">rather than </w:t>
      </w:r>
      <w:r w:rsidR="001C7AF0" w:rsidRPr="00B75026">
        <w:rPr>
          <w:rFonts w:asciiTheme="minorHAnsi" w:hAnsiTheme="minorHAnsi" w:cstheme="minorHAnsi"/>
        </w:rPr>
        <w:t xml:space="preserve">proactive, in response to a constant analysis of situations or risks. The PMU responded by </w:t>
      </w:r>
      <w:r w:rsidR="00151AF8">
        <w:rPr>
          <w:rFonts w:asciiTheme="minorHAnsi" w:hAnsiTheme="minorHAnsi" w:cstheme="minorHAnsi"/>
        </w:rPr>
        <w:t xml:space="preserve">proactively </w:t>
      </w:r>
      <w:r w:rsidR="001C7AF0" w:rsidRPr="00B75026">
        <w:rPr>
          <w:rFonts w:asciiTheme="minorHAnsi" w:hAnsiTheme="minorHAnsi" w:cstheme="minorHAnsi"/>
        </w:rPr>
        <w:t xml:space="preserve">reviewing the risk profile </w:t>
      </w:r>
      <w:r w:rsidR="00151AF8">
        <w:rPr>
          <w:rFonts w:asciiTheme="minorHAnsi" w:hAnsiTheme="minorHAnsi" w:cstheme="minorHAnsi"/>
        </w:rPr>
        <w:t xml:space="preserve">expanding it to activities </w:t>
      </w:r>
      <w:r w:rsidR="001C7AF0" w:rsidRPr="00B75026">
        <w:rPr>
          <w:rFonts w:asciiTheme="minorHAnsi" w:hAnsiTheme="minorHAnsi" w:cstheme="minorHAnsi"/>
        </w:rPr>
        <w:t xml:space="preserve">and updating the risk rating. </w:t>
      </w:r>
    </w:p>
    <w:p w14:paraId="2659466E" w14:textId="6F4F3773" w:rsidR="00261BF3" w:rsidRDefault="00261BF3" w:rsidP="00B75026">
      <w:pPr>
        <w:spacing w:after="120" w:line="240" w:lineRule="auto"/>
        <w:jc w:val="both"/>
        <w:rPr>
          <w:rFonts w:asciiTheme="minorHAnsi" w:hAnsiTheme="minorHAnsi" w:cstheme="minorHAnsi"/>
        </w:rPr>
      </w:pPr>
      <w:r w:rsidRPr="00B75026">
        <w:rPr>
          <w:rFonts w:asciiTheme="minorHAnsi" w:hAnsiTheme="minorHAnsi" w:cstheme="minorHAnsi"/>
        </w:rPr>
        <w:t>Finding</w:t>
      </w:r>
      <w:r w:rsidR="00334424" w:rsidRPr="00B75026">
        <w:rPr>
          <w:rFonts w:asciiTheme="minorHAnsi" w:hAnsiTheme="minorHAnsi" w:cstheme="minorHAnsi"/>
        </w:rPr>
        <w:t>s</w:t>
      </w:r>
      <w:r w:rsidRPr="00B75026">
        <w:rPr>
          <w:rFonts w:asciiTheme="minorHAnsi" w:hAnsiTheme="minorHAnsi" w:cstheme="minorHAnsi"/>
        </w:rPr>
        <w:t xml:space="preserve">: </w:t>
      </w:r>
    </w:p>
    <w:p w14:paraId="4D0F334F" w14:textId="24836DA9" w:rsidR="00E26249" w:rsidRPr="00156B76" w:rsidRDefault="00156B76" w:rsidP="00156B76">
      <w:pPr>
        <w:spacing w:after="120"/>
        <w:ind w:left="180"/>
        <w:jc w:val="both"/>
        <w:rPr>
          <w:rFonts w:asciiTheme="minorHAnsi" w:hAnsiTheme="minorHAnsi" w:cstheme="minorHAnsi"/>
        </w:rPr>
      </w:pPr>
      <w:r>
        <w:rPr>
          <w:rFonts w:asciiTheme="minorHAnsi" w:hAnsiTheme="minorHAnsi" w:cstheme="minorHAnsi"/>
        </w:rPr>
        <w:t>(2</w:t>
      </w:r>
      <w:r w:rsidR="00553E9A">
        <w:rPr>
          <w:rFonts w:asciiTheme="minorHAnsi" w:hAnsiTheme="minorHAnsi" w:cstheme="minorHAnsi"/>
        </w:rPr>
        <w:t>3</w:t>
      </w:r>
      <w:r>
        <w:rPr>
          <w:rFonts w:asciiTheme="minorHAnsi" w:hAnsiTheme="minorHAnsi" w:cstheme="minorHAnsi"/>
        </w:rPr>
        <w:t xml:space="preserve">) </w:t>
      </w:r>
      <w:r w:rsidR="00E26249" w:rsidRPr="00156B76">
        <w:rPr>
          <w:rFonts w:asciiTheme="minorHAnsi" w:hAnsiTheme="minorHAnsi" w:cstheme="minorHAnsi"/>
        </w:rPr>
        <w:t xml:space="preserve">The changes to the organizational structure of the project enhanced integration and understanding of each other’s activities. The </w:t>
      </w:r>
      <w:r w:rsidR="00553E9A">
        <w:rPr>
          <w:rFonts w:asciiTheme="minorHAnsi" w:hAnsiTheme="minorHAnsi" w:cstheme="minorHAnsi"/>
        </w:rPr>
        <w:t>staff members recruited</w:t>
      </w:r>
      <w:r w:rsidR="00E26249" w:rsidRPr="00156B76">
        <w:rPr>
          <w:rFonts w:asciiTheme="minorHAnsi" w:hAnsiTheme="minorHAnsi" w:cstheme="minorHAnsi"/>
        </w:rPr>
        <w:t xml:space="preserve"> were key to cross communication to wider audiences.</w:t>
      </w:r>
    </w:p>
    <w:p w14:paraId="584B5644" w14:textId="2074EB8B" w:rsidR="00261BF3" w:rsidRPr="00156B76" w:rsidRDefault="00156B76" w:rsidP="00156B76">
      <w:pPr>
        <w:spacing w:after="120"/>
        <w:ind w:left="180"/>
        <w:jc w:val="both"/>
        <w:rPr>
          <w:rFonts w:asciiTheme="minorHAnsi" w:hAnsiTheme="minorHAnsi" w:cstheme="minorHAnsi"/>
          <w:b/>
        </w:rPr>
      </w:pPr>
      <w:r>
        <w:rPr>
          <w:rFonts w:asciiTheme="minorHAnsi" w:hAnsiTheme="minorHAnsi" w:cstheme="minorHAnsi"/>
        </w:rPr>
        <w:t>(2</w:t>
      </w:r>
      <w:r w:rsidR="00553E9A">
        <w:rPr>
          <w:rFonts w:asciiTheme="minorHAnsi" w:hAnsiTheme="minorHAnsi" w:cstheme="minorHAnsi"/>
        </w:rPr>
        <w:t>4</w:t>
      </w:r>
      <w:r>
        <w:rPr>
          <w:rFonts w:asciiTheme="minorHAnsi" w:hAnsiTheme="minorHAnsi" w:cstheme="minorHAnsi"/>
        </w:rPr>
        <w:t xml:space="preserve">) </w:t>
      </w:r>
      <w:r w:rsidR="00261BF3" w:rsidRPr="00156B76">
        <w:rPr>
          <w:rFonts w:asciiTheme="minorHAnsi" w:hAnsiTheme="minorHAnsi" w:cstheme="minorHAnsi"/>
        </w:rPr>
        <w:t xml:space="preserve">At inception, changes were made to 7 indicators. </w:t>
      </w:r>
      <w:r w:rsidR="00CA3358" w:rsidRPr="00156B76">
        <w:rPr>
          <w:rFonts w:asciiTheme="minorHAnsi" w:hAnsiTheme="minorHAnsi" w:cstheme="minorHAnsi"/>
        </w:rPr>
        <w:t>These</w:t>
      </w:r>
      <w:r w:rsidR="00CA3358" w:rsidRPr="00156B76">
        <w:rPr>
          <w:rFonts w:asciiTheme="minorHAnsi" w:hAnsiTheme="minorHAnsi" w:cstheme="minorHAnsi"/>
          <w:spacing w:val="-4"/>
        </w:rPr>
        <w:t xml:space="preserve"> </w:t>
      </w:r>
      <w:r w:rsidR="00CA3358" w:rsidRPr="00156B76">
        <w:rPr>
          <w:rFonts w:asciiTheme="minorHAnsi" w:hAnsiTheme="minorHAnsi" w:cstheme="minorHAnsi"/>
        </w:rPr>
        <w:t>changes</w:t>
      </w:r>
      <w:r w:rsidR="00CA3358" w:rsidRPr="00156B76">
        <w:rPr>
          <w:rFonts w:asciiTheme="minorHAnsi" w:hAnsiTheme="minorHAnsi" w:cstheme="minorHAnsi"/>
          <w:spacing w:val="-4"/>
        </w:rPr>
        <w:t xml:space="preserve"> </w:t>
      </w:r>
      <w:r w:rsidR="00CA3358" w:rsidRPr="00156B76">
        <w:rPr>
          <w:rFonts w:asciiTheme="minorHAnsi" w:hAnsiTheme="minorHAnsi" w:cstheme="minorHAnsi"/>
        </w:rPr>
        <w:t>were</w:t>
      </w:r>
      <w:r w:rsidR="00CA3358" w:rsidRPr="00156B76">
        <w:rPr>
          <w:rFonts w:asciiTheme="minorHAnsi" w:hAnsiTheme="minorHAnsi" w:cstheme="minorHAnsi"/>
          <w:spacing w:val="-3"/>
        </w:rPr>
        <w:t xml:space="preserve"> </w:t>
      </w:r>
      <w:r w:rsidR="00CA3358" w:rsidRPr="00156B76">
        <w:rPr>
          <w:rFonts w:asciiTheme="minorHAnsi" w:hAnsiTheme="minorHAnsi" w:cstheme="minorHAnsi"/>
        </w:rPr>
        <w:t>submitted</w:t>
      </w:r>
      <w:r w:rsidR="00CA3358" w:rsidRPr="00156B76">
        <w:rPr>
          <w:rFonts w:asciiTheme="minorHAnsi" w:hAnsiTheme="minorHAnsi" w:cstheme="minorHAnsi"/>
          <w:spacing w:val="-1"/>
        </w:rPr>
        <w:t xml:space="preserve"> </w:t>
      </w:r>
      <w:r w:rsidR="00CA3358" w:rsidRPr="00156B76">
        <w:rPr>
          <w:rFonts w:asciiTheme="minorHAnsi" w:hAnsiTheme="minorHAnsi" w:cstheme="minorHAnsi"/>
        </w:rPr>
        <w:t>to</w:t>
      </w:r>
      <w:r w:rsidR="00CA3358" w:rsidRPr="00156B76">
        <w:rPr>
          <w:rFonts w:asciiTheme="minorHAnsi" w:hAnsiTheme="minorHAnsi" w:cstheme="minorHAnsi"/>
          <w:spacing w:val="-1"/>
        </w:rPr>
        <w:t xml:space="preserve"> </w:t>
      </w:r>
      <w:r w:rsidR="00CA3358" w:rsidRPr="00156B76">
        <w:rPr>
          <w:rFonts w:asciiTheme="minorHAnsi" w:hAnsiTheme="minorHAnsi" w:cstheme="minorHAnsi"/>
        </w:rPr>
        <w:t>the</w:t>
      </w:r>
      <w:r w:rsidR="00CA3358" w:rsidRPr="00156B76">
        <w:rPr>
          <w:rFonts w:asciiTheme="minorHAnsi" w:hAnsiTheme="minorHAnsi" w:cstheme="minorHAnsi"/>
          <w:spacing w:val="-3"/>
        </w:rPr>
        <w:t xml:space="preserve"> </w:t>
      </w:r>
      <w:r w:rsidR="00CA3358" w:rsidRPr="00156B76">
        <w:rPr>
          <w:rFonts w:asciiTheme="minorHAnsi" w:hAnsiTheme="minorHAnsi" w:cstheme="minorHAnsi"/>
        </w:rPr>
        <w:t>Project</w:t>
      </w:r>
      <w:r w:rsidR="00CA3358" w:rsidRPr="00156B76">
        <w:rPr>
          <w:rFonts w:asciiTheme="minorHAnsi" w:hAnsiTheme="minorHAnsi" w:cstheme="minorHAnsi"/>
          <w:spacing w:val="-2"/>
        </w:rPr>
        <w:t xml:space="preserve"> </w:t>
      </w:r>
      <w:r w:rsidR="00CA3358" w:rsidRPr="00156B76">
        <w:rPr>
          <w:rFonts w:asciiTheme="minorHAnsi" w:hAnsiTheme="minorHAnsi" w:cstheme="minorHAnsi"/>
        </w:rPr>
        <w:t>Board</w:t>
      </w:r>
      <w:r w:rsidR="00CA3358" w:rsidRPr="00156B76">
        <w:rPr>
          <w:rFonts w:asciiTheme="minorHAnsi" w:hAnsiTheme="minorHAnsi" w:cstheme="minorHAnsi"/>
          <w:spacing w:val="-1"/>
        </w:rPr>
        <w:t xml:space="preserve"> </w:t>
      </w:r>
      <w:r w:rsidR="00CA3358" w:rsidRPr="00156B76">
        <w:rPr>
          <w:rFonts w:asciiTheme="minorHAnsi" w:hAnsiTheme="minorHAnsi" w:cstheme="minorHAnsi"/>
        </w:rPr>
        <w:t>on</w:t>
      </w:r>
      <w:r w:rsidR="00CA3358" w:rsidRPr="00156B76">
        <w:rPr>
          <w:rFonts w:asciiTheme="minorHAnsi" w:hAnsiTheme="minorHAnsi" w:cstheme="minorHAnsi"/>
          <w:spacing w:val="-1"/>
        </w:rPr>
        <w:t xml:space="preserve"> </w:t>
      </w:r>
      <w:r w:rsidR="00FC2B2F" w:rsidRPr="00156B76">
        <w:rPr>
          <w:rFonts w:asciiTheme="minorHAnsi" w:hAnsiTheme="minorHAnsi" w:cstheme="minorHAnsi"/>
        </w:rPr>
        <w:t>December</w:t>
      </w:r>
      <w:r w:rsidR="00FC2B2F" w:rsidRPr="00156B76">
        <w:rPr>
          <w:rFonts w:asciiTheme="minorHAnsi" w:hAnsiTheme="minorHAnsi" w:cstheme="minorHAnsi"/>
          <w:spacing w:val="-4"/>
        </w:rPr>
        <w:t xml:space="preserve"> </w:t>
      </w:r>
      <w:r w:rsidR="00FC2B2F" w:rsidRPr="00156B76">
        <w:rPr>
          <w:rFonts w:asciiTheme="minorHAnsi" w:hAnsiTheme="minorHAnsi" w:cstheme="minorHAnsi"/>
        </w:rPr>
        <w:t xml:space="preserve">11, </w:t>
      </w:r>
      <w:r w:rsidR="00546386" w:rsidRPr="00156B76">
        <w:rPr>
          <w:rFonts w:asciiTheme="minorHAnsi" w:hAnsiTheme="minorHAnsi" w:cstheme="minorHAnsi"/>
        </w:rPr>
        <w:t>2017,</w:t>
      </w:r>
      <w:r w:rsidR="00FC2B2F" w:rsidRPr="00156B76">
        <w:rPr>
          <w:rFonts w:asciiTheme="minorHAnsi" w:hAnsiTheme="minorHAnsi" w:cstheme="minorHAnsi"/>
        </w:rPr>
        <w:t xml:space="preserve"> and</w:t>
      </w:r>
      <w:r w:rsidR="00CA3358" w:rsidRPr="00156B76">
        <w:rPr>
          <w:rFonts w:asciiTheme="minorHAnsi" w:hAnsiTheme="minorHAnsi" w:cstheme="minorHAnsi"/>
          <w:spacing w:val="-1"/>
        </w:rPr>
        <w:t xml:space="preserve"> </w:t>
      </w:r>
      <w:r w:rsidR="00CA3358" w:rsidRPr="00156B76">
        <w:rPr>
          <w:rFonts w:asciiTheme="minorHAnsi" w:hAnsiTheme="minorHAnsi" w:cstheme="minorHAnsi"/>
        </w:rPr>
        <w:t>approved.</w:t>
      </w:r>
      <w:r w:rsidR="00E24E75" w:rsidRPr="00156B76">
        <w:rPr>
          <w:rFonts w:asciiTheme="minorHAnsi" w:hAnsiTheme="minorHAnsi" w:cstheme="minorHAnsi"/>
        </w:rPr>
        <w:t xml:space="preserve"> </w:t>
      </w:r>
      <w:r w:rsidR="00261BF3" w:rsidRPr="00156B76">
        <w:rPr>
          <w:rFonts w:asciiTheme="minorHAnsi" w:hAnsiTheme="minorHAnsi" w:cstheme="minorHAnsi"/>
        </w:rPr>
        <w:t xml:space="preserve">The changes did not take advantage of the opportunity to add process or impact indicators or diversify with quality indicators.  </w:t>
      </w:r>
    </w:p>
    <w:p w14:paraId="6702F87E" w14:textId="69ED9712" w:rsidR="00361ADC" w:rsidRPr="00156B76" w:rsidRDefault="00553E9A" w:rsidP="00156B76">
      <w:pPr>
        <w:spacing w:after="120"/>
        <w:ind w:left="180"/>
        <w:jc w:val="both"/>
        <w:rPr>
          <w:bCs/>
        </w:rPr>
      </w:pPr>
      <w:r>
        <w:rPr>
          <w:rFonts w:asciiTheme="minorHAnsi" w:hAnsiTheme="minorHAnsi" w:cstheme="minorHAnsi"/>
        </w:rPr>
        <w:t>(2</w:t>
      </w:r>
      <w:r w:rsidR="003E2C93">
        <w:rPr>
          <w:rFonts w:asciiTheme="minorHAnsi" w:hAnsiTheme="minorHAnsi" w:cstheme="minorHAnsi"/>
        </w:rPr>
        <w:t>5</w:t>
      </w:r>
      <w:r>
        <w:rPr>
          <w:rFonts w:asciiTheme="minorHAnsi" w:hAnsiTheme="minorHAnsi" w:cstheme="minorHAnsi"/>
        </w:rPr>
        <w:t xml:space="preserve">) </w:t>
      </w:r>
      <w:r w:rsidR="001C7AF0" w:rsidRPr="00156B76">
        <w:rPr>
          <w:rFonts w:asciiTheme="minorHAnsi" w:hAnsiTheme="minorHAnsi" w:cstheme="minorHAnsi"/>
        </w:rPr>
        <w:t xml:space="preserve">The PMU actively tracks adaptations by the </w:t>
      </w:r>
      <w:r w:rsidR="00B75026" w:rsidRPr="00156B76">
        <w:rPr>
          <w:rFonts w:asciiTheme="minorHAnsi" w:hAnsiTheme="minorHAnsi" w:cstheme="minorHAnsi"/>
        </w:rPr>
        <w:t xml:space="preserve">A&amp;L </w:t>
      </w:r>
      <w:r w:rsidR="001C7AF0" w:rsidRPr="00156B76">
        <w:rPr>
          <w:rFonts w:asciiTheme="minorHAnsi" w:hAnsiTheme="minorHAnsi" w:cstheme="minorHAnsi"/>
        </w:rPr>
        <w:t xml:space="preserve">project and the child projects. </w:t>
      </w:r>
      <w:r w:rsidR="00B75026" w:rsidRPr="00156B76">
        <w:rPr>
          <w:rFonts w:asciiTheme="minorHAnsi" w:hAnsiTheme="minorHAnsi" w:cstheme="minorHAnsi"/>
        </w:rPr>
        <w:t>The process is progressively more proactive.</w:t>
      </w:r>
      <w:r w:rsidR="00361ADC" w:rsidRPr="00156B76">
        <w:rPr>
          <w:rFonts w:asciiTheme="minorHAnsi" w:hAnsiTheme="minorHAnsi" w:cstheme="minorHAnsi"/>
          <w:b/>
        </w:rPr>
        <w:t xml:space="preserve"> </w:t>
      </w:r>
      <w:r w:rsidR="00361ADC" w:rsidRPr="00156B76">
        <w:rPr>
          <w:bCs/>
        </w:rPr>
        <w:t xml:space="preserve">The PMU also maintained a thoroughly documented and periodically updated Management Response making it easy </w:t>
      </w:r>
      <w:r w:rsidR="008F77B9" w:rsidRPr="00156B76">
        <w:t xml:space="preserve">to </w:t>
      </w:r>
      <w:r w:rsidR="00361ADC" w:rsidRPr="00156B76">
        <w:rPr>
          <w:bCs/>
        </w:rPr>
        <w:t xml:space="preserve">know the responses to evaluations etc. </w:t>
      </w:r>
    </w:p>
    <w:p w14:paraId="6784B87F" w14:textId="425F284A" w:rsidR="00D00D6D" w:rsidRPr="009E3B94" w:rsidRDefault="00B75026" w:rsidP="009E3B94">
      <w:pPr>
        <w:pStyle w:val="BodyText"/>
        <w:spacing w:after="120"/>
        <w:jc w:val="both"/>
        <w:rPr>
          <w:rFonts w:asciiTheme="minorHAnsi" w:hAnsiTheme="minorHAnsi" w:cstheme="minorHAnsi"/>
          <w:sz w:val="22"/>
          <w:szCs w:val="22"/>
        </w:rPr>
      </w:pPr>
      <w:r w:rsidRPr="009E3B94">
        <w:rPr>
          <w:rFonts w:asciiTheme="minorHAnsi" w:hAnsiTheme="minorHAnsi" w:cstheme="minorHAnsi"/>
          <w:sz w:val="22"/>
          <w:szCs w:val="22"/>
        </w:rPr>
        <w:t>Conclusion:</w:t>
      </w:r>
    </w:p>
    <w:p w14:paraId="57997DF8" w14:textId="407D0984" w:rsidR="00B75026" w:rsidRPr="001018B7" w:rsidRDefault="007B037E" w:rsidP="001018B7">
      <w:pPr>
        <w:spacing w:after="120"/>
        <w:ind w:left="360"/>
        <w:jc w:val="both"/>
        <w:rPr>
          <w:rFonts w:asciiTheme="minorHAnsi" w:eastAsia="Tahoma" w:hAnsiTheme="minorHAnsi" w:cstheme="minorHAnsi"/>
        </w:rPr>
      </w:pPr>
      <w:r>
        <w:rPr>
          <w:rFonts w:asciiTheme="minorHAnsi" w:hAnsiTheme="minorHAnsi" w:cstheme="minorHAnsi"/>
        </w:rPr>
        <w:t xml:space="preserve">(22) </w:t>
      </w:r>
      <w:r w:rsidR="00B75026" w:rsidRPr="001018B7">
        <w:rPr>
          <w:rFonts w:asciiTheme="minorHAnsi" w:hAnsiTheme="minorHAnsi" w:cstheme="minorHAnsi"/>
        </w:rPr>
        <w:t xml:space="preserve">The PMU has demonstrated a high level of adaptation to problems, situations and changing </w:t>
      </w:r>
      <w:r w:rsidR="00586E5C" w:rsidRPr="001018B7">
        <w:rPr>
          <w:rFonts w:asciiTheme="minorHAnsi" w:hAnsiTheme="minorHAnsi" w:cstheme="minorHAnsi"/>
        </w:rPr>
        <w:t>dynamics</w:t>
      </w:r>
      <w:r w:rsidR="00B75026" w:rsidRPr="001018B7">
        <w:rPr>
          <w:rFonts w:asciiTheme="minorHAnsi" w:hAnsiTheme="minorHAnsi" w:cstheme="minorHAnsi"/>
        </w:rPr>
        <w:t xml:space="preserve"> in the project. </w:t>
      </w:r>
      <w:r w:rsidR="00586E5C" w:rsidRPr="001018B7">
        <w:rPr>
          <w:rFonts w:asciiTheme="minorHAnsi" w:hAnsiTheme="minorHAnsi" w:cstheme="minorHAnsi"/>
        </w:rPr>
        <w:t xml:space="preserve">Adaptations are thoroughly </w:t>
      </w:r>
      <w:r w:rsidR="009E3B94" w:rsidRPr="001018B7">
        <w:rPr>
          <w:rFonts w:asciiTheme="minorHAnsi" w:hAnsiTheme="minorHAnsi" w:cstheme="minorHAnsi"/>
        </w:rPr>
        <w:t>logged,</w:t>
      </w:r>
      <w:r w:rsidR="00586E5C" w:rsidRPr="001018B7">
        <w:rPr>
          <w:rFonts w:asciiTheme="minorHAnsi" w:hAnsiTheme="minorHAnsi" w:cstheme="minorHAnsi"/>
        </w:rPr>
        <w:t xml:space="preserve"> and results are reported on in PIRs and to the board.</w:t>
      </w:r>
      <w:r w:rsidR="00822D3B" w:rsidRPr="001018B7">
        <w:rPr>
          <w:rFonts w:asciiTheme="minorHAnsi" w:hAnsiTheme="minorHAnsi" w:cstheme="minorHAnsi"/>
        </w:rPr>
        <w:t xml:space="preserve"> </w:t>
      </w:r>
      <w:r w:rsidR="00822D3B" w:rsidRPr="001018B7">
        <w:rPr>
          <w:rFonts w:asciiTheme="minorHAnsi" w:eastAsia="Arial" w:hAnsiTheme="minorHAnsi" w:cstheme="minorHAnsi"/>
        </w:rPr>
        <w:t>Adaptability and creativity in Management Response</w:t>
      </w:r>
      <w:r w:rsidR="004A2A32" w:rsidRPr="001018B7">
        <w:rPr>
          <w:rFonts w:asciiTheme="minorHAnsi" w:eastAsia="Arial" w:hAnsiTheme="minorHAnsi" w:cstheme="minorHAnsi"/>
        </w:rPr>
        <w:t xml:space="preserve"> s</w:t>
      </w:r>
      <w:r w:rsidR="00822D3B" w:rsidRPr="001018B7">
        <w:rPr>
          <w:rFonts w:asciiTheme="minorHAnsi" w:eastAsia="Arial" w:hAnsiTheme="minorHAnsi" w:cstheme="minorHAnsi"/>
        </w:rPr>
        <w:t>ought productive solutions.</w:t>
      </w:r>
    </w:p>
    <w:p w14:paraId="2044578B" w14:textId="28B7B3F1" w:rsidR="005A3DF5" w:rsidRPr="001018B7" w:rsidRDefault="007B037E" w:rsidP="001018B7">
      <w:pPr>
        <w:spacing w:after="120"/>
        <w:ind w:left="360"/>
        <w:jc w:val="both"/>
        <w:rPr>
          <w:rFonts w:asciiTheme="minorHAnsi" w:hAnsiTheme="minorHAnsi" w:cstheme="minorHAnsi"/>
        </w:rPr>
      </w:pPr>
      <w:r>
        <w:rPr>
          <w:rFonts w:asciiTheme="minorHAnsi" w:hAnsiTheme="minorHAnsi" w:cstheme="minorHAnsi"/>
        </w:rPr>
        <w:lastRenderedPageBreak/>
        <w:t xml:space="preserve">(23) </w:t>
      </w:r>
      <w:r w:rsidR="005A3DF5" w:rsidRPr="001018B7">
        <w:rPr>
          <w:rFonts w:asciiTheme="minorHAnsi" w:hAnsiTheme="minorHAnsi" w:cstheme="minorHAnsi"/>
        </w:rPr>
        <w:t>As a pilot project, a diversity of process and structure indicators would have provided important information to understand the full results (quantitative and qualitative) of the IAP. .</w:t>
      </w:r>
    </w:p>
    <w:bookmarkEnd w:id="49"/>
    <w:p w14:paraId="622B3E38" w14:textId="77777777" w:rsidR="00BE11CE" w:rsidRPr="00B75026" w:rsidRDefault="00BE11CE" w:rsidP="00B75026">
      <w:pPr>
        <w:pStyle w:val="BodyText"/>
        <w:spacing w:after="120"/>
        <w:rPr>
          <w:rFonts w:asciiTheme="minorHAnsi" w:hAnsiTheme="minorHAnsi" w:cstheme="minorHAnsi"/>
        </w:rPr>
      </w:pPr>
    </w:p>
    <w:p w14:paraId="69A6CC7B" w14:textId="53ED391E" w:rsidR="00D00D6D" w:rsidRPr="00361ADC" w:rsidRDefault="00D1662F" w:rsidP="00D80344">
      <w:pPr>
        <w:pStyle w:val="Heading3"/>
        <w:numPr>
          <w:ilvl w:val="2"/>
          <w:numId w:val="9"/>
        </w:numPr>
        <w:rPr>
          <w:rFonts w:ascii="Calibri" w:hAnsi="Calibri" w:cs="Calibri"/>
          <w:sz w:val="22"/>
          <w:szCs w:val="22"/>
        </w:rPr>
      </w:pPr>
      <w:bookmarkStart w:id="51" w:name="_Toc96772488"/>
      <w:r w:rsidRPr="00361ADC">
        <w:rPr>
          <w:rFonts w:ascii="Calibri" w:hAnsi="Calibri" w:cs="Calibri"/>
          <w:sz w:val="22"/>
          <w:szCs w:val="22"/>
        </w:rPr>
        <w:t>Actual Stakeholder Participation and Partnership Arrangements</w:t>
      </w:r>
      <w:bookmarkStart w:id="52" w:name="_Hlk88146994"/>
      <w:bookmarkEnd w:id="51"/>
    </w:p>
    <w:bookmarkEnd w:id="52"/>
    <w:p w14:paraId="1D308B48" w14:textId="73ACB3F4" w:rsidR="00361ADC" w:rsidRDefault="00361ADC" w:rsidP="00BA3A6C">
      <w:pPr>
        <w:jc w:val="both"/>
      </w:pPr>
    </w:p>
    <w:p w14:paraId="5AE5B9A1" w14:textId="46A889F1" w:rsidR="009A04CA" w:rsidRPr="009D6837" w:rsidRDefault="009A04CA" w:rsidP="009A04CA">
      <w:pPr>
        <w:jc w:val="both"/>
      </w:pPr>
      <w:r>
        <w:t xml:space="preserve">The MTR Report divided stakeholders into two types of relationships with the A&amp;L project: </w:t>
      </w:r>
      <w:r w:rsidRPr="009A04CA">
        <w:rPr>
          <w:i/>
          <w:iCs/>
        </w:rPr>
        <w:t>(i) the project partners of GGP including both execution and implementation agencies (WWF, IFC, ISEAL, CI etc) and (ii) the indirect beneficiaries of the A&amp;L project attained through the child projects. i.e. local and national government, private sector, farmers and biodiversity and forest</w:t>
      </w:r>
      <w:r>
        <w:rPr>
          <w:i/>
          <w:iCs/>
        </w:rPr>
        <w:t xml:space="preserve"> (MTR, 2019). </w:t>
      </w:r>
      <w:r>
        <w:t xml:space="preserve"> </w:t>
      </w:r>
      <w:r w:rsidR="009D6837">
        <w:t>To facilitate a comparative analysis, the evaluation team used the same categories</w:t>
      </w:r>
      <w:r w:rsidR="006B3B6A">
        <w:t>.</w:t>
      </w:r>
    </w:p>
    <w:p w14:paraId="68E0F412" w14:textId="55755B3F" w:rsidR="009A04CA" w:rsidRDefault="00D440E8" w:rsidP="009A04CA">
      <w:pPr>
        <w:jc w:val="both"/>
      </w:pPr>
      <w:r>
        <w:t>T</w:t>
      </w:r>
      <w:r w:rsidR="009A04CA">
        <w:t xml:space="preserve">he A&amp;L staff is engaging </w:t>
      </w:r>
      <w:r>
        <w:t>project partners</w:t>
      </w:r>
      <w:r w:rsidR="009A04CA">
        <w:t xml:space="preserve"> </w:t>
      </w:r>
      <w:r w:rsidR="00D17C18">
        <w:t xml:space="preserve">through </w:t>
      </w:r>
      <w:r w:rsidR="009A04CA">
        <w:t xml:space="preserve">a coordination </w:t>
      </w:r>
      <w:r w:rsidR="009D6837">
        <w:t>framework</w:t>
      </w:r>
      <w:r w:rsidR="009A04CA">
        <w:t>.</w:t>
      </w:r>
      <w:r w:rsidR="009D6837">
        <w:t xml:space="preserve"> The governance structure provides the vehicle for communication and participation between partners. </w:t>
      </w:r>
      <w:r w:rsidR="009D6837" w:rsidRPr="009D6837">
        <w:t xml:space="preserve">The A&amp;L project board </w:t>
      </w:r>
      <w:r w:rsidR="009D6837">
        <w:t>meets</w:t>
      </w:r>
      <w:r w:rsidR="009D6837" w:rsidRPr="009D6837">
        <w:t xml:space="preserve"> twice </w:t>
      </w:r>
      <w:r w:rsidR="0025578B">
        <w:t xml:space="preserve">yearly </w:t>
      </w:r>
      <w:r w:rsidR="009D6837">
        <w:t>and</w:t>
      </w:r>
      <w:r w:rsidR="002B0C50">
        <w:t xml:space="preserve"> with</w:t>
      </w:r>
      <w:r w:rsidR="009D6837" w:rsidRPr="009D6837">
        <w:t xml:space="preserve">all members </w:t>
      </w:r>
      <w:r w:rsidR="009D6837">
        <w:t>are</w:t>
      </w:r>
      <w:r w:rsidR="00B54DEE">
        <w:t xml:space="preserve"> actively</w:t>
      </w:r>
      <w:r w:rsidR="009D6837">
        <w:t xml:space="preserve"> </w:t>
      </w:r>
      <w:r w:rsidR="009D6837" w:rsidRPr="009D6837">
        <w:t>participating</w:t>
      </w:r>
      <w:r w:rsidR="002B0C50">
        <w:t xml:space="preserve">. The governance process </w:t>
      </w:r>
      <w:r w:rsidR="002B0C50" w:rsidRPr="002B0C50">
        <w:t xml:space="preserve">was categorized as important and useful by </w:t>
      </w:r>
      <w:r w:rsidR="002B0C50">
        <w:t>KIs</w:t>
      </w:r>
      <w:r w:rsidR="00B54DEE">
        <w:t xml:space="preserve">. </w:t>
      </w:r>
      <w:r w:rsidR="00FD4736">
        <w:t xml:space="preserve">. </w:t>
      </w:r>
      <w:r w:rsidR="009D6837" w:rsidRPr="009D6837">
        <w:t xml:space="preserve">This has </w:t>
      </w:r>
      <w:r w:rsidR="00FD4736">
        <w:t xml:space="preserve">translated into </w:t>
      </w:r>
      <w:r w:rsidR="009D6837" w:rsidRPr="009D6837">
        <w:t>better coordination and collaboration between GGP Partners</w:t>
      </w:r>
      <w:r w:rsidR="00FD4736">
        <w:t xml:space="preserve">. </w:t>
      </w:r>
    </w:p>
    <w:p w14:paraId="7C4A411A" w14:textId="3DFC9FC1" w:rsidR="00E84EB4" w:rsidRDefault="00FD4736" w:rsidP="009A04CA">
      <w:pPr>
        <w:jc w:val="both"/>
      </w:pPr>
      <w:r>
        <w:t>The PIR</w:t>
      </w:r>
      <w:r w:rsidR="002B0C50">
        <w:t>s</w:t>
      </w:r>
      <w:r>
        <w:t xml:space="preserve"> further indicate that …</w:t>
      </w:r>
      <w:r w:rsidRPr="00FD4736">
        <w:rPr>
          <w:i/>
          <w:iCs/>
        </w:rPr>
        <w:t>v</w:t>
      </w:r>
      <w:r w:rsidR="00E84EB4" w:rsidRPr="00FD4736">
        <w:rPr>
          <w:i/>
          <w:iCs/>
        </w:rPr>
        <w:t xml:space="preserve">irtual workshops were developed periodically bringing together the </w:t>
      </w:r>
      <w:r w:rsidR="00F5553E">
        <w:rPr>
          <w:i/>
          <w:iCs/>
        </w:rPr>
        <w:t>various</w:t>
      </w:r>
      <w:r w:rsidR="00E84EB4" w:rsidRPr="00FD4736">
        <w:rPr>
          <w:i/>
          <w:iCs/>
        </w:rPr>
        <w:t xml:space="preserve"> GGP child projects, with representatives from UNDP, UNEP-FI, WWF and CI</w:t>
      </w:r>
      <w:r w:rsidR="00F530E3">
        <w:rPr>
          <w:i/>
          <w:iCs/>
        </w:rPr>
        <w:t xml:space="preserve"> as relevant</w:t>
      </w:r>
      <w:r w:rsidR="00E84EB4" w:rsidRPr="00FD4736">
        <w:rPr>
          <w:i/>
          <w:iCs/>
        </w:rPr>
        <w:t>, to identify collaborative actions that needed to be pursued</w:t>
      </w:r>
      <w:r w:rsidRPr="00FD4736">
        <w:rPr>
          <w:i/>
          <w:iCs/>
        </w:rPr>
        <w:t>…</w:t>
      </w:r>
      <w:r w:rsidR="00E84EB4" w:rsidRPr="00FD4736">
        <w:rPr>
          <w:i/>
          <w:iCs/>
        </w:rPr>
        <w:t xml:space="preserve"> in a common integrated intervention plan across Production, Demand and Transaction projects, with a clear timeline and responsibilities</w:t>
      </w:r>
      <w:r w:rsidR="00E84EB4" w:rsidRPr="00E84EB4">
        <w:t>.</w:t>
      </w:r>
      <w:r w:rsidR="00D607B8">
        <w:t xml:space="preserve"> The drafting of integration plans required that stakeholders work together at the country-level and country specific calls also provided a space for integration between partners.  </w:t>
      </w:r>
    </w:p>
    <w:p w14:paraId="1604856A" w14:textId="4C0CDED8" w:rsidR="00800308" w:rsidRDefault="008A2DE9" w:rsidP="00800308">
      <w:pPr>
        <w:jc w:val="both"/>
      </w:pPr>
      <w:r>
        <w:t>As per t</w:t>
      </w:r>
      <w:r w:rsidR="00800308">
        <w:t xml:space="preserve">he Stakeholder Engagement strategy submitted at CEO Approval, the GGP A&amp;L project actively engaged </w:t>
      </w:r>
      <w:r w:rsidR="00BE11CE">
        <w:t xml:space="preserve">through special events, the Green Commodities Community, and through other </w:t>
      </w:r>
      <w:r w:rsidR="00BE11CE" w:rsidRPr="00BE11CE">
        <w:rPr>
          <w:i/>
          <w:iCs/>
        </w:rPr>
        <w:t>fora</w:t>
      </w:r>
      <w:r w:rsidR="00D54FBA">
        <w:rPr>
          <w:i/>
          <w:iCs/>
        </w:rPr>
        <w:t>,</w:t>
      </w:r>
      <w:r w:rsidR="00BE11CE">
        <w:t xml:space="preserve"> </w:t>
      </w:r>
      <w:r w:rsidR="00D54FBA">
        <w:t xml:space="preserve">in particular the Good Growth Conference, involving </w:t>
      </w:r>
      <w:r w:rsidR="00800308">
        <w:t xml:space="preserve">development country and donor governments, foundations, multilateral development agencies, financial institutions, private sector actors, producers, NGOs and civil society organizations, collaboration forums, and academia. An extensive and impressive list of interventions with each stakeholder group is thoroughly documented. </w:t>
      </w:r>
      <w:r w:rsidR="00D71F3B">
        <w:t>A</w:t>
      </w:r>
      <w:r w:rsidR="00800308">
        <w:t xml:space="preserve"> few examples from each group are </w:t>
      </w:r>
      <w:r w:rsidR="00D71F3B">
        <w:t xml:space="preserve">illustrated </w:t>
      </w:r>
      <w:r w:rsidR="00800308">
        <w:t>as follows:</w:t>
      </w:r>
    </w:p>
    <w:p w14:paraId="3909B335" w14:textId="4BD66297" w:rsidR="00E84EB4" w:rsidRDefault="00800308" w:rsidP="00405943">
      <w:pPr>
        <w:jc w:val="both"/>
      </w:pPr>
      <w:r w:rsidRPr="007401B0">
        <w:rPr>
          <w:u w:val="single"/>
        </w:rPr>
        <w:t>Developing country governments at the national, state, province and district levels</w:t>
      </w:r>
      <w:r w:rsidRPr="00D87950">
        <w:t>: the A&amp;L project provide</w:t>
      </w:r>
      <w:r>
        <w:t>d</w:t>
      </w:r>
      <w:r w:rsidRPr="00D87950">
        <w:t xml:space="preserve"> services to the GGP country teams, who engage</w:t>
      </w:r>
      <w:r>
        <w:t>d</w:t>
      </w:r>
      <w:r w:rsidRPr="00D87950">
        <w:t xml:space="preserve"> with governments in Indonesia, Liberia, Paraguay and Brazil at the national and sub-national levels. </w:t>
      </w:r>
      <w:r>
        <w:t>For instance, d</w:t>
      </w:r>
      <w:r w:rsidRPr="00D87950">
        <w:t>uring the GGP-New York Climate Week event (September 23, 2020), officials from the Indonesian Coordinating Ministry for Economic Affairs and Ghanaian Forestry Commission served as panelists, and representatives of the Liberian Ministry of Agriculture also attended the event.</w:t>
      </w:r>
      <w:r>
        <w:t xml:space="preserve"> In addition, high level government officials have given talks </w:t>
      </w:r>
      <w:r w:rsidR="000701A7">
        <w:t>at the Good Growth Conference</w:t>
      </w:r>
      <w:r w:rsidR="00C00B71">
        <w:t xml:space="preserve">. These serve as both information exchanges and motivates the officials to champion the Green Growth cause. </w:t>
      </w:r>
    </w:p>
    <w:p w14:paraId="03F551E2" w14:textId="793C2221" w:rsidR="00E84EB4" w:rsidRDefault="00C00B71" w:rsidP="00405943">
      <w:pPr>
        <w:jc w:val="both"/>
      </w:pPr>
      <w:r w:rsidRPr="007401B0">
        <w:rPr>
          <w:u w:val="single"/>
        </w:rPr>
        <w:t>Donor governments and foundations</w:t>
      </w:r>
      <w:r w:rsidRPr="00D87950">
        <w:t xml:space="preserve">: Engagement and communication with the GEF </w:t>
      </w:r>
      <w:r>
        <w:t>was</w:t>
      </w:r>
      <w:r w:rsidRPr="00D87950">
        <w:t xml:space="preserve"> strong</w:t>
      </w:r>
      <w:r>
        <w:t xml:space="preserve"> during project implementation</w:t>
      </w:r>
      <w:r w:rsidRPr="00D87950">
        <w:t>, as the A&amp;L project act</w:t>
      </w:r>
      <w:r>
        <w:t>ed</w:t>
      </w:r>
      <w:r w:rsidRPr="00D87950">
        <w:t xml:space="preserve"> as the main focal point for the full GGP programme to the GEF. The project receive</w:t>
      </w:r>
      <w:r>
        <w:t>d</w:t>
      </w:r>
      <w:r w:rsidRPr="00D87950">
        <w:t xml:space="preserve"> parallel financing in the form of grant from the Swiss State Secretariat of Economic Affairs (SECO) and the German Corporation for International Cooperation (GIZ, up to October </w:t>
      </w:r>
      <w:r w:rsidRPr="00D87950">
        <w:lastRenderedPageBreak/>
        <w:t>31</w:t>
      </w:r>
      <w:r w:rsidRPr="00D87950">
        <w:rPr>
          <w:vertAlign w:val="superscript"/>
        </w:rPr>
        <w:t>st</w:t>
      </w:r>
      <w:r w:rsidRPr="00D87950">
        <w:t>, 2020), both in support of the GCC, and additionally from SECO for the Good Growth Conference.</w:t>
      </w:r>
      <w:r>
        <w:t xml:space="preserve">  </w:t>
      </w:r>
      <w:r w:rsidR="00523D41">
        <w:t>Engagement was also facilitated</w:t>
      </w:r>
      <w:r>
        <w:t xml:space="preserve"> with the Gates, Moore, and Packard Foundat</w:t>
      </w:r>
      <w:r w:rsidR="00D54FBA">
        <w:t>i</w:t>
      </w:r>
      <w:r>
        <w:t>ons as well as USAID</w:t>
      </w:r>
      <w:r w:rsidR="00D71F3B">
        <w:t>,</w:t>
      </w:r>
      <w:r>
        <w:t xml:space="preserve"> among others. The development of relationships is translat</w:t>
      </w:r>
      <w:r w:rsidR="002B1544">
        <w:t>ed</w:t>
      </w:r>
      <w:r>
        <w:t xml:space="preserve"> into interest and </w:t>
      </w:r>
      <w:r w:rsidR="002B1544">
        <w:t xml:space="preserve">co financing </w:t>
      </w:r>
      <w:r>
        <w:t>of the GGP</w:t>
      </w:r>
      <w:r w:rsidR="002B1544">
        <w:t>, and potentially of a phase 2 (TBC)</w:t>
      </w:r>
      <w:r w:rsidR="00D13AEE">
        <w:t>.</w:t>
      </w:r>
      <w:r w:rsidR="002B1544">
        <w:t xml:space="preserve"> </w:t>
      </w:r>
      <w:r w:rsidR="00D13AEE">
        <w:t>GIZ and SECO have participated in the Green Commodities Community</w:t>
      </w:r>
      <w:r w:rsidR="004913AB">
        <w:t xml:space="preserve"> events</w:t>
      </w:r>
      <w:r w:rsidR="00D13AEE">
        <w:t>.</w:t>
      </w:r>
    </w:p>
    <w:p w14:paraId="78891C7D" w14:textId="755B8D0D" w:rsidR="00D13AEE" w:rsidRPr="00D87950" w:rsidRDefault="00D13AEE" w:rsidP="00405943">
      <w:pPr>
        <w:jc w:val="both"/>
      </w:pPr>
      <w:r w:rsidRPr="00522D88">
        <w:rPr>
          <w:u w:val="single"/>
        </w:rPr>
        <w:t>Multilateral development agencies and programs</w:t>
      </w:r>
      <w:r w:rsidRPr="00D87950">
        <w:t>: Evidensia and the United Nations Forum on Sustainability Standards Academic Advisory Council (AAC) committee strengthened their collaboration in the last year</w:t>
      </w:r>
      <w:r>
        <w:t xml:space="preserve"> of the project</w:t>
      </w:r>
      <w:r w:rsidRPr="00D87950">
        <w:t xml:space="preserve"> by stepping up Voluntary Sustainability Standards (VSS) research through the AAC network and disseminated through the Evidensia platform. As part of the engagement of GGP in the UN Food Systems Summit (UNFSS), GGP is also engaging with other UN sister agencies. Finally, IFAD was engaged to get their inputs for the knowledge product on the integrated approach, as per their experience with the </w:t>
      </w:r>
      <w:r w:rsidRPr="00A91BC9">
        <w:rPr>
          <w:i/>
          <w:iCs/>
        </w:rPr>
        <w:t>GEF-6 funded Resilient Food Systems Integrated Approach Pilot</w:t>
      </w:r>
      <w:r w:rsidR="00A91BC9">
        <w:t xml:space="preserve"> and further strengthening the linkages with other projects</w:t>
      </w:r>
      <w:r w:rsidRPr="00D87950">
        <w:t>.</w:t>
      </w:r>
    </w:p>
    <w:p w14:paraId="01CE37B9" w14:textId="380E8752" w:rsidR="00A91BC9" w:rsidRPr="00D87950" w:rsidRDefault="00A91BC9" w:rsidP="00A91BC9">
      <w:pPr>
        <w:jc w:val="both"/>
      </w:pPr>
      <w:bookmarkStart w:id="53" w:name="_Hlk96787652"/>
      <w:r w:rsidRPr="00522D88">
        <w:rPr>
          <w:u w:val="single"/>
        </w:rPr>
        <w:t>Financial institutions and private sector</w:t>
      </w:r>
      <w:r w:rsidRPr="00D87950">
        <w:t xml:space="preserve">: In addition to engagement through events organized in the past years, financial institutions and the private sector are part of the targeted audience of the Green Commodities Community. Efforts were carried out with the organization of the GGP-New York Climate Week event (September 23, 2020) </w:t>
      </w:r>
      <w:r>
        <w:t xml:space="preserve">where </w:t>
      </w:r>
      <w:r w:rsidRPr="00D87950">
        <w:t xml:space="preserve">key companies such as Barry Callebaut, Colgate, Ferrero, Gap, Golden Agri, Johnson &amp; Johnson, Kellogg, Mc Donald’s, Musim Mas, Neste, Olam, P&amp;G, PepsiCo, Target, The Body Shop, Kraft Heinz, Unilever, and Walmart, joined the event which was recognized as a success as mobilizing the private sector is more challenging than development partners. </w:t>
      </w:r>
      <w:r>
        <w:t xml:space="preserve"> </w:t>
      </w:r>
      <w:r w:rsidR="00B216BC">
        <w:t>T</w:t>
      </w:r>
      <w:r w:rsidRPr="00D87950">
        <w:t xml:space="preserve">here is still on-going involvement from Mondelez, Cargill and Mars who actively participated to GGP events on private sector and jurisdictional approaches. </w:t>
      </w:r>
      <w:r>
        <w:t>S</w:t>
      </w:r>
      <w:r w:rsidRPr="00D87950">
        <w:t xml:space="preserve">everal companies including Sime Darby, Mondelez and Unilever were interviewed so their insights can feed into the development of case studies that are produced as part of the </w:t>
      </w:r>
      <w:r w:rsidR="005777FD">
        <w:t xml:space="preserve">Value Beyond Value Chain v2 </w:t>
      </w:r>
      <w:r w:rsidRPr="00D87950">
        <w:t xml:space="preserve"> knowledge product</w:t>
      </w:r>
      <w:r w:rsidR="005777FD">
        <w:t xml:space="preserve"> that will provide concrete tools and guidance for Private Sector on how to engage on multi-stakeholder collaboration</w:t>
      </w:r>
      <w:r w:rsidR="00AC32EF">
        <w:t>, which was in-progress at the time of the evaluation</w:t>
      </w:r>
      <w:r w:rsidRPr="00D87950">
        <w:t xml:space="preserve">. </w:t>
      </w:r>
    </w:p>
    <w:bookmarkEnd w:id="53"/>
    <w:p w14:paraId="6DBC0C04" w14:textId="1A0E929F" w:rsidR="00B216BC" w:rsidRPr="00D87950" w:rsidRDefault="00B216BC" w:rsidP="00B216BC">
      <w:pPr>
        <w:jc w:val="both"/>
      </w:pPr>
      <w:r w:rsidRPr="00522D88">
        <w:rPr>
          <w:u w:val="single"/>
        </w:rPr>
        <w:t>Producers, at a range of scales from smallholders (including women and indigenous groups), local communities, SMEs to multinational companies</w:t>
      </w:r>
      <w:r w:rsidRPr="00D87950">
        <w:t xml:space="preserve">: Representatives from the Association of Liberia Oil Palm Farmers and the Agricultural Producers Association for a Sustainable Chaco participated as panelists in the 2021 GGC high level sessions on May 25 and 26. </w:t>
      </w:r>
      <w:r>
        <w:t>Small holders are a major stakeholder group and important to all of the child projects.</w:t>
      </w:r>
    </w:p>
    <w:p w14:paraId="4DAC271D" w14:textId="47CBAE85" w:rsidR="00D13AEE" w:rsidRDefault="00B216BC" w:rsidP="00405943">
      <w:pPr>
        <w:jc w:val="both"/>
      </w:pPr>
      <w:r w:rsidRPr="00B216BC">
        <w:rPr>
          <w:u w:val="single"/>
        </w:rPr>
        <w:t>CSOs/</w:t>
      </w:r>
      <w:r w:rsidR="00405943" w:rsidRPr="00B216BC">
        <w:rPr>
          <w:u w:val="single"/>
        </w:rPr>
        <w:t>NGOs</w:t>
      </w:r>
      <w:r w:rsidR="00405943" w:rsidRPr="00B216BC">
        <w:t>:</w:t>
      </w:r>
      <w:r w:rsidRPr="00B216BC">
        <w:t xml:space="preserve"> ISEAL Alliance is also a core partner of the A&amp;L project, in charge of the development of the global impact platform Evidensia and continues to engage with the Partnership despite the end of project activities under the related A&amp;L component (activities ended as of March 31, 2021). Conservation International, WWF, the Meridian Institute, Rainforest Alliance, The Sustainable Food Lab, The Global Living Wage Coalition, the International Institute for Sustainable Development (IISD), Business Fights Poverty, and the Committee on Sustainability Assessment (COSA) are partners of the Evidensia platform. Evidensia also delivered webinars and learning events in collaboration with the Living Income Community of Practice, the ISEAL Community of sustainability standards, and the Business Fights Poverty Network. As part of the USAID co-creation process GGP took part to for potential funding for GGP 2 in Q1 and Q2 2020, closer connections and opportunities for collaboration have been explored with EcoAgriculture, Climate-KIC, the French Centers for International Forestry Research (CIFOR) and Agricultural Research and </w:t>
      </w:r>
      <w:r w:rsidRPr="00B216BC">
        <w:lastRenderedPageBreak/>
        <w:t xml:space="preserve">International Cooperation (CIRAD), and the World Resources Institute (WRI). </w:t>
      </w:r>
      <w:r w:rsidRPr="006461CD">
        <w:t xml:space="preserve">In addition to Alliance pour la Préservation des Forêts, Proforest, Forest Trends, Rainforest Alliance, HCV Network, etc. </w:t>
      </w:r>
      <w:r w:rsidR="00317249">
        <w:t xml:space="preserve">Contact in different venues was had with </w:t>
      </w:r>
      <w:r w:rsidR="00F12942">
        <w:t xml:space="preserve">the </w:t>
      </w:r>
      <w:r w:rsidRPr="00B216BC">
        <w:t>Forest Peoples Programme, Forest Trends, Greenpeace, World Agroforestry (ICRAF), Oxfam International, Proforest, and the World Business Council for Sustainable Development (WBCSD). IDH, Earth Innovation Institute or Global Canopy.</w:t>
      </w:r>
    </w:p>
    <w:p w14:paraId="10BD7E53" w14:textId="565FD35B" w:rsidR="00F12942" w:rsidRPr="002A5F8E" w:rsidRDefault="00F12942" w:rsidP="00405943">
      <w:pPr>
        <w:jc w:val="both"/>
      </w:pPr>
      <w:r w:rsidRPr="002A5F8E">
        <w:rPr>
          <w:u w:val="single"/>
        </w:rPr>
        <w:t xml:space="preserve">Platforms and collaboration </w:t>
      </w:r>
      <w:r w:rsidRPr="0007675A">
        <w:rPr>
          <w:i/>
          <w:iCs/>
          <w:u w:val="single"/>
        </w:rPr>
        <w:t>for</w:t>
      </w:r>
      <w:r w:rsidR="006B4721" w:rsidRPr="0007675A">
        <w:rPr>
          <w:i/>
          <w:iCs/>
          <w:u w:val="single"/>
        </w:rPr>
        <w:t>a</w:t>
      </w:r>
      <w:r w:rsidRPr="002A5F8E">
        <w:t xml:space="preserve">: </w:t>
      </w:r>
      <w:r w:rsidR="00285769">
        <w:t xml:space="preserve">The </w:t>
      </w:r>
      <w:r w:rsidRPr="002A5F8E">
        <w:t xml:space="preserve">GGP is actively engaging with TFA and the Food and Land Use Coalition (FOLU) and joined the “game changer” solution these two organizations are leading on “Deforestation-free and conversion-free food supply chains “. Exchange of knowledge and information between the New York Declaration on Forests (NYDF) platform and the Green Commodities Community is on-going, especially around exchange of information and support for dissemination of resources. Moreover, in Q4 2020 the GGP Global Manager started engagement with the World Economic Forum around GGP possibly becoming a member of the Food Action Alliance (FAA), an alliance catalyzed by the WEF, International Fund of Agricultural Development (IFAD) and Rabobank, to strengthen the impact of agricultural value chains to produce food efficiently and sustainably. </w:t>
      </w:r>
    </w:p>
    <w:p w14:paraId="50A3DED6" w14:textId="32E9AB2B" w:rsidR="00F12942" w:rsidRDefault="00F12942" w:rsidP="00F12942">
      <w:pPr>
        <w:jc w:val="both"/>
      </w:pPr>
      <w:r w:rsidRPr="002A5F8E">
        <w:rPr>
          <w:u w:val="single"/>
        </w:rPr>
        <w:t>Academia</w:t>
      </w:r>
      <w:r w:rsidRPr="00D87950">
        <w:t>:</w:t>
      </w:r>
      <w:r w:rsidR="00AF63F5" w:rsidRPr="00AF63F5">
        <w:t>Academia was involved in the A&amp;L project through the Evidensia Research Council, which gathers members from the ETH Zurich, CIAT-Biodiversity International / LAC, Leuven Centre for Global Governance Studies, Oxford Long-Term Ecology Lab. Foundation of Success / Conservation Measures Partnership, and The Institute of Development Studies / Centre for Development Impact</w:t>
      </w:r>
      <w:r w:rsidRPr="00D87950">
        <w:t>. In addition, representatives from the Australian National University, Harvard University, Longwood University, Gadjah Mada University, and the University of Hamburg joined the GGP-New York Climate Week event September</w:t>
      </w:r>
      <w:r>
        <w:t xml:space="preserve"> 2021. The academic community supports the development of specialized synthesized reports from Evidensia´s growing </w:t>
      </w:r>
      <w:r w:rsidR="005B0091">
        <w:t>bank</w:t>
      </w:r>
      <w:r>
        <w:t xml:space="preserve"> of research</w:t>
      </w:r>
      <w:r w:rsidR="005B0091">
        <w:t>.</w:t>
      </w:r>
    </w:p>
    <w:p w14:paraId="4B4CAD01" w14:textId="7C9DA266" w:rsidR="00F12942" w:rsidRDefault="005B0091" w:rsidP="00F12942">
      <w:pPr>
        <w:jc w:val="both"/>
      </w:pPr>
      <w:r>
        <w:t>Finding</w:t>
      </w:r>
      <w:r w:rsidR="0007675A">
        <w:t xml:space="preserve"> (26)</w:t>
      </w:r>
      <w:r>
        <w:t xml:space="preserve">: The A&amp;L project has catalyzed the GGP and partners to </w:t>
      </w:r>
      <w:r w:rsidR="00285769">
        <w:t>sustain</w:t>
      </w:r>
      <w:r>
        <w:t xml:space="preserve"> a productive working relationship and in rallying new stakeholders around the cause of an </w:t>
      </w:r>
      <w:r w:rsidR="00285769">
        <w:t>integrated</w:t>
      </w:r>
      <w:r>
        <w:t xml:space="preserve"> approach to commodity related deforestation. The approach has </w:t>
      </w:r>
      <w:r w:rsidR="00285769">
        <w:t>involved</w:t>
      </w:r>
      <w:r>
        <w:t xml:space="preserve"> additionally hundreds of key stakeholders in Developing country governments; donor governments and foundations; Multilateral development agencies and programs; financial institutions and private sector; </w:t>
      </w:r>
      <w:r w:rsidR="006B4721">
        <w:t>Producers, CSOs/NGOs, Platforms and collaboration fora; and academia</w:t>
      </w:r>
    </w:p>
    <w:p w14:paraId="6F404EE6" w14:textId="49584FB6" w:rsidR="006B4721" w:rsidRDefault="006B4721" w:rsidP="00F12942">
      <w:pPr>
        <w:jc w:val="both"/>
      </w:pPr>
      <w:r>
        <w:t>Conclusion</w:t>
      </w:r>
      <w:r w:rsidR="0007675A">
        <w:t xml:space="preserve"> (24)</w:t>
      </w:r>
      <w:r>
        <w:t xml:space="preserve">: The multi-stakeholder approach to integration is clearly demonstrated </w:t>
      </w:r>
      <w:r w:rsidR="0007675A">
        <w:t xml:space="preserve">through </w:t>
      </w:r>
      <w:r>
        <w:t xml:space="preserve"> the extensive relationship</w:t>
      </w:r>
      <w:r w:rsidR="0007675A">
        <w:t>s</w:t>
      </w:r>
      <w:r>
        <w:t xml:space="preserve"> cultivated by the A&amp;L project for the GGP </w:t>
      </w:r>
      <w:r w:rsidR="009304F0">
        <w:t>which</w:t>
      </w:r>
      <w:r>
        <w:t xml:space="preserve"> is creating an inter-connected network of support </w:t>
      </w:r>
      <w:r w:rsidR="009304F0">
        <w:t>f</w:t>
      </w:r>
      <w:r>
        <w:t xml:space="preserve">or Green Commodities projection and will also support the sustainability of the initiative. </w:t>
      </w:r>
    </w:p>
    <w:p w14:paraId="5EC89553" w14:textId="77777777" w:rsidR="00285769" w:rsidRPr="003F1506" w:rsidRDefault="00285769" w:rsidP="00285769">
      <w:pPr>
        <w:rPr>
          <w:rFonts w:asciiTheme="minorHAnsi" w:hAnsiTheme="minorHAnsi" w:cstheme="minorHAnsi"/>
        </w:rPr>
      </w:pPr>
      <w:r w:rsidRPr="003F1506">
        <w:rPr>
          <w:rStyle w:val="Heading4Char"/>
          <w:b/>
          <w:bCs/>
        </w:rPr>
        <w:t>Participation and public awareness</w:t>
      </w:r>
    </w:p>
    <w:p w14:paraId="50157927" w14:textId="05E9A785" w:rsidR="00285769" w:rsidRDefault="00285769" w:rsidP="00981FE1">
      <w:pPr>
        <w:tabs>
          <w:tab w:val="left" w:pos="1539"/>
          <w:tab w:val="left" w:pos="1540"/>
        </w:tabs>
        <w:spacing w:before="176"/>
        <w:ind w:right="4"/>
        <w:jc w:val="both"/>
      </w:pPr>
      <w:r w:rsidRPr="003B2D46">
        <w:t xml:space="preserve">A Communications Strategy </w:t>
      </w:r>
      <w:r>
        <w:t xml:space="preserve">was </w:t>
      </w:r>
      <w:r w:rsidRPr="003B2D46">
        <w:t>implemented to support knowledge management by disseminating content and learnings to internal and external stakeholders and awareness of the role of the IAP and of the GEF in driving sector progress toward reduced deforestation from commodity production.</w:t>
      </w:r>
      <w:r>
        <w:t xml:space="preserve"> </w:t>
      </w:r>
      <w:r w:rsidRPr="003B2D46">
        <w:t>A dedicated Communications Lead w</w:t>
      </w:r>
      <w:r>
        <w:t xml:space="preserve">as in charge to </w:t>
      </w:r>
      <w:r w:rsidRPr="003B2D46">
        <w:t xml:space="preserve">develop the </w:t>
      </w:r>
      <w:r w:rsidRPr="00605EBA">
        <w:rPr>
          <w:spacing w:val="-2"/>
        </w:rPr>
        <w:t xml:space="preserve">IAP </w:t>
      </w:r>
      <w:r w:rsidRPr="003B2D46">
        <w:t xml:space="preserve">brand identity and guidelines for use, create Program-level assets such as an </w:t>
      </w:r>
      <w:r w:rsidRPr="00605EBA">
        <w:rPr>
          <w:spacing w:val="-2"/>
        </w:rPr>
        <w:t xml:space="preserve">IAP </w:t>
      </w:r>
      <w:r w:rsidR="00E51A6F">
        <w:t>brochure and PPT</w:t>
      </w:r>
      <w:r w:rsidRPr="003B2D46">
        <w:t xml:space="preserve">,  </w:t>
      </w:r>
      <w:r w:rsidR="00A50C5E">
        <w:t>fact sheets</w:t>
      </w:r>
      <w:r w:rsidRPr="003B2D46">
        <w:t xml:space="preserve"> and multimedia materials, manage the IAP's digital presence, and organize its presence at key global events and conferences</w:t>
      </w:r>
      <w:r>
        <w:t>.</w:t>
      </w:r>
    </w:p>
    <w:p w14:paraId="62D5AB80" w14:textId="470F43FF" w:rsidR="00285769" w:rsidRDefault="00285769" w:rsidP="00981FE1">
      <w:pPr>
        <w:tabs>
          <w:tab w:val="left" w:pos="1539"/>
          <w:tab w:val="left" w:pos="1540"/>
        </w:tabs>
        <w:spacing w:before="176"/>
        <w:ind w:right="4"/>
        <w:jc w:val="both"/>
      </w:pPr>
      <w:r>
        <w:lastRenderedPageBreak/>
        <w:t>There is a strong presence of the GGP online</w:t>
      </w:r>
      <w:r w:rsidR="00C50292">
        <w:t xml:space="preserve">. Reports show that there has been participation from the public through the different channels and social media. </w:t>
      </w:r>
      <w:r w:rsidR="00FA6AE7">
        <w:t>For example, data captured post GGC 2021</w:t>
      </w:r>
      <w:r w:rsidR="008F07E1">
        <w:t xml:space="preserve"> (May 24-</w:t>
      </w:r>
      <w:r w:rsidR="00F55C2F">
        <w:t>28)</w:t>
      </w:r>
      <w:r w:rsidR="00FA6AE7">
        <w:t xml:space="preserve"> which has been a time with high interaction between audience and website shows the following:</w:t>
      </w:r>
    </w:p>
    <w:p w14:paraId="730F26CF" w14:textId="707B23A0" w:rsidR="00C50292" w:rsidRDefault="00C50292" w:rsidP="00D80344">
      <w:pPr>
        <w:pStyle w:val="NoSpacing"/>
        <w:numPr>
          <w:ilvl w:val="0"/>
          <w:numId w:val="65"/>
        </w:numPr>
      </w:pPr>
      <w:r w:rsidRPr="00D87950">
        <w:t xml:space="preserve">GGP website: </w:t>
      </w:r>
      <w:hyperlink r:id="rId17" w:history="1">
        <w:r w:rsidR="00A12835" w:rsidRPr="0077208A">
          <w:rPr>
            <w:rStyle w:val="Hyperlink"/>
          </w:rPr>
          <w:t>http://goodgrowthpartnership.com/</w:t>
        </w:r>
      </w:hyperlink>
      <w:r w:rsidRPr="00D87950">
        <w:t xml:space="preserve"> </w:t>
      </w:r>
    </w:p>
    <w:p w14:paraId="2750C6D1" w14:textId="1AA65BF3" w:rsidR="00C50292" w:rsidRDefault="00C50292" w:rsidP="00D80344">
      <w:pPr>
        <w:pStyle w:val="NoSpacing"/>
        <w:numPr>
          <w:ilvl w:val="1"/>
          <w:numId w:val="65"/>
        </w:numPr>
        <w:jc w:val="both"/>
      </w:pPr>
      <w:r>
        <w:t>Website Interactions</w:t>
      </w:r>
      <w:r w:rsidR="008F07E1">
        <w:t xml:space="preserve"> (</w:t>
      </w:r>
      <w:r w:rsidR="008F07E1" w:rsidRPr="008F07E1">
        <w:t>from May, 6 to May, 28 2021</w:t>
      </w:r>
      <w:r w:rsidR="008F07E1">
        <w:t>)</w:t>
      </w:r>
      <w:r>
        <w:t>: 1,751 visits, 695 users, 486 visits to GGC 2021 page (27.76% of total traffic</w:t>
      </w:r>
      <w:r w:rsidR="001D43C1">
        <w:t xml:space="preserve"> to the website</w:t>
      </w:r>
      <w:r>
        <w:t xml:space="preserve">) </w:t>
      </w:r>
    </w:p>
    <w:p w14:paraId="60E7FDE4" w14:textId="77777777" w:rsidR="00C50292" w:rsidRDefault="00C50292" w:rsidP="00D80344">
      <w:pPr>
        <w:pStyle w:val="NoSpacing"/>
        <w:numPr>
          <w:ilvl w:val="0"/>
          <w:numId w:val="65"/>
        </w:numPr>
        <w:jc w:val="both"/>
      </w:pPr>
      <w:r>
        <w:t>Social Media:</w:t>
      </w:r>
    </w:p>
    <w:p w14:paraId="3F03F5FC" w14:textId="7EAC8A67" w:rsidR="00C50292" w:rsidRDefault="006D7FD6" w:rsidP="00D80344">
      <w:pPr>
        <w:pStyle w:val="NoSpacing"/>
        <w:numPr>
          <w:ilvl w:val="1"/>
          <w:numId w:val="65"/>
        </w:numPr>
        <w:jc w:val="both"/>
      </w:pPr>
      <w:hyperlink r:id="rId18" w:history="1">
        <w:r w:rsidR="00C50292" w:rsidRPr="006B507A">
          <w:rPr>
            <w:rStyle w:val="Hyperlink"/>
          </w:rPr>
          <w:t>Twitter</w:t>
        </w:r>
      </w:hyperlink>
      <w:r w:rsidR="00C50292">
        <w:t xml:space="preserve">: 29 Tweets / 8,233 Tweet impressions </w:t>
      </w:r>
      <w:r w:rsidR="00164BE4">
        <w:t>(</w:t>
      </w:r>
      <w:r w:rsidR="00C50292">
        <w:t>+212.1%</w:t>
      </w:r>
      <w:r w:rsidR="00164BE4">
        <w:t>*)</w:t>
      </w:r>
      <w:r w:rsidR="00C50292">
        <w:t xml:space="preserve"> / 2,566 Profile visits </w:t>
      </w:r>
      <w:r w:rsidR="00164BE4">
        <w:t>(</w:t>
      </w:r>
      <w:r w:rsidR="00C50292">
        <w:t>+346.4%</w:t>
      </w:r>
      <w:r w:rsidR="00164BE4">
        <w:t>*)</w:t>
      </w:r>
      <w:r w:rsidR="00C50292">
        <w:t xml:space="preserve"> / 10 mentions </w:t>
      </w:r>
      <w:r w:rsidR="00164BE4">
        <w:t>(</w:t>
      </w:r>
      <w:r w:rsidR="00C50292">
        <w:t>+400%</w:t>
      </w:r>
      <w:r w:rsidR="00164BE4">
        <w:t>*)</w:t>
      </w:r>
      <w:r w:rsidR="00C50292">
        <w:t xml:space="preserve"> /1,573 Followers </w:t>
      </w:r>
      <w:r w:rsidR="00164BE4">
        <w:t>(</w:t>
      </w:r>
      <w:r w:rsidR="00C50292">
        <w:t>+8%</w:t>
      </w:r>
      <w:r w:rsidR="00164BE4">
        <w:t>*)</w:t>
      </w:r>
      <w:r w:rsidR="00C50292">
        <w:t xml:space="preserve"> / 79 Engagement</w:t>
      </w:r>
    </w:p>
    <w:p w14:paraId="16009C71" w14:textId="6FCC5C4D" w:rsidR="00C50292" w:rsidRDefault="00164BE4" w:rsidP="00D80344">
      <w:pPr>
        <w:pStyle w:val="NoSpacing"/>
        <w:numPr>
          <w:ilvl w:val="1"/>
          <w:numId w:val="65"/>
        </w:numPr>
        <w:jc w:val="both"/>
      </w:pPr>
      <w:r w:rsidRPr="00164BE4">
        <w:t>*Increase from the previous 30 days</w:t>
      </w:r>
      <w:hyperlink r:id="rId19" w:history="1">
        <w:r w:rsidR="00C50292" w:rsidRPr="003957AD">
          <w:rPr>
            <w:rStyle w:val="Hyperlink"/>
          </w:rPr>
          <w:t>LinkedIn</w:t>
        </w:r>
      </w:hyperlink>
      <w:r w:rsidR="00C50292">
        <w:t>: 1,5K Post Impressions / 292 Page Views / 86 Reactions / 80 Followers / 20% Engagement Rate during the conference</w:t>
      </w:r>
    </w:p>
    <w:p w14:paraId="6B9CFE05" w14:textId="77777777" w:rsidR="00C001A4" w:rsidRPr="00C001A4" w:rsidRDefault="00C001A4" w:rsidP="00C001A4">
      <w:pPr>
        <w:pStyle w:val="NoSpacing"/>
        <w:ind w:left="1494"/>
        <w:jc w:val="both"/>
      </w:pPr>
      <w:r w:rsidRPr="00C001A4">
        <w:t>Impressions: total views of a tweet/post</w:t>
      </w:r>
    </w:p>
    <w:p w14:paraId="00C9F2B1" w14:textId="77777777" w:rsidR="00C001A4" w:rsidRPr="00C001A4" w:rsidRDefault="00C001A4" w:rsidP="00C001A4">
      <w:pPr>
        <w:pStyle w:val="NoSpacing"/>
        <w:ind w:left="1494"/>
        <w:jc w:val="both"/>
      </w:pPr>
      <w:r w:rsidRPr="00C001A4">
        <w:t>Engagement:The total number of interactions (retweets, replies, likes and shares)</w:t>
      </w:r>
    </w:p>
    <w:p w14:paraId="1650B67D" w14:textId="0DFDDEA7" w:rsidR="00DD7135" w:rsidRDefault="00C001A4" w:rsidP="00981FE1">
      <w:pPr>
        <w:tabs>
          <w:tab w:val="left" w:pos="1539"/>
          <w:tab w:val="left" w:pos="1540"/>
        </w:tabs>
        <w:spacing w:before="176"/>
        <w:ind w:right="4"/>
        <w:jc w:val="both"/>
      </w:pPr>
      <w:r w:rsidRPr="00C001A4">
        <w:t>Engagement Rate: Engagement rate across updates in the specified time range.  (Clicks + Likes + Comments + Shares + Follows) / Impressions</w:t>
      </w:r>
      <w:r w:rsidR="00F86C07">
        <w:t xml:space="preserve">Finding 27: A communications strategy was implemented. </w:t>
      </w:r>
      <w:r w:rsidR="00A55F58">
        <w:t xml:space="preserve">This was limited to general public awareness on digital media, programming of publications, etc. </w:t>
      </w:r>
      <w:r w:rsidR="009A5AF4">
        <w:t xml:space="preserve">All of high quality. </w:t>
      </w:r>
      <w:r w:rsidR="00DD7135">
        <w:t xml:space="preserve">Communications were not responsive to  a given problem identified as responsive to comments.  </w:t>
      </w:r>
    </w:p>
    <w:p w14:paraId="7DD51838" w14:textId="4A1331EC" w:rsidR="00C50292" w:rsidRDefault="00DD7135" w:rsidP="00981FE1">
      <w:pPr>
        <w:tabs>
          <w:tab w:val="left" w:pos="1539"/>
          <w:tab w:val="left" w:pos="1540"/>
        </w:tabs>
        <w:spacing w:before="176"/>
        <w:ind w:right="4"/>
        <w:jc w:val="both"/>
      </w:pPr>
      <w:r>
        <w:t>Conclusion</w:t>
      </w:r>
      <w:r w:rsidR="009A5AF4">
        <w:t xml:space="preserve"> 24: </w:t>
      </w:r>
      <w:r>
        <w:t xml:space="preserve"> </w:t>
      </w:r>
      <w:r w:rsidR="00F86C07">
        <w:t>The strategy was however not strategic in the sense that it did not analyze problems that were responsive to communication</w:t>
      </w:r>
      <w:r w:rsidR="009A5AF4">
        <w:t>s</w:t>
      </w:r>
      <w:r w:rsidR="00F86C07">
        <w:t xml:space="preserve"> and then execute on them.  The communications </w:t>
      </w:r>
      <w:r w:rsidR="0026381C">
        <w:t>observed</w:t>
      </w:r>
      <w:r w:rsidR="00F86C07">
        <w:t xml:space="preserve"> were adequate for developing </w:t>
      </w:r>
      <w:r w:rsidR="0026381C">
        <w:t xml:space="preserve">generalized </w:t>
      </w:r>
      <w:r w:rsidR="00F86C07">
        <w:t>public awareness at large</w:t>
      </w:r>
      <w:r w:rsidR="00A55F58">
        <w:t xml:space="preserve"> or for programming publications</w:t>
      </w:r>
      <w:r w:rsidR="00F86C07">
        <w:t>. Without targeting to a specifi audience</w:t>
      </w:r>
      <w:r w:rsidR="0026381C">
        <w:t xml:space="preserve"> and problem</w:t>
      </w:r>
      <w:r w:rsidR="00F86C07">
        <w:t>,</w:t>
      </w:r>
      <w:r w:rsidR="00A55F58">
        <w:t xml:space="preserve"> </w:t>
      </w:r>
      <w:r w:rsidR="00F86C07">
        <w:t xml:space="preserve"> </w:t>
      </w:r>
    </w:p>
    <w:p w14:paraId="5D6F046C" w14:textId="6612D797" w:rsidR="00CC61CF" w:rsidRDefault="00CC61CF" w:rsidP="00981FE1">
      <w:pPr>
        <w:tabs>
          <w:tab w:val="left" w:pos="1539"/>
          <w:tab w:val="left" w:pos="1540"/>
        </w:tabs>
        <w:spacing w:before="176"/>
        <w:ind w:right="4"/>
        <w:jc w:val="both"/>
      </w:pPr>
      <w:r>
        <w:t xml:space="preserve">Recommendation (13): </w:t>
      </w:r>
      <w:r w:rsidRPr="00CC61CF">
        <w:t>Use communications strategically to assist, for example, the approval of national policies, change in tactics of key stakeholders, etc. A communications plan for A&amp;L could embrace all child projects and the global audience.</w:t>
      </w:r>
    </w:p>
    <w:p w14:paraId="3A76F8FB" w14:textId="77777777" w:rsidR="00CC61CF" w:rsidRDefault="00CC61CF" w:rsidP="00285769">
      <w:pPr>
        <w:tabs>
          <w:tab w:val="left" w:pos="1539"/>
          <w:tab w:val="left" w:pos="1540"/>
        </w:tabs>
        <w:spacing w:before="176"/>
        <w:ind w:right="408"/>
      </w:pPr>
    </w:p>
    <w:p w14:paraId="33B333D7" w14:textId="2F5A7F3A" w:rsidR="00BE11CE" w:rsidRPr="00BE11CE" w:rsidRDefault="00BE11CE" w:rsidP="00D80344">
      <w:pPr>
        <w:pStyle w:val="Heading3"/>
        <w:numPr>
          <w:ilvl w:val="2"/>
          <w:numId w:val="9"/>
        </w:numPr>
        <w:rPr>
          <w:sz w:val="22"/>
          <w:szCs w:val="22"/>
        </w:rPr>
      </w:pPr>
      <w:bookmarkStart w:id="54" w:name="_Toc96772489"/>
      <w:r w:rsidRPr="00BE11CE">
        <w:rPr>
          <w:sz w:val="22"/>
          <w:szCs w:val="22"/>
        </w:rPr>
        <w:t>Project Finance and Co-finance</w:t>
      </w:r>
      <w:bookmarkStart w:id="55" w:name="_Hlk88157074"/>
      <w:bookmarkEnd w:id="54"/>
    </w:p>
    <w:bookmarkEnd w:id="55"/>
    <w:p w14:paraId="7CD891BF" w14:textId="4BD70B1D" w:rsidR="00BE11CE" w:rsidRDefault="00BE11CE" w:rsidP="00BE11CE"/>
    <w:p w14:paraId="6C1A9400" w14:textId="1A87A1C5" w:rsidR="003B2739" w:rsidRDefault="003B2739" w:rsidP="003B2739">
      <w:pPr>
        <w:jc w:val="both"/>
      </w:pPr>
      <w:r w:rsidRPr="00C00A92">
        <w:t xml:space="preserve">The total </w:t>
      </w:r>
      <w:r>
        <w:t>value</w:t>
      </w:r>
      <w:r w:rsidRPr="00C00A92">
        <w:t xml:space="preserve"> of the project </w:t>
      </w:r>
      <w:r>
        <w:t xml:space="preserve">was </w:t>
      </w:r>
      <w:r w:rsidR="002D7C60">
        <w:t>$</w:t>
      </w:r>
      <w:r w:rsidR="006F7969">
        <w:t>9,245,328</w:t>
      </w:r>
      <w:r w:rsidR="002D4CDA">
        <w:t xml:space="preserve"> </w:t>
      </w:r>
      <w:r>
        <w:t>U.S. at CEO endorsement.</w:t>
      </w:r>
      <w:r w:rsidR="00982671">
        <w:t xml:space="preserve"> </w:t>
      </w:r>
      <w:r w:rsidR="00982671" w:rsidRPr="00AC41DE">
        <w:rPr>
          <w:rFonts w:asciiTheme="minorHAnsi" w:hAnsiTheme="minorHAnsi" w:cstheme="minorHAnsi"/>
        </w:rPr>
        <w:t>At the Terminal Evaluation</w:t>
      </w:r>
      <w:r w:rsidR="00982671">
        <w:rPr>
          <w:rFonts w:asciiTheme="minorHAnsi" w:hAnsiTheme="minorHAnsi" w:cstheme="minorHAnsi"/>
        </w:rPr>
        <w:t xml:space="preserve"> (December 2021)</w:t>
      </w:r>
      <w:r w:rsidR="00982671" w:rsidRPr="00AC41DE">
        <w:rPr>
          <w:rFonts w:asciiTheme="minorHAnsi" w:hAnsiTheme="minorHAnsi" w:cstheme="minorHAnsi"/>
        </w:rPr>
        <w:t>, the total project value was</w:t>
      </w:r>
      <w:r w:rsidR="00982671">
        <w:rPr>
          <w:rFonts w:asciiTheme="minorHAnsi" w:hAnsiTheme="minorHAnsi" w:cstheme="minorHAnsi"/>
        </w:rPr>
        <w:t xml:space="preserve"> $10,379,247 U.S.</w:t>
      </w:r>
      <w:r w:rsidR="00982671" w:rsidRPr="00AC41DE">
        <w:rPr>
          <w:rFonts w:asciiTheme="minorHAnsi" w:hAnsiTheme="minorHAnsi" w:cstheme="minorHAnsi"/>
        </w:rPr>
        <w:t xml:space="preserve"> with </w:t>
      </w:r>
      <w:r w:rsidR="00982671">
        <w:rPr>
          <w:rFonts w:asciiTheme="minorHAnsi" w:hAnsiTheme="minorHAnsi" w:cstheme="minorHAnsi"/>
        </w:rPr>
        <w:t>an execution of 92% of the GEF Trust Fund contribution (</w:t>
      </w:r>
      <w:r w:rsidR="00982671" w:rsidRPr="00AC41DE">
        <w:rPr>
          <w:rFonts w:asciiTheme="minorHAnsi" w:hAnsiTheme="minorHAnsi" w:cstheme="minorHAnsi"/>
        </w:rPr>
        <w:t>$</w:t>
      </w:r>
      <w:r w:rsidR="00982671">
        <w:rPr>
          <w:rFonts w:asciiTheme="minorHAnsi" w:hAnsiTheme="minorHAnsi" w:cstheme="minorHAnsi"/>
        </w:rPr>
        <w:t>3,644,553</w:t>
      </w:r>
      <w:r w:rsidR="00982671" w:rsidRPr="00AC41DE">
        <w:rPr>
          <w:rFonts w:asciiTheme="minorHAnsi" w:hAnsiTheme="minorHAnsi" w:cstheme="minorHAnsi"/>
        </w:rPr>
        <w:t xml:space="preserve"> U.S. </w:t>
      </w:r>
      <w:r w:rsidR="00982671">
        <w:rPr>
          <w:rFonts w:asciiTheme="minorHAnsi" w:hAnsiTheme="minorHAnsi" w:cstheme="minorHAnsi"/>
        </w:rPr>
        <w:t xml:space="preserve">total execution: </w:t>
      </w:r>
      <w:r w:rsidR="00982671" w:rsidRPr="00AC41DE">
        <w:rPr>
          <w:rFonts w:asciiTheme="minorHAnsi" w:hAnsiTheme="minorHAnsi" w:cstheme="minorHAnsi"/>
        </w:rPr>
        <w:t>$</w:t>
      </w:r>
      <w:r w:rsidR="00982671">
        <w:rPr>
          <w:rFonts w:asciiTheme="minorHAnsi" w:hAnsiTheme="minorHAnsi" w:cstheme="minorHAnsi"/>
        </w:rPr>
        <w:t>2,415,237</w:t>
      </w:r>
      <w:r w:rsidR="00982671" w:rsidRPr="00AC41DE">
        <w:rPr>
          <w:rFonts w:asciiTheme="minorHAnsi" w:hAnsiTheme="minorHAnsi" w:cstheme="minorHAnsi"/>
        </w:rPr>
        <w:t xml:space="preserve"> UNDP</w:t>
      </w:r>
      <w:r w:rsidR="00982671">
        <w:rPr>
          <w:rFonts w:asciiTheme="minorHAnsi" w:hAnsiTheme="minorHAnsi" w:cstheme="minorHAnsi"/>
        </w:rPr>
        <w:t xml:space="preserve"> plus</w:t>
      </w:r>
      <w:r w:rsidR="00982671" w:rsidRPr="00AC41DE">
        <w:rPr>
          <w:rFonts w:asciiTheme="minorHAnsi" w:hAnsiTheme="minorHAnsi" w:cstheme="minorHAnsi"/>
        </w:rPr>
        <w:t xml:space="preserve"> $1,229,316 WWF) and total co- financing of $6,714,696 U.S</w:t>
      </w:r>
      <w:r w:rsidR="00982671">
        <w:rPr>
          <w:rFonts w:asciiTheme="minorHAnsi" w:hAnsiTheme="minorHAnsi" w:cstheme="minorHAnsi"/>
        </w:rPr>
        <w:t xml:space="preserve"> </w:t>
      </w:r>
      <w:bookmarkStart w:id="56" w:name="_Hlk96793290"/>
      <w:r w:rsidR="00F322ED">
        <w:t xml:space="preserve">. </w:t>
      </w:r>
      <w:bookmarkEnd w:id="56"/>
      <w:r w:rsidR="00F322ED">
        <w:t xml:space="preserve">See Table </w:t>
      </w:r>
      <w:r w:rsidR="00405B8E">
        <w:t>5</w:t>
      </w:r>
      <w:r w:rsidR="00F322ED">
        <w:t xml:space="preserve"> and </w:t>
      </w:r>
      <w:hyperlink w:anchor="_Annex_16._Cofinancing" w:history="1">
        <w:r w:rsidR="00F322ED" w:rsidRPr="00F322ED">
          <w:rPr>
            <w:rStyle w:val="Hyperlink"/>
          </w:rPr>
          <w:t>Annex 16</w:t>
        </w:r>
      </w:hyperlink>
      <w:r w:rsidR="00F322ED">
        <w:t xml:space="preserve"> for a full cofinancing chart.</w:t>
      </w:r>
    </w:p>
    <w:p w14:paraId="25A0CE21" w14:textId="6EAC35B2" w:rsidR="00603304" w:rsidRDefault="00603304" w:rsidP="00603304">
      <w:pPr>
        <w:jc w:val="both"/>
      </w:pPr>
      <w:r w:rsidRPr="00C00A92">
        <w:t xml:space="preserve">UNDP, as one of the two GEF Implementing Agencies for this child project, </w:t>
      </w:r>
      <w:r>
        <w:t>was</w:t>
      </w:r>
      <w:r w:rsidRPr="00C00A92">
        <w:t xml:space="preserve"> responsible for the execution of the GEF</w:t>
      </w:r>
      <w:r w:rsidRPr="00C00A92">
        <w:rPr>
          <w:spacing w:val="-28"/>
        </w:rPr>
        <w:t xml:space="preserve"> </w:t>
      </w:r>
      <w:r w:rsidRPr="00C00A92">
        <w:t>resources and the cash co-financing transferred to UNDP bank account only. WWF manage</w:t>
      </w:r>
      <w:r>
        <w:t>d</w:t>
      </w:r>
      <w:r w:rsidRPr="00C00A92">
        <w:t xml:space="preserve"> GEF resources and cash-co-financing transferred to WWF.</w:t>
      </w:r>
      <w:r>
        <w:t xml:space="preserve"> The following table shows the A&amp;L Project Overall Finance and Co-Finance</w:t>
      </w:r>
    </w:p>
    <w:p w14:paraId="5CFD1645" w14:textId="4E14FFA4" w:rsidR="00A12A26" w:rsidRDefault="00A12A26" w:rsidP="00603304">
      <w:pPr>
        <w:jc w:val="both"/>
      </w:pPr>
    </w:p>
    <w:p w14:paraId="16A025B3" w14:textId="2FF2C2EF" w:rsidR="00A12A26" w:rsidRDefault="00A12A26" w:rsidP="00603304">
      <w:pPr>
        <w:jc w:val="both"/>
      </w:pPr>
    </w:p>
    <w:p w14:paraId="0F2D0F76" w14:textId="77777777" w:rsidR="00A12A26" w:rsidRDefault="00A12A26" w:rsidP="00603304">
      <w:pPr>
        <w:jc w:val="both"/>
      </w:pPr>
    </w:p>
    <w:p w14:paraId="1BD3B6FB" w14:textId="29B9BB1C" w:rsidR="00603304" w:rsidRDefault="00603304" w:rsidP="00FD2707">
      <w:pPr>
        <w:spacing w:after="0" w:line="240" w:lineRule="auto"/>
        <w:jc w:val="both"/>
      </w:pPr>
      <w:r>
        <w:lastRenderedPageBreak/>
        <w:t>Table</w:t>
      </w:r>
      <w:r w:rsidR="00C10C69">
        <w:t xml:space="preserve"> 5</w:t>
      </w:r>
      <w:r>
        <w:t xml:space="preserve">   :</w:t>
      </w:r>
      <w:r w:rsidR="00FD2707">
        <w:t xml:space="preserve">Total Project Financing </w:t>
      </w:r>
    </w:p>
    <w:p w14:paraId="554BF743" w14:textId="1A3A1926" w:rsidR="00A12A26" w:rsidRDefault="00A12A26" w:rsidP="00FD2707">
      <w:pPr>
        <w:spacing w:after="0" w:line="240" w:lineRule="auto"/>
        <w:jc w:val="both"/>
      </w:pPr>
    </w:p>
    <w:tbl>
      <w:tblPr>
        <w:tblW w:w="7560" w:type="dxa"/>
        <w:tblCellMar>
          <w:left w:w="70" w:type="dxa"/>
          <w:right w:w="70" w:type="dxa"/>
        </w:tblCellMar>
        <w:tblLook w:val="04A0" w:firstRow="1" w:lastRow="0" w:firstColumn="1" w:lastColumn="0" w:noHBand="0" w:noVBand="1"/>
      </w:tblPr>
      <w:tblGrid>
        <w:gridCol w:w="3320"/>
        <w:gridCol w:w="1800"/>
        <w:gridCol w:w="2440"/>
      </w:tblGrid>
      <w:tr w:rsidR="00A12A26" w:rsidRPr="00A12A26" w14:paraId="299FC5F2" w14:textId="77777777" w:rsidTr="00A12A26">
        <w:trPr>
          <w:trHeight w:val="20"/>
        </w:trPr>
        <w:tc>
          <w:tcPr>
            <w:tcW w:w="3320" w:type="dxa"/>
            <w:tcBorders>
              <w:top w:val="single" w:sz="8" w:space="0" w:color="000000"/>
              <w:left w:val="single" w:sz="8" w:space="0" w:color="000000"/>
              <w:bottom w:val="single" w:sz="8" w:space="0" w:color="000000"/>
              <w:right w:val="single" w:sz="8" w:space="0" w:color="000000"/>
            </w:tcBorders>
            <w:shd w:val="clear" w:color="000000" w:fill="D5DCE4"/>
            <w:vAlign w:val="center"/>
            <w:hideMark/>
          </w:tcPr>
          <w:p w14:paraId="10B42B00" w14:textId="77777777" w:rsidR="00A12A26" w:rsidRPr="00A12A26" w:rsidRDefault="00A12A26" w:rsidP="00A12A2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rPr>
              <w:t>Project Financing</w:t>
            </w:r>
          </w:p>
        </w:tc>
        <w:tc>
          <w:tcPr>
            <w:tcW w:w="1800" w:type="dxa"/>
            <w:tcBorders>
              <w:top w:val="single" w:sz="8" w:space="0" w:color="000000"/>
              <w:left w:val="nil"/>
              <w:bottom w:val="single" w:sz="8" w:space="0" w:color="000000"/>
              <w:right w:val="single" w:sz="8" w:space="0" w:color="auto"/>
            </w:tcBorders>
            <w:shd w:val="clear" w:color="000000" w:fill="D5DCE4"/>
            <w:vAlign w:val="center"/>
            <w:hideMark/>
          </w:tcPr>
          <w:p w14:paraId="6AE25B3D" w14:textId="77777777" w:rsidR="00A12A26" w:rsidRPr="00A12A26" w:rsidRDefault="00A12A26" w:rsidP="00A12A26">
            <w:pPr>
              <w:spacing w:after="0" w:line="240" w:lineRule="auto"/>
              <w:ind w:firstLineChars="100" w:firstLine="180"/>
              <w:jc w:val="right"/>
              <w:rPr>
                <w:rFonts w:eastAsia="Times New Roman"/>
                <w:i/>
                <w:iCs/>
                <w:color w:val="000000"/>
                <w:sz w:val="18"/>
                <w:szCs w:val="18"/>
                <w:lang w:val="es-ES"/>
              </w:rPr>
            </w:pPr>
            <w:r w:rsidRPr="00A12A26">
              <w:rPr>
                <w:rFonts w:eastAsia="Times New Roman"/>
                <w:i/>
                <w:iCs/>
                <w:color w:val="000000"/>
                <w:sz w:val="18"/>
                <w:szCs w:val="18"/>
              </w:rPr>
              <w:t>At CEO endorsement (US$)</w:t>
            </w:r>
          </w:p>
        </w:tc>
        <w:tc>
          <w:tcPr>
            <w:tcW w:w="2440" w:type="dxa"/>
            <w:tcBorders>
              <w:top w:val="single" w:sz="8" w:space="0" w:color="000000"/>
              <w:left w:val="nil"/>
              <w:bottom w:val="single" w:sz="8" w:space="0" w:color="000000"/>
              <w:right w:val="single" w:sz="8" w:space="0" w:color="000000"/>
            </w:tcBorders>
            <w:shd w:val="clear" w:color="000000" w:fill="D5DCE4"/>
            <w:vAlign w:val="center"/>
            <w:hideMark/>
          </w:tcPr>
          <w:p w14:paraId="08D334DD" w14:textId="7A0EA52B" w:rsidR="00A12A26" w:rsidRPr="00A12A26" w:rsidRDefault="00A12A26" w:rsidP="00A12A26">
            <w:pPr>
              <w:spacing w:after="0" w:line="240" w:lineRule="auto"/>
              <w:ind w:firstLineChars="100" w:firstLine="180"/>
              <w:jc w:val="right"/>
              <w:rPr>
                <w:rFonts w:eastAsia="Times New Roman"/>
                <w:i/>
                <w:iCs/>
                <w:color w:val="000000"/>
                <w:sz w:val="18"/>
                <w:szCs w:val="18"/>
                <w:lang w:val="es-ES"/>
              </w:rPr>
            </w:pPr>
            <w:r w:rsidRPr="00A12A26">
              <w:rPr>
                <w:rFonts w:eastAsia="Times New Roman"/>
                <w:i/>
                <w:iCs/>
                <w:color w:val="000000"/>
                <w:sz w:val="18"/>
                <w:szCs w:val="18"/>
              </w:rPr>
              <w:t>At Terminal Evaluation (US$</w:t>
            </w:r>
            <w:r w:rsidR="00660679">
              <w:rPr>
                <w:rStyle w:val="FootnoteReference"/>
                <w:rFonts w:eastAsia="Times New Roman"/>
                <w:i/>
                <w:iCs/>
                <w:color w:val="000000"/>
                <w:sz w:val="18"/>
                <w:szCs w:val="18"/>
              </w:rPr>
              <w:footnoteReference w:id="5"/>
            </w:r>
            <w:r w:rsidRPr="00A12A26">
              <w:rPr>
                <w:rFonts w:eastAsia="Times New Roman"/>
                <w:i/>
                <w:iCs/>
                <w:color w:val="000000"/>
                <w:sz w:val="18"/>
                <w:szCs w:val="18"/>
              </w:rPr>
              <w:t>)</w:t>
            </w:r>
          </w:p>
        </w:tc>
      </w:tr>
      <w:tr w:rsidR="00A12A26" w:rsidRPr="00A12A26" w14:paraId="5771BF78" w14:textId="77777777" w:rsidTr="00A12A26">
        <w:trPr>
          <w:trHeight w:val="20"/>
        </w:trPr>
        <w:tc>
          <w:tcPr>
            <w:tcW w:w="3320" w:type="dxa"/>
            <w:tcBorders>
              <w:top w:val="nil"/>
              <w:left w:val="single" w:sz="8" w:space="0" w:color="000000"/>
              <w:bottom w:val="nil"/>
              <w:right w:val="single" w:sz="8" w:space="0" w:color="000000"/>
            </w:tcBorders>
            <w:shd w:val="clear" w:color="auto" w:fill="auto"/>
            <w:vAlign w:val="center"/>
            <w:hideMark/>
          </w:tcPr>
          <w:p w14:paraId="7179AF93" w14:textId="77777777"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[1] GEF financing: ($2,749,124 UNDP; $1,229,317 WWF)</w:t>
            </w:r>
          </w:p>
        </w:tc>
        <w:tc>
          <w:tcPr>
            <w:tcW w:w="1800" w:type="dxa"/>
            <w:tcBorders>
              <w:top w:val="nil"/>
              <w:left w:val="nil"/>
              <w:bottom w:val="nil"/>
              <w:right w:val="single" w:sz="8" w:space="0" w:color="000000"/>
            </w:tcBorders>
            <w:shd w:val="clear" w:color="auto" w:fill="auto"/>
            <w:vAlign w:val="center"/>
            <w:hideMark/>
          </w:tcPr>
          <w:p w14:paraId="6451925C" w14:textId="545DE721"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3,978,441.00 </w:t>
            </w:r>
          </w:p>
        </w:tc>
        <w:tc>
          <w:tcPr>
            <w:tcW w:w="2440" w:type="dxa"/>
            <w:tcBorders>
              <w:top w:val="nil"/>
              <w:left w:val="nil"/>
              <w:bottom w:val="nil"/>
              <w:right w:val="single" w:sz="8" w:space="0" w:color="000000"/>
            </w:tcBorders>
            <w:shd w:val="clear" w:color="auto" w:fill="auto"/>
            <w:vAlign w:val="center"/>
            <w:hideMark/>
          </w:tcPr>
          <w:p w14:paraId="06030820" w14:textId="5F94EAA5" w:rsidR="003C7D9E" w:rsidRDefault="00A12A26" w:rsidP="00A12A26">
            <w:pPr>
              <w:spacing w:after="0" w:line="240" w:lineRule="auto"/>
              <w:ind w:firstLineChars="100" w:firstLine="180"/>
              <w:jc w:val="right"/>
              <w:rPr>
                <w:rFonts w:eastAsia="Times New Roman"/>
                <w:color w:val="000000"/>
                <w:sz w:val="18"/>
                <w:szCs w:val="18"/>
              </w:rPr>
            </w:pPr>
            <w:r w:rsidRPr="00A12A26">
              <w:rPr>
                <w:rFonts w:eastAsia="Times New Roman"/>
                <w:color w:val="000000"/>
                <w:sz w:val="18"/>
                <w:szCs w:val="18"/>
              </w:rPr>
              <w:t xml:space="preserve">                         </w:t>
            </w:r>
          </w:p>
          <w:p w14:paraId="2868CC48" w14:textId="6EFA94E1" w:rsidR="00A12A26" w:rsidRPr="00A12A26" w:rsidRDefault="003C7D9E" w:rsidP="00A12A26">
            <w:pPr>
              <w:spacing w:after="0" w:line="240" w:lineRule="auto"/>
              <w:ind w:firstLineChars="100" w:firstLine="180"/>
              <w:jc w:val="right"/>
              <w:rPr>
                <w:rFonts w:eastAsia="Times New Roman"/>
                <w:color w:val="000000"/>
                <w:sz w:val="18"/>
                <w:szCs w:val="18"/>
                <w:lang w:val="es-ES"/>
              </w:rPr>
            </w:pPr>
            <w:r>
              <w:rPr>
                <w:rFonts w:eastAsia="Times New Roman"/>
                <w:color w:val="000000"/>
                <w:sz w:val="18"/>
                <w:szCs w:val="18"/>
              </w:rPr>
              <w:t>3,644,553.00</w:t>
            </w:r>
          </w:p>
        </w:tc>
      </w:tr>
      <w:tr w:rsidR="00A12A26" w:rsidRPr="00A12A26" w14:paraId="016BC34D" w14:textId="77777777" w:rsidTr="00A12A26">
        <w:trPr>
          <w:trHeight w:val="20"/>
        </w:trPr>
        <w:tc>
          <w:tcPr>
            <w:tcW w:w="33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CB4C37" w14:textId="77777777"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[2]UNDP (SECO) contribution:</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14:paraId="2F37A9DB" w14:textId="3217F382"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1,146,887.00 </w:t>
            </w:r>
          </w:p>
        </w:tc>
        <w:tc>
          <w:tcPr>
            <w:tcW w:w="2440" w:type="dxa"/>
            <w:tcBorders>
              <w:top w:val="single" w:sz="8" w:space="0" w:color="auto"/>
              <w:left w:val="nil"/>
              <w:bottom w:val="single" w:sz="8" w:space="0" w:color="auto"/>
              <w:right w:val="single" w:sz="8" w:space="0" w:color="auto"/>
            </w:tcBorders>
            <w:shd w:val="clear" w:color="auto" w:fill="auto"/>
            <w:vAlign w:val="center"/>
            <w:hideMark/>
          </w:tcPr>
          <w:p w14:paraId="057C022A" w14:textId="76C69720"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671,570.00 </w:t>
            </w:r>
          </w:p>
        </w:tc>
      </w:tr>
      <w:tr w:rsidR="00A12A26" w:rsidRPr="00A12A26" w14:paraId="5E699F65" w14:textId="77777777" w:rsidTr="00A12A26">
        <w:trPr>
          <w:trHeight w:val="20"/>
        </w:trPr>
        <w:tc>
          <w:tcPr>
            <w:tcW w:w="3320" w:type="dxa"/>
            <w:tcBorders>
              <w:top w:val="nil"/>
              <w:left w:val="single" w:sz="8" w:space="0" w:color="auto"/>
              <w:bottom w:val="single" w:sz="8" w:space="0" w:color="auto"/>
              <w:right w:val="single" w:sz="8" w:space="0" w:color="000000"/>
            </w:tcBorders>
            <w:shd w:val="clear" w:color="auto" w:fill="auto"/>
            <w:vAlign w:val="center"/>
            <w:hideMark/>
          </w:tcPr>
          <w:p w14:paraId="1E3023BC" w14:textId="77777777"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[3] Government:</w:t>
            </w:r>
          </w:p>
        </w:tc>
        <w:tc>
          <w:tcPr>
            <w:tcW w:w="1800" w:type="dxa"/>
            <w:tcBorders>
              <w:top w:val="nil"/>
              <w:left w:val="nil"/>
              <w:bottom w:val="single" w:sz="8" w:space="0" w:color="auto"/>
              <w:right w:val="single" w:sz="8" w:space="0" w:color="auto"/>
            </w:tcBorders>
            <w:shd w:val="clear" w:color="auto" w:fill="auto"/>
            <w:vAlign w:val="center"/>
            <w:hideMark/>
          </w:tcPr>
          <w:p w14:paraId="37D7B712" w14:textId="7613D85D"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w:t>
            </w:r>
            <w:r w:rsidR="00640179">
              <w:rPr>
                <w:rFonts w:eastAsia="Times New Roman"/>
                <w:color w:val="000000"/>
                <w:sz w:val="18"/>
                <w:szCs w:val="18"/>
                <w:lang w:val="es-ES"/>
              </w:rPr>
              <w:t>2</w:t>
            </w:r>
            <w:r w:rsidRPr="00A12A26">
              <w:rPr>
                <w:rFonts w:eastAsia="Times New Roman"/>
                <w:color w:val="000000"/>
                <w:sz w:val="18"/>
                <w:szCs w:val="18"/>
                <w:lang w:val="es-ES"/>
              </w:rPr>
              <w:t>,</w:t>
            </w:r>
            <w:r w:rsidR="00640179">
              <w:rPr>
                <w:rFonts w:eastAsia="Times New Roman"/>
                <w:color w:val="000000"/>
                <w:sz w:val="18"/>
                <w:szCs w:val="18"/>
                <w:lang w:val="es-ES"/>
              </w:rPr>
              <w:t>3</w:t>
            </w:r>
            <w:r w:rsidR="00640179" w:rsidRPr="00A12A26">
              <w:rPr>
                <w:rFonts w:eastAsia="Times New Roman"/>
                <w:color w:val="000000"/>
                <w:sz w:val="18"/>
                <w:szCs w:val="18"/>
                <w:lang w:val="es-ES"/>
              </w:rPr>
              <w:t>00</w:t>
            </w:r>
            <w:r w:rsidRPr="00A12A26">
              <w:rPr>
                <w:rFonts w:eastAsia="Times New Roman"/>
                <w:color w:val="000000"/>
                <w:sz w:val="18"/>
                <w:szCs w:val="18"/>
                <w:lang w:val="es-ES"/>
              </w:rPr>
              <w:t xml:space="preserve">,000.00 </w:t>
            </w:r>
          </w:p>
        </w:tc>
        <w:tc>
          <w:tcPr>
            <w:tcW w:w="2440" w:type="dxa"/>
            <w:tcBorders>
              <w:top w:val="nil"/>
              <w:left w:val="nil"/>
              <w:bottom w:val="single" w:sz="8" w:space="0" w:color="auto"/>
              <w:right w:val="single" w:sz="8" w:space="0" w:color="auto"/>
            </w:tcBorders>
            <w:shd w:val="clear" w:color="auto" w:fill="auto"/>
            <w:vAlign w:val="center"/>
            <w:hideMark/>
          </w:tcPr>
          <w:p w14:paraId="6996EF5D" w14:textId="28CA3386"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3,768,159.00 </w:t>
            </w:r>
          </w:p>
        </w:tc>
      </w:tr>
      <w:tr w:rsidR="00A12A26" w:rsidRPr="00A12A26" w14:paraId="0BD0ADFB" w14:textId="77777777" w:rsidTr="00A12A26">
        <w:trPr>
          <w:trHeight w:val="20"/>
        </w:trPr>
        <w:tc>
          <w:tcPr>
            <w:tcW w:w="3320" w:type="dxa"/>
            <w:tcBorders>
              <w:top w:val="nil"/>
              <w:left w:val="single" w:sz="8" w:space="0" w:color="000000"/>
              <w:bottom w:val="nil"/>
              <w:right w:val="single" w:sz="8" w:space="0" w:color="000000"/>
            </w:tcBorders>
            <w:shd w:val="clear" w:color="auto" w:fill="auto"/>
            <w:vAlign w:val="center"/>
            <w:hideMark/>
          </w:tcPr>
          <w:p w14:paraId="1514D304"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(GIZ) -additional (components 1 &amp; 3)</w:t>
            </w:r>
          </w:p>
        </w:tc>
        <w:tc>
          <w:tcPr>
            <w:tcW w:w="1800" w:type="dxa"/>
            <w:tcBorders>
              <w:top w:val="nil"/>
              <w:left w:val="nil"/>
              <w:bottom w:val="nil"/>
              <w:right w:val="single" w:sz="8" w:space="0" w:color="auto"/>
            </w:tcBorders>
            <w:shd w:val="clear" w:color="auto" w:fill="auto"/>
            <w:vAlign w:val="center"/>
            <w:hideMark/>
          </w:tcPr>
          <w:p w14:paraId="5AEFF474" w14:textId="55E15378"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   </w:t>
            </w:r>
          </w:p>
        </w:tc>
        <w:tc>
          <w:tcPr>
            <w:tcW w:w="2440" w:type="dxa"/>
            <w:tcBorders>
              <w:top w:val="nil"/>
              <w:left w:val="nil"/>
              <w:bottom w:val="nil"/>
              <w:right w:val="single" w:sz="8" w:space="0" w:color="auto"/>
            </w:tcBorders>
            <w:shd w:val="clear" w:color="auto" w:fill="auto"/>
            <w:vAlign w:val="center"/>
            <w:hideMark/>
          </w:tcPr>
          <w:p w14:paraId="4281E23A" w14:textId="725805EE"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578,005.00 </w:t>
            </w:r>
          </w:p>
        </w:tc>
      </w:tr>
      <w:tr w:rsidR="00A12A26" w:rsidRPr="00A12A26" w14:paraId="43AA7B92" w14:textId="77777777" w:rsidTr="00A12A26">
        <w:trPr>
          <w:trHeight w:val="20"/>
        </w:trPr>
        <w:tc>
          <w:tcPr>
            <w:tcW w:w="3320" w:type="dxa"/>
            <w:tcBorders>
              <w:top w:val="nil"/>
              <w:left w:val="single" w:sz="8" w:space="0" w:color="000000"/>
              <w:bottom w:val="nil"/>
              <w:right w:val="single" w:sz="8" w:space="0" w:color="000000"/>
            </w:tcBorders>
            <w:shd w:val="clear" w:color="auto" w:fill="auto"/>
            <w:vAlign w:val="center"/>
            <w:hideMark/>
          </w:tcPr>
          <w:p w14:paraId="5FAF20AB"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SECO - additional (component 2)</w:t>
            </w:r>
          </w:p>
        </w:tc>
        <w:tc>
          <w:tcPr>
            <w:tcW w:w="1800" w:type="dxa"/>
            <w:tcBorders>
              <w:top w:val="nil"/>
              <w:left w:val="nil"/>
              <w:bottom w:val="nil"/>
              <w:right w:val="single" w:sz="8" w:space="0" w:color="auto"/>
            </w:tcBorders>
            <w:shd w:val="clear" w:color="auto" w:fill="auto"/>
            <w:vAlign w:val="center"/>
            <w:hideMark/>
          </w:tcPr>
          <w:p w14:paraId="5C851996" w14:textId="726065D0"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w:t>
            </w:r>
            <w:r w:rsidR="006F7969">
              <w:rPr>
                <w:rFonts w:eastAsia="Times New Roman"/>
                <w:color w:val="000000"/>
                <w:sz w:val="18"/>
                <w:szCs w:val="18"/>
              </w:rPr>
              <w:t>800,000</w:t>
            </w:r>
            <w:r w:rsidRPr="00A12A26">
              <w:rPr>
                <w:rFonts w:eastAsia="Times New Roman"/>
                <w:color w:val="000000"/>
                <w:sz w:val="18"/>
                <w:szCs w:val="18"/>
              </w:rPr>
              <w:t xml:space="preserve">   </w:t>
            </w:r>
          </w:p>
        </w:tc>
        <w:tc>
          <w:tcPr>
            <w:tcW w:w="2440" w:type="dxa"/>
            <w:tcBorders>
              <w:top w:val="nil"/>
              <w:left w:val="nil"/>
              <w:bottom w:val="nil"/>
              <w:right w:val="single" w:sz="8" w:space="0" w:color="auto"/>
            </w:tcBorders>
            <w:shd w:val="clear" w:color="auto" w:fill="auto"/>
            <w:vAlign w:val="center"/>
            <w:hideMark/>
          </w:tcPr>
          <w:p w14:paraId="793364AF" w14:textId="7D2C4009"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1,610,077.00 </w:t>
            </w:r>
          </w:p>
        </w:tc>
      </w:tr>
      <w:tr w:rsidR="00A12A26" w:rsidRPr="00A12A26" w14:paraId="7756703C" w14:textId="77777777" w:rsidTr="00A12A26">
        <w:trPr>
          <w:trHeight w:val="20"/>
        </w:trPr>
        <w:tc>
          <w:tcPr>
            <w:tcW w:w="3320" w:type="dxa"/>
            <w:tcBorders>
              <w:top w:val="nil"/>
              <w:left w:val="single" w:sz="8" w:space="0" w:color="000000"/>
              <w:bottom w:val="nil"/>
              <w:right w:val="single" w:sz="8" w:space="0" w:color="000000"/>
            </w:tcBorders>
            <w:shd w:val="clear" w:color="auto" w:fill="auto"/>
            <w:vAlign w:val="center"/>
            <w:hideMark/>
          </w:tcPr>
          <w:p w14:paraId="7E535C63"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DFID (component 2)</w:t>
            </w:r>
          </w:p>
        </w:tc>
        <w:tc>
          <w:tcPr>
            <w:tcW w:w="1800" w:type="dxa"/>
            <w:tcBorders>
              <w:top w:val="nil"/>
              <w:left w:val="nil"/>
              <w:bottom w:val="nil"/>
              <w:right w:val="single" w:sz="8" w:space="0" w:color="auto"/>
            </w:tcBorders>
            <w:shd w:val="clear" w:color="auto" w:fill="auto"/>
            <w:vAlign w:val="center"/>
            <w:hideMark/>
          </w:tcPr>
          <w:p w14:paraId="5F0C45B0" w14:textId="71E1D3AF"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1,500,000.00 </w:t>
            </w:r>
          </w:p>
        </w:tc>
        <w:tc>
          <w:tcPr>
            <w:tcW w:w="2440" w:type="dxa"/>
            <w:tcBorders>
              <w:top w:val="nil"/>
              <w:left w:val="nil"/>
              <w:bottom w:val="nil"/>
              <w:right w:val="single" w:sz="8" w:space="0" w:color="auto"/>
            </w:tcBorders>
            <w:shd w:val="clear" w:color="auto" w:fill="auto"/>
            <w:vAlign w:val="center"/>
            <w:hideMark/>
          </w:tcPr>
          <w:p w14:paraId="74DA575D" w14:textId="70894D36"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1,580,077.00 </w:t>
            </w:r>
          </w:p>
        </w:tc>
      </w:tr>
      <w:tr w:rsidR="00A12A26" w:rsidRPr="00A12A26" w14:paraId="2C9A45D1" w14:textId="77777777" w:rsidTr="00A12A26">
        <w:trPr>
          <w:trHeight w:val="20"/>
        </w:trPr>
        <w:tc>
          <w:tcPr>
            <w:tcW w:w="3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1CABE7" w14:textId="77777777"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[4] Other partners:</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8FB8B5E" w14:textId="4C7117D1"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lang w:val="es-ES"/>
              </w:rPr>
              <w:t xml:space="preserve">              1,820,000.00 </w:t>
            </w:r>
          </w:p>
        </w:tc>
        <w:tc>
          <w:tcPr>
            <w:tcW w:w="2440" w:type="dxa"/>
            <w:tcBorders>
              <w:top w:val="single" w:sz="8" w:space="0" w:color="auto"/>
              <w:left w:val="nil"/>
              <w:bottom w:val="single" w:sz="8" w:space="0" w:color="auto"/>
              <w:right w:val="single" w:sz="8" w:space="0" w:color="auto"/>
            </w:tcBorders>
            <w:shd w:val="clear" w:color="auto" w:fill="auto"/>
            <w:vAlign w:val="center"/>
            <w:hideMark/>
          </w:tcPr>
          <w:p w14:paraId="751E75CE" w14:textId="2DAC28B7"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2,274,965.00 </w:t>
            </w:r>
          </w:p>
        </w:tc>
      </w:tr>
      <w:tr w:rsidR="00A12A26" w:rsidRPr="00A12A26" w14:paraId="10A699EB" w14:textId="77777777" w:rsidTr="00A12A26">
        <w:trPr>
          <w:trHeight w:val="20"/>
        </w:trPr>
        <w:tc>
          <w:tcPr>
            <w:tcW w:w="3320" w:type="dxa"/>
            <w:tcBorders>
              <w:top w:val="nil"/>
              <w:left w:val="single" w:sz="8" w:space="0" w:color="auto"/>
              <w:bottom w:val="nil"/>
              <w:right w:val="single" w:sz="8" w:space="0" w:color="auto"/>
            </w:tcBorders>
            <w:shd w:val="clear" w:color="auto" w:fill="auto"/>
            <w:vAlign w:val="center"/>
            <w:hideMark/>
          </w:tcPr>
          <w:p w14:paraId="35751EA5"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Mondelez (Component 1 &amp; 3)</w:t>
            </w:r>
          </w:p>
        </w:tc>
        <w:tc>
          <w:tcPr>
            <w:tcW w:w="1800" w:type="dxa"/>
            <w:tcBorders>
              <w:top w:val="nil"/>
              <w:left w:val="nil"/>
              <w:bottom w:val="nil"/>
              <w:right w:val="single" w:sz="8" w:space="0" w:color="auto"/>
            </w:tcBorders>
            <w:shd w:val="clear" w:color="auto" w:fill="auto"/>
            <w:vAlign w:val="center"/>
            <w:hideMark/>
          </w:tcPr>
          <w:p w14:paraId="692570DD" w14:textId="581D7CB5"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   </w:t>
            </w:r>
          </w:p>
        </w:tc>
        <w:tc>
          <w:tcPr>
            <w:tcW w:w="2440" w:type="dxa"/>
            <w:tcBorders>
              <w:top w:val="nil"/>
              <w:left w:val="nil"/>
              <w:bottom w:val="nil"/>
              <w:right w:val="single" w:sz="8" w:space="0" w:color="auto"/>
            </w:tcBorders>
            <w:shd w:val="clear" w:color="auto" w:fill="auto"/>
            <w:vAlign w:val="center"/>
            <w:hideMark/>
          </w:tcPr>
          <w:p w14:paraId="5C67AEB7" w14:textId="11FF10FD"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28,594.00 </w:t>
            </w:r>
          </w:p>
        </w:tc>
      </w:tr>
      <w:tr w:rsidR="00A12A26" w:rsidRPr="00A12A26" w14:paraId="51B11A65" w14:textId="77777777" w:rsidTr="00A12A26">
        <w:trPr>
          <w:trHeight w:val="20"/>
        </w:trPr>
        <w:tc>
          <w:tcPr>
            <w:tcW w:w="3320" w:type="dxa"/>
            <w:tcBorders>
              <w:top w:val="nil"/>
              <w:left w:val="single" w:sz="8" w:space="0" w:color="auto"/>
              <w:bottom w:val="nil"/>
              <w:right w:val="single" w:sz="8" w:space="0" w:color="auto"/>
            </w:tcBorders>
            <w:shd w:val="clear" w:color="auto" w:fill="auto"/>
            <w:vAlign w:val="center"/>
            <w:hideMark/>
          </w:tcPr>
          <w:p w14:paraId="626B9460"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PAGE (Component 1&amp;3)</w:t>
            </w:r>
          </w:p>
        </w:tc>
        <w:tc>
          <w:tcPr>
            <w:tcW w:w="1800" w:type="dxa"/>
            <w:tcBorders>
              <w:top w:val="nil"/>
              <w:left w:val="nil"/>
              <w:bottom w:val="nil"/>
              <w:right w:val="single" w:sz="8" w:space="0" w:color="auto"/>
            </w:tcBorders>
            <w:shd w:val="clear" w:color="auto" w:fill="auto"/>
            <w:vAlign w:val="center"/>
            <w:hideMark/>
          </w:tcPr>
          <w:p w14:paraId="54281611" w14:textId="30DE026A"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   </w:t>
            </w:r>
          </w:p>
        </w:tc>
        <w:tc>
          <w:tcPr>
            <w:tcW w:w="2440" w:type="dxa"/>
            <w:tcBorders>
              <w:top w:val="nil"/>
              <w:left w:val="nil"/>
              <w:bottom w:val="nil"/>
              <w:right w:val="single" w:sz="8" w:space="0" w:color="auto"/>
            </w:tcBorders>
            <w:shd w:val="clear" w:color="auto" w:fill="auto"/>
            <w:vAlign w:val="center"/>
            <w:hideMark/>
          </w:tcPr>
          <w:p w14:paraId="20E3794C" w14:textId="1A69929C"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77,888.00 </w:t>
            </w:r>
          </w:p>
        </w:tc>
      </w:tr>
      <w:tr w:rsidR="00A12A26" w:rsidRPr="00A12A26" w14:paraId="1D7CB624" w14:textId="77777777" w:rsidTr="00A12A26">
        <w:trPr>
          <w:trHeight w:val="20"/>
        </w:trPr>
        <w:tc>
          <w:tcPr>
            <w:tcW w:w="3320" w:type="dxa"/>
            <w:tcBorders>
              <w:top w:val="nil"/>
              <w:left w:val="single" w:sz="8" w:space="0" w:color="auto"/>
              <w:bottom w:val="nil"/>
              <w:right w:val="single" w:sz="8" w:space="0" w:color="auto"/>
            </w:tcBorders>
            <w:shd w:val="clear" w:color="auto" w:fill="auto"/>
            <w:vAlign w:val="center"/>
            <w:hideMark/>
          </w:tcPr>
          <w:p w14:paraId="124E80F7"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Ford Foundation (Component 2)</w:t>
            </w:r>
          </w:p>
        </w:tc>
        <w:tc>
          <w:tcPr>
            <w:tcW w:w="1800" w:type="dxa"/>
            <w:tcBorders>
              <w:top w:val="nil"/>
              <w:left w:val="nil"/>
              <w:bottom w:val="nil"/>
              <w:right w:val="single" w:sz="8" w:space="0" w:color="auto"/>
            </w:tcBorders>
            <w:shd w:val="clear" w:color="auto" w:fill="auto"/>
            <w:vAlign w:val="center"/>
            <w:hideMark/>
          </w:tcPr>
          <w:p w14:paraId="68B64943" w14:textId="1C2A863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700,000.00 </w:t>
            </w:r>
          </w:p>
        </w:tc>
        <w:tc>
          <w:tcPr>
            <w:tcW w:w="2440" w:type="dxa"/>
            <w:tcBorders>
              <w:top w:val="nil"/>
              <w:left w:val="nil"/>
              <w:bottom w:val="nil"/>
              <w:right w:val="single" w:sz="8" w:space="0" w:color="auto"/>
            </w:tcBorders>
            <w:shd w:val="clear" w:color="auto" w:fill="auto"/>
            <w:vAlign w:val="center"/>
            <w:hideMark/>
          </w:tcPr>
          <w:p w14:paraId="34257EC2" w14:textId="3ADD2FD5"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1,295,314.00 </w:t>
            </w:r>
          </w:p>
        </w:tc>
      </w:tr>
      <w:tr w:rsidR="00A12A26" w:rsidRPr="00A12A26" w14:paraId="3B8B61A5" w14:textId="77777777" w:rsidTr="00A12A26">
        <w:trPr>
          <w:trHeight w:val="20"/>
        </w:trPr>
        <w:tc>
          <w:tcPr>
            <w:tcW w:w="3320" w:type="dxa"/>
            <w:tcBorders>
              <w:top w:val="nil"/>
              <w:left w:val="single" w:sz="8" w:space="0" w:color="auto"/>
              <w:bottom w:val="nil"/>
              <w:right w:val="single" w:sz="8" w:space="0" w:color="auto"/>
            </w:tcBorders>
            <w:shd w:val="clear" w:color="auto" w:fill="auto"/>
            <w:vAlign w:val="center"/>
            <w:hideMark/>
          </w:tcPr>
          <w:p w14:paraId="54643880"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ISEAL Alliance (Component 2)</w:t>
            </w:r>
          </w:p>
        </w:tc>
        <w:tc>
          <w:tcPr>
            <w:tcW w:w="1800" w:type="dxa"/>
            <w:tcBorders>
              <w:top w:val="nil"/>
              <w:left w:val="nil"/>
              <w:bottom w:val="nil"/>
              <w:right w:val="single" w:sz="8" w:space="0" w:color="auto"/>
            </w:tcBorders>
            <w:shd w:val="clear" w:color="auto" w:fill="auto"/>
            <w:vAlign w:val="center"/>
            <w:hideMark/>
          </w:tcPr>
          <w:p w14:paraId="23D873E6" w14:textId="4455D21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120,000.00 </w:t>
            </w:r>
          </w:p>
        </w:tc>
        <w:tc>
          <w:tcPr>
            <w:tcW w:w="2440" w:type="dxa"/>
            <w:tcBorders>
              <w:top w:val="nil"/>
              <w:left w:val="nil"/>
              <w:bottom w:val="nil"/>
              <w:right w:val="single" w:sz="8" w:space="0" w:color="auto"/>
            </w:tcBorders>
            <w:shd w:val="clear" w:color="auto" w:fill="auto"/>
            <w:vAlign w:val="center"/>
            <w:hideMark/>
          </w:tcPr>
          <w:p w14:paraId="41E2F986" w14:textId="5202215D"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167,864.00 </w:t>
            </w:r>
          </w:p>
        </w:tc>
      </w:tr>
      <w:tr w:rsidR="00A12A26" w:rsidRPr="00A12A26" w14:paraId="5796090E" w14:textId="77777777" w:rsidTr="00A12A26">
        <w:trPr>
          <w:trHeight w:val="20"/>
        </w:trPr>
        <w:tc>
          <w:tcPr>
            <w:tcW w:w="3320" w:type="dxa"/>
            <w:tcBorders>
              <w:top w:val="nil"/>
              <w:left w:val="single" w:sz="8" w:space="0" w:color="auto"/>
              <w:bottom w:val="nil"/>
              <w:right w:val="single" w:sz="8" w:space="0" w:color="auto"/>
            </w:tcBorders>
            <w:shd w:val="clear" w:color="auto" w:fill="auto"/>
            <w:vAlign w:val="center"/>
            <w:hideMark/>
          </w:tcPr>
          <w:p w14:paraId="6D2DDA38"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Rain Forest Alliance (Component 2)</w:t>
            </w:r>
          </w:p>
        </w:tc>
        <w:tc>
          <w:tcPr>
            <w:tcW w:w="1800" w:type="dxa"/>
            <w:tcBorders>
              <w:top w:val="nil"/>
              <w:left w:val="nil"/>
              <w:bottom w:val="nil"/>
              <w:right w:val="single" w:sz="8" w:space="0" w:color="auto"/>
            </w:tcBorders>
            <w:shd w:val="clear" w:color="auto" w:fill="auto"/>
            <w:vAlign w:val="center"/>
            <w:hideMark/>
          </w:tcPr>
          <w:p w14:paraId="13198A09" w14:textId="2C95FD76"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 xml:space="preserve">             1,000,000.00 </w:t>
            </w:r>
          </w:p>
        </w:tc>
        <w:tc>
          <w:tcPr>
            <w:tcW w:w="2440" w:type="dxa"/>
            <w:tcBorders>
              <w:top w:val="nil"/>
              <w:left w:val="nil"/>
              <w:bottom w:val="single" w:sz="8" w:space="0" w:color="auto"/>
              <w:right w:val="single" w:sz="8" w:space="0" w:color="auto"/>
            </w:tcBorders>
            <w:shd w:val="clear" w:color="auto" w:fill="auto"/>
            <w:vAlign w:val="center"/>
            <w:hideMark/>
          </w:tcPr>
          <w:p w14:paraId="55D14021" w14:textId="769067D7"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rPr>
              <w:t xml:space="preserve">                            705,305.00 </w:t>
            </w:r>
          </w:p>
        </w:tc>
      </w:tr>
      <w:tr w:rsidR="00A12A26" w:rsidRPr="00A12A26" w14:paraId="4FD7221F" w14:textId="77777777" w:rsidTr="00A12A26">
        <w:trPr>
          <w:trHeight w:val="20"/>
        </w:trPr>
        <w:tc>
          <w:tcPr>
            <w:tcW w:w="33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1E63A79" w14:textId="77777777" w:rsidR="00A12A26" w:rsidRPr="00A12A26" w:rsidRDefault="00A12A26" w:rsidP="00A12A26">
            <w:pPr>
              <w:spacing w:after="0" w:line="240" w:lineRule="auto"/>
              <w:jc w:val="right"/>
              <w:rPr>
                <w:rFonts w:eastAsia="Times New Roman"/>
                <w:color w:val="000000"/>
                <w:sz w:val="18"/>
                <w:szCs w:val="18"/>
                <w:lang w:val="es-ES"/>
              </w:rPr>
            </w:pPr>
            <w:r w:rsidRPr="00A12A26">
              <w:rPr>
                <w:rFonts w:eastAsia="Times New Roman"/>
                <w:color w:val="000000"/>
                <w:sz w:val="18"/>
                <w:szCs w:val="18"/>
              </w:rPr>
              <w:t>[5] Total co-financing [2 + 3+ 4]:</w:t>
            </w:r>
          </w:p>
        </w:tc>
        <w:tc>
          <w:tcPr>
            <w:tcW w:w="1800" w:type="dxa"/>
            <w:tcBorders>
              <w:top w:val="single" w:sz="8" w:space="0" w:color="auto"/>
              <w:left w:val="nil"/>
              <w:bottom w:val="single" w:sz="8" w:space="0" w:color="auto"/>
              <w:right w:val="single" w:sz="8" w:space="0" w:color="000000"/>
            </w:tcBorders>
            <w:shd w:val="clear" w:color="auto" w:fill="auto"/>
            <w:vAlign w:val="center"/>
            <w:hideMark/>
          </w:tcPr>
          <w:p w14:paraId="685E0C5F" w14:textId="772ECA7B" w:rsidR="00A12A26" w:rsidRPr="00A12A26" w:rsidRDefault="00640179" w:rsidP="00A12A26">
            <w:pPr>
              <w:spacing w:after="0" w:line="240" w:lineRule="auto"/>
              <w:jc w:val="right"/>
              <w:rPr>
                <w:rFonts w:eastAsia="Times New Roman"/>
                <w:color w:val="000000"/>
                <w:sz w:val="18"/>
                <w:szCs w:val="18"/>
                <w:lang w:val="es-ES"/>
              </w:rPr>
            </w:pPr>
            <w:r>
              <w:rPr>
                <w:rFonts w:eastAsia="Times New Roman"/>
                <w:color w:val="000000"/>
                <w:sz w:val="18"/>
                <w:szCs w:val="18"/>
                <w:lang w:val="es-ES"/>
              </w:rPr>
              <w:t>5,266,887</w:t>
            </w:r>
            <w:r w:rsidR="00A12A26" w:rsidRPr="00A12A26">
              <w:rPr>
                <w:rFonts w:eastAsia="Times New Roman"/>
                <w:color w:val="000000"/>
                <w:sz w:val="18"/>
                <w:szCs w:val="18"/>
                <w:lang w:val="es-ES"/>
              </w:rPr>
              <w:t xml:space="preserve">.00 </w:t>
            </w:r>
          </w:p>
        </w:tc>
        <w:tc>
          <w:tcPr>
            <w:tcW w:w="2440" w:type="dxa"/>
            <w:tcBorders>
              <w:top w:val="nil"/>
              <w:left w:val="nil"/>
              <w:bottom w:val="single" w:sz="8" w:space="0" w:color="auto"/>
              <w:right w:val="single" w:sz="8" w:space="0" w:color="auto"/>
            </w:tcBorders>
            <w:shd w:val="clear" w:color="auto" w:fill="auto"/>
            <w:vAlign w:val="center"/>
            <w:hideMark/>
          </w:tcPr>
          <w:p w14:paraId="7B0D7F3C" w14:textId="6182F4BE" w:rsidR="00A12A26" w:rsidRPr="00A12A26" w:rsidRDefault="00A12A26" w:rsidP="00A12A26">
            <w:pPr>
              <w:spacing w:after="0" w:line="240" w:lineRule="auto"/>
              <w:ind w:firstLineChars="100" w:firstLine="180"/>
              <w:jc w:val="right"/>
              <w:rPr>
                <w:rFonts w:eastAsia="Times New Roman"/>
                <w:color w:val="000000"/>
                <w:sz w:val="18"/>
                <w:szCs w:val="18"/>
                <w:lang w:val="es-ES"/>
              </w:rPr>
            </w:pPr>
            <w:r w:rsidRPr="00A12A26">
              <w:rPr>
                <w:rFonts w:eastAsia="Times New Roman"/>
                <w:color w:val="000000"/>
                <w:sz w:val="18"/>
                <w:szCs w:val="18"/>
                <w:lang w:val="es-ES"/>
              </w:rPr>
              <w:t xml:space="preserve">                         6,714,694.00 </w:t>
            </w:r>
          </w:p>
        </w:tc>
      </w:tr>
      <w:tr w:rsidR="00A12A26" w:rsidRPr="00A12A26" w14:paraId="67427EB6" w14:textId="77777777" w:rsidTr="00A12A26">
        <w:trPr>
          <w:trHeight w:val="20"/>
        </w:trPr>
        <w:tc>
          <w:tcPr>
            <w:tcW w:w="3320" w:type="dxa"/>
            <w:tcBorders>
              <w:top w:val="nil"/>
              <w:left w:val="single" w:sz="8" w:space="0" w:color="000000"/>
              <w:bottom w:val="single" w:sz="8" w:space="0" w:color="000000"/>
              <w:right w:val="single" w:sz="8" w:space="0" w:color="000000"/>
            </w:tcBorders>
            <w:shd w:val="clear" w:color="auto" w:fill="auto"/>
            <w:vAlign w:val="center"/>
            <w:hideMark/>
          </w:tcPr>
          <w:p w14:paraId="0B44ECE3" w14:textId="77777777" w:rsidR="00A12A26" w:rsidRPr="00A12A26" w:rsidRDefault="00A12A26" w:rsidP="00A12A2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rPr>
              <w:t>PROJECT TOTAL COSTS [1 + 5]</w:t>
            </w:r>
          </w:p>
        </w:tc>
        <w:tc>
          <w:tcPr>
            <w:tcW w:w="1800" w:type="dxa"/>
            <w:tcBorders>
              <w:top w:val="nil"/>
              <w:left w:val="nil"/>
              <w:bottom w:val="single" w:sz="8" w:space="0" w:color="000000"/>
              <w:right w:val="single" w:sz="8" w:space="0" w:color="000000"/>
            </w:tcBorders>
            <w:shd w:val="clear" w:color="auto" w:fill="auto"/>
            <w:vAlign w:val="center"/>
            <w:hideMark/>
          </w:tcPr>
          <w:p w14:paraId="6E4069F9" w14:textId="591ABC81" w:rsidR="00A12A26" w:rsidRPr="00A12A26" w:rsidRDefault="00A12A26" w:rsidP="00A12A26">
            <w:pPr>
              <w:spacing w:after="0" w:line="240" w:lineRule="auto"/>
              <w:ind w:firstLineChars="100" w:firstLine="181"/>
              <w:jc w:val="right"/>
              <w:rPr>
                <w:rFonts w:eastAsia="Times New Roman"/>
                <w:b/>
                <w:bCs/>
                <w:color w:val="000000"/>
                <w:sz w:val="18"/>
                <w:szCs w:val="18"/>
                <w:lang w:val="es-ES"/>
              </w:rPr>
            </w:pPr>
            <w:r w:rsidRPr="00A12A26">
              <w:rPr>
                <w:rFonts w:eastAsia="Times New Roman"/>
                <w:b/>
                <w:bCs/>
                <w:color w:val="000000"/>
                <w:sz w:val="18"/>
                <w:szCs w:val="18"/>
                <w:lang w:val="es-ES"/>
              </w:rPr>
              <w:t xml:space="preserve">           </w:t>
            </w:r>
            <w:r w:rsidR="006F7969">
              <w:rPr>
                <w:rFonts w:eastAsia="Times New Roman"/>
                <w:b/>
                <w:bCs/>
                <w:color w:val="000000"/>
                <w:sz w:val="18"/>
                <w:szCs w:val="18"/>
                <w:lang w:val="es-ES"/>
              </w:rPr>
              <w:t>9,245,328</w:t>
            </w:r>
            <w:r w:rsidRPr="00A12A26">
              <w:rPr>
                <w:rFonts w:eastAsia="Times New Roman"/>
                <w:b/>
                <w:bCs/>
                <w:color w:val="000000"/>
                <w:sz w:val="18"/>
                <w:szCs w:val="18"/>
                <w:lang w:val="es-ES"/>
              </w:rPr>
              <w:t xml:space="preserve">.00 </w:t>
            </w:r>
          </w:p>
        </w:tc>
        <w:tc>
          <w:tcPr>
            <w:tcW w:w="2440" w:type="dxa"/>
            <w:tcBorders>
              <w:top w:val="nil"/>
              <w:left w:val="nil"/>
              <w:bottom w:val="single" w:sz="8" w:space="0" w:color="000000"/>
              <w:right w:val="single" w:sz="8" w:space="0" w:color="000000"/>
            </w:tcBorders>
            <w:shd w:val="clear" w:color="auto" w:fill="auto"/>
            <w:vAlign w:val="center"/>
            <w:hideMark/>
          </w:tcPr>
          <w:p w14:paraId="4CF58017" w14:textId="71BE8963" w:rsidR="003C7D9E" w:rsidRDefault="003C7D9E" w:rsidP="00A12A26">
            <w:pPr>
              <w:spacing w:after="0" w:line="240" w:lineRule="auto"/>
              <w:ind w:firstLineChars="100" w:firstLine="181"/>
              <w:jc w:val="right"/>
              <w:rPr>
                <w:rFonts w:eastAsia="Times New Roman"/>
                <w:b/>
                <w:bCs/>
                <w:color w:val="000000"/>
                <w:sz w:val="18"/>
                <w:szCs w:val="18"/>
                <w:lang w:val="es-ES"/>
              </w:rPr>
            </w:pPr>
          </w:p>
          <w:p w14:paraId="382E676C" w14:textId="35A983B7" w:rsidR="00A12A26" w:rsidRPr="00A12A26" w:rsidRDefault="003C7D9E" w:rsidP="00A12A26">
            <w:pPr>
              <w:spacing w:after="0" w:line="240" w:lineRule="auto"/>
              <w:ind w:firstLineChars="100" w:firstLine="181"/>
              <w:jc w:val="right"/>
              <w:rPr>
                <w:rFonts w:eastAsia="Times New Roman"/>
                <w:b/>
                <w:bCs/>
                <w:color w:val="000000"/>
                <w:sz w:val="18"/>
                <w:szCs w:val="18"/>
                <w:lang w:val="es-ES"/>
              </w:rPr>
            </w:pPr>
            <w:r>
              <w:rPr>
                <w:rFonts w:eastAsia="Times New Roman"/>
                <w:b/>
                <w:bCs/>
                <w:color w:val="000000"/>
                <w:sz w:val="18"/>
                <w:szCs w:val="18"/>
                <w:lang w:val="es-ES"/>
              </w:rPr>
              <w:t>10,379,247.00</w:t>
            </w:r>
          </w:p>
        </w:tc>
      </w:tr>
    </w:tbl>
    <w:p w14:paraId="41E38FDC" w14:textId="77777777" w:rsidR="00A12A26" w:rsidRDefault="00A12A26" w:rsidP="00FD2707">
      <w:pPr>
        <w:spacing w:after="0" w:line="240" w:lineRule="auto"/>
        <w:jc w:val="both"/>
      </w:pPr>
    </w:p>
    <w:p w14:paraId="25EADFE1" w14:textId="432EDAEC" w:rsidR="00603304" w:rsidRDefault="00603304" w:rsidP="00603304">
      <w:pPr>
        <w:jc w:val="both"/>
      </w:pPr>
    </w:p>
    <w:p w14:paraId="70DF2C1A" w14:textId="3BB2CA05" w:rsidR="00603304" w:rsidRDefault="00603304" w:rsidP="00603304">
      <w:pPr>
        <w:jc w:val="both"/>
      </w:pPr>
      <w:r>
        <w:t>In terms of expenditures the implementation progress of the project was proceeding as planned with minor deviations up to Year 3, when C</w:t>
      </w:r>
      <w:r w:rsidR="00DE456D">
        <w:t>OVID</w:t>
      </w:r>
      <w:r>
        <w:t xml:space="preserve"> Pandemic impacted execution as shown in Figure </w:t>
      </w:r>
      <w:r w:rsidR="00AA1AD7">
        <w:t>A</w:t>
      </w:r>
      <w:r>
        <w:t>.</w:t>
      </w:r>
      <w:r w:rsidR="00AA1AD7">
        <w:t xml:space="preserve">  Component 2 execution vs. planned budget proceeded as expected. (Figure B)</w:t>
      </w:r>
    </w:p>
    <w:p w14:paraId="3CABC267" w14:textId="04A3A7DF" w:rsidR="00603304" w:rsidRDefault="00603304" w:rsidP="00603304">
      <w:pPr>
        <w:pBdr>
          <w:top w:val="nil"/>
          <w:left w:val="nil"/>
          <w:bottom w:val="nil"/>
          <w:right w:val="nil"/>
          <w:between w:val="nil"/>
        </w:pBdr>
        <w:tabs>
          <w:tab w:val="left" w:pos="4680"/>
        </w:tabs>
        <w:spacing w:after="0"/>
        <w:jc w:val="both"/>
      </w:pPr>
    </w:p>
    <w:p w14:paraId="244DC50F" w14:textId="377607A9" w:rsidR="00603304" w:rsidRDefault="00603304" w:rsidP="00603304">
      <w:pPr>
        <w:pBdr>
          <w:top w:val="nil"/>
          <w:left w:val="nil"/>
          <w:bottom w:val="nil"/>
          <w:right w:val="nil"/>
          <w:between w:val="nil"/>
        </w:pBdr>
        <w:tabs>
          <w:tab w:val="left" w:pos="4680"/>
        </w:tabs>
        <w:spacing w:after="0"/>
        <w:jc w:val="both"/>
      </w:pPr>
    </w:p>
    <w:p w14:paraId="262CF696" w14:textId="38D1066E" w:rsidR="000F299F" w:rsidRDefault="000F299F" w:rsidP="00603304">
      <w:pPr>
        <w:pBdr>
          <w:top w:val="nil"/>
          <w:left w:val="nil"/>
          <w:bottom w:val="nil"/>
          <w:right w:val="nil"/>
          <w:between w:val="nil"/>
        </w:pBdr>
        <w:tabs>
          <w:tab w:val="left" w:pos="4680"/>
        </w:tabs>
        <w:spacing w:after="0"/>
        <w:jc w:val="both"/>
      </w:pPr>
    </w:p>
    <w:p w14:paraId="6DB3C1CE" w14:textId="260785C2" w:rsidR="00AA1AD7" w:rsidRDefault="000F299F" w:rsidP="00603304">
      <w:pPr>
        <w:pBdr>
          <w:top w:val="nil"/>
          <w:left w:val="nil"/>
          <w:bottom w:val="nil"/>
          <w:right w:val="nil"/>
          <w:between w:val="nil"/>
        </w:pBdr>
        <w:tabs>
          <w:tab w:val="left" w:pos="4680"/>
        </w:tabs>
        <w:spacing w:after="0"/>
        <w:jc w:val="both"/>
      </w:pPr>
      <w:r>
        <w:rPr>
          <w:noProof/>
        </w:rPr>
        <w:drawing>
          <wp:inline distT="0" distB="0" distL="0" distR="0" wp14:anchorId="610FB0FE" wp14:editId="0C581987">
            <wp:extent cx="5322570" cy="29387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2570" cy="2938780"/>
                    </a:xfrm>
                    <a:prstGeom prst="rect">
                      <a:avLst/>
                    </a:prstGeom>
                    <a:noFill/>
                  </pic:spPr>
                </pic:pic>
              </a:graphicData>
            </a:graphic>
          </wp:inline>
        </w:drawing>
      </w:r>
    </w:p>
    <w:p w14:paraId="3353FACF" w14:textId="09A31828" w:rsidR="00AA1AD7" w:rsidRDefault="00B33315" w:rsidP="00603304">
      <w:pPr>
        <w:pBdr>
          <w:top w:val="nil"/>
          <w:left w:val="nil"/>
          <w:bottom w:val="nil"/>
          <w:right w:val="nil"/>
          <w:between w:val="nil"/>
        </w:pBdr>
        <w:tabs>
          <w:tab w:val="left" w:pos="4680"/>
        </w:tabs>
        <w:spacing w:after="0"/>
        <w:jc w:val="both"/>
      </w:pPr>
      <w:r>
        <w:rPr>
          <w:noProof/>
        </w:rPr>
        <w:lastRenderedPageBreak/>
        <mc:AlternateContent>
          <mc:Choice Requires="wps">
            <w:drawing>
              <wp:anchor distT="45720" distB="45720" distL="114300" distR="114300" simplePos="0" relativeHeight="251665920" behindDoc="0" locked="0" layoutInCell="1" allowOverlap="1" wp14:anchorId="4B3C3B53" wp14:editId="3BDB6C6F">
                <wp:simplePos x="0" y="0"/>
                <wp:positionH relativeFrom="column">
                  <wp:posOffset>67208</wp:posOffset>
                </wp:positionH>
                <wp:positionV relativeFrom="paragraph">
                  <wp:posOffset>113437</wp:posOffset>
                </wp:positionV>
                <wp:extent cx="2514600" cy="37719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77190"/>
                        </a:xfrm>
                        <a:prstGeom prst="rect">
                          <a:avLst/>
                        </a:prstGeom>
                        <a:solidFill>
                          <a:srgbClr val="FFFFFF"/>
                        </a:solidFill>
                        <a:ln w="9525">
                          <a:noFill/>
                          <a:miter lim="800000"/>
                          <a:headEnd/>
                          <a:tailEnd/>
                        </a:ln>
                      </wps:spPr>
                      <wps:txbx>
                        <w:txbxContent>
                          <w:p w14:paraId="1E135AA7" w14:textId="77777777" w:rsidR="00603304" w:rsidRPr="005D363C" w:rsidRDefault="00603304" w:rsidP="00603304">
                            <w:pPr>
                              <w:rPr>
                                <w:sz w:val="20"/>
                                <w:szCs w:val="20"/>
                              </w:rPr>
                            </w:pPr>
                            <w:r w:rsidRPr="005D363C">
                              <w:rPr>
                                <w:sz w:val="20"/>
                                <w:szCs w:val="20"/>
                              </w:rPr>
                              <w:t>Figure A. Planned and Current Execution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3C3B53" id="_x0000_t202" coordsize="21600,21600" o:spt="202" path="m,l,21600r21600,l21600,xe">
                <v:stroke joinstyle="miter"/>
                <v:path gradientshapeok="t" o:connecttype="rect"/>
              </v:shapetype>
              <v:shape id="Text Box 23" o:spid="_x0000_s1027" type="#_x0000_t202" style="position:absolute;left:0;text-align:left;margin-left:5.3pt;margin-top:8.95pt;width:198pt;height:29.7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" stroked="f">
                <v:textbox style="mso-fit-shape-to-text:t">
                  <w:txbxContent>
                    <w:p w14:paraId="1E135AA7" w14:textId="77777777" w:rsidR="00603304" w:rsidRPr="005D363C" w:rsidRDefault="00603304" w:rsidP="00603304">
                      <w:pPr>
                        <w:rPr>
                          <w:sz w:val="20"/>
                          <w:szCs w:val="20"/>
                        </w:rPr>
                      </w:pPr>
                      <w:r w:rsidRPr="005D363C">
                        <w:rPr>
                          <w:sz w:val="20"/>
                          <w:szCs w:val="20"/>
                        </w:rPr>
                        <w:t>Figure A. Planned and Current Execution</w:t>
                      </w:r>
                    </w:p>
                  </w:txbxContent>
                </v:textbox>
                <w10:wrap type="square"/>
              </v:shape>
            </w:pict>
          </mc:Fallback>
        </mc:AlternateContent>
      </w:r>
    </w:p>
    <w:p w14:paraId="47F05B4E" w14:textId="49080089" w:rsidR="00AA1AD7" w:rsidRDefault="00AA1AD7" w:rsidP="00603304">
      <w:pPr>
        <w:pBdr>
          <w:top w:val="nil"/>
          <w:left w:val="nil"/>
          <w:bottom w:val="nil"/>
          <w:right w:val="nil"/>
          <w:between w:val="nil"/>
        </w:pBdr>
        <w:tabs>
          <w:tab w:val="left" w:pos="4680"/>
        </w:tabs>
        <w:spacing w:after="0"/>
        <w:jc w:val="both"/>
      </w:pPr>
    </w:p>
    <w:p w14:paraId="58E5514F" w14:textId="68A92744" w:rsidR="00AA1AD7" w:rsidRDefault="00AA1AD7" w:rsidP="00603304">
      <w:pPr>
        <w:pBdr>
          <w:top w:val="nil"/>
          <w:left w:val="nil"/>
          <w:bottom w:val="nil"/>
          <w:right w:val="nil"/>
          <w:between w:val="nil"/>
        </w:pBdr>
        <w:tabs>
          <w:tab w:val="left" w:pos="4680"/>
        </w:tabs>
        <w:spacing w:after="0"/>
        <w:jc w:val="both"/>
      </w:pPr>
    </w:p>
    <w:p w14:paraId="3C544AD3" w14:textId="11B29953" w:rsidR="00AA1AD7" w:rsidRDefault="00AA1AD7" w:rsidP="00603304">
      <w:pPr>
        <w:pBdr>
          <w:top w:val="nil"/>
          <w:left w:val="nil"/>
          <w:bottom w:val="nil"/>
          <w:right w:val="nil"/>
          <w:between w:val="nil"/>
        </w:pBdr>
        <w:tabs>
          <w:tab w:val="left" w:pos="4680"/>
        </w:tabs>
        <w:spacing w:after="0"/>
        <w:jc w:val="both"/>
      </w:pPr>
    </w:p>
    <w:p w14:paraId="0BB0C585" w14:textId="3DC50957" w:rsidR="00AA1AD7" w:rsidRDefault="00AA1AD7" w:rsidP="00603304">
      <w:pPr>
        <w:pBdr>
          <w:top w:val="nil"/>
          <w:left w:val="nil"/>
          <w:bottom w:val="nil"/>
          <w:right w:val="nil"/>
          <w:between w:val="nil"/>
        </w:pBdr>
        <w:tabs>
          <w:tab w:val="left" w:pos="4680"/>
        </w:tabs>
        <w:spacing w:after="0"/>
        <w:jc w:val="both"/>
      </w:pPr>
    </w:p>
    <w:p w14:paraId="4B0421C7" w14:textId="68DFC8CE" w:rsidR="00AA1AD7" w:rsidRDefault="00AA1AD7" w:rsidP="00603304">
      <w:pPr>
        <w:pBdr>
          <w:top w:val="nil"/>
          <w:left w:val="nil"/>
          <w:bottom w:val="nil"/>
          <w:right w:val="nil"/>
          <w:between w:val="nil"/>
        </w:pBdr>
        <w:tabs>
          <w:tab w:val="left" w:pos="4680"/>
        </w:tabs>
        <w:spacing w:after="0"/>
        <w:jc w:val="both"/>
      </w:pPr>
      <w:r>
        <w:rPr>
          <w:noProof/>
        </w:rPr>
        <mc:AlternateContent>
          <mc:Choice Requires="wps">
            <w:drawing>
              <wp:anchor distT="45720" distB="45720" distL="114300" distR="114300" simplePos="0" relativeHeight="251677184" behindDoc="0" locked="0" layoutInCell="1" allowOverlap="1" wp14:anchorId="20581D0C" wp14:editId="43579D99">
                <wp:simplePos x="0" y="0"/>
                <wp:positionH relativeFrom="column">
                  <wp:posOffset>0</wp:posOffset>
                </wp:positionH>
                <wp:positionV relativeFrom="paragraph">
                  <wp:posOffset>2820670</wp:posOffset>
                </wp:positionV>
                <wp:extent cx="4890770" cy="377190"/>
                <wp:effectExtent l="0" t="0" r="5080" b="0"/>
                <wp:wrapSquare wrapText="bothSides"/>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377190"/>
                        </a:xfrm>
                        <a:prstGeom prst="rect">
                          <a:avLst/>
                        </a:prstGeom>
                        <a:solidFill>
                          <a:srgbClr val="FFFFFF"/>
                        </a:solidFill>
                        <a:ln w="9525">
                          <a:noFill/>
                          <a:miter lim="800000"/>
                          <a:headEnd/>
                          <a:tailEnd/>
                        </a:ln>
                      </wps:spPr>
                      <wps:txbx>
                        <w:txbxContent>
                          <w:p w14:paraId="38A57603" w14:textId="227EFC94" w:rsidR="00AA1AD7" w:rsidRPr="006E675A" w:rsidRDefault="00AA1AD7" w:rsidP="00AA1AD7">
                            <w:pPr>
                              <w:rPr>
                                <w:sz w:val="20"/>
                                <w:szCs w:val="20"/>
                              </w:rPr>
                            </w:pPr>
                            <w:r>
                              <w:t xml:space="preserve">Figure </w:t>
                            </w:r>
                            <w:r>
                              <w:rPr>
                                <w:sz w:val="20"/>
                                <w:szCs w:val="20"/>
                              </w:rPr>
                              <w:t>B</w:t>
                            </w:r>
                            <w:r w:rsidRPr="006E675A">
                              <w:rPr>
                                <w:sz w:val="20"/>
                                <w:szCs w:val="20"/>
                              </w:rPr>
                              <w:t xml:space="preserve">. </w:t>
                            </w:r>
                            <w:r>
                              <w:rPr>
                                <w:sz w:val="20"/>
                                <w:szCs w:val="20"/>
                              </w:rPr>
                              <w:t>Planned and Current Execution Component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581D0C" id="_x0000_t202" coordsize="21600,21600" o:spt="202" path="m,l,21600r21600,l21600,xe">
                <v:stroke joinstyle="miter"/>
                <v:path gradientshapeok="t" o:connecttype="rect"/>
              </v:shapetype>
              <v:shape id="Text Box 22" o:spid="_x0000_s1028" type="#_x0000_t202" style="position:absolute;left:0;text-align:left;margin-left:0;margin-top:222.1pt;width:385.1pt;height:29.7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KoEQIAAP0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" stroked="f">
                <v:textbox style="mso-fit-shape-to-text:t">
                  <w:txbxContent>
                    <w:p w14:paraId="38A57603" w14:textId="227EFC94" w:rsidR="00AA1AD7" w:rsidRPr="006E675A" w:rsidRDefault="00AA1AD7" w:rsidP="00AA1AD7">
                      <w:pPr>
                        <w:rPr>
                          <w:sz w:val="20"/>
                          <w:szCs w:val="20"/>
                        </w:rPr>
                      </w:pPr>
                      <w:r>
                        <w:t xml:space="preserve">Figure </w:t>
                      </w:r>
                      <w:r>
                        <w:rPr>
                          <w:sz w:val="20"/>
                          <w:szCs w:val="20"/>
                        </w:rPr>
                        <w:t>B</w:t>
                      </w:r>
                      <w:r w:rsidRPr="006E675A">
                        <w:rPr>
                          <w:sz w:val="20"/>
                          <w:szCs w:val="20"/>
                        </w:rPr>
                        <w:t xml:space="preserve">. </w:t>
                      </w:r>
                      <w:r>
                        <w:rPr>
                          <w:sz w:val="20"/>
                          <w:szCs w:val="20"/>
                        </w:rPr>
                        <w:t>Planned and Current Execution Component 2</w:t>
                      </w:r>
                    </w:p>
                  </w:txbxContent>
                </v:textbox>
                <w10:wrap type="square"/>
              </v:shape>
            </w:pict>
          </mc:Fallback>
        </mc:AlternateContent>
      </w:r>
      <w:r>
        <w:rPr>
          <w:noProof/>
        </w:rPr>
        <w:drawing>
          <wp:anchor distT="0" distB="0" distL="114300" distR="114300" simplePos="0" relativeHeight="251675136" behindDoc="0" locked="0" layoutInCell="1" allowOverlap="1" wp14:anchorId="58F94A9E" wp14:editId="6A4CF290">
            <wp:simplePos x="0" y="0"/>
            <wp:positionH relativeFrom="column">
              <wp:posOffset>0</wp:posOffset>
            </wp:positionH>
            <wp:positionV relativeFrom="paragraph">
              <wp:posOffset>0</wp:posOffset>
            </wp:positionV>
            <wp:extent cx="4584700" cy="2755900"/>
            <wp:effectExtent l="0" t="0" r="635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568D898B" w14:textId="64920F2C" w:rsidR="00603304" w:rsidRDefault="00603304" w:rsidP="00603304">
      <w:pPr>
        <w:pBdr>
          <w:top w:val="nil"/>
          <w:left w:val="nil"/>
          <w:bottom w:val="nil"/>
          <w:right w:val="nil"/>
          <w:between w:val="nil"/>
        </w:pBdr>
        <w:tabs>
          <w:tab w:val="left" w:pos="4680"/>
        </w:tabs>
        <w:spacing w:after="0"/>
        <w:jc w:val="both"/>
      </w:pPr>
    </w:p>
    <w:p w14:paraId="0EE28313" w14:textId="4C9D905E" w:rsidR="00603304" w:rsidRDefault="00603304" w:rsidP="00603304">
      <w:pPr>
        <w:pBdr>
          <w:top w:val="nil"/>
          <w:left w:val="nil"/>
          <w:bottom w:val="nil"/>
          <w:right w:val="nil"/>
          <w:between w:val="nil"/>
        </w:pBdr>
        <w:tabs>
          <w:tab w:val="left" w:pos="4680"/>
        </w:tabs>
        <w:spacing w:after="0"/>
        <w:jc w:val="both"/>
      </w:pPr>
    </w:p>
    <w:p w14:paraId="22CB20C2" w14:textId="560FC9FD" w:rsidR="00603304" w:rsidRDefault="00603304" w:rsidP="00603304">
      <w:pPr>
        <w:pBdr>
          <w:top w:val="nil"/>
          <w:left w:val="nil"/>
          <w:bottom w:val="nil"/>
          <w:right w:val="nil"/>
          <w:between w:val="nil"/>
        </w:pBdr>
        <w:tabs>
          <w:tab w:val="left" w:pos="4680"/>
        </w:tabs>
        <w:spacing w:after="0"/>
        <w:jc w:val="both"/>
      </w:pPr>
      <w:r>
        <w:t>The</w:t>
      </w:r>
      <w:r w:rsidRPr="00C00A92">
        <w:t xml:space="preserve"> GEF grant to UNDP of USD 2,749,124</w:t>
      </w:r>
      <w:r>
        <w:t xml:space="preserve"> ha</w:t>
      </w:r>
      <w:r w:rsidR="000F299F">
        <w:t>d</w:t>
      </w:r>
      <w:r>
        <w:t xml:space="preserve"> a </w:t>
      </w:r>
      <w:r w:rsidR="000F299F">
        <w:t xml:space="preserve"> </w:t>
      </w:r>
      <w:r w:rsidR="0062686F">
        <w:t>88</w:t>
      </w:r>
      <w:r w:rsidR="000F299F">
        <w:t xml:space="preserve">% </w:t>
      </w:r>
      <w:r>
        <w:t xml:space="preserve">execution </w:t>
      </w:r>
      <w:r w:rsidR="00540ADD">
        <w:t>as of</w:t>
      </w:r>
      <w:r>
        <w:t xml:space="preserve"> </w:t>
      </w:r>
      <w:r w:rsidR="0062686F">
        <w:t>December</w:t>
      </w:r>
      <w:r>
        <w:t xml:space="preserve"> 2021</w:t>
      </w:r>
      <w:r w:rsidR="000928E0">
        <w:t xml:space="preserve">, while the WWF GEF grant had a 100% execution, since it closed in </w:t>
      </w:r>
      <w:r w:rsidR="003A698A">
        <w:t>March</w:t>
      </w:r>
      <w:r w:rsidR="000928E0">
        <w:t xml:space="preserve"> 2021. Total project had a </w:t>
      </w:r>
      <w:r w:rsidR="0062686F">
        <w:t>92</w:t>
      </w:r>
      <w:r w:rsidR="000928E0">
        <w:t xml:space="preserve">% execution as of </w:t>
      </w:r>
      <w:r w:rsidR="0062686F">
        <w:t xml:space="preserve">December </w:t>
      </w:r>
      <w:r w:rsidR="000928E0">
        <w:t xml:space="preserve"> 2021. </w:t>
      </w:r>
      <w:r>
        <w:t xml:space="preserve">The remaining balance is expected to be executed by the end of the project. </w:t>
      </w:r>
    </w:p>
    <w:p w14:paraId="50B58284" w14:textId="3E9CF167" w:rsidR="000928E0" w:rsidRDefault="00F03F87" w:rsidP="00603304">
      <w:pPr>
        <w:pBdr>
          <w:top w:val="nil"/>
          <w:left w:val="nil"/>
          <w:bottom w:val="nil"/>
          <w:right w:val="nil"/>
          <w:between w:val="nil"/>
        </w:pBdr>
        <w:tabs>
          <w:tab w:val="left" w:pos="4680"/>
        </w:tabs>
        <w:spacing w:after="0"/>
        <w:jc w:val="both"/>
      </w:pPr>
      <w:r>
        <w:rPr>
          <w:noProof/>
        </w:rPr>
        <w:drawing>
          <wp:inline distT="0" distB="0" distL="0" distR="0" wp14:anchorId="0CE80E06" wp14:editId="10FAC038">
            <wp:extent cx="4572000" cy="2743200"/>
            <wp:effectExtent l="0" t="0" r="0" b="0"/>
            <wp:docPr id="15" name="Gráfico 15">
              <a:extLst xmlns:a="http://schemas.openxmlformats.org/drawingml/2006/main">
                <a:ext uri="{FF2B5EF4-FFF2-40B4-BE49-F238E27FC236}">
                  <a16:creationId xmlns:a16="http://schemas.microsoft.com/office/drawing/2014/main" id="{1B779E93-791F-4FBF-B4A9-33CA2A4E9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E5D5A9" w14:textId="3AB4B8A3" w:rsidR="00F03F87" w:rsidRDefault="00F03F87" w:rsidP="00603304">
      <w:pPr>
        <w:pBdr>
          <w:top w:val="nil"/>
          <w:left w:val="nil"/>
          <w:bottom w:val="nil"/>
          <w:right w:val="nil"/>
          <w:between w:val="nil"/>
        </w:pBdr>
        <w:tabs>
          <w:tab w:val="left" w:pos="4680"/>
        </w:tabs>
        <w:spacing w:after="0"/>
        <w:jc w:val="both"/>
      </w:pPr>
      <w:r>
        <w:t>Figure C. Total Budget Execution</w:t>
      </w:r>
    </w:p>
    <w:p w14:paraId="79089D70" w14:textId="77777777" w:rsidR="00F03F87" w:rsidRDefault="00F03F87" w:rsidP="00603304">
      <w:pPr>
        <w:pBdr>
          <w:top w:val="nil"/>
          <w:left w:val="nil"/>
          <w:bottom w:val="nil"/>
          <w:right w:val="nil"/>
          <w:between w:val="nil"/>
        </w:pBdr>
        <w:tabs>
          <w:tab w:val="left" w:pos="4680"/>
        </w:tabs>
        <w:spacing w:after="0"/>
        <w:jc w:val="both"/>
      </w:pPr>
    </w:p>
    <w:tbl>
      <w:tblPr>
        <w:tblW w:w="5920" w:type="dxa"/>
        <w:tblCellMar>
          <w:left w:w="70" w:type="dxa"/>
          <w:right w:w="70" w:type="dxa"/>
        </w:tblCellMar>
        <w:tblLook w:val="04A0" w:firstRow="1" w:lastRow="0" w:firstColumn="1" w:lastColumn="0" w:noHBand="0" w:noVBand="1"/>
      </w:tblPr>
      <w:tblGrid>
        <w:gridCol w:w="2403"/>
        <w:gridCol w:w="1591"/>
        <w:gridCol w:w="1926"/>
      </w:tblGrid>
      <w:tr w:rsidR="00F03F87" w:rsidRPr="00F03F87" w14:paraId="4A30E18D" w14:textId="77777777" w:rsidTr="00F03F87">
        <w:trPr>
          <w:trHeight w:val="300"/>
        </w:trPr>
        <w:tc>
          <w:tcPr>
            <w:tcW w:w="5920" w:type="dxa"/>
            <w:gridSpan w:val="3"/>
            <w:tcBorders>
              <w:top w:val="nil"/>
              <w:left w:val="nil"/>
              <w:bottom w:val="single" w:sz="4" w:space="0" w:color="auto"/>
              <w:right w:val="nil"/>
            </w:tcBorders>
            <w:shd w:val="clear" w:color="auto" w:fill="auto"/>
            <w:noWrap/>
            <w:vAlign w:val="bottom"/>
            <w:hideMark/>
          </w:tcPr>
          <w:p w14:paraId="4CAAA962" w14:textId="33D6A7A9" w:rsidR="00F03F87" w:rsidRPr="005B1FAD" w:rsidRDefault="00F03F87" w:rsidP="00F03F87">
            <w:pPr>
              <w:spacing w:after="0" w:line="240" w:lineRule="auto"/>
              <w:jc w:val="center"/>
              <w:rPr>
                <w:rFonts w:eastAsia="Times New Roman"/>
                <w:b/>
                <w:bCs/>
                <w:color w:val="000000"/>
              </w:rPr>
            </w:pPr>
            <w:r w:rsidRPr="005B1FAD">
              <w:rPr>
                <w:rFonts w:eastAsia="Times New Roman"/>
                <w:b/>
                <w:bCs/>
                <w:color w:val="000000"/>
              </w:rPr>
              <w:t>Table No. 6</w:t>
            </w:r>
            <w:r>
              <w:rPr>
                <w:rFonts w:eastAsia="Times New Roman"/>
                <w:b/>
                <w:bCs/>
                <w:color w:val="000000"/>
              </w:rPr>
              <w:t xml:space="preserve">:  </w:t>
            </w:r>
            <w:r w:rsidRPr="005B1FAD">
              <w:rPr>
                <w:rFonts w:eastAsia="Times New Roman"/>
                <w:b/>
                <w:bCs/>
                <w:color w:val="000000"/>
              </w:rPr>
              <w:t>Budget Execution by December 2021</w:t>
            </w:r>
          </w:p>
        </w:tc>
      </w:tr>
      <w:tr w:rsidR="001B0549" w:rsidRPr="00F03F87" w14:paraId="6DD030EE" w14:textId="77777777" w:rsidTr="00F03F87">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tcPr>
          <w:p w14:paraId="100011C6" w14:textId="77777777" w:rsidR="001B0549" w:rsidRPr="005B1FAD" w:rsidRDefault="001B0549" w:rsidP="00F03F87">
            <w:pPr>
              <w:spacing w:after="0" w:line="240" w:lineRule="auto"/>
              <w:rPr>
                <w:rFonts w:eastAsia="Times New Roman"/>
                <w:color w:val="000000"/>
              </w:rPr>
            </w:pPr>
          </w:p>
        </w:tc>
        <w:tc>
          <w:tcPr>
            <w:tcW w:w="1591" w:type="dxa"/>
            <w:tcBorders>
              <w:top w:val="nil"/>
              <w:left w:val="nil"/>
              <w:bottom w:val="single" w:sz="4" w:space="0" w:color="auto"/>
              <w:right w:val="single" w:sz="4" w:space="0" w:color="auto"/>
            </w:tcBorders>
            <w:shd w:val="clear" w:color="auto" w:fill="auto"/>
            <w:noWrap/>
            <w:vAlign w:val="bottom"/>
          </w:tcPr>
          <w:p w14:paraId="6DB68D9A" w14:textId="167A08FB" w:rsidR="001B0549" w:rsidRPr="00F03F87" w:rsidRDefault="001B0549" w:rsidP="00F03F87">
            <w:pPr>
              <w:spacing w:after="0" w:line="240" w:lineRule="auto"/>
              <w:rPr>
                <w:rFonts w:eastAsia="Times New Roman"/>
                <w:color w:val="000000"/>
                <w:lang w:val="es-ES"/>
              </w:rPr>
            </w:pPr>
            <w:r>
              <w:rPr>
                <w:rFonts w:eastAsia="Times New Roman"/>
                <w:color w:val="000000"/>
                <w:lang w:val="es-ES"/>
              </w:rPr>
              <w:t xml:space="preserve">Budget </w:t>
            </w:r>
          </w:p>
        </w:tc>
        <w:tc>
          <w:tcPr>
            <w:tcW w:w="1926" w:type="dxa"/>
            <w:tcBorders>
              <w:top w:val="nil"/>
              <w:left w:val="nil"/>
              <w:bottom w:val="single" w:sz="4" w:space="0" w:color="auto"/>
              <w:right w:val="single" w:sz="4" w:space="0" w:color="auto"/>
            </w:tcBorders>
            <w:shd w:val="clear" w:color="auto" w:fill="auto"/>
            <w:noWrap/>
            <w:vAlign w:val="bottom"/>
          </w:tcPr>
          <w:p w14:paraId="0F634163" w14:textId="095F6F93" w:rsidR="001B0549" w:rsidRPr="00F03F87" w:rsidRDefault="001B0549" w:rsidP="00F03F87">
            <w:pPr>
              <w:spacing w:after="0" w:line="240" w:lineRule="auto"/>
              <w:rPr>
                <w:rFonts w:eastAsia="Times New Roman"/>
                <w:color w:val="000000"/>
                <w:lang w:val="es-ES"/>
              </w:rPr>
            </w:pPr>
            <w:r>
              <w:rPr>
                <w:rFonts w:eastAsia="Times New Roman"/>
                <w:color w:val="000000"/>
                <w:lang w:val="es-ES"/>
              </w:rPr>
              <w:t>Execution</w:t>
            </w:r>
          </w:p>
        </w:tc>
      </w:tr>
      <w:tr w:rsidR="00F03F87" w:rsidRPr="00F03F87" w14:paraId="0CC5BC7D" w14:textId="77777777" w:rsidTr="00F03F87">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5049CCF7" w14:textId="77777777" w:rsidR="00F03F87" w:rsidRPr="00F03F87" w:rsidRDefault="00F03F87" w:rsidP="00F03F87">
            <w:pPr>
              <w:spacing w:after="0" w:line="240" w:lineRule="auto"/>
              <w:rPr>
                <w:rFonts w:eastAsia="Times New Roman"/>
                <w:color w:val="000000"/>
                <w:lang w:val="es-ES"/>
              </w:rPr>
            </w:pPr>
            <w:r w:rsidRPr="00F03F87">
              <w:rPr>
                <w:rFonts w:eastAsia="Times New Roman"/>
                <w:color w:val="000000"/>
                <w:lang w:val="es-ES"/>
              </w:rPr>
              <w:t>Components 1 &amp; 3</w:t>
            </w:r>
          </w:p>
        </w:tc>
        <w:tc>
          <w:tcPr>
            <w:tcW w:w="1591" w:type="dxa"/>
            <w:tcBorders>
              <w:top w:val="nil"/>
              <w:left w:val="nil"/>
              <w:bottom w:val="single" w:sz="4" w:space="0" w:color="auto"/>
              <w:right w:val="single" w:sz="4" w:space="0" w:color="auto"/>
            </w:tcBorders>
            <w:shd w:val="clear" w:color="auto" w:fill="auto"/>
            <w:noWrap/>
            <w:vAlign w:val="bottom"/>
            <w:hideMark/>
          </w:tcPr>
          <w:p w14:paraId="3A490B67" w14:textId="77777777" w:rsidR="00F03F87" w:rsidRPr="00F03F87" w:rsidRDefault="00F03F87" w:rsidP="00F03F87">
            <w:pPr>
              <w:spacing w:after="0" w:line="240" w:lineRule="auto"/>
              <w:rPr>
                <w:rFonts w:eastAsia="Times New Roman"/>
                <w:color w:val="000000"/>
                <w:lang w:val="es-ES"/>
              </w:rPr>
            </w:pPr>
            <w:r w:rsidRPr="00F03F87">
              <w:rPr>
                <w:rFonts w:eastAsia="Times New Roman"/>
                <w:color w:val="000000"/>
                <w:lang w:val="es-ES"/>
              </w:rPr>
              <w:t xml:space="preserve"> $ 2,749,124.00 </w:t>
            </w:r>
          </w:p>
        </w:tc>
        <w:tc>
          <w:tcPr>
            <w:tcW w:w="1926" w:type="dxa"/>
            <w:tcBorders>
              <w:top w:val="nil"/>
              <w:left w:val="nil"/>
              <w:bottom w:val="single" w:sz="4" w:space="0" w:color="auto"/>
              <w:right w:val="single" w:sz="4" w:space="0" w:color="auto"/>
            </w:tcBorders>
            <w:shd w:val="clear" w:color="auto" w:fill="auto"/>
            <w:noWrap/>
            <w:vAlign w:val="bottom"/>
            <w:hideMark/>
          </w:tcPr>
          <w:p w14:paraId="1F4748EF" w14:textId="77777777" w:rsidR="00F03F87" w:rsidRPr="00F03F87" w:rsidRDefault="00F03F87" w:rsidP="00F03F87">
            <w:pPr>
              <w:spacing w:after="0" w:line="240" w:lineRule="auto"/>
              <w:rPr>
                <w:rFonts w:eastAsia="Times New Roman"/>
                <w:color w:val="000000"/>
                <w:lang w:val="es-ES"/>
              </w:rPr>
            </w:pPr>
            <w:r w:rsidRPr="00F03F87">
              <w:rPr>
                <w:rFonts w:eastAsia="Times New Roman"/>
                <w:color w:val="000000"/>
                <w:lang w:val="es-ES"/>
              </w:rPr>
              <w:t xml:space="preserve"> $       2,415,236.64 </w:t>
            </w:r>
          </w:p>
        </w:tc>
      </w:tr>
      <w:tr w:rsidR="00F03F87" w:rsidRPr="00F03F87" w14:paraId="15DEAC44" w14:textId="77777777" w:rsidTr="00F03F87">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18DCBBB6" w14:textId="77777777" w:rsidR="00F03F87" w:rsidRPr="00F03F87" w:rsidRDefault="00F03F87" w:rsidP="00F03F87">
            <w:pPr>
              <w:spacing w:after="0" w:line="240" w:lineRule="auto"/>
              <w:rPr>
                <w:rFonts w:eastAsia="Times New Roman"/>
                <w:color w:val="000000"/>
                <w:lang w:val="es-ES"/>
              </w:rPr>
            </w:pPr>
            <w:r w:rsidRPr="00F03F87">
              <w:rPr>
                <w:rFonts w:eastAsia="Times New Roman"/>
                <w:color w:val="000000"/>
                <w:lang w:val="es-ES"/>
              </w:rPr>
              <w:t>Component 2</w:t>
            </w:r>
          </w:p>
        </w:tc>
        <w:tc>
          <w:tcPr>
            <w:tcW w:w="1591" w:type="dxa"/>
            <w:tcBorders>
              <w:top w:val="nil"/>
              <w:left w:val="nil"/>
              <w:bottom w:val="single" w:sz="4" w:space="0" w:color="auto"/>
              <w:right w:val="single" w:sz="4" w:space="0" w:color="auto"/>
            </w:tcBorders>
            <w:shd w:val="clear" w:color="auto" w:fill="auto"/>
            <w:noWrap/>
            <w:vAlign w:val="bottom"/>
            <w:hideMark/>
          </w:tcPr>
          <w:p w14:paraId="671A06B6" w14:textId="77777777" w:rsidR="00F03F87" w:rsidRPr="00F03F87" w:rsidRDefault="00F03F87" w:rsidP="00F03F87">
            <w:pPr>
              <w:spacing w:after="0" w:line="240" w:lineRule="auto"/>
              <w:rPr>
                <w:rFonts w:eastAsia="Times New Roman"/>
                <w:color w:val="000000"/>
                <w:lang w:val="es-ES"/>
              </w:rPr>
            </w:pPr>
            <w:r w:rsidRPr="00F03F87">
              <w:rPr>
                <w:rFonts w:eastAsia="Times New Roman"/>
                <w:color w:val="000000"/>
                <w:lang w:val="es-ES"/>
              </w:rPr>
              <w:t xml:space="preserve"> $ 1,229,317.00 </w:t>
            </w:r>
          </w:p>
        </w:tc>
        <w:tc>
          <w:tcPr>
            <w:tcW w:w="1926" w:type="dxa"/>
            <w:tcBorders>
              <w:top w:val="nil"/>
              <w:left w:val="nil"/>
              <w:bottom w:val="single" w:sz="4" w:space="0" w:color="auto"/>
              <w:right w:val="single" w:sz="4" w:space="0" w:color="auto"/>
            </w:tcBorders>
            <w:shd w:val="clear" w:color="auto" w:fill="auto"/>
            <w:noWrap/>
            <w:vAlign w:val="bottom"/>
            <w:hideMark/>
          </w:tcPr>
          <w:p w14:paraId="6C806CE6" w14:textId="77777777" w:rsidR="00F03F87" w:rsidRPr="00F03F87" w:rsidRDefault="00F03F87" w:rsidP="00F03F87">
            <w:pPr>
              <w:spacing w:after="0" w:line="240" w:lineRule="auto"/>
              <w:rPr>
                <w:rFonts w:eastAsia="Times New Roman"/>
                <w:color w:val="000000"/>
                <w:lang w:val="es-ES"/>
              </w:rPr>
            </w:pPr>
            <w:r w:rsidRPr="00F03F87">
              <w:rPr>
                <w:rFonts w:eastAsia="Times New Roman"/>
                <w:color w:val="000000"/>
                <w:lang w:val="es-ES"/>
              </w:rPr>
              <w:t xml:space="preserve"> $       1,229,315.87 </w:t>
            </w:r>
          </w:p>
        </w:tc>
      </w:tr>
      <w:tr w:rsidR="00F03F87" w:rsidRPr="00F03F87" w14:paraId="0B304D63" w14:textId="77777777" w:rsidTr="00F03F87">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1A837829" w14:textId="77777777" w:rsidR="00F03F87" w:rsidRPr="00F03F87" w:rsidRDefault="00F03F87" w:rsidP="00F03F87">
            <w:pPr>
              <w:spacing w:after="0" w:line="240" w:lineRule="auto"/>
              <w:rPr>
                <w:rFonts w:eastAsia="Times New Roman"/>
                <w:b/>
                <w:bCs/>
                <w:color w:val="000000"/>
                <w:lang w:val="es-ES"/>
              </w:rPr>
            </w:pPr>
            <w:r w:rsidRPr="00F03F87">
              <w:rPr>
                <w:rFonts w:eastAsia="Times New Roman"/>
                <w:b/>
                <w:bCs/>
                <w:color w:val="000000"/>
                <w:lang w:val="es-ES"/>
              </w:rPr>
              <w:t>Total Project Execution</w:t>
            </w:r>
          </w:p>
        </w:tc>
        <w:tc>
          <w:tcPr>
            <w:tcW w:w="1591" w:type="dxa"/>
            <w:tcBorders>
              <w:top w:val="nil"/>
              <w:left w:val="nil"/>
              <w:bottom w:val="single" w:sz="4" w:space="0" w:color="auto"/>
              <w:right w:val="single" w:sz="4" w:space="0" w:color="auto"/>
            </w:tcBorders>
            <w:shd w:val="clear" w:color="auto" w:fill="auto"/>
            <w:noWrap/>
            <w:vAlign w:val="bottom"/>
            <w:hideMark/>
          </w:tcPr>
          <w:p w14:paraId="40A56D00" w14:textId="77777777" w:rsidR="00F03F87" w:rsidRPr="00F03F87" w:rsidRDefault="00F03F87" w:rsidP="00F03F87">
            <w:pPr>
              <w:spacing w:after="0" w:line="240" w:lineRule="auto"/>
              <w:rPr>
                <w:rFonts w:eastAsia="Times New Roman"/>
                <w:b/>
                <w:bCs/>
                <w:color w:val="000000"/>
                <w:lang w:val="es-ES"/>
              </w:rPr>
            </w:pPr>
            <w:r w:rsidRPr="00F03F87">
              <w:rPr>
                <w:rFonts w:eastAsia="Times New Roman"/>
                <w:b/>
                <w:bCs/>
                <w:color w:val="000000"/>
                <w:lang w:val="es-ES"/>
              </w:rPr>
              <w:t xml:space="preserve"> $ 3,978,441.00 </w:t>
            </w:r>
          </w:p>
        </w:tc>
        <w:tc>
          <w:tcPr>
            <w:tcW w:w="1926" w:type="dxa"/>
            <w:tcBorders>
              <w:top w:val="nil"/>
              <w:left w:val="nil"/>
              <w:bottom w:val="single" w:sz="4" w:space="0" w:color="auto"/>
              <w:right w:val="single" w:sz="4" w:space="0" w:color="auto"/>
            </w:tcBorders>
            <w:shd w:val="clear" w:color="auto" w:fill="auto"/>
            <w:noWrap/>
            <w:vAlign w:val="bottom"/>
            <w:hideMark/>
          </w:tcPr>
          <w:p w14:paraId="25536401" w14:textId="77777777" w:rsidR="00F03F87" w:rsidRPr="00F03F87" w:rsidRDefault="00F03F87" w:rsidP="00F03F87">
            <w:pPr>
              <w:spacing w:after="0" w:line="240" w:lineRule="auto"/>
              <w:rPr>
                <w:rFonts w:eastAsia="Times New Roman"/>
                <w:b/>
                <w:bCs/>
                <w:color w:val="000000"/>
                <w:lang w:val="es-ES"/>
              </w:rPr>
            </w:pPr>
            <w:r w:rsidRPr="00F03F87">
              <w:rPr>
                <w:rFonts w:eastAsia="Times New Roman"/>
                <w:b/>
                <w:bCs/>
                <w:color w:val="000000"/>
                <w:lang w:val="es-ES"/>
              </w:rPr>
              <w:t xml:space="preserve"> $       3,644,552.51 </w:t>
            </w:r>
          </w:p>
        </w:tc>
      </w:tr>
    </w:tbl>
    <w:p w14:paraId="65B4766F" w14:textId="2C35E8EB" w:rsidR="00603304" w:rsidRDefault="00603304" w:rsidP="00603304">
      <w:pPr>
        <w:pBdr>
          <w:top w:val="nil"/>
          <w:left w:val="nil"/>
          <w:bottom w:val="nil"/>
          <w:right w:val="nil"/>
          <w:between w:val="nil"/>
        </w:pBdr>
        <w:tabs>
          <w:tab w:val="left" w:pos="4680"/>
        </w:tabs>
        <w:spacing w:after="0"/>
        <w:jc w:val="both"/>
      </w:pPr>
    </w:p>
    <w:p w14:paraId="573076DC" w14:textId="7C7A163F" w:rsidR="00603304" w:rsidRDefault="00603304" w:rsidP="00603304">
      <w:pPr>
        <w:pBdr>
          <w:top w:val="nil"/>
          <w:left w:val="nil"/>
          <w:bottom w:val="nil"/>
          <w:right w:val="nil"/>
          <w:between w:val="nil"/>
        </w:pBdr>
        <w:tabs>
          <w:tab w:val="left" w:pos="4680"/>
        </w:tabs>
        <w:spacing w:after="0"/>
        <w:jc w:val="both"/>
      </w:pPr>
    </w:p>
    <w:p w14:paraId="794CBD65" w14:textId="4FE95192" w:rsidR="00603304" w:rsidRDefault="00603304" w:rsidP="00603304">
      <w:pPr>
        <w:pBdr>
          <w:top w:val="nil"/>
          <w:left w:val="nil"/>
          <w:bottom w:val="nil"/>
          <w:right w:val="nil"/>
          <w:between w:val="nil"/>
        </w:pBdr>
        <w:tabs>
          <w:tab w:val="left" w:pos="4680"/>
        </w:tabs>
        <w:spacing w:after="0"/>
        <w:jc w:val="both"/>
      </w:pPr>
    </w:p>
    <w:p w14:paraId="77F7074F" w14:textId="69909154" w:rsidR="00603304" w:rsidRDefault="00603304" w:rsidP="00603304">
      <w:pPr>
        <w:jc w:val="both"/>
      </w:pPr>
      <w:r>
        <w:t>The delivery of project co-financing proceeded more or less as planned. Total co-financing contributed at stage of the Terminal evaluation for components 1 and 3 is USD1,356,0</w:t>
      </w:r>
      <w:r w:rsidR="003A698A">
        <w:t>5</w:t>
      </w:r>
      <w:r>
        <w:t xml:space="preserve">9. </w:t>
      </w:r>
      <w:r w:rsidRPr="00AA1AD7">
        <w:t xml:space="preserve">Component 2, already finalized in March 2021, ended with a total co-financing of USD 5,358,637.  </w:t>
      </w:r>
      <w:hyperlink w:anchor="_Annex_16._Cofinancing" w:history="1">
        <w:r w:rsidRPr="00AA1AD7">
          <w:rPr>
            <w:rStyle w:val="Hyperlink"/>
          </w:rPr>
          <w:t>Annex 16</w:t>
        </w:r>
      </w:hyperlink>
      <w:r w:rsidRPr="00AA1AD7">
        <w:t xml:space="preserve"> shows co</w:t>
      </w:r>
      <w:r>
        <w:t>-financing amounts by component and by co-financier since CEO endorsement, at Midterm Review and at Terminal Evaluation stage.</w:t>
      </w:r>
    </w:p>
    <w:p w14:paraId="5AE05F0E" w14:textId="19FCA79C" w:rsidR="00603304" w:rsidRPr="009B3482" w:rsidRDefault="003A698A" w:rsidP="00603304">
      <w:pPr>
        <w:jc w:val="both"/>
      </w:pPr>
      <w:r>
        <w:t>For c</w:t>
      </w:r>
      <w:r w:rsidR="00603304" w:rsidRPr="009B3482">
        <w:t>omponent</w:t>
      </w:r>
      <w:r>
        <w:t>s</w:t>
      </w:r>
      <w:r w:rsidR="00603304" w:rsidRPr="009B3482">
        <w:t xml:space="preserve"> 1&amp;3, 5</w:t>
      </w:r>
      <w:r w:rsidR="00603304">
        <w:t>8</w:t>
      </w:r>
      <w:r w:rsidR="00603304" w:rsidRPr="009B3482">
        <w:t>% of co-financing from SECO for the project has been already granted. GIZ, Mondelez</w:t>
      </w:r>
      <w:r w:rsidR="00603304" w:rsidRPr="009B3482">
        <w:rPr>
          <w:spacing w:val="-5"/>
        </w:rPr>
        <w:t xml:space="preserve"> </w:t>
      </w:r>
      <w:r w:rsidR="00603304" w:rsidRPr="009B3482">
        <w:t>and</w:t>
      </w:r>
      <w:r w:rsidR="00603304" w:rsidRPr="009B3482">
        <w:rPr>
          <w:spacing w:val="-3"/>
        </w:rPr>
        <w:t xml:space="preserve"> </w:t>
      </w:r>
      <w:r w:rsidR="00603304" w:rsidRPr="009B3482">
        <w:t>PAGE</w:t>
      </w:r>
      <w:r w:rsidR="00603304" w:rsidRPr="009B3482">
        <w:rPr>
          <w:spacing w:val="-6"/>
        </w:rPr>
        <w:t xml:space="preserve"> </w:t>
      </w:r>
      <w:r w:rsidR="00603304" w:rsidRPr="009B3482">
        <w:t>have</w:t>
      </w:r>
      <w:r w:rsidR="00603304" w:rsidRPr="009B3482">
        <w:rPr>
          <w:spacing w:val="-3"/>
        </w:rPr>
        <w:t xml:space="preserve"> </w:t>
      </w:r>
      <w:r w:rsidR="00603304" w:rsidRPr="009B3482">
        <w:t>granted</w:t>
      </w:r>
      <w:r w:rsidR="00603304" w:rsidRPr="009B3482">
        <w:rPr>
          <w:spacing w:val="-6"/>
        </w:rPr>
        <w:t xml:space="preserve"> </w:t>
      </w:r>
      <w:r w:rsidR="00603304" w:rsidRPr="009B3482">
        <w:t>co-financing</w:t>
      </w:r>
      <w:r w:rsidR="00603304" w:rsidRPr="009B3482">
        <w:rPr>
          <w:spacing w:val="-5"/>
        </w:rPr>
        <w:t xml:space="preserve"> </w:t>
      </w:r>
      <w:r w:rsidR="00603304" w:rsidRPr="009B3482">
        <w:t>to</w:t>
      </w:r>
      <w:r w:rsidR="00603304" w:rsidRPr="009B3482">
        <w:rPr>
          <w:spacing w:val="-5"/>
        </w:rPr>
        <w:t xml:space="preserve"> </w:t>
      </w:r>
      <w:r w:rsidR="00603304" w:rsidRPr="009B3482">
        <w:t>an</w:t>
      </w:r>
      <w:r w:rsidR="00603304" w:rsidRPr="009B3482">
        <w:rPr>
          <w:spacing w:val="-3"/>
        </w:rPr>
        <w:t xml:space="preserve"> </w:t>
      </w:r>
      <w:r w:rsidR="00603304" w:rsidRPr="009B3482">
        <w:t>additional</w:t>
      </w:r>
      <w:r w:rsidR="00603304" w:rsidRPr="009B3482">
        <w:rPr>
          <w:spacing w:val="-5"/>
        </w:rPr>
        <w:t xml:space="preserve"> </w:t>
      </w:r>
      <w:r w:rsidR="00603304" w:rsidRPr="009B3482">
        <w:t>of</w:t>
      </w:r>
      <w:r w:rsidR="00603304" w:rsidRPr="009B3482">
        <w:rPr>
          <w:spacing w:val="-6"/>
        </w:rPr>
        <w:t xml:space="preserve"> </w:t>
      </w:r>
      <w:r w:rsidR="00603304" w:rsidRPr="009B3482">
        <w:t>US$</w:t>
      </w:r>
      <w:r w:rsidR="00603304">
        <w:t xml:space="preserve">684,488 </w:t>
      </w:r>
      <w:r w:rsidR="00603304" w:rsidRPr="009B3482">
        <w:t>dollars</w:t>
      </w:r>
      <w:r w:rsidR="00603304" w:rsidRPr="009B3482">
        <w:rPr>
          <w:spacing w:val="-2"/>
        </w:rPr>
        <w:t xml:space="preserve"> </w:t>
      </w:r>
      <w:r w:rsidR="00603304" w:rsidRPr="009B3482">
        <w:t>not</w:t>
      </w:r>
      <w:r w:rsidR="00603304" w:rsidRPr="009B3482">
        <w:rPr>
          <w:spacing w:val="-5"/>
        </w:rPr>
        <w:t xml:space="preserve"> </w:t>
      </w:r>
      <w:r w:rsidR="00603304" w:rsidRPr="009B3482">
        <w:t>planned</w:t>
      </w:r>
      <w:r w:rsidR="00603304" w:rsidRPr="009B3482">
        <w:rPr>
          <w:spacing w:val="-6"/>
        </w:rPr>
        <w:t xml:space="preserve"> </w:t>
      </w:r>
      <w:r w:rsidR="00603304" w:rsidRPr="009B3482">
        <w:t xml:space="preserve">at CEO Endorsement. Although A&amp;L </w:t>
      </w:r>
      <w:r w:rsidR="00603304">
        <w:t>activities are</w:t>
      </w:r>
      <w:r w:rsidR="00603304" w:rsidRPr="009B3482">
        <w:t xml:space="preserve"> in generally difficult to be funded, it is a great achievement and partnership that such </w:t>
      </w:r>
      <w:r w:rsidR="00603304">
        <w:t>organizations</w:t>
      </w:r>
      <w:r w:rsidR="00603304" w:rsidRPr="009B3482">
        <w:t xml:space="preserve"> </w:t>
      </w:r>
      <w:r w:rsidR="00603304" w:rsidRPr="009B3482">
        <w:rPr>
          <w:color w:val="212121"/>
        </w:rPr>
        <w:t>have funded the A&amp;L. The A&amp;L team consider</w:t>
      </w:r>
      <w:r w:rsidR="00603304">
        <w:rPr>
          <w:color w:val="212121"/>
        </w:rPr>
        <w:t>s</w:t>
      </w:r>
      <w:r w:rsidR="00603304" w:rsidRPr="009B3482">
        <w:rPr>
          <w:color w:val="212121"/>
        </w:rPr>
        <w:t xml:space="preserve"> that the CoP and the Good growth Conference are key factors that motivate those partners to contribute to such valuable initiatives. In particular, the partners want to be associated with knowledge sharing towards systemic change.</w:t>
      </w:r>
      <w:r>
        <w:rPr>
          <w:color w:val="212121"/>
        </w:rPr>
        <w:t xml:space="preserve"> </w:t>
      </w:r>
    </w:p>
    <w:p w14:paraId="695AD712" w14:textId="1F9358F9" w:rsidR="000718CF" w:rsidRPr="009E7CE1" w:rsidRDefault="000718CF" w:rsidP="00D80344">
      <w:pPr>
        <w:pStyle w:val="Heading3"/>
        <w:numPr>
          <w:ilvl w:val="2"/>
          <w:numId w:val="9"/>
        </w:numPr>
      </w:pPr>
      <w:bookmarkStart w:id="57" w:name="_Toc96772490"/>
      <w:r w:rsidRPr="009E7CE1">
        <w:t>Monitoring &amp; Evaluation: design at entry (*), implementation (*), overall assessment of M&amp;E (*)</w:t>
      </w:r>
      <w:bookmarkEnd w:id="57"/>
    </w:p>
    <w:p w14:paraId="5CF9BF6E" w14:textId="77777777" w:rsidR="000718CF" w:rsidRDefault="000718CF" w:rsidP="000718CF">
      <w:pPr>
        <w:pStyle w:val="BodyText"/>
        <w:spacing w:before="133" w:line="256" w:lineRule="auto"/>
        <w:ind w:left="960" w:right="1020"/>
        <w:rPr>
          <w:rFonts w:ascii="Segoe UI" w:hAnsi="Segoe UI" w:cs="Segoe UI"/>
        </w:rPr>
      </w:pPr>
    </w:p>
    <w:p w14:paraId="7431BC65" w14:textId="718838BC" w:rsidR="000718CF" w:rsidRPr="007265DA" w:rsidRDefault="000718CF" w:rsidP="00405943">
      <w:pPr>
        <w:jc w:val="both"/>
      </w:pPr>
      <w:r w:rsidRPr="00B068EB">
        <w:rPr>
          <w:bCs/>
          <w:u w:val="thick"/>
        </w:rPr>
        <w:t>M&amp;E</w:t>
      </w:r>
      <w:r w:rsidRPr="00B068EB">
        <w:rPr>
          <w:bCs/>
          <w:spacing w:val="-15"/>
          <w:u w:val="thick"/>
        </w:rPr>
        <w:t xml:space="preserve"> </w:t>
      </w:r>
      <w:r w:rsidRPr="00B068EB">
        <w:rPr>
          <w:bCs/>
          <w:u w:val="thick"/>
        </w:rPr>
        <w:t>Design</w:t>
      </w:r>
      <w:r w:rsidRPr="00B068EB">
        <w:rPr>
          <w:bCs/>
          <w:spacing w:val="-14"/>
          <w:u w:val="thick"/>
        </w:rPr>
        <w:t xml:space="preserve"> </w:t>
      </w:r>
      <w:r w:rsidRPr="00B068EB">
        <w:rPr>
          <w:bCs/>
          <w:u w:val="thick"/>
        </w:rPr>
        <w:t>at</w:t>
      </w:r>
      <w:r w:rsidRPr="00B068EB">
        <w:rPr>
          <w:bCs/>
          <w:spacing w:val="-12"/>
          <w:u w:val="thick"/>
        </w:rPr>
        <w:t xml:space="preserve"> </w:t>
      </w:r>
      <w:r w:rsidRPr="00B068EB">
        <w:rPr>
          <w:bCs/>
          <w:u w:val="thick"/>
        </w:rPr>
        <w:t>Entry:</w:t>
      </w:r>
      <w:r w:rsidRPr="00B068EB">
        <w:rPr>
          <w:bCs/>
          <w:spacing w:val="-14"/>
        </w:rPr>
        <w:t xml:space="preserve"> </w:t>
      </w:r>
      <w:r w:rsidR="00B068EB">
        <w:rPr>
          <w:bCs/>
          <w:spacing w:val="-14"/>
        </w:rPr>
        <w:t xml:space="preserve">a </w:t>
      </w:r>
      <w:r w:rsidRPr="00B068EB">
        <w:rPr>
          <w:bCs/>
        </w:rPr>
        <w:t>standard</w:t>
      </w:r>
      <w:r w:rsidRPr="00B068EB">
        <w:rPr>
          <w:bCs/>
          <w:spacing w:val="-13"/>
        </w:rPr>
        <w:t xml:space="preserve"> </w:t>
      </w:r>
      <w:r w:rsidRPr="00B068EB">
        <w:rPr>
          <w:bCs/>
        </w:rPr>
        <w:t>UNDP/GEF</w:t>
      </w:r>
      <w:r w:rsidRPr="00B068EB">
        <w:rPr>
          <w:bCs/>
          <w:spacing w:val="-12"/>
        </w:rPr>
        <w:t xml:space="preserve"> </w:t>
      </w:r>
      <w:r w:rsidRPr="00B068EB">
        <w:rPr>
          <w:bCs/>
        </w:rPr>
        <w:t>budgeted</w:t>
      </w:r>
      <w:r w:rsidRPr="00B068EB">
        <w:rPr>
          <w:bCs/>
          <w:spacing w:val="-14"/>
        </w:rPr>
        <w:t xml:space="preserve"> </w:t>
      </w:r>
      <w:r w:rsidR="00B068EB">
        <w:rPr>
          <w:bCs/>
          <w:spacing w:val="-14"/>
        </w:rPr>
        <w:t>M</w:t>
      </w:r>
      <w:r w:rsidRPr="00B068EB">
        <w:rPr>
          <w:bCs/>
        </w:rPr>
        <w:t>onitoring</w:t>
      </w:r>
      <w:r w:rsidRPr="00B068EB">
        <w:rPr>
          <w:bCs/>
          <w:spacing w:val="-13"/>
        </w:rPr>
        <w:t xml:space="preserve"> </w:t>
      </w:r>
      <w:r w:rsidRPr="00B068EB">
        <w:rPr>
          <w:bCs/>
        </w:rPr>
        <w:t>and</w:t>
      </w:r>
      <w:r w:rsidRPr="00B068EB">
        <w:rPr>
          <w:bCs/>
          <w:spacing w:val="-15"/>
        </w:rPr>
        <w:t xml:space="preserve"> </w:t>
      </w:r>
      <w:r w:rsidR="00B068EB">
        <w:rPr>
          <w:bCs/>
          <w:spacing w:val="-15"/>
        </w:rPr>
        <w:t>E</w:t>
      </w:r>
      <w:r w:rsidRPr="00B068EB">
        <w:rPr>
          <w:bCs/>
        </w:rPr>
        <w:t>valuation</w:t>
      </w:r>
      <w:r w:rsidRPr="00B068EB">
        <w:rPr>
          <w:bCs/>
          <w:spacing w:val="-16"/>
        </w:rPr>
        <w:t xml:space="preserve"> </w:t>
      </w:r>
      <w:r w:rsidR="00B068EB">
        <w:rPr>
          <w:bCs/>
          <w:spacing w:val="-16"/>
        </w:rPr>
        <w:t>P</w:t>
      </w:r>
      <w:r w:rsidRPr="00B068EB">
        <w:rPr>
          <w:bCs/>
        </w:rPr>
        <w:t>lan</w:t>
      </w:r>
      <w:r w:rsidRPr="00B068EB">
        <w:rPr>
          <w:bCs/>
          <w:spacing w:val="-15"/>
        </w:rPr>
        <w:t xml:space="preserve"> </w:t>
      </w:r>
      <w:r w:rsidRPr="00B068EB">
        <w:rPr>
          <w:bCs/>
        </w:rPr>
        <w:t>was</w:t>
      </w:r>
      <w:r w:rsidRPr="00B068EB">
        <w:rPr>
          <w:bCs/>
          <w:spacing w:val="-13"/>
        </w:rPr>
        <w:t xml:space="preserve"> </w:t>
      </w:r>
      <w:r w:rsidRPr="00B068EB">
        <w:rPr>
          <w:bCs/>
        </w:rPr>
        <w:t>included in</w:t>
      </w:r>
      <w:r w:rsidRPr="007265DA">
        <w:t xml:space="preserve"> </w:t>
      </w:r>
      <w:r>
        <w:t xml:space="preserve">the </w:t>
      </w:r>
      <w:r w:rsidRPr="007265DA">
        <w:t>ProDoc</w:t>
      </w:r>
      <w:r w:rsidR="00B068EB">
        <w:t xml:space="preserve"> including roles and responsibilities</w:t>
      </w:r>
      <w:r w:rsidRPr="007265DA">
        <w:t xml:space="preserve"> in the M&amp;E plan. The M&amp;E Plan was practical, enough for this Pro</w:t>
      </w:r>
      <w:r>
        <w:t xml:space="preserve">ject </w:t>
      </w:r>
      <w:r w:rsidRPr="007265DA">
        <w:t>and well-conceived</w:t>
      </w:r>
      <w:r w:rsidR="00B068EB">
        <w:t>. However, the expectations of the Child Project´s staff was not sufficiently clear causing inconformity as M&amp;E responsibilities mounted with an increasing number of activities</w:t>
      </w:r>
      <w:r w:rsidRPr="007265DA">
        <w:t xml:space="preserve">. </w:t>
      </w:r>
      <w:r w:rsidR="00B068EB">
        <w:t xml:space="preserve"> The M&amp;E Plan </w:t>
      </w:r>
      <w:r w:rsidRPr="007265DA">
        <w:t>included the project inception workshop and report, annual work plan</w:t>
      </w:r>
      <w:r w:rsidR="00B068EB">
        <w:t>s</w:t>
      </w:r>
      <w:r w:rsidRPr="007265DA">
        <w:t xml:space="preserve">, quarterly reporting, annual reporting, mid-term evaluation, </w:t>
      </w:r>
      <w:r w:rsidR="0043691A">
        <w:t xml:space="preserve">elaboration of tracking tools, </w:t>
      </w:r>
      <w:r w:rsidR="00B068EB">
        <w:t>terminal</w:t>
      </w:r>
      <w:r w:rsidRPr="007265DA">
        <w:t xml:space="preserve"> evaluation, and </w:t>
      </w:r>
      <w:r w:rsidR="00B068EB">
        <w:t>financial</w:t>
      </w:r>
      <w:r w:rsidRPr="007265DA">
        <w:t xml:space="preserve"> audit. A total of </w:t>
      </w:r>
      <w:r w:rsidRPr="00833C58">
        <w:rPr>
          <w:bCs/>
        </w:rPr>
        <w:t xml:space="preserve">US$ </w:t>
      </w:r>
      <w:r w:rsidR="007B30AB" w:rsidRPr="00833C58">
        <w:rPr>
          <w:bCs/>
        </w:rPr>
        <w:t>55</w:t>
      </w:r>
      <w:r w:rsidRPr="00833C58">
        <w:rPr>
          <w:bCs/>
        </w:rPr>
        <w:t xml:space="preserve">,000, about </w:t>
      </w:r>
      <w:r w:rsidR="00F628B6">
        <w:rPr>
          <w:bCs/>
        </w:rPr>
        <w:t>2%</w:t>
      </w:r>
      <w:r w:rsidRPr="00833C58">
        <w:rPr>
          <w:b/>
          <w:i/>
        </w:rPr>
        <w:t xml:space="preserve"> </w:t>
      </w:r>
      <w:r w:rsidRPr="00833C58">
        <w:t>of the total GEF/LDCF grant</w:t>
      </w:r>
      <w:r w:rsidRPr="00833C58">
        <w:rPr>
          <w:spacing w:val="-8"/>
        </w:rPr>
        <w:t xml:space="preserve"> </w:t>
      </w:r>
      <w:r w:rsidR="0043691A" w:rsidRPr="00833C58">
        <w:rPr>
          <w:spacing w:val="-8"/>
        </w:rPr>
        <w:t xml:space="preserve">for components 1 and 3 </w:t>
      </w:r>
      <w:r w:rsidRPr="00833C58">
        <w:t>was</w:t>
      </w:r>
      <w:r w:rsidRPr="00833C58">
        <w:rPr>
          <w:spacing w:val="-7"/>
        </w:rPr>
        <w:t xml:space="preserve"> </w:t>
      </w:r>
      <w:r w:rsidRPr="00833C58">
        <w:t>allocated</w:t>
      </w:r>
      <w:r w:rsidRPr="00833C58">
        <w:rPr>
          <w:spacing w:val="-7"/>
        </w:rPr>
        <w:t xml:space="preserve"> </w:t>
      </w:r>
      <w:r w:rsidRPr="00833C58">
        <w:t>for</w:t>
      </w:r>
      <w:r w:rsidRPr="00833C58">
        <w:rPr>
          <w:spacing w:val="-7"/>
        </w:rPr>
        <w:t xml:space="preserve"> </w:t>
      </w:r>
      <w:r w:rsidRPr="00833C58">
        <w:t>the</w:t>
      </w:r>
      <w:r w:rsidRPr="00833C58">
        <w:rPr>
          <w:spacing w:val="-6"/>
        </w:rPr>
        <w:t xml:space="preserve"> </w:t>
      </w:r>
      <w:r w:rsidRPr="00833C58">
        <w:t>M&amp;E</w:t>
      </w:r>
      <w:r w:rsidRPr="00833C58">
        <w:rPr>
          <w:spacing w:val="-7"/>
        </w:rPr>
        <w:t xml:space="preserve"> </w:t>
      </w:r>
      <w:r w:rsidRPr="00833C58">
        <w:t>activities.</w:t>
      </w:r>
      <w:r w:rsidR="00D91235">
        <w:t xml:space="preserve"> </w:t>
      </w:r>
    </w:p>
    <w:p w14:paraId="4CF123B4" w14:textId="325DF1BE" w:rsidR="000718CF" w:rsidRPr="000718CF" w:rsidRDefault="000718CF" w:rsidP="00405943">
      <w:pPr>
        <w:spacing w:before="119"/>
        <w:ind w:left="120"/>
        <w:jc w:val="both"/>
        <w:rPr>
          <w:rFonts w:asciiTheme="minorHAnsi" w:hAnsiTheme="minorHAnsi" w:cstheme="minorHAnsi"/>
        </w:rPr>
      </w:pPr>
      <w:r w:rsidRPr="00DD5FE8">
        <w:rPr>
          <w:rFonts w:asciiTheme="minorHAnsi" w:hAnsiTheme="minorHAnsi" w:cstheme="minorHAnsi"/>
          <w:bCs/>
          <w:u w:val="thick"/>
        </w:rPr>
        <w:t>Implementation of M&amp;E</w:t>
      </w:r>
      <w:r w:rsidR="00EA4133">
        <w:rPr>
          <w:rFonts w:asciiTheme="minorHAnsi" w:hAnsiTheme="minorHAnsi" w:cstheme="minorHAnsi"/>
          <w:bCs/>
          <w:u w:val="thick"/>
        </w:rPr>
        <w:t xml:space="preserve">: </w:t>
      </w:r>
      <w:r w:rsidRPr="000718CF">
        <w:rPr>
          <w:rFonts w:asciiTheme="minorHAnsi" w:hAnsiTheme="minorHAnsi" w:cstheme="minorHAnsi"/>
        </w:rPr>
        <w:t xml:space="preserve">The M&amp;E </w:t>
      </w:r>
      <w:r w:rsidR="00EA4133">
        <w:rPr>
          <w:rFonts w:asciiTheme="minorHAnsi" w:hAnsiTheme="minorHAnsi" w:cstheme="minorHAnsi"/>
        </w:rPr>
        <w:t xml:space="preserve">function </w:t>
      </w:r>
      <w:r w:rsidRPr="000718CF">
        <w:rPr>
          <w:rFonts w:asciiTheme="minorHAnsi" w:hAnsiTheme="minorHAnsi" w:cstheme="minorHAnsi"/>
        </w:rPr>
        <w:t>of the A&amp;L</w:t>
      </w:r>
      <w:r w:rsidR="00EA4133">
        <w:rPr>
          <w:rFonts w:asciiTheme="minorHAnsi" w:hAnsiTheme="minorHAnsi" w:cstheme="minorHAnsi"/>
        </w:rPr>
        <w:t xml:space="preserve"> project is summarized as follows: </w:t>
      </w:r>
    </w:p>
    <w:p w14:paraId="59F39372" w14:textId="2814161B" w:rsidR="000718CF" w:rsidRPr="000718CF" w:rsidRDefault="000718CF" w:rsidP="00405943">
      <w:pPr>
        <w:pStyle w:val="BodyText"/>
        <w:spacing w:before="138"/>
        <w:ind w:left="120" w:right="115"/>
        <w:jc w:val="both"/>
        <w:rPr>
          <w:rFonts w:asciiTheme="minorHAnsi" w:hAnsiTheme="minorHAnsi" w:cstheme="minorHAnsi"/>
          <w:sz w:val="22"/>
          <w:szCs w:val="22"/>
        </w:rPr>
      </w:pPr>
      <w:r w:rsidRPr="000718CF">
        <w:rPr>
          <w:rFonts w:asciiTheme="minorHAnsi" w:hAnsiTheme="minorHAnsi" w:cstheme="minorHAnsi"/>
          <w:sz w:val="22"/>
          <w:szCs w:val="22"/>
        </w:rPr>
        <w:t xml:space="preserve">1. </w:t>
      </w:r>
      <w:r w:rsidR="00DD5FE8">
        <w:rPr>
          <w:rFonts w:asciiTheme="minorHAnsi" w:hAnsiTheme="minorHAnsi" w:cstheme="minorHAnsi"/>
          <w:sz w:val="22"/>
          <w:szCs w:val="22"/>
        </w:rPr>
        <w:t>the R</w:t>
      </w:r>
      <w:r w:rsidRPr="000718CF">
        <w:rPr>
          <w:rFonts w:asciiTheme="minorHAnsi" w:hAnsiTheme="minorHAnsi" w:cstheme="minorHAnsi"/>
          <w:sz w:val="22"/>
          <w:szCs w:val="22"/>
        </w:rPr>
        <w:t xml:space="preserve">esults </w:t>
      </w:r>
      <w:r w:rsidR="00DD5FE8">
        <w:rPr>
          <w:rFonts w:asciiTheme="minorHAnsi" w:hAnsiTheme="minorHAnsi" w:cstheme="minorHAnsi"/>
          <w:sz w:val="22"/>
          <w:szCs w:val="22"/>
        </w:rPr>
        <w:t>F</w:t>
      </w:r>
      <w:r w:rsidRPr="000718CF">
        <w:rPr>
          <w:rFonts w:asciiTheme="minorHAnsi" w:hAnsiTheme="minorHAnsi" w:cstheme="minorHAnsi"/>
          <w:sz w:val="22"/>
          <w:szCs w:val="22"/>
        </w:rPr>
        <w:t>ramework</w:t>
      </w:r>
      <w:r w:rsidR="00DD5FE8">
        <w:rPr>
          <w:rFonts w:asciiTheme="minorHAnsi" w:hAnsiTheme="minorHAnsi" w:cstheme="minorHAnsi"/>
          <w:sz w:val="22"/>
          <w:szCs w:val="22"/>
        </w:rPr>
        <w:t xml:space="preserve"> is the backbone of the M&amp;E Plan used in coordination with </w:t>
      </w:r>
      <w:r w:rsidRPr="000718CF">
        <w:rPr>
          <w:rFonts w:asciiTheme="minorHAnsi" w:hAnsiTheme="minorHAnsi" w:cstheme="minorHAnsi"/>
          <w:sz w:val="22"/>
          <w:szCs w:val="22"/>
        </w:rPr>
        <w:t>annual workplan</w:t>
      </w:r>
      <w:r w:rsidR="00DD5FE8">
        <w:rPr>
          <w:rFonts w:asciiTheme="minorHAnsi" w:hAnsiTheme="minorHAnsi" w:cstheme="minorHAnsi"/>
          <w:sz w:val="22"/>
          <w:szCs w:val="22"/>
        </w:rPr>
        <w:t xml:space="preserve">s, Quarterly Reports, </w:t>
      </w:r>
      <w:r w:rsidR="005510DE">
        <w:rPr>
          <w:rFonts w:asciiTheme="minorHAnsi" w:hAnsiTheme="minorHAnsi" w:cstheme="minorHAnsi"/>
          <w:sz w:val="22"/>
          <w:szCs w:val="22"/>
        </w:rPr>
        <w:t>UNDP annual reports</w:t>
      </w:r>
      <w:r w:rsidR="00DD5FE8">
        <w:rPr>
          <w:rFonts w:asciiTheme="minorHAnsi" w:hAnsiTheme="minorHAnsi" w:cstheme="minorHAnsi"/>
          <w:sz w:val="22"/>
          <w:szCs w:val="22"/>
        </w:rPr>
        <w:t xml:space="preserve">, and ultimately the PIR which is </w:t>
      </w:r>
      <w:r w:rsidRPr="000718CF">
        <w:rPr>
          <w:rFonts w:asciiTheme="minorHAnsi" w:hAnsiTheme="minorHAnsi" w:cstheme="minorHAnsi"/>
          <w:sz w:val="22"/>
          <w:szCs w:val="22"/>
        </w:rPr>
        <w:t xml:space="preserve">populated from quarterly reports </w:t>
      </w:r>
      <w:r w:rsidR="00213A2F">
        <w:rPr>
          <w:rFonts w:asciiTheme="minorHAnsi" w:hAnsiTheme="minorHAnsi" w:cstheme="minorHAnsi"/>
          <w:sz w:val="22"/>
          <w:szCs w:val="22"/>
        </w:rPr>
        <w:t xml:space="preserve">and additional inputs gathered from </w:t>
      </w:r>
      <w:r w:rsidR="004620CE">
        <w:rPr>
          <w:rFonts w:asciiTheme="minorHAnsi" w:hAnsiTheme="minorHAnsi" w:cstheme="minorHAnsi"/>
          <w:sz w:val="22"/>
          <w:szCs w:val="22"/>
        </w:rPr>
        <w:t>child projects</w:t>
      </w:r>
      <w:r w:rsidRPr="000718CF">
        <w:rPr>
          <w:rFonts w:asciiTheme="minorHAnsi" w:hAnsiTheme="minorHAnsi" w:cstheme="minorHAnsi"/>
          <w:sz w:val="22"/>
          <w:szCs w:val="22"/>
        </w:rPr>
        <w:t>.</w:t>
      </w:r>
      <w:r w:rsidR="00A619CA">
        <w:rPr>
          <w:rFonts w:asciiTheme="minorHAnsi" w:hAnsiTheme="minorHAnsi" w:cstheme="minorHAnsi"/>
          <w:sz w:val="22"/>
          <w:szCs w:val="22"/>
        </w:rPr>
        <w:t xml:space="preserve"> These reports also capture risks analysis</w:t>
      </w:r>
      <w:r w:rsidR="00894F37">
        <w:rPr>
          <w:rFonts w:asciiTheme="minorHAnsi" w:hAnsiTheme="minorHAnsi" w:cstheme="minorHAnsi"/>
          <w:sz w:val="22"/>
          <w:szCs w:val="22"/>
        </w:rPr>
        <w:t xml:space="preserve"> and mitigation strategies as well as </w:t>
      </w:r>
      <w:r w:rsidR="00072138">
        <w:rPr>
          <w:rFonts w:asciiTheme="minorHAnsi" w:hAnsiTheme="minorHAnsi" w:cstheme="minorHAnsi"/>
          <w:sz w:val="22"/>
          <w:szCs w:val="22"/>
        </w:rPr>
        <w:t xml:space="preserve">and cross cutting </w:t>
      </w:r>
      <w:r w:rsidR="00D72ED1">
        <w:rPr>
          <w:rFonts w:asciiTheme="minorHAnsi" w:hAnsiTheme="minorHAnsi" w:cstheme="minorHAnsi"/>
          <w:sz w:val="22"/>
          <w:szCs w:val="22"/>
        </w:rPr>
        <w:t>themes such as gender, partnerships, knowledge management etc.</w:t>
      </w:r>
    </w:p>
    <w:p w14:paraId="706C5B32" w14:textId="25A0CBF9" w:rsidR="000718CF" w:rsidRDefault="000718CF" w:rsidP="00405943">
      <w:pPr>
        <w:pStyle w:val="BodyText"/>
        <w:spacing w:before="138"/>
        <w:ind w:left="120" w:right="115"/>
        <w:jc w:val="both"/>
        <w:rPr>
          <w:rFonts w:asciiTheme="minorHAnsi" w:hAnsiTheme="minorHAnsi" w:cstheme="minorHAnsi"/>
          <w:sz w:val="22"/>
          <w:szCs w:val="22"/>
        </w:rPr>
      </w:pPr>
      <w:r w:rsidRPr="000718CF">
        <w:rPr>
          <w:rFonts w:asciiTheme="minorHAnsi" w:hAnsiTheme="minorHAnsi" w:cstheme="minorHAnsi"/>
          <w:sz w:val="22"/>
          <w:szCs w:val="22"/>
        </w:rPr>
        <w:t xml:space="preserve">2. Through </w:t>
      </w:r>
      <w:r w:rsidR="00EA4133">
        <w:rPr>
          <w:rFonts w:asciiTheme="minorHAnsi" w:hAnsiTheme="minorHAnsi" w:cstheme="minorHAnsi"/>
          <w:sz w:val="22"/>
          <w:szCs w:val="22"/>
        </w:rPr>
        <w:t xml:space="preserve">internal communications in the form of targeted calls with </w:t>
      </w:r>
      <w:r w:rsidRPr="000718CF">
        <w:rPr>
          <w:rFonts w:asciiTheme="minorHAnsi" w:hAnsiTheme="minorHAnsi" w:cstheme="minorHAnsi"/>
          <w:sz w:val="22"/>
          <w:szCs w:val="22"/>
        </w:rPr>
        <w:t>the Steering Committee, Board, Secretariat</w:t>
      </w:r>
      <w:r w:rsidR="000B7F94">
        <w:rPr>
          <w:rFonts w:asciiTheme="minorHAnsi" w:hAnsiTheme="minorHAnsi" w:cstheme="minorHAnsi"/>
          <w:sz w:val="22"/>
          <w:szCs w:val="22"/>
        </w:rPr>
        <w:t>, global partners</w:t>
      </w:r>
      <w:r w:rsidRPr="000718CF">
        <w:rPr>
          <w:rFonts w:asciiTheme="minorHAnsi" w:hAnsiTheme="minorHAnsi" w:cstheme="minorHAnsi"/>
          <w:sz w:val="22"/>
          <w:szCs w:val="22"/>
        </w:rPr>
        <w:t xml:space="preserve"> and national teams. The Board meetings are informative </w:t>
      </w:r>
      <w:r w:rsidR="00EA4133">
        <w:rPr>
          <w:rFonts w:asciiTheme="minorHAnsi" w:hAnsiTheme="minorHAnsi" w:cstheme="minorHAnsi"/>
          <w:sz w:val="22"/>
          <w:szCs w:val="22"/>
        </w:rPr>
        <w:t xml:space="preserve">and summarize qualitative and quantitative information on the state of the project. The presentations and analysis are of high quality and demonstrate the quality of upstream communication </w:t>
      </w:r>
      <w:r w:rsidRPr="000718CF">
        <w:rPr>
          <w:rFonts w:asciiTheme="minorHAnsi" w:hAnsiTheme="minorHAnsi" w:cstheme="minorHAnsi"/>
          <w:sz w:val="22"/>
          <w:szCs w:val="22"/>
        </w:rPr>
        <w:t xml:space="preserve">on key issues </w:t>
      </w:r>
      <w:r w:rsidR="00EA4133">
        <w:rPr>
          <w:rFonts w:asciiTheme="minorHAnsi" w:hAnsiTheme="minorHAnsi" w:cstheme="minorHAnsi"/>
          <w:sz w:val="22"/>
          <w:szCs w:val="22"/>
        </w:rPr>
        <w:t xml:space="preserve">to inform </w:t>
      </w:r>
      <w:r w:rsidRPr="000718CF">
        <w:rPr>
          <w:rFonts w:asciiTheme="minorHAnsi" w:hAnsiTheme="minorHAnsi" w:cstheme="minorHAnsi"/>
          <w:sz w:val="22"/>
          <w:szCs w:val="22"/>
        </w:rPr>
        <w:t>decision-making</w:t>
      </w:r>
      <w:r w:rsidR="00EA4133">
        <w:rPr>
          <w:rFonts w:asciiTheme="minorHAnsi" w:hAnsiTheme="minorHAnsi" w:cstheme="minorHAnsi"/>
          <w:sz w:val="22"/>
          <w:szCs w:val="22"/>
        </w:rPr>
        <w:t xml:space="preserve"> on project changes needed. </w:t>
      </w:r>
      <w:r w:rsidRPr="000718CF">
        <w:rPr>
          <w:rFonts w:asciiTheme="minorHAnsi" w:hAnsiTheme="minorHAnsi" w:cstheme="minorHAnsi"/>
          <w:sz w:val="22"/>
          <w:szCs w:val="22"/>
        </w:rPr>
        <w:t xml:space="preserve">The monthly calls with the Secretariat and </w:t>
      </w:r>
      <w:r w:rsidR="00A15D1C">
        <w:rPr>
          <w:rFonts w:asciiTheme="minorHAnsi" w:hAnsiTheme="minorHAnsi" w:cstheme="minorHAnsi"/>
          <w:sz w:val="22"/>
          <w:szCs w:val="22"/>
        </w:rPr>
        <w:t xml:space="preserve">quarterly calls </w:t>
      </w:r>
      <w:r w:rsidR="00A15D1C">
        <w:rPr>
          <w:rFonts w:asciiTheme="minorHAnsi" w:hAnsiTheme="minorHAnsi" w:cstheme="minorHAnsi"/>
          <w:sz w:val="22"/>
          <w:szCs w:val="22"/>
        </w:rPr>
        <w:lastRenderedPageBreak/>
        <w:t>with</w:t>
      </w:r>
      <w:r w:rsidRPr="000718CF">
        <w:rPr>
          <w:rFonts w:asciiTheme="minorHAnsi" w:hAnsiTheme="minorHAnsi" w:cstheme="minorHAnsi"/>
          <w:sz w:val="22"/>
          <w:szCs w:val="22"/>
        </w:rPr>
        <w:t xml:space="preserve"> national teams</w:t>
      </w:r>
      <w:r w:rsidR="00F628B6">
        <w:rPr>
          <w:rFonts w:asciiTheme="minorHAnsi" w:hAnsiTheme="minorHAnsi" w:cstheme="minorHAnsi"/>
          <w:sz w:val="22"/>
          <w:szCs w:val="22"/>
        </w:rPr>
        <w:t xml:space="preserve"> provide </w:t>
      </w:r>
      <w:r w:rsidR="00A17634">
        <w:rPr>
          <w:rFonts w:asciiTheme="minorHAnsi" w:hAnsiTheme="minorHAnsi" w:cstheme="minorHAnsi"/>
          <w:sz w:val="22"/>
          <w:szCs w:val="22"/>
        </w:rPr>
        <w:t>both</w:t>
      </w:r>
      <w:r w:rsidR="00F628B6">
        <w:rPr>
          <w:rFonts w:asciiTheme="minorHAnsi" w:hAnsiTheme="minorHAnsi" w:cstheme="minorHAnsi"/>
          <w:sz w:val="22"/>
          <w:szCs w:val="22"/>
        </w:rPr>
        <w:t xml:space="preserve"> downstream and upstream </w:t>
      </w:r>
      <w:r w:rsidRPr="000718CF">
        <w:rPr>
          <w:rFonts w:asciiTheme="minorHAnsi" w:hAnsiTheme="minorHAnsi" w:cstheme="minorHAnsi"/>
          <w:sz w:val="22"/>
          <w:szCs w:val="22"/>
        </w:rPr>
        <w:t xml:space="preserve">sharing </w:t>
      </w:r>
      <w:r w:rsidR="00A17634">
        <w:rPr>
          <w:rFonts w:asciiTheme="minorHAnsi" w:hAnsiTheme="minorHAnsi" w:cstheme="minorHAnsi"/>
          <w:sz w:val="22"/>
          <w:szCs w:val="22"/>
        </w:rPr>
        <w:t xml:space="preserve">of </w:t>
      </w:r>
      <w:r w:rsidRPr="000718CF">
        <w:rPr>
          <w:rFonts w:asciiTheme="minorHAnsi" w:hAnsiTheme="minorHAnsi" w:cstheme="minorHAnsi"/>
          <w:sz w:val="22"/>
          <w:szCs w:val="22"/>
        </w:rPr>
        <w:t>information</w:t>
      </w:r>
      <w:r w:rsidR="00A17634">
        <w:rPr>
          <w:rFonts w:asciiTheme="minorHAnsi" w:hAnsiTheme="minorHAnsi" w:cstheme="minorHAnsi"/>
          <w:sz w:val="22"/>
          <w:szCs w:val="22"/>
        </w:rPr>
        <w:t xml:space="preserve"> on targets</w:t>
      </w:r>
      <w:r w:rsidRPr="000718CF">
        <w:rPr>
          <w:rFonts w:asciiTheme="minorHAnsi" w:hAnsiTheme="minorHAnsi" w:cstheme="minorHAnsi"/>
          <w:sz w:val="22"/>
          <w:szCs w:val="22"/>
        </w:rPr>
        <w:t>, documenting adaptive management and finding solutions to strengthen adaptive management.</w:t>
      </w:r>
    </w:p>
    <w:p w14:paraId="093165DF" w14:textId="7E248D0D" w:rsidR="00E66CFE" w:rsidRDefault="00E66CFE" w:rsidP="00405943">
      <w:pPr>
        <w:pStyle w:val="BodyText"/>
        <w:spacing w:before="138"/>
        <w:ind w:left="120" w:right="115"/>
        <w:jc w:val="both"/>
        <w:rPr>
          <w:rFonts w:asciiTheme="minorHAnsi" w:hAnsiTheme="minorHAnsi" w:cstheme="minorHAnsi"/>
          <w:sz w:val="22"/>
          <w:szCs w:val="22"/>
        </w:rPr>
      </w:pPr>
      <w:r>
        <w:rPr>
          <w:rFonts w:asciiTheme="minorHAnsi" w:hAnsiTheme="minorHAnsi" w:cstheme="minorHAnsi"/>
          <w:sz w:val="22"/>
          <w:szCs w:val="22"/>
        </w:rPr>
        <w:t>3. Special Indicators: The PMU was requested by GEF to develop a suite of indicators that better represented the progress towards GGP targets</w:t>
      </w:r>
      <w:r w:rsidR="00CC1ECE">
        <w:rPr>
          <w:rFonts w:asciiTheme="minorHAnsi" w:hAnsiTheme="minorHAnsi" w:cstheme="minorHAnsi"/>
          <w:sz w:val="22"/>
          <w:szCs w:val="22"/>
        </w:rPr>
        <w:t xml:space="preserve"> at programme level</w:t>
      </w:r>
      <w:r>
        <w:rPr>
          <w:rFonts w:asciiTheme="minorHAnsi" w:hAnsiTheme="minorHAnsi" w:cstheme="minorHAnsi"/>
          <w:sz w:val="22"/>
          <w:szCs w:val="22"/>
        </w:rPr>
        <w:t>.</w:t>
      </w:r>
    </w:p>
    <w:p w14:paraId="5F5EF65C" w14:textId="6E1F7AC5" w:rsidR="00E66CFE" w:rsidRPr="000718CF" w:rsidRDefault="00F40675" w:rsidP="00405943">
      <w:pPr>
        <w:pStyle w:val="BodyText"/>
        <w:spacing w:before="138"/>
        <w:ind w:left="120" w:right="115"/>
        <w:jc w:val="both"/>
        <w:rPr>
          <w:rFonts w:asciiTheme="minorHAnsi" w:hAnsiTheme="minorHAnsi" w:cstheme="minorHAnsi"/>
          <w:sz w:val="22"/>
          <w:szCs w:val="22"/>
        </w:rPr>
      </w:pPr>
      <w:r>
        <w:rPr>
          <w:rFonts w:asciiTheme="minorHAnsi" w:hAnsiTheme="minorHAnsi" w:cstheme="minorHAnsi"/>
          <w:sz w:val="22"/>
          <w:szCs w:val="22"/>
        </w:rPr>
        <w:t xml:space="preserve">KIIs </w:t>
      </w:r>
      <w:r w:rsidR="00E66CFE">
        <w:rPr>
          <w:rFonts w:asciiTheme="minorHAnsi" w:hAnsiTheme="minorHAnsi" w:cstheme="minorHAnsi"/>
          <w:sz w:val="22"/>
          <w:szCs w:val="22"/>
        </w:rPr>
        <w:t>5. Contracting Reviews: Execution of the MTR and TE.</w:t>
      </w:r>
    </w:p>
    <w:p w14:paraId="07F384C1" w14:textId="715263CA" w:rsidR="000718CF" w:rsidRPr="000718CF" w:rsidRDefault="00E66CFE" w:rsidP="00405943">
      <w:pPr>
        <w:pStyle w:val="BodyText"/>
        <w:spacing w:before="138"/>
        <w:ind w:left="120" w:right="115"/>
        <w:jc w:val="both"/>
        <w:rPr>
          <w:rFonts w:asciiTheme="minorHAnsi" w:hAnsiTheme="minorHAnsi" w:cstheme="minorHAnsi"/>
          <w:sz w:val="22"/>
          <w:szCs w:val="22"/>
        </w:rPr>
      </w:pPr>
      <w:r>
        <w:rPr>
          <w:rFonts w:asciiTheme="minorHAnsi" w:hAnsiTheme="minorHAnsi" w:cstheme="minorHAnsi"/>
          <w:sz w:val="22"/>
          <w:szCs w:val="22"/>
        </w:rPr>
        <w:t>6</w:t>
      </w:r>
      <w:r w:rsidR="000718CF" w:rsidRPr="000718CF">
        <w:rPr>
          <w:rFonts w:asciiTheme="minorHAnsi" w:hAnsiTheme="minorHAnsi" w:cstheme="minorHAnsi"/>
          <w:sz w:val="22"/>
          <w:szCs w:val="22"/>
        </w:rPr>
        <w:t xml:space="preserve">. </w:t>
      </w:r>
      <w:r>
        <w:rPr>
          <w:rFonts w:asciiTheme="minorHAnsi" w:hAnsiTheme="minorHAnsi" w:cstheme="minorHAnsi"/>
          <w:sz w:val="22"/>
          <w:szCs w:val="22"/>
        </w:rPr>
        <w:t>R</w:t>
      </w:r>
      <w:r w:rsidR="000718CF" w:rsidRPr="000718CF">
        <w:rPr>
          <w:rFonts w:asciiTheme="minorHAnsi" w:hAnsiTheme="minorHAnsi" w:cstheme="minorHAnsi"/>
          <w:sz w:val="22"/>
          <w:szCs w:val="22"/>
        </w:rPr>
        <w:t>eporting</w:t>
      </w:r>
      <w:r>
        <w:rPr>
          <w:rFonts w:asciiTheme="minorHAnsi" w:hAnsiTheme="minorHAnsi" w:cstheme="minorHAnsi"/>
          <w:sz w:val="22"/>
          <w:szCs w:val="22"/>
        </w:rPr>
        <w:t>:</w:t>
      </w:r>
      <w:r w:rsidR="000718CF" w:rsidRPr="000718CF">
        <w:rPr>
          <w:rFonts w:asciiTheme="minorHAnsi" w:hAnsiTheme="minorHAnsi" w:cstheme="minorHAnsi"/>
          <w:sz w:val="22"/>
          <w:szCs w:val="22"/>
        </w:rPr>
        <w:t xml:space="preserve"> </w:t>
      </w:r>
      <w:r>
        <w:rPr>
          <w:rFonts w:asciiTheme="minorHAnsi" w:hAnsiTheme="minorHAnsi" w:cstheme="minorHAnsi"/>
          <w:sz w:val="22"/>
          <w:szCs w:val="22"/>
        </w:rPr>
        <w:t>Preparation of</w:t>
      </w:r>
      <w:r w:rsidR="000718CF" w:rsidRPr="000718CF">
        <w:rPr>
          <w:rFonts w:asciiTheme="minorHAnsi" w:hAnsiTheme="minorHAnsi" w:cstheme="minorHAnsi"/>
          <w:sz w:val="22"/>
          <w:szCs w:val="22"/>
        </w:rPr>
        <w:t xml:space="preserve"> quarterly reporting and annual reports by implementing agencies, which is then used to collect information for the results framework/PIR and for the Highlights report. </w:t>
      </w:r>
    </w:p>
    <w:p w14:paraId="5CA7A815" w14:textId="249D7381" w:rsidR="000718CF" w:rsidRDefault="00AD3BC9" w:rsidP="00405943">
      <w:pPr>
        <w:pStyle w:val="BodyText"/>
        <w:spacing w:before="138"/>
        <w:ind w:left="120" w:right="115"/>
        <w:jc w:val="both"/>
        <w:rPr>
          <w:rFonts w:asciiTheme="minorHAnsi" w:hAnsiTheme="minorHAnsi" w:cstheme="minorHAnsi"/>
          <w:sz w:val="22"/>
          <w:szCs w:val="22"/>
        </w:rPr>
      </w:pPr>
      <w:r>
        <w:rPr>
          <w:rFonts w:asciiTheme="minorHAnsi" w:hAnsiTheme="minorHAnsi" w:cstheme="minorHAnsi"/>
          <w:sz w:val="22"/>
          <w:szCs w:val="22"/>
        </w:rPr>
        <w:t xml:space="preserve">7. A Monitoring and Evaluation Working Group. Unfortunately, the group was of limited use and discontinued. </w:t>
      </w:r>
    </w:p>
    <w:p w14:paraId="0F067E34" w14:textId="10FC4D37" w:rsidR="000718CF" w:rsidRDefault="00DD5FE8" w:rsidP="000718CF">
      <w:pPr>
        <w:pStyle w:val="BodyText"/>
        <w:spacing w:before="138"/>
        <w:ind w:left="120" w:right="115"/>
        <w:jc w:val="both"/>
        <w:rPr>
          <w:rFonts w:asciiTheme="minorHAnsi" w:hAnsiTheme="minorHAnsi" w:cstheme="minorHAnsi"/>
          <w:sz w:val="22"/>
          <w:szCs w:val="22"/>
        </w:rPr>
      </w:pPr>
      <w:r>
        <w:rPr>
          <w:rFonts w:asciiTheme="minorHAnsi" w:hAnsiTheme="minorHAnsi" w:cstheme="minorHAnsi"/>
          <w:sz w:val="22"/>
          <w:szCs w:val="22"/>
        </w:rPr>
        <w:t xml:space="preserve">Findings: </w:t>
      </w:r>
    </w:p>
    <w:p w14:paraId="3A2B0402" w14:textId="405AED5F" w:rsidR="00DD5FE8" w:rsidRDefault="00F40675" w:rsidP="00F40675">
      <w:pPr>
        <w:pStyle w:val="BodyText"/>
        <w:spacing w:before="138"/>
        <w:ind w:left="360" w:right="115"/>
        <w:jc w:val="both"/>
        <w:rPr>
          <w:rFonts w:asciiTheme="minorHAnsi" w:hAnsiTheme="minorHAnsi" w:cstheme="minorHAnsi"/>
          <w:sz w:val="22"/>
          <w:szCs w:val="22"/>
        </w:rPr>
      </w:pPr>
      <w:r>
        <w:rPr>
          <w:rFonts w:asciiTheme="minorHAnsi" w:hAnsiTheme="minorHAnsi" w:cstheme="minorHAnsi"/>
          <w:sz w:val="22"/>
          <w:szCs w:val="22"/>
        </w:rPr>
        <w:t xml:space="preserve">(29) </w:t>
      </w:r>
      <w:r w:rsidR="00DD5FE8" w:rsidRPr="000718CF">
        <w:rPr>
          <w:rFonts w:asciiTheme="minorHAnsi" w:hAnsiTheme="minorHAnsi" w:cstheme="minorHAnsi"/>
          <w:sz w:val="22"/>
          <w:szCs w:val="22"/>
        </w:rPr>
        <w:t>It is a cost-effective system involving all stakeholders</w:t>
      </w:r>
    </w:p>
    <w:p w14:paraId="63920AE2" w14:textId="1BCA5DC5" w:rsidR="0096320C" w:rsidRDefault="00F40675" w:rsidP="00F40675">
      <w:pPr>
        <w:pStyle w:val="BodyText"/>
        <w:spacing w:before="138"/>
        <w:ind w:left="360" w:right="115"/>
        <w:jc w:val="both"/>
        <w:rPr>
          <w:rFonts w:asciiTheme="minorHAnsi" w:hAnsiTheme="minorHAnsi" w:cstheme="minorHAnsi"/>
          <w:sz w:val="22"/>
          <w:szCs w:val="22"/>
        </w:rPr>
      </w:pPr>
      <w:r>
        <w:rPr>
          <w:rFonts w:asciiTheme="minorHAnsi" w:hAnsiTheme="minorHAnsi" w:cstheme="minorHAnsi"/>
          <w:sz w:val="22"/>
          <w:szCs w:val="22"/>
        </w:rPr>
        <w:t>(30) KIIs indicate t</w:t>
      </w:r>
      <w:r w:rsidR="00AD3BC9">
        <w:rPr>
          <w:rFonts w:asciiTheme="minorHAnsi" w:hAnsiTheme="minorHAnsi" w:cstheme="minorHAnsi"/>
          <w:sz w:val="22"/>
          <w:szCs w:val="22"/>
        </w:rPr>
        <w:t>hat the M&amp;E Working group did not live up to expectations</w:t>
      </w:r>
      <w:r w:rsidR="00FD4B1C">
        <w:rPr>
          <w:rFonts w:asciiTheme="minorHAnsi" w:hAnsiTheme="minorHAnsi" w:cstheme="minorHAnsi"/>
          <w:sz w:val="22"/>
          <w:szCs w:val="22"/>
        </w:rPr>
        <w:t xml:space="preserve"> and that</w:t>
      </w:r>
      <w:r w:rsidR="00AD3BC9">
        <w:rPr>
          <w:rFonts w:asciiTheme="minorHAnsi" w:hAnsiTheme="minorHAnsi" w:cstheme="minorHAnsi"/>
          <w:sz w:val="22"/>
          <w:szCs w:val="22"/>
        </w:rPr>
        <w:t xml:space="preserve"> It could have gone much further to provide for meaningful dialogue on </w:t>
      </w:r>
      <w:r w:rsidR="00A9513E">
        <w:rPr>
          <w:rFonts w:asciiTheme="minorHAnsi" w:hAnsiTheme="minorHAnsi" w:cstheme="minorHAnsi"/>
          <w:sz w:val="22"/>
          <w:szCs w:val="22"/>
        </w:rPr>
        <w:t>strategies</w:t>
      </w:r>
      <w:r w:rsidR="00AD3BC9">
        <w:rPr>
          <w:rFonts w:asciiTheme="minorHAnsi" w:hAnsiTheme="minorHAnsi" w:cstheme="minorHAnsi"/>
          <w:sz w:val="22"/>
          <w:szCs w:val="22"/>
        </w:rPr>
        <w:t xml:space="preserve">, lessons learned, synthesizing conclusions, etc. Too much </w:t>
      </w:r>
      <w:r w:rsidR="00405943">
        <w:rPr>
          <w:rFonts w:asciiTheme="minorHAnsi" w:hAnsiTheme="minorHAnsi" w:cstheme="minorHAnsi"/>
          <w:sz w:val="22"/>
          <w:szCs w:val="22"/>
        </w:rPr>
        <w:t>emphasis</w:t>
      </w:r>
      <w:r w:rsidR="00AD3BC9">
        <w:rPr>
          <w:rFonts w:asciiTheme="minorHAnsi" w:hAnsiTheme="minorHAnsi" w:cstheme="minorHAnsi"/>
          <w:sz w:val="22"/>
          <w:szCs w:val="22"/>
        </w:rPr>
        <w:t xml:space="preserve"> </w:t>
      </w:r>
      <w:r w:rsidR="00FD4B1C">
        <w:rPr>
          <w:rFonts w:asciiTheme="minorHAnsi" w:hAnsiTheme="minorHAnsi" w:cstheme="minorHAnsi"/>
          <w:sz w:val="22"/>
          <w:szCs w:val="22"/>
        </w:rPr>
        <w:t xml:space="preserve">was placed </w:t>
      </w:r>
      <w:r w:rsidR="00AD3BC9">
        <w:rPr>
          <w:rFonts w:asciiTheme="minorHAnsi" w:hAnsiTheme="minorHAnsi" w:cstheme="minorHAnsi"/>
          <w:sz w:val="22"/>
          <w:szCs w:val="22"/>
        </w:rPr>
        <w:t>on checking off boxes.</w:t>
      </w:r>
      <w:r>
        <w:rPr>
          <w:rFonts w:asciiTheme="minorHAnsi" w:hAnsiTheme="minorHAnsi" w:cstheme="minorHAnsi"/>
          <w:sz w:val="22"/>
          <w:szCs w:val="22"/>
        </w:rPr>
        <w:t xml:space="preserve"> </w:t>
      </w:r>
      <w:r w:rsidR="00AD3BC9">
        <w:rPr>
          <w:rFonts w:asciiTheme="minorHAnsi" w:hAnsiTheme="minorHAnsi" w:cstheme="minorHAnsi"/>
          <w:sz w:val="22"/>
          <w:szCs w:val="22"/>
        </w:rPr>
        <w:t>Child project staff complained about the number of reports and reporting requested</w:t>
      </w:r>
      <w:r w:rsidR="00FD4B1C">
        <w:rPr>
          <w:rFonts w:asciiTheme="minorHAnsi" w:hAnsiTheme="minorHAnsi" w:cstheme="minorHAnsi"/>
          <w:sz w:val="22"/>
          <w:szCs w:val="22"/>
        </w:rPr>
        <w:t xml:space="preserve"> and that these were not part of their job and no financing available for data taking</w:t>
      </w:r>
      <w:r w:rsidR="00AD3BC9">
        <w:rPr>
          <w:rFonts w:asciiTheme="minorHAnsi" w:hAnsiTheme="minorHAnsi" w:cstheme="minorHAnsi"/>
          <w:sz w:val="22"/>
          <w:szCs w:val="22"/>
        </w:rPr>
        <w:t xml:space="preserve">. </w:t>
      </w:r>
      <w:r w:rsidR="00D75708">
        <w:rPr>
          <w:rFonts w:asciiTheme="minorHAnsi" w:hAnsiTheme="minorHAnsi" w:cstheme="minorHAnsi"/>
          <w:sz w:val="22"/>
          <w:szCs w:val="22"/>
        </w:rPr>
        <w:t xml:space="preserve">A similar comment was registered for the evaluation process with multiple evaluators asking essentially the same questions.  </w:t>
      </w:r>
      <w:r w:rsidR="0096320C">
        <w:rPr>
          <w:rFonts w:asciiTheme="minorHAnsi" w:hAnsiTheme="minorHAnsi" w:cstheme="minorHAnsi"/>
          <w:sz w:val="22"/>
          <w:szCs w:val="22"/>
        </w:rPr>
        <w:t>That situation greatly improved following the MTR</w:t>
      </w:r>
      <w:r w:rsidR="00FD4B1C">
        <w:rPr>
          <w:rFonts w:asciiTheme="minorHAnsi" w:hAnsiTheme="minorHAnsi" w:cstheme="minorHAnsi"/>
          <w:sz w:val="22"/>
          <w:szCs w:val="22"/>
        </w:rPr>
        <w:t>. KIIs recognized that the M&amp;E function was more focused on their needs and less time intensive</w:t>
      </w:r>
      <w:r w:rsidR="0096320C">
        <w:rPr>
          <w:rFonts w:asciiTheme="minorHAnsi" w:hAnsiTheme="minorHAnsi" w:cstheme="minorHAnsi"/>
          <w:sz w:val="22"/>
          <w:szCs w:val="22"/>
        </w:rPr>
        <w:t>.</w:t>
      </w:r>
      <w:r w:rsidR="00793A9C" w:rsidRPr="00793A9C">
        <w:rPr>
          <w:rFonts w:asciiTheme="minorHAnsi" w:hAnsiTheme="minorHAnsi" w:cstheme="minorHAnsi"/>
          <w:sz w:val="22"/>
          <w:szCs w:val="22"/>
        </w:rPr>
        <w:t>.</w:t>
      </w:r>
      <w:r w:rsidR="00793A9C">
        <w:rPr>
          <w:rFonts w:asciiTheme="minorHAnsi" w:hAnsiTheme="minorHAnsi" w:cstheme="minorHAnsi"/>
          <w:sz w:val="22"/>
          <w:szCs w:val="22"/>
        </w:rPr>
        <w:t xml:space="preserve"> </w:t>
      </w:r>
      <w:r w:rsidR="0096320C">
        <w:rPr>
          <w:rFonts w:asciiTheme="minorHAnsi" w:hAnsiTheme="minorHAnsi" w:cstheme="minorHAnsi"/>
          <w:sz w:val="22"/>
          <w:szCs w:val="22"/>
        </w:rPr>
        <w:t xml:space="preserve">The </w:t>
      </w:r>
      <w:r w:rsidR="00C67FF3">
        <w:rPr>
          <w:rFonts w:asciiTheme="minorHAnsi" w:hAnsiTheme="minorHAnsi" w:cstheme="minorHAnsi"/>
          <w:sz w:val="22"/>
          <w:szCs w:val="22"/>
        </w:rPr>
        <w:t>GGP Secretariat quarterly</w:t>
      </w:r>
      <w:r w:rsidR="0096320C">
        <w:rPr>
          <w:rFonts w:asciiTheme="minorHAnsi" w:hAnsiTheme="minorHAnsi" w:cstheme="minorHAnsi"/>
          <w:sz w:val="22"/>
          <w:szCs w:val="22"/>
        </w:rPr>
        <w:t xml:space="preserve"> country-specific calls were widely complimented for being relevant and time well spent</w:t>
      </w:r>
    </w:p>
    <w:p w14:paraId="146FCA95" w14:textId="60FA048B" w:rsidR="0096320C" w:rsidRPr="00B94000" w:rsidRDefault="0096320C" w:rsidP="00F40675">
      <w:pPr>
        <w:pStyle w:val="BodyText"/>
        <w:spacing w:before="138"/>
        <w:ind w:left="360" w:right="115"/>
        <w:jc w:val="both"/>
        <w:rPr>
          <w:rFonts w:asciiTheme="minorHAnsi" w:hAnsiTheme="minorHAnsi" w:cstheme="minorHAnsi"/>
          <w:sz w:val="22"/>
          <w:szCs w:val="22"/>
        </w:rPr>
      </w:pPr>
      <w:r w:rsidRPr="00B94000">
        <w:rPr>
          <w:rFonts w:asciiTheme="minorHAnsi" w:hAnsiTheme="minorHAnsi" w:cstheme="minorHAnsi"/>
          <w:sz w:val="22"/>
          <w:szCs w:val="22"/>
        </w:rPr>
        <w:t xml:space="preserve">PIRs are used as a critical analysis of the Project’s status and are submitted to the </w:t>
      </w:r>
      <w:r w:rsidRPr="00405943">
        <w:rPr>
          <w:rFonts w:asciiTheme="minorHAnsi" w:hAnsiTheme="minorHAnsi" w:cstheme="minorHAnsi"/>
          <w:sz w:val="22"/>
          <w:szCs w:val="22"/>
        </w:rPr>
        <w:t>PSC f</w:t>
      </w:r>
      <w:r w:rsidRPr="00B94000">
        <w:rPr>
          <w:rFonts w:asciiTheme="minorHAnsi" w:hAnsiTheme="minorHAnsi" w:cstheme="minorHAnsi"/>
          <w:sz w:val="22"/>
          <w:szCs w:val="22"/>
        </w:rPr>
        <w:t>or review, discussion, and endorsement. The Project prepared</w:t>
      </w:r>
      <w:r w:rsidRPr="00B94000">
        <w:rPr>
          <w:rFonts w:asciiTheme="minorHAnsi" w:hAnsiTheme="minorHAnsi" w:cstheme="minorHAnsi"/>
          <w:spacing w:val="-5"/>
          <w:sz w:val="22"/>
          <w:szCs w:val="22"/>
        </w:rPr>
        <w:t xml:space="preserve"> four</w:t>
      </w:r>
      <w:r w:rsidRPr="00B94000">
        <w:rPr>
          <w:rFonts w:asciiTheme="minorHAnsi" w:hAnsiTheme="minorHAnsi" w:cstheme="minorHAnsi"/>
          <w:spacing w:val="-3"/>
          <w:sz w:val="22"/>
          <w:szCs w:val="22"/>
        </w:rPr>
        <w:t xml:space="preserve"> </w:t>
      </w:r>
      <w:r w:rsidRPr="00B94000">
        <w:rPr>
          <w:rFonts w:asciiTheme="minorHAnsi" w:hAnsiTheme="minorHAnsi" w:cstheme="minorHAnsi"/>
          <w:sz w:val="22"/>
          <w:szCs w:val="22"/>
        </w:rPr>
        <w:t xml:space="preserve">PIRs (one per year) at the time of the TE. </w:t>
      </w:r>
      <w:r w:rsidRPr="00B94000">
        <w:rPr>
          <w:rFonts w:asciiTheme="minorHAnsi" w:hAnsiTheme="minorHAnsi" w:cstheme="minorHAnsi"/>
          <w:spacing w:val="-2"/>
          <w:sz w:val="22"/>
          <w:szCs w:val="22"/>
        </w:rPr>
        <w:t>PIR’s included information on the 3 Components, as well as inputs and assessments from the other four child projects</w:t>
      </w:r>
      <w:r w:rsidR="00A14D74">
        <w:rPr>
          <w:rFonts w:asciiTheme="minorHAnsi" w:hAnsiTheme="minorHAnsi" w:cstheme="minorHAnsi"/>
          <w:spacing w:val="-2"/>
          <w:sz w:val="22"/>
          <w:szCs w:val="22"/>
        </w:rPr>
        <w:t xml:space="preserve">. </w:t>
      </w:r>
    </w:p>
    <w:p w14:paraId="403D2D15" w14:textId="045857B6" w:rsidR="00B94000" w:rsidRDefault="00680045" w:rsidP="00F40675">
      <w:pPr>
        <w:pStyle w:val="BodyText"/>
        <w:spacing w:before="138"/>
        <w:ind w:left="360" w:right="115"/>
        <w:jc w:val="both"/>
        <w:rPr>
          <w:rFonts w:asciiTheme="minorHAnsi" w:hAnsiTheme="minorHAnsi" w:cstheme="minorHAnsi"/>
          <w:spacing w:val="-5"/>
          <w:sz w:val="22"/>
          <w:szCs w:val="22"/>
        </w:rPr>
      </w:pPr>
      <w:r>
        <w:rPr>
          <w:rFonts w:asciiTheme="minorHAnsi" w:hAnsiTheme="minorHAnsi" w:cstheme="minorHAnsi"/>
          <w:sz w:val="22"/>
          <w:szCs w:val="22"/>
        </w:rPr>
        <w:t>T</w:t>
      </w:r>
      <w:r w:rsidR="00B94000" w:rsidRPr="00B94000">
        <w:rPr>
          <w:rFonts w:asciiTheme="minorHAnsi" w:hAnsiTheme="minorHAnsi" w:cstheme="minorHAnsi"/>
          <w:sz w:val="22"/>
          <w:szCs w:val="22"/>
        </w:rPr>
        <w:t xml:space="preserve">the QPRs were prepared mainly to report on progress. </w:t>
      </w:r>
      <w:r>
        <w:rPr>
          <w:rFonts w:asciiTheme="minorHAnsi" w:hAnsiTheme="minorHAnsi" w:cstheme="minorHAnsi"/>
          <w:spacing w:val="-7"/>
          <w:sz w:val="22"/>
          <w:szCs w:val="22"/>
        </w:rPr>
        <w:t>T</w:t>
      </w:r>
      <w:r w:rsidR="00B94000" w:rsidRPr="00B94000">
        <w:rPr>
          <w:rFonts w:asciiTheme="minorHAnsi" w:hAnsiTheme="minorHAnsi" w:cstheme="minorHAnsi"/>
          <w:sz w:val="22"/>
          <w:szCs w:val="22"/>
        </w:rPr>
        <w:t>hese</w:t>
      </w:r>
      <w:r w:rsidR="00B94000" w:rsidRPr="00B94000">
        <w:rPr>
          <w:rFonts w:asciiTheme="minorHAnsi" w:hAnsiTheme="minorHAnsi" w:cstheme="minorHAnsi"/>
          <w:spacing w:val="-9"/>
          <w:sz w:val="22"/>
          <w:szCs w:val="22"/>
        </w:rPr>
        <w:t xml:space="preserve"> </w:t>
      </w:r>
      <w:r w:rsidR="00B94000" w:rsidRPr="00B94000">
        <w:rPr>
          <w:rFonts w:asciiTheme="minorHAnsi" w:hAnsiTheme="minorHAnsi" w:cstheme="minorHAnsi"/>
          <w:sz w:val="22"/>
          <w:szCs w:val="22"/>
        </w:rPr>
        <w:t>reports</w:t>
      </w:r>
      <w:r w:rsidR="00B94000" w:rsidRPr="00B94000">
        <w:rPr>
          <w:rFonts w:asciiTheme="minorHAnsi" w:hAnsiTheme="minorHAnsi" w:cstheme="minorHAnsi"/>
          <w:spacing w:val="-5"/>
          <w:sz w:val="22"/>
          <w:szCs w:val="22"/>
        </w:rPr>
        <w:t xml:space="preserve"> did not include information about Component 2, (lead by WWF).  QPRs on Component 2 were not available for review by the evaluation team. Note that this component was already closed (April 2021).</w:t>
      </w:r>
    </w:p>
    <w:p w14:paraId="433C84A3" w14:textId="40CD1B01" w:rsidR="002D6F38" w:rsidRDefault="00D75708" w:rsidP="00F40675">
      <w:pPr>
        <w:pStyle w:val="BodyText"/>
        <w:spacing w:before="138"/>
        <w:ind w:left="360" w:right="115"/>
        <w:jc w:val="both"/>
        <w:rPr>
          <w:rFonts w:asciiTheme="minorHAnsi" w:hAnsiTheme="minorHAnsi" w:cstheme="minorHAnsi"/>
          <w:sz w:val="22"/>
          <w:szCs w:val="22"/>
        </w:rPr>
      </w:pPr>
      <w:r>
        <w:rPr>
          <w:rFonts w:asciiTheme="minorHAnsi" w:hAnsiTheme="minorHAnsi" w:cstheme="minorHAnsi"/>
          <w:sz w:val="22"/>
          <w:szCs w:val="22"/>
        </w:rPr>
        <w:t>Conclusion</w:t>
      </w:r>
      <w:r w:rsidR="00E67846">
        <w:rPr>
          <w:rFonts w:asciiTheme="minorHAnsi" w:hAnsiTheme="minorHAnsi" w:cstheme="minorHAnsi"/>
          <w:sz w:val="22"/>
          <w:szCs w:val="22"/>
        </w:rPr>
        <w:t xml:space="preserve"> (27)</w:t>
      </w:r>
      <w:r>
        <w:rPr>
          <w:rFonts w:asciiTheme="minorHAnsi" w:hAnsiTheme="minorHAnsi" w:cstheme="minorHAnsi"/>
          <w:sz w:val="22"/>
          <w:szCs w:val="22"/>
        </w:rPr>
        <w:t xml:space="preserve">:  </w:t>
      </w:r>
      <w:r w:rsidR="002D6F38">
        <w:rPr>
          <w:rFonts w:asciiTheme="minorHAnsi" w:hAnsiTheme="minorHAnsi" w:cstheme="minorHAnsi"/>
          <w:sz w:val="22"/>
          <w:szCs w:val="22"/>
        </w:rPr>
        <w:t>From a technical standpoint, the M&amp;E system is sound</w:t>
      </w:r>
      <w:r w:rsidR="00A411D0">
        <w:rPr>
          <w:rFonts w:asciiTheme="minorHAnsi" w:hAnsiTheme="minorHAnsi" w:cstheme="minorHAnsi"/>
          <w:sz w:val="22"/>
          <w:szCs w:val="22"/>
        </w:rPr>
        <w:t xml:space="preserve"> and was well executed. For that a ranking of “HS” was given.  In terms of design and f</w:t>
      </w:r>
      <w:r w:rsidR="002D6F38">
        <w:rPr>
          <w:rFonts w:asciiTheme="minorHAnsi" w:hAnsiTheme="minorHAnsi" w:cstheme="minorHAnsi"/>
          <w:sz w:val="22"/>
          <w:szCs w:val="22"/>
        </w:rPr>
        <w:t xml:space="preserve">rom the viewpoint of Integration, </w:t>
      </w:r>
      <w:r>
        <w:rPr>
          <w:rFonts w:asciiTheme="minorHAnsi" w:hAnsiTheme="minorHAnsi" w:cstheme="minorHAnsi"/>
          <w:sz w:val="22"/>
          <w:szCs w:val="22"/>
        </w:rPr>
        <w:t xml:space="preserve">the M&amp;e system appears to </w:t>
      </w:r>
      <w:r w:rsidR="002D6F38">
        <w:rPr>
          <w:rFonts w:asciiTheme="minorHAnsi" w:hAnsiTheme="minorHAnsi" w:cstheme="minorHAnsi"/>
          <w:sz w:val="22"/>
          <w:szCs w:val="22"/>
        </w:rPr>
        <w:t xml:space="preserve">operate still in several silos. </w:t>
      </w:r>
      <w:r w:rsidR="00A14D74" w:rsidRPr="00A14D74">
        <w:rPr>
          <w:rFonts w:asciiTheme="minorHAnsi" w:hAnsiTheme="minorHAnsi" w:cstheme="minorHAnsi"/>
          <w:sz w:val="22"/>
          <w:szCs w:val="22"/>
        </w:rPr>
        <w:t xml:space="preserve">The problem was not the </w:t>
      </w:r>
      <w:r w:rsidR="002D6F38">
        <w:rPr>
          <w:rFonts w:asciiTheme="minorHAnsi" w:hAnsiTheme="minorHAnsi" w:cstheme="minorHAnsi"/>
          <w:sz w:val="22"/>
          <w:szCs w:val="22"/>
        </w:rPr>
        <w:t>participants or the PMU. The design of the M&amp;E system did not establish common parameters that all child projects and countries would consider</w:t>
      </w:r>
      <w:r w:rsidR="009C732C">
        <w:rPr>
          <w:rFonts w:asciiTheme="minorHAnsi" w:hAnsiTheme="minorHAnsi" w:cstheme="minorHAnsi"/>
          <w:sz w:val="22"/>
          <w:szCs w:val="22"/>
        </w:rPr>
        <w:t xml:space="preserve"> throught the process, including mid-term and terminal evaluations</w:t>
      </w:r>
      <w:r w:rsidR="00A411D0">
        <w:rPr>
          <w:rFonts w:asciiTheme="minorHAnsi" w:hAnsiTheme="minorHAnsi" w:cstheme="minorHAnsi"/>
          <w:sz w:val="22"/>
          <w:szCs w:val="22"/>
        </w:rPr>
        <w:t>. However, the system was compliant with UNDP-GEF guidance for monitoring and evaluation and a ranking of “S” or satisfactory was assigned</w:t>
      </w:r>
      <w:r w:rsidR="009C732C">
        <w:rPr>
          <w:rFonts w:asciiTheme="minorHAnsi" w:hAnsiTheme="minorHAnsi" w:cstheme="minorHAnsi"/>
          <w:sz w:val="22"/>
          <w:szCs w:val="22"/>
        </w:rPr>
        <w:t>.</w:t>
      </w:r>
      <w:r w:rsidR="002D6F38">
        <w:rPr>
          <w:rFonts w:asciiTheme="minorHAnsi" w:hAnsiTheme="minorHAnsi" w:cstheme="minorHAnsi"/>
          <w:sz w:val="22"/>
          <w:szCs w:val="22"/>
        </w:rPr>
        <w:t xml:space="preserve">  </w:t>
      </w:r>
      <w:r w:rsidR="00A411D0">
        <w:rPr>
          <w:rFonts w:asciiTheme="minorHAnsi" w:hAnsiTheme="minorHAnsi" w:cstheme="minorHAnsi"/>
          <w:sz w:val="22"/>
          <w:szCs w:val="22"/>
        </w:rPr>
        <w:t xml:space="preserve">The componsite sranking for all M&amp;E functions is </w:t>
      </w:r>
      <w:r w:rsidR="003B5DB3">
        <w:rPr>
          <w:rFonts w:asciiTheme="minorHAnsi" w:hAnsiTheme="minorHAnsi" w:cstheme="minorHAnsi"/>
          <w:sz w:val="22"/>
          <w:szCs w:val="22"/>
        </w:rPr>
        <w:t>HS based on functionality and the quality and completeness of the information produced.</w:t>
      </w:r>
    </w:p>
    <w:p w14:paraId="67F31782" w14:textId="5CE1C012" w:rsidR="00A14D74" w:rsidRPr="00B94000" w:rsidRDefault="002D6F38" w:rsidP="00F40675">
      <w:pPr>
        <w:pStyle w:val="BodyText"/>
        <w:spacing w:before="138"/>
        <w:ind w:left="360" w:right="115"/>
        <w:jc w:val="both"/>
        <w:rPr>
          <w:rFonts w:asciiTheme="minorHAnsi" w:hAnsiTheme="minorHAnsi" w:cstheme="minorHAnsi"/>
          <w:sz w:val="22"/>
          <w:szCs w:val="22"/>
        </w:rPr>
      </w:pPr>
      <w:r>
        <w:rPr>
          <w:rFonts w:asciiTheme="minorHAnsi" w:hAnsiTheme="minorHAnsi" w:cstheme="minorHAnsi"/>
          <w:sz w:val="22"/>
          <w:szCs w:val="22"/>
        </w:rPr>
        <w:t xml:space="preserve">Recommendation: </w:t>
      </w:r>
      <w:r w:rsidR="009C732C">
        <w:rPr>
          <w:rFonts w:asciiTheme="minorHAnsi" w:hAnsiTheme="minorHAnsi" w:cstheme="minorHAnsi"/>
          <w:sz w:val="22"/>
          <w:szCs w:val="22"/>
        </w:rPr>
        <w:t xml:space="preserve">In a future platform, establish the common monitoring and evaluation system for </w:t>
      </w:r>
      <w:r w:rsidR="003B5DB3">
        <w:rPr>
          <w:rFonts w:asciiTheme="minorHAnsi" w:hAnsiTheme="minorHAnsi" w:cstheme="minorHAnsi"/>
          <w:sz w:val="22"/>
          <w:szCs w:val="22"/>
        </w:rPr>
        <w:t>Programme</w:t>
      </w:r>
      <w:r w:rsidR="009C732C">
        <w:rPr>
          <w:rFonts w:asciiTheme="minorHAnsi" w:hAnsiTheme="minorHAnsi" w:cstheme="minorHAnsi"/>
          <w:sz w:val="22"/>
          <w:szCs w:val="22"/>
        </w:rPr>
        <w:t xml:space="preserve"> application prior to</w:t>
      </w:r>
      <w:r w:rsidR="003B5DB3">
        <w:rPr>
          <w:rFonts w:asciiTheme="minorHAnsi" w:hAnsiTheme="minorHAnsi" w:cstheme="minorHAnsi"/>
          <w:sz w:val="22"/>
          <w:szCs w:val="22"/>
        </w:rPr>
        <w:t xml:space="preserve"> the indivicual child projects. Cosider a common monitoring and evaluation platform.  In the event of separate implementing agencies, always present quarterly and PIR results in a synthesized document. </w:t>
      </w:r>
    </w:p>
    <w:p w14:paraId="4EEB6CB7" w14:textId="1D4BFF9B" w:rsidR="000718CF" w:rsidRDefault="000718CF" w:rsidP="000718CF">
      <w:r w:rsidRPr="00B41303">
        <w:t>Based on the above, the M&amp;E design at project startup</w:t>
      </w:r>
      <w:r w:rsidR="00590C37">
        <w:t xml:space="preserve"> is rated as S</w:t>
      </w:r>
      <w:r w:rsidRPr="00B41303">
        <w:t xml:space="preserve"> and the implementation of the M&amp;E plan </w:t>
      </w:r>
      <w:r w:rsidR="00590C37">
        <w:t>is</w:t>
      </w:r>
      <w:r w:rsidRPr="00B41303">
        <w:t xml:space="preserve"> rated as </w:t>
      </w:r>
      <w:r w:rsidR="00590C37">
        <w:t>H</w:t>
      </w:r>
      <w:r w:rsidRPr="00B41303">
        <w:t xml:space="preserve">S, given an Overall Quality of M&amp;E rating of </w:t>
      </w:r>
      <w:r w:rsidR="00B94000">
        <w:t xml:space="preserve">HIGHLY </w:t>
      </w:r>
      <w:r w:rsidRPr="00B41303">
        <w:t>SATISFACTORY</w:t>
      </w:r>
    </w:p>
    <w:p w14:paraId="06B66160" w14:textId="09786EDE" w:rsidR="003B5DB3" w:rsidRDefault="003B5DB3" w:rsidP="000718CF">
      <w:r>
        <w:lastRenderedPageBreak/>
        <w:t>Table   : Monitoring and Evaluation Ranking</w:t>
      </w:r>
    </w:p>
    <w:tbl>
      <w:tblPr>
        <w:tblStyle w:val="TableNormal2"/>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21"/>
        <w:gridCol w:w="1796"/>
      </w:tblGrid>
      <w:tr w:rsidR="000718CF" w:rsidRPr="009E7CE1" w14:paraId="66868082" w14:textId="77777777" w:rsidTr="00062DAE">
        <w:trPr>
          <w:trHeight w:val="283"/>
          <w:jc w:val="center"/>
        </w:trPr>
        <w:tc>
          <w:tcPr>
            <w:tcW w:w="4321" w:type="dxa"/>
            <w:tcBorders>
              <w:top w:val="nil"/>
              <w:left w:val="nil"/>
              <w:bottom w:val="nil"/>
              <w:right w:val="nil"/>
            </w:tcBorders>
            <w:shd w:val="clear" w:color="auto" w:fill="1F3863"/>
          </w:tcPr>
          <w:p w14:paraId="38B68851" w14:textId="77777777" w:rsidR="000718CF" w:rsidRPr="009E7CE1" w:rsidRDefault="000718CF" w:rsidP="00062DAE">
            <w:pPr>
              <w:pStyle w:val="TableParagraph"/>
              <w:spacing w:before="3" w:line="259" w:lineRule="exact"/>
              <w:ind w:left="180"/>
              <w:rPr>
                <w:rFonts w:ascii="Segoe UI" w:hAnsi="Segoe UI" w:cs="Segoe UI"/>
                <w:sz w:val="20"/>
                <w:szCs w:val="20"/>
              </w:rPr>
            </w:pPr>
            <w:r w:rsidRPr="009E7CE1">
              <w:rPr>
                <w:rFonts w:ascii="Segoe UI" w:hAnsi="Segoe UI" w:cs="Segoe UI"/>
                <w:color w:val="FFFFFF"/>
                <w:sz w:val="20"/>
                <w:szCs w:val="20"/>
              </w:rPr>
              <w:t>Monitoring &amp; Evaluation (M&amp;E)</w:t>
            </w:r>
          </w:p>
        </w:tc>
        <w:tc>
          <w:tcPr>
            <w:tcW w:w="1796" w:type="dxa"/>
            <w:tcBorders>
              <w:top w:val="nil"/>
              <w:left w:val="nil"/>
              <w:bottom w:val="nil"/>
              <w:right w:val="nil"/>
            </w:tcBorders>
            <w:shd w:val="clear" w:color="auto" w:fill="1F3863"/>
          </w:tcPr>
          <w:p w14:paraId="4D984B1D" w14:textId="77777777" w:rsidR="000718CF" w:rsidRPr="009E7CE1" w:rsidRDefault="000718CF" w:rsidP="00062DAE">
            <w:pPr>
              <w:pStyle w:val="TableParagraph"/>
              <w:spacing w:before="3" w:line="259" w:lineRule="exact"/>
              <w:ind w:left="600"/>
              <w:rPr>
                <w:rFonts w:ascii="Segoe UI" w:hAnsi="Segoe UI" w:cs="Segoe UI"/>
                <w:sz w:val="20"/>
                <w:szCs w:val="20"/>
              </w:rPr>
            </w:pPr>
            <w:r w:rsidRPr="009E7CE1">
              <w:rPr>
                <w:rFonts w:ascii="Segoe UI" w:hAnsi="Segoe UI" w:cs="Segoe UI"/>
                <w:color w:val="FFFFFF"/>
                <w:sz w:val="20"/>
                <w:szCs w:val="20"/>
              </w:rPr>
              <w:t>Rating</w:t>
            </w:r>
          </w:p>
        </w:tc>
      </w:tr>
      <w:tr w:rsidR="000718CF" w:rsidRPr="009E7CE1" w14:paraId="6BB7BB6E" w14:textId="77777777" w:rsidTr="00062DAE">
        <w:trPr>
          <w:trHeight w:val="280"/>
          <w:jc w:val="center"/>
        </w:trPr>
        <w:tc>
          <w:tcPr>
            <w:tcW w:w="4321" w:type="dxa"/>
            <w:tcBorders>
              <w:top w:val="nil"/>
            </w:tcBorders>
            <w:shd w:val="clear" w:color="auto" w:fill="D9E1F3"/>
          </w:tcPr>
          <w:p w14:paraId="50FCE76C" w14:textId="77777777" w:rsidR="000718CF" w:rsidRPr="009E7CE1" w:rsidRDefault="000718CF" w:rsidP="00062DAE">
            <w:pPr>
              <w:pStyle w:val="TableParagraph"/>
              <w:spacing w:line="261" w:lineRule="exact"/>
              <w:ind w:left="177"/>
              <w:rPr>
                <w:rFonts w:ascii="Segoe UI" w:hAnsi="Segoe UI" w:cs="Segoe UI"/>
                <w:sz w:val="20"/>
                <w:szCs w:val="20"/>
              </w:rPr>
            </w:pPr>
            <w:r w:rsidRPr="009E7CE1">
              <w:rPr>
                <w:rFonts w:ascii="Segoe UI" w:hAnsi="Segoe UI" w:cs="Segoe UI"/>
                <w:color w:val="1F3863"/>
                <w:sz w:val="20"/>
                <w:szCs w:val="20"/>
              </w:rPr>
              <w:t>M&amp;E design at entry</w:t>
            </w:r>
          </w:p>
        </w:tc>
        <w:tc>
          <w:tcPr>
            <w:tcW w:w="1796" w:type="dxa"/>
            <w:tcBorders>
              <w:top w:val="nil"/>
            </w:tcBorders>
          </w:tcPr>
          <w:p w14:paraId="1146FF2A" w14:textId="77777777" w:rsidR="000718CF" w:rsidRPr="009E7CE1" w:rsidRDefault="000718CF" w:rsidP="0029655F">
            <w:pPr>
              <w:pStyle w:val="TableParagraph"/>
              <w:jc w:val="center"/>
              <w:rPr>
                <w:rFonts w:ascii="Segoe UI" w:hAnsi="Segoe UI" w:cs="Segoe UI"/>
                <w:sz w:val="20"/>
                <w:szCs w:val="20"/>
              </w:rPr>
            </w:pPr>
            <w:r>
              <w:rPr>
                <w:rFonts w:ascii="Segoe UI" w:hAnsi="Segoe UI" w:cs="Segoe UI"/>
                <w:sz w:val="20"/>
                <w:szCs w:val="20"/>
              </w:rPr>
              <w:t>S=5</w:t>
            </w:r>
          </w:p>
        </w:tc>
      </w:tr>
      <w:tr w:rsidR="000718CF" w:rsidRPr="009E7CE1" w14:paraId="705499B1" w14:textId="77777777" w:rsidTr="00062DAE">
        <w:trPr>
          <w:trHeight w:val="278"/>
          <w:jc w:val="center"/>
        </w:trPr>
        <w:tc>
          <w:tcPr>
            <w:tcW w:w="4321" w:type="dxa"/>
            <w:shd w:val="clear" w:color="auto" w:fill="D9E1F3"/>
          </w:tcPr>
          <w:p w14:paraId="029E6E9D" w14:textId="77777777" w:rsidR="000718CF" w:rsidRPr="009E7CE1" w:rsidRDefault="000718CF" w:rsidP="00062DAE">
            <w:pPr>
              <w:pStyle w:val="TableParagraph"/>
              <w:spacing w:line="258" w:lineRule="exact"/>
              <w:ind w:left="177"/>
              <w:rPr>
                <w:rFonts w:ascii="Segoe UI" w:hAnsi="Segoe UI" w:cs="Segoe UI"/>
                <w:sz w:val="20"/>
                <w:szCs w:val="20"/>
              </w:rPr>
            </w:pPr>
            <w:r w:rsidRPr="009E7CE1">
              <w:rPr>
                <w:rFonts w:ascii="Segoe UI" w:hAnsi="Segoe UI" w:cs="Segoe UI"/>
                <w:color w:val="1F3863"/>
                <w:sz w:val="20"/>
                <w:szCs w:val="20"/>
              </w:rPr>
              <w:t>M&amp;E Plan Implementation</w:t>
            </w:r>
          </w:p>
        </w:tc>
        <w:tc>
          <w:tcPr>
            <w:tcW w:w="1796" w:type="dxa"/>
          </w:tcPr>
          <w:p w14:paraId="1306360F" w14:textId="3C3EA872" w:rsidR="000718CF" w:rsidRPr="009E7CE1" w:rsidRDefault="0029655F" w:rsidP="0029655F">
            <w:pPr>
              <w:pStyle w:val="TableParagraph"/>
              <w:jc w:val="center"/>
              <w:rPr>
                <w:rFonts w:ascii="Segoe UI" w:hAnsi="Segoe UI" w:cs="Segoe UI"/>
                <w:sz w:val="20"/>
                <w:szCs w:val="20"/>
              </w:rPr>
            </w:pPr>
            <w:r>
              <w:rPr>
                <w:rFonts w:ascii="Segoe UI" w:hAnsi="Segoe UI" w:cs="Segoe UI"/>
                <w:sz w:val="20"/>
                <w:szCs w:val="20"/>
              </w:rPr>
              <w:t>H</w:t>
            </w:r>
            <w:r w:rsidR="000718CF">
              <w:rPr>
                <w:rFonts w:ascii="Segoe UI" w:hAnsi="Segoe UI" w:cs="Segoe UI"/>
                <w:sz w:val="20"/>
                <w:szCs w:val="20"/>
              </w:rPr>
              <w:t>S=</w:t>
            </w:r>
            <w:r>
              <w:rPr>
                <w:rFonts w:ascii="Segoe UI" w:hAnsi="Segoe UI" w:cs="Segoe UI"/>
                <w:sz w:val="20"/>
                <w:szCs w:val="20"/>
              </w:rPr>
              <w:t>6</w:t>
            </w:r>
          </w:p>
        </w:tc>
      </w:tr>
      <w:tr w:rsidR="000718CF" w:rsidRPr="009E7CE1" w14:paraId="68BB9C33" w14:textId="77777777" w:rsidTr="00062DAE">
        <w:trPr>
          <w:trHeight w:val="280"/>
          <w:jc w:val="center"/>
        </w:trPr>
        <w:tc>
          <w:tcPr>
            <w:tcW w:w="4321" w:type="dxa"/>
            <w:shd w:val="clear" w:color="auto" w:fill="D9E1F3"/>
          </w:tcPr>
          <w:p w14:paraId="78990DA3" w14:textId="77777777" w:rsidR="000718CF" w:rsidRPr="009E7CE1" w:rsidRDefault="000718CF" w:rsidP="00062DAE">
            <w:pPr>
              <w:pStyle w:val="TableParagraph"/>
              <w:spacing w:line="261" w:lineRule="exact"/>
              <w:ind w:left="177"/>
              <w:rPr>
                <w:rFonts w:ascii="Segoe UI" w:hAnsi="Segoe UI" w:cs="Segoe UI"/>
                <w:sz w:val="20"/>
                <w:szCs w:val="20"/>
              </w:rPr>
            </w:pPr>
            <w:r w:rsidRPr="009E7CE1">
              <w:rPr>
                <w:rFonts w:ascii="Segoe UI" w:hAnsi="Segoe UI" w:cs="Segoe UI"/>
                <w:color w:val="1F3863"/>
                <w:sz w:val="20"/>
                <w:szCs w:val="20"/>
              </w:rPr>
              <w:t>Overall Quality of M&amp;E</w:t>
            </w:r>
          </w:p>
        </w:tc>
        <w:tc>
          <w:tcPr>
            <w:tcW w:w="1796" w:type="dxa"/>
          </w:tcPr>
          <w:p w14:paraId="22AD2D9D" w14:textId="42C436C8" w:rsidR="000718CF" w:rsidRPr="009E7CE1" w:rsidRDefault="0029655F" w:rsidP="0029655F">
            <w:pPr>
              <w:pStyle w:val="TableParagraph"/>
              <w:jc w:val="center"/>
              <w:rPr>
                <w:rFonts w:ascii="Segoe UI" w:hAnsi="Segoe UI" w:cs="Segoe UI"/>
                <w:sz w:val="20"/>
                <w:szCs w:val="20"/>
              </w:rPr>
            </w:pPr>
            <w:r>
              <w:rPr>
                <w:rFonts w:ascii="Segoe UI" w:hAnsi="Segoe UI" w:cs="Segoe UI"/>
                <w:sz w:val="20"/>
                <w:szCs w:val="20"/>
              </w:rPr>
              <w:t>H</w:t>
            </w:r>
            <w:r w:rsidR="000718CF">
              <w:rPr>
                <w:rFonts w:ascii="Segoe UI" w:hAnsi="Segoe UI" w:cs="Segoe UI"/>
                <w:sz w:val="20"/>
                <w:szCs w:val="20"/>
              </w:rPr>
              <w:t>S=</w:t>
            </w:r>
            <w:r w:rsidR="002A6837">
              <w:rPr>
                <w:rFonts w:ascii="Segoe UI" w:hAnsi="Segoe UI" w:cs="Segoe UI"/>
                <w:sz w:val="20"/>
                <w:szCs w:val="20"/>
              </w:rPr>
              <w:t>6</w:t>
            </w:r>
          </w:p>
        </w:tc>
      </w:tr>
    </w:tbl>
    <w:p w14:paraId="22A8110C" w14:textId="1D9AF6D1" w:rsidR="000718CF" w:rsidRPr="00405943" w:rsidRDefault="000718CF" w:rsidP="00405943">
      <w:pPr>
        <w:rPr>
          <w:sz w:val="18"/>
          <w:szCs w:val="18"/>
        </w:rPr>
      </w:pPr>
      <w:r w:rsidRPr="00405943">
        <w:rPr>
          <w:sz w:val="18"/>
          <w:szCs w:val="18"/>
        </w:rPr>
        <w:t xml:space="preserve">Note: M&amp;E Design, M&amp;E Implementation and the overall quality of M&amp;E has been assessed separately on a six- point scale, as described in Annex </w:t>
      </w:r>
      <w:r w:rsidR="00405943" w:rsidRPr="00405943">
        <w:rPr>
          <w:sz w:val="18"/>
          <w:szCs w:val="18"/>
        </w:rPr>
        <w:t>1</w:t>
      </w:r>
      <w:r w:rsidRPr="00405943">
        <w:rPr>
          <w:sz w:val="18"/>
          <w:szCs w:val="18"/>
        </w:rPr>
        <w:t>.</w:t>
      </w:r>
    </w:p>
    <w:p w14:paraId="466BAFD4" w14:textId="227A82E1" w:rsidR="00C657DE" w:rsidRDefault="00C657DE" w:rsidP="00AA661A">
      <w:pPr>
        <w:jc w:val="both"/>
        <w:rPr>
          <w:rFonts w:ascii="Arial" w:hAnsi="Arial" w:cs="Arial"/>
        </w:rPr>
      </w:pPr>
      <w:bookmarkStart w:id="58" w:name="_Hlk89856176"/>
    </w:p>
    <w:p w14:paraId="17C8504A" w14:textId="40027FEB" w:rsidR="005066E7" w:rsidRPr="00BF7C26" w:rsidRDefault="005066E7" w:rsidP="00D80344">
      <w:pPr>
        <w:pStyle w:val="Heading3"/>
        <w:numPr>
          <w:ilvl w:val="2"/>
          <w:numId w:val="9"/>
        </w:numPr>
      </w:pPr>
      <w:bookmarkStart w:id="59" w:name="_Toc96772491"/>
      <w:r w:rsidRPr="00BF7C26">
        <w:t>UNDP implementation/oversight (*), Implementing Partner execution (*) and overall assessment of implementation/oversight and execution (*)</w:t>
      </w:r>
      <w:bookmarkEnd w:id="59"/>
    </w:p>
    <w:bookmarkEnd w:id="58"/>
    <w:p w14:paraId="7ED4B293" w14:textId="728A7F82" w:rsidR="005066E7" w:rsidRPr="008C3F59" w:rsidRDefault="005066E7" w:rsidP="005066E7">
      <w:pPr>
        <w:spacing w:after="120" w:line="240" w:lineRule="auto"/>
        <w:ind w:left="120"/>
        <w:jc w:val="both"/>
        <w:rPr>
          <w:b/>
          <w:u w:val="thick"/>
        </w:rPr>
      </w:pPr>
    </w:p>
    <w:p w14:paraId="464A8E8B" w14:textId="5F02CB32" w:rsidR="008C3F59" w:rsidRDefault="008C3F59" w:rsidP="005066E7">
      <w:pPr>
        <w:spacing w:after="120" w:line="240" w:lineRule="auto"/>
        <w:ind w:left="120"/>
        <w:jc w:val="both"/>
        <w:rPr>
          <w:rFonts w:asciiTheme="minorHAnsi" w:hAnsiTheme="minorHAnsi" w:cstheme="minorHAnsi"/>
          <w:bCs/>
        </w:rPr>
      </w:pPr>
      <w:bookmarkStart w:id="60" w:name="_Hlk94440593"/>
      <w:r w:rsidRPr="008C3F59">
        <w:rPr>
          <w:rFonts w:asciiTheme="minorHAnsi" w:hAnsiTheme="minorHAnsi" w:cstheme="minorHAnsi"/>
          <w:bCs/>
        </w:rPr>
        <w:t>The qual</w:t>
      </w:r>
      <w:r>
        <w:rPr>
          <w:rFonts w:asciiTheme="minorHAnsi" w:hAnsiTheme="minorHAnsi" w:cstheme="minorHAnsi"/>
          <w:bCs/>
        </w:rPr>
        <w:t xml:space="preserve">ity of UNDP oversight was queried in KIIs and combined with the results of the efficiency of delivery of project outputs as defined for each component and discussed later in this report. </w:t>
      </w:r>
      <w:r w:rsidR="00381B94">
        <w:rPr>
          <w:rFonts w:asciiTheme="minorHAnsi" w:hAnsiTheme="minorHAnsi" w:cstheme="minorHAnsi"/>
          <w:bCs/>
        </w:rPr>
        <w:t xml:space="preserve">The key findings are summarized as follows: </w:t>
      </w:r>
    </w:p>
    <w:p w14:paraId="3A70A8D4" w14:textId="3A730D26" w:rsidR="005066E7" w:rsidRPr="005066E7" w:rsidRDefault="005066E7" w:rsidP="005066E7">
      <w:pPr>
        <w:pStyle w:val="BodyText"/>
        <w:spacing w:after="120"/>
        <w:ind w:left="120" w:right="113"/>
        <w:jc w:val="both"/>
        <w:rPr>
          <w:rFonts w:ascii="Calibri" w:hAnsi="Calibri" w:cs="Calibri"/>
          <w:color w:val="221F1F"/>
          <w:sz w:val="22"/>
          <w:szCs w:val="22"/>
        </w:rPr>
      </w:pPr>
      <w:r w:rsidRPr="005066E7">
        <w:rPr>
          <w:rFonts w:ascii="Calibri" w:hAnsi="Calibri" w:cs="Calibri"/>
          <w:sz w:val="22"/>
          <w:szCs w:val="22"/>
        </w:rPr>
        <w:t>UNDP</w:t>
      </w:r>
      <w:r w:rsidRPr="005066E7">
        <w:rPr>
          <w:rFonts w:ascii="Calibri" w:hAnsi="Calibri" w:cs="Calibri"/>
          <w:spacing w:val="-3"/>
          <w:sz w:val="22"/>
          <w:szCs w:val="22"/>
        </w:rPr>
        <w:t xml:space="preserve"> </w:t>
      </w:r>
      <w:r w:rsidRPr="005066E7">
        <w:rPr>
          <w:rFonts w:ascii="Calibri" w:hAnsi="Calibri" w:cs="Calibri"/>
          <w:sz w:val="22"/>
          <w:szCs w:val="22"/>
        </w:rPr>
        <w:t>as</w:t>
      </w:r>
      <w:r w:rsidRPr="005066E7">
        <w:rPr>
          <w:rFonts w:ascii="Calibri" w:hAnsi="Calibri" w:cs="Calibri"/>
          <w:spacing w:val="-4"/>
          <w:sz w:val="22"/>
          <w:szCs w:val="22"/>
        </w:rPr>
        <w:t xml:space="preserve"> </w:t>
      </w:r>
      <w:r w:rsidRPr="005066E7">
        <w:rPr>
          <w:rFonts w:ascii="Calibri" w:hAnsi="Calibri" w:cs="Calibri"/>
          <w:sz w:val="22"/>
          <w:szCs w:val="22"/>
        </w:rPr>
        <w:t>the</w:t>
      </w:r>
      <w:r w:rsidRPr="005066E7">
        <w:rPr>
          <w:rFonts w:ascii="Calibri" w:hAnsi="Calibri" w:cs="Calibri"/>
          <w:spacing w:val="-3"/>
          <w:sz w:val="22"/>
          <w:szCs w:val="22"/>
        </w:rPr>
        <w:t xml:space="preserve"> </w:t>
      </w:r>
      <w:r w:rsidRPr="005066E7">
        <w:rPr>
          <w:rFonts w:ascii="Calibri" w:hAnsi="Calibri" w:cs="Calibri"/>
          <w:sz w:val="22"/>
          <w:szCs w:val="22"/>
        </w:rPr>
        <w:t>Project</w:t>
      </w:r>
      <w:r w:rsidRPr="005066E7">
        <w:rPr>
          <w:rFonts w:ascii="Calibri" w:hAnsi="Calibri" w:cs="Calibri"/>
          <w:spacing w:val="-5"/>
          <w:sz w:val="22"/>
          <w:szCs w:val="22"/>
        </w:rPr>
        <w:t xml:space="preserve"> </w:t>
      </w:r>
      <w:r w:rsidRPr="005066E7">
        <w:rPr>
          <w:rFonts w:ascii="Calibri" w:hAnsi="Calibri" w:cs="Calibri"/>
          <w:sz w:val="22"/>
          <w:szCs w:val="22"/>
        </w:rPr>
        <w:t xml:space="preserve">Assurance for Components 1 and 3, </w:t>
      </w:r>
      <w:r w:rsidRPr="005066E7">
        <w:rPr>
          <w:rFonts w:ascii="Calibri" w:hAnsi="Calibri" w:cs="Calibri"/>
          <w:spacing w:val="-4"/>
          <w:sz w:val="22"/>
          <w:szCs w:val="22"/>
        </w:rPr>
        <w:t>provided</w:t>
      </w:r>
      <w:r w:rsidRPr="005066E7">
        <w:rPr>
          <w:rFonts w:ascii="Calibri" w:hAnsi="Calibri" w:cs="Calibri"/>
          <w:spacing w:val="-5"/>
          <w:sz w:val="22"/>
          <w:szCs w:val="22"/>
        </w:rPr>
        <w:t xml:space="preserve"> </w:t>
      </w:r>
      <w:r w:rsidRPr="005066E7">
        <w:rPr>
          <w:rFonts w:ascii="Calibri" w:hAnsi="Calibri" w:cs="Calibri"/>
          <w:sz w:val="22"/>
          <w:szCs w:val="22"/>
        </w:rPr>
        <w:t>support</w:t>
      </w:r>
      <w:r w:rsidRPr="005066E7">
        <w:rPr>
          <w:rFonts w:ascii="Calibri" w:hAnsi="Calibri" w:cs="Calibri"/>
          <w:spacing w:val="-5"/>
          <w:sz w:val="22"/>
          <w:szCs w:val="22"/>
        </w:rPr>
        <w:t xml:space="preserve"> </w:t>
      </w:r>
      <w:r w:rsidRPr="005066E7">
        <w:rPr>
          <w:rFonts w:ascii="Calibri" w:hAnsi="Calibri" w:cs="Calibri"/>
          <w:sz w:val="22"/>
          <w:szCs w:val="22"/>
        </w:rPr>
        <w:t>to</w:t>
      </w:r>
      <w:r w:rsidRPr="005066E7">
        <w:rPr>
          <w:rFonts w:ascii="Calibri" w:hAnsi="Calibri" w:cs="Calibri"/>
          <w:spacing w:val="-6"/>
          <w:sz w:val="22"/>
          <w:szCs w:val="22"/>
        </w:rPr>
        <w:t xml:space="preserve"> </w:t>
      </w:r>
      <w:r w:rsidRPr="005066E7">
        <w:rPr>
          <w:rFonts w:ascii="Calibri" w:hAnsi="Calibri" w:cs="Calibri"/>
          <w:sz w:val="22"/>
          <w:szCs w:val="22"/>
        </w:rPr>
        <w:t>the</w:t>
      </w:r>
      <w:r w:rsidRPr="005066E7">
        <w:rPr>
          <w:rFonts w:ascii="Calibri" w:hAnsi="Calibri" w:cs="Calibri"/>
          <w:spacing w:val="-4"/>
          <w:sz w:val="22"/>
          <w:szCs w:val="22"/>
        </w:rPr>
        <w:t xml:space="preserve"> </w:t>
      </w:r>
      <w:r w:rsidRPr="005066E7">
        <w:rPr>
          <w:rFonts w:ascii="Calibri" w:hAnsi="Calibri" w:cs="Calibri"/>
          <w:sz w:val="22"/>
          <w:szCs w:val="22"/>
        </w:rPr>
        <w:t>Project’s</w:t>
      </w:r>
      <w:r w:rsidRPr="005066E7">
        <w:rPr>
          <w:rFonts w:ascii="Calibri" w:hAnsi="Calibri" w:cs="Calibri"/>
          <w:spacing w:val="-2"/>
          <w:sz w:val="22"/>
          <w:szCs w:val="22"/>
        </w:rPr>
        <w:t xml:space="preserve"> </w:t>
      </w:r>
      <w:r w:rsidRPr="005066E7">
        <w:rPr>
          <w:rFonts w:ascii="Calibri" w:hAnsi="Calibri" w:cs="Calibri"/>
          <w:sz w:val="22"/>
          <w:szCs w:val="22"/>
        </w:rPr>
        <w:t>Board</w:t>
      </w:r>
      <w:r w:rsidRPr="005066E7">
        <w:rPr>
          <w:rFonts w:ascii="Calibri" w:hAnsi="Calibri" w:cs="Calibri"/>
          <w:spacing w:val="-2"/>
          <w:sz w:val="22"/>
          <w:szCs w:val="22"/>
        </w:rPr>
        <w:t xml:space="preserve"> </w:t>
      </w:r>
      <w:r w:rsidRPr="005066E7">
        <w:rPr>
          <w:rFonts w:ascii="Calibri" w:hAnsi="Calibri" w:cs="Calibri"/>
          <w:sz w:val="22"/>
          <w:szCs w:val="22"/>
        </w:rPr>
        <w:t>and</w:t>
      </w:r>
      <w:r w:rsidRPr="005066E7">
        <w:rPr>
          <w:rFonts w:ascii="Calibri" w:hAnsi="Calibri" w:cs="Calibri"/>
          <w:spacing w:val="-3"/>
          <w:sz w:val="22"/>
          <w:szCs w:val="22"/>
        </w:rPr>
        <w:t xml:space="preserve"> </w:t>
      </w:r>
      <w:r w:rsidRPr="005066E7">
        <w:rPr>
          <w:rFonts w:ascii="Calibri" w:hAnsi="Calibri" w:cs="Calibri"/>
          <w:sz w:val="22"/>
          <w:szCs w:val="22"/>
        </w:rPr>
        <w:t>team</w:t>
      </w:r>
      <w:r w:rsidRPr="005066E7">
        <w:rPr>
          <w:rFonts w:ascii="Calibri" w:hAnsi="Calibri" w:cs="Calibri"/>
          <w:spacing w:val="-2"/>
          <w:sz w:val="22"/>
          <w:szCs w:val="22"/>
        </w:rPr>
        <w:t xml:space="preserve"> </w:t>
      </w:r>
      <w:r w:rsidRPr="005066E7">
        <w:rPr>
          <w:rFonts w:ascii="Calibri" w:hAnsi="Calibri" w:cs="Calibri"/>
          <w:sz w:val="22"/>
          <w:szCs w:val="22"/>
        </w:rPr>
        <w:t>and</w:t>
      </w:r>
      <w:r w:rsidRPr="005066E7">
        <w:rPr>
          <w:rFonts w:ascii="Calibri" w:hAnsi="Calibri" w:cs="Calibri"/>
          <w:spacing w:val="-6"/>
          <w:sz w:val="22"/>
          <w:szCs w:val="22"/>
        </w:rPr>
        <w:t xml:space="preserve"> </w:t>
      </w:r>
      <w:r w:rsidRPr="005066E7">
        <w:rPr>
          <w:rFonts w:ascii="Calibri" w:hAnsi="Calibri" w:cs="Calibri"/>
          <w:sz w:val="22"/>
          <w:szCs w:val="22"/>
        </w:rPr>
        <w:t>carried</w:t>
      </w:r>
      <w:r w:rsidRPr="005066E7">
        <w:rPr>
          <w:rFonts w:ascii="Calibri" w:hAnsi="Calibri" w:cs="Calibri"/>
          <w:spacing w:val="-5"/>
          <w:sz w:val="22"/>
          <w:szCs w:val="22"/>
        </w:rPr>
        <w:t xml:space="preserve"> </w:t>
      </w:r>
      <w:r w:rsidRPr="005066E7">
        <w:rPr>
          <w:rFonts w:ascii="Calibri" w:hAnsi="Calibri" w:cs="Calibri"/>
          <w:sz w:val="22"/>
          <w:szCs w:val="22"/>
        </w:rPr>
        <w:t>out objective</w:t>
      </w:r>
      <w:r w:rsidRPr="005066E7">
        <w:rPr>
          <w:rFonts w:ascii="Calibri" w:hAnsi="Calibri" w:cs="Calibri"/>
          <w:spacing w:val="-8"/>
          <w:sz w:val="22"/>
          <w:szCs w:val="22"/>
        </w:rPr>
        <w:t xml:space="preserve"> </w:t>
      </w:r>
      <w:r w:rsidRPr="005066E7">
        <w:rPr>
          <w:rFonts w:ascii="Calibri" w:hAnsi="Calibri" w:cs="Calibri"/>
          <w:sz w:val="22"/>
          <w:szCs w:val="22"/>
        </w:rPr>
        <w:t>project</w:t>
      </w:r>
      <w:r w:rsidRPr="005066E7">
        <w:rPr>
          <w:rFonts w:ascii="Calibri" w:hAnsi="Calibri" w:cs="Calibri"/>
          <w:spacing w:val="-8"/>
          <w:sz w:val="22"/>
          <w:szCs w:val="22"/>
        </w:rPr>
        <w:t xml:space="preserve"> </w:t>
      </w:r>
      <w:r w:rsidRPr="005066E7">
        <w:rPr>
          <w:rFonts w:ascii="Calibri" w:hAnsi="Calibri" w:cs="Calibri"/>
          <w:sz w:val="22"/>
          <w:szCs w:val="22"/>
        </w:rPr>
        <w:t>oversight</w:t>
      </w:r>
      <w:r w:rsidRPr="005066E7">
        <w:rPr>
          <w:rFonts w:ascii="Calibri" w:hAnsi="Calibri" w:cs="Calibri"/>
          <w:spacing w:val="-5"/>
          <w:sz w:val="22"/>
          <w:szCs w:val="22"/>
        </w:rPr>
        <w:t xml:space="preserve"> </w:t>
      </w:r>
      <w:r w:rsidRPr="005066E7">
        <w:rPr>
          <w:rFonts w:ascii="Calibri" w:hAnsi="Calibri" w:cs="Calibri"/>
          <w:sz w:val="22"/>
          <w:szCs w:val="22"/>
        </w:rPr>
        <w:t>and</w:t>
      </w:r>
      <w:r w:rsidRPr="005066E7">
        <w:rPr>
          <w:rFonts w:ascii="Calibri" w:hAnsi="Calibri" w:cs="Calibri"/>
          <w:spacing w:val="-6"/>
          <w:sz w:val="22"/>
          <w:szCs w:val="22"/>
        </w:rPr>
        <w:t xml:space="preserve"> </w:t>
      </w:r>
      <w:r w:rsidRPr="005066E7">
        <w:rPr>
          <w:rFonts w:ascii="Calibri" w:hAnsi="Calibri" w:cs="Calibri"/>
          <w:sz w:val="22"/>
          <w:szCs w:val="22"/>
        </w:rPr>
        <w:t>monitoring</w:t>
      </w:r>
      <w:r w:rsidRPr="005066E7">
        <w:rPr>
          <w:rFonts w:ascii="Calibri" w:hAnsi="Calibri" w:cs="Calibri"/>
          <w:spacing w:val="-6"/>
          <w:sz w:val="22"/>
          <w:szCs w:val="22"/>
        </w:rPr>
        <w:t xml:space="preserve"> </w:t>
      </w:r>
      <w:r w:rsidRPr="005066E7">
        <w:rPr>
          <w:rFonts w:ascii="Calibri" w:hAnsi="Calibri" w:cs="Calibri"/>
          <w:sz w:val="22"/>
          <w:szCs w:val="22"/>
        </w:rPr>
        <w:t>functions.</w:t>
      </w:r>
      <w:r w:rsidRPr="005066E7">
        <w:rPr>
          <w:rFonts w:ascii="Calibri" w:hAnsi="Calibri" w:cs="Calibri"/>
          <w:spacing w:val="-3"/>
          <w:sz w:val="22"/>
          <w:szCs w:val="22"/>
        </w:rPr>
        <w:t xml:space="preserve"> </w:t>
      </w:r>
      <w:r w:rsidRPr="005066E7">
        <w:rPr>
          <w:rFonts w:ascii="Calibri" w:hAnsi="Calibri" w:cs="Calibri"/>
          <w:color w:val="221F1F"/>
          <w:sz w:val="22"/>
          <w:szCs w:val="22"/>
        </w:rPr>
        <w:t>The</w:t>
      </w:r>
      <w:r w:rsidRPr="005066E7">
        <w:rPr>
          <w:rFonts w:ascii="Calibri" w:hAnsi="Calibri" w:cs="Calibri"/>
          <w:color w:val="221F1F"/>
          <w:spacing w:val="-8"/>
          <w:sz w:val="22"/>
          <w:szCs w:val="22"/>
        </w:rPr>
        <w:t xml:space="preserve"> </w:t>
      </w:r>
      <w:r w:rsidRPr="005066E7">
        <w:rPr>
          <w:rFonts w:ascii="Calibri" w:hAnsi="Calibri" w:cs="Calibri"/>
          <w:color w:val="221F1F"/>
          <w:sz w:val="22"/>
          <w:szCs w:val="22"/>
        </w:rPr>
        <w:t>key</w:t>
      </w:r>
      <w:r w:rsidRPr="005066E7">
        <w:rPr>
          <w:rFonts w:ascii="Calibri" w:hAnsi="Calibri" w:cs="Calibri"/>
          <w:color w:val="221F1F"/>
          <w:spacing w:val="-6"/>
          <w:sz w:val="22"/>
          <w:szCs w:val="22"/>
        </w:rPr>
        <w:t xml:space="preserve"> </w:t>
      </w:r>
      <w:r w:rsidRPr="005066E7">
        <w:rPr>
          <w:rFonts w:ascii="Calibri" w:hAnsi="Calibri" w:cs="Calibri"/>
          <w:color w:val="221F1F"/>
          <w:sz w:val="22"/>
          <w:szCs w:val="22"/>
        </w:rPr>
        <w:t>features</w:t>
      </w:r>
      <w:r w:rsidRPr="005066E7">
        <w:rPr>
          <w:rFonts w:ascii="Calibri" w:hAnsi="Calibri" w:cs="Calibri"/>
          <w:color w:val="221F1F"/>
          <w:spacing w:val="-6"/>
          <w:sz w:val="22"/>
          <w:szCs w:val="22"/>
        </w:rPr>
        <w:t xml:space="preserve"> </w:t>
      </w:r>
      <w:r w:rsidRPr="005066E7">
        <w:rPr>
          <w:rFonts w:ascii="Calibri" w:hAnsi="Calibri" w:cs="Calibri"/>
          <w:color w:val="221F1F"/>
          <w:sz w:val="22"/>
          <w:szCs w:val="22"/>
        </w:rPr>
        <w:t>of</w:t>
      </w:r>
      <w:r w:rsidRPr="005066E7">
        <w:rPr>
          <w:rFonts w:ascii="Calibri" w:hAnsi="Calibri" w:cs="Calibri"/>
          <w:color w:val="221F1F"/>
          <w:spacing w:val="-6"/>
          <w:sz w:val="22"/>
          <w:szCs w:val="22"/>
        </w:rPr>
        <w:t xml:space="preserve"> </w:t>
      </w:r>
      <w:r w:rsidRPr="005066E7">
        <w:rPr>
          <w:rFonts w:ascii="Calibri" w:hAnsi="Calibri" w:cs="Calibri"/>
          <w:color w:val="221F1F"/>
          <w:sz w:val="22"/>
          <w:szCs w:val="22"/>
        </w:rPr>
        <w:t>the</w:t>
      </w:r>
      <w:r w:rsidRPr="005066E7">
        <w:rPr>
          <w:rFonts w:ascii="Calibri" w:hAnsi="Calibri" w:cs="Calibri"/>
          <w:color w:val="221F1F"/>
          <w:spacing w:val="-6"/>
          <w:sz w:val="22"/>
          <w:szCs w:val="22"/>
        </w:rPr>
        <w:t xml:space="preserve"> </w:t>
      </w:r>
      <w:r w:rsidRPr="005066E7">
        <w:rPr>
          <w:rFonts w:ascii="Calibri" w:hAnsi="Calibri" w:cs="Calibri"/>
          <w:color w:val="221F1F"/>
          <w:sz w:val="22"/>
          <w:szCs w:val="22"/>
        </w:rPr>
        <w:t>UNDP</w:t>
      </w:r>
      <w:r w:rsidRPr="005066E7">
        <w:rPr>
          <w:rFonts w:ascii="Calibri" w:hAnsi="Calibri" w:cs="Calibri"/>
          <w:color w:val="221F1F"/>
          <w:spacing w:val="-7"/>
          <w:sz w:val="22"/>
          <w:szCs w:val="22"/>
        </w:rPr>
        <w:t xml:space="preserve"> </w:t>
      </w:r>
      <w:r w:rsidRPr="005066E7">
        <w:rPr>
          <w:rFonts w:ascii="Calibri" w:hAnsi="Calibri" w:cs="Calibri"/>
          <w:color w:val="221F1F"/>
          <w:sz w:val="22"/>
          <w:szCs w:val="22"/>
        </w:rPr>
        <w:t>implementation</w:t>
      </w:r>
      <w:r w:rsidRPr="005066E7">
        <w:rPr>
          <w:rFonts w:ascii="Calibri" w:hAnsi="Calibri" w:cs="Calibri"/>
          <w:color w:val="221F1F"/>
          <w:spacing w:val="-8"/>
          <w:sz w:val="22"/>
          <w:szCs w:val="22"/>
        </w:rPr>
        <w:t xml:space="preserve"> </w:t>
      </w:r>
      <w:r w:rsidRPr="005066E7">
        <w:rPr>
          <w:rFonts w:ascii="Calibri" w:hAnsi="Calibri" w:cs="Calibri"/>
          <w:color w:val="221F1F"/>
          <w:sz w:val="22"/>
          <w:szCs w:val="22"/>
        </w:rPr>
        <w:t>are as</w:t>
      </w:r>
      <w:r w:rsidRPr="005066E7">
        <w:rPr>
          <w:rFonts w:ascii="Calibri" w:hAnsi="Calibri" w:cs="Calibri"/>
          <w:color w:val="221F1F"/>
          <w:spacing w:val="-1"/>
          <w:sz w:val="22"/>
          <w:szCs w:val="22"/>
        </w:rPr>
        <w:t xml:space="preserve"> </w:t>
      </w:r>
      <w:r w:rsidRPr="005066E7">
        <w:rPr>
          <w:rFonts w:ascii="Calibri" w:hAnsi="Calibri" w:cs="Calibri"/>
          <w:color w:val="221F1F"/>
          <w:sz w:val="22"/>
          <w:szCs w:val="22"/>
        </w:rPr>
        <w:t>follows:</w:t>
      </w:r>
    </w:p>
    <w:p w14:paraId="391BE3B5" w14:textId="77777777" w:rsidR="00803B37" w:rsidRDefault="005066E7" w:rsidP="00D80344">
      <w:pPr>
        <w:pStyle w:val="ListParagraph"/>
        <w:numPr>
          <w:ilvl w:val="0"/>
          <w:numId w:val="23"/>
        </w:numPr>
        <w:spacing w:before="0" w:after="120"/>
        <w:jc w:val="both"/>
        <w:rPr>
          <w:rFonts w:ascii="Calibri" w:hAnsi="Calibri" w:cs="Calibri"/>
        </w:rPr>
      </w:pPr>
      <w:r w:rsidRPr="005066E7">
        <w:rPr>
          <w:rFonts w:ascii="Calibri" w:hAnsi="Calibri" w:cs="Calibri"/>
          <w:bCs/>
          <w:u w:val="single"/>
        </w:rPr>
        <w:t xml:space="preserve">The </w:t>
      </w:r>
      <w:r w:rsidR="009778BC">
        <w:rPr>
          <w:rFonts w:ascii="Calibri" w:hAnsi="Calibri" w:cs="Calibri"/>
          <w:bCs/>
          <w:u w:val="single"/>
        </w:rPr>
        <w:t xml:space="preserve">Project Management Unit: </w:t>
      </w:r>
      <w:r w:rsidRPr="005066E7">
        <w:rPr>
          <w:rFonts w:ascii="Calibri" w:hAnsi="Calibri" w:cs="Calibri"/>
          <w:bCs/>
        </w:rPr>
        <w:t xml:space="preserve">managed the </w:t>
      </w:r>
      <w:r w:rsidRPr="005066E7">
        <w:rPr>
          <w:rFonts w:ascii="Calibri" w:hAnsi="Calibri" w:cs="Calibri"/>
        </w:rPr>
        <w:t xml:space="preserve">day-to-day project activities and regular monitoring of project results and risks, including social and environmental risks and ensured that project staff maintained a high level of transparency, responsibility and accountability in M&amp;E and reporting of project results. </w:t>
      </w:r>
    </w:p>
    <w:p w14:paraId="3312BFE6" w14:textId="42677AF1" w:rsidR="00735B1C" w:rsidRDefault="00803B37" w:rsidP="00803B37">
      <w:pPr>
        <w:pStyle w:val="ListParagraph"/>
        <w:spacing w:before="0" w:after="120"/>
        <w:ind w:left="720" w:firstLine="0"/>
        <w:jc w:val="both"/>
        <w:rPr>
          <w:rFonts w:ascii="Calibri" w:hAnsi="Calibri" w:cs="Calibri"/>
        </w:rPr>
      </w:pPr>
      <w:r w:rsidRPr="00010A04">
        <w:rPr>
          <w:rFonts w:ascii="Calibri" w:hAnsi="Calibri" w:cs="Calibri"/>
          <w:bCs/>
        </w:rPr>
        <w:t>Finding</w:t>
      </w:r>
      <w:r w:rsidR="006965FC">
        <w:rPr>
          <w:rFonts w:ascii="Calibri" w:hAnsi="Calibri" w:cs="Calibri"/>
          <w:bCs/>
        </w:rPr>
        <w:t xml:space="preserve"> (32)</w:t>
      </w:r>
      <w:r w:rsidRPr="00010A04">
        <w:rPr>
          <w:rFonts w:ascii="Calibri" w:hAnsi="Calibri" w:cs="Calibri"/>
          <w:bCs/>
        </w:rPr>
        <w:t>:</w:t>
      </w:r>
      <w:r>
        <w:rPr>
          <w:rFonts w:ascii="Calibri" w:hAnsi="Calibri" w:cs="Calibri"/>
        </w:rPr>
        <w:t xml:space="preserve"> </w:t>
      </w:r>
      <w:r w:rsidR="009778BC">
        <w:rPr>
          <w:rFonts w:ascii="Calibri" w:hAnsi="Calibri" w:cs="Calibri"/>
        </w:rPr>
        <w:t>Interviews with KIIs confirmed that the PMU recruited qualified professional</w:t>
      </w:r>
      <w:r w:rsidR="00F61994">
        <w:rPr>
          <w:rFonts w:ascii="Calibri" w:hAnsi="Calibri" w:cs="Calibri"/>
        </w:rPr>
        <w:t>s</w:t>
      </w:r>
      <w:r w:rsidR="009778BC">
        <w:rPr>
          <w:rFonts w:ascii="Calibri" w:hAnsi="Calibri" w:cs="Calibri"/>
        </w:rPr>
        <w:t xml:space="preserve"> for the positions required of the project; established and maintained a safe and productive work environment; and adeptly managed the project´s workplan and flow.</w:t>
      </w:r>
      <w:r w:rsidR="002D3938">
        <w:rPr>
          <w:rFonts w:ascii="Calibri" w:hAnsi="Calibri" w:cs="Calibri"/>
        </w:rPr>
        <w:t xml:space="preserve"> </w:t>
      </w:r>
    </w:p>
    <w:p w14:paraId="22A60C37" w14:textId="769935EA" w:rsidR="009778BC" w:rsidRDefault="00735B1C" w:rsidP="00803B37">
      <w:pPr>
        <w:pStyle w:val="ListParagraph"/>
        <w:spacing w:before="0" w:after="120"/>
        <w:ind w:left="720" w:firstLine="0"/>
        <w:jc w:val="both"/>
        <w:rPr>
          <w:rFonts w:ascii="Calibri" w:hAnsi="Calibri" w:cs="Calibri"/>
        </w:rPr>
      </w:pPr>
      <w:bookmarkStart w:id="61" w:name="_Hlk89856224"/>
      <w:r w:rsidRPr="00010A04">
        <w:rPr>
          <w:rFonts w:ascii="Calibri" w:hAnsi="Calibri" w:cs="Calibri"/>
          <w:bCs/>
        </w:rPr>
        <w:t>Finding</w:t>
      </w:r>
      <w:r w:rsidR="006965FC">
        <w:rPr>
          <w:rFonts w:ascii="Calibri" w:hAnsi="Calibri" w:cs="Calibri"/>
          <w:bCs/>
        </w:rPr>
        <w:t xml:space="preserve"> (33) </w:t>
      </w:r>
      <w:r w:rsidRPr="00010A04">
        <w:rPr>
          <w:rFonts w:ascii="Calibri" w:hAnsi="Calibri" w:cs="Calibri"/>
          <w:bCs/>
        </w:rPr>
        <w:t>:</w:t>
      </w:r>
      <w:r>
        <w:rPr>
          <w:rFonts w:ascii="Calibri" w:hAnsi="Calibri" w:cs="Calibri"/>
        </w:rPr>
        <w:t xml:space="preserve"> </w:t>
      </w:r>
      <w:r w:rsidR="002D3938">
        <w:rPr>
          <w:rFonts w:ascii="Calibri" w:hAnsi="Calibri" w:cs="Calibri"/>
        </w:rPr>
        <w:t>The PMU shares duty with the production project on a 30% to 70% split respectively.</w:t>
      </w:r>
      <w:r w:rsidR="00BE74D6">
        <w:rPr>
          <w:rFonts w:ascii="Calibri" w:hAnsi="Calibri" w:cs="Calibri"/>
        </w:rPr>
        <w:t xml:space="preserve"> Too little time for project execution and oversight responsibilities.</w:t>
      </w:r>
    </w:p>
    <w:bookmarkEnd w:id="61"/>
    <w:p w14:paraId="0F099194" w14:textId="0AB0EDD6" w:rsidR="005066E7" w:rsidRPr="005066E7" w:rsidRDefault="005066E7" w:rsidP="00D80344">
      <w:pPr>
        <w:pStyle w:val="ListParagraph"/>
        <w:numPr>
          <w:ilvl w:val="0"/>
          <w:numId w:val="23"/>
        </w:numPr>
        <w:spacing w:before="0" w:after="120"/>
        <w:jc w:val="both"/>
        <w:rPr>
          <w:rFonts w:ascii="Calibri" w:hAnsi="Calibri" w:cs="Calibri"/>
        </w:rPr>
      </w:pPr>
      <w:r w:rsidRPr="005066E7">
        <w:rPr>
          <w:rFonts w:ascii="Calibri" w:hAnsi="Calibri" w:cs="Calibri"/>
        </w:rPr>
        <w:t xml:space="preserve">The </w:t>
      </w:r>
      <w:r w:rsidR="006965FC">
        <w:rPr>
          <w:rFonts w:ascii="Calibri" w:hAnsi="Calibri" w:cs="Calibri"/>
          <w:spacing w:val="-2"/>
        </w:rPr>
        <w:t>GGP A&amp;L Global</w:t>
      </w:r>
      <w:r w:rsidR="006965FC" w:rsidRPr="005066E7">
        <w:rPr>
          <w:rFonts w:ascii="Calibri" w:hAnsi="Calibri" w:cs="Calibri"/>
          <w:spacing w:val="-2"/>
        </w:rPr>
        <w:t xml:space="preserve"> </w:t>
      </w:r>
      <w:r w:rsidRPr="005066E7">
        <w:rPr>
          <w:rFonts w:ascii="Calibri" w:hAnsi="Calibri" w:cs="Calibri"/>
        </w:rPr>
        <w:t xml:space="preserve">Manager </w:t>
      </w:r>
      <w:r w:rsidR="00735B1C">
        <w:rPr>
          <w:rFonts w:ascii="Calibri" w:hAnsi="Calibri" w:cs="Calibri"/>
        </w:rPr>
        <w:t>i</w:t>
      </w:r>
      <w:r w:rsidRPr="005066E7">
        <w:rPr>
          <w:rFonts w:ascii="Calibri" w:hAnsi="Calibri" w:cs="Calibri"/>
        </w:rPr>
        <w:t xml:space="preserve">nformed the Program Steering Committee, the UNDP Regional Hub LAC and the UNDP-GEF RTA of any delays or difficulties </w:t>
      </w:r>
      <w:r w:rsidR="00735B1C">
        <w:rPr>
          <w:rFonts w:ascii="Calibri" w:hAnsi="Calibri" w:cs="Calibri"/>
        </w:rPr>
        <w:t>that</w:t>
      </w:r>
      <w:r w:rsidRPr="005066E7">
        <w:rPr>
          <w:rFonts w:ascii="Calibri" w:hAnsi="Calibri" w:cs="Calibri"/>
        </w:rPr>
        <w:t xml:space="preserve"> </w:t>
      </w:r>
      <w:r w:rsidR="00FF543B" w:rsidRPr="005066E7">
        <w:rPr>
          <w:rFonts w:ascii="Calibri" w:hAnsi="Calibri" w:cs="Calibri"/>
        </w:rPr>
        <w:t>arise</w:t>
      </w:r>
      <w:r w:rsidRPr="005066E7">
        <w:rPr>
          <w:rFonts w:ascii="Calibri" w:hAnsi="Calibri" w:cs="Calibri"/>
        </w:rPr>
        <w:t xml:space="preserve"> during implementation so that appropriate support and corrective measures can be adopted.</w:t>
      </w:r>
    </w:p>
    <w:p w14:paraId="7D2295F5" w14:textId="44B80616" w:rsidR="005066E7" w:rsidRDefault="00D24087" w:rsidP="00D80344">
      <w:pPr>
        <w:pStyle w:val="ListParagraph"/>
        <w:numPr>
          <w:ilvl w:val="0"/>
          <w:numId w:val="23"/>
        </w:numPr>
        <w:tabs>
          <w:tab w:val="left" w:pos="859"/>
          <w:tab w:val="left" w:pos="861"/>
        </w:tabs>
        <w:spacing w:before="0" w:after="120"/>
        <w:ind w:right="265"/>
        <w:jc w:val="both"/>
        <w:rPr>
          <w:rFonts w:ascii="Calibri" w:hAnsi="Calibri" w:cs="Calibri"/>
        </w:rPr>
      </w:pPr>
      <w:r w:rsidRPr="00D24087">
        <w:rPr>
          <w:rFonts w:ascii="Calibri" w:hAnsi="Calibri" w:cs="Calibri"/>
        </w:rPr>
        <w:t>The PMU</w:t>
      </w:r>
      <w:r w:rsidR="005066E7" w:rsidRPr="005066E7">
        <w:rPr>
          <w:rFonts w:ascii="Calibri" w:hAnsi="Calibri" w:cs="Calibri"/>
        </w:rPr>
        <w:t xml:space="preserve"> developed annual work plans based on the multi-year work plan included in the ProDoc, including annual output targets to support the efficient implementation of the project</w:t>
      </w:r>
      <w:r>
        <w:rPr>
          <w:rFonts w:ascii="Calibri" w:hAnsi="Calibri" w:cs="Calibri"/>
        </w:rPr>
        <w:t xml:space="preserve"> and </w:t>
      </w:r>
      <w:r w:rsidR="005066E7" w:rsidRPr="005066E7">
        <w:rPr>
          <w:rFonts w:ascii="Calibri" w:hAnsi="Calibri" w:cs="Calibri"/>
        </w:rPr>
        <w:t>ensured that the standard UNDP and GEF M&amp;E requirements were fulfilled</w:t>
      </w:r>
      <w:r>
        <w:rPr>
          <w:rFonts w:ascii="Calibri" w:hAnsi="Calibri" w:cs="Calibri"/>
        </w:rPr>
        <w:t xml:space="preserve"> </w:t>
      </w:r>
      <w:r w:rsidR="005066E7" w:rsidRPr="005066E7">
        <w:rPr>
          <w:rFonts w:ascii="Calibri" w:hAnsi="Calibri" w:cs="Calibri"/>
        </w:rPr>
        <w:t xml:space="preserve">ensuring that the </w:t>
      </w:r>
      <w:r>
        <w:rPr>
          <w:rFonts w:ascii="Calibri" w:hAnsi="Calibri" w:cs="Calibri"/>
        </w:rPr>
        <w:t>R</w:t>
      </w:r>
      <w:r w:rsidR="005066E7" w:rsidRPr="005066E7">
        <w:rPr>
          <w:rFonts w:ascii="Calibri" w:hAnsi="Calibri" w:cs="Calibri"/>
        </w:rPr>
        <w:t xml:space="preserve">esults </w:t>
      </w:r>
      <w:r>
        <w:rPr>
          <w:rFonts w:ascii="Calibri" w:hAnsi="Calibri" w:cs="Calibri"/>
        </w:rPr>
        <w:t>F</w:t>
      </w:r>
      <w:r w:rsidR="005066E7" w:rsidRPr="005066E7">
        <w:rPr>
          <w:rFonts w:ascii="Calibri" w:hAnsi="Calibri" w:cs="Calibri"/>
        </w:rPr>
        <w:t>ramework indicators were monitored annually in time for evidence-based reporting in the GEF PIR, and that the monitoring of risks and the various plans/strategies developed to support project implementation (e.g. gender strategy, KM strategy etc.) occurred on a regular</w:t>
      </w:r>
      <w:r w:rsidR="005066E7" w:rsidRPr="005066E7">
        <w:rPr>
          <w:rFonts w:ascii="Calibri" w:hAnsi="Calibri" w:cs="Calibri"/>
          <w:spacing w:val="-3"/>
        </w:rPr>
        <w:t xml:space="preserve"> </w:t>
      </w:r>
      <w:r w:rsidR="005066E7" w:rsidRPr="005066E7">
        <w:rPr>
          <w:rFonts w:ascii="Calibri" w:hAnsi="Calibri" w:cs="Calibri"/>
        </w:rPr>
        <w:t>basis.</w:t>
      </w:r>
    </w:p>
    <w:p w14:paraId="78D8C232" w14:textId="1C5A0114" w:rsidR="005066E7" w:rsidRDefault="00D24087" w:rsidP="005066E7">
      <w:pPr>
        <w:pStyle w:val="ListParagraph"/>
        <w:tabs>
          <w:tab w:val="left" w:pos="859"/>
          <w:tab w:val="left" w:pos="861"/>
        </w:tabs>
        <w:spacing w:before="0" w:after="120"/>
        <w:ind w:left="720" w:right="265" w:firstLine="0"/>
        <w:jc w:val="both"/>
        <w:rPr>
          <w:rFonts w:ascii="Calibri" w:hAnsi="Calibri" w:cs="Calibri"/>
        </w:rPr>
      </w:pPr>
      <w:bookmarkStart w:id="62" w:name="_Hlk89856249"/>
      <w:r>
        <w:rPr>
          <w:rFonts w:ascii="Calibri" w:hAnsi="Calibri" w:cs="Calibri"/>
        </w:rPr>
        <w:t>Finding</w:t>
      </w:r>
      <w:r w:rsidR="006965FC">
        <w:rPr>
          <w:rFonts w:ascii="Calibri" w:hAnsi="Calibri" w:cs="Calibri"/>
        </w:rPr>
        <w:t xml:space="preserve"> (34)</w:t>
      </w:r>
      <w:r>
        <w:rPr>
          <w:rFonts w:ascii="Calibri" w:hAnsi="Calibri" w:cs="Calibri"/>
        </w:rPr>
        <w:t>: The project reports were complete and of high technical quality.</w:t>
      </w:r>
    </w:p>
    <w:p w14:paraId="4700ECC6" w14:textId="75350AA0" w:rsidR="00D24087" w:rsidRPr="005066E7" w:rsidRDefault="00D24087" w:rsidP="005066E7">
      <w:pPr>
        <w:pStyle w:val="ListParagraph"/>
        <w:tabs>
          <w:tab w:val="left" w:pos="859"/>
          <w:tab w:val="left" w:pos="861"/>
        </w:tabs>
        <w:spacing w:before="0" w:after="120"/>
        <w:ind w:left="720" w:right="265" w:firstLine="0"/>
        <w:jc w:val="both"/>
        <w:rPr>
          <w:rFonts w:ascii="Calibri" w:hAnsi="Calibri" w:cs="Calibri"/>
        </w:rPr>
      </w:pPr>
      <w:r>
        <w:rPr>
          <w:rFonts w:ascii="Calibri" w:hAnsi="Calibri" w:cs="Calibri"/>
        </w:rPr>
        <w:t>Finding</w:t>
      </w:r>
      <w:r w:rsidR="006965FC">
        <w:rPr>
          <w:rFonts w:ascii="Calibri" w:hAnsi="Calibri" w:cs="Calibri"/>
        </w:rPr>
        <w:t xml:space="preserve"> (35)</w:t>
      </w:r>
      <w:r>
        <w:rPr>
          <w:rFonts w:ascii="Calibri" w:hAnsi="Calibri" w:cs="Calibri"/>
        </w:rPr>
        <w:t xml:space="preserve">: The Knowledge management products ready at the time of TE e.g. Gender </w:t>
      </w:r>
      <w:r w:rsidR="00E02CEE">
        <w:rPr>
          <w:rFonts w:ascii="Calibri" w:hAnsi="Calibri" w:cs="Calibri"/>
        </w:rPr>
        <w:t>knowledge product</w:t>
      </w:r>
      <w:r>
        <w:rPr>
          <w:rFonts w:ascii="Calibri" w:hAnsi="Calibri" w:cs="Calibri"/>
        </w:rPr>
        <w:t xml:space="preserve">, were of very high quality and provided a good summary of the salient points. </w:t>
      </w:r>
    </w:p>
    <w:bookmarkEnd w:id="62"/>
    <w:p w14:paraId="32DFC4E0" w14:textId="1D819727" w:rsidR="005066E7" w:rsidRDefault="005066E7" w:rsidP="00D80344">
      <w:pPr>
        <w:pStyle w:val="ListParagraph"/>
        <w:numPr>
          <w:ilvl w:val="0"/>
          <w:numId w:val="23"/>
        </w:numPr>
        <w:spacing w:before="0" w:after="120"/>
        <w:jc w:val="both"/>
        <w:rPr>
          <w:rFonts w:ascii="Calibri" w:hAnsi="Calibri" w:cs="Calibri"/>
        </w:rPr>
      </w:pPr>
      <w:r w:rsidRPr="005066E7">
        <w:rPr>
          <w:rFonts w:ascii="Calibri" w:hAnsi="Calibri" w:cs="Calibri"/>
          <w:u w:val="single"/>
        </w:rPr>
        <w:t>Program Steering Committee (SC):</w:t>
      </w:r>
      <w:r w:rsidRPr="005066E7">
        <w:rPr>
          <w:rFonts w:ascii="Calibri" w:hAnsi="Calibri" w:cs="Calibri"/>
        </w:rPr>
        <w:t xml:space="preserve"> The SC took corrective </w:t>
      </w:r>
      <w:r w:rsidR="00837224">
        <w:rPr>
          <w:rFonts w:ascii="Calibri" w:hAnsi="Calibri" w:cs="Calibri"/>
        </w:rPr>
        <w:t>decisions</w:t>
      </w:r>
      <w:r w:rsidR="00837224" w:rsidRPr="005066E7">
        <w:rPr>
          <w:rFonts w:ascii="Calibri" w:hAnsi="Calibri" w:cs="Calibri"/>
        </w:rPr>
        <w:t xml:space="preserve"> </w:t>
      </w:r>
      <w:r w:rsidR="00837224">
        <w:rPr>
          <w:rFonts w:ascii="Calibri" w:hAnsi="Calibri" w:cs="Calibri"/>
        </w:rPr>
        <w:t xml:space="preserve">when needed </w:t>
      </w:r>
      <w:r w:rsidRPr="005066E7">
        <w:rPr>
          <w:rFonts w:ascii="Calibri" w:hAnsi="Calibri" w:cs="Calibri"/>
        </w:rPr>
        <w:t xml:space="preserve">to ensure </w:t>
      </w:r>
      <w:r w:rsidRPr="005066E7">
        <w:rPr>
          <w:rFonts w:ascii="Calibri" w:hAnsi="Calibri" w:cs="Calibri"/>
        </w:rPr>
        <w:lastRenderedPageBreak/>
        <w:t xml:space="preserve">project achieves the desired results. The SC assessed the performance of the project. In the project’s final year, the Program Steering Committee </w:t>
      </w:r>
      <w:r w:rsidR="0023662B">
        <w:rPr>
          <w:rFonts w:ascii="Calibri" w:hAnsi="Calibri" w:cs="Calibri"/>
        </w:rPr>
        <w:t>held</w:t>
      </w:r>
      <w:r w:rsidRPr="005066E7">
        <w:rPr>
          <w:rFonts w:ascii="Calibri" w:hAnsi="Calibri" w:cs="Calibri"/>
        </w:rPr>
        <w:t xml:space="preserve"> an end-of-</w:t>
      </w:r>
      <w:r w:rsidR="0023662B">
        <w:rPr>
          <w:rFonts w:ascii="Calibri" w:hAnsi="Calibri" w:cs="Calibri"/>
        </w:rPr>
        <w:t>programme</w:t>
      </w:r>
      <w:r w:rsidR="0023662B" w:rsidRPr="005066E7">
        <w:rPr>
          <w:rFonts w:ascii="Calibri" w:hAnsi="Calibri" w:cs="Calibri"/>
        </w:rPr>
        <w:t xml:space="preserve"> </w:t>
      </w:r>
      <w:r w:rsidRPr="005066E7">
        <w:rPr>
          <w:rFonts w:ascii="Calibri" w:hAnsi="Calibri" w:cs="Calibri"/>
        </w:rPr>
        <w:t>review to capture lessons learned and discuss opportunities for scaling up and to highlight project results and lessons learned with relevant audiences..</w:t>
      </w:r>
    </w:p>
    <w:p w14:paraId="00EA65BA" w14:textId="633F5004" w:rsidR="002E1EFE" w:rsidRDefault="002E1EFE" w:rsidP="002E1EFE">
      <w:pPr>
        <w:pStyle w:val="ListParagraph"/>
        <w:spacing w:before="0" w:after="120"/>
        <w:ind w:left="720" w:firstLine="0"/>
        <w:jc w:val="both"/>
        <w:rPr>
          <w:rFonts w:ascii="Calibri" w:hAnsi="Calibri" w:cs="Calibri"/>
        </w:rPr>
      </w:pPr>
      <w:bookmarkStart w:id="63" w:name="_Hlk89856278"/>
      <w:r w:rsidRPr="002E1EFE">
        <w:rPr>
          <w:rFonts w:ascii="Calibri" w:hAnsi="Calibri" w:cs="Calibri"/>
        </w:rPr>
        <w:t>Finding</w:t>
      </w:r>
      <w:r w:rsidR="006965FC">
        <w:rPr>
          <w:rFonts w:ascii="Calibri" w:hAnsi="Calibri" w:cs="Calibri"/>
        </w:rPr>
        <w:t xml:space="preserve"> (3</w:t>
      </w:r>
      <w:r w:rsidR="00792B3F">
        <w:rPr>
          <w:rFonts w:ascii="Calibri" w:hAnsi="Calibri" w:cs="Calibri"/>
        </w:rPr>
        <w:t>6)</w:t>
      </w:r>
      <w:r w:rsidRPr="002E1EFE">
        <w:rPr>
          <w:rFonts w:ascii="Calibri" w:hAnsi="Calibri" w:cs="Calibri"/>
        </w:rPr>
        <w:t xml:space="preserve">: </w:t>
      </w:r>
      <w:r w:rsidR="009B2F88">
        <w:rPr>
          <w:rFonts w:ascii="Calibri" w:hAnsi="Calibri" w:cs="Calibri"/>
        </w:rPr>
        <w:t>KIIs</w:t>
      </w:r>
      <w:r w:rsidRPr="002E1EFE">
        <w:rPr>
          <w:rFonts w:ascii="Calibri" w:hAnsi="Calibri" w:cs="Calibri"/>
        </w:rPr>
        <w:t xml:space="preserve"> confirmed that the project´s synthesis reports and analysis were concise, easy to comprehend, and of very high quality. The key points are well summarized for decision-makers.</w:t>
      </w:r>
    </w:p>
    <w:p w14:paraId="0A3E3C54" w14:textId="0C878BBE" w:rsidR="002E1EFE" w:rsidRPr="002E1EFE" w:rsidRDefault="002E1EFE" w:rsidP="002E1EFE">
      <w:pPr>
        <w:pStyle w:val="ListParagraph"/>
        <w:spacing w:before="0" w:after="120"/>
        <w:ind w:left="720" w:firstLine="0"/>
        <w:jc w:val="both"/>
        <w:rPr>
          <w:rFonts w:ascii="Calibri" w:hAnsi="Calibri" w:cs="Calibri"/>
        </w:rPr>
      </w:pPr>
      <w:r>
        <w:rPr>
          <w:rFonts w:ascii="Calibri" w:hAnsi="Calibri" w:cs="Calibri"/>
        </w:rPr>
        <w:t>Finding</w:t>
      </w:r>
      <w:r w:rsidR="00792B3F">
        <w:rPr>
          <w:rFonts w:ascii="Calibri" w:hAnsi="Calibri" w:cs="Calibri"/>
        </w:rPr>
        <w:t xml:space="preserve"> (37)</w:t>
      </w:r>
      <w:r>
        <w:rPr>
          <w:rFonts w:ascii="Calibri" w:hAnsi="Calibri" w:cs="Calibri"/>
        </w:rPr>
        <w:t>: The PMU maintained a good rapport with Steering Committee and Secretariat members. That rapport facilitated upstream and downstream communication.</w:t>
      </w:r>
    </w:p>
    <w:bookmarkEnd w:id="63"/>
    <w:p w14:paraId="4D909C5E" w14:textId="37B23092" w:rsidR="005066E7" w:rsidRDefault="005066E7" w:rsidP="00D80344">
      <w:pPr>
        <w:pStyle w:val="ListParagraph"/>
        <w:numPr>
          <w:ilvl w:val="0"/>
          <w:numId w:val="23"/>
        </w:numPr>
        <w:tabs>
          <w:tab w:val="left" w:pos="859"/>
          <w:tab w:val="left" w:pos="861"/>
        </w:tabs>
        <w:spacing w:before="0" w:after="120"/>
        <w:ind w:right="195"/>
        <w:jc w:val="both"/>
        <w:rPr>
          <w:rFonts w:ascii="Calibri" w:hAnsi="Calibri" w:cs="Calibri"/>
        </w:rPr>
      </w:pPr>
      <w:r w:rsidRPr="005066E7">
        <w:rPr>
          <w:rFonts w:ascii="Calibri" w:hAnsi="Calibri" w:cs="Calibri"/>
          <w:u w:val="single"/>
        </w:rPr>
        <w:t>UNDP Regional Hub for Latin America and the Caribbean in Panama</w:t>
      </w:r>
      <w:r w:rsidRPr="005066E7">
        <w:rPr>
          <w:rFonts w:ascii="Calibri" w:hAnsi="Calibri" w:cs="Calibri"/>
        </w:rPr>
        <w:t xml:space="preserve">: The UNDP RH LAC provided support to the </w:t>
      </w:r>
      <w:r w:rsidRPr="005066E7">
        <w:rPr>
          <w:rFonts w:ascii="Calibri" w:hAnsi="Calibri" w:cs="Calibri"/>
          <w:spacing w:val="-2"/>
        </w:rPr>
        <w:t xml:space="preserve">IAP </w:t>
      </w:r>
      <w:r w:rsidRPr="005066E7">
        <w:rPr>
          <w:rFonts w:ascii="Calibri" w:hAnsi="Calibri" w:cs="Calibri"/>
        </w:rPr>
        <w:t xml:space="preserve">Manager as needed. The annual </w:t>
      </w:r>
      <w:r w:rsidR="00524497">
        <w:rPr>
          <w:rFonts w:ascii="Calibri" w:hAnsi="Calibri" w:cs="Calibri"/>
        </w:rPr>
        <w:t xml:space="preserve">planning workshops and end of the year in person Steering Committee meetings </w:t>
      </w:r>
      <w:r w:rsidRPr="005066E7">
        <w:rPr>
          <w:rFonts w:ascii="Calibri" w:hAnsi="Calibri" w:cs="Calibri"/>
        </w:rPr>
        <w:t>took place according to the schedule outlined in the annual work plan</w:t>
      </w:r>
      <w:r w:rsidR="00CB03F5">
        <w:rPr>
          <w:rFonts w:ascii="Calibri" w:hAnsi="Calibri" w:cs="Calibri"/>
        </w:rPr>
        <w:t xml:space="preserve"> until the onset of COVID-19. </w:t>
      </w:r>
      <w:r w:rsidRPr="005066E7">
        <w:rPr>
          <w:rFonts w:ascii="Calibri" w:hAnsi="Calibri" w:cs="Calibri"/>
        </w:rPr>
        <w:t xml:space="preserve"> </w:t>
      </w:r>
      <w:r w:rsidR="00524497">
        <w:rPr>
          <w:rFonts w:ascii="Calibri" w:hAnsi="Calibri" w:cs="Calibri"/>
        </w:rPr>
        <w:t xml:space="preserve"> Therefore, since mid 2020, they are virtual.</w:t>
      </w:r>
      <w:r w:rsidR="00CB03F5">
        <w:rPr>
          <w:rFonts w:ascii="Calibri" w:hAnsi="Calibri" w:cs="Calibri"/>
        </w:rPr>
        <w:t xml:space="preserve">. </w:t>
      </w:r>
      <w:r w:rsidRPr="005066E7">
        <w:rPr>
          <w:rFonts w:ascii="Calibri" w:hAnsi="Calibri" w:cs="Calibri"/>
        </w:rPr>
        <w:t xml:space="preserve"> The UNDP Regional Hub LAC supervised the initiation and organization of the key GEF M&amp;E activities including the annual GEF APR/PIR, the independent mid-term review and the independent terminal evaluation.</w:t>
      </w:r>
    </w:p>
    <w:p w14:paraId="2EC099B0" w14:textId="6793B192" w:rsidR="00CB03F5" w:rsidRDefault="00CB03F5" w:rsidP="00CB03F5">
      <w:pPr>
        <w:pStyle w:val="ListParagraph"/>
        <w:tabs>
          <w:tab w:val="left" w:pos="859"/>
          <w:tab w:val="left" w:pos="861"/>
        </w:tabs>
        <w:spacing w:before="0" w:after="120"/>
        <w:ind w:left="720" w:right="195" w:firstLine="0"/>
        <w:jc w:val="both"/>
        <w:rPr>
          <w:rFonts w:ascii="Calibri" w:hAnsi="Calibri" w:cs="Calibri"/>
        </w:rPr>
      </w:pPr>
      <w:bookmarkStart w:id="64" w:name="_Hlk89856294"/>
      <w:r>
        <w:rPr>
          <w:rFonts w:ascii="Calibri" w:hAnsi="Calibri" w:cs="Calibri"/>
        </w:rPr>
        <w:t>Finding</w:t>
      </w:r>
      <w:r w:rsidR="00792B3F">
        <w:rPr>
          <w:rFonts w:ascii="Calibri" w:hAnsi="Calibri" w:cs="Calibri"/>
        </w:rPr>
        <w:t xml:space="preserve"> (38)</w:t>
      </w:r>
      <w:r>
        <w:rPr>
          <w:rFonts w:ascii="Calibri" w:hAnsi="Calibri" w:cs="Calibri"/>
        </w:rPr>
        <w:t xml:space="preserve">: </w:t>
      </w:r>
      <w:r w:rsidRPr="00CB03F5">
        <w:rPr>
          <w:rFonts w:ascii="Calibri" w:hAnsi="Calibri" w:cs="Calibri"/>
        </w:rPr>
        <w:t>The UNDP RH-</w:t>
      </w:r>
      <w:r>
        <w:rPr>
          <w:rFonts w:ascii="Calibri" w:hAnsi="Calibri" w:cs="Calibri"/>
        </w:rPr>
        <w:t xml:space="preserve">LAC and PMU provided qualified oversight and information exchange and adapted to the COVID-19 situation. </w:t>
      </w:r>
    </w:p>
    <w:p w14:paraId="01470DB1" w14:textId="1EE7A25A" w:rsidR="00CB03F5" w:rsidRPr="005066E7" w:rsidRDefault="00CB03F5" w:rsidP="00CB03F5">
      <w:pPr>
        <w:pStyle w:val="ListParagraph"/>
        <w:tabs>
          <w:tab w:val="left" w:pos="859"/>
          <w:tab w:val="left" w:pos="861"/>
        </w:tabs>
        <w:spacing w:before="0" w:after="120"/>
        <w:ind w:left="720" w:right="195" w:firstLine="0"/>
        <w:jc w:val="both"/>
        <w:rPr>
          <w:rFonts w:ascii="Calibri" w:hAnsi="Calibri" w:cs="Calibri"/>
        </w:rPr>
      </w:pPr>
      <w:r>
        <w:rPr>
          <w:rFonts w:ascii="Calibri" w:hAnsi="Calibri" w:cs="Calibri"/>
        </w:rPr>
        <w:t>Finding</w:t>
      </w:r>
      <w:r w:rsidR="00792B3F">
        <w:rPr>
          <w:rFonts w:ascii="Calibri" w:hAnsi="Calibri" w:cs="Calibri"/>
        </w:rPr>
        <w:t xml:space="preserve"> (39)</w:t>
      </w:r>
      <w:r>
        <w:rPr>
          <w:rFonts w:ascii="Calibri" w:hAnsi="Calibri" w:cs="Calibri"/>
        </w:rPr>
        <w:t xml:space="preserve">: The GCP provided technical </w:t>
      </w:r>
      <w:r w:rsidR="00E7016B">
        <w:rPr>
          <w:rFonts w:ascii="Calibri" w:hAnsi="Calibri" w:cs="Calibri"/>
        </w:rPr>
        <w:t>backstopping</w:t>
      </w:r>
      <w:r>
        <w:rPr>
          <w:rFonts w:ascii="Calibri" w:hAnsi="Calibri" w:cs="Calibri"/>
        </w:rPr>
        <w:t xml:space="preserve"> by expert consultants knowledgeable </w:t>
      </w:r>
      <w:r w:rsidR="007F6CF1">
        <w:rPr>
          <w:rFonts w:ascii="Calibri" w:hAnsi="Calibri" w:cs="Calibri"/>
        </w:rPr>
        <w:t>in</w:t>
      </w:r>
      <w:r>
        <w:rPr>
          <w:rFonts w:ascii="Calibri" w:hAnsi="Calibri" w:cs="Calibri"/>
        </w:rPr>
        <w:t xml:space="preserve"> the pertinent fields.  </w:t>
      </w:r>
    </w:p>
    <w:bookmarkEnd w:id="64"/>
    <w:p w14:paraId="6E3EB200" w14:textId="49D4DCC5" w:rsidR="00E7016B" w:rsidRPr="004F2E8C" w:rsidRDefault="005066E7" w:rsidP="00981FE1">
      <w:pPr>
        <w:pStyle w:val="ListParagraph"/>
        <w:numPr>
          <w:ilvl w:val="0"/>
          <w:numId w:val="23"/>
        </w:numPr>
        <w:spacing w:before="0" w:after="120"/>
        <w:ind w:firstLine="0"/>
        <w:jc w:val="both"/>
        <w:rPr>
          <w:rFonts w:ascii="Calibri" w:hAnsi="Calibri" w:cs="Calibri"/>
        </w:rPr>
      </w:pPr>
      <w:r w:rsidRPr="004F2E8C">
        <w:rPr>
          <w:rFonts w:ascii="Calibri" w:hAnsi="Calibri" w:cs="Calibri"/>
          <w:u w:val="single"/>
        </w:rPr>
        <w:t>Project Implementing Partner(s)</w:t>
      </w:r>
      <w:r w:rsidRPr="004F2E8C">
        <w:rPr>
          <w:rFonts w:ascii="Calibri" w:hAnsi="Calibri" w:cs="Calibri"/>
        </w:rPr>
        <w:t xml:space="preserve">: The Implementing Partner (s) are provided all required information and data necessary for project reporting, including results and financial data. </w:t>
      </w:r>
      <w:bookmarkStart w:id="65" w:name="_Hlk89856455"/>
      <w:r w:rsidR="00E7016B" w:rsidRPr="004F2E8C">
        <w:rPr>
          <w:rFonts w:ascii="Calibri" w:hAnsi="Calibri" w:cs="Calibri"/>
        </w:rPr>
        <w:t>Finding</w:t>
      </w:r>
      <w:r w:rsidR="00792B3F" w:rsidRPr="004F2E8C">
        <w:rPr>
          <w:rFonts w:ascii="Calibri" w:hAnsi="Calibri" w:cs="Calibri"/>
        </w:rPr>
        <w:t xml:space="preserve"> (40)</w:t>
      </w:r>
      <w:r w:rsidR="00E7016B" w:rsidRPr="004F2E8C">
        <w:rPr>
          <w:rFonts w:ascii="Calibri" w:hAnsi="Calibri" w:cs="Calibri"/>
        </w:rPr>
        <w:t xml:space="preserve">: Implementing partners provided all required information. In KIIs, </w:t>
      </w:r>
      <w:r w:rsidR="00173FE2" w:rsidRPr="004F2E8C">
        <w:rPr>
          <w:rFonts w:ascii="Calibri" w:hAnsi="Calibri" w:cs="Calibri"/>
        </w:rPr>
        <w:t>the implementing agency complimented executing partners and vice versa.  The upstream and downstream communication with ISEAL Alliance was also rated as good.</w:t>
      </w:r>
      <w:r w:rsidR="009B2F88" w:rsidRPr="004F2E8C">
        <w:rPr>
          <w:rFonts w:ascii="Calibri" w:hAnsi="Calibri" w:cs="Calibri"/>
        </w:rPr>
        <w:t xml:space="preserve"> IAs and EAs selected were leaders in their fields, good representatives of the GGP and indicated positive benefits for having been associated with the GGP.</w:t>
      </w:r>
    </w:p>
    <w:p w14:paraId="49DCF449" w14:textId="79D456FF" w:rsidR="00010A04" w:rsidRPr="005066E7" w:rsidRDefault="00010A04" w:rsidP="00E7016B">
      <w:pPr>
        <w:pStyle w:val="ListParagraph"/>
        <w:spacing w:before="0" w:after="120"/>
        <w:ind w:left="720" w:firstLine="0"/>
        <w:jc w:val="both"/>
        <w:rPr>
          <w:rFonts w:ascii="Calibri" w:hAnsi="Calibri" w:cs="Calibri"/>
        </w:rPr>
      </w:pPr>
      <w:r w:rsidRPr="00010A04">
        <w:rPr>
          <w:rFonts w:ascii="Calibri" w:hAnsi="Calibri" w:cs="Calibri"/>
        </w:rPr>
        <w:t>Finding</w:t>
      </w:r>
      <w:r w:rsidR="00792B3F">
        <w:rPr>
          <w:rFonts w:ascii="Calibri" w:hAnsi="Calibri" w:cs="Calibri"/>
        </w:rPr>
        <w:t xml:space="preserve"> (41)</w:t>
      </w:r>
      <w:r w:rsidRPr="00010A04">
        <w:rPr>
          <w:rFonts w:ascii="Calibri" w:hAnsi="Calibri" w:cs="Calibri"/>
        </w:rPr>
        <w:t>:</w:t>
      </w:r>
      <w:r>
        <w:rPr>
          <w:rFonts w:ascii="Calibri" w:hAnsi="Calibri" w:cs="Calibri"/>
        </w:rPr>
        <w:t xml:space="preserve"> Very good job at moving results through COVID-19</w:t>
      </w:r>
    </w:p>
    <w:bookmarkEnd w:id="65"/>
    <w:p w14:paraId="00827237" w14:textId="77777777" w:rsidR="005066E7" w:rsidRPr="005066E7" w:rsidRDefault="005066E7" w:rsidP="00D80344">
      <w:pPr>
        <w:pStyle w:val="ListParagraph"/>
        <w:numPr>
          <w:ilvl w:val="0"/>
          <w:numId w:val="23"/>
        </w:numPr>
        <w:tabs>
          <w:tab w:val="left" w:pos="859"/>
          <w:tab w:val="left" w:pos="861"/>
        </w:tabs>
        <w:spacing w:before="0" w:after="120"/>
        <w:ind w:right="724"/>
        <w:jc w:val="both"/>
        <w:rPr>
          <w:rFonts w:ascii="Calibri" w:hAnsi="Calibri" w:cs="Calibri"/>
        </w:rPr>
      </w:pPr>
      <w:r w:rsidRPr="005066E7">
        <w:rPr>
          <w:rFonts w:ascii="Calibri" w:hAnsi="Calibri" w:cs="Calibri"/>
          <w:b/>
        </w:rPr>
        <w:t>Audit</w:t>
      </w:r>
      <w:r w:rsidRPr="005066E7">
        <w:rPr>
          <w:rFonts w:ascii="Calibri" w:hAnsi="Calibri" w:cs="Calibri"/>
        </w:rPr>
        <w:t>: The project Components 1 and 3 were audited according to UNDP Financial Regulations and Rules and applicable audit policies for projects.</w:t>
      </w:r>
      <w:r w:rsidRPr="005066E7">
        <w:rPr>
          <w:rFonts w:ascii="Calibri" w:hAnsi="Calibri" w:cs="Calibri"/>
          <w:position w:val="6"/>
        </w:rPr>
        <w:t xml:space="preserve"> </w:t>
      </w:r>
      <w:r w:rsidRPr="005066E7">
        <w:rPr>
          <w:rFonts w:ascii="Calibri" w:hAnsi="Calibri" w:cs="Calibri"/>
        </w:rPr>
        <w:t>WWF managed GEF funding for Component 2, which was audited independently on an annual</w:t>
      </w:r>
      <w:r w:rsidRPr="005066E7">
        <w:rPr>
          <w:rFonts w:ascii="Calibri" w:hAnsi="Calibri" w:cs="Calibri"/>
          <w:spacing w:val="-4"/>
        </w:rPr>
        <w:t xml:space="preserve"> </w:t>
      </w:r>
      <w:r w:rsidRPr="005066E7">
        <w:rPr>
          <w:rFonts w:ascii="Calibri" w:hAnsi="Calibri" w:cs="Calibri"/>
        </w:rPr>
        <w:t>basis.</w:t>
      </w:r>
    </w:p>
    <w:p w14:paraId="276467F9" w14:textId="1CE450EE" w:rsidR="005066E7" w:rsidRDefault="00E7016B" w:rsidP="00FF543B">
      <w:pPr>
        <w:pStyle w:val="BodyText"/>
        <w:spacing w:after="120"/>
        <w:ind w:left="120"/>
        <w:jc w:val="both"/>
        <w:rPr>
          <w:rFonts w:ascii="Calibri" w:hAnsi="Calibri" w:cs="Calibri"/>
          <w:sz w:val="22"/>
          <w:szCs w:val="22"/>
        </w:rPr>
      </w:pPr>
      <w:r>
        <w:rPr>
          <w:rFonts w:ascii="Calibri" w:hAnsi="Calibri" w:cs="Calibri"/>
          <w:sz w:val="22"/>
          <w:szCs w:val="22"/>
        </w:rPr>
        <w:t xml:space="preserve">Conclusion: </w:t>
      </w:r>
      <w:r w:rsidR="005066E7" w:rsidRPr="005066E7">
        <w:rPr>
          <w:rFonts w:ascii="Calibri" w:hAnsi="Calibri" w:cs="Calibri"/>
          <w:sz w:val="22"/>
          <w:szCs w:val="22"/>
        </w:rPr>
        <w:t xml:space="preserve">The UNDP </w:t>
      </w:r>
      <w:r>
        <w:rPr>
          <w:rFonts w:ascii="Calibri" w:hAnsi="Calibri" w:cs="Calibri"/>
          <w:sz w:val="22"/>
          <w:szCs w:val="22"/>
        </w:rPr>
        <w:t xml:space="preserve">RH LAC provided quality </w:t>
      </w:r>
      <w:r w:rsidR="005066E7" w:rsidRPr="005066E7">
        <w:rPr>
          <w:rFonts w:ascii="Calibri" w:hAnsi="Calibri" w:cs="Calibri"/>
          <w:sz w:val="22"/>
          <w:szCs w:val="22"/>
        </w:rPr>
        <w:t>support to the Project’s team</w:t>
      </w:r>
      <w:r>
        <w:rPr>
          <w:rFonts w:ascii="Calibri" w:hAnsi="Calibri" w:cs="Calibri"/>
          <w:sz w:val="22"/>
          <w:szCs w:val="22"/>
        </w:rPr>
        <w:t>s</w:t>
      </w:r>
      <w:r w:rsidR="005066E7" w:rsidRPr="005066E7">
        <w:rPr>
          <w:rFonts w:ascii="Calibri" w:hAnsi="Calibri" w:cs="Calibri"/>
          <w:sz w:val="22"/>
          <w:szCs w:val="22"/>
        </w:rPr>
        <w:t xml:space="preserve"> </w:t>
      </w:r>
      <w:r w:rsidR="00C14C6A">
        <w:rPr>
          <w:rFonts w:ascii="Calibri" w:hAnsi="Calibri" w:cs="Calibri"/>
          <w:sz w:val="22"/>
          <w:szCs w:val="22"/>
        </w:rPr>
        <w:t xml:space="preserve">which </w:t>
      </w:r>
      <w:r w:rsidR="005066E7" w:rsidRPr="005066E7">
        <w:rPr>
          <w:rFonts w:ascii="Calibri" w:hAnsi="Calibri" w:cs="Calibri"/>
          <w:sz w:val="22"/>
          <w:szCs w:val="22"/>
        </w:rPr>
        <w:t>is regarded by stakeholders as satisfactory and timely.</w:t>
      </w:r>
      <w:r w:rsidR="00010A04">
        <w:rPr>
          <w:rFonts w:ascii="Calibri" w:hAnsi="Calibri" w:cs="Calibri"/>
          <w:sz w:val="22"/>
          <w:szCs w:val="22"/>
        </w:rPr>
        <w:t xml:space="preserve"> An HS is awarded for quality oversight and performance by IAs and EAs under guidance.</w:t>
      </w:r>
      <w:r w:rsidR="007F6CF1">
        <w:rPr>
          <w:rFonts w:ascii="Calibri" w:hAnsi="Calibri" w:cs="Calibri"/>
          <w:sz w:val="22"/>
          <w:szCs w:val="22"/>
        </w:rPr>
        <w:t xml:space="preserve"> There were no shortcomings, quality of implementation /execution exceeded expectations.</w:t>
      </w:r>
    </w:p>
    <w:p w14:paraId="51F57394" w14:textId="77777777" w:rsidR="005066E7" w:rsidRDefault="005066E7" w:rsidP="005066E7">
      <w:pPr>
        <w:spacing w:after="120" w:line="240" w:lineRule="auto"/>
        <w:ind w:left="115"/>
        <w:rPr>
          <w:rFonts w:ascii="Segoe UI" w:hAnsi="Segoe UI" w:cs="Segoe UI"/>
        </w:rPr>
      </w:pPr>
      <w:r w:rsidRPr="000C399A">
        <w:rPr>
          <w:rFonts w:asciiTheme="minorHAnsi" w:hAnsiTheme="minorHAnsi" w:cstheme="minorHAnsi"/>
          <w:b/>
          <w:i/>
        </w:rPr>
        <w:t>Rating for UNDP implementation is:</w:t>
      </w:r>
      <w:r>
        <w:rPr>
          <w:rFonts w:asciiTheme="minorHAnsi" w:hAnsiTheme="minorHAnsi" w:cstheme="minorHAnsi"/>
          <w:b/>
          <w:i/>
        </w:rPr>
        <w:t xml:space="preserve"> </w:t>
      </w:r>
    </w:p>
    <w:tbl>
      <w:tblPr>
        <w:tblpPr w:leftFromText="141" w:rightFromText="141" w:vertAnchor="text" w:horzAnchor="margin" w:tblpXSpec="center" w:tblpY="283"/>
        <w:tblW w:w="8850" w:type="dxa"/>
        <w:tblCellMar>
          <w:left w:w="0" w:type="dxa"/>
          <w:right w:w="0" w:type="dxa"/>
        </w:tblCellMar>
        <w:tblLook w:val="01E0" w:firstRow="1" w:lastRow="1" w:firstColumn="1" w:lastColumn="1" w:noHBand="0" w:noVBand="0"/>
      </w:tblPr>
      <w:tblGrid>
        <w:gridCol w:w="8001"/>
        <w:gridCol w:w="849"/>
      </w:tblGrid>
      <w:tr w:rsidR="005066E7" w:rsidRPr="00970C33" w14:paraId="3D52991F" w14:textId="77777777" w:rsidTr="00062DAE">
        <w:trPr>
          <w:trHeight w:val="509"/>
        </w:trPr>
        <w:tc>
          <w:tcPr>
            <w:tcW w:w="8001" w:type="dxa"/>
            <w:tcBorders>
              <w:top w:val="single" w:sz="4" w:space="0" w:color="5B9BD5"/>
              <w:left w:val="single" w:sz="4" w:space="0" w:color="5B9BD5"/>
              <w:bottom w:val="single" w:sz="4" w:space="0" w:color="5B9BD5"/>
              <w:right w:val="nil"/>
            </w:tcBorders>
            <w:shd w:val="clear" w:color="auto" w:fill="5B9BD5"/>
            <w:tcMar>
              <w:top w:w="15" w:type="dxa"/>
              <w:left w:w="15" w:type="dxa"/>
              <w:bottom w:w="0" w:type="dxa"/>
              <w:right w:w="15" w:type="dxa"/>
            </w:tcMar>
            <w:hideMark/>
          </w:tcPr>
          <w:p w14:paraId="505FDBFB" w14:textId="77777777" w:rsidR="005066E7" w:rsidRPr="00970C33" w:rsidRDefault="005066E7" w:rsidP="00062DAE">
            <w:pPr>
              <w:rPr>
                <w:rFonts w:asciiTheme="minorHAnsi" w:hAnsiTheme="minorHAnsi" w:cstheme="minorHAnsi"/>
                <w:color w:val="FFFFFF" w:themeColor="background1"/>
                <w:sz w:val="24"/>
                <w:szCs w:val="24"/>
              </w:rPr>
            </w:pPr>
            <w:r w:rsidRPr="00970C33">
              <w:rPr>
                <w:rFonts w:asciiTheme="minorHAnsi" w:hAnsiTheme="minorHAnsi" w:cstheme="minorHAnsi"/>
                <w:color w:val="FFFFFF" w:themeColor="background1"/>
                <w:sz w:val="24"/>
                <w:szCs w:val="24"/>
              </w:rPr>
              <w:t>UNDP</w:t>
            </w:r>
            <w:r w:rsidRPr="00970C33">
              <w:rPr>
                <w:rFonts w:asciiTheme="minorHAnsi" w:hAnsiTheme="minorHAnsi" w:cstheme="minorHAnsi"/>
                <w:color w:val="FFFFFF" w:themeColor="background1"/>
                <w:sz w:val="24"/>
                <w:szCs w:val="24"/>
              </w:rPr>
              <w:tab/>
              <w:t>Implementation/Oversight</w:t>
            </w:r>
            <w:r w:rsidRPr="00970C33">
              <w:rPr>
                <w:rFonts w:asciiTheme="minorHAnsi" w:hAnsiTheme="minorHAnsi" w:cstheme="minorHAnsi"/>
                <w:color w:val="FFFFFF" w:themeColor="background1"/>
                <w:sz w:val="24"/>
                <w:szCs w:val="24"/>
              </w:rPr>
              <w:tab/>
              <w:t>&amp;</w:t>
            </w:r>
            <w:r w:rsidRPr="00970C33">
              <w:rPr>
                <w:rFonts w:asciiTheme="minorHAnsi" w:hAnsiTheme="minorHAnsi" w:cstheme="minorHAnsi"/>
                <w:color w:val="FFFFFF" w:themeColor="background1"/>
                <w:sz w:val="24"/>
                <w:szCs w:val="24"/>
              </w:rPr>
              <w:tab/>
              <w:t>Implementing</w:t>
            </w:r>
            <w:r w:rsidRPr="00970C33">
              <w:rPr>
                <w:rFonts w:asciiTheme="minorHAnsi" w:hAnsiTheme="minorHAnsi" w:cstheme="minorHAnsi"/>
                <w:color w:val="FFFFFF" w:themeColor="background1"/>
                <w:sz w:val="24"/>
                <w:szCs w:val="24"/>
              </w:rPr>
              <w:tab/>
              <w:t>Partner Execution</w:t>
            </w:r>
          </w:p>
        </w:tc>
        <w:tc>
          <w:tcPr>
            <w:tcW w:w="849" w:type="dxa"/>
            <w:tcBorders>
              <w:top w:val="single" w:sz="4" w:space="0" w:color="5B9BD5"/>
              <w:left w:val="nil"/>
              <w:bottom w:val="single" w:sz="4" w:space="0" w:color="5B9BD5"/>
              <w:right w:val="single" w:sz="4" w:space="0" w:color="5B9BD5"/>
            </w:tcBorders>
            <w:shd w:val="clear" w:color="auto" w:fill="5B9BD5"/>
            <w:tcMar>
              <w:top w:w="15" w:type="dxa"/>
              <w:left w:w="15" w:type="dxa"/>
              <w:bottom w:w="0" w:type="dxa"/>
              <w:right w:w="15" w:type="dxa"/>
            </w:tcMar>
            <w:hideMark/>
          </w:tcPr>
          <w:p w14:paraId="0886FADD" w14:textId="77777777" w:rsidR="005066E7" w:rsidRPr="00970C33" w:rsidRDefault="005066E7" w:rsidP="00062DAE">
            <w:pPr>
              <w:rPr>
                <w:rFonts w:asciiTheme="minorHAnsi" w:hAnsiTheme="minorHAnsi" w:cstheme="minorHAnsi"/>
                <w:color w:val="FFFFFF" w:themeColor="background1"/>
                <w:sz w:val="24"/>
                <w:szCs w:val="24"/>
                <w:lang w:val="es-ES"/>
              </w:rPr>
            </w:pPr>
            <w:r w:rsidRPr="00970C33">
              <w:rPr>
                <w:rFonts w:asciiTheme="minorHAnsi" w:hAnsiTheme="minorHAnsi" w:cstheme="minorHAnsi"/>
                <w:color w:val="FFFFFF" w:themeColor="background1"/>
                <w:sz w:val="24"/>
                <w:szCs w:val="24"/>
              </w:rPr>
              <w:t>Rating</w:t>
            </w:r>
          </w:p>
        </w:tc>
      </w:tr>
      <w:tr w:rsidR="005066E7" w:rsidRPr="00970C33" w14:paraId="621F499D" w14:textId="77777777" w:rsidTr="00062DAE">
        <w:trPr>
          <w:trHeight w:val="433"/>
        </w:trPr>
        <w:tc>
          <w:tcPr>
            <w:tcW w:w="8001" w:type="dxa"/>
            <w:tcBorders>
              <w:top w:val="single" w:sz="4" w:space="0" w:color="5B9BD5"/>
              <w:left w:val="single" w:sz="4" w:space="0" w:color="5B9BD5"/>
              <w:bottom w:val="single" w:sz="4" w:space="0" w:color="5B9BD5"/>
              <w:right w:val="nil"/>
            </w:tcBorders>
            <w:shd w:val="clear" w:color="auto" w:fill="auto"/>
            <w:tcMar>
              <w:top w:w="15" w:type="dxa"/>
              <w:left w:w="15" w:type="dxa"/>
              <w:bottom w:w="0" w:type="dxa"/>
              <w:right w:w="15" w:type="dxa"/>
            </w:tcMar>
            <w:hideMark/>
          </w:tcPr>
          <w:p w14:paraId="24C913E1" w14:textId="77777777" w:rsidR="005066E7" w:rsidRPr="00970C33" w:rsidRDefault="005066E7" w:rsidP="00062DAE">
            <w:pPr>
              <w:rPr>
                <w:rFonts w:asciiTheme="minorHAnsi" w:hAnsiTheme="minorHAnsi" w:cstheme="minorHAnsi"/>
                <w:sz w:val="24"/>
                <w:szCs w:val="24"/>
              </w:rPr>
            </w:pPr>
            <w:r w:rsidRPr="00970C33">
              <w:rPr>
                <w:rFonts w:asciiTheme="minorHAnsi" w:hAnsiTheme="minorHAnsi" w:cstheme="minorHAnsi"/>
                <w:sz w:val="24"/>
                <w:szCs w:val="24"/>
              </w:rPr>
              <w:t>Quality of UNDP Implementation/Oversight</w:t>
            </w:r>
          </w:p>
        </w:tc>
        <w:tc>
          <w:tcPr>
            <w:tcW w:w="849" w:type="dxa"/>
            <w:tcBorders>
              <w:top w:val="single" w:sz="4" w:space="0" w:color="5B9BD5"/>
              <w:left w:val="nil"/>
              <w:bottom w:val="single" w:sz="4" w:space="0" w:color="5B9BD5"/>
              <w:right w:val="single" w:sz="4" w:space="0" w:color="5B9BD5"/>
            </w:tcBorders>
            <w:shd w:val="clear" w:color="auto" w:fill="00B050"/>
            <w:tcMar>
              <w:top w:w="15" w:type="dxa"/>
              <w:left w:w="15" w:type="dxa"/>
              <w:bottom w:w="0" w:type="dxa"/>
              <w:right w:w="15" w:type="dxa"/>
            </w:tcMar>
            <w:hideMark/>
          </w:tcPr>
          <w:p w14:paraId="510C5B81" w14:textId="0D718A97" w:rsidR="005066E7" w:rsidRPr="00970C33" w:rsidRDefault="00E7016B" w:rsidP="00062DAE">
            <w:pPr>
              <w:rPr>
                <w:rFonts w:asciiTheme="minorHAnsi" w:hAnsiTheme="minorHAnsi" w:cstheme="minorHAnsi"/>
                <w:sz w:val="24"/>
                <w:szCs w:val="24"/>
                <w:lang w:val="es-ES"/>
              </w:rPr>
            </w:pPr>
            <w:r>
              <w:rPr>
                <w:rFonts w:asciiTheme="minorHAnsi" w:hAnsiTheme="minorHAnsi" w:cstheme="minorHAnsi"/>
                <w:sz w:val="24"/>
                <w:szCs w:val="24"/>
              </w:rPr>
              <w:t>H</w:t>
            </w:r>
            <w:r w:rsidR="005066E7" w:rsidRPr="00970C33">
              <w:rPr>
                <w:rFonts w:asciiTheme="minorHAnsi" w:hAnsiTheme="minorHAnsi" w:cstheme="minorHAnsi"/>
                <w:sz w:val="24"/>
                <w:szCs w:val="24"/>
              </w:rPr>
              <w:t>S</w:t>
            </w:r>
          </w:p>
        </w:tc>
      </w:tr>
      <w:tr w:rsidR="005066E7" w:rsidRPr="00970C33" w14:paraId="00BFE05C" w14:textId="77777777" w:rsidTr="00062DAE">
        <w:trPr>
          <w:trHeight w:val="433"/>
        </w:trPr>
        <w:tc>
          <w:tcPr>
            <w:tcW w:w="8001" w:type="dxa"/>
            <w:tcBorders>
              <w:top w:val="single" w:sz="4" w:space="0" w:color="5B9BD5"/>
              <w:left w:val="single" w:sz="4" w:space="0" w:color="5B9BD5"/>
              <w:bottom w:val="double" w:sz="12" w:space="0" w:color="5B9BD5"/>
              <w:right w:val="nil"/>
            </w:tcBorders>
            <w:shd w:val="clear" w:color="auto" w:fill="auto"/>
            <w:tcMar>
              <w:top w:w="15" w:type="dxa"/>
              <w:left w:w="15" w:type="dxa"/>
              <w:bottom w:w="0" w:type="dxa"/>
              <w:right w:w="15" w:type="dxa"/>
            </w:tcMar>
            <w:hideMark/>
          </w:tcPr>
          <w:p w14:paraId="6557FF7F" w14:textId="77777777" w:rsidR="005066E7" w:rsidRPr="00970C33" w:rsidRDefault="005066E7" w:rsidP="00062DAE">
            <w:pPr>
              <w:rPr>
                <w:rFonts w:asciiTheme="minorHAnsi" w:hAnsiTheme="minorHAnsi" w:cstheme="minorHAnsi"/>
                <w:sz w:val="24"/>
                <w:szCs w:val="24"/>
              </w:rPr>
            </w:pPr>
            <w:r w:rsidRPr="00970C33">
              <w:rPr>
                <w:rFonts w:asciiTheme="minorHAnsi" w:hAnsiTheme="minorHAnsi" w:cstheme="minorHAnsi"/>
                <w:sz w:val="24"/>
                <w:szCs w:val="24"/>
              </w:rPr>
              <w:t>Quality of Implementing Partner Execution</w:t>
            </w:r>
          </w:p>
        </w:tc>
        <w:tc>
          <w:tcPr>
            <w:tcW w:w="849" w:type="dxa"/>
            <w:tcBorders>
              <w:top w:val="single" w:sz="4" w:space="0" w:color="5B9BD5"/>
              <w:left w:val="nil"/>
              <w:bottom w:val="double" w:sz="12" w:space="0" w:color="5B9BD5"/>
              <w:right w:val="single" w:sz="4" w:space="0" w:color="5B9BD5"/>
            </w:tcBorders>
            <w:shd w:val="clear" w:color="auto" w:fill="00B050"/>
            <w:tcMar>
              <w:top w:w="15" w:type="dxa"/>
              <w:left w:w="15" w:type="dxa"/>
              <w:bottom w:w="0" w:type="dxa"/>
              <w:right w:w="15" w:type="dxa"/>
            </w:tcMar>
            <w:hideMark/>
          </w:tcPr>
          <w:p w14:paraId="7BF1A7D0" w14:textId="527B166F" w:rsidR="005066E7" w:rsidRPr="00970C33" w:rsidRDefault="005066E7" w:rsidP="00062DAE">
            <w:pPr>
              <w:rPr>
                <w:rFonts w:asciiTheme="minorHAnsi" w:hAnsiTheme="minorHAnsi" w:cstheme="minorHAnsi"/>
                <w:sz w:val="24"/>
                <w:szCs w:val="24"/>
                <w:lang w:val="es-ES"/>
              </w:rPr>
            </w:pPr>
            <w:r w:rsidRPr="00970C33">
              <w:rPr>
                <w:rFonts w:asciiTheme="minorHAnsi" w:hAnsiTheme="minorHAnsi" w:cstheme="minorHAnsi"/>
                <w:sz w:val="24"/>
                <w:szCs w:val="24"/>
              </w:rPr>
              <w:t> </w:t>
            </w:r>
            <w:r w:rsidR="00E7016B">
              <w:rPr>
                <w:rFonts w:asciiTheme="minorHAnsi" w:hAnsiTheme="minorHAnsi" w:cstheme="minorHAnsi"/>
                <w:sz w:val="24"/>
                <w:szCs w:val="24"/>
              </w:rPr>
              <w:t>H</w:t>
            </w:r>
            <w:r w:rsidRPr="00970C33">
              <w:rPr>
                <w:rFonts w:asciiTheme="minorHAnsi" w:hAnsiTheme="minorHAnsi" w:cstheme="minorHAnsi"/>
                <w:sz w:val="24"/>
                <w:szCs w:val="24"/>
              </w:rPr>
              <w:t>S</w:t>
            </w:r>
          </w:p>
        </w:tc>
      </w:tr>
      <w:tr w:rsidR="005066E7" w:rsidRPr="00970C33" w14:paraId="01B01CBE" w14:textId="77777777" w:rsidTr="00062DAE">
        <w:trPr>
          <w:trHeight w:val="427"/>
        </w:trPr>
        <w:tc>
          <w:tcPr>
            <w:tcW w:w="8001" w:type="dxa"/>
            <w:tcBorders>
              <w:top w:val="double" w:sz="12" w:space="0" w:color="5B9BD5"/>
              <w:left w:val="single" w:sz="4" w:space="0" w:color="5B9BD5"/>
              <w:bottom w:val="single" w:sz="4" w:space="0" w:color="5B9BD5"/>
              <w:right w:val="nil"/>
            </w:tcBorders>
            <w:shd w:val="clear" w:color="auto" w:fill="auto"/>
            <w:tcMar>
              <w:top w:w="15" w:type="dxa"/>
              <w:left w:w="15" w:type="dxa"/>
              <w:bottom w:w="0" w:type="dxa"/>
              <w:right w:w="15" w:type="dxa"/>
            </w:tcMar>
            <w:hideMark/>
          </w:tcPr>
          <w:p w14:paraId="5C0EDE65" w14:textId="77777777" w:rsidR="005066E7" w:rsidRPr="00970C33" w:rsidRDefault="005066E7" w:rsidP="00062DAE">
            <w:pPr>
              <w:rPr>
                <w:rFonts w:asciiTheme="minorHAnsi" w:hAnsiTheme="minorHAnsi" w:cstheme="minorHAnsi"/>
                <w:sz w:val="24"/>
                <w:szCs w:val="24"/>
              </w:rPr>
            </w:pPr>
            <w:r w:rsidRPr="00970C33">
              <w:rPr>
                <w:rFonts w:asciiTheme="minorHAnsi" w:hAnsiTheme="minorHAnsi" w:cstheme="minorHAnsi"/>
                <w:sz w:val="24"/>
                <w:szCs w:val="24"/>
              </w:rPr>
              <w:lastRenderedPageBreak/>
              <w:t>Overall quality of Implementation/Oversight and Execution</w:t>
            </w:r>
          </w:p>
        </w:tc>
        <w:tc>
          <w:tcPr>
            <w:tcW w:w="849" w:type="dxa"/>
            <w:tcBorders>
              <w:top w:val="double" w:sz="12" w:space="0" w:color="5B9BD5"/>
              <w:left w:val="nil"/>
              <w:bottom w:val="single" w:sz="4" w:space="0" w:color="5B9BD5"/>
              <w:right w:val="single" w:sz="4" w:space="0" w:color="5B9BD5"/>
            </w:tcBorders>
            <w:shd w:val="clear" w:color="auto" w:fill="00B050"/>
            <w:tcMar>
              <w:top w:w="15" w:type="dxa"/>
              <w:left w:w="15" w:type="dxa"/>
              <w:bottom w:w="0" w:type="dxa"/>
              <w:right w:w="15" w:type="dxa"/>
            </w:tcMar>
            <w:hideMark/>
          </w:tcPr>
          <w:p w14:paraId="4176B2A4" w14:textId="57188913" w:rsidR="005066E7" w:rsidRPr="00970C33" w:rsidRDefault="005066E7" w:rsidP="00062DAE">
            <w:pPr>
              <w:rPr>
                <w:rFonts w:asciiTheme="minorHAnsi" w:hAnsiTheme="minorHAnsi" w:cstheme="minorHAnsi"/>
                <w:sz w:val="24"/>
                <w:szCs w:val="24"/>
                <w:lang w:val="es-ES"/>
              </w:rPr>
            </w:pPr>
            <w:r w:rsidRPr="00970C33">
              <w:rPr>
                <w:rFonts w:asciiTheme="minorHAnsi" w:hAnsiTheme="minorHAnsi" w:cstheme="minorHAnsi"/>
                <w:sz w:val="24"/>
                <w:szCs w:val="24"/>
              </w:rPr>
              <w:t> </w:t>
            </w:r>
            <w:r w:rsidR="00E7016B">
              <w:rPr>
                <w:rFonts w:asciiTheme="minorHAnsi" w:hAnsiTheme="minorHAnsi" w:cstheme="minorHAnsi"/>
                <w:sz w:val="24"/>
                <w:szCs w:val="24"/>
              </w:rPr>
              <w:t>H</w:t>
            </w:r>
            <w:r w:rsidRPr="00970C33">
              <w:rPr>
                <w:rFonts w:asciiTheme="minorHAnsi" w:hAnsiTheme="minorHAnsi" w:cstheme="minorHAnsi"/>
                <w:sz w:val="24"/>
                <w:szCs w:val="24"/>
              </w:rPr>
              <w:t>S</w:t>
            </w:r>
          </w:p>
        </w:tc>
      </w:tr>
    </w:tbl>
    <w:p w14:paraId="5C4B4C5C" w14:textId="3E7154A6" w:rsidR="005066E7" w:rsidRPr="00B41303" w:rsidRDefault="005066E7" w:rsidP="005066E7">
      <w:pPr>
        <w:pStyle w:val="BodyText"/>
        <w:spacing w:before="102" w:line="256" w:lineRule="auto"/>
        <w:ind w:left="960" w:right="1020"/>
        <w:rPr>
          <w:rFonts w:asciiTheme="minorHAnsi" w:hAnsiTheme="minorHAnsi" w:cstheme="minorHAnsi"/>
          <w:sz w:val="18"/>
          <w:szCs w:val="18"/>
        </w:rPr>
      </w:pPr>
      <w:r w:rsidRPr="00B41303">
        <w:rPr>
          <w:rFonts w:asciiTheme="minorHAnsi" w:hAnsiTheme="minorHAnsi" w:cstheme="minorHAnsi"/>
          <w:sz w:val="18"/>
          <w:szCs w:val="18"/>
        </w:rPr>
        <w:t xml:space="preserve">UNDP implementation/oversight and Implementing Partner execution and an overall rating for both will each be rated separately and assessed on a six-point scale, as described in </w:t>
      </w:r>
      <w:r w:rsidR="00FF543B">
        <w:rPr>
          <w:rFonts w:asciiTheme="minorHAnsi" w:hAnsiTheme="minorHAnsi" w:cstheme="minorHAnsi"/>
          <w:sz w:val="18"/>
          <w:szCs w:val="18"/>
        </w:rPr>
        <w:t>Annex 1</w:t>
      </w:r>
      <w:r w:rsidRPr="00B41303">
        <w:rPr>
          <w:rFonts w:asciiTheme="minorHAnsi" w:hAnsiTheme="minorHAnsi" w:cstheme="minorHAnsi"/>
          <w:sz w:val="18"/>
          <w:szCs w:val="18"/>
        </w:rPr>
        <w:t>.</w:t>
      </w:r>
    </w:p>
    <w:p w14:paraId="4FBD4D20" w14:textId="1881500A" w:rsidR="005066E7" w:rsidRDefault="005066E7" w:rsidP="005066E7">
      <w:pPr>
        <w:pStyle w:val="BodyText"/>
        <w:spacing w:before="102" w:line="256" w:lineRule="auto"/>
        <w:ind w:left="960" w:right="1020"/>
        <w:rPr>
          <w:rFonts w:ascii="Segoe UI" w:hAnsi="Segoe UI" w:cs="Segoe UI"/>
        </w:rPr>
      </w:pPr>
    </w:p>
    <w:bookmarkEnd w:id="60"/>
    <w:p w14:paraId="33E85086" w14:textId="77777777" w:rsidR="00010A04" w:rsidRDefault="00010A04" w:rsidP="005066E7">
      <w:pPr>
        <w:pStyle w:val="BodyText"/>
        <w:spacing w:before="102" w:line="256" w:lineRule="auto"/>
        <w:ind w:left="960" w:right="1020"/>
        <w:rPr>
          <w:rFonts w:ascii="Segoe UI" w:hAnsi="Segoe UI" w:cs="Segoe UI"/>
        </w:rPr>
      </w:pPr>
    </w:p>
    <w:p w14:paraId="2C449E17" w14:textId="5E064062" w:rsidR="005066E7" w:rsidRPr="009E7CE1" w:rsidRDefault="005066E7" w:rsidP="00D80344">
      <w:pPr>
        <w:pStyle w:val="Heading3"/>
        <w:numPr>
          <w:ilvl w:val="2"/>
          <w:numId w:val="9"/>
        </w:numPr>
      </w:pPr>
      <w:bookmarkStart w:id="66" w:name="_Toc96772492"/>
      <w:r w:rsidRPr="009E7CE1">
        <w:t>Risk Management</w:t>
      </w:r>
      <w:bookmarkEnd w:id="66"/>
    </w:p>
    <w:p w14:paraId="01952E73" w14:textId="77777777" w:rsidR="00E559C4" w:rsidRDefault="00E559C4" w:rsidP="005066E7"/>
    <w:p w14:paraId="5F71AD8C" w14:textId="55F1FBA3" w:rsidR="005066E7" w:rsidRDefault="00E559C4" w:rsidP="00FF543B">
      <w:pPr>
        <w:jc w:val="both"/>
      </w:pPr>
      <w:r>
        <w:t>The PMU is responsible for identifying, reporting and responding to risks</w:t>
      </w:r>
      <w:r w:rsidR="00B52CD9">
        <w:t xml:space="preserve"> and picking up on new risks</w:t>
      </w:r>
      <w:r>
        <w:t xml:space="preserve">.  Risks are </w:t>
      </w:r>
      <w:r w:rsidR="00B52CD9">
        <w:t xml:space="preserve">evaluated and </w:t>
      </w:r>
      <w:r w:rsidR="005066E7" w:rsidRPr="008D1AE0">
        <w:t>entered in the Atlas Risk Register</w:t>
      </w:r>
      <w:r w:rsidR="00A92531" w:rsidRPr="00A92531">
        <w:t xml:space="preserve"> </w:t>
      </w:r>
      <w:r w:rsidR="00A92531">
        <w:t>on a yearly basis</w:t>
      </w:r>
      <w:r w:rsidR="00E31F93">
        <w:t>, which is properly maintained</w:t>
      </w:r>
      <w:r w:rsidR="00A92531">
        <w:t>, and risks are reviewed and reported on a quarterly basis (to the Steering Committee and Project Board)</w:t>
      </w:r>
      <w:r w:rsidR="00B52CD9">
        <w:t>. R</w:t>
      </w:r>
      <w:r w:rsidR="005066E7" w:rsidRPr="008D1AE0">
        <w:t xml:space="preserve">isks which are no longer relevant </w:t>
      </w:r>
      <w:r w:rsidR="00B52CD9">
        <w:t>are</w:t>
      </w:r>
      <w:r w:rsidR="005066E7" w:rsidRPr="008D1AE0">
        <w:t xml:space="preserve"> closed, management measures are updated, and the project team ensures that activities are ongoing – if still needed – and are effective to mitigate the related risk.</w:t>
      </w:r>
      <w:r w:rsidR="00F24928">
        <w:t xml:space="preserve"> </w:t>
      </w:r>
    </w:p>
    <w:p w14:paraId="71575A01" w14:textId="67879C36" w:rsidR="005066E7" w:rsidRPr="00D87950" w:rsidRDefault="005066E7" w:rsidP="00FF543B">
      <w:pPr>
        <w:jc w:val="both"/>
      </w:pPr>
      <w:r>
        <w:t xml:space="preserve">Project implementation risks </w:t>
      </w:r>
      <w:r w:rsidR="00B52CD9">
        <w:t xml:space="preserve">are </w:t>
      </w:r>
      <w:r>
        <w:t>discussed under the Adjustments sections in all PIRs</w:t>
      </w:r>
      <w:r w:rsidR="00E31F93">
        <w:t xml:space="preserve"> and shared with the Project Board</w:t>
      </w:r>
      <w:r w:rsidR="00814E93">
        <w:t xml:space="preserve"> and Steering Committee</w:t>
      </w:r>
      <w:r>
        <w:t xml:space="preserve">. The global project manager and team worked hard to </w:t>
      </w:r>
      <w:r w:rsidR="00F24928">
        <w:t xml:space="preserve">identify and </w:t>
      </w:r>
      <w:r>
        <w:t xml:space="preserve">implement </w:t>
      </w:r>
      <w:r w:rsidR="00F24928">
        <w:t>a</w:t>
      </w:r>
      <w:r>
        <w:t xml:space="preserve"> management response</w:t>
      </w:r>
      <w:r w:rsidR="00E31F93">
        <w:t xml:space="preserve"> to an unforeseen risk: </w:t>
      </w:r>
      <w:r w:rsidR="00F24928">
        <w:t xml:space="preserve">COVID-19, or </w:t>
      </w:r>
      <w:r w:rsidR="00FF543B">
        <w:t>pandemic</w:t>
      </w:r>
      <w:r w:rsidR="00F24928">
        <w:t xml:space="preserve">, </w:t>
      </w:r>
      <w:r w:rsidR="00E31F93">
        <w:t xml:space="preserve">which </w:t>
      </w:r>
      <w:r w:rsidR="00F24928">
        <w:t xml:space="preserve">is now in the risk assessment. Like everyone, the pandemic caught everyone by surprise. Currently, there are risks that are real, such as non-participation, </w:t>
      </w:r>
      <w:r w:rsidR="00E31F93">
        <w:t xml:space="preserve">that are identified and will not deal a surprise blow to the project if they materialize.  </w:t>
      </w:r>
      <w:r w:rsidR="00314203">
        <w:t xml:space="preserve">An updated Risk Management Table is included in Annex 8. </w:t>
      </w:r>
      <w:r w:rsidR="001757F6">
        <w:t xml:space="preserve">  </w:t>
      </w:r>
      <w:r w:rsidR="00E31F93">
        <w:rPr>
          <w:rFonts w:asciiTheme="minorHAnsi" w:hAnsiTheme="minorHAnsi" w:cstheme="minorHAnsi"/>
        </w:rPr>
        <w:t>When a management response is triggered, t</w:t>
      </w:r>
      <w:r w:rsidRPr="004B7E76">
        <w:rPr>
          <w:rFonts w:asciiTheme="minorHAnsi" w:hAnsiTheme="minorHAnsi" w:cstheme="minorHAnsi"/>
        </w:rPr>
        <w:t xml:space="preserve">he Project Team </w:t>
      </w:r>
      <w:r w:rsidR="00E31F93">
        <w:rPr>
          <w:rFonts w:asciiTheme="minorHAnsi" w:hAnsiTheme="minorHAnsi" w:cstheme="minorHAnsi"/>
        </w:rPr>
        <w:t xml:space="preserve">registers the response in an </w:t>
      </w:r>
      <w:r>
        <w:rPr>
          <w:rFonts w:asciiTheme="minorHAnsi" w:hAnsiTheme="minorHAnsi" w:cstheme="minorHAnsi"/>
        </w:rPr>
        <w:t xml:space="preserve">Adaptive Management Practices Log which registered all the risks, </w:t>
      </w:r>
      <w:r w:rsidR="00177C58">
        <w:rPr>
          <w:rFonts w:asciiTheme="minorHAnsi" w:hAnsiTheme="minorHAnsi" w:cstheme="minorHAnsi"/>
        </w:rPr>
        <w:t>concerns,</w:t>
      </w:r>
      <w:r>
        <w:rPr>
          <w:rFonts w:asciiTheme="minorHAnsi" w:hAnsiTheme="minorHAnsi" w:cstheme="minorHAnsi"/>
        </w:rPr>
        <w:t xml:space="preserve"> and opportunities. The a</w:t>
      </w:r>
      <w:r w:rsidRPr="00D87950">
        <w:t xml:space="preserve">daptive management practices logged so far are related to coordination, revision of project log frames, reallocation of funds and, especially, the creation of new mechanisms and strategies to achieve targeted </w:t>
      </w:r>
      <w:r w:rsidR="007B538E">
        <w:t>improvements</w:t>
      </w:r>
      <w:r w:rsidRPr="00D87950">
        <w:t xml:space="preserve">. </w:t>
      </w:r>
      <w:r>
        <w:t xml:space="preserve">(Please refer to Annex </w:t>
      </w:r>
      <w:r w:rsidR="00177C58">
        <w:t>3</w:t>
      </w:r>
      <w:r>
        <w:t xml:space="preserve"> for the list of key project risks added and registered in the PIRs)</w:t>
      </w:r>
    </w:p>
    <w:p w14:paraId="68666833" w14:textId="77777777" w:rsidR="00124EFB" w:rsidRPr="009E7CE1" w:rsidRDefault="00124EFB" w:rsidP="00124EFB">
      <w:pPr>
        <w:pStyle w:val="BodyText"/>
        <w:rPr>
          <w:rFonts w:ascii="Segoe UI" w:hAnsi="Segoe UI" w:cs="Segoe UI"/>
        </w:rPr>
      </w:pPr>
    </w:p>
    <w:p w14:paraId="3BB858A6" w14:textId="704869EF" w:rsidR="00124EFB" w:rsidRPr="00711947" w:rsidRDefault="00124EFB" w:rsidP="00124EFB">
      <w:pPr>
        <w:pStyle w:val="Heading2"/>
      </w:pPr>
      <w:bookmarkStart w:id="67" w:name="_Toc96772493"/>
      <w:r w:rsidRPr="00711947">
        <w:t>4.3. Project Results</w:t>
      </w:r>
      <w:bookmarkStart w:id="68" w:name="_TOC_250009"/>
      <w:bookmarkEnd w:id="67"/>
      <w:r w:rsidRPr="00711947">
        <w:t xml:space="preserve"> </w:t>
      </w:r>
      <w:bookmarkEnd w:id="68"/>
    </w:p>
    <w:p w14:paraId="2A2DB644" w14:textId="77777777" w:rsidR="00124EFB" w:rsidRPr="007C47DF" w:rsidRDefault="00124EFB" w:rsidP="007C47DF">
      <w:pPr>
        <w:pStyle w:val="BodyText"/>
        <w:spacing w:after="120"/>
        <w:rPr>
          <w:rFonts w:asciiTheme="minorHAnsi" w:hAnsiTheme="minorHAnsi" w:cstheme="minorHAnsi"/>
        </w:rPr>
      </w:pPr>
    </w:p>
    <w:p w14:paraId="36B62000" w14:textId="58C28C12" w:rsidR="00124EFB" w:rsidRPr="007C47DF" w:rsidRDefault="007C47DF" w:rsidP="00177C58">
      <w:pPr>
        <w:jc w:val="both"/>
        <w:rPr>
          <w:rFonts w:asciiTheme="minorHAnsi" w:hAnsiTheme="minorHAnsi" w:cstheme="minorHAnsi"/>
        </w:rPr>
      </w:pPr>
      <w:r w:rsidRPr="00177C58">
        <w:t xml:space="preserve">The Project Management team did a good job at completing the main activities in spite of setbacks by COVID. </w:t>
      </w:r>
      <w:r w:rsidR="00124EFB" w:rsidRPr="00177C58">
        <w:t xml:space="preserve">Most activities and targets reached </w:t>
      </w:r>
      <w:r w:rsidRPr="00177C58">
        <w:t xml:space="preserve">are </w:t>
      </w:r>
      <w:r w:rsidR="00124EFB" w:rsidRPr="00177C58">
        <w:t>ranked as satisfactory. Not only have activities been a</w:t>
      </w:r>
      <w:r w:rsidR="00124EFB" w:rsidRPr="007C47DF">
        <w:rPr>
          <w:rFonts w:asciiTheme="minorHAnsi" w:hAnsiTheme="minorHAnsi" w:cstheme="minorHAnsi"/>
        </w:rPr>
        <w:t>chieved, the quality of</w:t>
      </w:r>
      <w:r w:rsidR="00124EFB" w:rsidRPr="007C47DF">
        <w:rPr>
          <w:rFonts w:asciiTheme="minorHAnsi" w:hAnsiTheme="minorHAnsi" w:cstheme="minorHAnsi"/>
          <w:spacing w:val="-34"/>
        </w:rPr>
        <w:t xml:space="preserve">  </w:t>
      </w:r>
      <w:r>
        <w:rPr>
          <w:rFonts w:asciiTheme="minorHAnsi" w:hAnsiTheme="minorHAnsi" w:cstheme="minorHAnsi"/>
          <w:spacing w:val="-34"/>
        </w:rPr>
        <w:t xml:space="preserve"> </w:t>
      </w:r>
      <w:r w:rsidR="00124EFB" w:rsidRPr="007C47DF">
        <w:rPr>
          <w:rFonts w:asciiTheme="minorHAnsi" w:hAnsiTheme="minorHAnsi" w:cstheme="minorHAnsi"/>
        </w:rPr>
        <w:t xml:space="preserve">activities whether for coordination, communication, learning and reporting, </w:t>
      </w:r>
      <w:r>
        <w:rPr>
          <w:rFonts w:asciiTheme="minorHAnsi" w:hAnsiTheme="minorHAnsi" w:cstheme="minorHAnsi"/>
        </w:rPr>
        <w:t xml:space="preserve">was validated as being </w:t>
      </w:r>
      <w:r w:rsidR="00124EFB" w:rsidRPr="007C47DF">
        <w:rPr>
          <w:rFonts w:asciiTheme="minorHAnsi" w:hAnsiTheme="minorHAnsi" w:cstheme="minorHAnsi"/>
        </w:rPr>
        <w:t>very good</w:t>
      </w:r>
      <w:r>
        <w:rPr>
          <w:rFonts w:asciiTheme="minorHAnsi" w:hAnsiTheme="minorHAnsi" w:cstheme="minorHAnsi"/>
        </w:rPr>
        <w:t>.</w:t>
      </w:r>
    </w:p>
    <w:p w14:paraId="03F67CEA" w14:textId="77777777" w:rsidR="00124EFB" w:rsidRPr="007C47DF" w:rsidRDefault="00124EFB" w:rsidP="007C47DF">
      <w:pPr>
        <w:pStyle w:val="BodyText"/>
        <w:spacing w:after="120"/>
        <w:rPr>
          <w:rFonts w:asciiTheme="minorHAnsi" w:hAnsiTheme="minorHAnsi" w:cstheme="minorHAnsi"/>
          <w:sz w:val="22"/>
          <w:szCs w:val="22"/>
        </w:rPr>
      </w:pPr>
    </w:p>
    <w:p w14:paraId="2222D97A" w14:textId="7FC9E11F" w:rsidR="00124EFB" w:rsidRDefault="00124EFB" w:rsidP="00D80344">
      <w:pPr>
        <w:pStyle w:val="Heading3"/>
        <w:numPr>
          <w:ilvl w:val="2"/>
          <w:numId w:val="10"/>
        </w:numPr>
      </w:pPr>
      <w:bookmarkStart w:id="69" w:name="_Toc96772494"/>
      <w:bookmarkStart w:id="70" w:name="_Hlk89856530"/>
      <w:r w:rsidRPr="009E7CE1">
        <w:t>Progress Towards Objective and Expected Outcomes</w:t>
      </w:r>
      <w:bookmarkEnd w:id="69"/>
    </w:p>
    <w:bookmarkEnd w:id="70"/>
    <w:p w14:paraId="3EC515F2" w14:textId="77777777" w:rsidR="007C47DF" w:rsidRDefault="007C47DF" w:rsidP="007C47DF">
      <w:pPr>
        <w:pStyle w:val="BodyText"/>
        <w:spacing w:after="120"/>
        <w:jc w:val="both"/>
        <w:rPr>
          <w:rFonts w:asciiTheme="minorHAnsi" w:hAnsiTheme="minorHAnsi" w:cstheme="minorHAnsi"/>
          <w:sz w:val="22"/>
          <w:szCs w:val="22"/>
        </w:rPr>
      </w:pPr>
    </w:p>
    <w:p w14:paraId="2DFDE733" w14:textId="40635BC9" w:rsidR="00124EFB" w:rsidRPr="007C47DF" w:rsidRDefault="00124EFB" w:rsidP="00177C58">
      <w:pPr>
        <w:pStyle w:val="BodyText"/>
        <w:spacing w:after="120"/>
        <w:jc w:val="both"/>
        <w:rPr>
          <w:rFonts w:asciiTheme="minorHAnsi" w:hAnsiTheme="minorHAnsi" w:cstheme="minorHAnsi"/>
          <w:sz w:val="22"/>
          <w:szCs w:val="22"/>
        </w:rPr>
      </w:pPr>
      <w:r w:rsidRPr="007C47DF">
        <w:rPr>
          <w:rFonts w:asciiTheme="minorHAnsi" w:hAnsiTheme="minorHAnsi" w:cstheme="minorHAnsi"/>
          <w:sz w:val="22"/>
          <w:szCs w:val="22"/>
        </w:rPr>
        <w:t>The TE evaluated the achievements of results in terms of attainment of the overall objective as well as identified project’s outcomes and outputs, according to the UNDP/GEF evaluation guidelines. For this, the performance by the outcome is analyzed by looking at three main aspects as identified by the UNDP/GEF</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evaluation</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guide:</w:t>
      </w:r>
      <w:r w:rsidRPr="007C47DF">
        <w:rPr>
          <w:rFonts w:asciiTheme="minorHAnsi" w:hAnsiTheme="minorHAnsi" w:cstheme="minorHAnsi"/>
          <w:spacing w:val="-7"/>
          <w:sz w:val="22"/>
          <w:szCs w:val="22"/>
        </w:rPr>
        <w:t xml:space="preserve"> </w:t>
      </w:r>
      <w:r w:rsidRPr="007C47DF">
        <w:rPr>
          <w:rFonts w:asciiTheme="minorHAnsi" w:hAnsiTheme="minorHAnsi" w:cstheme="minorHAnsi"/>
          <w:sz w:val="22"/>
          <w:szCs w:val="22"/>
        </w:rPr>
        <w:t>general</w:t>
      </w:r>
      <w:r w:rsidRPr="007C47DF">
        <w:rPr>
          <w:rFonts w:asciiTheme="minorHAnsi" w:hAnsiTheme="minorHAnsi" w:cstheme="minorHAnsi"/>
          <w:spacing w:val="-11"/>
          <w:sz w:val="22"/>
          <w:szCs w:val="22"/>
        </w:rPr>
        <w:t xml:space="preserve"> </w:t>
      </w:r>
      <w:r w:rsidRPr="007C47DF">
        <w:rPr>
          <w:rFonts w:asciiTheme="minorHAnsi" w:hAnsiTheme="minorHAnsi" w:cstheme="minorHAnsi"/>
          <w:sz w:val="22"/>
          <w:szCs w:val="22"/>
        </w:rPr>
        <w:t>progress</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towards</w:t>
      </w:r>
      <w:r w:rsidRPr="007C47DF">
        <w:rPr>
          <w:rFonts w:asciiTheme="minorHAnsi" w:hAnsiTheme="minorHAnsi" w:cstheme="minorHAnsi"/>
          <w:spacing w:val="-9"/>
          <w:sz w:val="22"/>
          <w:szCs w:val="22"/>
        </w:rPr>
        <w:t xml:space="preserve"> </w:t>
      </w:r>
      <w:r w:rsidRPr="007C47DF">
        <w:rPr>
          <w:rFonts w:asciiTheme="minorHAnsi" w:hAnsiTheme="minorHAnsi" w:cstheme="minorHAnsi"/>
          <w:sz w:val="22"/>
          <w:szCs w:val="22"/>
        </w:rPr>
        <w:t>the</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established</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baseline</w:t>
      </w:r>
      <w:r w:rsidRPr="007C47DF">
        <w:rPr>
          <w:rFonts w:asciiTheme="minorHAnsi" w:hAnsiTheme="minorHAnsi" w:cstheme="minorHAnsi"/>
          <w:spacing w:val="-7"/>
          <w:sz w:val="22"/>
          <w:szCs w:val="22"/>
        </w:rPr>
        <w:t xml:space="preserve"> </w:t>
      </w:r>
      <w:r w:rsidRPr="007C47DF">
        <w:rPr>
          <w:rFonts w:asciiTheme="minorHAnsi" w:hAnsiTheme="minorHAnsi" w:cstheme="minorHAnsi"/>
          <w:sz w:val="22"/>
          <w:szCs w:val="22"/>
        </w:rPr>
        <w:t>level</w:t>
      </w:r>
      <w:r w:rsidRPr="007C47DF">
        <w:rPr>
          <w:rFonts w:asciiTheme="minorHAnsi" w:hAnsiTheme="minorHAnsi" w:cstheme="minorHAnsi"/>
          <w:spacing w:val="-11"/>
          <w:sz w:val="22"/>
          <w:szCs w:val="22"/>
        </w:rPr>
        <w:t xml:space="preserve"> </w:t>
      </w:r>
      <w:r w:rsidRPr="007C47DF">
        <w:rPr>
          <w:rFonts w:asciiTheme="minorHAnsi" w:hAnsiTheme="minorHAnsi" w:cstheme="minorHAnsi"/>
          <w:sz w:val="22"/>
          <w:szCs w:val="22"/>
        </w:rPr>
        <w:t>of</w:t>
      </w:r>
      <w:r w:rsidRPr="007C47DF">
        <w:rPr>
          <w:rFonts w:asciiTheme="minorHAnsi" w:hAnsiTheme="minorHAnsi" w:cstheme="minorHAnsi"/>
          <w:spacing w:val="-9"/>
          <w:sz w:val="22"/>
          <w:szCs w:val="22"/>
        </w:rPr>
        <w:t xml:space="preserve"> </w:t>
      </w:r>
      <w:r w:rsidRPr="007C47DF">
        <w:rPr>
          <w:rFonts w:asciiTheme="minorHAnsi" w:hAnsiTheme="minorHAnsi" w:cstheme="minorHAnsi"/>
          <w:sz w:val="22"/>
          <w:szCs w:val="22"/>
        </w:rPr>
        <w:t>the</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indicators; actual</w:t>
      </w:r>
      <w:r w:rsidRPr="007C47DF">
        <w:rPr>
          <w:rFonts w:asciiTheme="minorHAnsi" w:hAnsiTheme="minorHAnsi" w:cstheme="minorHAnsi"/>
          <w:spacing w:val="-9"/>
          <w:sz w:val="22"/>
          <w:szCs w:val="22"/>
        </w:rPr>
        <w:t xml:space="preserve"> </w:t>
      </w:r>
      <w:r w:rsidRPr="007C47DF">
        <w:rPr>
          <w:rFonts w:asciiTheme="minorHAnsi" w:hAnsiTheme="minorHAnsi" w:cstheme="minorHAnsi"/>
          <w:sz w:val="22"/>
          <w:szCs w:val="22"/>
        </w:rPr>
        <w:t>values</w:t>
      </w:r>
      <w:r w:rsidRPr="007C47DF">
        <w:rPr>
          <w:rFonts w:asciiTheme="minorHAnsi" w:hAnsiTheme="minorHAnsi" w:cstheme="minorHAnsi"/>
          <w:spacing w:val="-7"/>
          <w:sz w:val="22"/>
          <w:szCs w:val="22"/>
        </w:rPr>
        <w:t xml:space="preserve"> </w:t>
      </w:r>
      <w:r w:rsidRPr="007C47DF">
        <w:rPr>
          <w:rFonts w:asciiTheme="minorHAnsi" w:hAnsiTheme="minorHAnsi" w:cstheme="minorHAnsi"/>
          <w:sz w:val="22"/>
          <w:szCs w:val="22"/>
        </w:rPr>
        <w:t>of</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indicators</w:t>
      </w:r>
      <w:r w:rsidRPr="007C47DF">
        <w:rPr>
          <w:rFonts w:asciiTheme="minorHAnsi" w:hAnsiTheme="minorHAnsi" w:cstheme="minorHAnsi"/>
          <w:spacing w:val="-9"/>
          <w:sz w:val="22"/>
          <w:szCs w:val="22"/>
        </w:rPr>
        <w:t xml:space="preserve"> </w:t>
      </w:r>
      <w:r w:rsidRPr="007C47DF">
        <w:rPr>
          <w:rFonts w:asciiTheme="minorHAnsi" w:hAnsiTheme="minorHAnsi" w:cstheme="minorHAnsi"/>
          <w:sz w:val="22"/>
          <w:szCs w:val="22"/>
        </w:rPr>
        <w:t>by</w:t>
      </w:r>
      <w:r w:rsidRPr="007C47DF">
        <w:rPr>
          <w:rFonts w:asciiTheme="minorHAnsi" w:hAnsiTheme="minorHAnsi" w:cstheme="minorHAnsi"/>
          <w:spacing w:val="-9"/>
          <w:sz w:val="22"/>
          <w:szCs w:val="22"/>
        </w:rPr>
        <w:t xml:space="preserve"> </w:t>
      </w:r>
      <w:r w:rsidRPr="007C47DF">
        <w:rPr>
          <w:rFonts w:asciiTheme="minorHAnsi" w:hAnsiTheme="minorHAnsi" w:cstheme="minorHAnsi"/>
          <w:sz w:val="22"/>
          <w:szCs w:val="22"/>
        </w:rPr>
        <w:t>the</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end</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of</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the</w:t>
      </w:r>
      <w:r w:rsidRPr="007C47DF">
        <w:rPr>
          <w:rFonts w:asciiTheme="minorHAnsi" w:hAnsiTheme="minorHAnsi" w:cstheme="minorHAnsi"/>
          <w:spacing w:val="-2"/>
          <w:sz w:val="22"/>
          <w:szCs w:val="22"/>
        </w:rPr>
        <w:t xml:space="preserve"> </w:t>
      </w:r>
      <w:r w:rsidRPr="007C47DF">
        <w:rPr>
          <w:rFonts w:asciiTheme="minorHAnsi" w:hAnsiTheme="minorHAnsi" w:cstheme="minorHAnsi"/>
          <w:sz w:val="22"/>
          <w:szCs w:val="22"/>
        </w:rPr>
        <w:t>Project</w:t>
      </w:r>
      <w:r w:rsidRPr="007C47DF">
        <w:rPr>
          <w:rFonts w:asciiTheme="minorHAnsi" w:hAnsiTheme="minorHAnsi" w:cstheme="minorHAnsi"/>
          <w:spacing w:val="-7"/>
          <w:sz w:val="22"/>
          <w:szCs w:val="22"/>
        </w:rPr>
        <w:t xml:space="preserve"> </w:t>
      </w:r>
      <w:r w:rsidRPr="007C47DF">
        <w:rPr>
          <w:rFonts w:asciiTheme="minorHAnsi" w:hAnsiTheme="minorHAnsi" w:cstheme="minorHAnsi"/>
          <w:sz w:val="22"/>
          <w:szCs w:val="22"/>
        </w:rPr>
        <w:t>vs.</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designed</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ones;</w:t>
      </w:r>
      <w:r w:rsidRPr="007C47DF">
        <w:rPr>
          <w:rFonts w:asciiTheme="minorHAnsi" w:hAnsiTheme="minorHAnsi" w:cstheme="minorHAnsi"/>
          <w:spacing w:val="-6"/>
          <w:sz w:val="22"/>
          <w:szCs w:val="22"/>
        </w:rPr>
        <w:t xml:space="preserve"> </w:t>
      </w:r>
      <w:r w:rsidRPr="007C47DF">
        <w:rPr>
          <w:rFonts w:asciiTheme="minorHAnsi" w:hAnsiTheme="minorHAnsi" w:cstheme="minorHAnsi"/>
          <w:sz w:val="22"/>
          <w:szCs w:val="22"/>
        </w:rPr>
        <w:t>and</w:t>
      </w:r>
      <w:r w:rsidRPr="007C47DF">
        <w:rPr>
          <w:rFonts w:asciiTheme="minorHAnsi" w:hAnsiTheme="minorHAnsi" w:cstheme="minorHAnsi"/>
          <w:spacing w:val="-7"/>
          <w:sz w:val="22"/>
          <w:szCs w:val="22"/>
        </w:rPr>
        <w:t xml:space="preserve"> </w:t>
      </w:r>
      <w:r w:rsidRPr="007C47DF">
        <w:rPr>
          <w:rFonts w:asciiTheme="minorHAnsi" w:hAnsiTheme="minorHAnsi" w:cstheme="minorHAnsi"/>
          <w:sz w:val="22"/>
          <w:szCs w:val="22"/>
        </w:rPr>
        <w:t>evidence</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of</w:t>
      </w:r>
      <w:r w:rsidRPr="007C47DF">
        <w:rPr>
          <w:rFonts w:asciiTheme="minorHAnsi" w:hAnsiTheme="minorHAnsi" w:cstheme="minorHAnsi"/>
          <w:spacing w:val="-8"/>
          <w:sz w:val="22"/>
          <w:szCs w:val="22"/>
        </w:rPr>
        <w:t xml:space="preserve"> </w:t>
      </w:r>
      <w:r w:rsidRPr="007C47DF">
        <w:rPr>
          <w:rFonts w:asciiTheme="minorHAnsi" w:hAnsiTheme="minorHAnsi" w:cstheme="minorHAnsi"/>
          <w:sz w:val="22"/>
          <w:szCs w:val="22"/>
        </w:rPr>
        <w:t>relevance, effectiveness, and efficiency of the results as well as how this evidence was</w:t>
      </w:r>
      <w:r w:rsidRPr="007C47DF">
        <w:rPr>
          <w:rFonts w:asciiTheme="minorHAnsi" w:hAnsiTheme="minorHAnsi" w:cstheme="minorHAnsi"/>
          <w:spacing w:val="-10"/>
          <w:sz w:val="22"/>
          <w:szCs w:val="22"/>
        </w:rPr>
        <w:t xml:space="preserve"> </w:t>
      </w:r>
      <w:r w:rsidRPr="007C47DF">
        <w:rPr>
          <w:rFonts w:asciiTheme="minorHAnsi" w:hAnsiTheme="minorHAnsi" w:cstheme="minorHAnsi"/>
          <w:sz w:val="22"/>
          <w:szCs w:val="22"/>
        </w:rPr>
        <w:t>documented.</w:t>
      </w:r>
    </w:p>
    <w:p w14:paraId="009B6D1E" w14:textId="03B4886E" w:rsidR="00124EFB" w:rsidRPr="007C47DF" w:rsidRDefault="00124EFB" w:rsidP="00177C58">
      <w:pPr>
        <w:pStyle w:val="BodyText"/>
        <w:spacing w:after="120"/>
        <w:ind w:right="116"/>
        <w:jc w:val="both"/>
        <w:rPr>
          <w:rFonts w:asciiTheme="minorHAnsi" w:hAnsiTheme="minorHAnsi" w:cstheme="minorHAnsi"/>
          <w:sz w:val="22"/>
          <w:szCs w:val="22"/>
        </w:rPr>
      </w:pPr>
      <w:r w:rsidRPr="007C47DF">
        <w:rPr>
          <w:rFonts w:asciiTheme="minorHAnsi" w:hAnsiTheme="minorHAnsi" w:cstheme="minorHAnsi"/>
          <w:sz w:val="22"/>
          <w:szCs w:val="22"/>
        </w:rPr>
        <w:lastRenderedPageBreak/>
        <w:t xml:space="preserve">Based on observations, desk review, interviews, data collection and analyses, and review of the Project’s technical reports and progress reports (PIR and QRs), a </w:t>
      </w:r>
      <w:r w:rsidR="007C47DF">
        <w:rPr>
          <w:rFonts w:asciiTheme="minorHAnsi" w:hAnsiTheme="minorHAnsi" w:cstheme="minorHAnsi"/>
          <w:sz w:val="22"/>
          <w:szCs w:val="22"/>
        </w:rPr>
        <w:t>summary</w:t>
      </w:r>
      <w:r w:rsidRPr="007C47DF">
        <w:rPr>
          <w:rFonts w:asciiTheme="minorHAnsi" w:hAnsiTheme="minorHAnsi" w:cstheme="minorHAnsi"/>
          <w:sz w:val="22"/>
          <w:szCs w:val="22"/>
        </w:rPr>
        <w:t xml:space="preserve"> assessment at the outcome level is presented </w:t>
      </w:r>
      <w:r w:rsidR="00AD2222" w:rsidRPr="007C47DF">
        <w:rPr>
          <w:rFonts w:asciiTheme="minorHAnsi" w:hAnsiTheme="minorHAnsi" w:cstheme="minorHAnsi"/>
          <w:sz w:val="22"/>
          <w:szCs w:val="22"/>
        </w:rPr>
        <w:t xml:space="preserve">in the following </w:t>
      </w:r>
      <w:r w:rsidRPr="007C47DF">
        <w:rPr>
          <w:rFonts w:asciiTheme="minorHAnsi" w:hAnsiTheme="minorHAnsi" w:cstheme="minorHAnsi"/>
          <w:sz w:val="22"/>
          <w:szCs w:val="22"/>
        </w:rPr>
        <w:t>Table</w:t>
      </w:r>
      <w:r w:rsidR="00DF29FF">
        <w:rPr>
          <w:rFonts w:asciiTheme="minorHAnsi" w:hAnsiTheme="minorHAnsi" w:cstheme="minorHAnsi"/>
          <w:sz w:val="22"/>
          <w:szCs w:val="22"/>
        </w:rPr>
        <w:t xml:space="preserve"> 6</w:t>
      </w:r>
      <w:r w:rsidRPr="007C47DF">
        <w:rPr>
          <w:rFonts w:asciiTheme="minorHAnsi" w:hAnsiTheme="minorHAnsi" w:cstheme="minorHAnsi"/>
          <w:sz w:val="22"/>
          <w:szCs w:val="22"/>
        </w:rPr>
        <w:t>.</w:t>
      </w:r>
    </w:p>
    <w:p w14:paraId="2887BFFE" w14:textId="73868C60" w:rsidR="00FF6AB3" w:rsidRDefault="00DF29FF" w:rsidP="00FF6AB3">
      <w:pPr>
        <w:pStyle w:val="NoSpacing"/>
      </w:pPr>
      <w:r>
        <w:t>Table 6</w:t>
      </w:r>
      <w:r w:rsidR="00FF6AB3">
        <w:t>: Progress Towards Objectives Summary</w:t>
      </w:r>
    </w:p>
    <w:tbl>
      <w:tblPr>
        <w:tblW w:w="9228" w:type="dxa"/>
        <w:tblLayout w:type="fixed"/>
        <w:tblCellMar>
          <w:left w:w="0" w:type="dxa"/>
          <w:right w:w="0" w:type="dxa"/>
        </w:tblCellMar>
        <w:tblLook w:val="0520" w:firstRow="1" w:lastRow="0" w:firstColumn="0" w:lastColumn="1" w:noHBand="0" w:noVBand="1"/>
      </w:tblPr>
      <w:tblGrid>
        <w:gridCol w:w="1948"/>
        <w:gridCol w:w="1409"/>
        <w:gridCol w:w="1884"/>
        <w:gridCol w:w="869"/>
        <w:gridCol w:w="1050"/>
        <w:gridCol w:w="1427"/>
        <w:gridCol w:w="641"/>
      </w:tblGrid>
      <w:tr w:rsidR="00FF6AB3" w:rsidRPr="00DF29FF" w14:paraId="7B1D4889" w14:textId="77777777" w:rsidTr="00DF29FF">
        <w:trPr>
          <w:trHeight w:val="770"/>
        </w:trPr>
        <w:tc>
          <w:tcPr>
            <w:tcW w:w="1948"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7ADD4C49"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Objective/Component/Outcome</w:t>
            </w:r>
          </w:p>
        </w:tc>
        <w:tc>
          <w:tcPr>
            <w:tcW w:w="1409"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16C484A2"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Indicator</w:t>
            </w:r>
          </w:p>
        </w:tc>
        <w:tc>
          <w:tcPr>
            <w:tcW w:w="1884"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0C20F4ED"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Unit</w:t>
            </w:r>
          </w:p>
        </w:tc>
        <w:tc>
          <w:tcPr>
            <w:tcW w:w="868"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6760D2C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EoP target</w:t>
            </w:r>
          </w:p>
        </w:tc>
        <w:tc>
          <w:tcPr>
            <w:tcW w:w="1050"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08841736"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Achieved</w:t>
            </w:r>
          </w:p>
        </w:tc>
        <w:tc>
          <w:tcPr>
            <w:tcW w:w="1427"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4E7B1515"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Percent Achieved at TE</w:t>
            </w:r>
          </w:p>
        </w:tc>
        <w:tc>
          <w:tcPr>
            <w:tcW w:w="641" w:type="dxa"/>
            <w:tcBorders>
              <w:top w:val="single" w:sz="8" w:space="0" w:color="FFFFFF"/>
              <w:left w:val="single" w:sz="8" w:space="0" w:color="FFFFFF"/>
              <w:bottom w:val="single" w:sz="24" w:space="0" w:color="FFFFFF"/>
              <w:right w:val="single" w:sz="8" w:space="0" w:color="FFFFFF"/>
            </w:tcBorders>
            <w:shd w:val="clear" w:color="auto" w:fill="4472C4"/>
            <w:tcMar>
              <w:top w:w="18" w:type="dxa"/>
              <w:left w:w="18" w:type="dxa"/>
              <w:bottom w:w="0" w:type="dxa"/>
              <w:right w:w="18" w:type="dxa"/>
            </w:tcMar>
            <w:hideMark/>
          </w:tcPr>
          <w:p w14:paraId="62E4B5B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Ratings</w:t>
            </w:r>
          </w:p>
        </w:tc>
      </w:tr>
      <w:tr w:rsidR="00FF6AB3" w:rsidRPr="00DF29FF" w14:paraId="711B8670" w14:textId="77777777" w:rsidTr="00DF29FF">
        <w:trPr>
          <w:trHeight w:val="434"/>
        </w:trPr>
        <w:tc>
          <w:tcPr>
            <w:tcW w:w="1948" w:type="dxa"/>
            <w:tcBorders>
              <w:top w:val="single" w:sz="24"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D749C0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000000"/>
                <w:kern w:val="24"/>
                <w:sz w:val="18"/>
                <w:szCs w:val="18"/>
              </w:rPr>
              <w:t>Project Objective</w:t>
            </w:r>
          </w:p>
        </w:tc>
        <w:tc>
          <w:tcPr>
            <w:tcW w:w="1409" w:type="dxa"/>
            <w:tcBorders>
              <w:top w:val="single" w:sz="24"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6D93179A"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1</w:t>
            </w:r>
          </w:p>
        </w:tc>
        <w:tc>
          <w:tcPr>
            <w:tcW w:w="1884" w:type="dxa"/>
            <w:tcBorders>
              <w:top w:val="single" w:sz="24"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EFD6555"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Partnership/country</w:t>
            </w:r>
          </w:p>
        </w:tc>
        <w:tc>
          <w:tcPr>
            <w:tcW w:w="868" w:type="dxa"/>
            <w:tcBorders>
              <w:top w:val="single" w:sz="24"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A25476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4</w:t>
            </w:r>
          </w:p>
        </w:tc>
        <w:tc>
          <w:tcPr>
            <w:tcW w:w="1050" w:type="dxa"/>
            <w:tcBorders>
              <w:top w:val="single" w:sz="24"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331B009" w14:textId="1677BF42" w:rsidR="00FF6AB3" w:rsidRPr="00DF29FF" w:rsidRDefault="00873111"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4</w:t>
            </w:r>
          </w:p>
        </w:tc>
        <w:tc>
          <w:tcPr>
            <w:tcW w:w="1427" w:type="dxa"/>
            <w:tcBorders>
              <w:top w:val="single" w:sz="24"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443B0CC8" w14:textId="0AF10F23" w:rsidR="00FF6AB3" w:rsidRPr="00DF29FF" w:rsidRDefault="00873111"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100</w:t>
            </w:r>
          </w:p>
        </w:tc>
        <w:tc>
          <w:tcPr>
            <w:tcW w:w="641" w:type="dxa"/>
            <w:tcBorders>
              <w:top w:val="single" w:sz="24"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28662162" w14:textId="5CDE621E" w:rsidR="00FF6AB3" w:rsidRPr="00DF29FF" w:rsidRDefault="00873111"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b/>
                <w:bCs/>
                <w:color w:val="FFFFFF"/>
                <w:kern w:val="24"/>
                <w:sz w:val="18"/>
                <w:szCs w:val="18"/>
              </w:rPr>
              <w:t>HS</w:t>
            </w:r>
          </w:p>
        </w:tc>
      </w:tr>
      <w:tr w:rsidR="00FF6AB3" w:rsidRPr="00DF29FF" w14:paraId="397DD88A"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48016EB9"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7A0188B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2.a</w:t>
            </w: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27E7E38D"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quarters w/engagement</w:t>
            </w: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06115BE3"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12</w:t>
            </w: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2FEC7C3" w14:textId="5880B342"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w:t>
            </w:r>
            <w:r w:rsidR="00CA4957">
              <w:rPr>
                <w:rFonts w:asciiTheme="minorHAnsi" w:eastAsia="Times New Roman" w:hAnsiTheme="minorHAnsi" w:cstheme="minorHAnsi"/>
                <w:color w:val="000000"/>
                <w:kern w:val="24"/>
                <w:sz w:val="18"/>
                <w:szCs w:val="18"/>
              </w:rPr>
              <w:t>6</w:t>
            </w: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3427BC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089439E6"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21B9A5AD"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BE8F183"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285FE17"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2.b</w:t>
            </w: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971877C"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events</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63674C5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2</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CE819C5"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2</w:t>
            </w: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F315995"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634679C0"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60A8997F"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A15990A"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99D0181"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2.c</w:t>
            </w: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774F88C7"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satisfaction</w:t>
            </w: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413F2F1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60</w:t>
            </w: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2FFEFF8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74</w:t>
            </w: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49E3E1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25C06327"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534AEE88"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F157E2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6961A1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3</w:t>
            </w: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7733EAB"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pieces on gender</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B37F1F2"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6</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C49CA3A" w14:textId="5C69DD8A"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w:t>
            </w:r>
            <w:r w:rsidR="00696813">
              <w:rPr>
                <w:rFonts w:asciiTheme="minorHAnsi" w:eastAsia="Times New Roman" w:hAnsiTheme="minorHAnsi" w:cstheme="minorHAnsi"/>
                <w:color w:val="000000"/>
                <w:kern w:val="24"/>
                <w:sz w:val="18"/>
                <w:szCs w:val="18"/>
              </w:rPr>
              <w:t>2</w:t>
            </w: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5DFC979"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7540D57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2FA1B350"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7CADB43D"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000000"/>
                <w:kern w:val="24"/>
                <w:sz w:val="18"/>
                <w:szCs w:val="18"/>
              </w:rPr>
              <w:t>Component 1</w:t>
            </w: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2EE88A63"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2A11C61E"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06EA31B0"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180D6A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26B864F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0B073C51"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r>
      <w:tr w:rsidR="00FF6AB3" w:rsidRPr="00DF29FF" w14:paraId="40DF9CBD"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6968CD4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1.1</w:t>
            </w: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7497954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4</w:t>
            </w: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76477E84"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#calls, #plans</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FCD7C2D"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40 and 16</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79218550" w14:textId="5A66FFC6" w:rsidR="00FF6AB3" w:rsidRPr="00DF29FF" w:rsidRDefault="00BC3FC3"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4</w:t>
            </w:r>
            <w:r w:rsidR="00873111">
              <w:rPr>
                <w:rFonts w:asciiTheme="minorHAnsi" w:eastAsia="Times New Roman" w:hAnsiTheme="minorHAnsi" w:cstheme="minorHAnsi"/>
                <w:color w:val="000000"/>
                <w:kern w:val="24"/>
                <w:sz w:val="18"/>
                <w:szCs w:val="18"/>
              </w:rPr>
              <w:t>9</w:t>
            </w:r>
            <w:r w:rsidR="00FF6AB3" w:rsidRPr="00DF29FF">
              <w:rPr>
                <w:rFonts w:asciiTheme="minorHAnsi" w:eastAsia="Times New Roman" w:hAnsiTheme="minorHAnsi" w:cstheme="minorHAnsi"/>
                <w:color w:val="000000"/>
                <w:kern w:val="24"/>
                <w:sz w:val="18"/>
                <w:szCs w:val="18"/>
              </w:rPr>
              <w:t xml:space="preserve"> and 16</w:t>
            </w: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6044C65"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3DF37BC2"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7B61C78B"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D8CE1A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1.2</w:t>
            </w: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00B92866"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5</w:t>
            </w: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A4F8009"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practices</w:t>
            </w: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36EFAED7"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2</w:t>
            </w: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24133DAE" w14:textId="0AA3BE99" w:rsidR="00FF6AB3" w:rsidRPr="00DF29FF" w:rsidRDefault="00AA1C7E"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 xml:space="preserve">174 AM and </w:t>
            </w:r>
            <w:r w:rsidR="0012521B">
              <w:rPr>
                <w:rFonts w:asciiTheme="minorHAnsi" w:eastAsia="Times New Roman" w:hAnsiTheme="minorHAnsi" w:cstheme="minorHAnsi"/>
                <w:color w:val="000000"/>
                <w:kern w:val="24"/>
                <w:sz w:val="18"/>
                <w:szCs w:val="18"/>
              </w:rPr>
              <w:t>59</w:t>
            </w:r>
            <w:r>
              <w:rPr>
                <w:rFonts w:asciiTheme="minorHAnsi" w:eastAsia="Times New Roman" w:hAnsiTheme="minorHAnsi" w:cstheme="minorHAnsi"/>
                <w:color w:val="000000"/>
                <w:kern w:val="24"/>
                <w:sz w:val="18"/>
                <w:szCs w:val="18"/>
              </w:rPr>
              <w:t xml:space="preserve"> strategic</w:t>
            </w: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1132124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48F508D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6E5D0E13"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713127B7"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000000"/>
                <w:kern w:val="24"/>
                <w:sz w:val="18"/>
                <w:szCs w:val="18"/>
              </w:rPr>
              <w:t>Component 2</w:t>
            </w: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5CD7A0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6CE9989"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EE4EB72"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F29439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D13B7A7"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48793E6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r>
      <w:tr w:rsidR="00FF6AB3" w:rsidRPr="00DF29FF" w14:paraId="2B823B4C"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02F1E25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2.1</w:t>
            </w: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1486068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6</w:t>
            </w: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74B5C688"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docs and visitors</w:t>
            </w: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7C8E3D8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150 and 5000</w:t>
            </w: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77DC24A8"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900 and 14,000</w:t>
            </w: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3774A86"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2272DC82"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0BD3E9B0"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E29A4C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2.2</w:t>
            </w: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EA456A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7</w:t>
            </w: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619CA951"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syntheses</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2187D2A"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12</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0868DF3"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13</w:t>
            </w: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500670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4B7CBFB9"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003E8555"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BB8B15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000000"/>
                <w:kern w:val="24"/>
                <w:sz w:val="18"/>
                <w:szCs w:val="18"/>
              </w:rPr>
              <w:t>Component 3</w:t>
            </w: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7795856"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53EB860"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3234329D"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17866E8E"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1B4BF5E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4C269C1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r>
      <w:tr w:rsidR="00FF6AB3" w:rsidRPr="00DF29FF" w14:paraId="76D721D5"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798DCE17"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3.1</w:t>
            </w: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0283BB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8</w:t>
            </w: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3288EC20"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Products</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49D74404"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3</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625936BA" w14:textId="3C6F37D4" w:rsidR="00FF6AB3" w:rsidRPr="00DF29FF" w:rsidRDefault="00873111"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2</w:t>
            </w: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3955F48" w14:textId="11BDA53F" w:rsidR="00FF6AB3" w:rsidRPr="00DF29FF" w:rsidRDefault="00873111"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67</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6474FB3C" w14:textId="33792493" w:rsidR="00FF6AB3" w:rsidRPr="00DF29FF" w:rsidRDefault="005C3DFB"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b/>
                <w:bCs/>
                <w:color w:val="FFFFFF"/>
                <w:kern w:val="24"/>
                <w:sz w:val="18"/>
                <w:szCs w:val="18"/>
              </w:rPr>
              <w:t>M</w:t>
            </w:r>
            <w:r w:rsidR="00CD79D4">
              <w:rPr>
                <w:rFonts w:asciiTheme="minorHAnsi" w:eastAsia="Times New Roman" w:hAnsiTheme="minorHAnsi" w:cstheme="minorHAnsi"/>
                <w:b/>
                <w:bCs/>
                <w:color w:val="FFFFFF"/>
                <w:kern w:val="24"/>
                <w:sz w:val="18"/>
                <w:szCs w:val="18"/>
              </w:rPr>
              <w:t>S</w:t>
            </w:r>
          </w:p>
        </w:tc>
      </w:tr>
      <w:tr w:rsidR="00FF6AB3" w:rsidRPr="00DF29FF" w14:paraId="1CEBCBCC"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3639DDF1"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3.2</w:t>
            </w:r>
          </w:p>
        </w:tc>
        <w:tc>
          <w:tcPr>
            <w:tcW w:w="1409"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504403D"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9</w:t>
            </w:r>
          </w:p>
        </w:tc>
        <w:tc>
          <w:tcPr>
            <w:tcW w:w="1884"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F214E42"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w:t>
            </w:r>
          </w:p>
        </w:tc>
        <w:tc>
          <w:tcPr>
            <w:tcW w:w="868"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6BC41B9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60</w:t>
            </w:r>
          </w:p>
        </w:tc>
        <w:tc>
          <w:tcPr>
            <w:tcW w:w="1050"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D63FD39"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64.5</w:t>
            </w:r>
          </w:p>
        </w:tc>
        <w:tc>
          <w:tcPr>
            <w:tcW w:w="1427" w:type="dxa"/>
            <w:tcBorders>
              <w:top w:val="single" w:sz="8" w:space="0" w:color="FFFFFF"/>
              <w:left w:val="single" w:sz="8" w:space="0" w:color="FFFFFF"/>
              <w:bottom w:val="single" w:sz="8" w:space="0" w:color="FFFFFF"/>
              <w:right w:val="single" w:sz="8" w:space="0" w:color="FFFFFF"/>
            </w:tcBorders>
            <w:shd w:val="clear" w:color="auto" w:fill="E9EBF5"/>
            <w:tcMar>
              <w:top w:w="18" w:type="dxa"/>
              <w:left w:w="18" w:type="dxa"/>
              <w:bottom w:w="0" w:type="dxa"/>
              <w:right w:w="18" w:type="dxa"/>
            </w:tcMar>
            <w:hideMark/>
          </w:tcPr>
          <w:p w14:paraId="5FF64D8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0709C589"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2367DD22"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1CF61F56"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Outcome 3.3</w:t>
            </w:r>
          </w:p>
        </w:tc>
        <w:tc>
          <w:tcPr>
            <w:tcW w:w="1409"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291CF1FF"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Indicator 10</w:t>
            </w:r>
          </w:p>
        </w:tc>
        <w:tc>
          <w:tcPr>
            <w:tcW w:w="1884"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67C8F9D" w14:textId="77777777" w:rsidR="00FF6AB3" w:rsidRPr="00DF29FF" w:rsidRDefault="00FF6AB3" w:rsidP="00062DAE">
            <w:pPr>
              <w:spacing w:after="0" w:line="240" w:lineRule="auto"/>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 partners</w:t>
            </w:r>
          </w:p>
        </w:tc>
        <w:tc>
          <w:tcPr>
            <w:tcW w:w="868"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39E5AEC"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6</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6D12BDE3"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11</w:t>
            </w: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030BA97A"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100</w:t>
            </w: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7171521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HS</w:t>
            </w:r>
          </w:p>
        </w:tc>
      </w:tr>
      <w:tr w:rsidR="00FF6AB3" w:rsidRPr="00DF29FF" w14:paraId="72EEEEA8" w14:textId="77777777" w:rsidTr="00DF29FF">
        <w:trPr>
          <w:trHeight w:val="434"/>
        </w:trPr>
        <w:tc>
          <w:tcPr>
            <w:tcW w:w="1948"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629B2D8D"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FFFFFF"/>
                <w:kern w:val="24"/>
                <w:sz w:val="18"/>
                <w:szCs w:val="18"/>
              </w:rPr>
              <w:t>Average of Total</w:t>
            </w:r>
          </w:p>
        </w:tc>
        <w:tc>
          <w:tcPr>
            <w:tcW w:w="1409"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762F7002"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884"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14E8EB40"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868"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4695A6BB"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050"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762A1B6A"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p>
        </w:tc>
        <w:tc>
          <w:tcPr>
            <w:tcW w:w="1427"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486A9649" w14:textId="57E4F3B2" w:rsidR="00FF6AB3" w:rsidRPr="00DF29FF" w:rsidRDefault="00873111" w:rsidP="00062DAE">
            <w:pPr>
              <w:spacing w:after="0" w:line="240" w:lineRule="auto"/>
              <w:jc w:val="center"/>
              <w:textAlignment w:val="bottom"/>
              <w:rPr>
                <w:rFonts w:asciiTheme="minorHAnsi" w:eastAsia="Times New Roman" w:hAnsiTheme="minorHAnsi" w:cstheme="minorHAnsi"/>
                <w:sz w:val="18"/>
                <w:szCs w:val="18"/>
              </w:rPr>
            </w:pPr>
            <w:r>
              <w:rPr>
                <w:rFonts w:asciiTheme="minorHAnsi" w:eastAsia="Times New Roman" w:hAnsiTheme="minorHAnsi" w:cstheme="minorHAnsi"/>
                <w:color w:val="FFFFFF"/>
                <w:kern w:val="24"/>
                <w:sz w:val="18"/>
                <w:szCs w:val="18"/>
              </w:rPr>
              <w:t>92</w:t>
            </w:r>
          </w:p>
        </w:tc>
        <w:tc>
          <w:tcPr>
            <w:tcW w:w="641" w:type="dxa"/>
            <w:tcBorders>
              <w:top w:val="single" w:sz="8" w:space="0" w:color="FFFFFF"/>
              <w:left w:val="single" w:sz="8" w:space="0" w:color="FFFFFF"/>
              <w:bottom w:val="single" w:sz="8" w:space="0" w:color="FFFFFF"/>
              <w:right w:val="single" w:sz="8" w:space="0" w:color="FFFFFF"/>
            </w:tcBorders>
            <w:shd w:val="clear" w:color="auto" w:fill="222A35"/>
            <w:tcMar>
              <w:top w:w="18" w:type="dxa"/>
              <w:left w:w="18" w:type="dxa"/>
              <w:bottom w:w="0" w:type="dxa"/>
              <w:right w:w="18" w:type="dxa"/>
            </w:tcMar>
            <w:hideMark/>
          </w:tcPr>
          <w:p w14:paraId="3C145433"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b/>
                <w:bCs/>
                <w:color w:val="FFFFFF"/>
                <w:kern w:val="24"/>
                <w:sz w:val="18"/>
                <w:szCs w:val="18"/>
              </w:rPr>
              <w:t>S</w:t>
            </w:r>
          </w:p>
        </w:tc>
      </w:tr>
      <w:tr w:rsidR="00FF6AB3" w:rsidRPr="00DF29FF" w14:paraId="667FC1D6" w14:textId="77777777" w:rsidTr="00DF29FF">
        <w:trPr>
          <w:trHeight w:val="434"/>
        </w:trPr>
        <w:tc>
          <w:tcPr>
            <w:tcW w:w="6110" w:type="dxa"/>
            <w:gridSpan w:val="4"/>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346A3D5" w14:textId="77777777" w:rsidR="00FF6AB3" w:rsidRPr="00DF29FF" w:rsidRDefault="00FF6AB3" w:rsidP="00062DAE">
            <w:pPr>
              <w:spacing w:after="0" w:line="240" w:lineRule="auto"/>
              <w:jc w:val="center"/>
              <w:textAlignment w:val="bottom"/>
              <w:rPr>
                <w:rFonts w:asciiTheme="minorHAnsi" w:eastAsia="Times New Roman" w:hAnsiTheme="minorHAnsi" w:cstheme="minorHAnsi"/>
                <w:sz w:val="18"/>
                <w:szCs w:val="18"/>
              </w:rPr>
            </w:pPr>
            <w:r w:rsidRPr="00DF29FF">
              <w:rPr>
                <w:rFonts w:asciiTheme="minorHAnsi" w:eastAsia="Times New Roman" w:hAnsiTheme="minorHAnsi" w:cstheme="minorHAnsi"/>
                <w:color w:val="000000"/>
                <w:kern w:val="24"/>
                <w:sz w:val="18"/>
                <w:szCs w:val="18"/>
              </w:rPr>
              <w:t>Rating Scale:  HS=100%; S=80-99; MS=60-79; MU=40-59; U=20-39; HU = &lt;20</w:t>
            </w:r>
          </w:p>
        </w:tc>
        <w:tc>
          <w:tcPr>
            <w:tcW w:w="1050"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58080582" w14:textId="77777777" w:rsidR="00FF6AB3" w:rsidRPr="00DF29FF" w:rsidRDefault="00FF6AB3" w:rsidP="00062DAE">
            <w:pPr>
              <w:spacing w:after="0" w:line="240" w:lineRule="auto"/>
              <w:jc w:val="center"/>
              <w:rPr>
                <w:rFonts w:asciiTheme="minorHAnsi" w:eastAsia="Times New Roman" w:hAnsiTheme="minorHAnsi" w:cstheme="minorHAnsi"/>
                <w:sz w:val="18"/>
                <w:szCs w:val="18"/>
              </w:rPr>
            </w:pPr>
          </w:p>
        </w:tc>
        <w:tc>
          <w:tcPr>
            <w:tcW w:w="1427" w:type="dxa"/>
            <w:tcBorders>
              <w:top w:val="single" w:sz="8" w:space="0" w:color="FFFFFF"/>
              <w:left w:val="single" w:sz="8" w:space="0" w:color="FFFFFF"/>
              <w:bottom w:val="single" w:sz="8" w:space="0" w:color="FFFFFF"/>
              <w:right w:val="single" w:sz="8" w:space="0" w:color="FFFFFF"/>
            </w:tcBorders>
            <w:shd w:val="clear" w:color="auto" w:fill="CFD5EA"/>
            <w:tcMar>
              <w:top w:w="18" w:type="dxa"/>
              <w:left w:w="18" w:type="dxa"/>
              <w:bottom w:w="0" w:type="dxa"/>
              <w:right w:w="18" w:type="dxa"/>
            </w:tcMar>
            <w:hideMark/>
          </w:tcPr>
          <w:p w14:paraId="46C831FB" w14:textId="77777777" w:rsidR="00FF6AB3" w:rsidRPr="00DF29FF" w:rsidRDefault="00FF6AB3" w:rsidP="00062DAE">
            <w:pPr>
              <w:spacing w:after="0" w:line="240" w:lineRule="auto"/>
              <w:jc w:val="center"/>
              <w:rPr>
                <w:rFonts w:asciiTheme="minorHAnsi" w:eastAsia="Times New Roman" w:hAnsiTheme="minorHAnsi" w:cstheme="minorHAnsi"/>
                <w:sz w:val="18"/>
                <w:szCs w:val="18"/>
              </w:rPr>
            </w:pPr>
          </w:p>
        </w:tc>
        <w:tc>
          <w:tcPr>
            <w:tcW w:w="641" w:type="dxa"/>
            <w:tcBorders>
              <w:top w:val="single" w:sz="8" w:space="0" w:color="FFFFFF"/>
              <w:left w:val="single" w:sz="8" w:space="0" w:color="FFFFFF"/>
              <w:bottom w:val="single" w:sz="8" w:space="0" w:color="FFFFFF"/>
              <w:right w:val="single" w:sz="8" w:space="0" w:color="FFFFFF"/>
            </w:tcBorders>
            <w:shd w:val="clear" w:color="auto" w:fill="4472C4"/>
            <w:tcMar>
              <w:top w:w="18" w:type="dxa"/>
              <w:left w:w="18" w:type="dxa"/>
              <w:bottom w:w="0" w:type="dxa"/>
              <w:right w:w="18" w:type="dxa"/>
            </w:tcMar>
            <w:hideMark/>
          </w:tcPr>
          <w:p w14:paraId="0932374A" w14:textId="77777777" w:rsidR="00FF6AB3" w:rsidRPr="00DF29FF" w:rsidRDefault="00FF6AB3" w:rsidP="00062DAE">
            <w:pPr>
              <w:spacing w:after="0" w:line="240" w:lineRule="auto"/>
              <w:jc w:val="center"/>
              <w:rPr>
                <w:rFonts w:asciiTheme="minorHAnsi" w:eastAsia="Times New Roman" w:hAnsiTheme="minorHAnsi" w:cstheme="minorHAnsi"/>
                <w:sz w:val="18"/>
                <w:szCs w:val="18"/>
              </w:rPr>
            </w:pPr>
          </w:p>
        </w:tc>
      </w:tr>
    </w:tbl>
    <w:p w14:paraId="28E9700A" w14:textId="3171F288" w:rsidR="00124EFB" w:rsidRDefault="006928CD" w:rsidP="00DF29FF">
      <w:pPr>
        <w:pStyle w:val="NoSpacing"/>
        <w:spacing w:after="120"/>
        <w:jc w:val="both"/>
      </w:pPr>
      <w:r>
        <w:t>Finding: The o</w:t>
      </w:r>
      <w:r w:rsidR="00124EFB" w:rsidRPr="00FB7D66">
        <w:t>verall results of the Project are rated as</w:t>
      </w:r>
      <w:r w:rsidR="007C47DF">
        <w:t xml:space="preserve"> </w:t>
      </w:r>
      <w:r w:rsidR="005C3DFB">
        <w:t>92</w:t>
      </w:r>
      <w:r w:rsidR="007C47DF">
        <w:t xml:space="preserve"> which is </w:t>
      </w:r>
      <w:r>
        <w:t>“</w:t>
      </w:r>
      <w:r w:rsidR="00124EFB">
        <w:t>SATISFACTORY</w:t>
      </w:r>
      <w:r>
        <w:t>”</w:t>
      </w:r>
      <w:r w:rsidR="00124EFB">
        <w:t xml:space="preserve">. </w:t>
      </w:r>
    </w:p>
    <w:p w14:paraId="00CEDAC8" w14:textId="01CE3B74" w:rsidR="00546386" w:rsidRDefault="00546386" w:rsidP="00DF29FF">
      <w:pPr>
        <w:spacing w:after="120" w:line="240" w:lineRule="auto"/>
        <w:jc w:val="both"/>
      </w:pPr>
    </w:p>
    <w:p w14:paraId="6D45E054" w14:textId="2C29F42D" w:rsidR="00D755F5" w:rsidRDefault="00D755F5" w:rsidP="00DF29FF">
      <w:pPr>
        <w:spacing w:after="120" w:line="240" w:lineRule="auto"/>
        <w:jc w:val="both"/>
      </w:pPr>
      <w:r>
        <w:t>Table</w:t>
      </w:r>
      <w:r w:rsidR="00D105CF">
        <w:t xml:space="preserve"> 7</w:t>
      </w:r>
      <w:r>
        <w:t xml:space="preserve"> </w:t>
      </w:r>
      <w:r w:rsidR="005D363C">
        <w:t xml:space="preserve">below </w:t>
      </w:r>
      <w:r>
        <w:t>shows the progress towards the achievement of the project objective:</w:t>
      </w:r>
    </w:p>
    <w:p w14:paraId="2CBBF047" w14:textId="4B57B9DE" w:rsidR="00D755F5" w:rsidRPr="006928CD" w:rsidRDefault="00D755F5" w:rsidP="006928CD">
      <w:pPr>
        <w:spacing w:after="0" w:line="240" w:lineRule="auto"/>
        <w:rPr>
          <w:rFonts w:asciiTheme="minorHAnsi" w:eastAsiaTheme="majorEastAsia" w:hAnsiTheme="minorHAnsi" w:cstheme="minorHAnsi"/>
          <w:kern w:val="24"/>
        </w:rPr>
      </w:pPr>
      <w:r w:rsidRPr="006928CD">
        <w:rPr>
          <w:rFonts w:asciiTheme="minorHAnsi" w:hAnsiTheme="minorHAnsi" w:cstheme="minorHAnsi"/>
        </w:rPr>
        <w:t xml:space="preserve">Objective: Effectively </w:t>
      </w:r>
      <w:r w:rsidRPr="006928CD">
        <w:rPr>
          <w:rFonts w:asciiTheme="minorHAnsi" w:eastAsiaTheme="majorEastAsia" w:hAnsiTheme="minorHAnsi" w:cstheme="minorHAnsi"/>
          <w:kern w:val="24"/>
        </w:rPr>
        <w:t>leverage demand, transactions, and support to production to ensure successful implementation of the Commodities GGP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7"/>
        <w:gridCol w:w="768"/>
        <w:gridCol w:w="1082"/>
        <w:gridCol w:w="1315"/>
        <w:gridCol w:w="829"/>
        <w:gridCol w:w="882"/>
        <w:gridCol w:w="2127"/>
      </w:tblGrid>
      <w:tr w:rsidR="00D755F5" w:rsidRPr="00E5139D" w14:paraId="55B400B2" w14:textId="77777777" w:rsidTr="005C3DFB">
        <w:trPr>
          <w:trHeight w:val="780"/>
        </w:trPr>
        <w:tc>
          <w:tcPr>
            <w:tcW w:w="0" w:type="auto"/>
            <w:shd w:val="clear" w:color="000000" w:fill="4472C4"/>
            <w:vAlign w:val="center"/>
            <w:hideMark/>
          </w:tcPr>
          <w:p w14:paraId="40FD8DB6"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Indicator</w:t>
            </w:r>
          </w:p>
        </w:tc>
        <w:tc>
          <w:tcPr>
            <w:tcW w:w="0" w:type="auto"/>
            <w:shd w:val="clear" w:color="000000" w:fill="4472C4"/>
            <w:vAlign w:val="center"/>
            <w:hideMark/>
          </w:tcPr>
          <w:p w14:paraId="5A32689D"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Baseline</w:t>
            </w:r>
          </w:p>
        </w:tc>
        <w:tc>
          <w:tcPr>
            <w:tcW w:w="0" w:type="auto"/>
            <w:shd w:val="clear" w:color="000000" w:fill="4472C4"/>
            <w:vAlign w:val="center"/>
          </w:tcPr>
          <w:p w14:paraId="5AE445A5"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Unit</w:t>
            </w:r>
          </w:p>
        </w:tc>
        <w:tc>
          <w:tcPr>
            <w:tcW w:w="0" w:type="auto"/>
            <w:shd w:val="clear" w:color="000000" w:fill="4472C4"/>
            <w:vAlign w:val="center"/>
            <w:hideMark/>
          </w:tcPr>
          <w:p w14:paraId="0250B964"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End of the Project Target</w:t>
            </w:r>
          </w:p>
        </w:tc>
        <w:tc>
          <w:tcPr>
            <w:tcW w:w="0" w:type="auto"/>
            <w:shd w:val="clear" w:color="000000" w:fill="4472C4"/>
            <w:vAlign w:val="center"/>
          </w:tcPr>
          <w:p w14:paraId="6DE4DAC3"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Achieved</w:t>
            </w:r>
          </w:p>
        </w:tc>
        <w:tc>
          <w:tcPr>
            <w:tcW w:w="0" w:type="auto"/>
            <w:shd w:val="clear" w:color="000000" w:fill="4472C4"/>
            <w:vAlign w:val="center"/>
            <w:hideMark/>
          </w:tcPr>
          <w:p w14:paraId="7FA955D6"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Percent Achieved at TE</w:t>
            </w:r>
          </w:p>
        </w:tc>
        <w:tc>
          <w:tcPr>
            <w:tcW w:w="0" w:type="auto"/>
            <w:shd w:val="clear" w:color="000000" w:fill="4472C4"/>
            <w:vAlign w:val="center"/>
            <w:hideMark/>
          </w:tcPr>
          <w:p w14:paraId="1E4EF259" w14:textId="77777777" w:rsidR="00D755F5" w:rsidRPr="00E5139D" w:rsidRDefault="00D755F5" w:rsidP="00062DAE">
            <w:pPr>
              <w:spacing w:after="0" w:line="240" w:lineRule="auto"/>
              <w:jc w:val="center"/>
              <w:rPr>
                <w:rFonts w:eastAsia="Times New Roman"/>
                <w:b/>
                <w:bCs/>
                <w:color w:val="FFFFFF"/>
                <w:sz w:val="18"/>
                <w:szCs w:val="18"/>
              </w:rPr>
            </w:pPr>
            <w:r w:rsidRPr="00E5139D">
              <w:rPr>
                <w:rFonts w:eastAsia="Times New Roman"/>
                <w:b/>
                <w:bCs/>
                <w:color w:val="FFFFFF"/>
                <w:sz w:val="18"/>
                <w:szCs w:val="18"/>
              </w:rPr>
              <w:t>Ratings</w:t>
            </w:r>
          </w:p>
        </w:tc>
      </w:tr>
      <w:tr w:rsidR="00D755F5" w:rsidRPr="00E5139D" w14:paraId="24B569BE" w14:textId="77777777" w:rsidTr="0017008F">
        <w:trPr>
          <w:trHeight w:val="1718"/>
        </w:trPr>
        <w:tc>
          <w:tcPr>
            <w:tcW w:w="0" w:type="auto"/>
            <w:tcBorders>
              <w:bottom w:val="single" w:sz="4" w:space="0" w:color="auto"/>
            </w:tcBorders>
            <w:shd w:val="clear" w:color="auto" w:fill="FFFFFF" w:themeFill="background1"/>
            <w:vAlign w:val="center"/>
            <w:hideMark/>
          </w:tcPr>
          <w:p w14:paraId="758B87A0" w14:textId="77777777" w:rsidR="00D755F5" w:rsidRPr="00E5139D" w:rsidRDefault="00D755F5" w:rsidP="006928CD">
            <w:pPr>
              <w:spacing w:after="0" w:line="240" w:lineRule="auto"/>
              <w:jc w:val="both"/>
              <w:rPr>
                <w:rFonts w:eastAsia="Times New Roman"/>
                <w:color w:val="000000"/>
                <w:sz w:val="18"/>
                <w:szCs w:val="18"/>
              </w:rPr>
            </w:pPr>
            <w:r w:rsidRPr="00E5139D">
              <w:rPr>
                <w:rFonts w:eastAsia="Times New Roman"/>
                <w:color w:val="000000"/>
                <w:sz w:val="18"/>
                <w:szCs w:val="18"/>
              </w:rPr>
              <w:lastRenderedPageBreak/>
              <w:t>Objective Indicator 1:  Connectivity between finance, demand, and production sector stakeholders for soy, beef and oil palm in the 4 GGP target countries, as measured by the number of partnerships between producers, buyers and finance providers, fostering sustainable commodity supply chains.</w:t>
            </w:r>
          </w:p>
        </w:tc>
        <w:tc>
          <w:tcPr>
            <w:tcW w:w="0" w:type="auto"/>
            <w:tcBorders>
              <w:bottom w:val="single" w:sz="4" w:space="0" w:color="auto"/>
            </w:tcBorders>
            <w:shd w:val="clear" w:color="auto" w:fill="auto"/>
            <w:vAlign w:val="center"/>
            <w:hideMark/>
          </w:tcPr>
          <w:p w14:paraId="04DEF299"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0</w:t>
            </w:r>
          </w:p>
        </w:tc>
        <w:tc>
          <w:tcPr>
            <w:tcW w:w="0" w:type="auto"/>
            <w:tcBorders>
              <w:bottom w:val="single" w:sz="4" w:space="0" w:color="auto"/>
            </w:tcBorders>
            <w:vAlign w:val="center"/>
          </w:tcPr>
          <w:p w14:paraId="780D9997"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 Partnerships</w:t>
            </w:r>
          </w:p>
        </w:tc>
        <w:tc>
          <w:tcPr>
            <w:tcW w:w="0" w:type="auto"/>
            <w:tcBorders>
              <w:bottom w:val="single" w:sz="4" w:space="0" w:color="auto"/>
            </w:tcBorders>
            <w:shd w:val="clear" w:color="auto" w:fill="auto"/>
            <w:vAlign w:val="center"/>
            <w:hideMark/>
          </w:tcPr>
          <w:p w14:paraId="3CCA3708"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At least 1 partnership per country (total of at least 4 partnerships)</w:t>
            </w:r>
          </w:p>
        </w:tc>
        <w:tc>
          <w:tcPr>
            <w:tcW w:w="0" w:type="auto"/>
            <w:tcBorders>
              <w:bottom w:val="single" w:sz="4" w:space="0" w:color="auto"/>
            </w:tcBorders>
            <w:vAlign w:val="center"/>
          </w:tcPr>
          <w:p w14:paraId="34AE0D71" w14:textId="78E302C4" w:rsidR="00D755F5" w:rsidRPr="00E5139D" w:rsidRDefault="005C3DFB" w:rsidP="00062DAE">
            <w:pPr>
              <w:spacing w:after="0" w:line="240" w:lineRule="auto"/>
              <w:jc w:val="center"/>
              <w:rPr>
                <w:rFonts w:eastAsia="Times New Roman"/>
                <w:color w:val="000000"/>
                <w:sz w:val="18"/>
                <w:szCs w:val="18"/>
              </w:rPr>
            </w:pPr>
            <w:r>
              <w:rPr>
                <w:rFonts w:eastAsia="Times New Roman"/>
                <w:color w:val="000000"/>
                <w:sz w:val="18"/>
                <w:szCs w:val="18"/>
              </w:rPr>
              <w:t>4</w:t>
            </w:r>
          </w:p>
        </w:tc>
        <w:tc>
          <w:tcPr>
            <w:tcW w:w="0" w:type="auto"/>
            <w:tcBorders>
              <w:bottom w:val="single" w:sz="4" w:space="0" w:color="auto"/>
            </w:tcBorders>
            <w:shd w:val="clear" w:color="auto" w:fill="00B050"/>
            <w:vAlign w:val="center"/>
            <w:hideMark/>
          </w:tcPr>
          <w:p w14:paraId="1446723C" w14:textId="37EE16DC" w:rsidR="00D755F5" w:rsidRPr="00E5139D" w:rsidRDefault="005C3DFB" w:rsidP="00062DAE">
            <w:pPr>
              <w:spacing w:after="0" w:line="240" w:lineRule="auto"/>
              <w:jc w:val="center"/>
              <w:rPr>
                <w:rFonts w:eastAsia="Times New Roman"/>
                <w:color w:val="000000"/>
                <w:sz w:val="18"/>
                <w:szCs w:val="18"/>
              </w:rPr>
            </w:pPr>
            <w:r>
              <w:rPr>
                <w:rFonts w:eastAsia="Times New Roman"/>
                <w:color w:val="000000"/>
                <w:sz w:val="18"/>
                <w:szCs w:val="18"/>
              </w:rPr>
              <w:t>100</w:t>
            </w:r>
          </w:p>
        </w:tc>
        <w:tc>
          <w:tcPr>
            <w:tcW w:w="0" w:type="auto"/>
            <w:tcBorders>
              <w:bottom w:val="single" w:sz="4" w:space="0" w:color="auto"/>
            </w:tcBorders>
            <w:shd w:val="clear" w:color="auto" w:fill="auto"/>
            <w:vAlign w:val="center"/>
            <w:hideMark/>
          </w:tcPr>
          <w:p w14:paraId="6D991487" w14:textId="43EFC0ED" w:rsidR="00D755F5" w:rsidRPr="00E5139D" w:rsidRDefault="005C3DFB" w:rsidP="00062DAE">
            <w:pPr>
              <w:spacing w:after="0" w:line="240" w:lineRule="auto"/>
              <w:jc w:val="center"/>
              <w:rPr>
                <w:rFonts w:eastAsia="Times New Roman"/>
                <w:sz w:val="18"/>
                <w:szCs w:val="18"/>
              </w:rPr>
            </w:pPr>
            <w:r>
              <w:rPr>
                <w:rFonts w:eastAsia="Times New Roman"/>
                <w:sz w:val="18"/>
                <w:szCs w:val="18"/>
              </w:rPr>
              <w:t>HS</w:t>
            </w:r>
          </w:p>
        </w:tc>
      </w:tr>
      <w:tr w:rsidR="00D755F5" w:rsidRPr="00E5139D" w14:paraId="74CC9D1C" w14:textId="77777777" w:rsidTr="005C3DFB">
        <w:trPr>
          <w:trHeight w:val="255"/>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5EA66AAC" w14:textId="77777777" w:rsidR="00D755F5" w:rsidRPr="00E5139D" w:rsidRDefault="00D755F5" w:rsidP="006928CD">
            <w:pPr>
              <w:spacing w:after="0" w:line="240" w:lineRule="auto"/>
              <w:jc w:val="both"/>
              <w:rPr>
                <w:rFonts w:eastAsia="Times New Roman"/>
                <w:color w:val="000000"/>
                <w:sz w:val="18"/>
                <w:szCs w:val="18"/>
              </w:rPr>
            </w:pPr>
            <w:r w:rsidRPr="00E5139D">
              <w:rPr>
                <w:rFonts w:eastAsia="Times New Roman"/>
                <w:color w:val="000000"/>
                <w:sz w:val="18"/>
                <w:szCs w:val="18"/>
              </w:rPr>
              <w:t>Objective Indicator 2: Level of engagement of GGP with global commodity initiatives, key partners, as well as with practitioners and producers from the GGP target countries (Indonesia, Liberia, Paraguay, Brazil), as measured by:</w:t>
            </w:r>
          </w:p>
        </w:tc>
        <w:tc>
          <w:tcPr>
            <w:tcW w:w="0" w:type="auto"/>
            <w:vMerge w:val="restart"/>
            <w:tcBorders>
              <w:top w:val="single" w:sz="4" w:space="0" w:color="auto"/>
              <w:left w:val="single" w:sz="4" w:space="0" w:color="auto"/>
              <w:right w:val="single" w:sz="4" w:space="0" w:color="auto"/>
            </w:tcBorders>
            <w:shd w:val="clear" w:color="auto" w:fill="auto"/>
            <w:hideMark/>
          </w:tcPr>
          <w:p w14:paraId="315741B8" w14:textId="77777777" w:rsidR="00D755F5" w:rsidRPr="00E5139D" w:rsidRDefault="00D755F5" w:rsidP="00062DAE">
            <w:pPr>
              <w:spacing w:after="0" w:line="240" w:lineRule="auto"/>
              <w:jc w:val="center"/>
              <w:rPr>
                <w:rFonts w:eastAsia="Times New Roman"/>
                <w:color w:val="000000"/>
                <w:sz w:val="18"/>
                <w:szCs w:val="18"/>
              </w:rPr>
            </w:pPr>
          </w:p>
          <w:p w14:paraId="7B8105A2" w14:textId="77777777" w:rsidR="00D755F5" w:rsidRPr="00E5139D" w:rsidRDefault="00D755F5" w:rsidP="00062DAE">
            <w:pPr>
              <w:spacing w:after="0" w:line="240" w:lineRule="auto"/>
              <w:jc w:val="center"/>
              <w:rPr>
                <w:rFonts w:eastAsia="Times New Roman"/>
                <w:color w:val="000000"/>
                <w:sz w:val="18"/>
                <w:szCs w:val="18"/>
              </w:rPr>
            </w:pPr>
          </w:p>
          <w:p w14:paraId="1FC2173B" w14:textId="77777777" w:rsidR="00D755F5" w:rsidRPr="00E5139D" w:rsidRDefault="00D755F5" w:rsidP="00062DAE">
            <w:pPr>
              <w:spacing w:after="0" w:line="240" w:lineRule="auto"/>
              <w:jc w:val="center"/>
              <w:rPr>
                <w:rFonts w:eastAsia="Times New Roman"/>
                <w:color w:val="000000"/>
                <w:sz w:val="18"/>
                <w:szCs w:val="18"/>
              </w:rPr>
            </w:pPr>
          </w:p>
          <w:p w14:paraId="7402042D"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0</w:t>
            </w:r>
          </w:p>
          <w:p w14:paraId="0C673912" w14:textId="77777777" w:rsidR="00D755F5" w:rsidRPr="00E5139D" w:rsidRDefault="00D755F5" w:rsidP="00062DAE">
            <w:pPr>
              <w:spacing w:after="0" w:line="240" w:lineRule="auto"/>
              <w:jc w:val="center"/>
              <w:rPr>
                <w:rFonts w:eastAsia="Times New Roman"/>
                <w:color w:val="000000"/>
                <w:sz w:val="18"/>
                <w:szCs w:val="18"/>
              </w:rPr>
            </w:pPr>
          </w:p>
          <w:p w14:paraId="6F0531CA" w14:textId="77777777" w:rsidR="00D755F5" w:rsidRPr="00E5139D" w:rsidRDefault="00D755F5" w:rsidP="00062DAE">
            <w:pPr>
              <w:spacing w:after="0" w:line="240" w:lineRule="auto"/>
              <w:jc w:val="center"/>
              <w:rPr>
                <w:rFonts w:eastAsia="Times New Roman"/>
                <w:color w:val="000000"/>
                <w:sz w:val="18"/>
                <w:szCs w:val="18"/>
              </w:rPr>
            </w:pPr>
          </w:p>
        </w:tc>
        <w:tc>
          <w:tcPr>
            <w:tcW w:w="0" w:type="auto"/>
            <w:tcBorders>
              <w:top w:val="single" w:sz="4" w:space="0" w:color="auto"/>
              <w:left w:val="single" w:sz="4" w:space="0" w:color="auto"/>
              <w:bottom w:val="nil"/>
              <w:right w:val="single" w:sz="4" w:space="0" w:color="auto"/>
            </w:tcBorders>
            <w:vAlign w:val="center"/>
          </w:tcPr>
          <w:p w14:paraId="355412D0" w14:textId="77777777" w:rsidR="00D755F5" w:rsidRPr="00E5139D" w:rsidRDefault="00D755F5" w:rsidP="00062DAE">
            <w:pPr>
              <w:spacing w:after="0" w:line="240" w:lineRule="auto"/>
              <w:jc w:val="center"/>
              <w:rPr>
                <w:rFonts w:eastAsia="Times New Roman"/>
                <w:color w:val="000000"/>
                <w:sz w:val="18"/>
                <w:szCs w:val="18"/>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756275EC" w14:textId="77777777" w:rsidR="00D755F5" w:rsidRPr="00E5139D" w:rsidRDefault="00D755F5" w:rsidP="00062DAE">
            <w:pPr>
              <w:spacing w:after="0" w:line="240" w:lineRule="auto"/>
              <w:jc w:val="center"/>
              <w:rPr>
                <w:rFonts w:eastAsia="Times New Roman"/>
                <w:color w:val="000000"/>
                <w:sz w:val="18"/>
                <w:szCs w:val="18"/>
              </w:rPr>
            </w:pPr>
          </w:p>
        </w:tc>
        <w:tc>
          <w:tcPr>
            <w:tcW w:w="0" w:type="auto"/>
            <w:tcBorders>
              <w:top w:val="single" w:sz="4" w:space="0" w:color="auto"/>
              <w:left w:val="single" w:sz="4" w:space="0" w:color="auto"/>
              <w:bottom w:val="nil"/>
              <w:right w:val="single" w:sz="4" w:space="0" w:color="auto"/>
            </w:tcBorders>
            <w:vAlign w:val="center"/>
          </w:tcPr>
          <w:p w14:paraId="5D52E00F" w14:textId="77777777" w:rsidR="00D755F5" w:rsidRPr="00E5139D" w:rsidRDefault="00D755F5" w:rsidP="00062DAE">
            <w:pPr>
              <w:spacing w:after="0" w:line="240" w:lineRule="auto"/>
              <w:jc w:val="center"/>
              <w:rPr>
                <w:rFonts w:eastAsia="Times New Roman"/>
                <w:sz w:val="18"/>
                <w:szCs w:val="18"/>
              </w:rPr>
            </w:pPr>
          </w:p>
        </w:tc>
        <w:tc>
          <w:tcPr>
            <w:tcW w:w="0" w:type="auto"/>
            <w:tcBorders>
              <w:top w:val="single" w:sz="4" w:space="0" w:color="auto"/>
              <w:left w:val="single" w:sz="4" w:space="0" w:color="auto"/>
              <w:bottom w:val="nil"/>
              <w:right w:val="single" w:sz="4" w:space="0" w:color="auto"/>
            </w:tcBorders>
            <w:shd w:val="clear" w:color="000000" w:fill="00B050"/>
            <w:noWrap/>
            <w:vAlign w:val="center"/>
            <w:hideMark/>
          </w:tcPr>
          <w:p w14:paraId="4F6A8D12" w14:textId="77777777" w:rsidR="00D755F5" w:rsidRPr="00E5139D" w:rsidRDefault="00D755F5" w:rsidP="00062DAE">
            <w:pPr>
              <w:spacing w:after="0" w:line="240" w:lineRule="auto"/>
              <w:jc w:val="center"/>
              <w:rPr>
                <w:rFonts w:eastAsia="Times New Roman"/>
                <w:color w:val="000000"/>
                <w:sz w:val="18"/>
                <w:szCs w:val="18"/>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45B2BB6A" w14:textId="77777777" w:rsidR="00D755F5" w:rsidRPr="00E5139D" w:rsidRDefault="00D755F5" w:rsidP="00062DAE">
            <w:pPr>
              <w:spacing w:after="0" w:line="240" w:lineRule="auto"/>
              <w:jc w:val="center"/>
              <w:rPr>
                <w:rFonts w:eastAsia="Times New Roman"/>
                <w:sz w:val="18"/>
                <w:szCs w:val="18"/>
              </w:rPr>
            </w:pPr>
          </w:p>
        </w:tc>
      </w:tr>
      <w:tr w:rsidR="00D755F5" w:rsidRPr="00E5139D" w14:paraId="5AA06216" w14:textId="77777777" w:rsidTr="005C3DFB">
        <w:trPr>
          <w:trHeight w:val="65"/>
        </w:trPr>
        <w:tc>
          <w:tcPr>
            <w:tcW w:w="0" w:type="auto"/>
            <w:tcBorders>
              <w:top w:val="nil"/>
              <w:left w:val="single" w:sz="4" w:space="0" w:color="auto"/>
              <w:bottom w:val="nil"/>
              <w:right w:val="single" w:sz="4" w:space="0" w:color="auto"/>
            </w:tcBorders>
            <w:shd w:val="clear" w:color="auto" w:fill="auto"/>
            <w:vAlign w:val="center"/>
            <w:hideMark/>
          </w:tcPr>
          <w:p w14:paraId="68B41F93" w14:textId="77777777" w:rsidR="00D755F5" w:rsidRPr="00E5139D" w:rsidRDefault="00D755F5" w:rsidP="006928CD">
            <w:pPr>
              <w:spacing w:after="0" w:line="240" w:lineRule="auto"/>
              <w:jc w:val="both"/>
              <w:rPr>
                <w:rFonts w:eastAsia="Times New Roman"/>
                <w:color w:val="000000"/>
                <w:sz w:val="18"/>
                <w:szCs w:val="18"/>
              </w:rPr>
            </w:pPr>
            <w:r w:rsidRPr="00E5139D">
              <w:rPr>
                <w:rFonts w:eastAsia="Times New Roman"/>
                <w:color w:val="000000"/>
                <w:sz w:val="18"/>
                <w:szCs w:val="18"/>
              </w:rPr>
              <w:t xml:space="preserve">a) quarterly engagement between the GGP and other global and national initiatives, key partners and country practitioners, through the global community of practice.  </w:t>
            </w:r>
          </w:p>
        </w:tc>
        <w:tc>
          <w:tcPr>
            <w:tcW w:w="0" w:type="auto"/>
            <w:vMerge/>
            <w:tcBorders>
              <w:left w:val="single" w:sz="4" w:space="0" w:color="auto"/>
              <w:right w:val="single" w:sz="4" w:space="0" w:color="auto"/>
            </w:tcBorders>
            <w:shd w:val="clear" w:color="auto" w:fill="FFFFFF" w:themeFill="background1"/>
            <w:vAlign w:val="center"/>
            <w:hideMark/>
          </w:tcPr>
          <w:p w14:paraId="612C3386" w14:textId="77777777" w:rsidR="00D755F5" w:rsidRPr="00E5139D" w:rsidRDefault="00D755F5" w:rsidP="00062DAE">
            <w:pPr>
              <w:spacing w:after="0" w:line="240" w:lineRule="auto"/>
              <w:jc w:val="both"/>
              <w:rPr>
                <w:rFonts w:eastAsia="Times New Roman"/>
                <w:color w:val="000000"/>
                <w:sz w:val="18"/>
                <w:szCs w:val="18"/>
              </w:rPr>
            </w:pPr>
          </w:p>
        </w:tc>
        <w:tc>
          <w:tcPr>
            <w:tcW w:w="0" w:type="auto"/>
            <w:tcBorders>
              <w:top w:val="nil"/>
              <w:left w:val="single" w:sz="4" w:space="0" w:color="auto"/>
              <w:bottom w:val="nil"/>
              <w:right w:val="single" w:sz="4" w:space="0" w:color="auto"/>
            </w:tcBorders>
          </w:tcPr>
          <w:p w14:paraId="77C195CF" w14:textId="77777777" w:rsidR="00D755F5" w:rsidRPr="00E5139D" w:rsidRDefault="00D755F5" w:rsidP="00062DAE">
            <w:pPr>
              <w:spacing w:after="0" w:line="240" w:lineRule="auto"/>
              <w:rPr>
                <w:rFonts w:eastAsia="Times New Roman"/>
                <w:color w:val="000000"/>
                <w:sz w:val="18"/>
                <w:szCs w:val="18"/>
              </w:rPr>
            </w:pPr>
            <w:r w:rsidRPr="00E5139D">
              <w:rPr>
                <w:rFonts w:eastAsia="Times New Roman"/>
                <w:color w:val="000000"/>
                <w:sz w:val="18"/>
                <w:szCs w:val="18"/>
              </w:rPr>
              <w:t># Quarters</w:t>
            </w:r>
          </w:p>
        </w:tc>
        <w:tc>
          <w:tcPr>
            <w:tcW w:w="0" w:type="auto"/>
            <w:tcBorders>
              <w:top w:val="nil"/>
              <w:left w:val="single" w:sz="4" w:space="0" w:color="auto"/>
              <w:bottom w:val="nil"/>
              <w:right w:val="single" w:sz="4" w:space="0" w:color="auto"/>
            </w:tcBorders>
            <w:shd w:val="clear" w:color="auto" w:fill="auto"/>
            <w:noWrap/>
            <w:hideMark/>
          </w:tcPr>
          <w:p w14:paraId="589D293F"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a) 12</w:t>
            </w:r>
          </w:p>
        </w:tc>
        <w:tc>
          <w:tcPr>
            <w:tcW w:w="0" w:type="auto"/>
            <w:tcBorders>
              <w:top w:val="nil"/>
              <w:left w:val="single" w:sz="4" w:space="0" w:color="auto"/>
              <w:bottom w:val="nil"/>
              <w:right w:val="single" w:sz="4" w:space="0" w:color="auto"/>
            </w:tcBorders>
          </w:tcPr>
          <w:p w14:paraId="20444A41" w14:textId="75202395" w:rsidR="00D755F5" w:rsidRPr="00E5139D" w:rsidRDefault="00D755F5" w:rsidP="00062DAE">
            <w:pPr>
              <w:spacing w:after="0" w:line="240" w:lineRule="auto"/>
              <w:rPr>
                <w:rFonts w:eastAsia="Times New Roman"/>
                <w:sz w:val="18"/>
                <w:szCs w:val="18"/>
              </w:rPr>
            </w:pPr>
            <w:r w:rsidRPr="00E5139D">
              <w:rPr>
                <w:rFonts w:eastAsia="Times New Roman"/>
                <w:sz w:val="18"/>
                <w:szCs w:val="18"/>
              </w:rPr>
              <w:t>a)1</w:t>
            </w:r>
            <w:r w:rsidR="00407476">
              <w:rPr>
                <w:rFonts w:eastAsia="Times New Roman"/>
                <w:sz w:val="18"/>
                <w:szCs w:val="18"/>
              </w:rPr>
              <w:t>6</w:t>
            </w:r>
          </w:p>
        </w:tc>
        <w:tc>
          <w:tcPr>
            <w:tcW w:w="0" w:type="auto"/>
            <w:tcBorders>
              <w:top w:val="nil"/>
              <w:left w:val="single" w:sz="4" w:space="0" w:color="auto"/>
              <w:bottom w:val="nil"/>
              <w:right w:val="single" w:sz="4" w:space="0" w:color="auto"/>
            </w:tcBorders>
            <w:shd w:val="clear" w:color="000000" w:fill="00B050"/>
            <w:noWrap/>
            <w:hideMark/>
          </w:tcPr>
          <w:p w14:paraId="76E15675"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FFFFFF" w:themeColor="background1"/>
                <w:sz w:val="18"/>
                <w:szCs w:val="18"/>
              </w:rPr>
              <w:t>&gt;100</w:t>
            </w:r>
          </w:p>
        </w:tc>
        <w:tc>
          <w:tcPr>
            <w:tcW w:w="0" w:type="auto"/>
            <w:tcBorders>
              <w:top w:val="nil"/>
              <w:left w:val="single" w:sz="4" w:space="0" w:color="auto"/>
              <w:bottom w:val="nil"/>
              <w:right w:val="single" w:sz="4" w:space="0" w:color="auto"/>
            </w:tcBorders>
            <w:shd w:val="clear" w:color="auto" w:fill="auto"/>
            <w:vAlign w:val="center"/>
            <w:hideMark/>
          </w:tcPr>
          <w:p w14:paraId="3DBEC535" w14:textId="77777777" w:rsidR="00D755F5" w:rsidRPr="00E5139D" w:rsidRDefault="00D755F5" w:rsidP="00062DAE">
            <w:pPr>
              <w:spacing w:after="0" w:line="240" w:lineRule="auto"/>
              <w:jc w:val="center"/>
              <w:rPr>
                <w:rFonts w:eastAsia="Times New Roman"/>
                <w:sz w:val="18"/>
                <w:szCs w:val="18"/>
              </w:rPr>
            </w:pPr>
            <w:r w:rsidRPr="00E5139D">
              <w:rPr>
                <w:rFonts w:eastAsia="Times New Roman"/>
                <w:sz w:val="18"/>
                <w:szCs w:val="18"/>
              </w:rPr>
              <w:t>HS</w:t>
            </w:r>
          </w:p>
        </w:tc>
      </w:tr>
      <w:tr w:rsidR="00D755F5" w:rsidRPr="00E5139D" w14:paraId="47450F8C" w14:textId="77777777" w:rsidTr="005C3DFB">
        <w:trPr>
          <w:trHeight w:val="575"/>
        </w:trPr>
        <w:tc>
          <w:tcPr>
            <w:tcW w:w="0" w:type="auto"/>
            <w:tcBorders>
              <w:top w:val="nil"/>
              <w:left w:val="single" w:sz="4" w:space="0" w:color="auto"/>
              <w:bottom w:val="nil"/>
              <w:right w:val="single" w:sz="4" w:space="0" w:color="auto"/>
            </w:tcBorders>
            <w:shd w:val="clear" w:color="auto" w:fill="auto"/>
            <w:vAlign w:val="center"/>
            <w:hideMark/>
          </w:tcPr>
          <w:p w14:paraId="55DFCC0B" w14:textId="77777777" w:rsidR="00D755F5" w:rsidRPr="00E5139D" w:rsidRDefault="00D755F5" w:rsidP="006928CD">
            <w:pPr>
              <w:spacing w:after="0" w:line="240" w:lineRule="auto"/>
              <w:jc w:val="both"/>
              <w:rPr>
                <w:rFonts w:eastAsia="Times New Roman"/>
                <w:color w:val="000000"/>
                <w:sz w:val="18"/>
                <w:szCs w:val="18"/>
              </w:rPr>
            </w:pPr>
            <w:r w:rsidRPr="00E5139D">
              <w:rPr>
                <w:rFonts w:eastAsia="Times New Roman"/>
                <w:color w:val="000000"/>
                <w:sz w:val="18"/>
                <w:szCs w:val="18"/>
              </w:rPr>
              <w:t xml:space="preserve">b) global community of practice event. </w:t>
            </w:r>
          </w:p>
        </w:tc>
        <w:tc>
          <w:tcPr>
            <w:tcW w:w="0" w:type="auto"/>
            <w:vMerge/>
            <w:tcBorders>
              <w:left w:val="single" w:sz="4" w:space="0" w:color="auto"/>
              <w:right w:val="single" w:sz="4" w:space="0" w:color="auto"/>
            </w:tcBorders>
            <w:shd w:val="clear" w:color="auto" w:fill="FFFFFF" w:themeFill="background1"/>
            <w:vAlign w:val="center"/>
            <w:hideMark/>
          </w:tcPr>
          <w:p w14:paraId="05A3AAF9" w14:textId="77777777" w:rsidR="00D755F5" w:rsidRPr="00E5139D" w:rsidRDefault="00D755F5" w:rsidP="00062DAE">
            <w:pPr>
              <w:spacing w:after="0" w:line="240" w:lineRule="auto"/>
              <w:jc w:val="both"/>
              <w:rPr>
                <w:rFonts w:eastAsia="Times New Roman"/>
                <w:color w:val="000000"/>
                <w:sz w:val="18"/>
                <w:szCs w:val="18"/>
              </w:rPr>
            </w:pPr>
          </w:p>
        </w:tc>
        <w:tc>
          <w:tcPr>
            <w:tcW w:w="0" w:type="auto"/>
            <w:tcBorders>
              <w:top w:val="nil"/>
              <w:left w:val="single" w:sz="4" w:space="0" w:color="auto"/>
              <w:bottom w:val="nil"/>
              <w:right w:val="single" w:sz="4" w:space="0" w:color="auto"/>
            </w:tcBorders>
            <w:vAlign w:val="center"/>
          </w:tcPr>
          <w:p w14:paraId="72E2D84A" w14:textId="77777777" w:rsidR="00D755F5" w:rsidRPr="00E5139D" w:rsidRDefault="00D755F5" w:rsidP="00062DAE">
            <w:pPr>
              <w:spacing w:after="0" w:line="240" w:lineRule="auto"/>
              <w:rPr>
                <w:rFonts w:eastAsia="Times New Roman"/>
                <w:color w:val="000000"/>
                <w:sz w:val="18"/>
                <w:szCs w:val="18"/>
              </w:rPr>
            </w:pPr>
            <w:r w:rsidRPr="00E5139D">
              <w:rPr>
                <w:rFonts w:eastAsia="Times New Roman"/>
                <w:color w:val="000000"/>
                <w:sz w:val="18"/>
                <w:szCs w:val="18"/>
              </w:rPr>
              <w:t># Events</w:t>
            </w:r>
          </w:p>
        </w:tc>
        <w:tc>
          <w:tcPr>
            <w:tcW w:w="0" w:type="auto"/>
            <w:tcBorders>
              <w:top w:val="nil"/>
              <w:left w:val="single" w:sz="4" w:space="0" w:color="auto"/>
              <w:bottom w:val="nil"/>
              <w:right w:val="single" w:sz="4" w:space="0" w:color="auto"/>
            </w:tcBorders>
            <w:shd w:val="clear" w:color="auto" w:fill="auto"/>
            <w:vAlign w:val="center"/>
            <w:hideMark/>
          </w:tcPr>
          <w:p w14:paraId="039073D1"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b)2</w:t>
            </w:r>
          </w:p>
        </w:tc>
        <w:tc>
          <w:tcPr>
            <w:tcW w:w="0" w:type="auto"/>
            <w:tcBorders>
              <w:top w:val="nil"/>
              <w:left w:val="single" w:sz="4" w:space="0" w:color="auto"/>
              <w:bottom w:val="nil"/>
              <w:right w:val="single" w:sz="4" w:space="0" w:color="auto"/>
            </w:tcBorders>
            <w:vAlign w:val="center"/>
          </w:tcPr>
          <w:p w14:paraId="57B7BFD0" w14:textId="77777777" w:rsidR="00D755F5" w:rsidRPr="00E5139D" w:rsidRDefault="00D755F5" w:rsidP="00062DAE">
            <w:pPr>
              <w:spacing w:after="0" w:line="240" w:lineRule="auto"/>
              <w:jc w:val="center"/>
              <w:rPr>
                <w:rFonts w:eastAsia="Times New Roman"/>
                <w:color w:val="FFFFFF"/>
                <w:sz w:val="18"/>
                <w:szCs w:val="18"/>
              </w:rPr>
            </w:pPr>
            <w:r w:rsidRPr="00E5139D">
              <w:rPr>
                <w:rFonts w:eastAsia="Times New Roman"/>
                <w:sz w:val="18"/>
                <w:szCs w:val="18"/>
              </w:rPr>
              <w:t>b)2</w:t>
            </w:r>
            <w:r w:rsidRPr="00E5139D">
              <w:rPr>
                <w:rFonts w:eastAsia="Times New Roman"/>
                <w:color w:val="FFFFFF"/>
                <w:sz w:val="18"/>
                <w:szCs w:val="18"/>
              </w:rPr>
              <w:t>b</w:t>
            </w:r>
          </w:p>
        </w:tc>
        <w:tc>
          <w:tcPr>
            <w:tcW w:w="0" w:type="auto"/>
            <w:tcBorders>
              <w:top w:val="nil"/>
              <w:left w:val="single" w:sz="4" w:space="0" w:color="auto"/>
              <w:bottom w:val="nil"/>
              <w:right w:val="single" w:sz="4" w:space="0" w:color="auto"/>
            </w:tcBorders>
            <w:shd w:val="clear" w:color="000000" w:fill="00B050"/>
            <w:vAlign w:val="center"/>
            <w:hideMark/>
          </w:tcPr>
          <w:p w14:paraId="3F4672D1" w14:textId="77777777" w:rsidR="00D755F5" w:rsidRPr="00E5139D" w:rsidRDefault="00D755F5" w:rsidP="00062DAE">
            <w:pPr>
              <w:spacing w:after="0" w:line="240" w:lineRule="auto"/>
              <w:jc w:val="center"/>
              <w:rPr>
                <w:rFonts w:eastAsia="Times New Roman"/>
                <w:color w:val="FFFFFF"/>
                <w:sz w:val="18"/>
                <w:szCs w:val="18"/>
              </w:rPr>
            </w:pPr>
            <w:r w:rsidRPr="00E5139D">
              <w:rPr>
                <w:rFonts w:eastAsia="Times New Roman"/>
                <w:color w:val="FFFFFF"/>
                <w:sz w:val="18"/>
                <w:szCs w:val="18"/>
              </w:rPr>
              <w:t>100</w:t>
            </w:r>
          </w:p>
        </w:tc>
        <w:tc>
          <w:tcPr>
            <w:tcW w:w="0" w:type="auto"/>
            <w:tcBorders>
              <w:top w:val="nil"/>
              <w:left w:val="single" w:sz="4" w:space="0" w:color="auto"/>
              <w:bottom w:val="nil"/>
              <w:right w:val="single" w:sz="4" w:space="0" w:color="auto"/>
            </w:tcBorders>
            <w:shd w:val="clear" w:color="auto" w:fill="auto"/>
            <w:vAlign w:val="center"/>
            <w:hideMark/>
          </w:tcPr>
          <w:p w14:paraId="0CAF971E" w14:textId="77777777" w:rsidR="00D755F5" w:rsidRPr="00E5139D" w:rsidRDefault="00D755F5" w:rsidP="00062DAE">
            <w:pPr>
              <w:spacing w:after="0" w:line="240" w:lineRule="auto"/>
              <w:jc w:val="center"/>
              <w:rPr>
                <w:rFonts w:eastAsia="Times New Roman"/>
                <w:sz w:val="18"/>
                <w:szCs w:val="18"/>
              </w:rPr>
            </w:pPr>
            <w:r w:rsidRPr="00E5139D">
              <w:rPr>
                <w:rFonts w:eastAsia="Times New Roman"/>
                <w:sz w:val="18"/>
                <w:szCs w:val="18"/>
              </w:rPr>
              <w:t>HS</w:t>
            </w:r>
          </w:p>
        </w:tc>
      </w:tr>
      <w:tr w:rsidR="00D755F5" w:rsidRPr="00E5139D" w14:paraId="0CA735F1" w14:textId="77777777" w:rsidTr="005C3DFB">
        <w:trPr>
          <w:trHeight w:val="6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249CC" w14:textId="77777777" w:rsidR="00D755F5" w:rsidRPr="00E5139D" w:rsidRDefault="00D755F5" w:rsidP="006928CD">
            <w:pPr>
              <w:spacing w:after="0" w:line="240" w:lineRule="auto"/>
              <w:jc w:val="both"/>
              <w:rPr>
                <w:rFonts w:eastAsia="Times New Roman"/>
                <w:color w:val="000000"/>
                <w:sz w:val="18"/>
                <w:szCs w:val="18"/>
              </w:rPr>
            </w:pPr>
            <w:r w:rsidRPr="00E5139D">
              <w:rPr>
                <w:rFonts w:eastAsia="Times New Roman"/>
                <w:color w:val="000000"/>
                <w:sz w:val="18"/>
                <w:szCs w:val="18"/>
              </w:rPr>
              <w:t>c) recognition from representatives of major global initiatives of the value of GGP and its learnings, as measured by satisfaction reported after the global community of practice events</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1E85EC15" w14:textId="77777777" w:rsidR="00D755F5" w:rsidRPr="00E5139D" w:rsidRDefault="00D755F5" w:rsidP="00062DAE">
            <w:pPr>
              <w:spacing w:after="0" w:line="240" w:lineRule="auto"/>
              <w:jc w:val="both"/>
              <w:rPr>
                <w:rFonts w:eastAsia="Times New Roman"/>
                <w:color w:val="000000"/>
                <w:sz w:val="18"/>
                <w:szCs w:val="18"/>
              </w:rPr>
            </w:pPr>
          </w:p>
        </w:tc>
        <w:tc>
          <w:tcPr>
            <w:tcW w:w="0" w:type="auto"/>
            <w:tcBorders>
              <w:top w:val="nil"/>
              <w:left w:val="single" w:sz="4" w:space="0" w:color="auto"/>
              <w:bottom w:val="single" w:sz="4" w:space="0" w:color="auto"/>
              <w:right w:val="single" w:sz="4" w:space="0" w:color="auto"/>
            </w:tcBorders>
          </w:tcPr>
          <w:p w14:paraId="12BE945C" w14:textId="77777777" w:rsidR="00D755F5" w:rsidRPr="00E5139D" w:rsidRDefault="00D755F5" w:rsidP="00062DAE">
            <w:pPr>
              <w:spacing w:after="0" w:line="240" w:lineRule="auto"/>
              <w:rPr>
                <w:rFonts w:eastAsia="Times New Roman"/>
                <w:color w:val="000000"/>
                <w:sz w:val="18"/>
                <w:szCs w:val="18"/>
              </w:rPr>
            </w:pPr>
            <w:r w:rsidRPr="00E5139D">
              <w:rPr>
                <w:rFonts w:eastAsia="Times New Roman"/>
                <w:color w:val="000000"/>
                <w:sz w:val="18"/>
                <w:szCs w:val="18"/>
              </w:rPr>
              <w:t>% Satisfaction</w:t>
            </w:r>
          </w:p>
        </w:tc>
        <w:tc>
          <w:tcPr>
            <w:tcW w:w="0" w:type="auto"/>
            <w:tcBorders>
              <w:top w:val="nil"/>
              <w:left w:val="single" w:sz="4" w:space="0" w:color="auto"/>
              <w:bottom w:val="single" w:sz="4" w:space="0" w:color="auto"/>
              <w:right w:val="single" w:sz="4" w:space="0" w:color="auto"/>
            </w:tcBorders>
            <w:shd w:val="clear" w:color="auto" w:fill="auto"/>
            <w:hideMark/>
          </w:tcPr>
          <w:p w14:paraId="344E3FC6"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c) 60%</w:t>
            </w:r>
          </w:p>
        </w:tc>
        <w:tc>
          <w:tcPr>
            <w:tcW w:w="0" w:type="auto"/>
            <w:tcBorders>
              <w:top w:val="nil"/>
              <w:left w:val="single" w:sz="4" w:space="0" w:color="auto"/>
              <w:bottom w:val="single" w:sz="4" w:space="0" w:color="auto"/>
              <w:right w:val="single" w:sz="4" w:space="0" w:color="auto"/>
            </w:tcBorders>
          </w:tcPr>
          <w:p w14:paraId="38F16B2B" w14:textId="77777777" w:rsidR="00D755F5" w:rsidRPr="00E5139D" w:rsidRDefault="00D755F5" w:rsidP="00062DAE">
            <w:pPr>
              <w:spacing w:after="0" w:line="240" w:lineRule="auto"/>
              <w:jc w:val="center"/>
              <w:rPr>
                <w:rFonts w:eastAsia="Times New Roman"/>
                <w:sz w:val="18"/>
                <w:szCs w:val="18"/>
              </w:rPr>
            </w:pPr>
            <w:r w:rsidRPr="00E5139D">
              <w:rPr>
                <w:rFonts w:eastAsia="Times New Roman"/>
                <w:sz w:val="18"/>
                <w:szCs w:val="18"/>
              </w:rPr>
              <w:t>c)74%</w:t>
            </w:r>
          </w:p>
        </w:tc>
        <w:tc>
          <w:tcPr>
            <w:tcW w:w="0" w:type="auto"/>
            <w:tcBorders>
              <w:top w:val="nil"/>
              <w:left w:val="single" w:sz="4" w:space="0" w:color="auto"/>
              <w:bottom w:val="single" w:sz="4" w:space="0" w:color="auto"/>
              <w:right w:val="single" w:sz="4" w:space="0" w:color="auto"/>
            </w:tcBorders>
            <w:shd w:val="clear" w:color="000000" w:fill="00B050"/>
            <w:hideMark/>
          </w:tcPr>
          <w:p w14:paraId="20A91B1A" w14:textId="77777777" w:rsidR="00D755F5" w:rsidRPr="00E5139D" w:rsidRDefault="00D755F5" w:rsidP="00062DAE">
            <w:pPr>
              <w:spacing w:after="0" w:line="240" w:lineRule="auto"/>
              <w:jc w:val="center"/>
              <w:rPr>
                <w:rFonts w:eastAsia="Times New Roman"/>
                <w:color w:val="FFFFFF"/>
                <w:sz w:val="18"/>
                <w:szCs w:val="18"/>
              </w:rPr>
            </w:pPr>
            <w:r w:rsidRPr="00E5139D">
              <w:rPr>
                <w:rFonts w:eastAsia="Times New Roman"/>
                <w:color w:val="FFFFFF"/>
                <w:sz w:val="18"/>
                <w:szCs w:val="18"/>
              </w:rPr>
              <w:t>&gt;100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817D0E" w14:textId="77777777" w:rsidR="00D755F5" w:rsidRPr="00E5139D" w:rsidRDefault="00D755F5" w:rsidP="00062DAE">
            <w:pPr>
              <w:spacing w:after="0" w:line="240" w:lineRule="auto"/>
              <w:jc w:val="center"/>
              <w:rPr>
                <w:rFonts w:eastAsia="Times New Roman"/>
                <w:sz w:val="18"/>
                <w:szCs w:val="18"/>
              </w:rPr>
            </w:pPr>
            <w:r w:rsidRPr="00E5139D">
              <w:rPr>
                <w:rFonts w:eastAsia="Times New Roman"/>
                <w:sz w:val="18"/>
                <w:szCs w:val="18"/>
              </w:rPr>
              <w:t>HS</w:t>
            </w:r>
          </w:p>
        </w:tc>
      </w:tr>
      <w:tr w:rsidR="00D755F5" w:rsidRPr="00E5139D" w14:paraId="014570FB" w14:textId="77777777" w:rsidTr="005C3DFB">
        <w:trPr>
          <w:trHeight w:val="1457"/>
        </w:trPr>
        <w:tc>
          <w:tcPr>
            <w:tcW w:w="0" w:type="auto"/>
            <w:tcBorders>
              <w:top w:val="single" w:sz="4" w:space="0" w:color="auto"/>
            </w:tcBorders>
            <w:shd w:val="clear" w:color="auto" w:fill="auto"/>
            <w:vAlign w:val="center"/>
            <w:hideMark/>
          </w:tcPr>
          <w:p w14:paraId="05CD0657" w14:textId="77777777" w:rsidR="00D755F5" w:rsidRPr="00E5139D" w:rsidRDefault="00D755F5" w:rsidP="006928CD">
            <w:pPr>
              <w:spacing w:after="0" w:line="240" w:lineRule="auto"/>
              <w:jc w:val="both"/>
              <w:rPr>
                <w:rFonts w:eastAsia="Times New Roman"/>
                <w:color w:val="000000"/>
                <w:sz w:val="18"/>
                <w:szCs w:val="18"/>
              </w:rPr>
            </w:pPr>
            <w:r w:rsidRPr="00E5139D">
              <w:rPr>
                <w:rFonts w:eastAsia="Times New Roman"/>
                <w:color w:val="000000"/>
                <w:sz w:val="18"/>
                <w:szCs w:val="18"/>
              </w:rPr>
              <w:t>Objective Indicator 3 Learning on gender mainstreaming through the GGP Program as it relates to commodity supply chain actions (as measured by # of project documents, publications, training materials and presentations that include a discussion of gender issues).</w:t>
            </w:r>
          </w:p>
        </w:tc>
        <w:tc>
          <w:tcPr>
            <w:tcW w:w="0" w:type="auto"/>
            <w:tcBorders>
              <w:top w:val="single" w:sz="4" w:space="0" w:color="auto"/>
            </w:tcBorders>
            <w:shd w:val="clear" w:color="auto" w:fill="auto"/>
            <w:noWrap/>
            <w:vAlign w:val="center"/>
            <w:hideMark/>
          </w:tcPr>
          <w:p w14:paraId="2578FC64" w14:textId="77777777" w:rsidR="00D755F5" w:rsidRPr="00E5139D" w:rsidRDefault="00D755F5" w:rsidP="00062DAE">
            <w:pPr>
              <w:spacing w:after="0" w:line="240" w:lineRule="auto"/>
              <w:jc w:val="center"/>
              <w:rPr>
                <w:rFonts w:eastAsia="Times New Roman"/>
                <w:color w:val="000000"/>
                <w:sz w:val="18"/>
                <w:szCs w:val="18"/>
              </w:rPr>
            </w:pPr>
          </w:p>
        </w:tc>
        <w:tc>
          <w:tcPr>
            <w:tcW w:w="0" w:type="auto"/>
            <w:tcBorders>
              <w:top w:val="single" w:sz="4" w:space="0" w:color="auto"/>
            </w:tcBorders>
            <w:vAlign w:val="center"/>
          </w:tcPr>
          <w:p w14:paraId="2D77586E"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#pieces on gender</w:t>
            </w:r>
          </w:p>
        </w:tc>
        <w:tc>
          <w:tcPr>
            <w:tcW w:w="0" w:type="auto"/>
            <w:tcBorders>
              <w:top w:val="single" w:sz="4" w:space="0" w:color="auto"/>
            </w:tcBorders>
            <w:shd w:val="clear" w:color="auto" w:fill="auto"/>
            <w:vAlign w:val="center"/>
            <w:hideMark/>
          </w:tcPr>
          <w:p w14:paraId="56882E1B" w14:textId="77777777" w:rsidR="00D755F5" w:rsidRPr="00E5139D" w:rsidRDefault="00D755F5" w:rsidP="00062DAE">
            <w:pPr>
              <w:spacing w:after="0" w:line="240" w:lineRule="auto"/>
              <w:jc w:val="center"/>
              <w:rPr>
                <w:rFonts w:eastAsia="Times New Roman"/>
                <w:color w:val="000000"/>
                <w:sz w:val="18"/>
                <w:szCs w:val="18"/>
              </w:rPr>
            </w:pPr>
            <w:r w:rsidRPr="00E5139D">
              <w:rPr>
                <w:rFonts w:eastAsia="Times New Roman"/>
                <w:color w:val="000000"/>
                <w:sz w:val="18"/>
                <w:szCs w:val="18"/>
              </w:rPr>
              <w:t>6</w:t>
            </w:r>
          </w:p>
        </w:tc>
        <w:tc>
          <w:tcPr>
            <w:tcW w:w="0" w:type="auto"/>
            <w:tcBorders>
              <w:top w:val="single" w:sz="4" w:space="0" w:color="auto"/>
            </w:tcBorders>
            <w:vAlign w:val="center"/>
          </w:tcPr>
          <w:p w14:paraId="415D99D9" w14:textId="6D020B54" w:rsidR="00D755F5" w:rsidRPr="00E5139D" w:rsidRDefault="00D755F5" w:rsidP="00062DAE">
            <w:pPr>
              <w:spacing w:after="0" w:line="240" w:lineRule="auto"/>
              <w:jc w:val="center"/>
              <w:rPr>
                <w:rFonts w:eastAsia="Times New Roman"/>
                <w:color w:val="FFFFFF"/>
                <w:sz w:val="18"/>
                <w:szCs w:val="18"/>
              </w:rPr>
            </w:pPr>
            <w:r w:rsidRPr="00E5139D">
              <w:rPr>
                <w:rFonts w:eastAsia="Times New Roman"/>
                <w:sz w:val="18"/>
                <w:szCs w:val="18"/>
              </w:rPr>
              <w:t>1</w:t>
            </w:r>
            <w:r w:rsidR="00407476">
              <w:rPr>
                <w:rFonts w:eastAsia="Times New Roman"/>
                <w:sz w:val="18"/>
                <w:szCs w:val="18"/>
              </w:rPr>
              <w:t>2</w:t>
            </w:r>
          </w:p>
        </w:tc>
        <w:tc>
          <w:tcPr>
            <w:tcW w:w="0" w:type="auto"/>
            <w:tcBorders>
              <w:top w:val="single" w:sz="4" w:space="0" w:color="auto"/>
            </w:tcBorders>
            <w:shd w:val="clear" w:color="000000" w:fill="00B050"/>
            <w:vAlign w:val="center"/>
            <w:hideMark/>
          </w:tcPr>
          <w:p w14:paraId="3EE40415" w14:textId="77777777" w:rsidR="00D755F5" w:rsidRPr="00E5139D" w:rsidRDefault="00D755F5" w:rsidP="00062DAE">
            <w:pPr>
              <w:spacing w:after="0" w:line="240" w:lineRule="auto"/>
              <w:jc w:val="center"/>
              <w:rPr>
                <w:rFonts w:eastAsia="Times New Roman"/>
                <w:color w:val="FFFFFF"/>
                <w:sz w:val="18"/>
                <w:szCs w:val="18"/>
              </w:rPr>
            </w:pPr>
            <w:r w:rsidRPr="00E5139D">
              <w:rPr>
                <w:rFonts w:eastAsia="Times New Roman"/>
                <w:color w:val="FFFFFF"/>
                <w:sz w:val="18"/>
                <w:szCs w:val="18"/>
              </w:rPr>
              <w:t>&gt;100</w:t>
            </w:r>
          </w:p>
        </w:tc>
        <w:tc>
          <w:tcPr>
            <w:tcW w:w="0" w:type="auto"/>
            <w:tcBorders>
              <w:top w:val="single" w:sz="4" w:space="0" w:color="auto"/>
            </w:tcBorders>
            <w:shd w:val="clear" w:color="auto" w:fill="auto"/>
            <w:noWrap/>
            <w:vAlign w:val="center"/>
            <w:hideMark/>
          </w:tcPr>
          <w:p w14:paraId="4C7D62D5" w14:textId="77777777" w:rsidR="00D755F5" w:rsidRPr="00E5139D" w:rsidRDefault="00D755F5" w:rsidP="00062DAE">
            <w:pPr>
              <w:spacing w:after="0" w:line="240" w:lineRule="auto"/>
              <w:jc w:val="center"/>
              <w:rPr>
                <w:rFonts w:eastAsia="Times New Roman"/>
                <w:sz w:val="18"/>
                <w:szCs w:val="18"/>
              </w:rPr>
            </w:pPr>
            <w:r w:rsidRPr="00E5139D">
              <w:rPr>
                <w:rFonts w:eastAsia="Times New Roman"/>
                <w:sz w:val="18"/>
                <w:szCs w:val="18"/>
              </w:rPr>
              <w:t>HS</w:t>
            </w:r>
          </w:p>
        </w:tc>
      </w:tr>
      <w:tr w:rsidR="00D755F5" w:rsidRPr="00E5139D" w14:paraId="2BE0A858" w14:textId="77777777" w:rsidTr="005C3DFB">
        <w:trPr>
          <w:trHeight w:val="520"/>
        </w:trPr>
        <w:tc>
          <w:tcPr>
            <w:tcW w:w="0" w:type="auto"/>
            <w:gridSpan w:val="6"/>
            <w:shd w:val="clear" w:color="auto" w:fill="FFFFFF" w:themeFill="background1"/>
            <w:vAlign w:val="center"/>
            <w:hideMark/>
          </w:tcPr>
          <w:p w14:paraId="600BFA5D" w14:textId="77777777" w:rsidR="00D755F5" w:rsidRPr="00E5139D" w:rsidRDefault="00D755F5" w:rsidP="00062DAE">
            <w:pPr>
              <w:spacing w:after="0" w:line="240" w:lineRule="auto"/>
              <w:jc w:val="right"/>
              <w:rPr>
                <w:rFonts w:eastAsia="Times New Roman"/>
                <w:sz w:val="18"/>
                <w:szCs w:val="18"/>
              </w:rPr>
            </w:pPr>
            <w:r w:rsidRPr="00E5139D">
              <w:rPr>
                <w:rFonts w:eastAsia="Times New Roman"/>
                <w:sz w:val="18"/>
                <w:szCs w:val="18"/>
              </w:rPr>
              <w:t> The progress of the objective can be described as:</w:t>
            </w:r>
          </w:p>
          <w:p w14:paraId="4690AFEE" w14:textId="77777777" w:rsidR="00D755F5" w:rsidRPr="00E5139D" w:rsidRDefault="00D755F5" w:rsidP="00062DAE">
            <w:pPr>
              <w:spacing w:after="0" w:line="240" w:lineRule="auto"/>
              <w:jc w:val="right"/>
              <w:rPr>
                <w:rFonts w:eastAsia="Times New Roman"/>
                <w:sz w:val="18"/>
                <w:szCs w:val="18"/>
              </w:rPr>
            </w:pPr>
            <w:r w:rsidRPr="00E5139D">
              <w:rPr>
                <w:rFonts w:eastAsia="Times New Roman"/>
                <w:sz w:val="18"/>
                <w:szCs w:val="18"/>
              </w:rPr>
              <w:t> </w:t>
            </w:r>
          </w:p>
          <w:p w14:paraId="37BA2337" w14:textId="77777777" w:rsidR="00D755F5" w:rsidRPr="00E5139D" w:rsidRDefault="00D755F5" w:rsidP="00062DAE">
            <w:pPr>
              <w:spacing w:after="0" w:line="240" w:lineRule="auto"/>
              <w:jc w:val="right"/>
              <w:rPr>
                <w:rFonts w:eastAsia="Times New Roman"/>
                <w:sz w:val="18"/>
                <w:szCs w:val="18"/>
              </w:rPr>
            </w:pPr>
            <w:r w:rsidRPr="00E5139D">
              <w:rPr>
                <w:rFonts w:eastAsia="Times New Roman"/>
                <w:sz w:val="18"/>
                <w:szCs w:val="18"/>
              </w:rPr>
              <w:t>Satisfactory </w:t>
            </w:r>
          </w:p>
          <w:p w14:paraId="7AE5C214" w14:textId="77777777" w:rsidR="00D755F5" w:rsidRPr="00E5139D" w:rsidRDefault="00D755F5" w:rsidP="00062DAE">
            <w:pPr>
              <w:spacing w:after="0" w:line="240" w:lineRule="auto"/>
              <w:jc w:val="right"/>
              <w:rPr>
                <w:rFonts w:eastAsia="Times New Roman"/>
                <w:sz w:val="18"/>
                <w:szCs w:val="18"/>
              </w:rPr>
            </w:pPr>
          </w:p>
        </w:tc>
        <w:tc>
          <w:tcPr>
            <w:tcW w:w="0" w:type="auto"/>
            <w:shd w:val="clear" w:color="auto" w:fill="auto"/>
            <w:noWrap/>
            <w:vAlign w:val="center"/>
            <w:hideMark/>
          </w:tcPr>
          <w:p w14:paraId="5B5375F2" w14:textId="77777777" w:rsidR="00D755F5" w:rsidRPr="00E5139D" w:rsidRDefault="00D755F5" w:rsidP="00062DAE">
            <w:pPr>
              <w:spacing w:after="0" w:line="240" w:lineRule="auto"/>
              <w:jc w:val="center"/>
              <w:rPr>
                <w:rFonts w:eastAsia="Times New Roman"/>
                <w:sz w:val="18"/>
                <w:szCs w:val="18"/>
              </w:rPr>
            </w:pPr>
            <w:r w:rsidRPr="00E5139D">
              <w:rPr>
                <w:rFonts w:eastAsia="Times New Roman"/>
                <w:sz w:val="18"/>
                <w:szCs w:val="18"/>
              </w:rPr>
              <w:t> Average: 95% achieved = S</w:t>
            </w:r>
          </w:p>
        </w:tc>
      </w:tr>
    </w:tbl>
    <w:p w14:paraId="64A7133B" w14:textId="77777777" w:rsidR="00D755F5" w:rsidRPr="00E5139D" w:rsidRDefault="00D755F5" w:rsidP="00D755F5">
      <w:pPr>
        <w:spacing w:after="0" w:line="240" w:lineRule="auto"/>
        <w:rPr>
          <w:rFonts w:eastAsia="Times New Roman"/>
          <w:color w:val="000000"/>
        </w:rPr>
      </w:pPr>
      <w:r w:rsidRPr="00E5139D">
        <w:rPr>
          <w:rFonts w:eastAsia="Times New Roman"/>
          <w:color w:val="000000"/>
        </w:rPr>
        <w:t>Rating Scale:  HS=100%; S=80-99; MS=60-79; MU=40-59; U=20-39; HU = &lt;20</w:t>
      </w:r>
    </w:p>
    <w:tbl>
      <w:tblPr>
        <w:tblW w:w="0" w:type="auto"/>
        <w:tblCellMar>
          <w:left w:w="0" w:type="dxa"/>
          <w:right w:w="0" w:type="dxa"/>
        </w:tblCellMar>
        <w:tblLook w:val="0420" w:firstRow="1" w:lastRow="0" w:firstColumn="0" w:lastColumn="0" w:noHBand="0" w:noVBand="1"/>
      </w:tblPr>
      <w:tblGrid>
        <w:gridCol w:w="1290"/>
        <w:gridCol w:w="2470"/>
        <w:gridCol w:w="2120"/>
      </w:tblGrid>
      <w:tr w:rsidR="00D755F5" w:rsidRPr="00C65844" w14:paraId="0C341DB5" w14:textId="77777777" w:rsidTr="00062DAE">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7899A169" w14:textId="77777777" w:rsidR="00D755F5" w:rsidRPr="00C65844" w:rsidRDefault="00D755F5" w:rsidP="00062DAE">
            <w:pPr>
              <w:jc w:val="center"/>
              <w:rPr>
                <w:b/>
                <w:bCs/>
                <w:lang w:val="es-ES"/>
              </w:rPr>
            </w:pPr>
            <w:r w:rsidRPr="00C65844">
              <w:rPr>
                <w:b/>
                <w:bCs/>
              </w:rPr>
              <w:t>Completed</w:t>
            </w:r>
          </w:p>
        </w:tc>
        <w:tc>
          <w:tcPr>
            <w:tcW w:w="0" w:type="auto"/>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14:paraId="38D23753" w14:textId="77777777" w:rsidR="00D755F5" w:rsidRPr="00C65844" w:rsidRDefault="00D755F5" w:rsidP="00062DAE">
            <w:pPr>
              <w:jc w:val="center"/>
              <w:rPr>
                <w:b/>
                <w:bCs/>
                <w:lang w:val="es-ES"/>
              </w:rPr>
            </w:pPr>
            <w:r w:rsidRPr="00C65844">
              <w:rPr>
                <w:b/>
                <w:bCs/>
              </w:rPr>
              <w:t>On track for completion</w:t>
            </w:r>
          </w:p>
        </w:tc>
        <w:tc>
          <w:tcPr>
            <w:tcW w:w="0" w:type="auto"/>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73A1407E" w14:textId="77777777" w:rsidR="00D755F5" w:rsidRPr="00C65844" w:rsidRDefault="00D755F5" w:rsidP="00062DAE">
            <w:pPr>
              <w:jc w:val="center"/>
              <w:rPr>
                <w:b/>
                <w:bCs/>
                <w:lang w:val="es-ES"/>
              </w:rPr>
            </w:pPr>
            <w:r w:rsidRPr="00C65844">
              <w:rPr>
                <w:b/>
                <w:bCs/>
              </w:rPr>
              <w:t>Completion unlikely</w:t>
            </w:r>
          </w:p>
        </w:tc>
      </w:tr>
    </w:tbl>
    <w:p w14:paraId="4D87972E" w14:textId="77777777" w:rsidR="00546386" w:rsidRDefault="00546386" w:rsidP="00546386">
      <w:pPr>
        <w:spacing w:after="0" w:line="240" w:lineRule="auto"/>
        <w:rPr>
          <w:rFonts w:asciiTheme="minorHAnsi" w:hAnsiTheme="minorHAnsi" w:cstheme="minorHAnsi"/>
        </w:rPr>
      </w:pPr>
      <w:r>
        <w:rPr>
          <w:rFonts w:asciiTheme="minorHAnsi" w:hAnsiTheme="minorHAnsi" w:cstheme="minorHAnsi"/>
        </w:rPr>
        <w:t>Table 7: Objective Indicators Ratings</w:t>
      </w:r>
    </w:p>
    <w:p w14:paraId="46646D03" w14:textId="77777777" w:rsidR="00D755F5" w:rsidRDefault="00D755F5" w:rsidP="00D755F5">
      <w:pPr>
        <w:rPr>
          <w:b/>
          <w:bCs/>
        </w:rPr>
      </w:pPr>
    </w:p>
    <w:p w14:paraId="15B6F824" w14:textId="77777777" w:rsidR="00D755F5" w:rsidRDefault="00D755F5" w:rsidP="00D755F5">
      <w:pPr>
        <w:rPr>
          <w:b/>
          <w:bCs/>
        </w:rPr>
      </w:pPr>
      <w:bookmarkStart w:id="71" w:name="_Hlk89856571"/>
      <w:r>
        <w:rPr>
          <w:b/>
          <w:bCs/>
        </w:rPr>
        <w:t>Objective Results Findings:</w:t>
      </w:r>
    </w:p>
    <w:p w14:paraId="077F12A1" w14:textId="589F0CFD" w:rsidR="00E23F3C" w:rsidRDefault="00D755F5" w:rsidP="00DF29FF">
      <w:pPr>
        <w:jc w:val="both"/>
        <w:rPr>
          <w:rFonts w:eastAsia="Times New Roman"/>
          <w:color w:val="000000"/>
        </w:rPr>
      </w:pPr>
      <w:r w:rsidRPr="000408FA">
        <w:rPr>
          <w:b/>
          <w:bCs/>
        </w:rPr>
        <w:lastRenderedPageBreak/>
        <w:t>O</w:t>
      </w:r>
      <w:r w:rsidR="000408FA" w:rsidRPr="000408FA">
        <w:rPr>
          <w:b/>
          <w:bCs/>
        </w:rPr>
        <w:t xml:space="preserve">bjective </w:t>
      </w:r>
      <w:r w:rsidRPr="000408FA">
        <w:rPr>
          <w:b/>
          <w:bCs/>
        </w:rPr>
        <w:t>1</w:t>
      </w:r>
      <w:r w:rsidR="000408FA" w:rsidRPr="000408FA">
        <w:rPr>
          <w:b/>
          <w:bCs/>
        </w:rPr>
        <w:t>:</w:t>
      </w:r>
      <w:r w:rsidRPr="000408FA">
        <w:t xml:space="preserve">  </w:t>
      </w:r>
      <w:r w:rsidR="000408FA" w:rsidRPr="000408FA">
        <w:t xml:space="preserve">The </w:t>
      </w:r>
      <w:r w:rsidR="000408FA" w:rsidRPr="000408FA">
        <w:rPr>
          <w:rFonts w:eastAsia="Times New Roman"/>
          <w:color w:val="000000"/>
        </w:rPr>
        <w:t>End-of-</w:t>
      </w:r>
      <w:r w:rsidR="00D105CF" w:rsidRPr="000408FA">
        <w:rPr>
          <w:rFonts w:eastAsia="Times New Roman"/>
          <w:color w:val="000000"/>
        </w:rPr>
        <w:t>Project</w:t>
      </w:r>
      <w:r w:rsidR="000408FA" w:rsidRPr="000408FA">
        <w:rPr>
          <w:rFonts w:eastAsia="Times New Roman"/>
          <w:color w:val="000000"/>
        </w:rPr>
        <w:t>-target (</w:t>
      </w:r>
      <w:r w:rsidRPr="000408FA">
        <w:rPr>
          <w:rFonts w:eastAsia="Times New Roman"/>
          <w:color w:val="000000"/>
        </w:rPr>
        <w:t>EoP</w:t>
      </w:r>
      <w:r w:rsidR="000408FA" w:rsidRPr="000408FA">
        <w:rPr>
          <w:rFonts w:eastAsia="Times New Roman"/>
          <w:color w:val="000000"/>
        </w:rPr>
        <w:t>)</w:t>
      </w:r>
      <w:r w:rsidRPr="000408FA">
        <w:rPr>
          <w:rFonts w:eastAsia="Times New Roman"/>
          <w:color w:val="000000"/>
        </w:rPr>
        <w:t xml:space="preserve"> </w:t>
      </w:r>
      <w:r w:rsidR="003A6D0A">
        <w:rPr>
          <w:rFonts w:eastAsia="Times New Roman"/>
          <w:color w:val="000000"/>
        </w:rPr>
        <w:t xml:space="preserve">is </w:t>
      </w:r>
      <w:r w:rsidRPr="000408FA">
        <w:rPr>
          <w:rFonts w:eastAsia="Times New Roman"/>
          <w:color w:val="000000"/>
        </w:rPr>
        <w:t xml:space="preserve">on track to be achieved.  </w:t>
      </w:r>
      <w:r w:rsidR="00E23F3C">
        <w:rPr>
          <w:rFonts w:eastAsia="Times New Roman"/>
          <w:color w:val="000000"/>
        </w:rPr>
        <w:t xml:space="preserve">Two </w:t>
      </w:r>
      <w:r w:rsidRPr="000408FA">
        <w:rPr>
          <w:rFonts w:eastAsia="Times New Roman"/>
          <w:color w:val="000000"/>
        </w:rPr>
        <w:t>supply chain partnerships between producers, buyers and/or finance providers fostering sustainable commodity supply chains, have been achieved in Indonesia (Unilever/smallholders; Musim Mas/smallholders); 1 supply chain partnership has been achieved in Liberia (MANCO/MPOI)</w:t>
      </w:r>
      <w:r w:rsidR="005C3DFB">
        <w:rPr>
          <w:rFonts w:eastAsia="Times New Roman"/>
          <w:color w:val="000000"/>
        </w:rPr>
        <w:t xml:space="preserve">; one new partnership achieved in Brazil, </w:t>
      </w:r>
      <w:r w:rsidRPr="000408FA">
        <w:rPr>
          <w:rFonts w:eastAsia="Times New Roman"/>
          <w:color w:val="000000"/>
        </w:rPr>
        <w:t xml:space="preserve"> and 1 in Paraguay (Frigorífico Guarani/McDonald’s), and </w:t>
      </w:r>
      <w:r w:rsidR="005C3DFB">
        <w:rPr>
          <w:rFonts w:eastAsia="Times New Roman"/>
          <w:color w:val="000000"/>
        </w:rPr>
        <w:t>7</w:t>
      </w:r>
      <w:r w:rsidRPr="000408FA">
        <w:rPr>
          <w:rFonts w:eastAsia="Times New Roman"/>
          <w:color w:val="000000"/>
        </w:rPr>
        <w:t xml:space="preserve"> additional ones are being pursued in Brazil, Indonesia, and Paraguay.  </w:t>
      </w:r>
    </w:p>
    <w:p w14:paraId="275A2DB5" w14:textId="7041932D" w:rsidR="00D755F5" w:rsidRPr="00E23F3C" w:rsidRDefault="00E23F3C" w:rsidP="00DF29FF">
      <w:pPr>
        <w:jc w:val="both"/>
        <w:rPr>
          <w:rFonts w:eastAsia="Times New Roman"/>
          <w:color w:val="000000"/>
        </w:rPr>
      </w:pPr>
      <w:r>
        <w:rPr>
          <w:rFonts w:eastAsia="Times New Roman"/>
          <w:color w:val="000000"/>
        </w:rPr>
        <w:t xml:space="preserve">Partnerships are defined as a relationship between two </w:t>
      </w:r>
      <w:r w:rsidR="00651C9F">
        <w:rPr>
          <w:rFonts w:eastAsia="Times New Roman"/>
          <w:color w:val="000000"/>
        </w:rPr>
        <w:t>distinct supply chain</w:t>
      </w:r>
      <w:r>
        <w:rPr>
          <w:rFonts w:eastAsia="Times New Roman"/>
          <w:color w:val="000000"/>
        </w:rPr>
        <w:t xml:space="preserve"> entities, which does not go to the heart of the objective to </w:t>
      </w:r>
      <w:r w:rsidR="00210B83">
        <w:rPr>
          <w:rFonts w:eastAsia="Times New Roman"/>
          <w:color w:val="000000"/>
        </w:rPr>
        <w:t xml:space="preserve">enable </w:t>
      </w:r>
      <w:r>
        <w:rPr>
          <w:rFonts w:eastAsia="Times New Roman"/>
          <w:color w:val="000000"/>
        </w:rPr>
        <w:t xml:space="preserve">an integrated supply chain approach. The evaluators accept the results based on the established criterion. </w:t>
      </w:r>
      <w:r w:rsidR="00187A1C">
        <w:rPr>
          <w:rFonts w:eastAsia="Times New Roman"/>
          <w:color w:val="000000"/>
        </w:rPr>
        <w:t>A two-point process can lead from producer to processor; or, from processor to broker; or broker to distributor, etc.  A 3 point</w:t>
      </w:r>
      <w:r w:rsidR="00210B83">
        <w:rPr>
          <w:rFonts w:eastAsia="Times New Roman"/>
          <w:color w:val="000000"/>
        </w:rPr>
        <w:t>-</w:t>
      </w:r>
      <w:r w:rsidR="00187A1C">
        <w:rPr>
          <w:rFonts w:eastAsia="Times New Roman"/>
          <w:color w:val="000000"/>
        </w:rPr>
        <w:t>of</w:t>
      </w:r>
      <w:r w:rsidR="00210B83">
        <w:rPr>
          <w:rFonts w:eastAsia="Times New Roman"/>
          <w:color w:val="000000"/>
        </w:rPr>
        <w:t>-</w:t>
      </w:r>
      <w:r w:rsidR="00187A1C">
        <w:rPr>
          <w:rFonts w:eastAsia="Times New Roman"/>
          <w:color w:val="000000"/>
        </w:rPr>
        <w:t xml:space="preserve">contact partnership will most likely involve a producer, a processor, and another party on the commercialization side of the equation. That combination would better represent an integrated approach. For that reason, </w:t>
      </w:r>
      <w:r>
        <w:rPr>
          <w:rFonts w:eastAsia="Times New Roman"/>
          <w:color w:val="000000"/>
        </w:rPr>
        <w:t xml:space="preserve">for future projects we recommend that the partnerships </w:t>
      </w:r>
      <w:r w:rsidR="00210B83">
        <w:rPr>
          <w:rFonts w:eastAsia="Times New Roman"/>
          <w:color w:val="000000"/>
        </w:rPr>
        <w:t xml:space="preserve">definition be </w:t>
      </w:r>
      <w:r w:rsidR="00187A1C">
        <w:rPr>
          <w:rFonts w:eastAsia="Times New Roman"/>
          <w:color w:val="000000"/>
        </w:rPr>
        <w:t>expand</w:t>
      </w:r>
      <w:r w:rsidR="00210B83">
        <w:rPr>
          <w:rFonts w:eastAsia="Times New Roman"/>
          <w:color w:val="000000"/>
        </w:rPr>
        <w:t>ed</w:t>
      </w:r>
      <w:r w:rsidR="00187A1C">
        <w:rPr>
          <w:rFonts w:eastAsia="Times New Roman"/>
          <w:color w:val="000000"/>
        </w:rPr>
        <w:t xml:space="preserve"> to </w:t>
      </w:r>
      <w:r>
        <w:rPr>
          <w:rFonts w:eastAsia="Times New Roman"/>
          <w:color w:val="000000"/>
        </w:rPr>
        <w:t>involve 3 po</w:t>
      </w:r>
      <w:r w:rsidR="00187A1C">
        <w:rPr>
          <w:rFonts w:eastAsia="Times New Roman"/>
          <w:color w:val="000000"/>
        </w:rPr>
        <w:t>i</w:t>
      </w:r>
      <w:r>
        <w:rPr>
          <w:rFonts w:eastAsia="Times New Roman"/>
          <w:color w:val="000000"/>
        </w:rPr>
        <w:t>nts in the supply chain</w:t>
      </w:r>
      <w:r w:rsidR="00187A1C">
        <w:rPr>
          <w:rFonts w:eastAsia="Times New Roman"/>
          <w:color w:val="000000"/>
        </w:rPr>
        <w:t>.</w:t>
      </w:r>
      <w:r>
        <w:rPr>
          <w:rFonts w:eastAsia="Times New Roman"/>
          <w:color w:val="000000"/>
        </w:rPr>
        <w:t xml:space="preserve"> </w:t>
      </w:r>
      <w:r w:rsidR="00D755F5" w:rsidRPr="000408FA">
        <w:rPr>
          <w:rFonts w:eastAsia="Times New Roman"/>
          <w:color w:val="000000"/>
        </w:rPr>
        <w:t xml:space="preserve"> </w:t>
      </w:r>
    </w:p>
    <w:p w14:paraId="49984E2C" w14:textId="673E2D61" w:rsidR="00D755F5" w:rsidRPr="000408FA" w:rsidRDefault="00D755F5" w:rsidP="00DF29FF">
      <w:pPr>
        <w:spacing w:after="120" w:line="240" w:lineRule="auto"/>
        <w:jc w:val="both"/>
        <w:rPr>
          <w:rFonts w:eastAsia="Times New Roman"/>
          <w:color w:val="000000"/>
        </w:rPr>
      </w:pPr>
      <w:r w:rsidRPr="000408FA">
        <w:rPr>
          <w:b/>
          <w:bCs/>
        </w:rPr>
        <w:t>O</w:t>
      </w:r>
      <w:r w:rsidR="009A75F3">
        <w:rPr>
          <w:b/>
          <w:bCs/>
        </w:rPr>
        <w:t xml:space="preserve">bjective </w:t>
      </w:r>
      <w:r w:rsidRPr="000408FA">
        <w:rPr>
          <w:b/>
          <w:bCs/>
        </w:rPr>
        <w:t>2</w:t>
      </w:r>
      <w:r w:rsidR="009A75F3">
        <w:rPr>
          <w:b/>
          <w:bCs/>
        </w:rPr>
        <w:t>:</w:t>
      </w:r>
      <w:r w:rsidRPr="000408FA">
        <w:rPr>
          <w:b/>
          <w:bCs/>
        </w:rPr>
        <w:t xml:space="preserve">  </w:t>
      </w:r>
      <w:r w:rsidRPr="000408FA">
        <w:rPr>
          <w:rFonts w:eastAsia="Times New Roman"/>
          <w:color w:val="000000"/>
        </w:rPr>
        <w:t xml:space="preserve">EoPT achieved for a) b) and c) </w:t>
      </w:r>
    </w:p>
    <w:p w14:paraId="72FBCA85" w14:textId="19126925" w:rsidR="00D755F5" w:rsidRPr="000408FA" w:rsidRDefault="00D755F5" w:rsidP="00DF29FF">
      <w:pPr>
        <w:spacing w:after="120" w:line="240" w:lineRule="auto"/>
        <w:jc w:val="both"/>
        <w:rPr>
          <w:rFonts w:eastAsia="Times New Roman"/>
          <w:color w:val="000000"/>
        </w:rPr>
      </w:pPr>
      <w:r w:rsidRPr="000408FA">
        <w:rPr>
          <w:rFonts w:eastAsia="Times New Roman"/>
          <w:color w:val="000000"/>
        </w:rPr>
        <w:t>a) 1</w:t>
      </w:r>
      <w:r w:rsidR="00E94444">
        <w:rPr>
          <w:rFonts w:eastAsia="Times New Roman"/>
          <w:color w:val="000000"/>
        </w:rPr>
        <w:t>6</w:t>
      </w:r>
      <w:r w:rsidRPr="000408FA">
        <w:rPr>
          <w:rFonts w:eastAsia="Times New Roman"/>
          <w:color w:val="000000"/>
        </w:rPr>
        <w:t xml:space="preserve"> quarters with at least 1 engagement through the Community of Practice (re-branded as Green Commodities Community, GCC), with an average of 3+ engagements per quarter. The GCC now counts on </w:t>
      </w:r>
      <w:r w:rsidR="007F3028">
        <w:rPr>
          <w:rFonts w:eastAsia="Times New Roman"/>
          <w:color w:val="000000"/>
        </w:rPr>
        <w:t>206</w:t>
      </w:r>
      <w:r w:rsidR="007F3028" w:rsidRPr="000408FA">
        <w:rPr>
          <w:rFonts w:eastAsia="Times New Roman"/>
          <w:color w:val="000000"/>
        </w:rPr>
        <w:t xml:space="preserve"> </w:t>
      </w:r>
      <w:r w:rsidRPr="000408FA">
        <w:rPr>
          <w:rFonts w:eastAsia="Times New Roman"/>
          <w:color w:val="000000"/>
        </w:rPr>
        <w:t xml:space="preserve">members, who have been oriented through calls delivered in English and Spanish (please note that during the reporting period some members were removed because of inactivity). Overall, 488 practitioners have been engaged through community workshops and orientation calls, representing 131 organizations and 18 commodity-producing countries.  </w:t>
      </w:r>
    </w:p>
    <w:p w14:paraId="409536AB" w14:textId="77777777" w:rsidR="00D755F5" w:rsidRPr="000408FA" w:rsidRDefault="00D755F5" w:rsidP="00DF29FF">
      <w:pPr>
        <w:spacing w:after="120" w:line="240" w:lineRule="auto"/>
        <w:jc w:val="both"/>
        <w:rPr>
          <w:rFonts w:eastAsia="Times New Roman"/>
          <w:color w:val="000000"/>
        </w:rPr>
      </w:pPr>
      <w:r w:rsidRPr="000408FA">
        <w:rPr>
          <w:rFonts w:eastAsia="Times New Roman"/>
          <w:color w:val="000000"/>
        </w:rPr>
        <w:t>b) 2 global community of practice events (Good Growth Conference 2019 and Good Growth Conference 2021) delivered.</w:t>
      </w:r>
    </w:p>
    <w:p w14:paraId="375F1CC2" w14:textId="77777777" w:rsidR="00D755F5" w:rsidRPr="000408FA" w:rsidRDefault="00D755F5" w:rsidP="00DF29FF">
      <w:pPr>
        <w:spacing w:after="120" w:line="240" w:lineRule="auto"/>
        <w:jc w:val="both"/>
        <w:rPr>
          <w:b/>
          <w:bCs/>
        </w:rPr>
      </w:pPr>
      <w:r w:rsidRPr="000408FA">
        <w:rPr>
          <w:rFonts w:eastAsia="Times New Roman"/>
          <w:color w:val="000000"/>
        </w:rPr>
        <w:t xml:space="preserve">c) In 2019, the Green Commodities Community developed a Community Assessment and Thematic Planning Survey gathering information of Community Members’ perceptions and preferences and assessed the level of satisfaction of Community’s members about GGP learnings: the survey was conducted through one-on-one interviews during the Good Growth Conference 2019 and sent online after the global event, and 65% of the respondents declared to be very satisfied and satisfied with the Community. Similarly, a Green Commodities Community Consultation was launched in May 2021 and gathered Community members’ feedback through one-on-one interviews and an electronic survey which remained open for the whole period of the Conference. The consultation included a question about the level of satisfaction with the Community (On a scale of 1 to 5, how much do you like the GCC in general, with 1 being not at all), </w:t>
      </w:r>
      <w:r w:rsidRPr="00DF29FF">
        <w:rPr>
          <w:rFonts w:eastAsia="Times New Roman"/>
          <w:color w:val="000000"/>
        </w:rPr>
        <w:t>and 74% of the respondents declared to be very satisfied and satisfied with the Community. The members t</w:t>
      </w:r>
      <w:r w:rsidRPr="000408FA">
        <w:rPr>
          <w:rFonts w:eastAsia="Times New Roman"/>
          <w:color w:val="000000"/>
        </w:rPr>
        <w:t>hat answered the survey belong to different organizations and companies leading major global initiatives such as GIZ, UNEP, Pernod Ricard, Kite Insights, CI, UNDP (including representatives non-involved in GGP).</w:t>
      </w:r>
    </w:p>
    <w:p w14:paraId="3B4E1685" w14:textId="46AD0122" w:rsidR="00D755F5" w:rsidRPr="000408FA" w:rsidRDefault="00D755F5" w:rsidP="00DF29FF">
      <w:pPr>
        <w:jc w:val="both"/>
      </w:pPr>
      <w:r w:rsidRPr="000408FA">
        <w:rPr>
          <w:b/>
          <w:bCs/>
        </w:rPr>
        <w:t>O</w:t>
      </w:r>
      <w:r w:rsidR="00256270">
        <w:rPr>
          <w:b/>
          <w:bCs/>
        </w:rPr>
        <w:t>bjective</w:t>
      </w:r>
      <w:r w:rsidRPr="000408FA">
        <w:rPr>
          <w:b/>
          <w:bCs/>
        </w:rPr>
        <w:t>3</w:t>
      </w:r>
      <w:r w:rsidR="00256270">
        <w:rPr>
          <w:b/>
          <w:bCs/>
        </w:rPr>
        <w:t>:</w:t>
      </w:r>
      <w:r w:rsidRPr="000408FA">
        <w:rPr>
          <w:b/>
          <w:bCs/>
        </w:rPr>
        <w:t xml:space="preserve">  </w:t>
      </w:r>
      <w:r w:rsidRPr="000408FA">
        <w:rPr>
          <w:rFonts w:eastAsia="Times New Roman"/>
          <w:color w:val="000000"/>
        </w:rPr>
        <w:t>EoP achieved and exceeded (1</w:t>
      </w:r>
      <w:r w:rsidR="00E042B1">
        <w:rPr>
          <w:rFonts w:eastAsia="Times New Roman"/>
          <w:color w:val="000000"/>
        </w:rPr>
        <w:t>2</w:t>
      </w:r>
      <w:r w:rsidRPr="000408FA">
        <w:rPr>
          <w:rFonts w:eastAsia="Times New Roman"/>
          <w:color w:val="000000"/>
        </w:rPr>
        <w:t xml:space="preserve"> pieces of learning on gender</w:t>
      </w:r>
      <w:r w:rsidR="00641A98">
        <w:rPr>
          <w:rFonts w:eastAsia="Times New Roman"/>
          <w:color w:val="000000"/>
        </w:rPr>
        <w:t xml:space="preserve"> produced</w:t>
      </w:r>
      <w:r w:rsidRPr="000408FA">
        <w:rPr>
          <w:rFonts w:eastAsia="Times New Roman"/>
          <w:color w:val="000000"/>
        </w:rPr>
        <w:t>)</w:t>
      </w:r>
      <w:r w:rsidR="00641A98">
        <w:rPr>
          <w:rFonts w:eastAsia="Times New Roman"/>
          <w:color w:val="000000"/>
        </w:rPr>
        <w:t>.</w:t>
      </w:r>
    </w:p>
    <w:bookmarkEnd w:id="71"/>
    <w:p w14:paraId="0EA0ADE8" w14:textId="453C61D7" w:rsidR="00D755F5" w:rsidRPr="000408FA" w:rsidRDefault="00D755F5" w:rsidP="00124EFB"/>
    <w:p w14:paraId="2A4E85DC" w14:textId="77777777" w:rsidR="00CF6ACB" w:rsidRPr="0096249B" w:rsidRDefault="00CF6ACB" w:rsidP="00CF6ACB">
      <w:pPr>
        <w:rPr>
          <w:rFonts w:asciiTheme="minorHAnsi" w:hAnsiTheme="minorHAnsi" w:cstheme="minorHAnsi"/>
          <w:b/>
          <w:bCs/>
        </w:rPr>
      </w:pPr>
      <w:r>
        <w:rPr>
          <w:rFonts w:asciiTheme="minorHAnsi" w:hAnsiTheme="minorHAnsi" w:cstheme="minorHAnsi"/>
          <w:b/>
          <w:bCs/>
        </w:rPr>
        <w:t>Outcome 1 Results Indicators and Ratings</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3"/>
        <w:gridCol w:w="1566"/>
        <w:gridCol w:w="1071"/>
        <w:gridCol w:w="1319"/>
        <w:gridCol w:w="1269"/>
        <w:gridCol w:w="875"/>
        <w:gridCol w:w="927"/>
      </w:tblGrid>
      <w:tr w:rsidR="00CF6ACB" w:rsidRPr="00065ABB" w14:paraId="31B52FA3" w14:textId="77777777" w:rsidTr="00DF29FF">
        <w:trPr>
          <w:trHeight w:val="839"/>
        </w:trPr>
        <w:tc>
          <w:tcPr>
            <w:tcW w:w="9330" w:type="dxa"/>
            <w:gridSpan w:val="7"/>
            <w:shd w:val="clear" w:color="auto" w:fill="auto"/>
            <w:vAlign w:val="center"/>
            <w:hideMark/>
          </w:tcPr>
          <w:p w14:paraId="21721C52" w14:textId="77777777" w:rsidR="00CF6ACB" w:rsidRPr="00065ABB" w:rsidRDefault="00CF6ACB" w:rsidP="00062DAE">
            <w:pPr>
              <w:spacing w:after="0" w:line="240" w:lineRule="auto"/>
              <w:rPr>
                <w:rFonts w:eastAsia="Times New Roman"/>
                <w:sz w:val="18"/>
                <w:szCs w:val="18"/>
              </w:rPr>
            </w:pPr>
            <w:r w:rsidRPr="00065ABB">
              <w:rPr>
                <w:rFonts w:eastAsia="Times New Roman"/>
                <w:color w:val="000000"/>
                <w:sz w:val="18"/>
                <w:szCs w:val="18"/>
              </w:rPr>
              <w:t xml:space="preserve">Outcome Indicator 1.1 </w:t>
            </w:r>
            <w:r w:rsidRPr="00065ABB">
              <w:rPr>
                <w:rFonts w:eastAsia="Times New Roman"/>
                <w:b/>
                <w:bCs/>
                <w:color w:val="000000"/>
                <w:sz w:val="18"/>
                <w:szCs w:val="18"/>
              </w:rPr>
              <w:t xml:space="preserve">Coordinated management of the Commodities IAP program leading to logical technical sequencing of activities, Program-level monitoring and evaluation and overall resilience </w:t>
            </w:r>
            <w:r w:rsidRPr="00065ABB">
              <w:rPr>
                <w:rFonts w:eastAsia="Times New Roman"/>
                <w:sz w:val="18"/>
                <w:szCs w:val="18"/>
              </w:rPr>
              <w:t> </w:t>
            </w:r>
          </w:p>
        </w:tc>
      </w:tr>
      <w:tr w:rsidR="00CF6ACB" w:rsidRPr="00085E9B" w14:paraId="258DCEE6" w14:textId="77777777" w:rsidTr="00DF29FF">
        <w:trPr>
          <w:trHeight w:val="276"/>
        </w:trPr>
        <w:tc>
          <w:tcPr>
            <w:tcW w:w="2303" w:type="dxa"/>
            <w:shd w:val="clear" w:color="auto" w:fill="4472C4" w:themeFill="accent1"/>
            <w:vAlign w:val="center"/>
          </w:tcPr>
          <w:p w14:paraId="0EF13C63" w14:textId="77777777" w:rsidR="00CF6ACB" w:rsidRPr="00065ABB" w:rsidRDefault="00CF6ACB" w:rsidP="00062DAE">
            <w:pPr>
              <w:spacing w:after="0" w:line="240" w:lineRule="auto"/>
              <w:rPr>
                <w:rFonts w:eastAsia="Times New Roman"/>
                <w:color w:val="000000"/>
                <w:sz w:val="18"/>
                <w:szCs w:val="18"/>
              </w:rPr>
            </w:pPr>
            <w:r w:rsidRPr="00065ABB">
              <w:rPr>
                <w:rFonts w:eastAsia="Times New Roman"/>
                <w:b/>
                <w:bCs/>
                <w:color w:val="FFFFFF"/>
                <w:sz w:val="18"/>
                <w:szCs w:val="18"/>
              </w:rPr>
              <w:lastRenderedPageBreak/>
              <w:t>Indicator</w:t>
            </w:r>
          </w:p>
        </w:tc>
        <w:tc>
          <w:tcPr>
            <w:tcW w:w="1566" w:type="dxa"/>
            <w:shd w:val="clear" w:color="auto" w:fill="4472C4" w:themeFill="accent1"/>
            <w:noWrap/>
            <w:vAlign w:val="center"/>
          </w:tcPr>
          <w:p w14:paraId="57A64FF8" w14:textId="77777777" w:rsidR="00CF6ACB" w:rsidRPr="00065ABB" w:rsidRDefault="00CF6ACB" w:rsidP="00062DAE">
            <w:pPr>
              <w:spacing w:after="0" w:line="240" w:lineRule="auto"/>
              <w:rPr>
                <w:rFonts w:eastAsia="Times New Roman"/>
                <w:color w:val="000000"/>
                <w:sz w:val="18"/>
                <w:szCs w:val="18"/>
              </w:rPr>
            </w:pPr>
            <w:r w:rsidRPr="00065ABB">
              <w:rPr>
                <w:rFonts w:eastAsia="Times New Roman"/>
                <w:b/>
                <w:bCs/>
                <w:color w:val="FFFFFF"/>
                <w:sz w:val="18"/>
                <w:szCs w:val="18"/>
              </w:rPr>
              <w:t>Baseline</w:t>
            </w:r>
          </w:p>
        </w:tc>
        <w:tc>
          <w:tcPr>
            <w:tcW w:w="1071" w:type="dxa"/>
            <w:shd w:val="clear" w:color="auto" w:fill="4472C4" w:themeFill="accent1"/>
            <w:vAlign w:val="center"/>
          </w:tcPr>
          <w:p w14:paraId="2256CB2A" w14:textId="77777777" w:rsidR="00CF6ACB" w:rsidRPr="00065ABB" w:rsidRDefault="00CF6ACB" w:rsidP="00062DAE">
            <w:pPr>
              <w:spacing w:after="0" w:line="240" w:lineRule="auto"/>
              <w:rPr>
                <w:rFonts w:eastAsia="Times New Roman"/>
                <w:color w:val="000000"/>
                <w:sz w:val="18"/>
                <w:szCs w:val="18"/>
              </w:rPr>
            </w:pPr>
            <w:r w:rsidRPr="00065ABB">
              <w:rPr>
                <w:rFonts w:eastAsia="Times New Roman"/>
                <w:b/>
                <w:bCs/>
                <w:color w:val="FFFFFF"/>
                <w:sz w:val="18"/>
                <w:szCs w:val="18"/>
              </w:rPr>
              <w:t>Unit</w:t>
            </w:r>
          </w:p>
        </w:tc>
        <w:tc>
          <w:tcPr>
            <w:tcW w:w="1319" w:type="dxa"/>
            <w:shd w:val="clear" w:color="auto" w:fill="4472C4" w:themeFill="accent1"/>
            <w:noWrap/>
            <w:vAlign w:val="center"/>
          </w:tcPr>
          <w:p w14:paraId="76BCDD93" w14:textId="77777777" w:rsidR="00CF6ACB" w:rsidRPr="00065ABB" w:rsidRDefault="00CF6ACB" w:rsidP="00062DAE">
            <w:pPr>
              <w:spacing w:after="0" w:line="240" w:lineRule="auto"/>
              <w:rPr>
                <w:rFonts w:eastAsia="Times New Roman"/>
                <w:color w:val="000000"/>
                <w:sz w:val="18"/>
                <w:szCs w:val="18"/>
              </w:rPr>
            </w:pPr>
            <w:r w:rsidRPr="00065ABB">
              <w:rPr>
                <w:rFonts w:eastAsia="Times New Roman"/>
                <w:b/>
                <w:bCs/>
                <w:color w:val="FFFFFF"/>
                <w:sz w:val="18"/>
                <w:szCs w:val="18"/>
              </w:rPr>
              <w:t>End of the Project Target</w:t>
            </w:r>
          </w:p>
        </w:tc>
        <w:tc>
          <w:tcPr>
            <w:tcW w:w="1269" w:type="dxa"/>
            <w:shd w:val="clear" w:color="auto" w:fill="4472C4" w:themeFill="accent1"/>
            <w:vAlign w:val="center"/>
          </w:tcPr>
          <w:p w14:paraId="468D5001" w14:textId="77777777" w:rsidR="00CF6ACB" w:rsidRPr="00065ABB" w:rsidRDefault="00CF6ACB" w:rsidP="00062DAE">
            <w:pPr>
              <w:spacing w:after="0" w:line="240" w:lineRule="auto"/>
              <w:jc w:val="center"/>
              <w:rPr>
                <w:rFonts w:eastAsia="Times New Roman"/>
                <w:color w:val="FFFFFF"/>
                <w:sz w:val="18"/>
                <w:szCs w:val="18"/>
              </w:rPr>
            </w:pPr>
            <w:r w:rsidRPr="00065ABB">
              <w:rPr>
                <w:rFonts w:eastAsia="Times New Roman"/>
                <w:b/>
                <w:bCs/>
                <w:color w:val="FFFFFF"/>
                <w:sz w:val="18"/>
                <w:szCs w:val="18"/>
              </w:rPr>
              <w:t>Achieved</w:t>
            </w:r>
          </w:p>
        </w:tc>
        <w:tc>
          <w:tcPr>
            <w:tcW w:w="872" w:type="dxa"/>
            <w:shd w:val="clear" w:color="auto" w:fill="4472C4" w:themeFill="accent1"/>
            <w:vAlign w:val="center"/>
          </w:tcPr>
          <w:p w14:paraId="36431D17" w14:textId="77777777" w:rsidR="00CF6ACB" w:rsidRPr="00065ABB" w:rsidRDefault="00CF6ACB" w:rsidP="00062DAE">
            <w:pPr>
              <w:spacing w:after="0" w:line="240" w:lineRule="auto"/>
              <w:jc w:val="center"/>
              <w:rPr>
                <w:rFonts w:eastAsia="Times New Roman"/>
                <w:color w:val="FFFFFF"/>
                <w:sz w:val="18"/>
                <w:szCs w:val="18"/>
              </w:rPr>
            </w:pPr>
            <w:r w:rsidRPr="00065ABB">
              <w:rPr>
                <w:rFonts w:eastAsia="Times New Roman"/>
                <w:b/>
                <w:bCs/>
                <w:color w:val="FFFFFF"/>
                <w:sz w:val="18"/>
                <w:szCs w:val="18"/>
              </w:rPr>
              <w:t>Percent Achieved at TE</w:t>
            </w:r>
          </w:p>
        </w:tc>
        <w:tc>
          <w:tcPr>
            <w:tcW w:w="927" w:type="dxa"/>
            <w:shd w:val="clear" w:color="auto" w:fill="4472C4" w:themeFill="accent1"/>
            <w:noWrap/>
            <w:vAlign w:val="center"/>
          </w:tcPr>
          <w:p w14:paraId="47BFD651" w14:textId="77777777" w:rsidR="00CF6ACB" w:rsidRPr="00065ABB" w:rsidRDefault="00CF6ACB" w:rsidP="00062DAE">
            <w:pPr>
              <w:spacing w:after="0" w:line="240" w:lineRule="auto"/>
              <w:rPr>
                <w:rFonts w:eastAsia="Times New Roman"/>
                <w:sz w:val="18"/>
                <w:szCs w:val="18"/>
              </w:rPr>
            </w:pPr>
            <w:r w:rsidRPr="00065ABB">
              <w:rPr>
                <w:rFonts w:eastAsia="Times New Roman"/>
                <w:b/>
                <w:bCs/>
                <w:color w:val="FFFFFF"/>
                <w:sz w:val="18"/>
                <w:szCs w:val="18"/>
              </w:rPr>
              <w:t>Ratings</w:t>
            </w:r>
          </w:p>
        </w:tc>
      </w:tr>
      <w:tr w:rsidR="00CF6ACB" w:rsidRPr="00085E9B" w14:paraId="6B589197" w14:textId="77777777" w:rsidTr="00DF29FF">
        <w:trPr>
          <w:trHeight w:val="276"/>
        </w:trPr>
        <w:tc>
          <w:tcPr>
            <w:tcW w:w="2303" w:type="dxa"/>
            <w:shd w:val="clear" w:color="auto" w:fill="auto"/>
            <w:vAlign w:val="center"/>
            <w:hideMark/>
          </w:tcPr>
          <w:p w14:paraId="4C470F7E" w14:textId="77777777" w:rsidR="00CF6ACB" w:rsidRPr="00065ABB" w:rsidRDefault="00CF6ACB" w:rsidP="00D80344">
            <w:pPr>
              <w:numPr>
                <w:ilvl w:val="1"/>
                <w:numId w:val="39"/>
              </w:numPr>
              <w:spacing w:after="0" w:line="240" w:lineRule="auto"/>
              <w:contextualSpacing/>
              <w:jc w:val="center"/>
              <w:rPr>
                <w:rFonts w:eastAsia="Times New Roman"/>
                <w:color w:val="000000"/>
                <w:sz w:val="18"/>
                <w:szCs w:val="18"/>
              </w:rPr>
            </w:pPr>
            <w:r w:rsidRPr="00065ABB">
              <w:rPr>
                <w:rFonts w:eastAsia="Times New Roman"/>
                <w:color w:val="000000"/>
                <w:sz w:val="18"/>
                <w:szCs w:val="18"/>
              </w:rPr>
              <w:t>Level of logical technical sequencing of key interventions and milestones across individual child projects, as measured by the number of monthly GGP Secretariat calls and annual national level intervention plans to achieve expected Program goals and their effective implementation.</w:t>
            </w:r>
          </w:p>
        </w:tc>
        <w:tc>
          <w:tcPr>
            <w:tcW w:w="1566" w:type="dxa"/>
            <w:shd w:val="clear" w:color="auto" w:fill="auto"/>
            <w:noWrap/>
            <w:vAlign w:val="center"/>
            <w:hideMark/>
          </w:tcPr>
          <w:p w14:paraId="5D2A289E" w14:textId="77777777" w:rsidR="00CF6ACB" w:rsidRPr="00065ABB" w:rsidRDefault="00CF6ACB" w:rsidP="00062DAE">
            <w:pPr>
              <w:spacing w:after="0" w:line="240" w:lineRule="auto"/>
              <w:jc w:val="center"/>
              <w:rPr>
                <w:rFonts w:eastAsia="Times New Roman"/>
                <w:color w:val="000000"/>
                <w:sz w:val="18"/>
                <w:szCs w:val="18"/>
              </w:rPr>
            </w:pPr>
            <w:r w:rsidRPr="00065ABB">
              <w:rPr>
                <w:rFonts w:eastAsia="Times New Roman"/>
                <w:color w:val="000000"/>
                <w:sz w:val="18"/>
                <w:szCs w:val="18"/>
              </w:rPr>
              <w:t>Without the Adaptive Management &amp; Learning project, the workplans would not have connectivity between each other.</w:t>
            </w:r>
          </w:p>
        </w:tc>
        <w:tc>
          <w:tcPr>
            <w:tcW w:w="1071" w:type="dxa"/>
            <w:vAlign w:val="center"/>
          </w:tcPr>
          <w:p w14:paraId="3565190E" w14:textId="77777777" w:rsidR="00CF6ACB" w:rsidRPr="00065ABB" w:rsidRDefault="00CF6ACB" w:rsidP="00062DAE">
            <w:pPr>
              <w:spacing w:after="0" w:line="240" w:lineRule="auto"/>
              <w:jc w:val="center"/>
              <w:rPr>
                <w:rFonts w:eastAsia="Times New Roman"/>
                <w:color w:val="000000"/>
                <w:sz w:val="18"/>
                <w:szCs w:val="18"/>
              </w:rPr>
            </w:pPr>
            <w:r w:rsidRPr="00065ABB">
              <w:rPr>
                <w:rFonts w:eastAsia="Times New Roman"/>
                <w:color w:val="000000"/>
                <w:sz w:val="18"/>
                <w:szCs w:val="18"/>
              </w:rPr>
              <w:t>#calls and #plans</w:t>
            </w:r>
          </w:p>
        </w:tc>
        <w:tc>
          <w:tcPr>
            <w:tcW w:w="1319" w:type="dxa"/>
            <w:shd w:val="clear" w:color="auto" w:fill="auto"/>
            <w:noWrap/>
            <w:vAlign w:val="center"/>
            <w:hideMark/>
          </w:tcPr>
          <w:p w14:paraId="027EF7E5" w14:textId="77777777" w:rsidR="00CF6ACB" w:rsidRPr="00065ABB" w:rsidRDefault="00CF6ACB" w:rsidP="00062DAE">
            <w:pPr>
              <w:spacing w:after="0" w:line="240" w:lineRule="auto"/>
              <w:jc w:val="center"/>
              <w:rPr>
                <w:rFonts w:eastAsia="Times New Roman"/>
                <w:color w:val="000000"/>
                <w:sz w:val="18"/>
                <w:szCs w:val="18"/>
              </w:rPr>
            </w:pPr>
            <w:r w:rsidRPr="00065ABB">
              <w:rPr>
                <w:rFonts w:eastAsia="Times New Roman"/>
                <w:color w:val="000000"/>
                <w:sz w:val="18"/>
                <w:szCs w:val="18"/>
              </w:rPr>
              <w:t>40 calls, 12 National plans, 4 global plans</w:t>
            </w:r>
          </w:p>
        </w:tc>
        <w:tc>
          <w:tcPr>
            <w:tcW w:w="1269" w:type="dxa"/>
            <w:vAlign w:val="center"/>
          </w:tcPr>
          <w:p w14:paraId="5BF8BC72" w14:textId="1A15560D" w:rsidR="00CF6ACB" w:rsidRPr="00065ABB" w:rsidRDefault="00BC3FC3" w:rsidP="00062DAE">
            <w:pPr>
              <w:spacing w:after="0" w:line="240" w:lineRule="auto"/>
              <w:jc w:val="center"/>
              <w:rPr>
                <w:rFonts w:eastAsia="Times New Roman"/>
                <w:color w:val="FFFFFF"/>
                <w:sz w:val="18"/>
                <w:szCs w:val="18"/>
              </w:rPr>
            </w:pPr>
            <w:r>
              <w:rPr>
                <w:rFonts w:eastAsia="Times New Roman"/>
                <w:sz w:val="18"/>
                <w:szCs w:val="18"/>
              </w:rPr>
              <w:t>4</w:t>
            </w:r>
            <w:r w:rsidR="005C3DFB">
              <w:rPr>
                <w:rFonts w:eastAsia="Times New Roman"/>
                <w:sz w:val="18"/>
                <w:szCs w:val="18"/>
              </w:rPr>
              <w:t>9</w:t>
            </w:r>
            <w:r w:rsidR="00CF6ACB" w:rsidRPr="00065ABB">
              <w:rPr>
                <w:rFonts w:eastAsia="Times New Roman"/>
                <w:sz w:val="18"/>
                <w:szCs w:val="18"/>
              </w:rPr>
              <w:t xml:space="preserve"> calls, 16 plans</w:t>
            </w:r>
          </w:p>
        </w:tc>
        <w:tc>
          <w:tcPr>
            <w:tcW w:w="872" w:type="dxa"/>
            <w:shd w:val="clear" w:color="000000" w:fill="00B050"/>
            <w:vAlign w:val="center"/>
            <w:hideMark/>
          </w:tcPr>
          <w:p w14:paraId="70623A5B" w14:textId="77777777" w:rsidR="00CF6ACB" w:rsidRPr="00065ABB" w:rsidRDefault="00CF6ACB" w:rsidP="00062DAE">
            <w:pPr>
              <w:spacing w:after="0" w:line="240" w:lineRule="auto"/>
              <w:jc w:val="center"/>
              <w:rPr>
                <w:rFonts w:eastAsia="Times New Roman"/>
                <w:color w:val="FFFFFF"/>
                <w:sz w:val="18"/>
                <w:szCs w:val="18"/>
              </w:rPr>
            </w:pPr>
            <w:r w:rsidRPr="00065ABB">
              <w:rPr>
                <w:rFonts w:eastAsia="Times New Roman"/>
                <w:color w:val="FFFFFF"/>
                <w:sz w:val="18"/>
                <w:szCs w:val="18"/>
              </w:rPr>
              <w:t>100</w:t>
            </w:r>
          </w:p>
        </w:tc>
        <w:tc>
          <w:tcPr>
            <w:tcW w:w="927" w:type="dxa"/>
            <w:shd w:val="clear" w:color="auto" w:fill="auto"/>
            <w:noWrap/>
            <w:vAlign w:val="center"/>
            <w:hideMark/>
          </w:tcPr>
          <w:p w14:paraId="036596D8" w14:textId="77777777" w:rsidR="00CF6ACB" w:rsidRPr="00065ABB" w:rsidRDefault="00CF6ACB" w:rsidP="00062DAE">
            <w:pPr>
              <w:spacing w:after="0" w:line="240" w:lineRule="auto"/>
              <w:jc w:val="center"/>
              <w:rPr>
                <w:rFonts w:eastAsia="Times New Roman"/>
                <w:sz w:val="18"/>
                <w:szCs w:val="18"/>
              </w:rPr>
            </w:pPr>
            <w:r w:rsidRPr="00065ABB">
              <w:rPr>
                <w:rFonts w:eastAsia="Times New Roman"/>
                <w:sz w:val="18"/>
                <w:szCs w:val="18"/>
              </w:rPr>
              <w:t>HS</w:t>
            </w:r>
          </w:p>
        </w:tc>
      </w:tr>
      <w:tr w:rsidR="00CF6ACB" w:rsidRPr="00085E9B" w14:paraId="1B4F3B2D" w14:textId="77777777" w:rsidTr="00DF29FF">
        <w:trPr>
          <w:trHeight w:val="261"/>
        </w:trPr>
        <w:tc>
          <w:tcPr>
            <w:tcW w:w="2303" w:type="dxa"/>
            <w:shd w:val="clear" w:color="auto" w:fill="auto"/>
            <w:vAlign w:val="center"/>
            <w:hideMark/>
          </w:tcPr>
          <w:p w14:paraId="3FD645BE" w14:textId="77777777" w:rsidR="00CF6ACB" w:rsidRPr="00065ABB" w:rsidRDefault="00CF6ACB" w:rsidP="00D80344">
            <w:pPr>
              <w:numPr>
                <w:ilvl w:val="1"/>
                <w:numId w:val="39"/>
              </w:numPr>
              <w:spacing w:after="0" w:line="240" w:lineRule="auto"/>
              <w:contextualSpacing/>
              <w:jc w:val="center"/>
              <w:rPr>
                <w:rFonts w:eastAsia="Times New Roman"/>
                <w:color w:val="000000"/>
                <w:sz w:val="18"/>
                <w:szCs w:val="18"/>
              </w:rPr>
            </w:pPr>
            <w:r w:rsidRPr="00065ABB">
              <w:rPr>
                <w:rFonts w:eastAsia="Times New Roman"/>
                <w:color w:val="000000"/>
                <w:sz w:val="18"/>
                <w:szCs w:val="18"/>
              </w:rPr>
              <w:t>Effectiveness of adaptive management within the GGP as measured by the number of successful adaptive management practices that address bottlenecks in implementation or in attainment of Program goals.</w:t>
            </w:r>
          </w:p>
        </w:tc>
        <w:tc>
          <w:tcPr>
            <w:tcW w:w="1566" w:type="dxa"/>
            <w:shd w:val="clear" w:color="auto" w:fill="auto"/>
            <w:noWrap/>
            <w:vAlign w:val="center"/>
            <w:hideMark/>
          </w:tcPr>
          <w:p w14:paraId="1A3E557B" w14:textId="77777777" w:rsidR="00CF6ACB" w:rsidRPr="00065ABB" w:rsidRDefault="00CF6ACB" w:rsidP="00062DAE">
            <w:pPr>
              <w:spacing w:after="0" w:line="240" w:lineRule="auto"/>
              <w:jc w:val="center"/>
              <w:rPr>
                <w:rFonts w:eastAsia="Times New Roman"/>
                <w:color w:val="000000"/>
                <w:sz w:val="18"/>
                <w:szCs w:val="18"/>
              </w:rPr>
            </w:pPr>
            <w:r w:rsidRPr="00065ABB">
              <w:rPr>
                <w:rFonts w:eastAsia="Times New Roman"/>
                <w:color w:val="000000"/>
                <w:sz w:val="18"/>
                <w:szCs w:val="18"/>
              </w:rPr>
              <w:t>N/A because GGP not yet under implementation</w:t>
            </w:r>
          </w:p>
        </w:tc>
        <w:tc>
          <w:tcPr>
            <w:tcW w:w="1071" w:type="dxa"/>
            <w:vAlign w:val="center"/>
          </w:tcPr>
          <w:p w14:paraId="6461FFC9" w14:textId="77777777" w:rsidR="00CF6ACB" w:rsidRPr="00065ABB" w:rsidRDefault="00CF6ACB" w:rsidP="00062DAE">
            <w:pPr>
              <w:spacing w:after="0" w:line="240" w:lineRule="auto"/>
              <w:jc w:val="center"/>
              <w:rPr>
                <w:rFonts w:eastAsia="Times New Roman"/>
                <w:color w:val="000000"/>
                <w:sz w:val="18"/>
                <w:szCs w:val="18"/>
              </w:rPr>
            </w:pPr>
            <w:r w:rsidRPr="00065ABB">
              <w:rPr>
                <w:rFonts w:eastAsia="Times New Roman"/>
                <w:color w:val="000000"/>
                <w:sz w:val="18"/>
                <w:szCs w:val="18"/>
              </w:rPr>
              <w:t xml:space="preserve"># </w:t>
            </w:r>
            <w:r w:rsidRPr="00085E9B">
              <w:rPr>
                <w:rFonts w:eastAsia="Times New Roman"/>
                <w:color w:val="000000"/>
                <w:sz w:val="18"/>
                <w:szCs w:val="18"/>
              </w:rPr>
              <w:t>Practices</w:t>
            </w:r>
          </w:p>
        </w:tc>
        <w:tc>
          <w:tcPr>
            <w:tcW w:w="1319" w:type="dxa"/>
            <w:shd w:val="clear" w:color="auto" w:fill="auto"/>
            <w:noWrap/>
            <w:vAlign w:val="center"/>
            <w:hideMark/>
          </w:tcPr>
          <w:p w14:paraId="1E9EB363" w14:textId="77777777" w:rsidR="00CF6ACB" w:rsidRPr="00065ABB" w:rsidRDefault="00CF6ACB" w:rsidP="00062DAE">
            <w:pPr>
              <w:spacing w:after="0" w:line="240" w:lineRule="auto"/>
              <w:jc w:val="center"/>
              <w:rPr>
                <w:rFonts w:eastAsia="Times New Roman"/>
                <w:color w:val="000000"/>
                <w:sz w:val="18"/>
                <w:szCs w:val="18"/>
              </w:rPr>
            </w:pPr>
            <w:r w:rsidRPr="00065ABB">
              <w:rPr>
                <w:rFonts w:eastAsia="Times New Roman"/>
                <w:color w:val="000000"/>
                <w:sz w:val="18"/>
                <w:szCs w:val="18"/>
              </w:rPr>
              <w:t>At least 2 adaptive management practices implemented per year</w:t>
            </w:r>
          </w:p>
        </w:tc>
        <w:tc>
          <w:tcPr>
            <w:tcW w:w="1269" w:type="dxa"/>
            <w:vAlign w:val="center"/>
          </w:tcPr>
          <w:p w14:paraId="4954AFFC" w14:textId="3676F21A" w:rsidR="00CF6ACB" w:rsidRPr="00065ABB" w:rsidRDefault="00F30B67" w:rsidP="00062DAE">
            <w:pPr>
              <w:spacing w:after="0" w:line="240" w:lineRule="auto"/>
              <w:jc w:val="center"/>
              <w:rPr>
                <w:rFonts w:eastAsia="Times New Roman"/>
                <w:color w:val="FFFFFF"/>
                <w:sz w:val="18"/>
                <w:szCs w:val="18"/>
              </w:rPr>
            </w:pPr>
            <w:r>
              <w:rPr>
                <w:rFonts w:eastAsia="Times New Roman"/>
                <w:sz w:val="18"/>
                <w:szCs w:val="18"/>
              </w:rPr>
              <w:t>59</w:t>
            </w:r>
            <w:r w:rsidR="00CF6ACB" w:rsidRPr="00065ABB">
              <w:rPr>
                <w:rFonts w:eastAsia="Times New Roman"/>
                <w:sz w:val="18"/>
                <w:szCs w:val="18"/>
              </w:rPr>
              <w:t>4</w:t>
            </w:r>
          </w:p>
        </w:tc>
        <w:tc>
          <w:tcPr>
            <w:tcW w:w="872" w:type="dxa"/>
            <w:shd w:val="clear" w:color="000000" w:fill="00B050"/>
            <w:vAlign w:val="center"/>
            <w:hideMark/>
          </w:tcPr>
          <w:p w14:paraId="50F03A47" w14:textId="77777777" w:rsidR="00CF6ACB" w:rsidRPr="00065ABB" w:rsidRDefault="00CF6ACB" w:rsidP="00062DAE">
            <w:pPr>
              <w:spacing w:after="0" w:line="240" w:lineRule="auto"/>
              <w:jc w:val="center"/>
              <w:rPr>
                <w:rFonts w:eastAsia="Times New Roman"/>
                <w:color w:val="FFFFFF"/>
                <w:sz w:val="18"/>
                <w:szCs w:val="18"/>
              </w:rPr>
            </w:pPr>
            <w:r w:rsidRPr="00065ABB">
              <w:rPr>
                <w:rFonts w:eastAsia="Times New Roman"/>
                <w:color w:val="FFFFFF"/>
                <w:sz w:val="18"/>
                <w:szCs w:val="18"/>
              </w:rPr>
              <w:t>&gt;100</w:t>
            </w:r>
          </w:p>
        </w:tc>
        <w:tc>
          <w:tcPr>
            <w:tcW w:w="927" w:type="dxa"/>
            <w:shd w:val="clear" w:color="auto" w:fill="auto"/>
            <w:noWrap/>
            <w:vAlign w:val="center"/>
            <w:hideMark/>
          </w:tcPr>
          <w:p w14:paraId="2AF88691" w14:textId="77777777" w:rsidR="00CF6ACB" w:rsidRPr="00065ABB" w:rsidRDefault="00CF6ACB" w:rsidP="00062DAE">
            <w:pPr>
              <w:spacing w:after="0" w:line="240" w:lineRule="auto"/>
              <w:jc w:val="center"/>
              <w:rPr>
                <w:rFonts w:eastAsia="Times New Roman"/>
                <w:sz w:val="18"/>
                <w:szCs w:val="18"/>
              </w:rPr>
            </w:pPr>
            <w:r w:rsidRPr="00065ABB">
              <w:rPr>
                <w:rFonts w:eastAsia="Times New Roman"/>
                <w:sz w:val="18"/>
                <w:szCs w:val="18"/>
              </w:rPr>
              <w:t>HS</w:t>
            </w:r>
          </w:p>
        </w:tc>
      </w:tr>
      <w:tr w:rsidR="00CF6ACB" w:rsidRPr="00065ABB" w14:paraId="5D27DC60" w14:textId="77777777" w:rsidTr="00DF29FF">
        <w:trPr>
          <w:trHeight w:val="386"/>
        </w:trPr>
        <w:tc>
          <w:tcPr>
            <w:tcW w:w="8403" w:type="dxa"/>
            <w:gridSpan w:val="6"/>
            <w:shd w:val="clear" w:color="auto" w:fill="auto"/>
            <w:vAlign w:val="center"/>
          </w:tcPr>
          <w:p w14:paraId="499DE04C" w14:textId="77777777" w:rsidR="00CF6ACB" w:rsidRPr="00065ABB" w:rsidRDefault="00CF6ACB" w:rsidP="00062DAE">
            <w:pPr>
              <w:spacing w:after="0" w:line="240" w:lineRule="auto"/>
              <w:jc w:val="right"/>
              <w:rPr>
                <w:rFonts w:eastAsia="Times New Roman"/>
                <w:sz w:val="18"/>
                <w:szCs w:val="18"/>
              </w:rPr>
            </w:pPr>
            <w:r w:rsidRPr="00065ABB">
              <w:rPr>
                <w:rFonts w:eastAsia="Times New Roman"/>
                <w:sz w:val="18"/>
                <w:szCs w:val="18"/>
              </w:rPr>
              <w:t> The progress of the objective can be described as:</w:t>
            </w:r>
          </w:p>
          <w:p w14:paraId="48B2B13B" w14:textId="77777777" w:rsidR="00CF6ACB" w:rsidRPr="00065ABB" w:rsidRDefault="00CF6ACB" w:rsidP="00062DAE">
            <w:pPr>
              <w:spacing w:after="0" w:line="240" w:lineRule="auto"/>
              <w:jc w:val="right"/>
              <w:rPr>
                <w:rFonts w:eastAsia="Times New Roman"/>
                <w:sz w:val="18"/>
                <w:szCs w:val="18"/>
              </w:rPr>
            </w:pPr>
            <w:r w:rsidRPr="00065ABB">
              <w:rPr>
                <w:rFonts w:eastAsia="Times New Roman"/>
                <w:sz w:val="18"/>
                <w:szCs w:val="18"/>
              </w:rPr>
              <w:t> </w:t>
            </w:r>
          </w:p>
          <w:p w14:paraId="0A45F450" w14:textId="77777777" w:rsidR="00CF6ACB" w:rsidRPr="00065ABB" w:rsidRDefault="00CF6ACB" w:rsidP="00062DAE">
            <w:pPr>
              <w:spacing w:after="0" w:line="240" w:lineRule="auto"/>
              <w:jc w:val="right"/>
              <w:rPr>
                <w:rFonts w:eastAsia="Times New Roman"/>
                <w:color w:val="FFFFFF"/>
                <w:sz w:val="18"/>
                <w:szCs w:val="18"/>
              </w:rPr>
            </w:pPr>
            <w:r w:rsidRPr="00065ABB">
              <w:rPr>
                <w:rFonts w:eastAsia="Times New Roman"/>
                <w:sz w:val="18"/>
                <w:szCs w:val="18"/>
              </w:rPr>
              <w:t>Highly Satisfactory </w:t>
            </w:r>
          </w:p>
        </w:tc>
        <w:tc>
          <w:tcPr>
            <w:tcW w:w="927" w:type="dxa"/>
            <w:shd w:val="clear" w:color="auto" w:fill="auto"/>
            <w:noWrap/>
            <w:vAlign w:val="center"/>
          </w:tcPr>
          <w:p w14:paraId="38BA464D" w14:textId="77777777" w:rsidR="00CF6ACB" w:rsidRPr="00065ABB" w:rsidRDefault="00CF6ACB" w:rsidP="00062DAE">
            <w:pPr>
              <w:spacing w:after="0" w:line="240" w:lineRule="auto"/>
              <w:rPr>
                <w:rFonts w:eastAsia="Times New Roman"/>
                <w:sz w:val="18"/>
                <w:szCs w:val="18"/>
              </w:rPr>
            </w:pPr>
            <w:r w:rsidRPr="00065ABB">
              <w:rPr>
                <w:rFonts w:eastAsia="Times New Roman"/>
                <w:sz w:val="18"/>
                <w:szCs w:val="18"/>
              </w:rPr>
              <w:t>100% = HS</w:t>
            </w:r>
          </w:p>
        </w:tc>
      </w:tr>
    </w:tbl>
    <w:p w14:paraId="5D3E37FF" w14:textId="77777777" w:rsidR="00CF6ACB" w:rsidRPr="00085E9B" w:rsidRDefault="00CF6ACB" w:rsidP="00CF6ACB">
      <w:pPr>
        <w:spacing w:after="0" w:line="240" w:lineRule="auto"/>
        <w:rPr>
          <w:rFonts w:eastAsia="Times New Roman"/>
          <w:color w:val="000000"/>
          <w:sz w:val="16"/>
          <w:szCs w:val="16"/>
        </w:rPr>
      </w:pPr>
      <w:r w:rsidRPr="00E5139D">
        <w:rPr>
          <w:rFonts w:eastAsia="Times New Roman"/>
          <w:color w:val="000000"/>
          <w:sz w:val="16"/>
          <w:szCs w:val="16"/>
        </w:rPr>
        <w:t>Rating Scale:  HS=100%; S=80-99; MS=60-79; MU=40-59; U=20-39; HU = &lt;20</w:t>
      </w:r>
    </w:p>
    <w:tbl>
      <w:tblPr>
        <w:tblW w:w="0" w:type="auto"/>
        <w:tblCellMar>
          <w:left w:w="0" w:type="dxa"/>
          <w:right w:w="0" w:type="dxa"/>
        </w:tblCellMar>
        <w:tblLook w:val="0420" w:firstRow="1" w:lastRow="0" w:firstColumn="0" w:lastColumn="0" w:noHBand="0" w:noVBand="1"/>
      </w:tblPr>
      <w:tblGrid>
        <w:gridCol w:w="1017"/>
        <w:gridCol w:w="1875"/>
        <w:gridCol w:w="1621"/>
      </w:tblGrid>
      <w:tr w:rsidR="00CF6ACB" w:rsidRPr="00C65844" w14:paraId="2500CC61" w14:textId="77777777" w:rsidTr="00062DAE">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36F72BC5" w14:textId="77777777" w:rsidR="00CF6ACB" w:rsidRPr="00C65844" w:rsidRDefault="00CF6ACB" w:rsidP="00062DAE">
            <w:pPr>
              <w:jc w:val="center"/>
              <w:rPr>
                <w:b/>
                <w:bCs/>
                <w:sz w:val="16"/>
                <w:szCs w:val="16"/>
                <w:lang w:val="es-ES"/>
              </w:rPr>
            </w:pPr>
            <w:r w:rsidRPr="00C65844">
              <w:rPr>
                <w:b/>
                <w:bCs/>
                <w:sz w:val="16"/>
                <w:szCs w:val="16"/>
              </w:rPr>
              <w:t>Completed</w:t>
            </w:r>
          </w:p>
        </w:tc>
        <w:tc>
          <w:tcPr>
            <w:tcW w:w="0" w:type="auto"/>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14:paraId="43570141" w14:textId="77777777" w:rsidR="00CF6ACB" w:rsidRPr="00C65844" w:rsidRDefault="00CF6ACB" w:rsidP="00062DAE">
            <w:pPr>
              <w:jc w:val="center"/>
              <w:rPr>
                <w:b/>
                <w:bCs/>
                <w:sz w:val="16"/>
                <w:szCs w:val="16"/>
                <w:lang w:val="es-ES"/>
              </w:rPr>
            </w:pPr>
            <w:r w:rsidRPr="00C65844">
              <w:rPr>
                <w:b/>
                <w:bCs/>
                <w:sz w:val="16"/>
                <w:szCs w:val="16"/>
              </w:rPr>
              <w:t>On track for completion</w:t>
            </w:r>
          </w:p>
        </w:tc>
        <w:tc>
          <w:tcPr>
            <w:tcW w:w="0" w:type="auto"/>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7BD7E889" w14:textId="77777777" w:rsidR="00CF6ACB" w:rsidRPr="00C65844" w:rsidRDefault="00CF6ACB" w:rsidP="00062DAE">
            <w:pPr>
              <w:jc w:val="center"/>
              <w:rPr>
                <w:b/>
                <w:bCs/>
                <w:sz w:val="16"/>
                <w:szCs w:val="16"/>
                <w:lang w:val="es-ES"/>
              </w:rPr>
            </w:pPr>
            <w:r w:rsidRPr="00C65844">
              <w:rPr>
                <w:b/>
                <w:bCs/>
                <w:sz w:val="16"/>
                <w:szCs w:val="16"/>
              </w:rPr>
              <w:t>Completion unlikely</w:t>
            </w:r>
          </w:p>
        </w:tc>
      </w:tr>
    </w:tbl>
    <w:p w14:paraId="2AAD5B6A" w14:textId="0D6D34F1" w:rsidR="00CF6ACB" w:rsidRDefault="00DF29FF" w:rsidP="00420E2E">
      <w:pPr>
        <w:spacing w:after="120" w:line="240" w:lineRule="auto"/>
        <w:rPr>
          <w:rFonts w:asciiTheme="minorHAnsi" w:hAnsiTheme="minorHAnsi" w:cstheme="minorHAnsi"/>
        </w:rPr>
      </w:pPr>
      <w:r>
        <w:rPr>
          <w:rFonts w:asciiTheme="minorHAnsi" w:hAnsiTheme="minorHAnsi" w:cstheme="minorHAnsi"/>
        </w:rPr>
        <w:t>Table 8. Outcome Indicators Ratings</w:t>
      </w:r>
    </w:p>
    <w:p w14:paraId="3194B9F9" w14:textId="77777777" w:rsidR="00DF29FF" w:rsidRPr="00420E2E" w:rsidRDefault="00DF29FF" w:rsidP="00420E2E">
      <w:pPr>
        <w:spacing w:after="120" w:line="240" w:lineRule="auto"/>
        <w:rPr>
          <w:rFonts w:asciiTheme="minorHAnsi" w:hAnsiTheme="minorHAnsi" w:cstheme="minorHAnsi"/>
        </w:rPr>
      </w:pPr>
    </w:p>
    <w:p w14:paraId="56142A8C" w14:textId="0C32992E" w:rsidR="00420E2E" w:rsidRPr="00420E2E" w:rsidRDefault="00420E2E" w:rsidP="00B00661">
      <w:pPr>
        <w:spacing w:after="120" w:line="240" w:lineRule="auto"/>
        <w:jc w:val="both"/>
        <w:rPr>
          <w:rFonts w:asciiTheme="minorHAnsi" w:hAnsiTheme="minorHAnsi" w:cstheme="minorHAnsi"/>
        </w:rPr>
      </w:pPr>
      <w:r w:rsidRPr="00420E2E">
        <w:rPr>
          <w:rFonts w:asciiTheme="minorHAnsi" w:hAnsiTheme="minorHAnsi" w:cstheme="minorHAnsi"/>
        </w:rPr>
        <w:t xml:space="preserve">A review </w:t>
      </w:r>
      <w:r>
        <w:rPr>
          <w:rFonts w:asciiTheme="minorHAnsi" w:hAnsiTheme="minorHAnsi" w:cstheme="minorHAnsi"/>
        </w:rPr>
        <w:t xml:space="preserve">of the outcome indicators also reveals good progress in working towards </w:t>
      </w:r>
      <w:r w:rsidR="00D86ACF">
        <w:rPr>
          <w:rFonts w:asciiTheme="minorHAnsi" w:hAnsiTheme="minorHAnsi" w:cstheme="minorHAnsi"/>
        </w:rPr>
        <w:t xml:space="preserve">coordination and sequencing of actions. </w:t>
      </w:r>
      <w:r w:rsidR="00C240B2">
        <w:rPr>
          <w:rFonts w:asciiTheme="minorHAnsi" w:hAnsiTheme="minorHAnsi" w:cstheme="minorHAnsi"/>
        </w:rPr>
        <w:t>T</w:t>
      </w:r>
      <w:r w:rsidR="00D86ACF">
        <w:rPr>
          <w:rFonts w:asciiTheme="minorHAnsi" w:hAnsiTheme="minorHAnsi" w:cstheme="minorHAnsi"/>
        </w:rPr>
        <w:t xml:space="preserve">he measure is the number of coordination calls that are attended by </w:t>
      </w:r>
      <w:r w:rsidR="00DF29FF">
        <w:rPr>
          <w:rFonts w:asciiTheme="minorHAnsi" w:hAnsiTheme="minorHAnsi" w:cstheme="minorHAnsi"/>
        </w:rPr>
        <w:t>dedicated staff</w:t>
      </w:r>
      <w:r w:rsidR="00D86ACF">
        <w:rPr>
          <w:rFonts w:asciiTheme="minorHAnsi" w:hAnsiTheme="minorHAnsi" w:cstheme="minorHAnsi"/>
        </w:rPr>
        <w:t xml:space="preserve"> and the number of integrated plans developed at the country-level</w:t>
      </w:r>
      <w:r>
        <w:rPr>
          <w:rFonts w:asciiTheme="minorHAnsi" w:hAnsiTheme="minorHAnsi" w:cstheme="minorHAnsi"/>
        </w:rPr>
        <w:t xml:space="preserve">. </w:t>
      </w:r>
      <w:r w:rsidR="00D86ACF">
        <w:rPr>
          <w:rFonts w:asciiTheme="minorHAnsi" w:hAnsiTheme="minorHAnsi" w:cstheme="minorHAnsi"/>
        </w:rPr>
        <w:t xml:space="preserve">KIIs sought to add quality to the indicator. </w:t>
      </w:r>
      <w:r>
        <w:rPr>
          <w:rFonts w:asciiTheme="minorHAnsi" w:hAnsiTheme="minorHAnsi" w:cstheme="minorHAnsi"/>
        </w:rPr>
        <w:t xml:space="preserve"> </w:t>
      </w:r>
      <w:r w:rsidR="00CC31AA">
        <w:rPr>
          <w:rFonts w:asciiTheme="minorHAnsi" w:hAnsiTheme="minorHAnsi" w:cstheme="minorHAnsi"/>
        </w:rPr>
        <w:t xml:space="preserve">Per findings, Interviewees appreciated the quality of information, </w:t>
      </w:r>
    </w:p>
    <w:p w14:paraId="5798B17F" w14:textId="77777777" w:rsidR="00CF6ACB" w:rsidRPr="00D3052B" w:rsidRDefault="00CF6ACB" w:rsidP="00CF6ACB">
      <w:pPr>
        <w:rPr>
          <w:rFonts w:asciiTheme="minorHAnsi" w:hAnsiTheme="minorHAnsi" w:cstheme="minorHAnsi"/>
          <w:b/>
          <w:bCs/>
        </w:rPr>
      </w:pPr>
      <w:bookmarkStart w:id="72" w:name="_Hlk89856603"/>
      <w:r w:rsidRPr="00D3052B">
        <w:rPr>
          <w:rFonts w:asciiTheme="minorHAnsi" w:hAnsiTheme="minorHAnsi" w:cstheme="minorHAnsi"/>
          <w:b/>
          <w:bCs/>
        </w:rPr>
        <w:t>Component 1 Findings:</w:t>
      </w:r>
    </w:p>
    <w:p w14:paraId="17DE33A0" w14:textId="77777777" w:rsidR="00CF6ACB" w:rsidRPr="00D3052B" w:rsidRDefault="00CF6ACB" w:rsidP="00D80344">
      <w:pPr>
        <w:pStyle w:val="ListParagraph"/>
        <w:numPr>
          <w:ilvl w:val="0"/>
          <w:numId w:val="24"/>
        </w:numPr>
        <w:jc w:val="both"/>
        <w:rPr>
          <w:rFonts w:asciiTheme="minorHAnsi" w:hAnsiTheme="minorHAnsi" w:cstheme="minorHAnsi"/>
        </w:rPr>
      </w:pPr>
      <w:r w:rsidRPr="00D3052B">
        <w:rPr>
          <w:rFonts w:asciiTheme="minorHAnsi" w:hAnsiTheme="minorHAnsi" w:cstheme="minorHAnsi"/>
        </w:rPr>
        <w:t xml:space="preserve">All those interviewed cited the quality of the information, accessibility, relevance, etc. </w:t>
      </w:r>
    </w:p>
    <w:p w14:paraId="426F3679" w14:textId="77777777" w:rsidR="00CF6ACB" w:rsidRPr="00D3052B" w:rsidRDefault="00CF6ACB" w:rsidP="00D80344">
      <w:pPr>
        <w:pStyle w:val="ListParagraph"/>
        <w:numPr>
          <w:ilvl w:val="0"/>
          <w:numId w:val="24"/>
        </w:numPr>
        <w:jc w:val="both"/>
        <w:rPr>
          <w:rFonts w:asciiTheme="minorHAnsi" w:hAnsiTheme="minorHAnsi" w:cstheme="minorHAnsi"/>
        </w:rPr>
      </w:pPr>
      <w:r w:rsidRPr="00D3052B">
        <w:rPr>
          <w:rFonts w:asciiTheme="minorHAnsi" w:hAnsiTheme="minorHAnsi" w:cstheme="minorHAnsi"/>
        </w:rPr>
        <w:t xml:space="preserve">Respondents admitted not taking advantage of opportunities.  </w:t>
      </w:r>
    </w:p>
    <w:p w14:paraId="3F89A662" w14:textId="7B13C466" w:rsidR="00CF6ACB" w:rsidRPr="00D3052B" w:rsidRDefault="00CF6ACB" w:rsidP="00D80344">
      <w:pPr>
        <w:pStyle w:val="ListParagraph"/>
        <w:numPr>
          <w:ilvl w:val="0"/>
          <w:numId w:val="24"/>
        </w:numPr>
        <w:jc w:val="both"/>
        <w:rPr>
          <w:rFonts w:asciiTheme="minorHAnsi" w:hAnsiTheme="minorHAnsi" w:cstheme="minorHAnsi"/>
        </w:rPr>
      </w:pPr>
      <w:r w:rsidRPr="00D3052B">
        <w:rPr>
          <w:rFonts w:asciiTheme="minorHAnsi" w:hAnsiTheme="minorHAnsi" w:cstheme="minorHAnsi"/>
        </w:rPr>
        <w:t xml:space="preserve">The </w:t>
      </w:r>
      <w:r w:rsidR="00E554AF">
        <w:rPr>
          <w:rFonts w:asciiTheme="minorHAnsi" w:hAnsiTheme="minorHAnsi" w:cstheme="minorHAnsi"/>
        </w:rPr>
        <w:t>GGP Secretariat quarterly</w:t>
      </w:r>
      <w:r w:rsidRPr="00D3052B">
        <w:rPr>
          <w:rFonts w:asciiTheme="minorHAnsi" w:hAnsiTheme="minorHAnsi" w:cstheme="minorHAnsi"/>
        </w:rPr>
        <w:t xml:space="preserve"> Country specific calls were particularly noted as focused and pertinent. </w:t>
      </w:r>
    </w:p>
    <w:p w14:paraId="1EC0E30F" w14:textId="77777777" w:rsidR="00CF6ACB" w:rsidRPr="00D3052B" w:rsidRDefault="00CF6ACB" w:rsidP="00D80344">
      <w:pPr>
        <w:pStyle w:val="ListParagraph"/>
        <w:numPr>
          <w:ilvl w:val="0"/>
          <w:numId w:val="24"/>
        </w:numPr>
        <w:jc w:val="both"/>
      </w:pPr>
      <w:r w:rsidRPr="00D3052B">
        <w:rPr>
          <w:rFonts w:asciiTheme="minorHAnsi" w:hAnsiTheme="minorHAnsi" w:cstheme="minorHAnsi"/>
        </w:rPr>
        <w:t xml:space="preserve">The lesson learned is that busy people with multiple roles will simply focus on the most pertinent to them. </w:t>
      </w:r>
    </w:p>
    <w:p w14:paraId="68D367AD" w14:textId="557F366E" w:rsidR="00CF6ACB" w:rsidRDefault="00CF6ACB" w:rsidP="00D80344">
      <w:pPr>
        <w:pStyle w:val="ListParagraph"/>
        <w:numPr>
          <w:ilvl w:val="0"/>
          <w:numId w:val="24"/>
        </w:numPr>
        <w:jc w:val="both"/>
        <w:rPr>
          <w:rFonts w:asciiTheme="minorHAnsi" w:hAnsiTheme="minorHAnsi" w:cstheme="minorHAnsi"/>
        </w:rPr>
      </w:pPr>
      <w:r w:rsidRPr="00D3052B">
        <w:rPr>
          <w:rFonts w:asciiTheme="minorHAnsi" w:hAnsiTheme="minorHAnsi" w:cstheme="minorHAnsi"/>
          <w:b/>
          <w:bCs/>
        </w:rPr>
        <w:t xml:space="preserve">Technical Sequencing </w:t>
      </w:r>
      <w:r w:rsidRPr="00D3052B">
        <w:rPr>
          <w:rFonts w:asciiTheme="minorHAnsi" w:hAnsiTheme="minorHAnsi" w:cstheme="minorHAnsi"/>
        </w:rPr>
        <w:t xml:space="preserve">is important and effective. The technical sequencing is proportional to the spaces created to do so.  The PMU adapted favorably to maintain progressively more productive spaces </w:t>
      </w:r>
      <w:r w:rsidR="00B149CB">
        <w:rPr>
          <w:rFonts w:asciiTheme="minorHAnsi" w:hAnsiTheme="minorHAnsi" w:cstheme="minorHAnsi"/>
        </w:rPr>
        <w:t xml:space="preserve">(planning, calls, workshops, etc) </w:t>
      </w:r>
      <w:r w:rsidRPr="00D3052B">
        <w:rPr>
          <w:rFonts w:asciiTheme="minorHAnsi" w:hAnsiTheme="minorHAnsi" w:cstheme="minorHAnsi"/>
        </w:rPr>
        <w:t xml:space="preserve">where cross cutting issues </w:t>
      </w:r>
      <w:r w:rsidR="007C6E14">
        <w:rPr>
          <w:rFonts w:asciiTheme="minorHAnsi" w:hAnsiTheme="minorHAnsi" w:cstheme="minorHAnsi"/>
        </w:rPr>
        <w:t xml:space="preserve">and integration </w:t>
      </w:r>
      <w:r w:rsidRPr="00D3052B">
        <w:rPr>
          <w:rFonts w:asciiTheme="minorHAnsi" w:hAnsiTheme="minorHAnsi" w:cstheme="minorHAnsi"/>
        </w:rPr>
        <w:t xml:space="preserve">could be </w:t>
      </w:r>
      <w:r w:rsidRPr="00D3052B">
        <w:rPr>
          <w:rFonts w:asciiTheme="minorHAnsi" w:hAnsiTheme="minorHAnsi" w:cstheme="minorHAnsi"/>
        </w:rPr>
        <w:lastRenderedPageBreak/>
        <w:t>discussed. Interestingly, at the national level, technical sequencing is as challenging</w:t>
      </w:r>
      <w:r w:rsidR="00B149CB">
        <w:rPr>
          <w:rFonts w:asciiTheme="minorHAnsi" w:hAnsiTheme="minorHAnsi" w:cstheme="minorHAnsi"/>
        </w:rPr>
        <w:t xml:space="preserve"> as ever</w:t>
      </w:r>
      <w:r w:rsidRPr="00D3052B">
        <w:rPr>
          <w:rFonts w:asciiTheme="minorHAnsi" w:hAnsiTheme="minorHAnsi" w:cstheme="minorHAnsi"/>
        </w:rPr>
        <w:t xml:space="preserve"> if not more so.  The development of </w:t>
      </w:r>
      <w:r w:rsidR="001F59C0">
        <w:rPr>
          <w:rFonts w:asciiTheme="minorHAnsi" w:hAnsiTheme="minorHAnsi" w:cstheme="minorHAnsi"/>
        </w:rPr>
        <w:t>multi-stakeholder</w:t>
      </w:r>
      <w:r w:rsidRPr="00D3052B">
        <w:rPr>
          <w:rFonts w:asciiTheme="minorHAnsi" w:hAnsiTheme="minorHAnsi" w:cstheme="minorHAnsi"/>
        </w:rPr>
        <w:t xml:space="preserve"> Platforms (Production) and Roundtables</w:t>
      </w:r>
      <w:r w:rsidR="00B149CB">
        <w:rPr>
          <w:rFonts w:asciiTheme="minorHAnsi" w:hAnsiTheme="minorHAnsi" w:cstheme="minorHAnsi"/>
        </w:rPr>
        <w:t xml:space="preserve"> where networking occurs</w:t>
      </w:r>
      <w:r w:rsidRPr="00D3052B">
        <w:rPr>
          <w:rFonts w:asciiTheme="minorHAnsi" w:hAnsiTheme="minorHAnsi" w:cstheme="minorHAnsi"/>
        </w:rPr>
        <w:t xml:space="preserve"> (Demand</w:t>
      </w:r>
      <w:r w:rsidR="00B149CB">
        <w:rPr>
          <w:rFonts w:asciiTheme="minorHAnsi" w:hAnsiTheme="minorHAnsi" w:cstheme="minorHAnsi"/>
        </w:rPr>
        <w:t xml:space="preserve"> project</w:t>
      </w:r>
      <w:r w:rsidRPr="00D3052B">
        <w:rPr>
          <w:rFonts w:asciiTheme="minorHAnsi" w:hAnsiTheme="minorHAnsi" w:cstheme="minorHAnsi"/>
        </w:rPr>
        <w:t xml:space="preserve">) will also enhance this dimension and make future projects easier </w:t>
      </w:r>
      <w:r w:rsidR="00B149CB">
        <w:rPr>
          <w:rFonts w:asciiTheme="minorHAnsi" w:hAnsiTheme="minorHAnsi" w:cstheme="minorHAnsi"/>
        </w:rPr>
        <w:t xml:space="preserve">to sequence </w:t>
      </w:r>
      <w:r w:rsidRPr="00D3052B">
        <w:rPr>
          <w:rFonts w:asciiTheme="minorHAnsi" w:hAnsiTheme="minorHAnsi" w:cstheme="minorHAnsi"/>
        </w:rPr>
        <w:t xml:space="preserve">on a common management unit like A&amp;L.  </w:t>
      </w:r>
      <w:r w:rsidR="00B149CB" w:rsidRPr="00D3052B" w:rsidDel="00B149CB">
        <w:rPr>
          <w:rFonts w:asciiTheme="minorHAnsi" w:hAnsiTheme="minorHAnsi" w:cstheme="minorHAnsi"/>
        </w:rPr>
        <w:t xml:space="preserve"> </w:t>
      </w:r>
      <w:r w:rsidR="00B149CB">
        <w:rPr>
          <w:rFonts w:asciiTheme="minorHAnsi" w:hAnsiTheme="minorHAnsi" w:cstheme="minorHAnsi"/>
        </w:rPr>
        <w:t>Regardless, evaluators noticed that at the country-level there are still challenges to technical sequencing with transaction functions sometimes distant from production functions of the same project</w:t>
      </w:r>
      <w:r w:rsidR="000A087A">
        <w:rPr>
          <w:rFonts w:asciiTheme="minorHAnsi" w:hAnsiTheme="minorHAnsi" w:cstheme="minorHAnsi"/>
        </w:rPr>
        <w:t>. Other functions like communications could also be better sequenced across the entire platform as part of a more holistic planning framework.</w:t>
      </w:r>
    </w:p>
    <w:p w14:paraId="113D3EA7" w14:textId="600EDE03" w:rsidR="00CF6ACB" w:rsidRPr="00D3052B" w:rsidRDefault="00CF6ACB" w:rsidP="00D80344">
      <w:pPr>
        <w:pStyle w:val="ListParagraph"/>
        <w:numPr>
          <w:ilvl w:val="0"/>
          <w:numId w:val="24"/>
        </w:numPr>
        <w:jc w:val="both"/>
      </w:pPr>
      <w:r w:rsidRPr="00D3052B">
        <w:rPr>
          <w:rFonts w:asciiTheme="minorHAnsi" w:hAnsiTheme="minorHAnsi" w:cstheme="minorHAnsi"/>
          <w:b/>
          <w:bCs/>
        </w:rPr>
        <w:t>Monitoring and Evaluation</w:t>
      </w:r>
      <w:r w:rsidRPr="00D3052B">
        <w:rPr>
          <w:rFonts w:asciiTheme="minorHAnsi" w:hAnsiTheme="minorHAnsi" w:cstheme="minorHAnsi"/>
        </w:rPr>
        <w:t>: Very high marks for responding post MTR to a system wide monitoring effort to attempt to capture the benefits of the program. Although it is late in the game, this enormous effort has systematized M&amp;E</w:t>
      </w:r>
      <w:r w:rsidR="001F0AD6">
        <w:rPr>
          <w:rFonts w:asciiTheme="minorHAnsi" w:hAnsiTheme="minorHAnsi" w:cstheme="minorHAnsi"/>
        </w:rPr>
        <w:t>.</w:t>
      </w:r>
      <w:r w:rsidRPr="00D3052B">
        <w:rPr>
          <w:rFonts w:asciiTheme="minorHAnsi" w:hAnsiTheme="minorHAnsi" w:cstheme="minorHAnsi"/>
        </w:rPr>
        <w:t xml:space="preserve"> The systems and tools put into place (</w:t>
      </w:r>
      <w:r w:rsidR="00CC31AA">
        <w:rPr>
          <w:rFonts w:asciiTheme="minorHAnsi" w:hAnsiTheme="minorHAnsi" w:cstheme="minorHAnsi"/>
        </w:rPr>
        <w:t>Gender Strategy</w:t>
      </w:r>
      <w:r w:rsidRPr="00D3052B">
        <w:rPr>
          <w:rFonts w:asciiTheme="minorHAnsi" w:hAnsiTheme="minorHAnsi" w:cstheme="minorHAnsi"/>
        </w:rPr>
        <w:t xml:space="preserve">, etc.) will </w:t>
      </w:r>
      <w:r w:rsidR="00300EC1">
        <w:rPr>
          <w:rFonts w:asciiTheme="minorHAnsi" w:hAnsiTheme="minorHAnsi" w:cstheme="minorHAnsi"/>
        </w:rPr>
        <w:t>b</w:t>
      </w:r>
      <w:r w:rsidRPr="00D3052B">
        <w:rPr>
          <w:rFonts w:asciiTheme="minorHAnsi" w:hAnsiTheme="minorHAnsi" w:cstheme="minorHAnsi"/>
        </w:rPr>
        <w:t>enefit the countries going forward.</w:t>
      </w:r>
    </w:p>
    <w:p w14:paraId="7599483C" w14:textId="71094FC3" w:rsidR="00CF6ACB" w:rsidRPr="00D3052B" w:rsidRDefault="00CF6ACB" w:rsidP="00D80344">
      <w:pPr>
        <w:pStyle w:val="ListParagraph"/>
        <w:numPr>
          <w:ilvl w:val="0"/>
          <w:numId w:val="24"/>
        </w:numPr>
        <w:jc w:val="both"/>
      </w:pPr>
      <w:r w:rsidRPr="00330D69">
        <w:t xml:space="preserve"> </w:t>
      </w:r>
      <w:r w:rsidRPr="00D3052B">
        <w:rPr>
          <w:rFonts w:asciiTheme="minorHAnsi" w:hAnsiTheme="minorHAnsi" w:cstheme="minorHAnsi"/>
          <w:b/>
          <w:bCs/>
        </w:rPr>
        <w:t xml:space="preserve">Care must be taken to mainstream the tools being employed as actors have changed and some do not know they exist.  </w:t>
      </w:r>
      <w:r w:rsidRPr="00D3052B">
        <w:rPr>
          <w:rFonts w:asciiTheme="minorHAnsi" w:hAnsiTheme="minorHAnsi" w:cstheme="minorHAnsi"/>
        </w:rPr>
        <w:t>The M&amp;E Working Group was not well appreciated by many of the members. “A missed opportunity to draw bigger lessons learned (evaluation) rather than checking off boxes (monitoring)</w:t>
      </w:r>
      <w:r w:rsidR="0079693F">
        <w:rPr>
          <w:rFonts w:asciiTheme="minorHAnsi" w:hAnsiTheme="minorHAnsi" w:cstheme="minorHAnsi"/>
        </w:rPr>
        <w:t>”.</w:t>
      </w:r>
      <w:r w:rsidRPr="00D3052B">
        <w:rPr>
          <w:rFonts w:asciiTheme="minorHAnsi" w:hAnsiTheme="minorHAnsi" w:cstheme="minorHAnsi"/>
        </w:rPr>
        <w:t xml:space="preserve"> Note: all realized that for GEF checking off boxes is important. All cited lack of time and also competing M&amp;E systems within their organizations as constraints. </w:t>
      </w:r>
    </w:p>
    <w:p w14:paraId="14750F26" w14:textId="03EF6769" w:rsidR="00CF6ACB" w:rsidRPr="00B42324" w:rsidRDefault="00CF6ACB" w:rsidP="00D80344">
      <w:pPr>
        <w:pStyle w:val="ListParagraph"/>
        <w:numPr>
          <w:ilvl w:val="0"/>
          <w:numId w:val="24"/>
        </w:numPr>
        <w:jc w:val="both"/>
        <w:rPr>
          <w:rFonts w:asciiTheme="minorHAnsi" w:hAnsiTheme="minorHAnsi" w:cstheme="minorHAnsi"/>
        </w:rPr>
      </w:pPr>
      <w:r w:rsidRPr="00D3052B">
        <w:rPr>
          <w:rFonts w:asciiTheme="minorHAnsi" w:hAnsiTheme="minorHAnsi" w:cstheme="minorHAnsi"/>
          <w:b/>
          <w:bCs/>
        </w:rPr>
        <w:t xml:space="preserve">Feedback Loops: </w:t>
      </w:r>
      <w:r w:rsidR="00E12F0F">
        <w:rPr>
          <w:rFonts w:asciiTheme="minorHAnsi" w:hAnsiTheme="minorHAnsi" w:cstheme="minorHAnsi"/>
          <w:b/>
          <w:bCs/>
        </w:rPr>
        <w:t xml:space="preserve">within project governance: </w:t>
      </w:r>
      <w:r w:rsidRPr="00D3052B">
        <w:rPr>
          <w:rFonts w:asciiTheme="minorHAnsi" w:hAnsiTheme="minorHAnsi" w:cstheme="minorHAnsi"/>
        </w:rPr>
        <w:t xml:space="preserve">Overall impressed with the quality of information, reports, presentations </w:t>
      </w:r>
      <w:r w:rsidRPr="00B42324">
        <w:rPr>
          <w:rFonts w:asciiTheme="minorHAnsi" w:hAnsiTheme="minorHAnsi" w:cstheme="minorHAnsi"/>
        </w:rPr>
        <w:t xml:space="preserve">upstream to the Secretariat and programme steering committees. </w:t>
      </w:r>
    </w:p>
    <w:p w14:paraId="69D2E744" w14:textId="7285C79C" w:rsidR="00CF6ACB" w:rsidRPr="00B42324" w:rsidRDefault="00CF6ACB" w:rsidP="00D80344">
      <w:pPr>
        <w:pStyle w:val="ListParagraph"/>
        <w:numPr>
          <w:ilvl w:val="0"/>
          <w:numId w:val="24"/>
        </w:numPr>
        <w:jc w:val="both"/>
        <w:rPr>
          <w:rFonts w:asciiTheme="minorHAnsi" w:hAnsiTheme="minorHAnsi" w:cstheme="minorHAnsi"/>
        </w:rPr>
      </w:pPr>
      <w:r w:rsidRPr="00B42324">
        <w:rPr>
          <w:rFonts w:asciiTheme="minorHAnsi" w:hAnsiTheme="minorHAnsi" w:cstheme="minorHAnsi"/>
        </w:rPr>
        <w:t xml:space="preserve"> Lateral communications between </w:t>
      </w:r>
      <w:r w:rsidR="001F0AD6">
        <w:rPr>
          <w:rFonts w:asciiTheme="minorHAnsi" w:hAnsiTheme="minorHAnsi" w:cstheme="minorHAnsi"/>
        </w:rPr>
        <w:t>different board structures</w:t>
      </w:r>
      <w:r w:rsidRPr="00B42324">
        <w:rPr>
          <w:rFonts w:asciiTheme="minorHAnsi" w:hAnsiTheme="minorHAnsi" w:cstheme="minorHAnsi"/>
        </w:rPr>
        <w:t xml:space="preserve"> also congratulated.  </w:t>
      </w:r>
    </w:p>
    <w:p w14:paraId="5AFEF9F6" w14:textId="77777777" w:rsidR="00CF6ACB" w:rsidRPr="00B42324" w:rsidRDefault="00CF6ACB" w:rsidP="00D80344">
      <w:pPr>
        <w:pStyle w:val="ListParagraph"/>
        <w:numPr>
          <w:ilvl w:val="0"/>
          <w:numId w:val="24"/>
        </w:numPr>
        <w:jc w:val="both"/>
        <w:rPr>
          <w:rFonts w:asciiTheme="minorHAnsi" w:hAnsiTheme="minorHAnsi" w:cstheme="minorHAnsi"/>
        </w:rPr>
      </w:pPr>
      <w:r w:rsidRPr="00B42324">
        <w:rPr>
          <w:rFonts w:asciiTheme="minorHAnsi" w:hAnsiTheme="minorHAnsi" w:cstheme="minorHAnsi"/>
        </w:rPr>
        <w:t xml:space="preserve">Country level reception of feedback was generally not fully appreciated. When pressed in interviews, Time factors were always cited.  </w:t>
      </w:r>
    </w:p>
    <w:p w14:paraId="02C83F8B" w14:textId="11479DF1" w:rsidR="00CF6ACB" w:rsidRPr="00B42324" w:rsidRDefault="00CF6ACB" w:rsidP="00D80344">
      <w:pPr>
        <w:pStyle w:val="ListParagraph"/>
        <w:numPr>
          <w:ilvl w:val="0"/>
          <w:numId w:val="24"/>
        </w:numPr>
        <w:jc w:val="both"/>
        <w:rPr>
          <w:rFonts w:asciiTheme="minorHAnsi" w:hAnsiTheme="minorHAnsi" w:cstheme="minorHAnsi"/>
        </w:rPr>
      </w:pPr>
      <w:r w:rsidRPr="00B42324">
        <w:rPr>
          <w:rFonts w:asciiTheme="minorHAnsi" w:hAnsiTheme="minorHAnsi" w:cstheme="minorHAnsi"/>
        </w:rPr>
        <w:t xml:space="preserve">Improvements in process since MTR were well noted, </w:t>
      </w:r>
      <w:r w:rsidR="00493869">
        <w:rPr>
          <w:rFonts w:asciiTheme="minorHAnsi" w:hAnsiTheme="minorHAnsi" w:cstheme="minorHAnsi"/>
        </w:rPr>
        <w:t xml:space="preserve">but </w:t>
      </w:r>
      <w:r w:rsidRPr="00B42324">
        <w:rPr>
          <w:rFonts w:asciiTheme="minorHAnsi" w:hAnsiTheme="minorHAnsi" w:cstheme="minorHAnsi"/>
        </w:rPr>
        <w:t xml:space="preserve">old feelings from pre-MTR stage remained.  Evaluators question the willingness of some organizations and personalities to cooperate. </w:t>
      </w:r>
    </w:p>
    <w:p w14:paraId="573A5D8F" w14:textId="0382DA2E" w:rsidR="00CF6ACB" w:rsidRPr="00FC0D66" w:rsidRDefault="00CF6ACB" w:rsidP="00D80344">
      <w:pPr>
        <w:pStyle w:val="ListParagraph"/>
        <w:numPr>
          <w:ilvl w:val="0"/>
          <w:numId w:val="24"/>
        </w:numPr>
        <w:jc w:val="both"/>
        <w:rPr>
          <w:rFonts w:asciiTheme="minorHAnsi" w:hAnsiTheme="minorHAnsi" w:cstheme="minorHAnsi"/>
          <w:b/>
          <w:bCs/>
        </w:rPr>
      </w:pPr>
      <w:r w:rsidRPr="00B42324">
        <w:rPr>
          <w:rFonts w:asciiTheme="minorHAnsi" w:hAnsiTheme="minorHAnsi" w:cstheme="minorHAnsi"/>
        </w:rPr>
        <w:t xml:space="preserve"> The PMU did an excellent and extensive job in </w:t>
      </w:r>
      <w:r w:rsidR="00020C08">
        <w:rPr>
          <w:rFonts w:asciiTheme="minorHAnsi" w:hAnsiTheme="minorHAnsi" w:cstheme="minorHAnsi"/>
        </w:rPr>
        <w:t>u</w:t>
      </w:r>
      <w:r w:rsidRPr="00B42324">
        <w:rPr>
          <w:rFonts w:asciiTheme="minorHAnsi" w:hAnsiTheme="minorHAnsi" w:cstheme="minorHAnsi"/>
        </w:rPr>
        <w:t>pstream, downstream, and lateral communications.</w:t>
      </w:r>
    </w:p>
    <w:bookmarkEnd w:id="72"/>
    <w:p w14:paraId="0AC387EB" w14:textId="77777777" w:rsidR="005A7002" w:rsidRDefault="005A7002" w:rsidP="00FC0D66">
      <w:pPr>
        <w:jc w:val="both"/>
        <w:rPr>
          <w:rFonts w:asciiTheme="minorHAnsi" w:hAnsiTheme="minorHAnsi" w:cstheme="minorHAnsi"/>
          <w:b/>
          <w:bCs/>
        </w:rPr>
      </w:pPr>
    </w:p>
    <w:p w14:paraId="03F7B657" w14:textId="2333A68F" w:rsidR="00FC0D66" w:rsidRDefault="00FC0D66" w:rsidP="00FC0D66">
      <w:r w:rsidRPr="00FC0D66">
        <w:rPr>
          <w:rFonts w:asciiTheme="minorHAnsi" w:hAnsiTheme="minorHAnsi" w:cstheme="minorHAnsi"/>
        </w:rPr>
        <w:t xml:space="preserve">The following Figure No. 3 shows </w:t>
      </w:r>
      <w:r>
        <w:t>Covid-19 Pandemic impact in the execution of Component 1</w:t>
      </w:r>
    </w:p>
    <w:p w14:paraId="05F34470" w14:textId="511AD9BB" w:rsidR="00FC0D66" w:rsidRPr="00FC0D66" w:rsidRDefault="00FC0D66" w:rsidP="00FC0D66">
      <w:pPr>
        <w:jc w:val="both"/>
        <w:rPr>
          <w:rFonts w:asciiTheme="minorHAnsi" w:hAnsiTheme="minorHAnsi" w:cstheme="minorHAnsi"/>
        </w:rPr>
      </w:pPr>
    </w:p>
    <w:p w14:paraId="27AD183D" w14:textId="78B7A4B0" w:rsidR="00CF6ACB" w:rsidRDefault="00CF6ACB" w:rsidP="00032B00">
      <w:pPr>
        <w:tabs>
          <w:tab w:val="left" w:pos="7290"/>
          <w:tab w:val="left" w:pos="9270"/>
        </w:tabs>
        <w:jc w:val="center"/>
      </w:pPr>
    </w:p>
    <w:p w14:paraId="0F901E02" w14:textId="3835EE4C" w:rsidR="00C936E7" w:rsidRDefault="006954E6" w:rsidP="00755DAC">
      <w:r>
        <w:rPr>
          <w:noProof/>
        </w:rPr>
        <w:lastRenderedPageBreak/>
        <w:drawing>
          <wp:anchor distT="0" distB="0" distL="114300" distR="114300" simplePos="0" relativeHeight="251678208" behindDoc="0" locked="0" layoutInCell="1" allowOverlap="1" wp14:anchorId="189EFA89" wp14:editId="083307B4">
            <wp:simplePos x="0" y="0"/>
            <wp:positionH relativeFrom="column">
              <wp:posOffset>137484</wp:posOffset>
            </wp:positionH>
            <wp:positionV relativeFrom="paragraph">
              <wp:posOffset>291717</wp:posOffset>
            </wp:positionV>
            <wp:extent cx="5408762" cy="2535555"/>
            <wp:effectExtent l="0" t="0" r="190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7642" t="12578" r="3596" b="13440"/>
                    <a:stretch/>
                  </pic:blipFill>
                  <pic:spPr bwMode="auto">
                    <a:xfrm>
                      <a:off x="0" y="0"/>
                      <a:ext cx="5408762" cy="2535555"/>
                    </a:xfrm>
                    <a:prstGeom prst="rect">
                      <a:avLst/>
                    </a:prstGeom>
                    <a:noFill/>
                    <a:ln>
                      <a:noFill/>
                    </a:ln>
                    <a:extLst>
                      <a:ext uri="{53640926-AAD7-44D8-BBD7-CCE9431645EC}">
                        <a14:shadowObscured xmlns:a14="http://schemas.microsoft.com/office/drawing/2010/main"/>
                      </a:ext>
                    </a:extLst>
                  </pic:spPr>
                </pic:pic>
              </a:graphicData>
            </a:graphic>
          </wp:anchor>
        </w:drawing>
      </w:r>
    </w:p>
    <w:p w14:paraId="65F1601E" w14:textId="66623261" w:rsidR="00755DAC" w:rsidRDefault="00A24210" w:rsidP="00755DAC">
      <w:bookmarkStart w:id="73" w:name="_Hlk99030218"/>
      <w:r>
        <w:t>Figure</w:t>
      </w:r>
      <w:bookmarkEnd w:id="73"/>
      <w:r>
        <w:t xml:space="preserve"> 3</w:t>
      </w:r>
      <w:r w:rsidR="00FC0D66">
        <w:t>. : Efficiency</w:t>
      </w:r>
      <w:r w:rsidR="00755DAC">
        <w:t xml:space="preserve"> in the budget</w:t>
      </w:r>
      <w:r w:rsidR="001E6266">
        <w:rPr>
          <w:rStyle w:val="FootnoteReference"/>
        </w:rPr>
        <w:footnoteReference w:id="6"/>
      </w:r>
      <w:r w:rsidR="00755DAC">
        <w:t xml:space="preserve"> execution of Component 1. </w:t>
      </w:r>
    </w:p>
    <w:p w14:paraId="71F4D980" w14:textId="31F646D3" w:rsidR="00D105CF" w:rsidRDefault="00E8356D" w:rsidP="00981FE1">
      <w:pPr>
        <w:jc w:val="both"/>
      </w:pPr>
      <w:r>
        <w:t>The set of graphics above illustrates the total budget execution for Component 1 (</w:t>
      </w:r>
      <w:r w:rsidR="00D7460E">
        <w:t>left</w:t>
      </w:r>
      <w:r>
        <w:t>) and the quarterly expenditures (</w:t>
      </w:r>
      <w:r w:rsidR="00D7460E">
        <w:t>right</w:t>
      </w:r>
      <w:r>
        <w:t>).  The red, vertical line indicates the declaration of the pandemic.  The horizontal red line is the trendline of total expe</w:t>
      </w:r>
      <w:r w:rsidR="00D7460E">
        <w:t>n</w:t>
      </w:r>
      <w:r>
        <w:t>diture per month.  Based on the above, it is noted that Component 1 delivered heavily during year 1 and tapered off negatively throughout the life of</w:t>
      </w:r>
      <w:r w:rsidR="00816F0A">
        <w:t xml:space="preserve"> the project</w:t>
      </w:r>
      <w:r>
        <w:t xml:space="preserve">. Also COVID had a moderate effect following the declaration of the pandemic with slight recovery.  </w:t>
      </w:r>
      <w:r w:rsidR="009267EE">
        <w:t>With COVID limiting travel and gatherings, the PMU needed to adapt all functions to a virtual and less expensive platform.  The core functions of planning, M&amp;E and Adaptive Management continued.</w:t>
      </w:r>
    </w:p>
    <w:p w14:paraId="4940D92A" w14:textId="39BFDA1D" w:rsidR="009267EE" w:rsidRDefault="009267EE"/>
    <w:p w14:paraId="4B899AC9" w14:textId="77777777" w:rsidR="003F6565" w:rsidRDefault="003F6565" w:rsidP="003F6565">
      <w:pPr>
        <w:pStyle w:val="ListParagraph"/>
        <w:ind w:left="480" w:firstLine="0"/>
        <w:rPr>
          <w:rFonts w:asciiTheme="minorHAnsi" w:hAnsiTheme="minorHAnsi" w:cstheme="minorHAnsi"/>
          <w:b/>
          <w:bCs/>
        </w:rPr>
      </w:pPr>
      <w:r>
        <w:rPr>
          <w:rFonts w:asciiTheme="minorHAnsi" w:hAnsiTheme="minorHAnsi" w:cstheme="minorHAnsi"/>
          <w:b/>
          <w:bCs/>
        </w:rPr>
        <w:t>Outcome 2 Results Indicators and Ratings:</w:t>
      </w:r>
    </w:p>
    <w:p w14:paraId="7903FE7D" w14:textId="5D6EDD02" w:rsidR="003F6565" w:rsidRDefault="003F6565" w:rsidP="003F6565">
      <w:pPr>
        <w:pStyle w:val="ListParagraph"/>
        <w:ind w:left="480" w:firstLine="0"/>
        <w:rPr>
          <w:rFonts w:asciiTheme="minorHAnsi" w:hAnsiTheme="minorHAnsi" w:cstheme="minorHAnsi"/>
          <w:b/>
          <w:bCs/>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8"/>
        <w:gridCol w:w="1124"/>
        <w:gridCol w:w="1124"/>
        <w:gridCol w:w="1255"/>
        <w:gridCol w:w="991"/>
        <w:gridCol w:w="994"/>
        <w:gridCol w:w="1058"/>
      </w:tblGrid>
      <w:tr w:rsidR="003F6565" w:rsidRPr="00E970C1" w14:paraId="2080BEF7" w14:textId="77777777" w:rsidTr="00062DAE">
        <w:trPr>
          <w:trHeight w:val="167"/>
        </w:trPr>
        <w:tc>
          <w:tcPr>
            <w:tcW w:w="9384" w:type="dxa"/>
            <w:gridSpan w:val="7"/>
            <w:vAlign w:val="center"/>
          </w:tcPr>
          <w:p w14:paraId="2946E9B6" w14:textId="77777777" w:rsidR="003F6565" w:rsidRPr="00E970C1" w:rsidRDefault="003F6565" w:rsidP="00062DAE">
            <w:pPr>
              <w:spacing w:after="0" w:line="240" w:lineRule="auto"/>
              <w:rPr>
                <w:rFonts w:eastAsia="Times New Roman"/>
                <w:b/>
                <w:bCs/>
              </w:rPr>
            </w:pPr>
            <w:r w:rsidRPr="00E970C1">
              <w:rPr>
                <w:rFonts w:eastAsia="Times New Roman"/>
                <w:b/>
                <w:bCs/>
              </w:rPr>
              <w:t>Component/Outcome 2: Increased understanding of the impacts of voluntary sustainability standards (VSS) and VSS- like mechanisms to increase the effectiveness of these mechanisms for taking deforestation out of commodity supply chains</w:t>
            </w:r>
          </w:p>
        </w:tc>
      </w:tr>
      <w:tr w:rsidR="003F6565" w:rsidRPr="00297AED" w14:paraId="68EA3E54" w14:textId="77777777" w:rsidTr="00062DAE">
        <w:trPr>
          <w:trHeight w:val="167"/>
        </w:trPr>
        <w:tc>
          <w:tcPr>
            <w:tcW w:w="2838" w:type="dxa"/>
            <w:shd w:val="clear" w:color="auto" w:fill="2F5496" w:themeFill="accent1" w:themeFillShade="BF"/>
            <w:vAlign w:val="center"/>
            <w:hideMark/>
          </w:tcPr>
          <w:p w14:paraId="062AC707" w14:textId="77777777" w:rsidR="003F6565" w:rsidRPr="00297AED" w:rsidRDefault="003F6565" w:rsidP="00062DAE">
            <w:pPr>
              <w:spacing w:after="0" w:line="240" w:lineRule="auto"/>
              <w:jc w:val="center"/>
              <w:rPr>
                <w:rFonts w:eastAsia="Times New Roman"/>
                <w:color w:val="000000"/>
                <w:sz w:val="20"/>
                <w:szCs w:val="20"/>
              </w:rPr>
            </w:pPr>
            <w:r w:rsidRPr="00297AED">
              <w:rPr>
                <w:rFonts w:eastAsia="Times New Roman"/>
                <w:b/>
                <w:bCs/>
                <w:color w:val="FFFFFF"/>
                <w:sz w:val="20"/>
                <w:szCs w:val="20"/>
              </w:rPr>
              <w:t>Indicator</w:t>
            </w:r>
          </w:p>
        </w:tc>
        <w:tc>
          <w:tcPr>
            <w:tcW w:w="1124" w:type="dxa"/>
            <w:shd w:val="clear" w:color="auto" w:fill="2F5496" w:themeFill="accent1" w:themeFillShade="BF"/>
            <w:vAlign w:val="center"/>
            <w:hideMark/>
          </w:tcPr>
          <w:p w14:paraId="3221FAFC" w14:textId="77777777" w:rsidR="003F6565" w:rsidRPr="00297AED" w:rsidRDefault="003F6565" w:rsidP="00062DAE">
            <w:pPr>
              <w:spacing w:after="0" w:line="240" w:lineRule="auto"/>
              <w:rPr>
                <w:rFonts w:eastAsia="Times New Roman"/>
                <w:color w:val="000000"/>
                <w:sz w:val="20"/>
                <w:szCs w:val="20"/>
              </w:rPr>
            </w:pPr>
            <w:r w:rsidRPr="00297AED">
              <w:rPr>
                <w:rFonts w:eastAsia="Times New Roman"/>
                <w:b/>
                <w:bCs/>
                <w:color w:val="FFFFFF"/>
                <w:sz w:val="20"/>
                <w:szCs w:val="20"/>
              </w:rPr>
              <w:t>Baseline</w:t>
            </w:r>
          </w:p>
        </w:tc>
        <w:tc>
          <w:tcPr>
            <w:tcW w:w="1124" w:type="dxa"/>
            <w:shd w:val="clear" w:color="auto" w:fill="2F5496" w:themeFill="accent1" w:themeFillShade="BF"/>
            <w:vAlign w:val="center"/>
          </w:tcPr>
          <w:p w14:paraId="5CA66C2A" w14:textId="77777777" w:rsidR="003F6565" w:rsidRPr="00297AED" w:rsidRDefault="003F6565" w:rsidP="00062DAE">
            <w:pPr>
              <w:spacing w:after="0" w:line="240" w:lineRule="auto"/>
              <w:rPr>
                <w:rFonts w:eastAsia="Times New Roman"/>
                <w:color w:val="000000"/>
                <w:sz w:val="20"/>
                <w:szCs w:val="20"/>
              </w:rPr>
            </w:pPr>
            <w:r>
              <w:rPr>
                <w:rFonts w:eastAsia="Times New Roman"/>
                <w:b/>
                <w:bCs/>
                <w:color w:val="FFFFFF"/>
                <w:sz w:val="20"/>
                <w:szCs w:val="20"/>
              </w:rPr>
              <w:t>Unit</w:t>
            </w:r>
          </w:p>
        </w:tc>
        <w:tc>
          <w:tcPr>
            <w:tcW w:w="1255" w:type="dxa"/>
            <w:shd w:val="clear" w:color="auto" w:fill="2F5496" w:themeFill="accent1" w:themeFillShade="BF"/>
            <w:vAlign w:val="center"/>
            <w:hideMark/>
          </w:tcPr>
          <w:p w14:paraId="77906032" w14:textId="77777777" w:rsidR="003F6565" w:rsidRPr="00297AED" w:rsidRDefault="003F6565" w:rsidP="00062DAE">
            <w:pPr>
              <w:spacing w:after="0" w:line="240" w:lineRule="auto"/>
              <w:rPr>
                <w:rFonts w:eastAsia="Times New Roman"/>
                <w:color w:val="000000"/>
                <w:sz w:val="20"/>
                <w:szCs w:val="20"/>
              </w:rPr>
            </w:pPr>
            <w:r w:rsidRPr="00297AED">
              <w:rPr>
                <w:rFonts w:eastAsia="Times New Roman"/>
                <w:b/>
                <w:bCs/>
                <w:color w:val="FFFFFF"/>
                <w:sz w:val="20"/>
                <w:szCs w:val="20"/>
              </w:rPr>
              <w:t>End of the Project Target</w:t>
            </w:r>
          </w:p>
        </w:tc>
        <w:tc>
          <w:tcPr>
            <w:tcW w:w="991" w:type="dxa"/>
            <w:shd w:val="clear" w:color="auto" w:fill="2F5496" w:themeFill="accent1" w:themeFillShade="BF"/>
            <w:vAlign w:val="center"/>
          </w:tcPr>
          <w:p w14:paraId="78C74F4D" w14:textId="77777777" w:rsidR="003F6565" w:rsidRPr="00297AED" w:rsidRDefault="003F6565" w:rsidP="00062DAE">
            <w:pPr>
              <w:spacing w:after="0" w:line="240" w:lineRule="auto"/>
              <w:jc w:val="center"/>
              <w:rPr>
                <w:rFonts w:eastAsia="Times New Roman"/>
                <w:color w:val="FFFFFF"/>
                <w:sz w:val="20"/>
                <w:szCs w:val="20"/>
              </w:rPr>
            </w:pPr>
            <w:r>
              <w:rPr>
                <w:rFonts w:eastAsia="Times New Roman"/>
                <w:b/>
                <w:bCs/>
                <w:color w:val="FFFFFF"/>
                <w:sz w:val="20"/>
                <w:szCs w:val="20"/>
              </w:rPr>
              <w:t>Achieved</w:t>
            </w:r>
          </w:p>
        </w:tc>
        <w:tc>
          <w:tcPr>
            <w:tcW w:w="994" w:type="dxa"/>
            <w:shd w:val="clear" w:color="auto" w:fill="2F5496" w:themeFill="accent1" w:themeFillShade="BF"/>
            <w:vAlign w:val="center"/>
            <w:hideMark/>
          </w:tcPr>
          <w:p w14:paraId="113A47F8" w14:textId="77777777" w:rsidR="003F6565" w:rsidRPr="00297AED" w:rsidRDefault="003F6565" w:rsidP="00062DAE">
            <w:pPr>
              <w:spacing w:after="0" w:line="240" w:lineRule="auto"/>
              <w:jc w:val="center"/>
              <w:rPr>
                <w:rFonts w:eastAsia="Times New Roman"/>
                <w:color w:val="FFFFFF"/>
                <w:sz w:val="20"/>
                <w:szCs w:val="20"/>
              </w:rPr>
            </w:pPr>
            <w:r>
              <w:rPr>
                <w:rFonts w:eastAsia="Times New Roman"/>
                <w:b/>
                <w:bCs/>
                <w:color w:val="FFFFFF"/>
                <w:sz w:val="20"/>
                <w:szCs w:val="20"/>
              </w:rPr>
              <w:t>Percent Achieved at TE</w:t>
            </w:r>
          </w:p>
        </w:tc>
        <w:tc>
          <w:tcPr>
            <w:tcW w:w="1058" w:type="dxa"/>
            <w:shd w:val="clear" w:color="auto" w:fill="2F5496" w:themeFill="accent1" w:themeFillShade="BF"/>
            <w:noWrap/>
            <w:vAlign w:val="center"/>
            <w:hideMark/>
          </w:tcPr>
          <w:p w14:paraId="03E7A67A" w14:textId="77777777" w:rsidR="003F6565" w:rsidRPr="00297AED" w:rsidRDefault="003F6565" w:rsidP="00062DAE">
            <w:pPr>
              <w:spacing w:after="0" w:line="240" w:lineRule="auto"/>
              <w:rPr>
                <w:rFonts w:eastAsia="Times New Roman"/>
                <w:sz w:val="20"/>
                <w:szCs w:val="20"/>
              </w:rPr>
            </w:pPr>
            <w:r>
              <w:rPr>
                <w:rFonts w:eastAsia="Times New Roman"/>
                <w:b/>
                <w:bCs/>
                <w:color w:val="FFFFFF"/>
                <w:sz w:val="20"/>
                <w:szCs w:val="20"/>
              </w:rPr>
              <w:t>Ratings</w:t>
            </w:r>
          </w:p>
        </w:tc>
      </w:tr>
      <w:tr w:rsidR="003F6565" w:rsidRPr="00737E9B" w14:paraId="35F51CB8" w14:textId="77777777" w:rsidTr="00062DAE">
        <w:trPr>
          <w:trHeight w:val="266"/>
        </w:trPr>
        <w:tc>
          <w:tcPr>
            <w:tcW w:w="2838" w:type="dxa"/>
            <w:vAlign w:val="center"/>
            <w:hideMark/>
          </w:tcPr>
          <w:p w14:paraId="7D661C91" w14:textId="77777777" w:rsidR="003F6565" w:rsidRPr="00085E9B" w:rsidRDefault="003F6565" w:rsidP="00062DAE">
            <w:pPr>
              <w:spacing w:after="0" w:line="240" w:lineRule="auto"/>
              <w:rPr>
                <w:rFonts w:eastAsia="Times New Roman"/>
                <w:color w:val="000000"/>
                <w:sz w:val="18"/>
                <w:szCs w:val="18"/>
              </w:rPr>
            </w:pPr>
            <w:r w:rsidRPr="00085E9B">
              <w:rPr>
                <w:rFonts w:eastAsia="Times New Roman"/>
                <w:color w:val="000000"/>
                <w:sz w:val="18"/>
                <w:szCs w:val="18"/>
              </w:rPr>
              <w:t>Outcome Indicator 2.1 Establishment and effective functioning of the Global Impact Platform.</w:t>
            </w:r>
          </w:p>
          <w:p w14:paraId="5162D0C6" w14:textId="77777777" w:rsidR="003F6565" w:rsidRPr="00085E9B" w:rsidRDefault="003F6565" w:rsidP="00062DAE">
            <w:pPr>
              <w:spacing w:after="0" w:line="240" w:lineRule="auto"/>
              <w:rPr>
                <w:rFonts w:eastAsia="Times New Roman"/>
                <w:color w:val="000000"/>
                <w:sz w:val="18"/>
                <w:szCs w:val="18"/>
              </w:rPr>
            </w:pPr>
          </w:p>
        </w:tc>
        <w:tc>
          <w:tcPr>
            <w:tcW w:w="1124" w:type="dxa"/>
            <w:vMerge w:val="restart"/>
            <w:vAlign w:val="center"/>
            <w:hideMark/>
          </w:tcPr>
          <w:p w14:paraId="56F01D8F" w14:textId="77777777" w:rsidR="003F6565" w:rsidRPr="00085E9B" w:rsidRDefault="003F6565" w:rsidP="00062DAE">
            <w:pPr>
              <w:spacing w:after="0" w:line="240" w:lineRule="auto"/>
              <w:rPr>
                <w:rFonts w:eastAsia="Times New Roman"/>
                <w:color w:val="000000"/>
                <w:sz w:val="18"/>
                <w:szCs w:val="18"/>
              </w:rPr>
            </w:pPr>
            <w:r w:rsidRPr="00085E9B">
              <w:rPr>
                <w:rFonts w:eastAsia="Times New Roman"/>
                <w:color w:val="000000"/>
                <w:sz w:val="18"/>
                <w:szCs w:val="18"/>
              </w:rPr>
              <w:t xml:space="preserve">A Global Impacts platform does not exist </w:t>
            </w:r>
          </w:p>
          <w:p w14:paraId="54AAEACA" w14:textId="77777777" w:rsidR="003F6565" w:rsidRPr="00085E9B" w:rsidRDefault="003F6565" w:rsidP="00062DAE">
            <w:pPr>
              <w:spacing w:after="0" w:line="240" w:lineRule="auto"/>
              <w:rPr>
                <w:rFonts w:eastAsia="Times New Roman"/>
                <w:color w:val="000000"/>
                <w:sz w:val="18"/>
                <w:szCs w:val="18"/>
              </w:rPr>
            </w:pPr>
            <w:r w:rsidRPr="00085E9B">
              <w:rPr>
                <w:rFonts w:eastAsia="Times New Roman"/>
                <w:color w:val="000000"/>
                <w:sz w:val="18"/>
                <w:szCs w:val="18"/>
              </w:rPr>
              <w:t> </w:t>
            </w:r>
          </w:p>
        </w:tc>
        <w:tc>
          <w:tcPr>
            <w:tcW w:w="1124" w:type="dxa"/>
          </w:tcPr>
          <w:p w14:paraId="3BFE1A2E" w14:textId="77777777" w:rsidR="003F6565" w:rsidRPr="00085E9B" w:rsidRDefault="003F6565" w:rsidP="00062DAE">
            <w:pPr>
              <w:spacing w:after="0" w:line="240" w:lineRule="auto"/>
              <w:jc w:val="center"/>
              <w:rPr>
                <w:rFonts w:eastAsia="Times New Roman"/>
                <w:color w:val="000000"/>
                <w:sz w:val="18"/>
                <w:szCs w:val="18"/>
              </w:rPr>
            </w:pPr>
            <w:r w:rsidRPr="00085E9B">
              <w:rPr>
                <w:rFonts w:eastAsia="Times New Roman"/>
                <w:color w:val="000000"/>
                <w:sz w:val="18"/>
                <w:szCs w:val="18"/>
              </w:rPr>
              <w:t>#platform #docs #visitors</w:t>
            </w:r>
          </w:p>
        </w:tc>
        <w:tc>
          <w:tcPr>
            <w:tcW w:w="1255" w:type="dxa"/>
            <w:vMerge w:val="restart"/>
            <w:vAlign w:val="center"/>
          </w:tcPr>
          <w:p w14:paraId="1E3F258A" w14:textId="77777777" w:rsidR="003F6565" w:rsidRPr="00085E9B" w:rsidRDefault="003F6565" w:rsidP="00062DAE">
            <w:pPr>
              <w:spacing w:after="0" w:line="240" w:lineRule="auto"/>
              <w:jc w:val="center"/>
              <w:rPr>
                <w:rFonts w:eastAsia="Times New Roman"/>
                <w:color w:val="000000"/>
                <w:sz w:val="18"/>
                <w:szCs w:val="18"/>
              </w:rPr>
            </w:pPr>
            <w:r w:rsidRPr="00085E9B">
              <w:rPr>
                <w:rFonts w:eastAsia="Times New Roman"/>
                <w:color w:val="000000"/>
                <w:sz w:val="18"/>
                <w:szCs w:val="18"/>
              </w:rPr>
              <w:t xml:space="preserve">Platform is a leading repository of research documents, with 150 documents or abstracts uploaded and 5000 annual visitors. </w:t>
            </w:r>
          </w:p>
          <w:p w14:paraId="778FD5E7" w14:textId="77777777" w:rsidR="003F6565" w:rsidRPr="00085E9B" w:rsidRDefault="003F6565" w:rsidP="00062DAE">
            <w:pPr>
              <w:spacing w:after="0" w:line="240" w:lineRule="auto"/>
              <w:jc w:val="center"/>
              <w:rPr>
                <w:rFonts w:eastAsia="Times New Roman"/>
                <w:color w:val="000000"/>
                <w:sz w:val="18"/>
                <w:szCs w:val="18"/>
              </w:rPr>
            </w:pPr>
          </w:p>
          <w:p w14:paraId="640DF6A7" w14:textId="77777777" w:rsidR="003F6565" w:rsidRPr="00085E9B" w:rsidRDefault="003F6565" w:rsidP="00062DAE">
            <w:pPr>
              <w:spacing w:after="0" w:line="240" w:lineRule="auto"/>
              <w:jc w:val="center"/>
              <w:rPr>
                <w:rFonts w:eastAsia="Times New Roman"/>
                <w:color w:val="000000"/>
                <w:sz w:val="18"/>
                <w:szCs w:val="18"/>
              </w:rPr>
            </w:pPr>
            <w:r w:rsidRPr="00085E9B">
              <w:rPr>
                <w:rFonts w:eastAsia="Times New Roman"/>
                <w:color w:val="000000"/>
                <w:sz w:val="18"/>
                <w:szCs w:val="18"/>
              </w:rPr>
              <w:lastRenderedPageBreak/>
              <w:t>12</w:t>
            </w:r>
          </w:p>
        </w:tc>
        <w:tc>
          <w:tcPr>
            <w:tcW w:w="991" w:type="dxa"/>
            <w:vMerge w:val="restart"/>
            <w:vAlign w:val="center"/>
          </w:tcPr>
          <w:p w14:paraId="06BC48B3" w14:textId="77777777" w:rsidR="003F6565" w:rsidRPr="00085E9B" w:rsidRDefault="003F6565" w:rsidP="00062DAE">
            <w:pPr>
              <w:spacing w:after="0" w:line="240" w:lineRule="auto"/>
              <w:jc w:val="center"/>
              <w:rPr>
                <w:rFonts w:eastAsia="Times New Roman"/>
                <w:sz w:val="18"/>
                <w:szCs w:val="18"/>
              </w:rPr>
            </w:pPr>
            <w:r w:rsidRPr="00085E9B">
              <w:rPr>
                <w:rFonts w:eastAsia="Times New Roman"/>
                <w:sz w:val="18"/>
                <w:szCs w:val="18"/>
              </w:rPr>
              <w:lastRenderedPageBreak/>
              <w:t>1 Platform, 900 docs, 14,000 visitors</w:t>
            </w:r>
          </w:p>
          <w:p w14:paraId="003DC150" w14:textId="77777777" w:rsidR="003F6565" w:rsidRPr="00085E9B" w:rsidRDefault="003F6565" w:rsidP="00062DAE">
            <w:pPr>
              <w:spacing w:after="0" w:line="240" w:lineRule="auto"/>
              <w:jc w:val="center"/>
              <w:rPr>
                <w:rFonts w:eastAsia="Times New Roman"/>
                <w:sz w:val="18"/>
                <w:szCs w:val="18"/>
              </w:rPr>
            </w:pPr>
          </w:p>
          <w:p w14:paraId="5C2DDC13" w14:textId="77777777" w:rsidR="003F6565" w:rsidRPr="00085E9B" w:rsidRDefault="003F6565" w:rsidP="00062DAE">
            <w:pPr>
              <w:spacing w:after="0" w:line="240" w:lineRule="auto"/>
              <w:jc w:val="center"/>
              <w:rPr>
                <w:rFonts w:eastAsia="Times New Roman"/>
                <w:sz w:val="18"/>
                <w:szCs w:val="18"/>
              </w:rPr>
            </w:pPr>
          </w:p>
          <w:p w14:paraId="66609FB7" w14:textId="77777777" w:rsidR="003F6565" w:rsidRPr="00085E9B" w:rsidRDefault="003F6565" w:rsidP="00062DAE">
            <w:pPr>
              <w:spacing w:after="0" w:line="240" w:lineRule="auto"/>
              <w:jc w:val="center"/>
              <w:rPr>
                <w:rFonts w:eastAsia="Times New Roman"/>
                <w:sz w:val="18"/>
                <w:szCs w:val="18"/>
              </w:rPr>
            </w:pPr>
          </w:p>
          <w:p w14:paraId="23DC1D67" w14:textId="77777777" w:rsidR="003F6565" w:rsidRPr="00085E9B" w:rsidRDefault="003F6565" w:rsidP="00062DAE">
            <w:pPr>
              <w:spacing w:after="0" w:line="240" w:lineRule="auto"/>
              <w:jc w:val="center"/>
              <w:rPr>
                <w:rFonts w:eastAsia="Times New Roman"/>
                <w:sz w:val="18"/>
                <w:szCs w:val="18"/>
              </w:rPr>
            </w:pPr>
          </w:p>
          <w:p w14:paraId="4E60BDCD" w14:textId="77777777" w:rsidR="003F6565" w:rsidRPr="00085E9B" w:rsidRDefault="003F6565" w:rsidP="00062DAE">
            <w:pPr>
              <w:spacing w:after="0" w:line="240" w:lineRule="auto"/>
              <w:jc w:val="center"/>
              <w:rPr>
                <w:rFonts w:eastAsia="Times New Roman"/>
                <w:sz w:val="18"/>
                <w:szCs w:val="18"/>
              </w:rPr>
            </w:pPr>
          </w:p>
          <w:p w14:paraId="705E42F4" w14:textId="77777777" w:rsidR="003F6565" w:rsidRPr="00085E9B" w:rsidRDefault="003F6565" w:rsidP="00062DAE">
            <w:pPr>
              <w:spacing w:after="0" w:line="240" w:lineRule="auto"/>
              <w:jc w:val="center"/>
              <w:rPr>
                <w:rFonts w:eastAsia="Times New Roman"/>
                <w:sz w:val="18"/>
                <w:szCs w:val="18"/>
              </w:rPr>
            </w:pPr>
          </w:p>
          <w:p w14:paraId="6B3B708A" w14:textId="77777777" w:rsidR="003F6565" w:rsidRPr="00085E9B" w:rsidRDefault="003F6565" w:rsidP="00062DAE">
            <w:pPr>
              <w:spacing w:after="0" w:line="240" w:lineRule="auto"/>
              <w:jc w:val="center"/>
              <w:rPr>
                <w:rFonts w:eastAsia="Times New Roman"/>
                <w:sz w:val="18"/>
                <w:szCs w:val="18"/>
              </w:rPr>
            </w:pPr>
            <w:r w:rsidRPr="00085E9B">
              <w:rPr>
                <w:rFonts w:eastAsia="Times New Roman"/>
                <w:sz w:val="18"/>
                <w:szCs w:val="18"/>
              </w:rPr>
              <w:t>13</w:t>
            </w:r>
          </w:p>
        </w:tc>
        <w:tc>
          <w:tcPr>
            <w:tcW w:w="994" w:type="dxa"/>
            <w:vMerge w:val="restart"/>
            <w:shd w:val="clear" w:color="auto" w:fill="00B050"/>
            <w:vAlign w:val="center"/>
            <w:hideMark/>
          </w:tcPr>
          <w:p w14:paraId="62595F88" w14:textId="77777777" w:rsidR="003F6565" w:rsidRPr="00085E9B" w:rsidRDefault="003F6565" w:rsidP="00062DAE">
            <w:pPr>
              <w:spacing w:after="0" w:line="240" w:lineRule="auto"/>
              <w:jc w:val="center"/>
              <w:rPr>
                <w:rFonts w:eastAsia="Times New Roman"/>
                <w:color w:val="FFFFFF" w:themeColor="background1"/>
                <w:sz w:val="18"/>
                <w:szCs w:val="18"/>
              </w:rPr>
            </w:pPr>
            <w:r w:rsidRPr="00085E9B">
              <w:rPr>
                <w:rFonts w:eastAsia="Times New Roman"/>
                <w:color w:val="FFFFFF" w:themeColor="background1"/>
                <w:sz w:val="18"/>
                <w:szCs w:val="18"/>
              </w:rPr>
              <w:t>&gt;100</w:t>
            </w:r>
          </w:p>
          <w:p w14:paraId="19B2D8EC" w14:textId="77777777" w:rsidR="003F6565" w:rsidRPr="00085E9B" w:rsidRDefault="003F6565" w:rsidP="00062DAE">
            <w:pPr>
              <w:spacing w:after="0" w:line="240" w:lineRule="auto"/>
              <w:jc w:val="center"/>
              <w:rPr>
                <w:rFonts w:eastAsia="Times New Roman"/>
                <w:color w:val="FFFFFF" w:themeColor="background1"/>
                <w:sz w:val="18"/>
                <w:szCs w:val="18"/>
              </w:rPr>
            </w:pPr>
          </w:p>
          <w:p w14:paraId="7D389A84" w14:textId="77777777" w:rsidR="003F6565" w:rsidRPr="00085E9B" w:rsidRDefault="003F6565" w:rsidP="00062DAE">
            <w:pPr>
              <w:spacing w:after="0" w:line="240" w:lineRule="auto"/>
              <w:jc w:val="center"/>
              <w:rPr>
                <w:rFonts w:eastAsia="Times New Roman"/>
                <w:color w:val="FFFFFF" w:themeColor="background1"/>
                <w:sz w:val="18"/>
                <w:szCs w:val="18"/>
              </w:rPr>
            </w:pPr>
          </w:p>
          <w:p w14:paraId="7F8CB069" w14:textId="77777777" w:rsidR="003F6565" w:rsidRPr="00085E9B" w:rsidRDefault="003F6565" w:rsidP="00062DAE">
            <w:pPr>
              <w:spacing w:after="0" w:line="240" w:lineRule="auto"/>
              <w:jc w:val="center"/>
              <w:rPr>
                <w:rFonts w:eastAsia="Times New Roman"/>
                <w:color w:val="FFFFFF" w:themeColor="background1"/>
                <w:sz w:val="18"/>
                <w:szCs w:val="18"/>
              </w:rPr>
            </w:pPr>
          </w:p>
          <w:p w14:paraId="5358B317" w14:textId="77777777" w:rsidR="003F6565" w:rsidRPr="00085E9B" w:rsidRDefault="003F6565" w:rsidP="00062DAE">
            <w:pPr>
              <w:spacing w:after="0" w:line="240" w:lineRule="auto"/>
              <w:jc w:val="center"/>
              <w:rPr>
                <w:rFonts w:eastAsia="Times New Roman"/>
                <w:color w:val="FFFFFF" w:themeColor="background1"/>
                <w:sz w:val="18"/>
                <w:szCs w:val="18"/>
              </w:rPr>
            </w:pPr>
          </w:p>
          <w:p w14:paraId="0CDB5871" w14:textId="77777777" w:rsidR="003F6565" w:rsidRPr="00085E9B" w:rsidRDefault="003F6565" w:rsidP="00062DAE">
            <w:pPr>
              <w:spacing w:after="0" w:line="240" w:lineRule="auto"/>
              <w:jc w:val="center"/>
              <w:rPr>
                <w:rFonts w:eastAsia="Times New Roman"/>
                <w:color w:val="FFFFFF" w:themeColor="background1"/>
                <w:sz w:val="18"/>
                <w:szCs w:val="18"/>
              </w:rPr>
            </w:pPr>
          </w:p>
          <w:p w14:paraId="55DCADC8" w14:textId="77777777" w:rsidR="003F6565" w:rsidRPr="00085E9B" w:rsidRDefault="003F6565" w:rsidP="00062DAE">
            <w:pPr>
              <w:spacing w:after="0" w:line="240" w:lineRule="auto"/>
              <w:jc w:val="center"/>
              <w:rPr>
                <w:rFonts w:eastAsia="Times New Roman"/>
                <w:color w:val="FFFFFF" w:themeColor="background1"/>
                <w:sz w:val="18"/>
                <w:szCs w:val="18"/>
              </w:rPr>
            </w:pPr>
          </w:p>
          <w:p w14:paraId="0E03BD7B" w14:textId="77777777" w:rsidR="003F6565" w:rsidRPr="00085E9B" w:rsidRDefault="003F6565" w:rsidP="00062DAE">
            <w:pPr>
              <w:spacing w:after="0" w:line="240" w:lineRule="auto"/>
              <w:jc w:val="center"/>
              <w:rPr>
                <w:rFonts w:eastAsia="Times New Roman"/>
                <w:color w:val="FFFFFF" w:themeColor="background1"/>
                <w:sz w:val="18"/>
                <w:szCs w:val="18"/>
              </w:rPr>
            </w:pPr>
          </w:p>
          <w:p w14:paraId="4088D9C5" w14:textId="77777777" w:rsidR="003F6565" w:rsidRPr="00085E9B" w:rsidRDefault="003F6565" w:rsidP="00062DAE">
            <w:pPr>
              <w:spacing w:after="0" w:line="240" w:lineRule="auto"/>
              <w:jc w:val="center"/>
              <w:rPr>
                <w:rFonts w:eastAsia="Times New Roman"/>
                <w:color w:val="FFFFFF" w:themeColor="background1"/>
                <w:sz w:val="18"/>
                <w:szCs w:val="18"/>
              </w:rPr>
            </w:pPr>
          </w:p>
          <w:p w14:paraId="5D173C59" w14:textId="77777777" w:rsidR="003F6565" w:rsidRPr="00085E9B" w:rsidRDefault="003F6565" w:rsidP="00062DAE">
            <w:pPr>
              <w:spacing w:after="0" w:line="240" w:lineRule="auto"/>
              <w:jc w:val="center"/>
              <w:rPr>
                <w:rFonts w:eastAsia="Times New Roman"/>
                <w:sz w:val="18"/>
                <w:szCs w:val="18"/>
              </w:rPr>
            </w:pPr>
            <w:r w:rsidRPr="00085E9B">
              <w:rPr>
                <w:rFonts w:eastAsia="Times New Roman"/>
                <w:color w:val="FFFFFF" w:themeColor="background1"/>
                <w:sz w:val="18"/>
                <w:szCs w:val="18"/>
              </w:rPr>
              <w:t>100</w:t>
            </w:r>
          </w:p>
        </w:tc>
        <w:tc>
          <w:tcPr>
            <w:tcW w:w="1058" w:type="dxa"/>
            <w:vMerge w:val="restart"/>
            <w:shd w:val="clear" w:color="auto" w:fill="auto"/>
            <w:noWrap/>
            <w:vAlign w:val="center"/>
            <w:hideMark/>
          </w:tcPr>
          <w:p w14:paraId="5F72FDBE" w14:textId="77777777" w:rsidR="003F6565" w:rsidRPr="00085E9B" w:rsidRDefault="003F6565" w:rsidP="00062DAE">
            <w:pPr>
              <w:spacing w:after="0" w:line="240" w:lineRule="auto"/>
              <w:jc w:val="center"/>
              <w:rPr>
                <w:rFonts w:eastAsia="Times New Roman"/>
                <w:sz w:val="18"/>
                <w:szCs w:val="18"/>
              </w:rPr>
            </w:pPr>
            <w:r w:rsidRPr="00085E9B">
              <w:rPr>
                <w:rFonts w:eastAsia="Times New Roman"/>
                <w:sz w:val="18"/>
                <w:szCs w:val="18"/>
              </w:rPr>
              <w:t>&gt;100% = HS</w:t>
            </w:r>
          </w:p>
          <w:p w14:paraId="597D52F0" w14:textId="77777777" w:rsidR="003F6565" w:rsidRPr="00085E9B" w:rsidRDefault="003F6565" w:rsidP="00062DAE">
            <w:pPr>
              <w:spacing w:after="0" w:line="240" w:lineRule="auto"/>
              <w:jc w:val="center"/>
              <w:rPr>
                <w:rFonts w:eastAsia="Times New Roman"/>
                <w:sz w:val="18"/>
                <w:szCs w:val="18"/>
              </w:rPr>
            </w:pPr>
          </w:p>
          <w:p w14:paraId="37E3B720" w14:textId="77777777" w:rsidR="003F6565" w:rsidRPr="00085E9B" w:rsidRDefault="003F6565" w:rsidP="00062DAE">
            <w:pPr>
              <w:spacing w:after="0" w:line="240" w:lineRule="auto"/>
              <w:jc w:val="center"/>
              <w:rPr>
                <w:rFonts w:eastAsia="Times New Roman"/>
                <w:sz w:val="18"/>
                <w:szCs w:val="18"/>
              </w:rPr>
            </w:pPr>
          </w:p>
        </w:tc>
      </w:tr>
      <w:tr w:rsidR="003F6565" w:rsidRPr="00737E9B" w14:paraId="3CCB50E7" w14:textId="77777777" w:rsidTr="00062DAE">
        <w:trPr>
          <w:trHeight w:val="1020"/>
        </w:trPr>
        <w:tc>
          <w:tcPr>
            <w:tcW w:w="2838" w:type="dxa"/>
            <w:tcBorders>
              <w:bottom w:val="single" w:sz="4" w:space="0" w:color="auto"/>
            </w:tcBorders>
            <w:shd w:val="clear" w:color="auto" w:fill="auto"/>
            <w:vAlign w:val="center"/>
            <w:hideMark/>
          </w:tcPr>
          <w:p w14:paraId="175B8D5F" w14:textId="77777777" w:rsidR="003F6565" w:rsidRPr="00085E9B" w:rsidRDefault="003F6565" w:rsidP="00062DAE">
            <w:pPr>
              <w:spacing w:after="0" w:line="240" w:lineRule="auto"/>
              <w:rPr>
                <w:rFonts w:eastAsia="Times New Roman"/>
                <w:color w:val="000000"/>
                <w:sz w:val="18"/>
                <w:szCs w:val="18"/>
              </w:rPr>
            </w:pPr>
            <w:r w:rsidRPr="00085E9B">
              <w:rPr>
                <w:rFonts w:eastAsia="Times New Roman"/>
                <w:color w:val="000000"/>
                <w:sz w:val="18"/>
                <w:szCs w:val="18"/>
              </w:rPr>
              <w:t xml:space="preserve">Outcome Indicator 2.2 </w:t>
            </w:r>
          </w:p>
          <w:p w14:paraId="2E4B36C7" w14:textId="77777777" w:rsidR="003F6565" w:rsidRPr="00085E9B" w:rsidRDefault="003F6565" w:rsidP="00062DAE">
            <w:pPr>
              <w:spacing w:after="0" w:line="240" w:lineRule="auto"/>
              <w:rPr>
                <w:rFonts w:eastAsia="Times New Roman"/>
                <w:color w:val="000000"/>
                <w:sz w:val="18"/>
                <w:szCs w:val="18"/>
              </w:rPr>
            </w:pPr>
            <w:r w:rsidRPr="00085E9B">
              <w:rPr>
                <w:rFonts w:eastAsia="Times New Roman"/>
                <w:color w:val="000000"/>
                <w:sz w:val="18"/>
                <w:szCs w:val="18"/>
              </w:rPr>
              <w:t xml:space="preserve">Number of new syntheses and summaries of evidence uploaded to the Platform and associated audience-specific communications </w:t>
            </w:r>
          </w:p>
        </w:tc>
        <w:tc>
          <w:tcPr>
            <w:tcW w:w="1124" w:type="dxa"/>
            <w:vMerge/>
            <w:tcBorders>
              <w:bottom w:val="single" w:sz="4" w:space="0" w:color="auto"/>
            </w:tcBorders>
            <w:vAlign w:val="center"/>
            <w:hideMark/>
          </w:tcPr>
          <w:p w14:paraId="16812BCA" w14:textId="77777777" w:rsidR="003F6565" w:rsidRPr="00085E9B" w:rsidRDefault="003F6565" w:rsidP="00062DAE">
            <w:pPr>
              <w:spacing w:after="0" w:line="240" w:lineRule="auto"/>
              <w:rPr>
                <w:rFonts w:eastAsia="Times New Roman"/>
                <w:color w:val="000000"/>
                <w:sz w:val="18"/>
                <w:szCs w:val="18"/>
              </w:rPr>
            </w:pPr>
          </w:p>
        </w:tc>
        <w:tc>
          <w:tcPr>
            <w:tcW w:w="1124" w:type="dxa"/>
            <w:tcBorders>
              <w:bottom w:val="single" w:sz="4" w:space="0" w:color="auto"/>
            </w:tcBorders>
            <w:vAlign w:val="bottom"/>
          </w:tcPr>
          <w:p w14:paraId="7479A066" w14:textId="77777777" w:rsidR="003F6565" w:rsidRPr="00085E9B" w:rsidRDefault="003F6565" w:rsidP="00062DAE">
            <w:pPr>
              <w:spacing w:after="0" w:line="240" w:lineRule="auto"/>
              <w:jc w:val="center"/>
              <w:rPr>
                <w:rFonts w:eastAsia="Times New Roman"/>
                <w:color w:val="000000"/>
                <w:sz w:val="18"/>
                <w:szCs w:val="18"/>
              </w:rPr>
            </w:pPr>
            <w:r w:rsidRPr="00085E9B">
              <w:rPr>
                <w:rFonts w:eastAsia="Times New Roman"/>
                <w:color w:val="000000"/>
                <w:sz w:val="18"/>
                <w:szCs w:val="18"/>
              </w:rPr>
              <w:t># Syntheses</w:t>
            </w:r>
          </w:p>
        </w:tc>
        <w:tc>
          <w:tcPr>
            <w:tcW w:w="1255" w:type="dxa"/>
            <w:vMerge/>
            <w:tcBorders>
              <w:bottom w:val="single" w:sz="4" w:space="0" w:color="auto"/>
            </w:tcBorders>
            <w:vAlign w:val="center"/>
          </w:tcPr>
          <w:p w14:paraId="790B55D9" w14:textId="77777777" w:rsidR="003F6565" w:rsidRPr="00085E9B" w:rsidRDefault="003F6565" w:rsidP="00062DAE">
            <w:pPr>
              <w:spacing w:after="0" w:line="240" w:lineRule="auto"/>
              <w:rPr>
                <w:rFonts w:eastAsia="Times New Roman"/>
                <w:color w:val="000000"/>
                <w:sz w:val="18"/>
                <w:szCs w:val="18"/>
              </w:rPr>
            </w:pPr>
          </w:p>
        </w:tc>
        <w:tc>
          <w:tcPr>
            <w:tcW w:w="991" w:type="dxa"/>
            <w:vMerge/>
            <w:tcBorders>
              <w:bottom w:val="single" w:sz="4" w:space="0" w:color="auto"/>
            </w:tcBorders>
          </w:tcPr>
          <w:p w14:paraId="42E95C25" w14:textId="77777777" w:rsidR="003F6565" w:rsidRPr="00085E9B" w:rsidRDefault="003F6565" w:rsidP="00062DAE">
            <w:pPr>
              <w:spacing w:after="0" w:line="240" w:lineRule="auto"/>
              <w:rPr>
                <w:rFonts w:eastAsia="Times New Roman"/>
                <w:sz w:val="18"/>
                <w:szCs w:val="18"/>
              </w:rPr>
            </w:pPr>
          </w:p>
        </w:tc>
        <w:tc>
          <w:tcPr>
            <w:tcW w:w="994" w:type="dxa"/>
            <w:vMerge/>
            <w:tcBorders>
              <w:bottom w:val="single" w:sz="4" w:space="0" w:color="auto"/>
            </w:tcBorders>
            <w:shd w:val="clear" w:color="auto" w:fill="00B050"/>
            <w:vAlign w:val="center"/>
            <w:hideMark/>
          </w:tcPr>
          <w:p w14:paraId="0D80CA17" w14:textId="77777777" w:rsidR="003F6565" w:rsidRPr="00085E9B" w:rsidRDefault="003F6565" w:rsidP="00062DAE">
            <w:pPr>
              <w:spacing w:after="0" w:line="240" w:lineRule="auto"/>
              <w:rPr>
                <w:rFonts w:eastAsia="Times New Roman"/>
                <w:sz w:val="18"/>
                <w:szCs w:val="18"/>
              </w:rPr>
            </w:pPr>
          </w:p>
        </w:tc>
        <w:tc>
          <w:tcPr>
            <w:tcW w:w="1058" w:type="dxa"/>
            <w:vMerge/>
            <w:tcBorders>
              <w:bottom w:val="single" w:sz="4" w:space="0" w:color="auto"/>
            </w:tcBorders>
            <w:shd w:val="clear" w:color="auto" w:fill="auto"/>
            <w:noWrap/>
            <w:vAlign w:val="bottom"/>
            <w:hideMark/>
          </w:tcPr>
          <w:p w14:paraId="20D5953F" w14:textId="77777777" w:rsidR="003F6565" w:rsidRPr="00085E9B" w:rsidRDefault="003F6565" w:rsidP="00062DAE">
            <w:pPr>
              <w:spacing w:after="0" w:line="240" w:lineRule="auto"/>
              <w:rPr>
                <w:rFonts w:eastAsia="Times New Roman"/>
                <w:sz w:val="18"/>
                <w:szCs w:val="18"/>
              </w:rPr>
            </w:pPr>
          </w:p>
        </w:tc>
      </w:tr>
      <w:tr w:rsidR="003F6565" w:rsidRPr="00297AED" w14:paraId="3C35B7B2" w14:textId="77777777" w:rsidTr="00062DAE">
        <w:trPr>
          <w:trHeight w:val="566"/>
        </w:trPr>
        <w:tc>
          <w:tcPr>
            <w:tcW w:w="8326" w:type="dxa"/>
            <w:gridSpan w:val="6"/>
            <w:shd w:val="clear" w:color="auto" w:fill="auto"/>
            <w:noWrap/>
            <w:vAlign w:val="center"/>
          </w:tcPr>
          <w:p w14:paraId="5EEB7E8A" w14:textId="77777777" w:rsidR="003F6565" w:rsidRPr="00085E9B" w:rsidRDefault="003F6565" w:rsidP="00062DAE">
            <w:pPr>
              <w:spacing w:after="0" w:line="240" w:lineRule="auto"/>
              <w:jc w:val="right"/>
              <w:rPr>
                <w:rFonts w:eastAsia="Times New Roman"/>
                <w:sz w:val="18"/>
                <w:szCs w:val="18"/>
              </w:rPr>
            </w:pPr>
            <w:r w:rsidRPr="00085E9B">
              <w:rPr>
                <w:rFonts w:eastAsia="Times New Roman"/>
                <w:sz w:val="18"/>
                <w:szCs w:val="18"/>
              </w:rPr>
              <w:t> The progress of the objective can be described as:</w:t>
            </w:r>
          </w:p>
          <w:p w14:paraId="0B625F0F" w14:textId="77777777" w:rsidR="003F6565" w:rsidRPr="00085E9B" w:rsidRDefault="003F6565" w:rsidP="00062DAE">
            <w:pPr>
              <w:spacing w:after="0" w:line="240" w:lineRule="auto"/>
              <w:jc w:val="right"/>
              <w:rPr>
                <w:rFonts w:eastAsia="Times New Roman"/>
                <w:sz w:val="18"/>
                <w:szCs w:val="18"/>
              </w:rPr>
            </w:pPr>
            <w:r w:rsidRPr="00085E9B">
              <w:rPr>
                <w:rFonts w:eastAsia="Times New Roman"/>
                <w:sz w:val="18"/>
                <w:szCs w:val="18"/>
              </w:rPr>
              <w:t> </w:t>
            </w:r>
          </w:p>
          <w:p w14:paraId="57E57DA4" w14:textId="77777777" w:rsidR="003F6565" w:rsidRPr="00085E9B" w:rsidRDefault="003F6565" w:rsidP="00062DAE">
            <w:pPr>
              <w:spacing w:after="0" w:line="240" w:lineRule="auto"/>
              <w:jc w:val="right"/>
              <w:rPr>
                <w:rFonts w:eastAsia="Times New Roman"/>
                <w:sz w:val="18"/>
                <w:szCs w:val="18"/>
              </w:rPr>
            </w:pPr>
            <w:r w:rsidRPr="00085E9B">
              <w:rPr>
                <w:rFonts w:eastAsia="Times New Roman"/>
                <w:sz w:val="18"/>
                <w:szCs w:val="18"/>
              </w:rPr>
              <w:t>Highly Satisfactory </w:t>
            </w:r>
          </w:p>
        </w:tc>
        <w:tc>
          <w:tcPr>
            <w:tcW w:w="1058" w:type="dxa"/>
            <w:noWrap/>
            <w:vAlign w:val="center"/>
          </w:tcPr>
          <w:p w14:paraId="1A11E974" w14:textId="77777777" w:rsidR="003F6565" w:rsidRPr="00085E9B" w:rsidRDefault="003F6565" w:rsidP="00062DAE">
            <w:pPr>
              <w:spacing w:after="0" w:line="240" w:lineRule="auto"/>
              <w:jc w:val="center"/>
              <w:rPr>
                <w:rFonts w:eastAsia="Times New Roman"/>
                <w:sz w:val="18"/>
                <w:szCs w:val="18"/>
              </w:rPr>
            </w:pPr>
            <w:r w:rsidRPr="00085E9B">
              <w:rPr>
                <w:rFonts w:eastAsia="Times New Roman"/>
                <w:sz w:val="18"/>
                <w:szCs w:val="18"/>
              </w:rPr>
              <w:t>100% = HS</w:t>
            </w:r>
          </w:p>
        </w:tc>
      </w:tr>
    </w:tbl>
    <w:p w14:paraId="73D4F61C" w14:textId="77777777" w:rsidR="003F6565" w:rsidRPr="00085E9B" w:rsidRDefault="003F6565" w:rsidP="003F6565">
      <w:pPr>
        <w:spacing w:after="0" w:line="240" w:lineRule="auto"/>
        <w:rPr>
          <w:rFonts w:eastAsia="Times New Roman"/>
          <w:color w:val="000000"/>
          <w:sz w:val="18"/>
          <w:szCs w:val="18"/>
        </w:rPr>
      </w:pPr>
      <w:r w:rsidRPr="00E5139D">
        <w:rPr>
          <w:rFonts w:eastAsia="Times New Roman"/>
          <w:color w:val="000000"/>
          <w:sz w:val="18"/>
          <w:szCs w:val="18"/>
        </w:rPr>
        <w:t>Rating Scale:  HS=100%; S=80-99; MS=60-79; MU=40-59; U=20-39; HU = &lt;20</w:t>
      </w:r>
    </w:p>
    <w:tbl>
      <w:tblPr>
        <w:tblW w:w="0" w:type="auto"/>
        <w:tblCellMar>
          <w:left w:w="0" w:type="dxa"/>
          <w:right w:w="0" w:type="dxa"/>
        </w:tblCellMar>
        <w:tblLook w:val="0420" w:firstRow="1" w:lastRow="0" w:firstColumn="0" w:lastColumn="0" w:noHBand="0" w:noVBand="1"/>
      </w:tblPr>
      <w:tblGrid>
        <w:gridCol w:w="1108"/>
        <w:gridCol w:w="2073"/>
        <w:gridCol w:w="1787"/>
      </w:tblGrid>
      <w:tr w:rsidR="003F6565" w:rsidRPr="00C65844" w14:paraId="5A8263B5" w14:textId="77777777" w:rsidTr="00062DAE">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4BF29731" w14:textId="77777777" w:rsidR="003F6565" w:rsidRPr="00C65844" w:rsidRDefault="003F6565" w:rsidP="00062DAE">
            <w:pPr>
              <w:jc w:val="center"/>
              <w:rPr>
                <w:b/>
                <w:bCs/>
                <w:sz w:val="18"/>
                <w:szCs w:val="18"/>
                <w:lang w:val="es-ES"/>
              </w:rPr>
            </w:pPr>
            <w:r w:rsidRPr="00C65844">
              <w:rPr>
                <w:b/>
                <w:bCs/>
                <w:sz w:val="18"/>
                <w:szCs w:val="18"/>
              </w:rPr>
              <w:t>Completed</w:t>
            </w:r>
          </w:p>
        </w:tc>
        <w:tc>
          <w:tcPr>
            <w:tcW w:w="0" w:type="auto"/>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14:paraId="349F18EE" w14:textId="77777777" w:rsidR="003F6565" w:rsidRPr="00C65844" w:rsidRDefault="003F6565" w:rsidP="00062DAE">
            <w:pPr>
              <w:jc w:val="center"/>
              <w:rPr>
                <w:b/>
                <w:bCs/>
                <w:sz w:val="18"/>
                <w:szCs w:val="18"/>
                <w:lang w:val="es-ES"/>
              </w:rPr>
            </w:pPr>
            <w:r w:rsidRPr="00C65844">
              <w:rPr>
                <w:b/>
                <w:bCs/>
                <w:sz w:val="18"/>
                <w:szCs w:val="18"/>
              </w:rPr>
              <w:t>On track for completion</w:t>
            </w:r>
          </w:p>
        </w:tc>
        <w:tc>
          <w:tcPr>
            <w:tcW w:w="0" w:type="auto"/>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568C2C0A" w14:textId="77777777" w:rsidR="003F6565" w:rsidRPr="00C65844" w:rsidRDefault="003F6565" w:rsidP="00062DAE">
            <w:pPr>
              <w:jc w:val="center"/>
              <w:rPr>
                <w:b/>
                <w:bCs/>
                <w:sz w:val="18"/>
                <w:szCs w:val="18"/>
                <w:lang w:val="es-ES"/>
              </w:rPr>
            </w:pPr>
            <w:r w:rsidRPr="00C65844">
              <w:rPr>
                <w:b/>
                <w:bCs/>
                <w:sz w:val="18"/>
                <w:szCs w:val="18"/>
              </w:rPr>
              <w:t>Completion unlikely</w:t>
            </w:r>
          </w:p>
        </w:tc>
      </w:tr>
    </w:tbl>
    <w:p w14:paraId="1337795A" w14:textId="62A2D2CD" w:rsidR="00FC0D66" w:rsidRDefault="00FC0D66" w:rsidP="003F6565">
      <w:pPr>
        <w:pStyle w:val="ListParagraph"/>
        <w:ind w:left="480" w:firstLine="0"/>
        <w:rPr>
          <w:rFonts w:asciiTheme="minorHAnsi" w:hAnsiTheme="minorHAnsi" w:cstheme="minorHAnsi"/>
        </w:rPr>
      </w:pPr>
      <w:r>
        <w:rPr>
          <w:rFonts w:asciiTheme="minorHAnsi" w:hAnsiTheme="minorHAnsi" w:cstheme="minorHAnsi"/>
        </w:rPr>
        <w:t>Table 9. Outcome 2 Indicators Ratings</w:t>
      </w:r>
    </w:p>
    <w:p w14:paraId="24CECB03" w14:textId="77777777" w:rsidR="00FC0D66" w:rsidRDefault="00FC0D66" w:rsidP="003F6565">
      <w:pPr>
        <w:pStyle w:val="ListParagraph"/>
        <w:ind w:left="480" w:firstLine="0"/>
        <w:rPr>
          <w:rFonts w:asciiTheme="minorHAnsi" w:hAnsiTheme="minorHAnsi" w:cstheme="minorHAnsi"/>
        </w:rPr>
      </w:pPr>
    </w:p>
    <w:p w14:paraId="19CD951B" w14:textId="305AA8E1" w:rsidR="003F6565" w:rsidRPr="00D3052B" w:rsidRDefault="003F6565" w:rsidP="003F6565">
      <w:pPr>
        <w:rPr>
          <w:rFonts w:asciiTheme="minorHAnsi" w:hAnsiTheme="minorHAnsi" w:cstheme="minorHAnsi"/>
          <w:b/>
          <w:bCs/>
        </w:rPr>
      </w:pPr>
      <w:bookmarkStart w:id="74" w:name="_Hlk89856629"/>
      <w:r w:rsidRPr="00D3052B">
        <w:rPr>
          <w:rFonts w:asciiTheme="minorHAnsi" w:hAnsiTheme="minorHAnsi" w:cstheme="minorHAnsi"/>
          <w:b/>
          <w:bCs/>
        </w:rPr>
        <w:t xml:space="preserve">Component </w:t>
      </w:r>
      <w:r>
        <w:rPr>
          <w:rFonts w:asciiTheme="minorHAnsi" w:hAnsiTheme="minorHAnsi" w:cstheme="minorHAnsi"/>
          <w:b/>
          <w:bCs/>
        </w:rPr>
        <w:t>2</w:t>
      </w:r>
      <w:r w:rsidRPr="00D3052B">
        <w:rPr>
          <w:rFonts w:asciiTheme="minorHAnsi" w:hAnsiTheme="minorHAnsi" w:cstheme="minorHAnsi"/>
          <w:b/>
          <w:bCs/>
        </w:rPr>
        <w:t xml:space="preserve"> Findings:</w:t>
      </w:r>
    </w:p>
    <w:p w14:paraId="7EDDF57C" w14:textId="51E7B2A9" w:rsidR="003F6565" w:rsidRDefault="003F6565" w:rsidP="00D80344">
      <w:pPr>
        <w:pStyle w:val="ListParagraph"/>
        <w:numPr>
          <w:ilvl w:val="0"/>
          <w:numId w:val="25"/>
        </w:numPr>
        <w:jc w:val="both"/>
        <w:rPr>
          <w:rFonts w:asciiTheme="minorHAnsi" w:hAnsiTheme="minorHAnsi" w:cstheme="minorHAnsi"/>
        </w:rPr>
      </w:pPr>
      <w:r w:rsidRPr="00330D69">
        <w:rPr>
          <w:rFonts w:asciiTheme="minorHAnsi" w:hAnsiTheme="minorHAnsi" w:cstheme="minorHAnsi"/>
        </w:rPr>
        <w:t>Global online Database “Evidensia” on deforestation reduction impacts of VSS</w:t>
      </w:r>
    </w:p>
    <w:p w14:paraId="6F33C6B3" w14:textId="6963827F" w:rsidR="00596079" w:rsidRDefault="00596079" w:rsidP="00D80344">
      <w:pPr>
        <w:pStyle w:val="ListParagraph"/>
        <w:numPr>
          <w:ilvl w:val="0"/>
          <w:numId w:val="25"/>
        </w:numPr>
        <w:jc w:val="both"/>
        <w:rPr>
          <w:rFonts w:asciiTheme="minorHAnsi" w:hAnsiTheme="minorHAnsi" w:cstheme="minorHAnsi"/>
        </w:rPr>
      </w:pPr>
      <w:r>
        <w:rPr>
          <w:rFonts w:asciiTheme="minorHAnsi" w:hAnsiTheme="minorHAnsi" w:cstheme="minorHAnsi"/>
        </w:rPr>
        <w:t>Evidensia is open source</w:t>
      </w:r>
      <w:r w:rsidR="00BD13C3">
        <w:rPr>
          <w:rFonts w:asciiTheme="minorHAnsi" w:hAnsiTheme="minorHAnsi" w:cstheme="minorHAnsi"/>
        </w:rPr>
        <w:t>d</w:t>
      </w:r>
      <w:r>
        <w:rPr>
          <w:rFonts w:asciiTheme="minorHAnsi" w:hAnsiTheme="minorHAnsi" w:cstheme="minorHAnsi"/>
        </w:rPr>
        <w:t xml:space="preserve">, user friendly and does not require permissions or even passwords. </w:t>
      </w:r>
    </w:p>
    <w:p w14:paraId="241F9D98" w14:textId="29922A4A" w:rsidR="003F6565" w:rsidRPr="002F4673" w:rsidRDefault="00731C5E" w:rsidP="00D80344">
      <w:pPr>
        <w:pStyle w:val="ListParagraph"/>
        <w:numPr>
          <w:ilvl w:val="0"/>
          <w:numId w:val="25"/>
        </w:numPr>
        <w:jc w:val="both"/>
        <w:rPr>
          <w:rFonts w:asciiTheme="minorHAnsi" w:hAnsiTheme="minorHAnsi" w:cstheme="minorHAnsi"/>
        </w:rPr>
      </w:pPr>
      <w:r>
        <w:rPr>
          <w:rFonts w:asciiTheme="minorHAnsi" w:hAnsiTheme="minorHAnsi" w:cstheme="minorHAnsi"/>
        </w:rPr>
        <w:t>1</w:t>
      </w:r>
      <w:r w:rsidR="00146E31">
        <w:rPr>
          <w:rFonts w:asciiTheme="minorHAnsi" w:hAnsiTheme="minorHAnsi" w:cstheme="minorHAnsi"/>
        </w:rPr>
        <w:t>3</w:t>
      </w:r>
      <w:r w:rsidR="002F4673">
        <w:rPr>
          <w:rFonts w:asciiTheme="minorHAnsi" w:hAnsiTheme="minorHAnsi" w:cstheme="minorHAnsi"/>
        </w:rPr>
        <w:t xml:space="preserve"> </w:t>
      </w:r>
      <w:r w:rsidR="003F6565" w:rsidRPr="00330D69">
        <w:rPr>
          <w:rFonts w:asciiTheme="minorHAnsi" w:hAnsiTheme="minorHAnsi" w:cstheme="minorHAnsi"/>
        </w:rPr>
        <w:t>Documents synthesizing evidence-based dissemination</w:t>
      </w:r>
      <w:r w:rsidR="002F4673">
        <w:rPr>
          <w:rFonts w:asciiTheme="minorHAnsi" w:hAnsiTheme="minorHAnsi" w:cstheme="minorHAnsi"/>
        </w:rPr>
        <w:t xml:space="preserve"> available at TE</w:t>
      </w:r>
    </w:p>
    <w:p w14:paraId="6BED9A52" w14:textId="77777777" w:rsidR="003F6565" w:rsidRPr="00330D69" w:rsidRDefault="003F6565" w:rsidP="00D80344">
      <w:pPr>
        <w:pStyle w:val="ListParagraph"/>
        <w:numPr>
          <w:ilvl w:val="0"/>
          <w:numId w:val="25"/>
        </w:numPr>
        <w:jc w:val="both"/>
        <w:rPr>
          <w:rFonts w:asciiTheme="minorHAnsi" w:hAnsiTheme="minorHAnsi" w:cstheme="minorHAnsi"/>
        </w:rPr>
      </w:pPr>
      <w:r w:rsidRPr="00330D69">
        <w:rPr>
          <w:rFonts w:asciiTheme="minorHAnsi" w:hAnsiTheme="minorHAnsi" w:cstheme="minorHAnsi"/>
        </w:rPr>
        <w:t>Engagement with Stakeholders and decision-makers at knowledge sharing events</w:t>
      </w:r>
    </w:p>
    <w:p w14:paraId="15462E48" w14:textId="77777777" w:rsidR="003F6565" w:rsidRPr="00330D69" w:rsidRDefault="003F6565" w:rsidP="00D80344">
      <w:pPr>
        <w:pStyle w:val="ListParagraph"/>
        <w:numPr>
          <w:ilvl w:val="0"/>
          <w:numId w:val="25"/>
        </w:numPr>
        <w:jc w:val="both"/>
        <w:rPr>
          <w:rFonts w:ascii="Calibri" w:eastAsia="Calibri" w:hAnsi="Calibri" w:cs="Calibri"/>
          <w:lang w:eastAsia="es-ES"/>
        </w:rPr>
      </w:pPr>
      <w:r w:rsidRPr="00330D69">
        <w:rPr>
          <w:rFonts w:ascii="Calibri" w:eastAsia="Calibri" w:hAnsi="Calibri" w:cs="Calibri"/>
          <w:lang w:eastAsia="es-ES"/>
        </w:rPr>
        <w:t xml:space="preserve">The basic platform is well established and functional with linkages to ITC and other platforms </w:t>
      </w:r>
    </w:p>
    <w:p w14:paraId="406A489D" w14:textId="05C7CE42" w:rsidR="003F6565" w:rsidRPr="00191107" w:rsidRDefault="003F6565" w:rsidP="00D80344">
      <w:pPr>
        <w:pStyle w:val="ListParagraph"/>
        <w:numPr>
          <w:ilvl w:val="0"/>
          <w:numId w:val="25"/>
        </w:numPr>
        <w:jc w:val="both"/>
        <w:rPr>
          <w:rFonts w:ascii="Calibri" w:eastAsia="Calibri" w:hAnsi="Calibri" w:cs="Calibri"/>
          <w:lang w:eastAsia="es-ES"/>
        </w:rPr>
      </w:pPr>
      <w:r w:rsidRPr="00330D69">
        <w:rPr>
          <w:rFonts w:ascii="Calibri" w:eastAsia="Calibri" w:hAnsi="Calibri" w:cs="Calibri"/>
          <w:lang w:eastAsia="es-ES"/>
        </w:rPr>
        <w:t>Good collaborative effort between institutions</w:t>
      </w:r>
      <w:r w:rsidR="00BA43C0">
        <w:rPr>
          <w:rFonts w:ascii="Calibri" w:eastAsia="Calibri" w:hAnsi="Calibri" w:cs="Calibri"/>
          <w:lang w:eastAsia="es-ES"/>
        </w:rPr>
        <w:t>, ITC engineered connections to their platform</w:t>
      </w:r>
    </w:p>
    <w:p w14:paraId="48707B50" w14:textId="77777777" w:rsidR="003F6565" w:rsidRPr="00330D69" w:rsidRDefault="003F6565" w:rsidP="00D80344">
      <w:pPr>
        <w:pStyle w:val="ListParagraph"/>
        <w:numPr>
          <w:ilvl w:val="0"/>
          <w:numId w:val="25"/>
        </w:numPr>
        <w:jc w:val="both"/>
        <w:rPr>
          <w:rFonts w:ascii="Calibri" w:eastAsia="Calibri" w:hAnsi="Calibri" w:cs="Calibri"/>
          <w:lang w:val="es-ES" w:eastAsia="es-ES"/>
        </w:rPr>
      </w:pPr>
      <w:r w:rsidRPr="00330D69">
        <w:rPr>
          <w:rFonts w:ascii="Calibri" w:eastAsia="Calibri" w:hAnsi="Calibri" w:cs="Calibri"/>
          <w:lang w:eastAsia="es-ES"/>
        </w:rPr>
        <w:t>Outpaced targets</w:t>
      </w:r>
    </w:p>
    <w:p w14:paraId="1E378275" w14:textId="60431747" w:rsidR="003F6565" w:rsidRDefault="003F6565" w:rsidP="00D80344">
      <w:pPr>
        <w:pStyle w:val="ListParagraph"/>
        <w:numPr>
          <w:ilvl w:val="0"/>
          <w:numId w:val="25"/>
        </w:numPr>
        <w:jc w:val="both"/>
        <w:rPr>
          <w:rFonts w:ascii="Calibri" w:eastAsia="Calibri" w:hAnsi="Calibri" w:cs="Calibri"/>
          <w:lang w:eastAsia="es-ES"/>
        </w:rPr>
      </w:pPr>
      <w:r w:rsidRPr="00330D69">
        <w:rPr>
          <w:rFonts w:ascii="Calibri" w:eastAsia="Calibri" w:hAnsi="Calibri" w:cs="Calibri"/>
          <w:lang w:eastAsia="es-ES"/>
        </w:rPr>
        <w:t>The indicator</w:t>
      </w:r>
      <w:r w:rsidR="00FF3892">
        <w:rPr>
          <w:rFonts w:ascii="Calibri" w:eastAsia="Calibri" w:hAnsi="Calibri" w:cs="Calibri"/>
          <w:lang w:eastAsia="es-ES"/>
        </w:rPr>
        <w:t>s</w:t>
      </w:r>
      <w:r w:rsidRPr="00330D69">
        <w:rPr>
          <w:rFonts w:ascii="Calibri" w:eastAsia="Calibri" w:hAnsi="Calibri" w:cs="Calibri"/>
          <w:lang w:eastAsia="es-ES"/>
        </w:rPr>
        <w:t xml:space="preserve"> </w:t>
      </w:r>
      <w:r w:rsidR="00FF3892">
        <w:rPr>
          <w:rFonts w:ascii="Calibri" w:eastAsia="Calibri" w:hAnsi="Calibri" w:cs="Calibri"/>
          <w:lang w:eastAsia="es-ES"/>
        </w:rPr>
        <w:t xml:space="preserve">are </w:t>
      </w:r>
      <w:r w:rsidRPr="00330D69">
        <w:rPr>
          <w:rFonts w:ascii="Calibri" w:eastAsia="Calibri" w:hAnsi="Calibri" w:cs="Calibri"/>
          <w:lang w:eastAsia="es-ES"/>
        </w:rPr>
        <w:t xml:space="preserve">not </w:t>
      </w:r>
      <w:r w:rsidR="00FF3892">
        <w:rPr>
          <w:rFonts w:ascii="Calibri" w:eastAsia="Calibri" w:hAnsi="Calibri" w:cs="Calibri"/>
          <w:lang w:eastAsia="es-ES"/>
        </w:rPr>
        <w:t xml:space="preserve">entirely </w:t>
      </w:r>
      <w:r w:rsidRPr="00330D69">
        <w:rPr>
          <w:rFonts w:ascii="Calibri" w:eastAsia="Calibri" w:hAnsi="Calibri" w:cs="Calibri"/>
          <w:lang w:eastAsia="es-ES"/>
        </w:rPr>
        <w:t xml:space="preserve">aligned with the Outcome: A good functioning platform </w:t>
      </w:r>
      <w:r w:rsidR="00FF3892">
        <w:rPr>
          <w:rFonts w:ascii="Calibri" w:eastAsia="Calibri" w:hAnsi="Calibri" w:cs="Calibri"/>
          <w:lang w:eastAsia="es-ES"/>
        </w:rPr>
        <w:t xml:space="preserve">does </w:t>
      </w:r>
      <w:r w:rsidRPr="00330D69">
        <w:rPr>
          <w:rFonts w:ascii="Calibri" w:eastAsia="Calibri" w:hAnsi="Calibri" w:cs="Calibri"/>
          <w:lang w:eastAsia="es-ES"/>
        </w:rPr>
        <w:t xml:space="preserve">not </w:t>
      </w:r>
      <w:r w:rsidR="00FF3892">
        <w:rPr>
          <w:rFonts w:ascii="Calibri" w:eastAsia="Calibri" w:hAnsi="Calibri" w:cs="Calibri"/>
          <w:lang w:eastAsia="es-ES"/>
        </w:rPr>
        <w:t xml:space="preserve">necessarily </w:t>
      </w:r>
      <w:r w:rsidRPr="00330D69">
        <w:rPr>
          <w:rFonts w:ascii="Calibri" w:eastAsia="Calibri" w:hAnsi="Calibri" w:cs="Calibri"/>
          <w:lang w:eastAsia="es-ES"/>
        </w:rPr>
        <w:t xml:space="preserve">provide proof that </w:t>
      </w:r>
      <w:r w:rsidR="00FF3892">
        <w:rPr>
          <w:rFonts w:ascii="Calibri" w:eastAsia="Calibri" w:hAnsi="Calibri" w:cs="Calibri"/>
          <w:lang w:eastAsia="es-ES"/>
        </w:rPr>
        <w:t xml:space="preserve">VSS contributes to </w:t>
      </w:r>
      <w:r w:rsidRPr="00330D69">
        <w:rPr>
          <w:rFonts w:ascii="Calibri" w:eastAsia="Calibri" w:hAnsi="Calibri" w:cs="Calibri"/>
          <w:lang w:eastAsia="es-ES"/>
        </w:rPr>
        <w:t>taking deforestation out of commodity supply chains</w:t>
      </w:r>
      <w:r w:rsidR="00FF3892">
        <w:rPr>
          <w:rFonts w:ascii="Calibri" w:eastAsia="Calibri" w:hAnsi="Calibri" w:cs="Calibri"/>
          <w:lang w:eastAsia="es-ES"/>
        </w:rPr>
        <w:t>, nor does the number of syntheses. By qualifying the target as the number of syntheses positively linking VSS to reduction in deforestation, a better target results</w:t>
      </w:r>
      <w:r w:rsidRPr="00330D69">
        <w:rPr>
          <w:rFonts w:ascii="Calibri" w:eastAsia="Calibri" w:hAnsi="Calibri" w:cs="Calibri"/>
          <w:lang w:eastAsia="es-ES"/>
        </w:rPr>
        <w:t xml:space="preserve">. </w:t>
      </w:r>
      <w:r w:rsidR="00FF3892">
        <w:rPr>
          <w:rFonts w:ascii="Calibri" w:eastAsia="Calibri" w:hAnsi="Calibri" w:cs="Calibri"/>
          <w:lang w:eastAsia="es-ES"/>
        </w:rPr>
        <w:t xml:space="preserve">To date Evidensia has produced </w:t>
      </w:r>
      <w:r w:rsidR="00E56BCF">
        <w:rPr>
          <w:rFonts w:ascii="Calibri" w:eastAsia="Calibri" w:hAnsi="Calibri" w:cs="Calibri"/>
          <w:lang w:eastAsia="es-ES"/>
        </w:rPr>
        <w:t>several</w:t>
      </w:r>
      <w:r w:rsidR="00FF3892">
        <w:rPr>
          <w:rFonts w:ascii="Calibri" w:eastAsia="Calibri" w:hAnsi="Calibri" w:cs="Calibri"/>
          <w:lang w:eastAsia="es-ES"/>
        </w:rPr>
        <w:t xml:space="preserve"> syntheses linking VSS to reduced deforestation</w:t>
      </w:r>
      <w:r w:rsidR="00BE6E55">
        <w:rPr>
          <w:rFonts w:ascii="Calibri" w:eastAsia="Calibri" w:hAnsi="Calibri" w:cs="Calibri"/>
          <w:lang w:eastAsia="es-ES"/>
        </w:rPr>
        <w:t xml:space="preserve"> </w:t>
      </w:r>
      <w:r w:rsidR="00E56BCF">
        <w:rPr>
          <w:rFonts w:ascii="Calibri" w:eastAsia="Calibri" w:hAnsi="Calibri" w:cs="Calibri"/>
          <w:lang w:eastAsia="es-ES"/>
        </w:rPr>
        <w:t>including the following:</w:t>
      </w:r>
    </w:p>
    <w:p w14:paraId="5368435D" w14:textId="1F1DC0C8" w:rsidR="00E56BCF" w:rsidRDefault="00E56BCF" w:rsidP="00E56BCF">
      <w:pPr>
        <w:pStyle w:val="ListParagraph"/>
        <w:ind w:left="720" w:firstLine="0"/>
        <w:jc w:val="both"/>
        <w:rPr>
          <w:rFonts w:ascii="Calibri" w:eastAsia="Calibri" w:hAnsi="Calibri" w:cs="Calibri"/>
          <w:lang w:eastAsia="es-ES"/>
        </w:rPr>
      </w:pPr>
    </w:p>
    <w:p w14:paraId="43BB3815" w14:textId="0206F23F" w:rsidR="00E56BCF" w:rsidRPr="00E56BCF" w:rsidRDefault="00E56BCF" w:rsidP="00E56BCF">
      <w:pPr>
        <w:shd w:val="clear" w:color="auto" w:fill="FFFFFF"/>
        <w:spacing w:after="0" w:line="240" w:lineRule="auto"/>
        <w:ind w:left="720"/>
      </w:pPr>
      <w:r>
        <w:t xml:space="preserve">(a) </w:t>
      </w:r>
      <w:r w:rsidRPr="00E56BCF">
        <w:t>Evidensia / ISEAL Systematic review on the conservation impacts of sustainability standards (2018)</w:t>
      </w:r>
    </w:p>
    <w:p w14:paraId="00636961" w14:textId="77777777" w:rsidR="00E56BCF" w:rsidRPr="00E56BCF" w:rsidRDefault="00E56BCF" w:rsidP="00E56BCF">
      <w:pPr>
        <w:numPr>
          <w:ilvl w:val="0"/>
          <w:numId w:val="74"/>
        </w:numPr>
        <w:shd w:val="clear" w:color="auto" w:fill="FFFFFF"/>
        <w:tabs>
          <w:tab w:val="clear" w:pos="720"/>
        </w:tabs>
        <w:spacing w:after="0" w:line="240" w:lineRule="auto"/>
        <w:ind w:firstLine="0"/>
        <w:rPr>
          <w:rFonts w:eastAsia="Times New Roman"/>
          <w:color w:val="222222"/>
        </w:rPr>
      </w:pPr>
      <w:r w:rsidRPr="00E56BCF">
        <w:rPr>
          <w:rFonts w:eastAsia="Times New Roman"/>
          <w:color w:val="222222"/>
        </w:rPr>
        <w:t>Visual summaries depiction (actual results data): </w:t>
      </w:r>
      <w:hyperlink r:id="rId24" w:tgtFrame="_blank" w:history="1">
        <w:r w:rsidRPr="00E56BCF">
          <w:rPr>
            <w:rFonts w:eastAsia="Times New Roman"/>
            <w:color w:val="1155CC"/>
            <w:u w:val="single"/>
          </w:rPr>
          <w:t>https://www.evidensia.eco/work-with-evidence/visual-summaries/</w:t>
        </w:r>
      </w:hyperlink>
    </w:p>
    <w:p w14:paraId="00CE695C" w14:textId="77777777" w:rsidR="00E56BCF" w:rsidRPr="00E56BCF" w:rsidRDefault="00E56BCF" w:rsidP="00E56BCF">
      <w:pPr>
        <w:numPr>
          <w:ilvl w:val="0"/>
          <w:numId w:val="74"/>
        </w:numPr>
        <w:shd w:val="clear" w:color="auto" w:fill="FFFFFF"/>
        <w:tabs>
          <w:tab w:val="clear" w:pos="720"/>
        </w:tabs>
        <w:spacing w:after="0" w:line="240" w:lineRule="auto"/>
        <w:ind w:firstLine="0"/>
        <w:rPr>
          <w:rFonts w:eastAsia="Times New Roman"/>
          <w:color w:val="222222"/>
        </w:rPr>
      </w:pPr>
      <w:r w:rsidRPr="00E56BCF">
        <w:rPr>
          <w:rFonts w:eastAsia="Times New Roman"/>
          <w:color w:val="222222"/>
        </w:rPr>
        <w:t>Narrative report, podcast and webinar: </w:t>
      </w:r>
      <w:hyperlink r:id="rId25" w:tgtFrame="_blank" w:history="1">
        <w:r w:rsidRPr="00E56BCF">
          <w:rPr>
            <w:rFonts w:eastAsia="Times New Roman"/>
            <w:color w:val="1155CC"/>
            <w:u w:val="single"/>
          </w:rPr>
          <w:t>https://www.evidensia.eco/resources/181</w:t>
        </w:r>
      </w:hyperlink>
    </w:p>
    <w:p w14:paraId="53BB3608" w14:textId="77777777" w:rsidR="009231A4" w:rsidRDefault="009231A4" w:rsidP="00E56BCF">
      <w:pPr>
        <w:pStyle w:val="ListParagraph"/>
        <w:ind w:left="720" w:firstLine="0"/>
        <w:jc w:val="both"/>
        <w:rPr>
          <w:rFonts w:ascii="Calibri" w:eastAsia="Calibri" w:hAnsi="Calibri" w:cs="Calibri"/>
          <w:lang w:eastAsia="es-ES"/>
        </w:rPr>
      </w:pPr>
    </w:p>
    <w:p w14:paraId="04D45A2C" w14:textId="77777777" w:rsidR="00AC7DF9" w:rsidRPr="00AC7DF9" w:rsidRDefault="00AC7DF9" w:rsidP="00AC7DF9">
      <w:pPr>
        <w:shd w:val="clear" w:color="auto" w:fill="FFFFFF"/>
        <w:spacing w:after="0" w:line="240" w:lineRule="auto"/>
        <w:ind w:left="720"/>
        <w:rPr>
          <w:rFonts w:eastAsia="Times New Roman"/>
          <w:color w:val="222222"/>
        </w:rPr>
      </w:pPr>
      <w:r w:rsidRPr="00AC7DF9">
        <w:rPr>
          <w:rFonts w:eastAsia="Times New Roman"/>
          <w:color w:val="222222"/>
        </w:rPr>
        <w:t>Rachel Garrett et al systematic review on effectiveness of forest-focussed supply chain policies (compares performance of voluntary standards, company codes and bans / moratia on a range of outcomes including deforestation) (2021)</w:t>
      </w:r>
    </w:p>
    <w:p w14:paraId="61940E51" w14:textId="77777777" w:rsidR="00AC7DF9" w:rsidRPr="00AC7DF9" w:rsidRDefault="00AC7DF9" w:rsidP="00AC7DF9">
      <w:pPr>
        <w:numPr>
          <w:ilvl w:val="0"/>
          <w:numId w:val="75"/>
        </w:numPr>
        <w:shd w:val="clear" w:color="auto" w:fill="FFFFFF"/>
        <w:spacing w:after="0" w:line="240" w:lineRule="auto"/>
        <w:ind w:firstLine="0"/>
        <w:rPr>
          <w:rFonts w:eastAsia="Times New Roman"/>
          <w:color w:val="222222"/>
        </w:rPr>
      </w:pPr>
      <w:r w:rsidRPr="00AC7DF9">
        <w:rPr>
          <w:rFonts w:eastAsia="Times New Roman"/>
          <w:color w:val="222222"/>
        </w:rPr>
        <w:t>Narrative report and webinar: </w:t>
      </w:r>
      <w:hyperlink r:id="rId26" w:tgtFrame="_blank" w:history="1">
        <w:r w:rsidRPr="00AC7DF9">
          <w:rPr>
            <w:rFonts w:eastAsia="Times New Roman"/>
            <w:color w:val="1155CC"/>
            <w:u w:val="single"/>
          </w:rPr>
          <w:t>https://www.evidensia.eco/resources/1120/have-food-supply-chain-policies-improved-forest-conservation-and-rural-livelihoods-a-systematic-review/</w:t>
        </w:r>
      </w:hyperlink>
    </w:p>
    <w:p w14:paraId="07F62C72" w14:textId="77777777" w:rsidR="00AC7DF9" w:rsidRPr="00AC7DF9" w:rsidRDefault="00AC7DF9" w:rsidP="00AC7DF9">
      <w:pPr>
        <w:numPr>
          <w:ilvl w:val="0"/>
          <w:numId w:val="75"/>
        </w:numPr>
        <w:shd w:val="clear" w:color="auto" w:fill="FFFFFF"/>
        <w:spacing w:after="0" w:line="240" w:lineRule="auto"/>
        <w:ind w:firstLine="0"/>
        <w:rPr>
          <w:rFonts w:eastAsia="Times New Roman"/>
          <w:color w:val="222222"/>
        </w:rPr>
      </w:pPr>
      <w:r w:rsidRPr="00AC7DF9">
        <w:rPr>
          <w:rFonts w:eastAsia="Times New Roman"/>
          <w:color w:val="222222"/>
        </w:rPr>
        <w:t>Short article: </w:t>
      </w:r>
      <w:hyperlink r:id="rId27" w:tgtFrame="_blank" w:history="1">
        <w:r w:rsidRPr="00AC7DF9">
          <w:rPr>
            <w:rFonts w:eastAsia="Times New Roman"/>
            <w:color w:val="1155CC"/>
            <w:u w:val="single"/>
          </w:rPr>
          <w:t>https://www.evidensia.eco/resources/1128/have-food-supply-chain-policies-improved-forest-conservation-and-rural-livelihoods/</w:t>
        </w:r>
      </w:hyperlink>
    </w:p>
    <w:p w14:paraId="652ACDE9" w14:textId="6414E480" w:rsidR="00E56BCF" w:rsidRDefault="00E56BCF" w:rsidP="00AC7DF9">
      <w:pPr>
        <w:pStyle w:val="ListParagraph"/>
        <w:ind w:left="720" w:firstLine="0"/>
        <w:jc w:val="both"/>
        <w:rPr>
          <w:rFonts w:ascii="Calibri" w:eastAsia="Calibri" w:hAnsi="Calibri" w:cs="Calibri"/>
          <w:lang w:eastAsia="es-ES"/>
        </w:rPr>
      </w:pPr>
    </w:p>
    <w:p w14:paraId="2602FACF" w14:textId="77777777" w:rsidR="00AC7DF9" w:rsidRPr="00AC7DF9" w:rsidRDefault="00AC7DF9" w:rsidP="00AC7DF9">
      <w:pPr>
        <w:shd w:val="clear" w:color="auto" w:fill="FFFFFF"/>
        <w:spacing w:after="0" w:line="240" w:lineRule="auto"/>
        <w:ind w:left="720"/>
        <w:rPr>
          <w:rFonts w:eastAsia="Times New Roman"/>
          <w:color w:val="222222"/>
        </w:rPr>
      </w:pPr>
      <w:r w:rsidRPr="00AC7DF9">
        <w:rPr>
          <w:rFonts w:eastAsia="Times New Roman"/>
          <w:color w:val="222222"/>
        </w:rPr>
        <w:t>Ingram et aal. Synthesis report on effectiveness of 6 different approaches to meet zero deforestation commitments (2020)</w:t>
      </w:r>
    </w:p>
    <w:p w14:paraId="5B5C8F18" w14:textId="77777777" w:rsidR="00AC7DF9" w:rsidRPr="00AC7DF9" w:rsidRDefault="006D7FD6" w:rsidP="00AC7DF9">
      <w:pPr>
        <w:numPr>
          <w:ilvl w:val="0"/>
          <w:numId w:val="76"/>
        </w:numPr>
        <w:shd w:val="clear" w:color="auto" w:fill="FFFFFF"/>
        <w:tabs>
          <w:tab w:val="clear" w:pos="720"/>
        </w:tabs>
        <w:spacing w:after="0" w:line="240" w:lineRule="auto"/>
        <w:ind w:left="1440" w:hanging="720"/>
        <w:rPr>
          <w:rFonts w:eastAsia="Times New Roman"/>
          <w:color w:val="222222"/>
        </w:rPr>
      </w:pPr>
      <w:hyperlink r:id="rId28" w:tgtFrame="_blank" w:history="1">
        <w:r w:rsidR="00AC7DF9" w:rsidRPr="00AC7DF9">
          <w:rPr>
            <w:rFonts w:eastAsia="Times New Roman"/>
            <w:color w:val="1155CC"/>
            <w:u w:val="single"/>
          </w:rPr>
          <w:t>https://www.evidensia.eco/resources/1107/outcomes-of-deforestation-free-commodity-value-chain-approaches/</w:t>
        </w:r>
      </w:hyperlink>
    </w:p>
    <w:p w14:paraId="5294868A" w14:textId="28635E95" w:rsidR="003F6565" w:rsidRPr="006A656E" w:rsidRDefault="003F6565" w:rsidP="006A656E">
      <w:pPr>
        <w:jc w:val="both"/>
      </w:pPr>
    </w:p>
    <w:p w14:paraId="26FA3347" w14:textId="77777777" w:rsidR="003F6565" w:rsidRPr="00330D69" w:rsidRDefault="003F6565" w:rsidP="00D80344">
      <w:pPr>
        <w:pStyle w:val="ListParagraph"/>
        <w:numPr>
          <w:ilvl w:val="0"/>
          <w:numId w:val="25"/>
        </w:numPr>
        <w:jc w:val="both"/>
        <w:rPr>
          <w:rFonts w:ascii="Calibri" w:eastAsia="Calibri" w:hAnsi="Calibri" w:cs="Calibri"/>
          <w:lang w:val="es-ES" w:eastAsia="es-ES"/>
        </w:rPr>
      </w:pPr>
      <w:r w:rsidRPr="00330D69">
        <w:rPr>
          <w:rFonts w:ascii="Calibri" w:eastAsia="Calibri" w:hAnsi="Calibri" w:cs="Calibri"/>
          <w:lang w:eastAsia="es-ES"/>
        </w:rPr>
        <w:lastRenderedPageBreak/>
        <w:t xml:space="preserve">A very good start: define the lateral relationships. What is the Value to companies, Value to Governments?  What do they need? The platform must expand into these areas.  Why is </w:t>
      </w:r>
      <w:r>
        <w:rPr>
          <w:rFonts w:ascii="Calibri" w:eastAsia="Calibri" w:hAnsi="Calibri" w:cs="Calibri"/>
          <w:lang w:eastAsia="es-ES"/>
        </w:rPr>
        <w:t>ISEAL Al</w:t>
      </w:r>
      <w:r w:rsidRPr="00330D69">
        <w:rPr>
          <w:rFonts w:ascii="Calibri" w:eastAsia="Calibri" w:hAnsi="Calibri" w:cs="Calibri"/>
          <w:lang w:eastAsia="es-ES"/>
        </w:rPr>
        <w:t xml:space="preserve">liance not oriented to their base?  </w:t>
      </w:r>
    </w:p>
    <w:p w14:paraId="678DE7C8" w14:textId="4D19923B" w:rsidR="003F6565" w:rsidRDefault="003F6565" w:rsidP="00D80344">
      <w:pPr>
        <w:pStyle w:val="ListParagraph"/>
        <w:numPr>
          <w:ilvl w:val="0"/>
          <w:numId w:val="25"/>
        </w:numPr>
        <w:jc w:val="both"/>
        <w:rPr>
          <w:rFonts w:ascii="Calibri" w:eastAsia="Calibri" w:hAnsi="Calibri" w:cs="Calibri"/>
          <w:lang w:eastAsia="es-ES"/>
        </w:rPr>
      </w:pPr>
      <w:r w:rsidRPr="00330D69">
        <w:rPr>
          <w:rFonts w:ascii="Calibri" w:eastAsia="Calibri" w:hAnsi="Calibri" w:cs="Calibri"/>
          <w:lang w:eastAsia="es-ES"/>
        </w:rPr>
        <w:t xml:space="preserve"> Important product but more work needed to go to the heart of the evidence of VSS impact.  A Good Job establishing a functional platform and population. </w:t>
      </w:r>
    </w:p>
    <w:bookmarkEnd w:id="74"/>
    <w:p w14:paraId="69F53DD3" w14:textId="00991F66" w:rsidR="00C03E4D" w:rsidRDefault="00BE5E5F" w:rsidP="00BE5E5F">
      <w:pPr>
        <w:rPr>
          <w:rFonts w:asciiTheme="minorHAnsi" w:hAnsiTheme="minorHAnsi" w:cstheme="minorHAnsi"/>
        </w:rPr>
      </w:pPr>
      <w:r w:rsidRPr="00FC0D66">
        <w:rPr>
          <w:rFonts w:asciiTheme="minorHAnsi" w:hAnsiTheme="minorHAnsi" w:cstheme="minorHAnsi"/>
        </w:rPr>
        <w:t xml:space="preserve">The following Figure </w:t>
      </w:r>
      <w:r>
        <w:rPr>
          <w:rFonts w:asciiTheme="minorHAnsi" w:hAnsiTheme="minorHAnsi" w:cstheme="minorHAnsi"/>
        </w:rPr>
        <w:t>4</w:t>
      </w:r>
      <w:r w:rsidRPr="00FC0D66">
        <w:rPr>
          <w:rFonts w:asciiTheme="minorHAnsi" w:hAnsiTheme="minorHAnsi" w:cstheme="minorHAnsi"/>
        </w:rPr>
        <w:t xml:space="preserve"> shows</w:t>
      </w:r>
      <w:r>
        <w:rPr>
          <w:rFonts w:asciiTheme="minorHAnsi" w:hAnsiTheme="minorHAnsi" w:cstheme="minorHAnsi"/>
        </w:rPr>
        <w:t xml:space="preserve"> efficiency in the budget execution of Component </w:t>
      </w:r>
      <w:r w:rsidR="00C03E4D">
        <w:rPr>
          <w:rFonts w:asciiTheme="minorHAnsi" w:hAnsiTheme="minorHAnsi" w:cstheme="minorHAnsi"/>
        </w:rPr>
        <w:t>2. It closed operations in April 2021.</w:t>
      </w:r>
    </w:p>
    <w:p w14:paraId="46AB58D6" w14:textId="77777777" w:rsidR="004F2E8C" w:rsidRDefault="004F2E8C" w:rsidP="004F2E8C">
      <w:r>
        <w:t xml:space="preserve">Covid-19 did not have an impact in the execution of Component 2. The drop line in execution was due to the closure of activities as scheduled, since Component 2 closed in April 2021. </w:t>
      </w:r>
    </w:p>
    <w:p w14:paraId="031F8141" w14:textId="77777777" w:rsidR="004F2E8C" w:rsidRPr="00C03E4D" w:rsidRDefault="004F2E8C" w:rsidP="004F2E8C">
      <w:r>
        <w:t>The execution trend line shows an excellent performance.</w:t>
      </w:r>
    </w:p>
    <w:p w14:paraId="665C42BB" w14:textId="30BD0970" w:rsidR="001C6D2B" w:rsidRPr="004F2E8C" w:rsidRDefault="004F2E8C" w:rsidP="003F6565">
      <w:r w:rsidRPr="004F2E8C">
        <w:rPr>
          <w:noProof/>
        </w:rPr>
        <w:drawing>
          <wp:anchor distT="0" distB="0" distL="114300" distR="114300" simplePos="0" relativeHeight="251654656" behindDoc="1" locked="0" layoutInCell="1" allowOverlap="1" wp14:anchorId="0164008A" wp14:editId="4C1E63D3">
            <wp:simplePos x="0" y="0"/>
            <wp:positionH relativeFrom="column">
              <wp:posOffset>-28575</wp:posOffset>
            </wp:positionH>
            <wp:positionV relativeFrom="paragraph">
              <wp:posOffset>213995</wp:posOffset>
            </wp:positionV>
            <wp:extent cx="2876550" cy="2228850"/>
            <wp:effectExtent l="0" t="0" r="0" b="0"/>
            <wp:wrapTight wrapText="bothSides">
              <wp:wrapPolygon edited="0">
                <wp:start x="0" y="0"/>
                <wp:lineTo x="0" y="21415"/>
                <wp:lineTo x="21457" y="21415"/>
                <wp:lineTo x="21457" y="0"/>
                <wp:lineTo x="0" y="0"/>
              </wp:wrapPolygon>
            </wp:wrapTight>
            <wp:docPr id="5" name="Gráfico 252">
              <a:extLst xmlns:a="http://schemas.openxmlformats.org/drawingml/2006/main">
                <a:ext uri="{FF2B5EF4-FFF2-40B4-BE49-F238E27FC236}">
                  <a16:creationId xmlns:a16="http://schemas.microsoft.com/office/drawing/2014/main" id="{0B6961B9-FECC-4248-8C9E-E713EC151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4F2E8C">
        <w:rPr>
          <w:noProof/>
        </w:rPr>
        <w:drawing>
          <wp:anchor distT="0" distB="0" distL="114300" distR="114300" simplePos="0" relativeHeight="251656704" behindDoc="1" locked="0" layoutInCell="1" allowOverlap="1" wp14:anchorId="64727E4E" wp14:editId="1C393F3D">
            <wp:simplePos x="0" y="0"/>
            <wp:positionH relativeFrom="column">
              <wp:posOffset>2943860</wp:posOffset>
            </wp:positionH>
            <wp:positionV relativeFrom="paragraph">
              <wp:posOffset>212090</wp:posOffset>
            </wp:positionV>
            <wp:extent cx="2930525" cy="2341245"/>
            <wp:effectExtent l="0" t="0" r="0" b="0"/>
            <wp:wrapTopAndBottom/>
            <wp:docPr id="7" name="Imagen 2" descr="Interfaz de usuario gráfica, Aplicación, PowerPoint&#10;&#10;Descripción generada automáticamente">
              <a:extLst xmlns:a="http://schemas.openxmlformats.org/drawingml/2006/main">
                <a:ext uri="{FF2B5EF4-FFF2-40B4-BE49-F238E27FC236}">
                  <a16:creationId xmlns:a16="http://schemas.microsoft.com/office/drawing/2014/main" id="{FA8CBE38-DD3D-43B4-B39D-E5DE74E16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 descr="Interfaz de usuario gráfica, Aplicación, PowerPoint&#10;&#10;Descripción generada automáticamente">
                      <a:extLst>
                        <a:ext uri="{FF2B5EF4-FFF2-40B4-BE49-F238E27FC236}">
                          <a16:creationId xmlns:a16="http://schemas.microsoft.com/office/drawing/2014/main" id="{FA8CBE38-DD3D-43B4-B39D-E5DE74E16B4B}"/>
                        </a:ext>
                      </a:extLst>
                    </pic:cNvPr>
                    <pic:cNvPicPr>
                      <a:picLocks noChangeAspect="1"/>
                    </pic:cNvPicPr>
                  </pic:nvPicPr>
                  <pic:blipFill rotWithShape="1">
                    <a:blip r:embed="rId30">
                      <a:extLst>
                        <a:ext uri="{28A0092B-C50C-407E-A947-70E740481C1C}">
                          <a14:useLocalDpi xmlns:a14="http://schemas.microsoft.com/office/drawing/2010/main" val="0"/>
                        </a:ext>
                      </a:extLst>
                    </a:blip>
                    <a:srcRect l="44631" t="39339" r="28320" b="18673"/>
                    <a:stretch/>
                  </pic:blipFill>
                  <pic:spPr>
                    <a:xfrm>
                      <a:off x="0" y="0"/>
                      <a:ext cx="2930525" cy="2341245"/>
                    </a:xfrm>
                    <a:prstGeom prst="rect">
                      <a:avLst/>
                    </a:prstGeom>
                  </pic:spPr>
                </pic:pic>
              </a:graphicData>
            </a:graphic>
            <wp14:sizeRelH relativeFrom="margin">
              <wp14:pctWidth>0</wp14:pctWidth>
            </wp14:sizeRelH>
            <wp14:sizeRelV relativeFrom="margin">
              <wp14:pctHeight>0</wp14:pctHeight>
            </wp14:sizeRelV>
          </wp:anchor>
        </w:drawing>
      </w:r>
      <w:r w:rsidR="00BE5E5F" w:rsidRPr="004F2E8C">
        <w:t>Fig</w:t>
      </w:r>
      <w:r w:rsidR="00C03E4D" w:rsidRPr="004F2E8C">
        <w:t>ure</w:t>
      </w:r>
      <w:r w:rsidR="00BE5E5F" w:rsidRPr="004F2E8C">
        <w:t>. 4 Budget Execution Component 2</w:t>
      </w:r>
      <w:r>
        <w:rPr>
          <w:b/>
          <w:bCs/>
        </w:rPr>
        <w:tab/>
      </w:r>
      <w:r>
        <w:rPr>
          <w:b/>
          <w:bCs/>
        </w:rPr>
        <w:tab/>
      </w:r>
      <w:r w:rsidR="001C6D2B" w:rsidRPr="004F2E8C">
        <w:t>Figure 5. Component 2 Execution Trend</w:t>
      </w:r>
    </w:p>
    <w:p w14:paraId="1EF88E47" w14:textId="696D535E" w:rsidR="001C6D2B" w:rsidRDefault="001C6D2B" w:rsidP="003F6565">
      <w:pPr>
        <w:rPr>
          <w:b/>
          <w:bCs/>
        </w:rPr>
      </w:pPr>
    </w:p>
    <w:p w14:paraId="333FE43D" w14:textId="547F42E8" w:rsidR="003F6565" w:rsidRDefault="003F6565" w:rsidP="003F6565">
      <w:pPr>
        <w:rPr>
          <w:rFonts w:asciiTheme="minorHAnsi" w:hAnsiTheme="minorHAnsi" w:cstheme="minorHAnsi"/>
          <w:b/>
          <w:bCs/>
        </w:rPr>
      </w:pPr>
      <w:r>
        <w:rPr>
          <w:rFonts w:asciiTheme="minorHAnsi" w:hAnsiTheme="minorHAnsi" w:cstheme="minorHAnsi"/>
          <w:b/>
          <w:bCs/>
        </w:rPr>
        <w:t>Outcome 3 Results Indicators and Ratings: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1"/>
        <w:gridCol w:w="1061"/>
        <w:gridCol w:w="1061"/>
        <w:gridCol w:w="1185"/>
        <w:gridCol w:w="935"/>
        <w:gridCol w:w="1318"/>
        <w:gridCol w:w="999"/>
      </w:tblGrid>
      <w:tr w:rsidR="00F17011" w:rsidRPr="00087610" w14:paraId="4356870D" w14:textId="77777777" w:rsidTr="00AA4278">
        <w:trPr>
          <w:trHeight w:val="722"/>
        </w:trPr>
        <w:tc>
          <w:tcPr>
            <w:tcW w:w="9240" w:type="dxa"/>
            <w:gridSpan w:val="7"/>
            <w:shd w:val="clear" w:color="auto" w:fill="auto"/>
            <w:noWrap/>
            <w:vAlign w:val="center"/>
          </w:tcPr>
          <w:p w14:paraId="17236140" w14:textId="77777777" w:rsidR="00F17011" w:rsidRPr="00087610" w:rsidRDefault="00F17011" w:rsidP="00AA4278">
            <w:pPr>
              <w:spacing w:after="0" w:line="240" w:lineRule="auto"/>
              <w:rPr>
                <w:rFonts w:eastAsia="Times New Roman"/>
                <w:sz w:val="18"/>
                <w:szCs w:val="18"/>
              </w:rPr>
            </w:pPr>
            <w:r w:rsidRPr="00087610">
              <w:rPr>
                <w:rFonts w:eastAsia="Times New Roman"/>
                <w:b/>
                <w:bCs/>
                <w:sz w:val="18"/>
                <w:szCs w:val="18"/>
              </w:rPr>
              <w:t>Component/Outcome 3: Knowledge management, partnerships and communications activities implemented to maximize learning, foster synergies and promote upscaling of actions to take deforestation out of commodity supply chains</w:t>
            </w:r>
          </w:p>
        </w:tc>
      </w:tr>
      <w:tr w:rsidR="00F17011" w:rsidRPr="00087610" w14:paraId="12A7661D" w14:textId="77777777" w:rsidTr="00F17011">
        <w:trPr>
          <w:trHeight w:val="1014"/>
        </w:trPr>
        <w:tc>
          <w:tcPr>
            <w:tcW w:w="2681" w:type="dxa"/>
            <w:shd w:val="clear" w:color="auto" w:fill="2F5496" w:themeFill="accent1" w:themeFillShade="BF"/>
            <w:noWrap/>
            <w:vAlign w:val="center"/>
            <w:hideMark/>
          </w:tcPr>
          <w:p w14:paraId="6987DD67" w14:textId="77777777" w:rsidR="00F17011" w:rsidRPr="00087610" w:rsidRDefault="00F17011" w:rsidP="00AA4278">
            <w:pPr>
              <w:spacing w:after="0" w:line="240" w:lineRule="auto"/>
              <w:rPr>
                <w:rFonts w:eastAsia="Times New Roman"/>
                <w:color w:val="000000"/>
                <w:sz w:val="18"/>
                <w:szCs w:val="18"/>
              </w:rPr>
            </w:pPr>
            <w:r w:rsidRPr="00087610">
              <w:rPr>
                <w:rFonts w:eastAsia="Times New Roman"/>
                <w:b/>
                <w:bCs/>
                <w:color w:val="FFFFFF"/>
                <w:sz w:val="18"/>
                <w:szCs w:val="18"/>
              </w:rPr>
              <w:t>Indicator</w:t>
            </w:r>
          </w:p>
        </w:tc>
        <w:tc>
          <w:tcPr>
            <w:tcW w:w="1061" w:type="dxa"/>
            <w:shd w:val="clear" w:color="auto" w:fill="2F5496" w:themeFill="accent1" w:themeFillShade="BF"/>
            <w:noWrap/>
            <w:vAlign w:val="center"/>
            <w:hideMark/>
          </w:tcPr>
          <w:p w14:paraId="1C45B6E6" w14:textId="77777777" w:rsidR="00F17011" w:rsidRPr="00087610" w:rsidRDefault="00F17011" w:rsidP="00AA4278">
            <w:pPr>
              <w:spacing w:after="0" w:line="240" w:lineRule="auto"/>
              <w:rPr>
                <w:rFonts w:eastAsia="Times New Roman"/>
                <w:color w:val="000000"/>
                <w:sz w:val="18"/>
                <w:szCs w:val="18"/>
              </w:rPr>
            </w:pPr>
            <w:r w:rsidRPr="00087610">
              <w:rPr>
                <w:rFonts w:eastAsia="Times New Roman"/>
                <w:b/>
                <w:bCs/>
                <w:color w:val="FFFFFF"/>
                <w:sz w:val="18"/>
                <w:szCs w:val="18"/>
              </w:rPr>
              <w:t>Baseline</w:t>
            </w:r>
          </w:p>
        </w:tc>
        <w:tc>
          <w:tcPr>
            <w:tcW w:w="1061" w:type="dxa"/>
            <w:shd w:val="clear" w:color="auto" w:fill="2F5496" w:themeFill="accent1" w:themeFillShade="BF"/>
            <w:vAlign w:val="center"/>
          </w:tcPr>
          <w:p w14:paraId="39866069" w14:textId="77777777" w:rsidR="00F17011" w:rsidRPr="00087610" w:rsidRDefault="00F17011" w:rsidP="00AA4278">
            <w:pPr>
              <w:spacing w:after="0" w:line="240" w:lineRule="auto"/>
              <w:rPr>
                <w:rFonts w:eastAsia="Times New Roman"/>
                <w:color w:val="000000"/>
                <w:sz w:val="18"/>
                <w:szCs w:val="18"/>
              </w:rPr>
            </w:pPr>
            <w:r w:rsidRPr="00087610">
              <w:rPr>
                <w:rFonts w:eastAsia="Times New Roman"/>
                <w:b/>
                <w:bCs/>
                <w:color w:val="FFFFFF"/>
                <w:sz w:val="18"/>
                <w:szCs w:val="18"/>
              </w:rPr>
              <w:t>Unit</w:t>
            </w:r>
          </w:p>
        </w:tc>
        <w:tc>
          <w:tcPr>
            <w:tcW w:w="1185" w:type="dxa"/>
            <w:shd w:val="clear" w:color="auto" w:fill="2F5496" w:themeFill="accent1" w:themeFillShade="BF"/>
            <w:noWrap/>
            <w:vAlign w:val="center"/>
            <w:hideMark/>
          </w:tcPr>
          <w:p w14:paraId="732D613A" w14:textId="77777777" w:rsidR="00F17011" w:rsidRPr="00087610" w:rsidRDefault="00F17011" w:rsidP="00AA4278">
            <w:pPr>
              <w:spacing w:after="0" w:line="240" w:lineRule="auto"/>
              <w:rPr>
                <w:rFonts w:eastAsia="Times New Roman"/>
                <w:color w:val="000000"/>
                <w:sz w:val="18"/>
                <w:szCs w:val="18"/>
              </w:rPr>
            </w:pPr>
            <w:r w:rsidRPr="00087610">
              <w:rPr>
                <w:rFonts w:eastAsia="Times New Roman"/>
                <w:b/>
                <w:bCs/>
                <w:color w:val="FFFFFF"/>
                <w:sz w:val="18"/>
                <w:szCs w:val="18"/>
              </w:rPr>
              <w:t>End of the Project Target</w:t>
            </w:r>
          </w:p>
        </w:tc>
        <w:tc>
          <w:tcPr>
            <w:tcW w:w="935" w:type="dxa"/>
            <w:shd w:val="clear" w:color="auto" w:fill="2F5496" w:themeFill="accent1" w:themeFillShade="BF"/>
            <w:vAlign w:val="center"/>
          </w:tcPr>
          <w:p w14:paraId="2EF7DA0B" w14:textId="77777777" w:rsidR="00F17011" w:rsidRPr="00087610" w:rsidRDefault="00F17011" w:rsidP="00AA4278">
            <w:pPr>
              <w:spacing w:after="0" w:line="240" w:lineRule="auto"/>
              <w:jc w:val="center"/>
              <w:rPr>
                <w:rFonts w:eastAsia="Times New Roman"/>
                <w:sz w:val="18"/>
                <w:szCs w:val="18"/>
              </w:rPr>
            </w:pPr>
            <w:r w:rsidRPr="00087610">
              <w:rPr>
                <w:rFonts w:eastAsia="Times New Roman"/>
                <w:b/>
                <w:bCs/>
                <w:color w:val="FFFFFF"/>
                <w:sz w:val="18"/>
                <w:szCs w:val="18"/>
              </w:rPr>
              <w:t>Achieved</w:t>
            </w:r>
          </w:p>
        </w:tc>
        <w:tc>
          <w:tcPr>
            <w:tcW w:w="1318" w:type="dxa"/>
            <w:shd w:val="clear" w:color="auto" w:fill="2F5496" w:themeFill="accent1" w:themeFillShade="BF"/>
            <w:vAlign w:val="center"/>
            <w:hideMark/>
          </w:tcPr>
          <w:p w14:paraId="7574A817" w14:textId="77777777" w:rsidR="00F17011" w:rsidRPr="00087610" w:rsidRDefault="00F17011" w:rsidP="00AA4278">
            <w:pPr>
              <w:spacing w:after="0" w:line="240" w:lineRule="auto"/>
              <w:jc w:val="center"/>
              <w:rPr>
                <w:rFonts w:eastAsia="Times New Roman"/>
                <w:color w:val="FFFFFF"/>
                <w:sz w:val="18"/>
                <w:szCs w:val="18"/>
              </w:rPr>
            </w:pPr>
            <w:r w:rsidRPr="00087610">
              <w:rPr>
                <w:rFonts w:eastAsia="Times New Roman"/>
                <w:b/>
                <w:bCs/>
                <w:color w:val="FFFFFF"/>
                <w:sz w:val="18"/>
                <w:szCs w:val="18"/>
              </w:rPr>
              <w:t>Percent Achieved at TE</w:t>
            </w:r>
          </w:p>
        </w:tc>
        <w:tc>
          <w:tcPr>
            <w:tcW w:w="999" w:type="dxa"/>
            <w:shd w:val="clear" w:color="auto" w:fill="2F5496" w:themeFill="accent1" w:themeFillShade="BF"/>
            <w:noWrap/>
            <w:vAlign w:val="center"/>
            <w:hideMark/>
          </w:tcPr>
          <w:p w14:paraId="1761813B" w14:textId="77777777" w:rsidR="00F17011" w:rsidRPr="00087610" w:rsidRDefault="00F17011" w:rsidP="00AA4278">
            <w:pPr>
              <w:spacing w:after="0" w:line="240" w:lineRule="auto"/>
              <w:rPr>
                <w:rFonts w:eastAsia="Times New Roman"/>
                <w:sz w:val="18"/>
                <w:szCs w:val="18"/>
              </w:rPr>
            </w:pPr>
            <w:r w:rsidRPr="00087610">
              <w:rPr>
                <w:rFonts w:eastAsia="Times New Roman"/>
                <w:b/>
                <w:bCs/>
                <w:color w:val="FFFFFF"/>
                <w:sz w:val="18"/>
                <w:szCs w:val="18"/>
              </w:rPr>
              <w:t>Ratings</w:t>
            </w:r>
          </w:p>
        </w:tc>
      </w:tr>
      <w:tr w:rsidR="00F17011" w:rsidRPr="00087610" w14:paraId="774B2ACF" w14:textId="77777777" w:rsidTr="00F17011">
        <w:trPr>
          <w:trHeight w:val="53"/>
        </w:trPr>
        <w:tc>
          <w:tcPr>
            <w:tcW w:w="2681" w:type="dxa"/>
            <w:shd w:val="clear" w:color="auto" w:fill="auto"/>
            <w:noWrap/>
            <w:vAlign w:val="center"/>
            <w:hideMark/>
          </w:tcPr>
          <w:p w14:paraId="3B052A6C" w14:textId="77777777" w:rsidR="00F17011" w:rsidRPr="00087610" w:rsidRDefault="00F17011" w:rsidP="00AA4278">
            <w:pPr>
              <w:spacing w:after="0" w:line="240" w:lineRule="auto"/>
              <w:jc w:val="both"/>
              <w:rPr>
                <w:rFonts w:eastAsia="Times New Roman"/>
                <w:sz w:val="18"/>
                <w:szCs w:val="18"/>
              </w:rPr>
            </w:pPr>
            <w:r w:rsidRPr="00087610">
              <w:rPr>
                <w:rFonts w:eastAsia="Times New Roman"/>
                <w:color w:val="000000"/>
                <w:sz w:val="18"/>
                <w:szCs w:val="18"/>
              </w:rPr>
              <w:t>Outcome indicator 3.1: #Number of knowledge products on GGP to share GGP insights and learnings.</w:t>
            </w:r>
          </w:p>
        </w:tc>
        <w:tc>
          <w:tcPr>
            <w:tcW w:w="1061" w:type="dxa"/>
            <w:tcBorders>
              <w:bottom w:val="single" w:sz="4" w:space="0" w:color="auto"/>
            </w:tcBorders>
            <w:shd w:val="clear" w:color="auto" w:fill="auto"/>
            <w:noWrap/>
            <w:vAlign w:val="center"/>
            <w:hideMark/>
          </w:tcPr>
          <w:p w14:paraId="50393A70" w14:textId="77777777" w:rsidR="00F17011" w:rsidRPr="00087610" w:rsidRDefault="00F17011" w:rsidP="00AA4278">
            <w:pPr>
              <w:spacing w:after="0" w:line="240" w:lineRule="auto"/>
              <w:jc w:val="center"/>
              <w:rPr>
                <w:rFonts w:eastAsia="Times New Roman"/>
                <w:color w:val="000000"/>
                <w:sz w:val="18"/>
                <w:szCs w:val="18"/>
              </w:rPr>
            </w:pPr>
            <w:r w:rsidRPr="00087610">
              <w:rPr>
                <w:rFonts w:eastAsia="Times New Roman"/>
                <w:color w:val="000000"/>
                <w:sz w:val="18"/>
                <w:szCs w:val="18"/>
              </w:rPr>
              <w:t>0</w:t>
            </w:r>
          </w:p>
        </w:tc>
        <w:tc>
          <w:tcPr>
            <w:tcW w:w="1061" w:type="dxa"/>
            <w:vAlign w:val="center"/>
          </w:tcPr>
          <w:p w14:paraId="3E83C649"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 products</w:t>
            </w:r>
          </w:p>
        </w:tc>
        <w:tc>
          <w:tcPr>
            <w:tcW w:w="1185" w:type="dxa"/>
            <w:shd w:val="clear" w:color="auto" w:fill="auto"/>
            <w:noWrap/>
            <w:vAlign w:val="center"/>
            <w:hideMark/>
          </w:tcPr>
          <w:p w14:paraId="605AB210" w14:textId="77777777" w:rsidR="00F17011" w:rsidRPr="00087610" w:rsidRDefault="00F17011" w:rsidP="00AA4278">
            <w:pPr>
              <w:spacing w:after="0" w:line="240" w:lineRule="auto"/>
              <w:jc w:val="center"/>
              <w:rPr>
                <w:rFonts w:eastAsia="Times New Roman"/>
                <w:color w:val="000000"/>
                <w:sz w:val="18"/>
                <w:szCs w:val="18"/>
              </w:rPr>
            </w:pPr>
            <w:r w:rsidRPr="00087610">
              <w:rPr>
                <w:rFonts w:eastAsia="Times New Roman"/>
                <w:color w:val="000000"/>
                <w:sz w:val="18"/>
                <w:szCs w:val="18"/>
              </w:rPr>
              <w:t>3</w:t>
            </w:r>
          </w:p>
        </w:tc>
        <w:tc>
          <w:tcPr>
            <w:tcW w:w="935" w:type="dxa"/>
            <w:vAlign w:val="center"/>
          </w:tcPr>
          <w:p w14:paraId="126DFDF6" w14:textId="0886E505" w:rsidR="00F17011" w:rsidRPr="00087610" w:rsidRDefault="005C3DFB" w:rsidP="00AA4278">
            <w:pPr>
              <w:spacing w:after="0" w:line="240" w:lineRule="auto"/>
              <w:jc w:val="center"/>
              <w:rPr>
                <w:rFonts w:eastAsia="Times New Roman"/>
                <w:sz w:val="18"/>
                <w:szCs w:val="18"/>
              </w:rPr>
            </w:pPr>
            <w:r>
              <w:rPr>
                <w:rFonts w:eastAsia="Times New Roman"/>
                <w:sz w:val="18"/>
                <w:szCs w:val="18"/>
              </w:rPr>
              <w:t>2</w:t>
            </w:r>
          </w:p>
        </w:tc>
        <w:tc>
          <w:tcPr>
            <w:tcW w:w="1318" w:type="dxa"/>
            <w:shd w:val="clear" w:color="auto" w:fill="00B050"/>
            <w:noWrap/>
            <w:vAlign w:val="center"/>
            <w:hideMark/>
          </w:tcPr>
          <w:p w14:paraId="20B47A4B" w14:textId="3A0CA711" w:rsidR="00F17011" w:rsidRPr="00087610" w:rsidRDefault="005C3DFB" w:rsidP="00AA4278">
            <w:pPr>
              <w:spacing w:after="0" w:line="240" w:lineRule="auto"/>
              <w:jc w:val="center"/>
              <w:rPr>
                <w:rFonts w:eastAsia="Times New Roman"/>
                <w:sz w:val="18"/>
                <w:szCs w:val="18"/>
              </w:rPr>
            </w:pPr>
            <w:r>
              <w:rPr>
                <w:rFonts w:eastAsia="Times New Roman"/>
                <w:color w:val="FFFFFF" w:themeColor="background1"/>
                <w:sz w:val="18"/>
                <w:szCs w:val="18"/>
              </w:rPr>
              <w:t>67</w:t>
            </w:r>
          </w:p>
        </w:tc>
        <w:tc>
          <w:tcPr>
            <w:tcW w:w="999" w:type="dxa"/>
            <w:shd w:val="clear" w:color="auto" w:fill="auto"/>
            <w:vAlign w:val="center"/>
          </w:tcPr>
          <w:p w14:paraId="46C4645D" w14:textId="66BC77B0" w:rsidR="00F17011" w:rsidRPr="00087610" w:rsidRDefault="00F17011" w:rsidP="00AA4278">
            <w:pPr>
              <w:jc w:val="center"/>
              <w:rPr>
                <w:sz w:val="18"/>
                <w:szCs w:val="18"/>
              </w:rPr>
            </w:pPr>
            <w:r>
              <w:rPr>
                <w:rFonts w:eastAsia="Times New Roman"/>
                <w:sz w:val="18"/>
                <w:szCs w:val="18"/>
              </w:rPr>
              <w:t>S</w:t>
            </w:r>
          </w:p>
        </w:tc>
      </w:tr>
      <w:tr w:rsidR="00F17011" w:rsidRPr="00087610" w14:paraId="734B3F34" w14:textId="77777777" w:rsidTr="00F17011">
        <w:trPr>
          <w:trHeight w:val="249"/>
        </w:trPr>
        <w:tc>
          <w:tcPr>
            <w:tcW w:w="2681" w:type="dxa"/>
            <w:tcBorders>
              <w:right w:val="single" w:sz="4" w:space="0" w:color="auto"/>
            </w:tcBorders>
            <w:vAlign w:val="center"/>
            <w:hideMark/>
          </w:tcPr>
          <w:p w14:paraId="19B63E0A" w14:textId="77777777" w:rsidR="00F17011" w:rsidRPr="00087610" w:rsidRDefault="00F17011" w:rsidP="00AA4278">
            <w:pPr>
              <w:spacing w:after="0" w:line="240" w:lineRule="auto"/>
              <w:jc w:val="both"/>
              <w:rPr>
                <w:rFonts w:eastAsia="Times New Roman"/>
                <w:color w:val="000000"/>
                <w:sz w:val="18"/>
                <w:szCs w:val="18"/>
              </w:rPr>
            </w:pPr>
            <w:r w:rsidRPr="00087610">
              <w:rPr>
                <w:rFonts w:eastAsia="Times New Roman"/>
                <w:color w:val="000000"/>
                <w:sz w:val="18"/>
                <w:szCs w:val="18"/>
              </w:rPr>
              <w:t>Outcome Indicator 3.2:  Percentage of participants of Community of Practice events that have changed their programs, practices and/or policies based on GGP learning (as measured by a survey of participants of each of the two face-to-face CoP global events).</w:t>
            </w:r>
          </w:p>
        </w:tc>
        <w:tc>
          <w:tcPr>
            <w:tcW w:w="1061" w:type="dxa"/>
            <w:tcBorders>
              <w:top w:val="single" w:sz="4" w:space="0" w:color="auto"/>
              <w:left w:val="single" w:sz="4" w:space="0" w:color="auto"/>
              <w:bottom w:val="single" w:sz="4" w:space="0" w:color="auto"/>
              <w:right w:val="single" w:sz="4" w:space="0" w:color="auto"/>
            </w:tcBorders>
            <w:noWrap/>
            <w:vAlign w:val="center"/>
            <w:hideMark/>
          </w:tcPr>
          <w:p w14:paraId="7F76BC67" w14:textId="77777777" w:rsidR="00F17011" w:rsidRPr="00087610" w:rsidRDefault="00F17011" w:rsidP="00AA4278">
            <w:pPr>
              <w:spacing w:after="0" w:line="240" w:lineRule="auto"/>
              <w:jc w:val="center"/>
              <w:rPr>
                <w:rFonts w:eastAsia="Times New Roman"/>
                <w:color w:val="000000"/>
                <w:sz w:val="18"/>
                <w:szCs w:val="18"/>
              </w:rPr>
            </w:pPr>
            <w:r w:rsidRPr="00087610">
              <w:rPr>
                <w:rFonts w:eastAsia="Times New Roman"/>
                <w:color w:val="000000"/>
                <w:sz w:val="18"/>
                <w:szCs w:val="18"/>
              </w:rPr>
              <w:t>0</w:t>
            </w:r>
          </w:p>
          <w:p w14:paraId="0926B328" w14:textId="77777777" w:rsidR="00F17011" w:rsidRPr="00087610" w:rsidRDefault="00F17011" w:rsidP="00AA4278">
            <w:pPr>
              <w:spacing w:after="0" w:line="240" w:lineRule="auto"/>
              <w:jc w:val="center"/>
              <w:rPr>
                <w:rFonts w:eastAsia="Times New Roman"/>
                <w:color w:val="000000"/>
                <w:sz w:val="18"/>
                <w:szCs w:val="18"/>
              </w:rPr>
            </w:pPr>
          </w:p>
        </w:tc>
        <w:tc>
          <w:tcPr>
            <w:tcW w:w="1061" w:type="dxa"/>
            <w:tcBorders>
              <w:left w:val="single" w:sz="4" w:space="0" w:color="auto"/>
            </w:tcBorders>
            <w:vAlign w:val="center"/>
          </w:tcPr>
          <w:p w14:paraId="2CB3C333" w14:textId="77777777" w:rsidR="00F17011" w:rsidRPr="00087610" w:rsidRDefault="00F17011" w:rsidP="00AA4278">
            <w:pPr>
              <w:spacing w:after="0" w:line="240" w:lineRule="auto"/>
              <w:jc w:val="center"/>
              <w:rPr>
                <w:rFonts w:eastAsia="Times New Roman"/>
                <w:color w:val="000000"/>
                <w:sz w:val="18"/>
                <w:szCs w:val="18"/>
              </w:rPr>
            </w:pPr>
            <w:r w:rsidRPr="00087610">
              <w:rPr>
                <w:rFonts w:eastAsia="Times New Roman"/>
                <w:color w:val="000000"/>
                <w:sz w:val="18"/>
                <w:szCs w:val="18"/>
              </w:rPr>
              <w:t>Percentage</w:t>
            </w:r>
          </w:p>
        </w:tc>
        <w:tc>
          <w:tcPr>
            <w:tcW w:w="1185" w:type="dxa"/>
            <w:vAlign w:val="center"/>
            <w:hideMark/>
          </w:tcPr>
          <w:p w14:paraId="075441D0" w14:textId="77777777" w:rsidR="00F17011" w:rsidRPr="00087610" w:rsidRDefault="00F17011" w:rsidP="00AA4278">
            <w:pPr>
              <w:spacing w:after="0" w:line="240" w:lineRule="auto"/>
              <w:jc w:val="center"/>
              <w:rPr>
                <w:rFonts w:eastAsia="Times New Roman"/>
                <w:color w:val="000000"/>
                <w:sz w:val="18"/>
                <w:szCs w:val="18"/>
              </w:rPr>
            </w:pPr>
            <w:r w:rsidRPr="00087610">
              <w:rPr>
                <w:rFonts w:eastAsia="Times New Roman"/>
                <w:color w:val="000000"/>
                <w:sz w:val="18"/>
                <w:szCs w:val="18"/>
              </w:rPr>
              <w:t>60%</w:t>
            </w:r>
          </w:p>
        </w:tc>
        <w:tc>
          <w:tcPr>
            <w:tcW w:w="935" w:type="dxa"/>
            <w:vAlign w:val="center"/>
          </w:tcPr>
          <w:p w14:paraId="466D8A93"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64.5%</w:t>
            </w:r>
          </w:p>
        </w:tc>
        <w:tc>
          <w:tcPr>
            <w:tcW w:w="1318" w:type="dxa"/>
            <w:shd w:val="clear" w:color="auto" w:fill="00B050"/>
            <w:vAlign w:val="center"/>
            <w:hideMark/>
          </w:tcPr>
          <w:p w14:paraId="736A0436" w14:textId="77777777" w:rsidR="00F17011" w:rsidRPr="00087610" w:rsidRDefault="00F17011" w:rsidP="00AA4278">
            <w:pPr>
              <w:spacing w:after="0" w:line="240" w:lineRule="auto"/>
              <w:jc w:val="center"/>
              <w:rPr>
                <w:rFonts w:eastAsia="Times New Roman"/>
                <w:sz w:val="18"/>
                <w:szCs w:val="18"/>
              </w:rPr>
            </w:pPr>
            <w:r w:rsidRPr="00087610">
              <w:rPr>
                <w:rFonts w:eastAsia="Times New Roman"/>
                <w:color w:val="FFFFFF" w:themeColor="background1"/>
                <w:sz w:val="18"/>
                <w:szCs w:val="18"/>
              </w:rPr>
              <w:t>100</w:t>
            </w:r>
          </w:p>
        </w:tc>
        <w:tc>
          <w:tcPr>
            <w:tcW w:w="999" w:type="dxa"/>
            <w:shd w:val="clear" w:color="auto" w:fill="auto"/>
            <w:noWrap/>
            <w:vAlign w:val="center"/>
            <w:hideMark/>
          </w:tcPr>
          <w:p w14:paraId="45309184"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HS</w:t>
            </w:r>
          </w:p>
        </w:tc>
      </w:tr>
      <w:tr w:rsidR="00F17011" w:rsidRPr="00087610" w14:paraId="1F246475" w14:textId="77777777" w:rsidTr="00F17011">
        <w:trPr>
          <w:trHeight w:val="249"/>
        </w:trPr>
        <w:tc>
          <w:tcPr>
            <w:tcW w:w="2681" w:type="dxa"/>
            <w:tcBorders>
              <w:right w:val="single" w:sz="4" w:space="0" w:color="auto"/>
            </w:tcBorders>
            <w:vAlign w:val="center"/>
          </w:tcPr>
          <w:p w14:paraId="28C4AE52" w14:textId="77777777" w:rsidR="00F17011" w:rsidRPr="00087610" w:rsidRDefault="00F17011" w:rsidP="00AA4278">
            <w:pPr>
              <w:spacing w:after="0" w:line="240" w:lineRule="auto"/>
              <w:jc w:val="both"/>
              <w:rPr>
                <w:rFonts w:eastAsia="Times New Roman"/>
                <w:color w:val="000000"/>
                <w:sz w:val="18"/>
                <w:szCs w:val="18"/>
              </w:rPr>
            </w:pPr>
            <w:r w:rsidRPr="00087610">
              <w:rPr>
                <w:rFonts w:eastAsia="Times New Roman"/>
                <w:color w:val="000000"/>
                <w:sz w:val="18"/>
                <w:szCs w:val="18"/>
              </w:rPr>
              <w:lastRenderedPageBreak/>
              <w:t>Outcome Indicator 3.3 Number of active partners with which the GGP is engaged at a programmatic level (through two-way sharing of information, expertise or tools; collaboration to increase impacts; implementation of delivery services, or provision of co-financing).</w:t>
            </w:r>
          </w:p>
        </w:tc>
        <w:tc>
          <w:tcPr>
            <w:tcW w:w="1061" w:type="dxa"/>
            <w:tcBorders>
              <w:top w:val="single" w:sz="4" w:space="0" w:color="auto"/>
              <w:left w:val="single" w:sz="4" w:space="0" w:color="auto"/>
              <w:bottom w:val="single" w:sz="4" w:space="0" w:color="auto"/>
              <w:right w:val="single" w:sz="4" w:space="0" w:color="auto"/>
            </w:tcBorders>
            <w:noWrap/>
            <w:vAlign w:val="center"/>
          </w:tcPr>
          <w:p w14:paraId="1C604028" w14:textId="77777777" w:rsidR="00F17011" w:rsidRPr="00087610" w:rsidRDefault="00F17011" w:rsidP="00AA4278">
            <w:pPr>
              <w:spacing w:after="0" w:line="240" w:lineRule="auto"/>
              <w:jc w:val="center"/>
              <w:rPr>
                <w:rFonts w:eastAsia="Times New Roman"/>
                <w:sz w:val="18"/>
                <w:szCs w:val="18"/>
              </w:rPr>
            </w:pPr>
          </w:p>
        </w:tc>
        <w:tc>
          <w:tcPr>
            <w:tcW w:w="1061" w:type="dxa"/>
            <w:tcBorders>
              <w:left w:val="single" w:sz="4" w:space="0" w:color="auto"/>
            </w:tcBorders>
            <w:vAlign w:val="center"/>
          </w:tcPr>
          <w:p w14:paraId="3389F322"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 Partners</w:t>
            </w:r>
          </w:p>
        </w:tc>
        <w:tc>
          <w:tcPr>
            <w:tcW w:w="1185" w:type="dxa"/>
            <w:vAlign w:val="center"/>
          </w:tcPr>
          <w:p w14:paraId="4E412675"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6</w:t>
            </w:r>
          </w:p>
        </w:tc>
        <w:tc>
          <w:tcPr>
            <w:tcW w:w="935" w:type="dxa"/>
            <w:vAlign w:val="center"/>
          </w:tcPr>
          <w:p w14:paraId="346D3ECE"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11</w:t>
            </w:r>
          </w:p>
        </w:tc>
        <w:tc>
          <w:tcPr>
            <w:tcW w:w="1318" w:type="dxa"/>
            <w:shd w:val="clear" w:color="auto" w:fill="00B050"/>
            <w:vAlign w:val="center"/>
          </w:tcPr>
          <w:p w14:paraId="5E0F38AE" w14:textId="77777777" w:rsidR="00F17011" w:rsidRPr="00087610" w:rsidRDefault="00F17011" w:rsidP="00AA4278">
            <w:pPr>
              <w:spacing w:after="0" w:line="240" w:lineRule="auto"/>
              <w:jc w:val="center"/>
              <w:rPr>
                <w:rFonts w:eastAsia="Times New Roman"/>
                <w:sz w:val="18"/>
                <w:szCs w:val="18"/>
              </w:rPr>
            </w:pPr>
            <w:r w:rsidRPr="00087610">
              <w:rPr>
                <w:rFonts w:eastAsia="Times New Roman"/>
                <w:color w:val="FFFFFF" w:themeColor="background1"/>
                <w:sz w:val="18"/>
                <w:szCs w:val="18"/>
              </w:rPr>
              <w:t>100</w:t>
            </w:r>
          </w:p>
        </w:tc>
        <w:tc>
          <w:tcPr>
            <w:tcW w:w="999" w:type="dxa"/>
            <w:shd w:val="clear" w:color="auto" w:fill="auto"/>
            <w:noWrap/>
            <w:vAlign w:val="center"/>
          </w:tcPr>
          <w:p w14:paraId="08FE4EDF" w14:textId="77777777"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HS</w:t>
            </w:r>
          </w:p>
        </w:tc>
      </w:tr>
      <w:tr w:rsidR="00F17011" w:rsidRPr="00087610" w14:paraId="5C21AABF" w14:textId="77777777" w:rsidTr="00F17011">
        <w:trPr>
          <w:trHeight w:val="249"/>
        </w:trPr>
        <w:tc>
          <w:tcPr>
            <w:tcW w:w="8241" w:type="dxa"/>
            <w:gridSpan w:val="6"/>
            <w:vAlign w:val="center"/>
          </w:tcPr>
          <w:p w14:paraId="522E8CC2" w14:textId="77777777" w:rsidR="00F17011" w:rsidRPr="00087610" w:rsidRDefault="00F17011" w:rsidP="00AA4278">
            <w:pPr>
              <w:spacing w:after="0" w:line="240" w:lineRule="auto"/>
              <w:jc w:val="right"/>
              <w:rPr>
                <w:rFonts w:eastAsia="Times New Roman"/>
                <w:sz w:val="18"/>
                <w:szCs w:val="18"/>
              </w:rPr>
            </w:pPr>
            <w:r w:rsidRPr="00087610">
              <w:rPr>
                <w:rFonts w:eastAsia="Times New Roman"/>
                <w:sz w:val="18"/>
                <w:szCs w:val="18"/>
              </w:rPr>
              <w:t> The progress of the objective can be described as:</w:t>
            </w:r>
          </w:p>
          <w:p w14:paraId="5EDAC76A" w14:textId="1271FE23" w:rsidR="00F17011" w:rsidRPr="00087610" w:rsidRDefault="00F17011" w:rsidP="00AA4278">
            <w:pPr>
              <w:spacing w:after="0" w:line="240" w:lineRule="auto"/>
              <w:jc w:val="right"/>
              <w:rPr>
                <w:rFonts w:eastAsia="Times New Roman"/>
                <w:sz w:val="18"/>
                <w:szCs w:val="18"/>
              </w:rPr>
            </w:pPr>
            <w:r w:rsidRPr="00087610">
              <w:rPr>
                <w:rFonts w:eastAsia="Times New Roman"/>
                <w:sz w:val="18"/>
                <w:szCs w:val="18"/>
              </w:rPr>
              <w:t xml:space="preserve"> Satisfactory </w:t>
            </w:r>
          </w:p>
          <w:p w14:paraId="0A211EA7" w14:textId="77777777" w:rsidR="00F17011" w:rsidRPr="00087610" w:rsidRDefault="00F17011" w:rsidP="00AA4278">
            <w:pPr>
              <w:spacing w:after="0" w:line="240" w:lineRule="auto"/>
              <w:jc w:val="center"/>
              <w:rPr>
                <w:rFonts w:eastAsia="Times New Roman"/>
                <w:sz w:val="18"/>
                <w:szCs w:val="18"/>
              </w:rPr>
            </w:pPr>
          </w:p>
        </w:tc>
        <w:tc>
          <w:tcPr>
            <w:tcW w:w="999" w:type="dxa"/>
            <w:shd w:val="clear" w:color="auto" w:fill="auto"/>
            <w:noWrap/>
            <w:vAlign w:val="center"/>
          </w:tcPr>
          <w:p w14:paraId="33A1AAC9" w14:textId="409FA091" w:rsidR="00F17011" w:rsidRPr="00087610" w:rsidRDefault="00F17011" w:rsidP="00AA4278">
            <w:pPr>
              <w:spacing w:after="0" w:line="240" w:lineRule="auto"/>
              <w:jc w:val="center"/>
              <w:rPr>
                <w:rFonts w:eastAsia="Times New Roman"/>
                <w:sz w:val="18"/>
                <w:szCs w:val="18"/>
              </w:rPr>
            </w:pPr>
            <w:r w:rsidRPr="00087610">
              <w:rPr>
                <w:rFonts w:eastAsia="Times New Roman"/>
                <w:sz w:val="18"/>
                <w:szCs w:val="18"/>
              </w:rPr>
              <w:t xml:space="preserve">Average </w:t>
            </w:r>
            <w:r w:rsidR="005C3DFB">
              <w:rPr>
                <w:rFonts w:eastAsia="Times New Roman"/>
                <w:sz w:val="18"/>
                <w:szCs w:val="18"/>
              </w:rPr>
              <w:t>89</w:t>
            </w:r>
            <w:r w:rsidRPr="00087610">
              <w:rPr>
                <w:rFonts w:eastAsia="Times New Roman"/>
                <w:sz w:val="18"/>
                <w:szCs w:val="18"/>
              </w:rPr>
              <w:t xml:space="preserve">% = </w:t>
            </w:r>
            <w:r w:rsidR="005C3DFB">
              <w:rPr>
                <w:rFonts w:eastAsia="Times New Roman"/>
                <w:sz w:val="18"/>
                <w:szCs w:val="18"/>
              </w:rPr>
              <w:t>S</w:t>
            </w:r>
          </w:p>
        </w:tc>
      </w:tr>
    </w:tbl>
    <w:p w14:paraId="51C8D855" w14:textId="4CEC1E2A" w:rsidR="003F6565" w:rsidRPr="00981FE1" w:rsidRDefault="00102962" w:rsidP="003F6565">
      <w:pPr>
        <w:rPr>
          <w:b/>
          <w:bCs/>
          <w:noProof/>
        </w:rPr>
      </w:pPr>
      <w:r w:rsidRPr="00981FE1">
        <w:rPr>
          <w:b/>
          <w:bCs/>
          <w:noProof/>
        </w:rPr>
        <w:t>Table 10. Outcome 3 Indicators Ratings</w:t>
      </w:r>
    </w:p>
    <w:p w14:paraId="6DF5E13C" w14:textId="77777777" w:rsidR="003F6565" w:rsidRPr="003711B8" w:rsidRDefault="003F6565" w:rsidP="003F6565">
      <w:pPr>
        <w:rPr>
          <w:b/>
          <w:bCs/>
        </w:rPr>
      </w:pPr>
      <w:bookmarkStart w:id="75" w:name="_Hlk89856653"/>
      <w:r w:rsidRPr="003711B8">
        <w:rPr>
          <w:b/>
          <w:bCs/>
        </w:rPr>
        <w:t xml:space="preserve">Component 3 Findings </w:t>
      </w:r>
    </w:p>
    <w:p w14:paraId="77A00BC9" w14:textId="77777777" w:rsidR="00901147" w:rsidRPr="003024D8" w:rsidRDefault="003F6565" w:rsidP="00901147">
      <w:pPr>
        <w:numPr>
          <w:ilvl w:val="1"/>
          <w:numId w:val="82"/>
        </w:numPr>
        <w:shd w:val="clear" w:color="auto" w:fill="FFFFFF"/>
        <w:spacing w:after="0" w:line="240" w:lineRule="auto"/>
        <w:rPr>
          <w:rFonts w:eastAsia="Times New Roman" w:cstheme="minorHAnsi"/>
          <w:color w:val="222222"/>
        </w:rPr>
      </w:pPr>
      <w:r w:rsidRPr="00901147">
        <w:rPr>
          <w:rFonts w:asciiTheme="minorHAnsi" w:hAnsiTheme="minorHAnsi" w:cstheme="minorHAnsi"/>
        </w:rPr>
        <w:t xml:space="preserve">Knowledge </w:t>
      </w:r>
      <w:r w:rsidR="00E80925" w:rsidRPr="00901147">
        <w:rPr>
          <w:rFonts w:asciiTheme="minorHAnsi" w:hAnsiTheme="minorHAnsi" w:cstheme="minorHAnsi"/>
        </w:rPr>
        <w:t xml:space="preserve">products </w:t>
      </w:r>
      <w:r w:rsidRPr="00901147">
        <w:rPr>
          <w:rFonts w:asciiTheme="minorHAnsi" w:hAnsiTheme="minorHAnsi" w:cstheme="minorHAnsi"/>
        </w:rPr>
        <w:t>generated by the Program shared at National and Global Levels and relevant learning from other parties and other IAP Programs are shared, captured and leveraged</w:t>
      </w:r>
      <w:r w:rsidR="00E80925" w:rsidRPr="00901147">
        <w:rPr>
          <w:rFonts w:asciiTheme="minorHAnsi" w:hAnsiTheme="minorHAnsi" w:cstheme="minorHAnsi"/>
        </w:rPr>
        <w:t>. Products are very effective and good quality</w:t>
      </w:r>
      <w:r w:rsidR="005C3DFB" w:rsidRPr="00901147">
        <w:rPr>
          <w:rFonts w:asciiTheme="minorHAnsi" w:hAnsiTheme="minorHAnsi" w:cstheme="minorHAnsi"/>
        </w:rPr>
        <w:t xml:space="preserve">. </w:t>
      </w:r>
      <w:r w:rsidR="00901147" w:rsidRPr="003024D8">
        <w:rPr>
          <w:rFonts w:asciiTheme="minorHAnsi" w:eastAsia="Times New Roman" w:hAnsiTheme="minorHAnsi" w:cstheme="minorHAnsi"/>
          <w:color w:val="222222"/>
        </w:rPr>
        <w:t xml:space="preserve">Two KPs finalized: </w:t>
      </w:r>
    </w:p>
    <w:p w14:paraId="5670928D" w14:textId="77777777" w:rsidR="00901147" w:rsidRPr="003024D8" w:rsidRDefault="00901147" w:rsidP="00901147">
      <w:pPr>
        <w:numPr>
          <w:ilvl w:val="2"/>
          <w:numId w:val="82"/>
        </w:numPr>
        <w:shd w:val="clear" w:color="auto" w:fill="FFFFFF"/>
        <w:spacing w:after="0" w:line="240" w:lineRule="auto"/>
        <w:rPr>
          <w:rFonts w:eastAsia="Times New Roman" w:cstheme="minorHAnsi"/>
          <w:color w:val="222222"/>
        </w:rPr>
      </w:pPr>
      <w:r w:rsidRPr="00901147">
        <w:t>1 information brief on gender developed and published;</w:t>
      </w:r>
    </w:p>
    <w:p w14:paraId="4B1095F1" w14:textId="77777777" w:rsidR="00901147" w:rsidRPr="003024D8" w:rsidRDefault="00901147" w:rsidP="00901147">
      <w:pPr>
        <w:numPr>
          <w:ilvl w:val="2"/>
          <w:numId w:val="82"/>
        </w:numPr>
        <w:shd w:val="clear" w:color="auto" w:fill="FFFFFF"/>
        <w:spacing w:after="0" w:line="240" w:lineRule="auto"/>
        <w:rPr>
          <w:rFonts w:eastAsia="Times New Roman" w:cstheme="minorHAnsi"/>
          <w:bCs/>
          <w:color w:val="222222"/>
        </w:rPr>
      </w:pPr>
      <w:r w:rsidRPr="003024D8">
        <w:rPr>
          <w:bCs/>
          <w:color w:val="0061AE"/>
        </w:rPr>
        <w:t>Delivering systemic change in commodity supply chains through an integrated approach</w:t>
      </w:r>
    </w:p>
    <w:p w14:paraId="0CCEA98B" w14:textId="1AB7F25D" w:rsidR="003F6565" w:rsidRPr="0011424D" w:rsidRDefault="00901147" w:rsidP="0011424D">
      <w:pPr>
        <w:shd w:val="clear" w:color="auto" w:fill="FFFFFF"/>
        <w:spacing w:after="0" w:line="240" w:lineRule="auto"/>
        <w:rPr>
          <w:rFonts w:asciiTheme="minorHAnsi" w:hAnsiTheme="minorHAnsi" w:cstheme="minorHAnsi"/>
        </w:rPr>
      </w:pPr>
      <w:r w:rsidRPr="00901147">
        <w:rPr>
          <w:b/>
          <w:color w:val="0061AE"/>
        </w:rPr>
        <w:t xml:space="preserve"> </w:t>
      </w:r>
      <w:r w:rsidRPr="003024D8">
        <w:rPr>
          <w:rFonts w:asciiTheme="minorHAnsi" w:eastAsia="Times New Roman" w:hAnsiTheme="minorHAnsi" w:cstheme="minorHAnsi"/>
          <w:color w:val="222222"/>
        </w:rPr>
        <w:t xml:space="preserve"> VBV 2 was delayed and will only be finalized beginning </w:t>
      </w:r>
      <w:r w:rsidRPr="0011424D">
        <w:rPr>
          <w:rFonts w:asciiTheme="minorHAnsi" w:eastAsia="Times New Roman" w:hAnsiTheme="minorHAnsi" w:cstheme="minorHAnsi"/>
          <w:color w:val="222222"/>
        </w:rPr>
        <w:t>of 2022</w:t>
      </w:r>
      <w:r w:rsidR="0011424D" w:rsidRPr="0011424D">
        <w:rPr>
          <w:rFonts w:asciiTheme="minorHAnsi" w:eastAsia="Times New Roman" w:hAnsiTheme="minorHAnsi" w:cstheme="minorHAnsi"/>
          <w:color w:val="222222"/>
        </w:rPr>
        <w:t xml:space="preserve"> </w:t>
      </w:r>
      <w:r w:rsidR="0011424D" w:rsidRPr="0011424D">
        <w:rPr>
          <w:rFonts w:eastAsia="Times New Roman" w:cstheme="minorHAnsi"/>
          <w:color w:val="222222"/>
        </w:rPr>
        <w:t>before official closure of the project (March 2022). Dissemination will be supported by co-financing.</w:t>
      </w:r>
    </w:p>
    <w:p w14:paraId="765818AD" w14:textId="77777777" w:rsidR="00E80925" w:rsidRPr="003711B8" w:rsidRDefault="00E80925" w:rsidP="005C4620">
      <w:pPr>
        <w:pStyle w:val="ListParagraph"/>
        <w:ind w:left="720" w:firstLine="0"/>
        <w:jc w:val="both"/>
        <w:rPr>
          <w:rFonts w:asciiTheme="minorHAnsi" w:hAnsiTheme="minorHAnsi" w:cstheme="minorHAnsi"/>
        </w:rPr>
      </w:pPr>
    </w:p>
    <w:p w14:paraId="6F4AFEF4" w14:textId="04745127" w:rsidR="003F6565" w:rsidRPr="003711B8" w:rsidRDefault="003F6565" w:rsidP="00D80344">
      <w:pPr>
        <w:numPr>
          <w:ilvl w:val="0"/>
          <w:numId w:val="4"/>
        </w:numPr>
        <w:jc w:val="both"/>
        <w:rPr>
          <w:rFonts w:asciiTheme="minorHAnsi" w:hAnsiTheme="minorHAnsi" w:cstheme="minorHAnsi"/>
        </w:rPr>
      </w:pPr>
      <w:r w:rsidRPr="003711B8">
        <w:rPr>
          <w:rFonts w:asciiTheme="minorHAnsi" w:hAnsiTheme="minorHAnsi" w:cstheme="minorHAnsi"/>
        </w:rPr>
        <w:t xml:space="preserve">Broad Global </w:t>
      </w:r>
      <w:r w:rsidRPr="003711B8">
        <w:rPr>
          <w:rFonts w:asciiTheme="minorHAnsi" w:hAnsiTheme="minorHAnsi" w:cstheme="minorHAnsi"/>
          <w:u w:val="single"/>
        </w:rPr>
        <w:t xml:space="preserve">Community of Practice </w:t>
      </w:r>
      <w:r w:rsidRPr="003711B8">
        <w:rPr>
          <w:rFonts w:asciiTheme="minorHAnsi" w:hAnsiTheme="minorHAnsi" w:cstheme="minorHAnsi"/>
        </w:rPr>
        <w:t>shares lessons across countries</w:t>
      </w:r>
      <w:r w:rsidR="00E80925">
        <w:rPr>
          <w:rFonts w:asciiTheme="minorHAnsi" w:hAnsiTheme="minorHAnsi" w:cstheme="minorHAnsi"/>
        </w:rPr>
        <w:t xml:space="preserve"> but is very restrictive. It wants a community of dedicated practitioners. </w:t>
      </w:r>
      <w:r w:rsidR="00465199">
        <w:rPr>
          <w:rFonts w:asciiTheme="minorHAnsi" w:hAnsiTheme="minorHAnsi" w:cstheme="minorHAnsi"/>
        </w:rPr>
        <w:t>A</w:t>
      </w:r>
      <w:r w:rsidR="00E80925">
        <w:rPr>
          <w:rFonts w:asciiTheme="minorHAnsi" w:hAnsiTheme="minorHAnsi" w:cstheme="minorHAnsi"/>
        </w:rPr>
        <w:t xml:space="preserve"> </w:t>
      </w:r>
      <w:r w:rsidR="00465199">
        <w:rPr>
          <w:rFonts w:asciiTheme="minorHAnsi" w:hAnsiTheme="minorHAnsi" w:cstheme="minorHAnsi"/>
        </w:rPr>
        <w:t>s</w:t>
      </w:r>
      <w:r w:rsidR="00E80925">
        <w:rPr>
          <w:rFonts w:asciiTheme="minorHAnsi" w:hAnsiTheme="minorHAnsi" w:cstheme="minorHAnsi"/>
        </w:rPr>
        <w:t xml:space="preserve">urprisingly small number </w:t>
      </w:r>
      <w:r w:rsidR="00C502D6">
        <w:rPr>
          <w:rFonts w:asciiTheme="minorHAnsi" w:hAnsiTheme="minorHAnsi" w:cstheme="minorHAnsi"/>
        </w:rPr>
        <w:t>of</w:t>
      </w:r>
      <w:r w:rsidR="00E80925">
        <w:rPr>
          <w:rFonts w:asciiTheme="minorHAnsi" w:hAnsiTheme="minorHAnsi" w:cstheme="minorHAnsi"/>
        </w:rPr>
        <w:t xml:space="preserve"> users at 200. For the investment, a very high price per user. </w:t>
      </w:r>
      <w:r w:rsidR="00C502D6" w:rsidRPr="00C502D6">
        <w:rPr>
          <w:rFonts w:asciiTheme="minorHAnsi" w:hAnsiTheme="minorHAnsi" w:cstheme="minorHAnsi"/>
        </w:rPr>
        <w:t>Make all effort to expand the base of users</w:t>
      </w:r>
      <w:r w:rsidR="00BE6E55">
        <w:rPr>
          <w:rFonts w:asciiTheme="minorHAnsi" w:hAnsiTheme="minorHAnsi" w:cstheme="minorHAnsi"/>
        </w:rPr>
        <w:t xml:space="preserve"> amongst the thousands of producers, processors, brokers, distributors, certifiers, </w:t>
      </w:r>
      <w:r w:rsidR="00314412">
        <w:rPr>
          <w:rFonts w:asciiTheme="minorHAnsi" w:hAnsiTheme="minorHAnsi" w:cstheme="minorHAnsi"/>
        </w:rPr>
        <w:t>government officials, etc.</w:t>
      </w:r>
    </w:p>
    <w:p w14:paraId="2B23BF18" w14:textId="77777777" w:rsidR="003F6565" w:rsidRPr="003711B8" w:rsidRDefault="003F6565" w:rsidP="00D80344">
      <w:pPr>
        <w:numPr>
          <w:ilvl w:val="0"/>
          <w:numId w:val="4"/>
        </w:numPr>
        <w:jc w:val="both"/>
        <w:rPr>
          <w:rFonts w:asciiTheme="minorHAnsi" w:hAnsiTheme="minorHAnsi" w:cstheme="minorHAnsi"/>
        </w:rPr>
      </w:pPr>
      <w:r w:rsidRPr="003711B8">
        <w:rPr>
          <w:rFonts w:asciiTheme="minorHAnsi" w:hAnsiTheme="minorHAnsi" w:cstheme="minorHAnsi"/>
        </w:rPr>
        <w:t>Strong partnerships are established to support knowledge management and increase synergies in order to maximize progress towards reducing deforestation from global commodity production</w:t>
      </w:r>
    </w:p>
    <w:p w14:paraId="1566B74A" w14:textId="77777777" w:rsidR="003F6565" w:rsidRPr="003711B8" w:rsidRDefault="003F6565" w:rsidP="00D80344">
      <w:pPr>
        <w:numPr>
          <w:ilvl w:val="0"/>
          <w:numId w:val="4"/>
        </w:numPr>
        <w:jc w:val="both"/>
        <w:rPr>
          <w:rFonts w:asciiTheme="minorHAnsi" w:hAnsiTheme="minorHAnsi" w:cstheme="minorHAnsi"/>
        </w:rPr>
      </w:pPr>
      <w:r w:rsidRPr="003711B8">
        <w:rPr>
          <w:rFonts w:asciiTheme="minorHAnsi" w:hAnsiTheme="minorHAnsi" w:cstheme="minorHAnsi"/>
        </w:rPr>
        <w:t>A program level communication strategy raises awareness of the impacts of the IAP and facilitates dissemination of knowledge.</w:t>
      </w:r>
    </w:p>
    <w:p w14:paraId="209254DF" w14:textId="7FB8C2B4" w:rsidR="003F6565" w:rsidRPr="003711B8" w:rsidRDefault="003F6565" w:rsidP="00D80344">
      <w:pPr>
        <w:pStyle w:val="ListParagraph"/>
        <w:numPr>
          <w:ilvl w:val="0"/>
          <w:numId w:val="4"/>
        </w:numPr>
        <w:jc w:val="both"/>
        <w:rPr>
          <w:rFonts w:asciiTheme="minorHAnsi" w:hAnsiTheme="minorHAnsi" w:cstheme="minorHAnsi"/>
        </w:rPr>
      </w:pPr>
      <w:r w:rsidRPr="003711B8">
        <w:rPr>
          <w:rFonts w:asciiTheme="minorHAnsi" w:hAnsiTheme="minorHAnsi" w:cstheme="minorHAnsi"/>
        </w:rPr>
        <w:t xml:space="preserve">The goal of knowledge management and learning of making learning/lessons from outside </w:t>
      </w:r>
      <w:r w:rsidR="00C46CA7">
        <w:rPr>
          <w:rFonts w:asciiTheme="minorHAnsi" w:hAnsiTheme="minorHAnsi" w:cstheme="minorHAnsi"/>
        </w:rPr>
        <w:t xml:space="preserve">of the </w:t>
      </w:r>
      <w:r w:rsidRPr="003711B8">
        <w:rPr>
          <w:rFonts w:asciiTheme="minorHAnsi" w:hAnsiTheme="minorHAnsi" w:cstheme="minorHAnsi"/>
        </w:rPr>
        <w:t xml:space="preserve">GGP is on track to be achieved </w:t>
      </w:r>
      <w:r w:rsidR="00C46CA7">
        <w:rPr>
          <w:rFonts w:asciiTheme="minorHAnsi" w:hAnsiTheme="minorHAnsi" w:cstheme="minorHAnsi"/>
        </w:rPr>
        <w:t xml:space="preserve">through other projects in the future, or </w:t>
      </w:r>
      <w:r w:rsidRPr="003711B8">
        <w:rPr>
          <w:rFonts w:asciiTheme="minorHAnsi" w:hAnsiTheme="minorHAnsi" w:cstheme="minorHAnsi"/>
        </w:rPr>
        <w:t>in a future GGP v2</w:t>
      </w:r>
      <w:r w:rsidR="00C46CA7">
        <w:rPr>
          <w:rFonts w:asciiTheme="minorHAnsi" w:hAnsiTheme="minorHAnsi" w:cstheme="minorHAnsi"/>
        </w:rPr>
        <w:t>. The structure, website, protocols, etc. are all firmly established and positions the GCC to expand. A sustainability plan was in the drafting stage during the course of the evaluation.</w:t>
      </w:r>
    </w:p>
    <w:bookmarkEnd w:id="75"/>
    <w:p w14:paraId="28CEB153" w14:textId="77777777" w:rsidR="003F6565" w:rsidRDefault="003F6565" w:rsidP="003F6565">
      <w:pPr>
        <w:jc w:val="both"/>
      </w:pPr>
    </w:p>
    <w:p w14:paraId="1C758D7A" w14:textId="4D2D1E2B" w:rsidR="003F6565" w:rsidRDefault="005C4620" w:rsidP="003F6565">
      <w:pPr>
        <w:jc w:val="both"/>
      </w:pPr>
      <w:r>
        <w:rPr>
          <w:b/>
          <w:bCs/>
        </w:rPr>
        <w:t>L</w:t>
      </w:r>
      <w:r w:rsidR="003F6565" w:rsidRPr="003711B8">
        <w:rPr>
          <w:b/>
          <w:bCs/>
        </w:rPr>
        <w:t>essons from Component 3</w:t>
      </w:r>
      <w:r w:rsidR="003F6565" w:rsidRPr="00D27131">
        <w:t>:</w:t>
      </w:r>
    </w:p>
    <w:p w14:paraId="64C1505E" w14:textId="67DC5CC9" w:rsidR="003F6565" w:rsidRPr="00D27131" w:rsidRDefault="003F6565" w:rsidP="003F6565">
      <w:pPr>
        <w:jc w:val="both"/>
      </w:pPr>
      <w:r w:rsidRPr="00D27131">
        <w:t xml:space="preserve">R1: Fact sheets, highlight reports for yearly performance, brochures, Branding Guidelines, Video Content. </w:t>
      </w:r>
      <w:r w:rsidR="003F6018">
        <w:t>The materials produced are of very high quality and focused on inforaming the general public, on gender issues, etc.</w:t>
      </w:r>
      <w:r w:rsidRPr="00D27131">
        <w:t xml:space="preserve"> Evaluators do not see strategic communication</w:t>
      </w:r>
      <w:r w:rsidR="003F6018">
        <w:t xml:space="preserve"> integrated across production, demand, and transactional spaces nor</w:t>
      </w:r>
      <w:r w:rsidRPr="00D27131">
        <w:t xml:space="preserve"> with regards to solving problems in the Child Projects. What communications were needed at critical times to approved, for example, National Action Plans (Production).  The </w:t>
      </w:r>
      <w:r w:rsidR="00121F7E">
        <w:t>project´s communication strategy</w:t>
      </w:r>
      <w:r w:rsidRPr="00D27131">
        <w:t xml:space="preserve"> is centered around awareness and around roll outs of special events </w:t>
      </w:r>
      <w:r w:rsidR="00121F7E">
        <w:t>or publishing knowledge management toos. per the</w:t>
      </w:r>
      <w:r w:rsidRPr="00D27131">
        <w:t xml:space="preserve"> Strategy presented in the PRODOC. </w:t>
      </w:r>
    </w:p>
    <w:p w14:paraId="67351830" w14:textId="43122A9B" w:rsidR="003F6565" w:rsidRPr="00D27131" w:rsidRDefault="003F6565" w:rsidP="003F6565">
      <w:pPr>
        <w:jc w:val="both"/>
      </w:pPr>
      <w:r w:rsidRPr="00D27131">
        <w:lastRenderedPageBreak/>
        <w:t xml:space="preserve">R2: Percentage of participants of Community of Practice events </w:t>
      </w:r>
      <w:r w:rsidRPr="00D27131">
        <w:rPr>
          <w:b/>
          <w:bCs/>
        </w:rPr>
        <w:t xml:space="preserve">that have changed their programs, practices and/or policies based on GGP learning </w:t>
      </w:r>
      <w:r w:rsidRPr="00D27131">
        <w:t xml:space="preserve">(as measured by a survey of participants of each of the two face-to-face CoP global events) . A survey of participants demonstrated </w:t>
      </w:r>
      <w:r w:rsidR="00443072">
        <w:t>64</w:t>
      </w:r>
      <w:r w:rsidRPr="00D27131">
        <w:t xml:space="preserve">% of the </w:t>
      </w:r>
      <w:r w:rsidR="00443072">
        <w:t>3</w:t>
      </w:r>
      <w:r w:rsidRPr="00D27131">
        <w:t xml:space="preserve">1 respondents had changed their programs practices or policies based on GGP learning..  Evaluators confirmed in interviews for the Production project that this was the case. </w:t>
      </w:r>
      <w:r w:rsidR="00060D50">
        <w:t xml:space="preserve">In fact, one case of a Liberian producer was influenced to modify practices through contact at the Good Growth Conference. </w:t>
      </w:r>
      <w:r w:rsidRPr="00D27131">
        <w:t xml:space="preserve">The indicator </w:t>
      </w:r>
      <w:r w:rsidR="00060D50">
        <w:t>is the correct indicator but the means of verification (MOV) could be more specific. A survey is a good tool for this indicator, but right after the conference and the conference audience alone might not be the best sample, albeit convenient.  A random survey of GCC subscribers might be a better MOV and enable triangulation</w:t>
      </w:r>
      <w:r w:rsidRPr="00D27131">
        <w:t xml:space="preserve">.  </w:t>
      </w:r>
    </w:p>
    <w:p w14:paraId="7AEDD4CE" w14:textId="53913C6A" w:rsidR="003F6565" w:rsidRPr="00B41955" w:rsidRDefault="003F6565" w:rsidP="003F6565">
      <w:pPr>
        <w:jc w:val="both"/>
        <w:rPr>
          <w:rFonts w:asciiTheme="minorHAnsi" w:hAnsiTheme="minorHAnsi" w:cstheme="minorHAnsi"/>
        </w:rPr>
      </w:pPr>
      <w:r w:rsidRPr="00B41955">
        <w:rPr>
          <w:rFonts w:asciiTheme="minorHAnsi" w:hAnsiTheme="minorHAnsi" w:cstheme="minorHAnsi"/>
        </w:rPr>
        <w:t xml:space="preserve">R3: </w:t>
      </w:r>
      <w:r w:rsidR="007D3FE4">
        <w:rPr>
          <w:rFonts w:asciiTheme="minorHAnsi" w:hAnsiTheme="minorHAnsi" w:cstheme="minorHAnsi"/>
        </w:rPr>
        <w:t xml:space="preserve">Strong participation of present and future collaborators: </w:t>
      </w:r>
      <w:r w:rsidRPr="00B41955">
        <w:rPr>
          <w:rFonts w:asciiTheme="minorHAnsi" w:hAnsiTheme="minorHAnsi" w:cstheme="minorHAnsi"/>
        </w:rPr>
        <w:t xml:space="preserve">TFA, GIZ, NYDF, Consumer Goods Forum, GCFTF, BMZ, Eco Agriculture, Climate KIC, CFA, FOLU. </w:t>
      </w:r>
    </w:p>
    <w:p w14:paraId="1109EE35" w14:textId="68A714EA" w:rsidR="003F6565" w:rsidRPr="00B41955" w:rsidRDefault="003F6565" w:rsidP="00D80344">
      <w:pPr>
        <w:pStyle w:val="ListParagraph"/>
        <w:numPr>
          <w:ilvl w:val="0"/>
          <w:numId w:val="27"/>
        </w:numPr>
        <w:jc w:val="both"/>
        <w:rPr>
          <w:rFonts w:asciiTheme="minorHAnsi" w:hAnsiTheme="minorHAnsi" w:cstheme="minorHAnsi"/>
        </w:rPr>
      </w:pPr>
      <w:r w:rsidRPr="00B41955">
        <w:rPr>
          <w:rFonts w:asciiTheme="minorHAnsi" w:hAnsiTheme="minorHAnsi" w:cstheme="minorHAnsi"/>
        </w:rPr>
        <w:t>M&amp;E mechanisms capturing lessons learned across the programme</w:t>
      </w:r>
    </w:p>
    <w:p w14:paraId="45041509" w14:textId="6686087D" w:rsidR="003F6565" w:rsidRPr="00B41955" w:rsidRDefault="003F6565" w:rsidP="00D80344">
      <w:pPr>
        <w:pStyle w:val="ListParagraph"/>
        <w:numPr>
          <w:ilvl w:val="0"/>
          <w:numId w:val="27"/>
        </w:numPr>
        <w:jc w:val="both"/>
        <w:rPr>
          <w:rFonts w:asciiTheme="minorHAnsi" w:hAnsiTheme="minorHAnsi" w:cstheme="minorHAnsi"/>
        </w:rPr>
      </w:pPr>
      <w:r w:rsidRPr="00B41955">
        <w:rPr>
          <w:rFonts w:asciiTheme="minorHAnsi" w:hAnsiTheme="minorHAnsi" w:cstheme="minorHAnsi"/>
        </w:rPr>
        <w:t>COP building on existing Green Commodities Community</w:t>
      </w:r>
    </w:p>
    <w:p w14:paraId="48A7D36F" w14:textId="41381F52" w:rsidR="003F6565" w:rsidRPr="00B41955" w:rsidRDefault="003F6565" w:rsidP="00D80344">
      <w:pPr>
        <w:pStyle w:val="ListParagraph"/>
        <w:numPr>
          <w:ilvl w:val="0"/>
          <w:numId w:val="27"/>
        </w:numPr>
        <w:rPr>
          <w:rFonts w:asciiTheme="minorHAnsi" w:hAnsiTheme="minorHAnsi" w:cstheme="minorHAnsi"/>
        </w:rPr>
      </w:pPr>
      <w:r w:rsidRPr="00B41955">
        <w:rPr>
          <w:rFonts w:asciiTheme="minorHAnsi" w:hAnsiTheme="minorHAnsi" w:cstheme="minorHAnsi"/>
        </w:rPr>
        <w:t xml:space="preserve">Cost effective and efficient </w:t>
      </w:r>
    </w:p>
    <w:p w14:paraId="69672901" w14:textId="07C4156C" w:rsidR="003F6565" w:rsidRPr="00B41955" w:rsidRDefault="003F6565" w:rsidP="00D80344">
      <w:pPr>
        <w:pStyle w:val="ListParagraph"/>
        <w:numPr>
          <w:ilvl w:val="0"/>
          <w:numId w:val="27"/>
        </w:numPr>
        <w:rPr>
          <w:rFonts w:asciiTheme="minorHAnsi" w:hAnsiTheme="minorHAnsi" w:cstheme="minorHAnsi"/>
        </w:rPr>
      </w:pPr>
      <w:r w:rsidRPr="00B41955">
        <w:rPr>
          <w:rFonts w:asciiTheme="minorHAnsi" w:hAnsiTheme="minorHAnsi" w:cstheme="minorHAnsi"/>
        </w:rPr>
        <w:t xml:space="preserve">Biennial in-person gathering </w:t>
      </w:r>
    </w:p>
    <w:p w14:paraId="359D09D8" w14:textId="6E3D3299" w:rsidR="003F6565" w:rsidRPr="00B41955" w:rsidRDefault="003F6565" w:rsidP="00D80344">
      <w:pPr>
        <w:pStyle w:val="ListParagraph"/>
        <w:numPr>
          <w:ilvl w:val="0"/>
          <w:numId w:val="27"/>
        </w:numPr>
        <w:rPr>
          <w:rFonts w:asciiTheme="minorHAnsi" w:hAnsiTheme="minorHAnsi" w:cstheme="minorHAnsi"/>
        </w:rPr>
      </w:pPr>
      <w:r w:rsidRPr="00B41955">
        <w:rPr>
          <w:rFonts w:asciiTheme="minorHAnsi" w:hAnsiTheme="minorHAnsi" w:cstheme="minorHAnsi"/>
        </w:rPr>
        <w:t>But need more day-to-day interaction</w:t>
      </w:r>
      <w:r w:rsidR="000A5687">
        <w:rPr>
          <w:rFonts w:asciiTheme="minorHAnsi" w:hAnsiTheme="minorHAnsi" w:cstheme="minorHAnsi"/>
        </w:rPr>
        <w:t xml:space="preserve"> will be facilitated through the </w:t>
      </w:r>
      <w:r w:rsidR="00D92363">
        <w:rPr>
          <w:rFonts w:asciiTheme="minorHAnsi" w:hAnsiTheme="minorHAnsi" w:cstheme="minorHAnsi"/>
        </w:rPr>
        <w:t>Digital Platform for Collaborative Learning</w:t>
      </w:r>
    </w:p>
    <w:p w14:paraId="648F6E52" w14:textId="3460B199" w:rsidR="003F6565" w:rsidRPr="00B41955" w:rsidRDefault="003F6565" w:rsidP="00D80344">
      <w:pPr>
        <w:pStyle w:val="ListParagraph"/>
        <w:numPr>
          <w:ilvl w:val="0"/>
          <w:numId w:val="27"/>
        </w:numPr>
        <w:rPr>
          <w:rFonts w:asciiTheme="minorHAnsi" w:hAnsiTheme="minorHAnsi" w:cstheme="minorHAnsi"/>
        </w:rPr>
      </w:pPr>
      <w:r w:rsidRPr="00B41955">
        <w:rPr>
          <w:rFonts w:asciiTheme="minorHAnsi" w:hAnsiTheme="minorHAnsi" w:cstheme="minorHAnsi"/>
        </w:rPr>
        <w:t>Evidensia</w:t>
      </w:r>
      <w:r w:rsidR="005213C5">
        <w:rPr>
          <w:rFonts w:asciiTheme="minorHAnsi" w:hAnsiTheme="minorHAnsi" w:cstheme="minorHAnsi"/>
        </w:rPr>
        <w:t xml:space="preserve"> and GCC have been mutually promoted on </w:t>
      </w:r>
      <w:r w:rsidR="005C4620">
        <w:rPr>
          <w:rFonts w:asciiTheme="minorHAnsi" w:hAnsiTheme="minorHAnsi" w:cstheme="minorHAnsi"/>
        </w:rPr>
        <w:t>each other’s</w:t>
      </w:r>
      <w:r w:rsidR="005213C5">
        <w:rPr>
          <w:rFonts w:asciiTheme="minorHAnsi" w:hAnsiTheme="minorHAnsi" w:cstheme="minorHAnsi"/>
        </w:rPr>
        <w:t xml:space="preserve"> platforms and events.</w:t>
      </w:r>
    </w:p>
    <w:p w14:paraId="6D882B3C" w14:textId="70B76166" w:rsidR="003F6565" w:rsidRPr="00B41955" w:rsidRDefault="003F6565" w:rsidP="00D80344">
      <w:pPr>
        <w:pStyle w:val="ListParagraph"/>
        <w:numPr>
          <w:ilvl w:val="0"/>
          <w:numId w:val="27"/>
        </w:numPr>
        <w:rPr>
          <w:rFonts w:asciiTheme="minorHAnsi" w:hAnsiTheme="minorHAnsi" w:cstheme="minorHAnsi"/>
        </w:rPr>
      </w:pPr>
      <w:r w:rsidRPr="00B41955">
        <w:rPr>
          <w:rFonts w:asciiTheme="minorHAnsi" w:hAnsiTheme="minorHAnsi" w:cstheme="minorHAnsi"/>
        </w:rPr>
        <w:t>Importance of programme level Knowledge Products</w:t>
      </w:r>
    </w:p>
    <w:p w14:paraId="1BEF88C5" w14:textId="76FA51DF" w:rsidR="003F6565" w:rsidRDefault="003F6565" w:rsidP="00D80344">
      <w:pPr>
        <w:pStyle w:val="ListParagraph"/>
        <w:numPr>
          <w:ilvl w:val="0"/>
          <w:numId w:val="27"/>
        </w:numPr>
        <w:rPr>
          <w:rFonts w:asciiTheme="minorHAnsi" w:hAnsiTheme="minorHAnsi" w:cstheme="minorHAnsi"/>
        </w:rPr>
      </w:pPr>
      <w:r w:rsidRPr="00B41955">
        <w:rPr>
          <w:rFonts w:asciiTheme="minorHAnsi" w:hAnsiTheme="minorHAnsi" w:cstheme="minorHAnsi"/>
        </w:rPr>
        <w:t>Main challenge related to lack of resources and incentives for collaboration on learning activities</w:t>
      </w:r>
    </w:p>
    <w:p w14:paraId="128DAC00" w14:textId="64DBF04A" w:rsidR="005213C5" w:rsidRDefault="005213C5" w:rsidP="00D80344">
      <w:pPr>
        <w:pStyle w:val="ListParagraph"/>
        <w:numPr>
          <w:ilvl w:val="0"/>
          <w:numId w:val="27"/>
        </w:numPr>
        <w:rPr>
          <w:rFonts w:asciiTheme="minorHAnsi" w:hAnsiTheme="minorHAnsi" w:cstheme="minorHAnsi"/>
        </w:rPr>
      </w:pPr>
      <w:r>
        <w:rPr>
          <w:rFonts w:asciiTheme="minorHAnsi" w:hAnsiTheme="minorHAnsi" w:cstheme="minorHAnsi"/>
        </w:rPr>
        <w:t>GCC is too limited for the investment. Need to incorporate a larger audience of practitioners</w:t>
      </w:r>
    </w:p>
    <w:p w14:paraId="5642BB1E" w14:textId="29242FBF" w:rsidR="00A67482" w:rsidRPr="00B41955" w:rsidRDefault="00A67482" w:rsidP="00D80344">
      <w:pPr>
        <w:pStyle w:val="ListParagraph"/>
        <w:numPr>
          <w:ilvl w:val="0"/>
          <w:numId w:val="27"/>
        </w:numPr>
        <w:rPr>
          <w:rFonts w:asciiTheme="minorHAnsi" w:hAnsiTheme="minorHAnsi" w:cstheme="minorHAnsi"/>
        </w:rPr>
      </w:pPr>
      <w:r>
        <w:rPr>
          <w:rFonts w:asciiTheme="minorHAnsi" w:hAnsiTheme="minorHAnsi" w:cstheme="minorHAnsi"/>
        </w:rPr>
        <w:t xml:space="preserve">Good Growth Conference heavily impacted by COVID-19. The first GG conference was beneficial. In person events are important for participants that are </w:t>
      </w:r>
      <w:r w:rsidR="0007353C">
        <w:rPr>
          <w:rFonts w:asciiTheme="minorHAnsi" w:hAnsiTheme="minorHAnsi" w:cstheme="minorHAnsi"/>
        </w:rPr>
        <w:t>persevering</w:t>
      </w:r>
      <w:r>
        <w:rPr>
          <w:rFonts w:asciiTheme="minorHAnsi" w:hAnsiTheme="minorHAnsi" w:cstheme="minorHAnsi"/>
        </w:rPr>
        <w:t xml:space="preserve"> </w:t>
      </w:r>
    </w:p>
    <w:p w14:paraId="4F5EBDAA" w14:textId="6A7D8DC0" w:rsidR="003F6565" w:rsidRPr="00D27131" w:rsidRDefault="003F6565" w:rsidP="003F6565"/>
    <w:p w14:paraId="58D4B337" w14:textId="3BF35421" w:rsidR="000178CF" w:rsidRDefault="000178CF" w:rsidP="00AF588A">
      <w:pPr>
        <w:jc w:val="both"/>
      </w:pPr>
    </w:p>
    <w:p w14:paraId="69D6F3E5" w14:textId="00EF45F1" w:rsidR="000178CF" w:rsidRDefault="000178CF" w:rsidP="00AF588A">
      <w:pPr>
        <w:jc w:val="both"/>
      </w:pPr>
      <w:r w:rsidRPr="000178CF">
        <w:rPr>
          <w:noProof/>
        </w:rPr>
        <w:drawing>
          <wp:anchor distT="0" distB="0" distL="114300" distR="114300" simplePos="0" relativeHeight="251663872" behindDoc="0" locked="0" layoutInCell="1" allowOverlap="1" wp14:anchorId="504BAE4E" wp14:editId="7F8829AB">
            <wp:simplePos x="0" y="0"/>
            <wp:positionH relativeFrom="column">
              <wp:posOffset>0</wp:posOffset>
            </wp:positionH>
            <wp:positionV relativeFrom="paragraph">
              <wp:posOffset>200025</wp:posOffset>
            </wp:positionV>
            <wp:extent cx="5505450" cy="2480310"/>
            <wp:effectExtent l="0" t="0" r="0" b="15240"/>
            <wp:wrapTopAndBottom/>
            <wp:docPr id="17" name="Gráfico 17">
              <a:extLst xmlns:a="http://schemas.openxmlformats.org/drawingml/2006/main">
                <a:ext uri="{FF2B5EF4-FFF2-40B4-BE49-F238E27FC236}">
                  <a16:creationId xmlns:a16="http://schemas.microsoft.com/office/drawing/2014/main" id="{6A6BE94C-E9DE-4174-9B06-6ABE25D42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5D71A899" w14:textId="75A829CF" w:rsidR="00AF588A" w:rsidRPr="00981FE1" w:rsidRDefault="00AF588A" w:rsidP="00AF588A">
      <w:pPr>
        <w:jc w:val="both"/>
        <w:rPr>
          <w:b/>
          <w:bCs/>
        </w:rPr>
      </w:pPr>
      <w:r w:rsidRPr="00981FE1">
        <w:rPr>
          <w:b/>
          <w:bCs/>
        </w:rPr>
        <w:t>Figure 6. GCC Membership</w:t>
      </w:r>
    </w:p>
    <w:p w14:paraId="6F4D1FBE" w14:textId="33C82932" w:rsidR="003F6565" w:rsidRPr="00B41955" w:rsidRDefault="003F6565" w:rsidP="003F6565">
      <w:pPr>
        <w:jc w:val="both"/>
      </w:pPr>
      <w:r w:rsidRPr="00B41955">
        <w:lastRenderedPageBreak/>
        <w:t xml:space="preserve">The GCC now counts on </w:t>
      </w:r>
      <w:r w:rsidR="001C22A1">
        <w:t>206</w:t>
      </w:r>
      <w:r w:rsidRPr="00B41955">
        <w:t xml:space="preserve"> members, who have been oriented through calls delivered in English and Spanish (please note that some members were removed because of inactivity). Overall, 488 practitioners have been engaged through community workshops and orientation calls, representing 131 organizations and 18 commodity-producing countries.  </w:t>
      </w:r>
    </w:p>
    <w:p w14:paraId="2268E086" w14:textId="6DEA3946" w:rsidR="006A4070" w:rsidRDefault="006A4070" w:rsidP="003F6565">
      <w:r>
        <w:t xml:space="preserve">Figure </w:t>
      </w:r>
      <w:r w:rsidR="00AF588A">
        <w:t>7</w:t>
      </w:r>
      <w:r>
        <w:t xml:space="preserve"> shows the budget execution efficiency of Component 3</w:t>
      </w:r>
    </w:p>
    <w:p w14:paraId="05658791" w14:textId="7DD58CAB" w:rsidR="00090B67" w:rsidRDefault="00090B67" w:rsidP="003F6565">
      <w:r>
        <w:rPr>
          <w:noProof/>
        </w:rPr>
        <w:drawing>
          <wp:inline distT="0" distB="0" distL="0" distR="0" wp14:anchorId="769D9716" wp14:editId="08B23549">
            <wp:extent cx="5564038" cy="277749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5803" t="9560" r="2897" b="9417"/>
                    <a:stretch/>
                  </pic:blipFill>
                  <pic:spPr bwMode="auto">
                    <a:xfrm>
                      <a:off x="0" y="0"/>
                      <a:ext cx="5565657" cy="2778298"/>
                    </a:xfrm>
                    <a:prstGeom prst="rect">
                      <a:avLst/>
                    </a:prstGeom>
                    <a:noFill/>
                    <a:ln>
                      <a:noFill/>
                    </a:ln>
                    <a:extLst>
                      <a:ext uri="{53640926-AAD7-44D8-BBD7-CCE9431645EC}">
                        <a14:shadowObscured xmlns:a14="http://schemas.microsoft.com/office/drawing/2010/main"/>
                      </a:ext>
                    </a:extLst>
                  </pic:spPr>
                </pic:pic>
              </a:graphicData>
            </a:graphic>
          </wp:inline>
        </w:drawing>
      </w:r>
    </w:p>
    <w:p w14:paraId="29F21599" w14:textId="3D6AB3D4" w:rsidR="006A4070" w:rsidRDefault="006A4070" w:rsidP="006A4070">
      <w:pPr>
        <w:jc w:val="both"/>
      </w:pPr>
      <w:r>
        <w:t xml:space="preserve">The quarter-by-quarter graph demonstrates the effects of COVID on the Green Commodities Community. The platform was </w:t>
      </w:r>
      <w:r w:rsidR="008B4EFA">
        <w:t xml:space="preserve">characterized by spending associated with contracts and large events, namely the Good Growth Conference </w:t>
      </w:r>
      <w:r>
        <w:t xml:space="preserve">when the pandemic struck (red line).  An in-person event every 2 years is important for sectors </w:t>
      </w:r>
      <w:r w:rsidR="00C455EE">
        <w:t>to facilitate networking amongst practitioners</w:t>
      </w:r>
      <w:r>
        <w:t xml:space="preserve">.  Once the Pandemic clears, attendees are offered valuable networking opportunities. </w:t>
      </w:r>
      <w:r w:rsidR="008B4EFA">
        <w:t>The spike at the end of he trail is related to the conference</w:t>
      </w:r>
    </w:p>
    <w:p w14:paraId="3708F02A" w14:textId="3639AD80" w:rsidR="00090B67" w:rsidRDefault="00090B67" w:rsidP="006A4070">
      <w:pPr>
        <w:rPr>
          <w:b/>
          <w:bCs/>
        </w:rPr>
      </w:pPr>
    </w:p>
    <w:p w14:paraId="5058CF31" w14:textId="0B683013" w:rsidR="006A4070" w:rsidRPr="00981FE1" w:rsidRDefault="006A4070" w:rsidP="006A4070">
      <w:pPr>
        <w:rPr>
          <w:b/>
          <w:bCs/>
        </w:rPr>
      </w:pPr>
      <w:r w:rsidRPr="00981FE1">
        <w:rPr>
          <w:b/>
          <w:bCs/>
        </w:rPr>
        <w:t xml:space="preserve">Figure </w:t>
      </w:r>
      <w:r w:rsidR="00AF588A" w:rsidRPr="00981FE1">
        <w:rPr>
          <w:b/>
          <w:bCs/>
        </w:rPr>
        <w:t>7</w:t>
      </w:r>
      <w:r w:rsidRPr="00981FE1">
        <w:rPr>
          <w:b/>
          <w:bCs/>
        </w:rPr>
        <w:t>. Efficiency in the budget execution of Component 3</w:t>
      </w:r>
    </w:p>
    <w:p w14:paraId="3BFB9EFC" w14:textId="73B913F6" w:rsidR="006A4070" w:rsidRPr="006A4070" w:rsidRDefault="006A4070" w:rsidP="006A4070">
      <w:pPr>
        <w:rPr>
          <w:rFonts w:ascii="Arial" w:hAnsi="Arial" w:cs="Arial"/>
        </w:rPr>
      </w:pPr>
      <w:r>
        <w:rPr>
          <w:rFonts w:ascii="Arial" w:hAnsi="Arial" w:cs="Arial"/>
        </w:rPr>
        <w:t xml:space="preserve">. </w:t>
      </w:r>
    </w:p>
    <w:p w14:paraId="48381BA0" w14:textId="38F199A2" w:rsidR="006A4070" w:rsidRPr="00981FE1" w:rsidRDefault="00981DDE" w:rsidP="006A4070">
      <w:pPr>
        <w:rPr>
          <w:rFonts w:ascii="Arial" w:hAnsi="Arial" w:cs="Arial"/>
          <w:b/>
          <w:bCs/>
        </w:rPr>
      </w:pPr>
      <w:r w:rsidRPr="00981FE1">
        <w:rPr>
          <w:rFonts w:asciiTheme="minorHAnsi" w:hAnsiTheme="minorHAnsi" w:cstheme="minorHAnsi"/>
          <w:b/>
          <w:bCs/>
        </w:rPr>
        <w:t>Figure 8. Component 3 Quarterly Execution and Covid-19 Pandemic impact</w:t>
      </w:r>
    </w:p>
    <w:p w14:paraId="50BBF0E0" w14:textId="463608DE" w:rsidR="006A4070" w:rsidRPr="006A4070" w:rsidRDefault="006A4070" w:rsidP="006A4070">
      <w:pPr>
        <w:rPr>
          <w:rFonts w:ascii="Arial" w:hAnsi="Arial" w:cs="Arial"/>
        </w:rPr>
      </w:pPr>
    </w:p>
    <w:p w14:paraId="0897EB27" w14:textId="2922089C" w:rsidR="007A1F8A" w:rsidRPr="00FB0BAC" w:rsidRDefault="007A1F8A" w:rsidP="007A1F8A">
      <w:pPr>
        <w:pStyle w:val="Heading3"/>
        <w:rPr>
          <w:rFonts w:asciiTheme="minorHAnsi" w:hAnsiTheme="minorHAnsi" w:cstheme="minorHAnsi"/>
          <w:sz w:val="22"/>
          <w:szCs w:val="22"/>
        </w:rPr>
      </w:pPr>
      <w:bookmarkStart w:id="76" w:name="_Toc96772495"/>
      <w:r w:rsidRPr="00FB0BAC">
        <w:rPr>
          <w:rFonts w:asciiTheme="minorHAnsi" w:hAnsiTheme="minorHAnsi" w:cstheme="minorHAnsi"/>
          <w:sz w:val="22"/>
          <w:szCs w:val="22"/>
        </w:rPr>
        <w:t>4.3.2</w:t>
      </w:r>
      <w:r w:rsidRPr="00FB0BAC">
        <w:rPr>
          <w:rFonts w:asciiTheme="minorHAnsi" w:hAnsiTheme="minorHAnsi" w:cstheme="minorHAnsi"/>
          <w:sz w:val="22"/>
          <w:szCs w:val="22"/>
        </w:rPr>
        <w:tab/>
        <w:t>Relevance (*)</w:t>
      </w:r>
      <w:bookmarkEnd w:id="76"/>
    </w:p>
    <w:p w14:paraId="6BC3CAB6" w14:textId="4F95207B" w:rsidR="007A1F8A" w:rsidRPr="00274CC7" w:rsidRDefault="007A1F8A" w:rsidP="007A1F8A">
      <w:pPr>
        <w:pStyle w:val="BodyText"/>
        <w:spacing w:before="170" w:line="259" w:lineRule="auto"/>
        <w:rPr>
          <w:rFonts w:asciiTheme="minorHAnsi" w:hAnsiTheme="minorHAnsi" w:cstheme="minorHAnsi"/>
          <w:sz w:val="22"/>
          <w:szCs w:val="22"/>
        </w:rPr>
      </w:pPr>
      <w:r w:rsidRPr="00274CC7">
        <w:rPr>
          <w:rFonts w:asciiTheme="minorHAnsi" w:hAnsiTheme="minorHAnsi" w:cstheme="minorHAnsi"/>
          <w:sz w:val="22"/>
          <w:szCs w:val="22"/>
        </w:rPr>
        <w:t>Relevance</w:t>
      </w:r>
      <w:r w:rsidRPr="00274CC7">
        <w:rPr>
          <w:rFonts w:asciiTheme="minorHAnsi" w:hAnsiTheme="minorHAnsi" w:cstheme="minorHAnsi"/>
          <w:spacing w:val="-9"/>
          <w:sz w:val="22"/>
          <w:szCs w:val="22"/>
        </w:rPr>
        <w:t xml:space="preserve"> </w:t>
      </w:r>
      <w:r w:rsidRPr="00274CC7">
        <w:rPr>
          <w:rFonts w:asciiTheme="minorHAnsi" w:hAnsiTheme="minorHAnsi" w:cstheme="minorHAnsi"/>
          <w:sz w:val="22"/>
          <w:szCs w:val="22"/>
        </w:rPr>
        <w:t>is</w:t>
      </w:r>
      <w:r w:rsidRPr="00274CC7">
        <w:rPr>
          <w:rFonts w:asciiTheme="minorHAnsi" w:hAnsiTheme="minorHAnsi" w:cstheme="minorHAnsi"/>
          <w:spacing w:val="-9"/>
          <w:sz w:val="22"/>
          <w:szCs w:val="22"/>
        </w:rPr>
        <w:t xml:space="preserve"> </w:t>
      </w:r>
      <w:r w:rsidRPr="00274CC7">
        <w:rPr>
          <w:rFonts w:asciiTheme="minorHAnsi" w:hAnsiTheme="minorHAnsi" w:cstheme="minorHAnsi"/>
          <w:sz w:val="22"/>
          <w:szCs w:val="22"/>
        </w:rPr>
        <w:t>the</w:t>
      </w:r>
      <w:r w:rsidRPr="00274CC7">
        <w:rPr>
          <w:rFonts w:asciiTheme="minorHAnsi" w:hAnsiTheme="minorHAnsi" w:cstheme="minorHAnsi"/>
          <w:spacing w:val="-9"/>
          <w:sz w:val="22"/>
          <w:szCs w:val="22"/>
        </w:rPr>
        <w:t xml:space="preserve"> </w:t>
      </w:r>
      <w:r w:rsidRPr="00274CC7">
        <w:rPr>
          <w:rFonts w:asciiTheme="minorHAnsi" w:hAnsiTheme="minorHAnsi" w:cstheme="minorHAnsi"/>
          <w:sz w:val="22"/>
          <w:szCs w:val="22"/>
        </w:rPr>
        <w:t>extent</w:t>
      </w:r>
      <w:r w:rsidRPr="00274CC7">
        <w:rPr>
          <w:rFonts w:asciiTheme="minorHAnsi" w:hAnsiTheme="minorHAnsi" w:cstheme="minorHAnsi"/>
          <w:spacing w:val="-9"/>
          <w:sz w:val="22"/>
          <w:szCs w:val="22"/>
        </w:rPr>
        <w:t xml:space="preserve"> </w:t>
      </w:r>
      <w:r w:rsidRPr="00274CC7">
        <w:rPr>
          <w:rFonts w:asciiTheme="minorHAnsi" w:hAnsiTheme="minorHAnsi" w:cstheme="minorHAnsi"/>
          <w:sz w:val="22"/>
          <w:szCs w:val="22"/>
        </w:rPr>
        <w:t>to</w:t>
      </w:r>
      <w:r w:rsidRPr="00274CC7">
        <w:rPr>
          <w:rFonts w:asciiTheme="minorHAnsi" w:hAnsiTheme="minorHAnsi" w:cstheme="minorHAnsi"/>
          <w:spacing w:val="-10"/>
          <w:sz w:val="22"/>
          <w:szCs w:val="22"/>
        </w:rPr>
        <w:t xml:space="preserve"> </w:t>
      </w:r>
      <w:r w:rsidRPr="00274CC7">
        <w:rPr>
          <w:rFonts w:asciiTheme="minorHAnsi" w:hAnsiTheme="minorHAnsi" w:cstheme="minorHAnsi"/>
          <w:sz w:val="22"/>
          <w:szCs w:val="22"/>
        </w:rPr>
        <w:t>which</w:t>
      </w:r>
      <w:r w:rsidRPr="00274CC7">
        <w:rPr>
          <w:rFonts w:asciiTheme="minorHAnsi" w:hAnsiTheme="minorHAnsi" w:cstheme="minorHAnsi"/>
          <w:spacing w:val="-8"/>
          <w:sz w:val="22"/>
          <w:szCs w:val="22"/>
        </w:rPr>
        <w:t xml:space="preserve"> </w:t>
      </w:r>
      <w:r w:rsidRPr="00274CC7">
        <w:rPr>
          <w:rFonts w:asciiTheme="minorHAnsi" w:hAnsiTheme="minorHAnsi" w:cstheme="minorHAnsi"/>
          <w:sz w:val="22"/>
          <w:szCs w:val="22"/>
        </w:rPr>
        <w:t>the</w:t>
      </w:r>
      <w:r w:rsidRPr="00274CC7">
        <w:rPr>
          <w:rFonts w:asciiTheme="minorHAnsi" w:hAnsiTheme="minorHAnsi" w:cstheme="minorHAnsi"/>
          <w:spacing w:val="-6"/>
          <w:sz w:val="22"/>
          <w:szCs w:val="22"/>
        </w:rPr>
        <w:t xml:space="preserve"> </w:t>
      </w:r>
      <w:r w:rsidRPr="00274CC7">
        <w:rPr>
          <w:rFonts w:asciiTheme="minorHAnsi" w:hAnsiTheme="minorHAnsi" w:cstheme="minorHAnsi"/>
          <w:sz w:val="22"/>
          <w:szCs w:val="22"/>
        </w:rPr>
        <w:t>project’s</w:t>
      </w:r>
      <w:r w:rsidRPr="00274CC7">
        <w:rPr>
          <w:rFonts w:asciiTheme="minorHAnsi" w:hAnsiTheme="minorHAnsi" w:cstheme="minorHAnsi"/>
          <w:spacing w:val="-8"/>
          <w:sz w:val="22"/>
          <w:szCs w:val="22"/>
        </w:rPr>
        <w:t xml:space="preserve"> </w:t>
      </w:r>
      <w:r w:rsidRPr="00274CC7">
        <w:rPr>
          <w:rFonts w:asciiTheme="minorHAnsi" w:hAnsiTheme="minorHAnsi" w:cstheme="minorHAnsi"/>
          <w:sz w:val="22"/>
          <w:szCs w:val="22"/>
        </w:rPr>
        <w:t>objectives</w:t>
      </w:r>
      <w:r w:rsidRPr="00274CC7">
        <w:rPr>
          <w:rFonts w:asciiTheme="minorHAnsi" w:hAnsiTheme="minorHAnsi" w:cstheme="minorHAnsi"/>
          <w:spacing w:val="-10"/>
          <w:sz w:val="22"/>
          <w:szCs w:val="22"/>
        </w:rPr>
        <w:t xml:space="preserve"> </w:t>
      </w:r>
      <w:r w:rsidRPr="00274CC7">
        <w:rPr>
          <w:rFonts w:asciiTheme="minorHAnsi" w:hAnsiTheme="minorHAnsi" w:cstheme="minorHAnsi"/>
          <w:sz w:val="22"/>
          <w:szCs w:val="22"/>
        </w:rPr>
        <w:t>are</w:t>
      </w:r>
      <w:r w:rsidRPr="00274CC7">
        <w:rPr>
          <w:rFonts w:asciiTheme="minorHAnsi" w:hAnsiTheme="minorHAnsi" w:cstheme="minorHAnsi"/>
          <w:spacing w:val="-11"/>
          <w:sz w:val="22"/>
          <w:szCs w:val="22"/>
        </w:rPr>
        <w:t xml:space="preserve"> </w:t>
      </w:r>
      <w:r w:rsidRPr="00274CC7">
        <w:rPr>
          <w:rFonts w:asciiTheme="minorHAnsi" w:hAnsiTheme="minorHAnsi" w:cstheme="minorHAnsi"/>
          <w:sz w:val="22"/>
          <w:szCs w:val="22"/>
        </w:rPr>
        <w:t>consistent</w:t>
      </w:r>
      <w:r w:rsidRPr="00274CC7">
        <w:rPr>
          <w:rFonts w:asciiTheme="minorHAnsi" w:hAnsiTheme="minorHAnsi" w:cstheme="minorHAnsi"/>
          <w:spacing w:val="-7"/>
          <w:sz w:val="22"/>
          <w:szCs w:val="22"/>
        </w:rPr>
        <w:t xml:space="preserve"> </w:t>
      </w:r>
      <w:r w:rsidR="001D70AD" w:rsidRPr="00274CC7">
        <w:rPr>
          <w:rFonts w:asciiTheme="minorHAnsi" w:hAnsiTheme="minorHAnsi" w:cstheme="minorHAnsi"/>
          <w:sz w:val="22"/>
          <w:szCs w:val="22"/>
        </w:rPr>
        <w:t>with</w:t>
      </w:r>
      <w:r w:rsidR="001D70AD" w:rsidRPr="00274CC7">
        <w:rPr>
          <w:rFonts w:asciiTheme="minorHAnsi" w:hAnsiTheme="minorHAnsi" w:cstheme="minorHAnsi"/>
          <w:spacing w:val="-8"/>
          <w:sz w:val="22"/>
          <w:szCs w:val="22"/>
        </w:rPr>
        <w:t xml:space="preserve"> beneficiaries</w:t>
      </w:r>
      <w:r w:rsidRPr="00274CC7">
        <w:rPr>
          <w:rFonts w:asciiTheme="minorHAnsi" w:hAnsiTheme="minorHAnsi" w:cstheme="minorHAnsi"/>
          <w:sz w:val="22"/>
          <w:szCs w:val="22"/>
        </w:rPr>
        <w:t>’</w:t>
      </w:r>
      <w:r w:rsidRPr="00274CC7">
        <w:rPr>
          <w:rFonts w:asciiTheme="minorHAnsi" w:hAnsiTheme="minorHAnsi" w:cstheme="minorHAnsi"/>
          <w:spacing w:val="-9"/>
          <w:sz w:val="22"/>
          <w:szCs w:val="22"/>
        </w:rPr>
        <w:t xml:space="preserve"> </w:t>
      </w:r>
      <w:r w:rsidRPr="00274CC7">
        <w:rPr>
          <w:rFonts w:asciiTheme="minorHAnsi" w:hAnsiTheme="minorHAnsi" w:cstheme="minorHAnsi"/>
          <w:sz w:val="22"/>
          <w:szCs w:val="22"/>
        </w:rPr>
        <w:t>requirements, country needs, global priorities and partners’ and donors’</w:t>
      </w:r>
      <w:r w:rsidRPr="00274CC7">
        <w:rPr>
          <w:rFonts w:asciiTheme="minorHAnsi" w:hAnsiTheme="minorHAnsi" w:cstheme="minorHAnsi"/>
          <w:spacing w:val="-15"/>
          <w:sz w:val="22"/>
          <w:szCs w:val="22"/>
        </w:rPr>
        <w:t xml:space="preserve"> </w:t>
      </w:r>
      <w:r w:rsidRPr="00274CC7">
        <w:rPr>
          <w:rFonts w:asciiTheme="minorHAnsi" w:hAnsiTheme="minorHAnsi" w:cstheme="minorHAnsi"/>
          <w:sz w:val="22"/>
          <w:szCs w:val="22"/>
        </w:rPr>
        <w:t>policies. Relevance will be assessed on a six-point scale, as described in</w:t>
      </w:r>
      <w:r w:rsidR="001D70AD">
        <w:rPr>
          <w:rFonts w:asciiTheme="minorHAnsi" w:hAnsiTheme="minorHAnsi" w:cstheme="minorHAnsi"/>
          <w:sz w:val="22"/>
          <w:szCs w:val="22"/>
        </w:rPr>
        <w:t xml:space="preserve"> </w:t>
      </w:r>
      <w:hyperlink w:anchor="_Annex_1._Summary" w:history="1">
        <w:r w:rsidR="001D70AD" w:rsidRPr="006A656E">
          <w:rPr>
            <w:rStyle w:val="Hyperlink"/>
            <w:rFonts w:asciiTheme="minorHAnsi" w:hAnsiTheme="minorHAnsi" w:cstheme="minorHAnsi"/>
            <w:sz w:val="22"/>
            <w:szCs w:val="22"/>
          </w:rPr>
          <w:t>Annex 1</w:t>
        </w:r>
      </w:hyperlink>
      <w:r w:rsidRPr="00274CC7">
        <w:rPr>
          <w:rFonts w:asciiTheme="minorHAnsi" w:hAnsiTheme="minorHAnsi" w:cstheme="minorHAnsi"/>
          <w:sz w:val="22"/>
          <w:szCs w:val="22"/>
        </w:rPr>
        <w:t>.</w:t>
      </w:r>
    </w:p>
    <w:p w14:paraId="161F8DD0" w14:textId="77777777" w:rsidR="007A1F8A" w:rsidRPr="000B0855" w:rsidRDefault="007A1F8A" w:rsidP="007A1F8A">
      <w:pPr>
        <w:pStyle w:val="BodyText"/>
        <w:rPr>
          <w:rFonts w:asciiTheme="minorHAnsi" w:hAnsiTheme="minorHAnsi" w:cstheme="minorHAnsi"/>
          <w:sz w:val="22"/>
          <w:szCs w:val="22"/>
        </w:rPr>
      </w:pPr>
    </w:p>
    <w:p w14:paraId="6EE0FDA4" w14:textId="7278E69A" w:rsidR="000F7A01" w:rsidRDefault="001D70AD" w:rsidP="000F7A01">
      <w:pPr>
        <w:pStyle w:val="BodyText"/>
        <w:jc w:val="both"/>
        <w:rPr>
          <w:rFonts w:asciiTheme="minorHAnsi" w:eastAsia="Times New Roman" w:hAnsiTheme="minorHAnsi" w:cstheme="minorHAnsi"/>
          <w:sz w:val="22"/>
          <w:szCs w:val="22"/>
        </w:rPr>
      </w:pPr>
      <w:r>
        <w:rPr>
          <w:rFonts w:asciiTheme="minorHAnsi" w:hAnsiTheme="minorHAnsi" w:cstheme="minorHAnsi"/>
          <w:sz w:val="22"/>
          <w:szCs w:val="22"/>
        </w:rPr>
        <w:t>T</w:t>
      </w:r>
      <w:r w:rsidR="007A1F8A" w:rsidRPr="000B0855">
        <w:rPr>
          <w:rFonts w:asciiTheme="minorHAnsi" w:hAnsiTheme="minorHAnsi" w:cstheme="minorHAnsi"/>
          <w:sz w:val="22"/>
          <w:szCs w:val="22"/>
        </w:rPr>
        <w:t>he A&amp;L Project is not responsive to any single countr</w:t>
      </w:r>
      <w:r w:rsidR="00274CC7" w:rsidRPr="000B0855">
        <w:rPr>
          <w:rFonts w:asciiTheme="minorHAnsi" w:hAnsiTheme="minorHAnsi" w:cstheme="minorHAnsi"/>
          <w:sz w:val="22"/>
          <w:szCs w:val="22"/>
        </w:rPr>
        <w:t xml:space="preserve">y´s </w:t>
      </w:r>
      <w:r w:rsidR="007A1F8A" w:rsidRPr="000B0855">
        <w:rPr>
          <w:rFonts w:asciiTheme="minorHAnsi" w:hAnsiTheme="minorHAnsi" w:cstheme="minorHAnsi"/>
          <w:sz w:val="22"/>
          <w:szCs w:val="22"/>
        </w:rPr>
        <w:t xml:space="preserve">needs. It is </w:t>
      </w:r>
      <w:r w:rsidR="00274CC7" w:rsidRPr="000B0855">
        <w:rPr>
          <w:rFonts w:asciiTheme="minorHAnsi" w:hAnsiTheme="minorHAnsi" w:cstheme="minorHAnsi"/>
          <w:sz w:val="22"/>
          <w:szCs w:val="22"/>
        </w:rPr>
        <w:t xml:space="preserve">however </w:t>
      </w:r>
      <w:r w:rsidR="007A1F8A" w:rsidRPr="000B0855">
        <w:rPr>
          <w:rFonts w:asciiTheme="minorHAnsi" w:hAnsiTheme="minorHAnsi" w:cstheme="minorHAnsi"/>
          <w:sz w:val="22"/>
          <w:szCs w:val="22"/>
        </w:rPr>
        <w:t>in l</w:t>
      </w:r>
      <w:r w:rsidR="00274CC7" w:rsidRPr="000B0855">
        <w:rPr>
          <w:rFonts w:asciiTheme="minorHAnsi" w:hAnsiTheme="minorHAnsi" w:cstheme="minorHAnsi"/>
          <w:sz w:val="22"/>
          <w:szCs w:val="22"/>
        </w:rPr>
        <w:t>ine with each country´</w:t>
      </w:r>
      <w:r w:rsidRPr="000B0855">
        <w:rPr>
          <w:rFonts w:asciiTheme="minorHAnsi" w:hAnsiTheme="minorHAnsi" w:cstheme="minorHAnsi"/>
          <w:sz w:val="22"/>
          <w:szCs w:val="22"/>
        </w:rPr>
        <w:t>s national</w:t>
      </w:r>
      <w:r w:rsidR="00274CC7" w:rsidRPr="000B0855">
        <w:rPr>
          <w:rFonts w:asciiTheme="minorHAnsi" w:hAnsiTheme="minorHAnsi" w:cstheme="minorHAnsi"/>
          <w:sz w:val="22"/>
          <w:szCs w:val="22"/>
        </w:rPr>
        <w:t xml:space="preserve"> priorities through the Child Project documents that were designed to be responsive to national priorities. Each of the countries participating in one of the other countries has experienced partial or complete policy shifts over the last </w:t>
      </w:r>
      <w:r w:rsidR="0007353C" w:rsidRPr="000B0855">
        <w:rPr>
          <w:rFonts w:asciiTheme="minorHAnsi" w:hAnsiTheme="minorHAnsi" w:cstheme="minorHAnsi"/>
          <w:sz w:val="22"/>
          <w:szCs w:val="22"/>
        </w:rPr>
        <w:t xml:space="preserve">four years. Liberia, for example has become very pro-business and is </w:t>
      </w:r>
      <w:r w:rsidR="0007353C" w:rsidRPr="000B0855">
        <w:rPr>
          <w:rFonts w:asciiTheme="minorHAnsi" w:hAnsiTheme="minorHAnsi" w:cstheme="minorHAnsi"/>
          <w:sz w:val="22"/>
          <w:szCs w:val="22"/>
        </w:rPr>
        <w:lastRenderedPageBreak/>
        <w:t>seeking a good deal for smallholders. The project is well aligned to that position to assist with that policy direction.</w:t>
      </w:r>
      <w:r w:rsidR="0007353C" w:rsidRPr="000B0855">
        <w:rPr>
          <w:rFonts w:asciiTheme="minorHAnsi" w:eastAsia="Times New Roman" w:hAnsiTheme="minorHAnsi" w:cstheme="minorHAnsi"/>
          <w:iCs/>
          <w:sz w:val="22"/>
          <w:szCs w:val="22"/>
        </w:rPr>
        <w:t xml:space="preserve"> The project </w:t>
      </w:r>
      <w:r w:rsidR="00D337FB" w:rsidRPr="00981FE1">
        <w:rPr>
          <w:rFonts w:asciiTheme="minorHAnsi" w:eastAsia="Times New Roman" w:hAnsiTheme="minorHAnsi" w:cstheme="minorHAnsi"/>
          <w:iCs/>
          <w:sz w:val="22"/>
          <w:szCs w:val="22"/>
        </w:rPr>
        <w:t>is</w:t>
      </w:r>
      <w:r w:rsidR="0007353C" w:rsidRPr="00981FE1">
        <w:rPr>
          <w:rFonts w:asciiTheme="minorHAnsi" w:eastAsia="Times New Roman" w:hAnsiTheme="minorHAnsi" w:cstheme="minorHAnsi"/>
          <w:sz w:val="22"/>
          <w:szCs w:val="22"/>
        </w:rPr>
        <w:t xml:space="preserve"> also aligned with</w:t>
      </w:r>
      <w:r w:rsidR="0007077A" w:rsidRPr="000E5782">
        <w:rPr>
          <w:rFonts w:asciiTheme="minorHAnsi" w:eastAsia="Times New Roman" w:hAnsiTheme="minorHAnsi" w:cstheme="minorHAnsi"/>
          <w:sz w:val="22"/>
          <w:szCs w:val="22"/>
        </w:rPr>
        <w:t>.</w:t>
      </w:r>
      <w:r w:rsidR="000F7A01">
        <w:rPr>
          <w:rFonts w:asciiTheme="minorHAnsi" w:eastAsia="Times New Roman" w:hAnsiTheme="minorHAnsi" w:cstheme="minorHAnsi"/>
          <w:sz w:val="22"/>
          <w:szCs w:val="22"/>
        </w:rPr>
        <w:t>t</w:t>
      </w:r>
      <w:r w:rsidR="000F7A01" w:rsidRPr="000F7A01">
        <w:rPr>
          <w:rFonts w:asciiTheme="minorHAnsi" w:eastAsia="Times New Roman" w:hAnsiTheme="minorHAnsi" w:cstheme="minorHAnsi"/>
          <w:sz w:val="22"/>
          <w:szCs w:val="22"/>
        </w:rPr>
        <w:t>he following development setting and Signature Solutions of the 2018-2021 UNDP SP:</w:t>
      </w:r>
    </w:p>
    <w:p w14:paraId="1ACA6B4C" w14:textId="77777777" w:rsidR="000F7A01" w:rsidRPr="000F7A01" w:rsidRDefault="000F7A01" w:rsidP="000F7A01">
      <w:pPr>
        <w:pStyle w:val="BodyText"/>
        <w:jc w:val="both"/>
        <w:rPr>
          <w:rFonts w:asciiTheme="minorHAnsi" w:eastAsia="Times New Roman" w:hAnsiTheme="minorHAnsi" w:cstheme="minorHAnsi"/>
          <w:sz w:val="22"/>
          <w:szCs w:val="22"/>
        </w:rPr>
      </w:pPr>
    </w:p>
    <w:p w14:paraId="764F8AC7" w14:textId="0C05F6A9" w:rsidR="000F7A01" w:rsidRPr="000F7A01" w:rsidRDefault="000F7A01" w:rsidP="000F7A01">
      <w:pPr>
        <w:pStyle w:val="BodyText"/>
        <w:jc w:val="both"/>
        <w:rPr>
          <w:rFonts w:asciiTheme="minorHAnsi" w:eastAsia="Times New Roman" w:hAnsiTheme="minorHAnsi" w:cstheme="minorHAnsi"/>
          <w:sz w:val="22"/>
          <w:szCs w:val="22"/>
        </w:rPr>
      </w:pPr>
      <w:r w:rsidRPr="000F7A01">
        <w:rPr>
          <w:rFonts w:asciiTheme="minorHAnsi" w:eastAsia="Times New Roman" w:hAnsiTheme="minorHAnsi" w:cstheme="minorHAnsi"/>
          <w:sz w:val="22"/>
          <w:szCs w:val="22"/>
        </w:rPr>
        <w:t>Development setting 2) Accelerate structural transformations for sustainable development</w:t>
      </w:r>
      <w:r>
        <w:rPr>
          <w:rFonts w:asciiTheme="minorHAnsi" w:eastAsia="Times New Roman" w:hAnsiTheme="minorHAnsi" w:cstheme="minorHAnsi"/>
          <w:sz w:val="22"/>
          <w:szCs w:val="22"/>
        </w:rPr>
        <w:t xml:space="preserve"> b</w:t>
      </w:r>
      <w:r w:rsidRPr="000F7A01">
        <w:rPr>
          <w:rFonts w:asciiTheme="minorHAnsi" w:eastAsia="Times New Roman" w:hAnsiTheme="minorHAnsi" w:cstheme="minorHAnsi"/>
          <w:sz w:val="22"/>
          <w:szCs w:val="22"/>
        </w:rPr>
        <w:t>y generating knowledge and improving knowledge sharing and South-South cooperation, by enabling the coordination and integration between organizations working on production, financing and demand of commodity supply chains, and by facilitating new partnerships and advocating for sustainable commodity supply chains through communications activities, the A&amp;L project contributed to accelerating structural transformations for sustainable development.</w:t>
      </w:r>
    </w:p>
    <w:p w14:paraId="648BFCCF" w14:textId="77777777" w:rsidR="000F7A01" w:rsidRPr="000F7A01" w:rsidRDefault="000F7A01" w:rsidP="000F7A01">
      <w:pPr>
        <w:pStyle w:val="BodyText"/>
        <w:jc w:val="both"/>
        <w:rPr>
          <w:rFonts w:asciiTheme="minorHAnsi" w:eastAsia="Times New Roman" w:hAnsiTheme="minorHAnsi" w:cstheme="minorHAnsi"/>
          <w:sz w:val="22"/>
          <w:szCs w:val="22"/>
        </w:rPr>
      </w:pPr>
    </w:p>
    <w:p w14:paraId="696E8F9A" w14:textId="77777777" w:rsidR="000F7A01" w:rsidRPr="000F7A01" w:rsidRDefault="000F7A01" w:rsidP="000F7A01">
      <w:pPr>
        <w:pStyle w:val="BodyText"/>
        <w:jc w:val="both"/>
        <w:rPr>
          <w:rFonts w:asciiTheme="minorHAnsi" w:eastAsia="Times New Roman" w:hAnsiTheme="minorHAnsi" w:cstheme="minorHAnsi"/>
          <w:sz w:val="22"/>
          <w:szCs w:val="22"/>
        </w:rPr>
      </w:pPr>
      <w:r w:rsidRPr="000F7A01">
        <w:rPr>
          <w:rFonts w:asciiTheme="minorHAnsi" w:eastAsia="Times New Roman" w:hAnsiTheme="minorHAnsi" w:cstheme="minorHAnsi"/>
          <w:sz w:val="22"/>
          <w:szCs w:val="22"/>
        </w:rPr>
        <w:t xml:space="preserve">The project was aligned with Signature Solution 4) Promote nature-based solutions for a sustainable planet and its Output 2.4.1) Gender-responsive legal and regulatory frameworks, policies and institutions strengthened, and solutions adopted, to address conservation, sustainable use and equitable benefit sharing of natural resources, in line with international conventions and national legislation. </w:t>
      </w:r>
    </w:p>
    <w:p w14:paraId="5187F131" w14:textId="77777777" w:rsidR="000F7A01" w:rsidRPr="000F7A01" w:rsidRDefault="000F7A01" w:rsidP="000F7A01">
      <w:pPr>
        <w:pStyle w:val="BodyText"/>
        <w:jc w:val="both"/>
        <w:rPr>
          <w:rFonts w:asciiTheme="minorHAnsi" w:eastAsia="Times New Roman" w:hAnsiTheme="minorHAnsi" w:cstheme="minorHAnsi"/>
          <w:sz w:val="22"/>
          <w:szCs w:val="22"/>
        </w:rPr>
      </w:pPr>
    </w:p>
    <w:p w14:paraId="6BFFB0E3" w14:textId="673CD45E" w:rsidR="000F7A01" w:rsidRDefault="000F7A01" w:rsidP="000F7A01">
      <w:pPr>
        <w:pStyle w:val="BodyText"/>
        <w:jc w:val="both"/>
        <w:rPr>
          <w:rFonts w:asciiTheme="minorHAnsi" w:eastAsia="Times New Roman" w:hAnsiTheme="minorHAnsi" w:cstheme="minorHAnsi"/>
          <w:sz w:val="22"/>
          <w:szCs w:val="22"/>
        </w:rPr>
      </w:pPr>
      <w:r w:rsidRPr="000F7A01">
        <w:rPr>
          <w:rFonts w:asciiTheme="minorHAnsi" w:eastAsia="Times New Roman" w:hAnsiTheme="minorHAnsi" w:cstheme="minorHAnsi"/>
          <w:sz w:val="22"/>
          <w:szCs w:val="22"/>
        </w:rPr>
        <w:t>The A&amp;L project directly contributed to the promotion of nature-based solutions for a sustainable planet, by supporting sustainable commodity supply chains and generating and facilitating lessons and knowledge exchange about it, especially through its Community of Practice, the Green Commodities Community. The coordination and integration between the child projects and partners also enabled by the project allowed more effective solutions for sustainable commodities and green and inclusive value chains.</w:t>
      </w:r>
    </w:p>
    <w:p w14:paraId="564CBBDF" w14:textId="77777777" w:rsidR="000F7A01" w:rsidRDefault="000F7A01" w:rsidP="001D70AD">
      <w:pPr>
        <w:pStyle w:val="BodyText"/>
        <w:jc w:val="both"/>
        <w:rPr>
          <w:rFonts w:asciiTheme="minorHAnsi" w:eastAsia="Times New Roman" w:hAnsiTheme="minorHAnsi" w:cstheme="minorHAnsi"/>
          <w:sz w:val="22"/>
          <w:szCs w:val="22"/>
        </w:rPr>
      </w:pPr>
    </w:p>
    <w:p w14:paraId="53901F9B" w14:textId="23339244" w:rsidR="007A1F8A" w:rsidRPr="000B0855" w:rsidRDefault="0007077A" w:rsidP="001D70AD">
      <w:pPr>
        <w:pStyle w:val="BodyText"/>
        <w:jc w:val="both"/>
        <w:rPr>
          <w:rFonts w:asciiTheme="minorHAnsi" w:eastAsia="Times New Roman" w:hAnsiTheme="minorHAnsi" w:cstheme="minorHAnsi"/>
          <w:iCs/>
          <w:sz w:val="22"/>
          <w:szCs w:val="22"/>
        </w:rPr>
      </w:pPr>
      <w:r w:rsidRPr="000E5782">
        <w:rPr>
          <w:rFonts w:asciiTheme="minorHAnsi" w:eastAsia="Times New Roman" w:hAnsiTheme="minorHAnsi" w:cstheme="minorHAnsi"/>
          <w:sz w:val="22"/>
          <w:szCs w:val="22"/>
        </w:rPr>
        <w:t xml:space="preserve">Because it is a global project, there is no </w:t>
      </w:r>
      <w:r w:rsidR="00115A97" w:rsidRPr="000E5782">
        <w:rPr>
          <w:rFonts w:asciiTheme="minorHAnsi" w:eastAsia="Times New Roman" w:hAnsiTheme="minorHAnsi" w:cstheme="minorHAnsi"/>
          <w:sz w:val="22"/>
          <w:szCs w:val="22"/>
        </w:rPr>
        <w:t>UNDAF</w:t>
      </w:r>
      <w:r w:rsidR="00C47EE3" w:rsidRPr="000B0855">
        <w:rPr>
          <w:rFonts w:asciiTheme="minorHAnsi" w:eastAsia="Times New Roman" w:hAnsiTheme="minorHAnsi" w:cstheme="minorHAnsi"/>
          <w:iCs/>
          <w:sz w:val="22"/>
          <w:szCs w:val="22"/>
        </w:rPr>
        <w:t xml:space="preserve">. The commodities listed for each country are practically national symbols and emblematic of each country. </w:t>
      </w:r>
    </w:p>
    <w:p w14:paraId="3BE5B6EA" w14:textId="76A705D9" w:rsidR="00C47EE3" w:rsidRPr="000B0855" w:rsidRDefault="00C47EE3" w:rsidP="007A1F8A">
      <w:pPr>
        <w:pStyle w:val="BodyText"/>
        <w:rPr>
          <w:rFonts w:asciiTheme="minorHAnsi" w:eastAsia="Times New Roman" w:hAnsiTheme="minorHAnsi" w:cstheme="minorHAnsi"/>
          <w:iCs/>
          <w:sz w:val="22"/>
          <w:szCs w:val="22"/>
        </w:rPr>
      </w:pPr>
    </w:p>
    <w:p w14:paraId="009843AE" w14:textId="0C7EF8F9" w:rsidR="00C47EE3" w:rsidRPr="000B0855" w:rsidRDefault="001D70AD" w:rsidP="001D70AD">
      <w:pPr>
        <w:pStyle w:val="BodyText"/>
        <w:jc w:val="both"/>
        <w:rPr>
          <w:rFonts w:asciiTheme="minorHAnsi" w:hAnsiTheme="minorHAnsi" w:cstheme="minorHAnsi"/>
          <w:iCs/>
          <w:sz w:val="22"/>
          <w:szCs w:val="22"/>
        </w:rPr>
      </w:pPr>
      <w:r>
        <w:rPr>
          <w:rFonts w:asciiTheme="minorHAnsi" w:eastAsia="Times New Roman" w:hAnsiTheme="minorHAnsi" w:cstheme="minorHAnsi"/>
          <w:iCs/>
          <w:sz w:val="22"/>
          <w:szCs w:val="22"/>
        </w:rPr>
        <w:t>T</w:t>
      </w:r>
      <w:r w:rsidR="000B0855">
        <w:rPr>
          <w:rFonts w:asciiTheme="minorHAnsi" w:eastAsia="Times New Roman" w:hAnsiTheme="minorHAnsi" w:cstheme="minorHAnsi"/>
          <w:iCs/>
          <w:sz w:val="22"/>
          <w:szCs w:val="22"/>
        </w:rPr>
        <w:t>he project document outlines the conformity to international</w:t>
      </w:r>
      <w:r w:rsidR="007802EC">
        <w:rPr>
          <w:rFonts w:asciiTheme="minorHAnsi" w:eastAsia="Times New Roman" w:hAnsiTheme="minorHAnsi" w:cstheme="minorHAnsi"/>
          <w:iCs/>
          <w:sz w:val="22"/>
          <w:szCs w:val="22"/>
        </w:rPr>
        <w:t xml:space="preserve"> and national policies and programmes.</w:t>
      </w:r>
      <w:r w:rsidR="000B0855">
        <w:rPr>
          <w:rFonts w:asciiTheme="minorHAnsi" w:eastAsia="Times New Roman" w:hAnsiTheme="minorHAnsi" w:cstheme="minorHAnsi"/>
          <w:iCs/>
          <w:sz w:val="22"/>
          <w:szCs w:val="22"/>
        </w:rPr>
        <w:t xml:space="preserve"> </w:t>
      </w:r>
      <w:r w:rsidR="000B0855" w:rsidRPr="000B0855">
        <w:rPr>
          <w:rFonts w:asciiTheme="minorHAnsi" w:eastAsia="Times New Roman" w:hAnsiTheme="minorHAnsi" w:cstheme="minorHAnsi"/>
          <w:iCs/>
          <w:sz w:val="22"/>
          <w:szCs w:val="22"/>
        </w:rPr>
        <w:t>Details of the consistency of the production, demand, transactions and Brazil child projects with national strategies, policies, and national reports under relevant Conventions in Brazil, Paraguay, Indonesia, and Liberia can be found in the respective CEO Endorsements. The IAP Program as a whole is</w:t>
      </w:r>
      <w:r w:rsidR="000B0855">
        <w:rPr>
          <w:rFonts w:asciiTheme="minorHAnsi" w:eastAsia="Times New Roman" w:hAnsiTheme="minorHAnsi" w:cstheme="minorHAnsi"/>
          <w:iCs/>
          <w:sz w:val="22"/>
          <w:szCs w:val="22"/>
        </w:rPr>
        <w:t xml:space="preserve"> </w:t>
      </w:r>
      <w:r w:rsidR="000B0855" w:rsidRPr="000B0855">
        <w:rPr>
          <w:rFonts w:asciiTheme="minorHAnsi" w:eastAsia="Times New Roman" w:hAnsiTheme="minorHAnsi" w:cstheme="minorHAnsi"/>
          <w:iCs/>
          <w:sz w:val="22"/>
          <w:szCs w:val="22"/>
        </w:rPr>
        <w:t xml:space="preserve">consistent with GEF's strategic goals, as well as with global commitments made under different environmental Conventions and key agreements. This program will help address the common goal of reducing and avoiding the loss of forest resources, and will support the achievements of various international goals, including the Aichi Biodiversity Targets, REDD+ activities, UNFF Global Objective on Forests, the objectives set forth in the 2015 New York Declaration on Forests, and the commitments made at the 21st UNFCCC Conference of the Parties in Paris in 2015. The IAP will indirectly support the achievement of the several of the Sustainable Development Goals (SDGs), namely: </w:t>
      </w:r>
      <w:r w:rsidR="000C7194">
        <w:rPr>
          <w:rFonts w:asciiTheme="minorHAnsi" w:eastAsia="Times New Roman" w:hAnsiTheme="minorHAnsi" w:cstheme="minorHAnsi"/>
          <w:iCs/>
          <w:sz w:val="22"/>
          <w:szCs w:val="22"/>
        </w:rPr>
        <w:t xml:space="preserve">SDG1: No poverty; </w:t>
      </w:r>
      <w:r w:rsidR="000B0855" w:rsidRPr="000B0855">
        <w:rPr>
          <w:rFonts w:asciiTheme="minorHAnsi" w:eastAsia="Times New Roman" w:hAnsiTheme="minorHAnsi" w:cstheme="minorHAnsi"/>
          <w:iCs/>
          <w:sz w:val="22"/>
          <w:szCs w:val="22"/>
        </w:rPr>
        <w:t>SDG2: End hunger, achieve food security and improved nutrition, and promote sustainable agriculture; SDG4: Ensure inclusive and quality education for all and promote lifelong learning; SDG 5: Achieve gender equality and empower all women and girls; SDG8: Promote sustained, inclusive and sustainable economic growth, full and productive employment, and decent work for all; and directly support: SDG12: Ensure sustainable consumption and production patterns; SDG13: Take urgent action to combat climate change and its impacts; SDG15: Sustainably manage forests, combat desertification, halt and reverse land</w:t>
      </w:r>
      <w:r w:rsidR="000B0855">
        <w:rPr>
          <w:rFonts w:asciiTheme="minorHAnsi" w:eastAsia="Times New Roman" w:hAnsiTheme="minorHAnsi" w:cstheme="minorHAnsi"/>
          <w:iCs/>
          <w:sz w:val="22"/>
          <w:szCs w:val="22"/>
        </w:rPr>
        <w:t xml:space="preserve"> </w:t>
      </w:r>
      <w:r w:rsidR="000B0855" w:rsidRPr="000B0855">
        <w:rPr>
          <w:rFonts w:asciiTheme="minorHAnsi" w:eastAsia="Times New Roman" w:hAnsiTheme="minorHAnsi" w:cstheme="minorHAnsi"/>
          <w:iCs/>
          <w:sz w:val="22"/>
          <w:szCs w:val="22"/>
        </w:rPr>
        <w:t xml:space="preserve"> degradation, halt biodiversity loss</w:t>
      </w:r>
      <w:r w:rsidR="000C7194">
        <w:rPr>
          <w:rFonts w:asciiTheme="minorHAnsi" w:eastAsia="Times New Roman" w:hAnsiTheme="minorHAnsi" w:cstheme="minorHAnsi"/>
          <w:iCs/>
          <w:sz w:val="22"/>
          <w:szCs w:val="22"/>
        </w:rPr>
        <w:t xml:space="preserve">; SDG 17: </w:t>
      </w:r>
      <w:r w:rsidR="008B4EFA">
        <w:rPr>
          <w:rFonts w:asciiTheme="minorHAnsi" w:eastAsia="Times New Roman" w:hAnsiTheme="minorHAnsi" w:cstheme="minorHAnsi"/>
          <w:iCs/>
          <w:sz w:val="22"/>
          <w:szCs w:val="22"/>
        </w:rPr>
        <w:t>Partnerships for the goals</w:t>
      </w:r>
      <w:r w:rsidR="006638DC">
        <w:rPr>
          <w:rFonts w:asciiTheme="minorHAnsi" w:eastAsia="Times New Roman" w:hAnsiTheme="minorHAnsi" w:cstheme="minorHAnsi"/>
          <w:iCs/>
          <w:sz w:val="22"/>
          <w:szCs w:val="22"/>
        </w:rPr>
        <w:t xml:space="preserve"> </w:t>
      </w:r>
    </w:p>
    <w:p w14:paraId="3CBB5B16" w14:textId="7AA22385" w:rsidR="0007353C" w:rsidRPr="000B0855" w:rsidRDefault="0007353C" w:rsidP="007A1F8A">
      <w:pPr>
        <w:pStyle w:val="BodyText"/>
        <w:rPr>
          <w:rFonts w:asciiTheme="minorHAnsi" w:hAnsiTheme="minorHAnsi" w:cstheme="minorHAnsi"/>
          <w:sz w:val="22"/>
          <w:szCs w:val="22"/>
        </w:rPr>
      </w:pPr>
    </w:p>
    <w:p w14:paraId="5B195C3E" w14:textId="11643997" w:rsidR="007A1F8A" w:rsidRPr="00274CC7" w:rsidRDefault="000B0855" w:rsidP="007A1F8A">
      <w:pPr>
        <w:pStyle w:val="BodyText"/>
        <w:rPr>
          <w:rFonts w:asciiTheme="minorHAnsi" w:hAnsiTheme="minorHAnsi" w:cstheme="minorHAnsi"/>
          <w:sz w:val="22"/>
          <w:szCs w:val="22"/>
        </w:rPr>
      </w:pPr>
      <w:r>
        <w:rPr>
          <w:rFonts w:asciiTheme="minorHAnsi" w:hAnsiTheme="minorHAnsi" w:cstheme="minorHAnsi"/>
          <w:sz w:val="22"/>
          <w:szCs w:val="22"/>
        </w:rPr>
        <w:t xml:space="preserve">Conclusion: the project is aligned with all relevant </w:t>
      </w:r>
      <w:r w:rsidR="006638DC">
        <w:rPr>
          <w:rFonts w:asciiTheme="minorHAnsi" w:hAnsiTheme="minorHAnsi" w:cstheme="minorHAnsi"/>
          <w:sz w:val="22"/>
          <w:szCs w:val="22"/>
        </w:rPr>
        <w:t>national</w:t>
      </w:r>
      <w:r>
        <w:rPr>
          <w:rFonts w:asciiTheme="minorHAnsi" w:hAnsiTheme="minorHAnsi" w:cstheme="minorHAnsi"/>
          <w:sz w:val="22"/>
          <w:szCs w:val="22"/>
        </w:rPr>
        <w:t xml:space="preserve"> priorities</w:t>
      </w:r>
      <w:r w:rsidR="006638DC">
        <w:rPr>
          <w:rFonts w:asciiTheme="minorHAnsi" w:hAnsiTheme="minorHAnsi" w:cstheme="minorHAnsi"/>
          <w:sz w:val="22"/>
          <w:szCs w:val="22"/>
        </w:rPr>
        <w:t>. A ranking of 6=HS is warranted.</w:t>
      </w:r>
    </w:p>
    <w:p w14:paraId="76F495AE" w14:textId="77777777" w:rsidR="007A1F8A" w:rsidRPr="00274CC7" w:rsidRDefault="007A1F8A" w:rsidP="007A1F8A">
      <w:pPr>
        <w:pStyle w:val="BodyText"/>
        <w:rPr>
          <w:rFonts w:asciiTheme="minorHAnsi" w:hAnsiTheme="minorHAnsi" w:cstheme="minorHAnsi"/>
          <w:sz w:val="22"/>
          <w:szCs w:val="22"/>
        </w:rPr>
      </w:pPr>
    </w:p>
    <w:p w14:paraId="44344078" w14:textId="77777777" w:rsidR="007A1F8A" w:rsidRDefault="007A1F8A" w:rsidP="007A1F8A">
      <w:pPr>
        <w:pStyle w:val="BodyText"/>
        <w:ind w:left="960"/>
      </w:pPr>
    </w:p>
    <w:p w14:paraId="4EDAA422" w14:textId="4E048FFB" w:rsidR="007D3336" w:rsidRPr="007D3336" w:rsidRDefault="007D3336" w:rsidP="007D3336">
      <w:pPr>
        <w:pStyle w:val="Heading3"/>
        <w:rPr>
          <w:sz w:val="22"/>
          <w:szCs w:val="22"/>
        </w:rPr>
      </w:pPr>
      <w:bookmarkStart w:id="77" w:name="_Toc96772496"/>
      <w:r w:rsidRPr="007D3336">
        <w:rPr>
          <w:sz w:val="22"/>
          <w:szCs w:val="22"/>
        </w:rPr>
        <w:lastRenderedPageBreak/>
        <w:t>4.3.3</w:t>
      </w:r>
      <w:r w:rsidRPr="007D3336">
        <w:rPr>
          <w:sz w:val="22"/>
          <w:szCs w:val="22"/>
        </w:rPr>
        <w:tab/>
        <w:t>Effectiveness (*)</w:t>
      </w:r>
      <w:bookmarkEnd w:id="77"/>
    </w:p>
    <w:p w14:paraId="7B32E936" w14:textId="77777777" w:rsidR="007D3336" w:rsidRDefault="007D3336" w:rsidP="007D3336">
      <w:pPr>
        <w:pStyle w:val="BodyText"/>
        <w:spacing w:after="120"/>
        <w:ind w:right="86"/>
        <w:rPr>
          <w:rFonts w:asciiTheme="minorHAnsi" w:hAnsiTheme="minorHAnsi" w:cstheme="minorHAnsi"/>
          <w:sz w:val="22"/>
          <w:szCs w:val="22"/>
        </w:rPr>
      </w:pPr>
    </w:p>
    <w:p w14:paraId="4B52424A" w14:textId="10182FDD" w:rsidR="007D3336" w:rsidRPr="007D3FE4" w:rsidRDefault="007D3336" w:rsidP="00095891">
      <w:pPr>
        <w:pStyle w:val="BodyText"/>
        <w:spacing w:after="120"/>
        <w:ind w:right="86"/>
        <w:jc w:val="both"/>
        <w:rPr>
          <w:rFonts w:asciiTheme="minorHAnsi" w:hAnsiTheme="minorHAnsi" w:cstheme="minorHAnsi"/>
          <w:sz w:val="22"/>
          <w:szCs w:val="22"/>
        </w:rPr>
      </w:pPr>
      <w:r w:rsidRPr="007D3FE4">
        <w:rPr>
          <w:rFonts w:asciiTheme="minorHAnsi" w:hAnsiTheme="minorHAnsi" w:cstheme="minorHAnsi"/>
          <w:sz w:val="22"/>
          <w:szCs w:val="22"/>
        </w:rPr>
        <w:t>Effectiveness is the extent to which the project’s objectives were achieved or are expected to be achieved.</w:t>
      </w:r>
      <w:r w:rsidRPr="007D3FE4">
        <w:rPr>
          <w:rFonts w:asciiTheme="minorHAnsi" w:hAnsiTheme="minorHAnsi" w:cstheme="minorHAnsi"/>
          <w:spacing w:val="-11"/>
          <w:sz w:val="22"/>
          <w:szCs w:val="22"/>
        </w:rPr>
        <w:t xml:space="preserve"> </w:t>
      </w:r>
      <w:r w:rsidRPr="007D3FE4">
        <w:rPr>
          <w:rFonts w:asciiTheme="minorHAnsi" w:hAnsiTheme="minorHAnsi" w:cstheme="minorHAnsi"/>
          <w:sz w:val="22"/>
          <w:szCs w:val="22"/>
        </w:rPr>
        <w:t>Effectiveness</w:t>
      </w:r>
      <w:r w:rsidRPr="007D3FE4">
        <w:rPr>
          <w:rFonts w:asciiTheme="minorHAnsi" w:hAnsiTheme="minorHAnsi" w:cstheme="minorHAnsi"/>
          <w:spacing w:val="-9"/>
          <w:sz w:val="22"/>
          <w:szCs w:val="22"/>
        </w:rPr>
        <w:t xml:space="preserve"> </w:t>
      </w:r>
      <w:r w:rsidRPr="007D3FE4">
        <w:rPr>
          <w:rFonts w:asciiTheme="minorHAnsi" w:hAnsiTheme="minorHAnsi" w:cstheme="minorHAnsi"/>
          <w:sz w:val="22"/>
          <w:szCs w:val="22"/>
        </w:rPr>
        <w:t>is</w:t>
      </w:r>
      <w:r w:rsidRPr="007D3FE4">
        <w:rPr>
          <w:rFonts w:asciiTheme="minorHAnsi" w:hAnsiTheme="minorHAnsi" w:cstheme="minorHAnsi"/>
          <w:spacing w:val="-8"/>
          <w:sz w:val="22"/>
          <w:szCs w:val="22"/>
        </w:rPr>
        <w:t xml:space="preserve"> </w:t>
      </w:r>
      <w:r w:rsidRPr="007D3FE4">
        <w:rPr>
          <w:rFonts w:asciiTheme="minorHAnsi" w:hAnsiTheme="minorHAnsi" w:cstheme="minorHAnsi"/>
          <w:sz w:val="22"/>
          <w:szCs w:val="22"/>
        </w:rPr>
        <w:t>also</w:t>
      </w:r>
      <w:r w:rsidRPr="007D3FE4">
        <w:rPr>
          <w:rFonts w:asciiTheme="minorHAnsi" w:hAnsiTheme="minorHAnsi" w:cstheme="minorHAnsi"/>
          <w:spacing w:val="-7"/>
          <w:sz w:val="22"/>
          <w:szCs w:val="22"/>
        </w:rPr>
        <w:t xml:space="preserve"> </w:t>
      </w:r>
      <w:r w:rsidRPr="007D3FE4">
        <w:rPr>
          <w:rFonts w:asciiTheme="minorHAnsi" w:hAnsiTheme="minorHAnsi" w:cstheme="minorHAnsi"/>
          <w:sz w:val="22"/>
          <w:szCs w:val="22"/>
        </w:rPr>
        <w:t>used</w:t>
      </w:r>
      <w:r w:rsidRPr="007D3FE4">
        <w:rPr>
          <w:rFonts w:asciiTheme="minorHAnsi" w:hAnsiTheme="minorHAnsi" w:cstheme="minorHAnsi"/>
          <w:spacing w:val="-8"/>
          <w:sz w:val="22"/>
          <w:szCs w:val="22"/>
        </w:rPr>
        <w:t xml:space="preserve"> </w:t>
      </w:r>
      <w:r w:rsidRPr="007D3FE4">
        <w:rPr>
          <w:rFonts w:asciiTheme="minorHAnsi" w:hAnsiTheme="minorHAnsi" w:cstheme="minorHAnsi"/>
          <w:sz w:val="22"/>
          <w:szCs w:val="22"/>
        </w:rPr>
        <w:t>as</w:t>
      </w:r>
      <w:r w:rsidRPr="007D3FE4">
        <w:rPr>
          <w:rFonts w:asciiTheme="minorHAnsi" w:hAnsiTheme="minorHAnsi" w:cstheme="minorHAnsi"/>
          <w:spacing w:val="-8"/>
          <w:sz w:val="22"/>
          <w:szCs w:val="22"/>
        </w:rPr>
        <w:t xml:space="preserve"> </w:t>
      </w:r>
      <w:r w:rsidRPr="007D3FE4">
        <w:rPr>
          <w:rFonts w:asciiTheme="minorHAnsi" w:hAnsiTheme="minorHAnsi" w:cstheme="minorHAnsi"/>
          <w:sz w:val="22"/>
          <w:szCs w:val="22"/>
        </w:rPr>
        <w:t>an</w:t>
      </w:r>
      <w:r w:rsidRPr="007D3FE4">
        <w:rPr>
          <w:rFonts w:asciiTheme="minorHAnsi" w:hAnsiTheme="minorHAnsi" w:cstheme="minorHAnsi"/>
          <w:spacing w:val="-7"/>
          <w:sz w:val="22"/>
          <w:szCs w:val="22"/>
        </w:rPr>
        <w:t xml:space="preserve"> </w:t>
      </w:r>
      <w:r w:rsidRPr="007D3FE4">
        <w:rPr>
          <w:rFonts w:asciiTheme="minorHAnsi" w:hAnsiTheme="minorHAnsi" w:cstheme="minorHAnsi"/>
          <w:sz w:val="22"/>
          <w:szCs w:val="22"/>
        </w:rPr>
        <w:t>aggregate</w:t>
      </w:r>
      <w:r w:rsidRPr="007D3FE4">
        <w:rPr>
          <w:rFonts w:asciiTheme="minorHAnsi" w:hAnsiTheme="minorHAnsi" w:cstheme="minorHAnsi"/>
          <w:spacing w:val="-10"/>
          <w:sz w:val="22"/>
          <w:szCs w:val="22"/>
        </w:rPr>
        <w:t xml:space="preserve"> </w:t>
      </w:r>
      <w:r w:rsidRPr="007D3FE4">
        <w:rPr>
          <w:rFonts w:asciiTheme="minorHAnsi" w:hAnsiTheme="minorHAnsi" w:cstheme="minorHAnsi"/>
          <w:sz w:val="22"/>
          <w:szCs w:val="22"/>
        </w:rPr>
        <w:t>measure</w:t>
      </w:r>
      <w:r w:rsidRPr="007D3FE4">
        <w:rPr>
          <w:rFonts w:asciiTheme="minorHAnsi" w:hAnsiTheme="minorHAnsi" w:cstheme="minorHAnsi"/>
          <w:spacing w:val="-8"/>
          <w:sz w:val="22"/>
          <w:szCs w:val="22"/>
        </w:rPr>
        <w:t xml:space="preserve"> </w:t>
      </w:r>
      <w:r w:rsidRPr="007D3FE4">
        <w:rPr>
          <w:rFonts w:asciiTheme="minorHAnsi" w:hAnsiTheme="minorHAnsi" w:cstheme="minorHAnsi"/>
          <w:sz w:val="22"/>
          <w:szCs w:val="22"/>
        </w:rPr>
        <w:t>of</w:t>
      </w:r>
      <w:r w:rsidRPr="007D3FE4">
        <w:rPr>
          <w:rFonts w:asciiTheme="minorHAnsi" w:hAnsiTheme="minorHAnsi" w:cstheme="minorHAnsi"/>
          <w:spacing w:val="-10"/>
          <w:sz w:val="22"/>
          <w:szCs w:val="22"/>
        </w:rPr>
        <w:t xml:space="preserve"> </w:t>
      </w:r>
      <w:r w:rsidRPr="007D3FE4">
        <w:rPr>
          <w:rFonts w:asciiTheme="minorHAnsi" w:hAnsiTheme="minorHAnsi" w:cstheme="minorHAnsi"/>
          <w:sz w:val="22"/>
          <w:szCs w:val="22"/>
        </w:rPr>
        <w:t>(or</w:t>
      </w:r>
      <w:r w:rsidRPr="007D3FE4">
        <w:rPr>
          <w:rFonts w:asciiTheme="minorHAnsi" w:hAnsiTheme="minorHAnsi" w:cstheme="minorHAnsi"/>
          <w:spacing w:val="-7"/>
          <w:sz w:val="22"/>
          <w:szCs w:val="22"/>
        </w:rPr>
        <w:t xml:space="preserve"> </w:t>
      </w:r>
      <w:r w:rsidRPr="007D3FE4">
        <w:rPr>
          <w:rFonts w:asciiTheme="minorHAnsi" w:hAnsiTheme="minorHAnsi" w:cstheme="minorHAnsi"/>
          <w:sz w:val="22"/>
          <w:szCs w:val="22"/>
        </w:rPr>
        <w:t>judgment</w:t>
      </w:r>
      <w:r w:rsidRPr="007D3FE4">
        <w:rPr>
          <w:rFonts w:asciiTheme="minorHAnsi" w:hAnsiTheme="minorHAnsi" w:cstheme="minorHAnsi"/>
          <w:spacing w:val="-9"/>
          <w:sz w:val="22"/>
          <w:szCs w:val="22"/>
        </w:rPr>
        <w:t xml:space="preserve"> </w:t>
      </w:r>
      <w:r w:rsidRPr="007D3FE4">
        <w:rPr>
          <w:rFonts w:asciiTheme="minorHAnsi" w:hAnsiTheme="minorHAnsi" w:cstheme="minorHAnsi"/>
          <w:sz w:val="22"/>
          <w:szCs w:val="22"/>
        </w:rPr>
        <w:t>about)</w:t>
      </w:r>
      <w:r w:rsidRPr="007D3FE4">
        <w:rPr>
          <w:rFonts w:asciiTheme="minorHAnsi" w:hAnsiTheme="minorHAnsi" w:cstheme="minorHAnsi"/>
          <w:spacing w:val="-7"/>
          <w:sz w:val="22"/>
          <w:szCs w:val="22"/>
        </w:rPr>
        <w:t xml:space="preserve"> </w:t>
      </w:r>
      <w:r w:rsidRPr="007D3FE4">
        <w:rPr>
          <w:rFonts w:asciiTheme="minorHAnsi" w:hAnsiTheme="minorHAnsi" w:cstheme="minorHAnsi"/>
          <w:sz w:val="22"/>
          <w:szCs w:val="22"/>
        </w:rPr>
        <w:t>the</w:t>
      </w:r>
      <w:r w:rsidRPr="007D3FE4">
        <w:rPr>
          <w:rFonts w:asciiTheme="minorHAnsi" w:hAnsiTheme="minorHAnsi" w:cstheme="minorHAnsi"/>
          <w:spacing w:val="-10"/>
          <w:sz w:val="22"/>
          <w:szCs w:val="22"/>
        </w:rPr>
        <w:t xml:space="preserve"> </w:t>
      </w:r>
      <w:r w:rsidRPr="007D3FE4">
        <w:rPr>
          <w:rFonts w:asciiTheme="minorHAnsi" w:hAnsiTheme="minorHAnsi" w:cstheme="minorHAnsi"/>
          <w:sz w:val="22"/>
          <w:szCs w:val="22"/>
        </w:rPr>
        <w:t>merit</w:t>
      </w:r>
      <w:r w:rsidRPr="007D3FE4">
        <w:rPr>
          <w:rFonts w:asciiTheme="minorHAnsi" w:hAnsiTheme="minorHAnsi" w:cstheme="minorHAnsi"/>
          <w:spacing w:val="-7"/>
          <w:sz w:val="22"/>
          <w:szCs w:val="22"/>
        </w:rPr>
        <w:t xml:space="preserve"> </w:t>
      </w:r>
      <w:r w:rsidRPr="007D3FE4">
        <w:rPr>
          <w:rFonts w:asciiTheme="minorHAnsi" w:hAnsiTheme="minorHAnsi" w:cstheme="minorHAnsi"/>
          <w:sz w:val="22"/>
          <w:szCs w:val="22"/>
        </w:rPr>
        <w:t>or</w:t>
      </w:r>
      <w:r w:rsidRPr="007D3FE4">
        <w:rPr>
          <w:rFonts w:asciiTheme="minorHAnsi" w:hAnsiTheme="minorHAnsi" w:cstheme="minorHAnsi"/>
          <w:spacing w:val="-9"/>
          <w:sz w:val="22"/>
          <w:szCs w:val="22"/>
        </w:rPr>
        <w:t xml:space="preserve"> </w:t>
      </w:r>
      <w:r w:rsidRPr="007D3FE4">
        <w:rPr>
          <w:rFonts w:asciiTheme="minorHAnsi" w:hAnsiTheme="minorHAnsi" w:cstheme="minorHAnsi"/>
          <w:sz w:val="22"/>
          <w:szCs w:val="22"/>
        </w:rPr>
        <w:t>worth of an activity, i.e. the extent to which an intervention has attained, or is expected to attain, its major relevant objectives efficiently in a sustainable fashion and with a positive institutional development impact.</w:t>
      </w:r>
      <w:r w:rsidR="00115A97" w:rsidRPr="007D3FE4">
        <w:rPr>
          <w:rFonts w:asciiTheme="minorHAnsi" w:hAnsiTheme="minorHAnsi" w:cstheme="minorHAnsi"/>
          <w:sz w:val="22"/>
          <w:szCs w:val="22"/>
        </w:rPr>
        <w:t xml:space="preserve"> </w:t>
      </w:r>
      <w:r w:rsidRPr="007D3FE4">
        <w:rPr>
          <w:rFonts w:asciiTheme="minorHAnsi" w:hAnsiTheme="minorHAnsi" w:cstheme="minorHAnsi"/>
          <w:sz w:val="22"/>
          <w:szCs w:val="22"/>
        </w:rPr>
        <w:t xml:space="preserve">Effectiveness will be assessed on a six-point scale, as described in </w:t>
      </w:r>
      <w:r w:rsidR="00095891">
        <w:rPr>
          <w:rFonts w:asciiTheme="minorHAnsi" w:hAnsiTheme="minorHAnsi" w:cstheme="minorHAnsi"/>
          <w:sz w:val="22"/>
          <w:szCs w:val="22"/>
        </w:rPr>
        <w:t>Annex 1</w:t>
      </w:r>
      <w:r w:rsidRPr="007D3FE4">
        <w:rPr>
          <w:rFonts w:asciiTheme="minorHAnsi" w:hAnsiTheme="minorHAnsi" w:cstheme="minorHAnsi"/>
          <w:sz w:val="22"/>
          <w:szCs w:val="22"/>
        </w:rPr>
        <w:t>.</w:t>
      </w:r>
    </w:p>
    <w:p w14:paraId="062E9F53" w14:textId="77777777" w:rsidR="0096227A" w:rsidRDefault="007D3FE4" w:rsidP="00095891">
      <w:pPr>
        <w:pStyle w:val="BodyText"/>
        <w:spacing w:after="120"/>
        <w:ind w:right="86"/>
        <w:jc w:val="both"/>
        <w:rPr>
          <w:rFonts w:asciiTheme="minorHAnsi" w:hAnsiTheme="minorHAnsi" w:cstheme="minorHAnsi"/>
          <w:sz w:val="22"/>
          <w:szCs w:val="22"/>
        </w:rPr>
      </w:pPr>
      <w:r>
        <w:rPr>
          <w:rFonts w:asciiTheme="minorHAnsi" w:hAnsiTheme="minorHAnsi" w:cstheme="minorHAnsi"/>
          <w:sz w:val="22"/>
          <w:szCs w:val="22"/>
        </w:rPr>
        <w:t xml:space="preserve">Section 4.3.1. Progress Towards objectives and Expected Outcomes clearly demonstrates that the </w:t>
      </w:r>
      <w:r w:rsidR="007D3336" w:rsidRPr="007D3336">
        <w:rPr>
          <w:rFonts w:asciiTheme="minorHAnsi" w:hAnsiTheme="minorHAnsi" w:cstheme="minorHAnsi"/>
          <w:sz w:val="22"/>
          <w:szCs w:val="22"/>
        </w:rPr>
        <w:t>Pro</w:t>
      </w:r>
      <w:r>
        <w:rPr>
          <w:rFonts w:asciiTheme="minorHAnsi" w:hAnsiTheme="minorHAnsi" w:cstheme="minorHAnsi"/>
          <w:sz w:val="22"/>
          <w:szCs w:val="22"/>
        </w:rPr>
        <w:t xml:space="preserve">ject </w:t>
      </w:r>
      <w:r w:rsidR="007D3336" w:rsidRPr="007D3336">
        <w:rPr>
          <w:rFonts w:asciiTheme="minorHAnsi" w:hAnsiTheme="minorHAnsi" w:cstheme="minorHAnsi"/>
          <w:sz w:val="22"/>
          <w:szCs w:val="22"/>
        </w:rPr>
        <w:t>objective and main out</w:t>
      </w:r>
      <w:r>
        <w:rPr>
          <w:rFonts w:asciiTheme="minorHAnsi" w:hAnsiTheme="minorHAnsi" w:cstheme="minorHAnsi"/>
          <w:sz w:val="22"/>
          <w:szCs w:val="22"/>
        </w:rPr>
        <w:t xml:space="preserve">comes </w:t>
      </w:r>
      <w:r w:rsidR="0096227A">
        <w:rPr>
          <w:rFonts w:asciiTheme="minorHAnsi" w:hAnsiTheme="minorHAnsi" w:cstheme="minorHAnsi"/>
          <w:sz w:val="22"/>
          <w:szCs w:val="22"/>
        </w:rPr>
        <w:t xml:space="preserve">have been achieved. The analysis presented demonstrates achievement in Outputs as well as by Indicators for the established targets. </w:t>
      </w:r>
    </w:p>
    <w:p w14:paraId="70CB299D" w14:textId="4C9FF9D8" w:rsidR="003A0A1E" w:rsidRDefault="0096227A" w:rsidP="00095891">
      <w:pPr>
        <w:pStyle w:val="BodyText"/>
        <w:spacing w:after="120"/>
        <w:ind w:right="86"/>
        <w:jc w:val="both"/>
        <w:rPr>
          <w:rFonts w:asciiTheme="minorHAnsi" w:hAnsiTheme="minorHAnsi" w:cstheme="minorHAnsi"/>
          <w:sz w:val="22"/>
          <w:szCs w:val="22"/>
        </w:rPr>
      </w:pPr>
      <w:r>
        <w:rPr>
          <w:rFonts w:asciiTheme="minorHAnsi" w:hAnsiTheme="minorHAnsi" w:cstheme="minorHAnsi"/>
          <w:sz w:val="22"/>
          <w:szCs w:val="22"/>
        </w:rPr>
        <w:t xml:space="preserve">The project´s burn rate for the different outcomes as demonstrated in the budget analysis demonstrates that the project took quite a long time to get off the ground. the Project Manager was not hired until August 2017, almost a </w:t>
      </w:r>
      <w:r w:rsidR="00AD7B12">
        <w:rPr>
          <w:rFonts w:asciiTheme="minorHAnsi" w:hAnsiTheme="minorHAnsi" w:cstheme="minorHAnsi"/>
          <w:sz w:val="22"/>
          <w:szCs w:val="22"/>
        </w:rPr>
        <w:t>6-m</w:t>
      </w:r>
      <w:r w:rsidR="00095891">
        <w:rPr>
          <w:rFonts w:asciiTheme="minorHAnsi" w:hAnsiTheme="minorHAnsi" w:cstheme="minorHAnsi"/>
          <w:sz w:val="22"/>
          <w:szCs w:val="22"/>
        </w:rPr>
        <w:t>o</w:t>
      </w:r>
      <w:r w:rsidR="00AD7B12">
        <w:rPr>
          <w:rFonts w:asciiTheme="minorHAnsi" w:hAnsiTheme="minorHAnsi" w:cstheme="minorHAnsi"/>
          <w:sz w:val="22"/>
          <w:szCs w:val="22"/>
        </w:rPr>
        <w:t>nths</w:t>
      </w:r>
      <w:r>
        <w:rPr>
          <w:rFonts w:asciiTheme="minorHAnsi" w:hAnsiTheme="minorHAnsi" w:cstheme="minorHAnsi"/>
          <w:sz w:val="22"/>
          <w:szCs w:val="22"/>
        </w:rPr>
        <w:t xml:space="preserve"> after the start date of the project</w:t>
      </w:r>
      <w:r w:rsidR="00AD7B12">
        <w:rPr>
          <w:rFonts w:asciiTheme="minorHAnsi" w:hAnsiTheme="minorHAnsi" w:cstheme="minorHAnsi"/>
          <w:sz w:val="22"/>
          <w:szCs w:val="22"/>
        </w:rPr>
        <w:t>. The inception workshop does not occur until November 2017</w:t>
      </w:r>
      <w:r>
        <w:rPr>
          <w:rFonts w:asciiTheme="minorHAnsi" w:hAnsiTheme="minorHAnsi" w:cstheme="minorHAnsi"/>
          <w:sz w:val="22"/>
          <w:szCs w:val="22"/>
        </w:rPr>
        <w:t xml:space="preserve">. </w:t>
      </w:r>
      <w:r w:rsidR="00AD7B12">
        <w:rPr>
          <w:rFonts w:asciiTheme="minorHAnsi" w:hAnsiTheme="minorHAnsi" w:cstheme="minorHAnsi"/>
          <w:sz w:val="22"/>
          <w:szCs w:val="22"/>
        </w:rPr>
        <w:t xml:space="preserve">During that 9-month span, we can surmise that the project was not effective.  </w:t>
      </w:r>
      <w:r w:rsidR="00095891">
        <w:rPr>
          <w:rFonts w:asciiTheme="minorHAnsi" w:hAnsiTheme="minorHAnsi" w:cstheme="minorHAnsi"/>
          <w:sz w:val="22"/>
          <w:szCs w:val="22"/>
        </w:rPr>
        <w:t>Once</w:t>
      </w:r>
      <w:r w:rsidR="00AD7B12">
        <w:rPr>
          <w:rFonts w:asciiTheme="minorHAnsi" w:hAnsiTheme="minorHAnsi" w:cstheme="minorHAnsi"/>
          <w:sz w:val="22"/>
          <w:szCs w:val="22"/>
        </w:rPr>
        <w:t xml:space="preserve"> on-track, the project was extremely effective in getting things done until </w:t>
      </w:r>
      <w:r>
        <w:rPr>
          <w:rFonts w:asciiTheme="minorHAnsi" w:hAnsiTheme="minorHAnsi" w:cstheme="minorHAnsi"/>
          <w:sz w:val="22"/>
          <w:szCs w:val="22"/>
        </w:rPr>
        <w:t>COVID-19</w:t>
      </w:r>
      <w:r w:rsidR="00AD7B12">
        <w:rPr>
          <w:rFonts w:asciiTheme="minorHAnsi" w:hAnsiTheme="minorHAnsi" w:cstheme="minorHAnsi"/>
          <w:sz w:val="22"/>
          <w:szCs w:val="22"/>
        </w:rPr>
        <w:t xml:space="preserve"> is declared as a pandemic in March 2020. In spite of COVID, the project continued to execute </w:t>
      </w:r>
      <w:r w:rsidR="00095891">
        <w:rPr>
          <w:rFonts w:asciiTheme="minorHAnsi" w:hAnsiTheme="minorHAnsi" w:cstheme="minorHAnsi"/>
          <w:sz w:val="22"/>
          <w:szCs w:val="22"/>
        </w:rPr>
        <w:t>its</w:t>
      </w:r>
      <w:r w:rsidR="00AD7B12">
        <w:rPr>
          <w:rFonts w:asciiTheme="minorHAnsi" w:hAnsiTheme="minorHAnsi" w:cstheme="minorHAnsi"/>
          <w:sz w:val="22"/>
          <w:szCs w:val="22"/>
        </w:rPr>
        <w:t xml:space="preserve"> budget with the exception of Component 3, given the </w:t>
      </w:r>
      <w:r>
        <w:rPr>
          <w:rFonts w:asciiTheme="minorHAnsi" w:hAnsiTheme="minorHAnsi" w:cstheme="minorHAnsi"/>
          <w:sz w:val="22"/>
          <w:szCs w:val="22"/>
        </w:rPr>
        <w:t>cancellation of the Good Growth Conference´s in-person modality</w:t>
      </w:r>
      <w:r w:rsidR="00AD7B12">
        <w:rPr>
          <w:rFonts w:asciiTheme="minorHAnsi" w:hAnsiTheme="minorHAnsi" w:cstheme="minorHAnsi"/>
          <w:sz w:val="22"/>
          <w:szCs w:val="22"/>
        </w:rPr>
        <w:t xml:space="preserve">.  The effects of COVID also extended to the development of knowledge products. </w:t>
      </w:r>
      <w:r w:rsidR="003A0A1E">
        <w:rPr>
          <w:rFonts w:asciiTheme="minorHAnsi" w:hAnsiTheme="minorHAnsi" w:cstheme="minorHAnsi"/>
          <w:sz w:val="22"/>
          <w:szCs w:val="22"/>
        </w:rPr>
        <w:t xml:space="preserve">Based-on the factors mentioned, the project requested and was granted an extension by GEF until March 2022. </w:t>
      </w:r>
    </w:p>
    <w:p w14:paraId="1E2EFCD8" w14:textId="20D5DC0F" w:rsidR="007D3336" w:rsidRPr="007D3336" w:rsidRDefault="003A0A1E" w:rsidP="00095891">
      <w:pPr>
        <w:pStyle w:val="BodyText"/>
        <w:spacing w:after="120"/>
        <w:ind w:right="86"/>
        <w:jc w:val="both"/>
        <w:rPr>
          <w:rFonts w:asciiTheme="minorHAnsi" w:hAnsiTheme="minorHAnsi" w:cstheme="minorHAnsi"/>
          <w:sz w:val="22"/>
          <w:szCs w:val="22"/>
        </w:rPr>
      </w:pPr>
      <w:r>
        <w:rPr>
          <w:rFonts w:asciiTheme="minorHAnsi" w:hAnsiTheme="minorHAnsi" w:cstheme="minorHAnsi"/>
          <w:sz w:val="22"/>
          <w:szCs w:val="22"/>
        </w:rPr>
        <w:t xml:space="preserve">Given the slow start that was amplified by the effects of COVID, a ranking of 4 was considered, however, taking into account the enormous effort to get the project on -track, a ranking of 5 or “S” is assigned. </w:t>
      </w:r>
    </w:p>
    <w:p w14:paraId="0C3F106C" w14:textId="44C4FCF4" w:rsidR="007B538E" w:rsidRDefault="007B538E" w:rsidP="007D3FE4">
      <w:pPr>
        <w:pStyle w:val="BodyText"/>
        <w:spacing w:after="120"/>
        <w:ind w:right="86"/>
        <w:rPr>
          <w:rFonts w:asciiTheme="minorHAnsi" w:hAnsiTheme="minorHAnsi" w:cstheme="minorHAnsi"/>
          <w:sz w:val="22"/>
          <w:szCs w:val="22"/>
        </w:rPr>
      </w:pPr>
    </w:p>
    <w:p w14:paraId="41906453" w14:textId="681A6D5F" w:rsidR="00F75F6E" w:rsidRPr="00F75F6E" w:rsidRDefault="00F75F6E" w:rsidP="00F75F6E">
      <w:pPr>
        <w:pStyle w:val="Heading3"/>
        <w:rPr>
          <w:sz w:val="22"/>
          <w:szCs w:val="22"/>
        </w:rPr>
      </w:pPr>
      <w:bookmarkStart w:id="78" w:name="_Toc96772497"/>
      <w:r w:rsidRPr="00F75F6E">
        <w:rPr>
          <w:sz w:val="22"/>
          <w:szCs w:val="22"/>
        </w:rPr>
        <w:t>4.3.4</w:t>
      </w:r>
      <w:r w:rsidRPr="00F75F6E">
        <w:rPr>
          <w:sz w:val="22"/>
          <w:szCs w:val="22"/>
        </w:rPr>
        <w:tab/>
        <w:t>Efficiency (*)</w:t>
      </w:r>
      <w:bookmarkEnd w:id="78"/>
    </w:p>
    <w:p w14:paraId="668A3280" w14:textId="10EB2DF1" w:rsidR="00F75F6E" w:rsidRPr="00544740" w:rsidRDefault="00F75F6E" w:rsidP="00943E4D">
      <w:pPr>
        <w:pStyle w:val="BodyText"/>
        <w:spacing w:after="120"/>
        <w:ind w:right="90"/>
        <w:jc w:val="both"/>
        <w:rPr>
          <w:rFonts w:asciiTheme="minorHAnsi" w:hAnsiTheme="minorHAnsi" w:cstheme="minorHAnsi"/>
          <w:sz w:val="22"/>
          <w:szCs w:val="22"/>
        </w:rPr>
      </w:pPr>
      <w:r w:rsidRPr="00544740">
        <w:rPr>
          <w:rFonts w:asciiTheme="minorHAnsi" w:hAnsiTheme="minorHAnsi" w:cstheme="minorHAnsi"/>
          <w:sz w:val="22"/>
          <w:szCs w:val="22"/>
        </w:rPr>
        <w:t xml:space="preserve">Efficiency is a measure of how economically the resources and inputs (funds, expertise, time, etc.) are converted to results. It is most commonly applied to the input‐output link in the causal chain of an intervention. Efficiency is assessed on a six-point scale. </w:t>
      </w:r>
    </w:p>
    <w:p w14:paraId="1248F7E3" w14:textId="77777777" w:rsidR="00F75F6E" w:rsidRPr="00544740" w:rsidRDefault="00F75F6E" w:rsidP="00943E4D">
      <w:pPr>
        <w:spacing w:after="120" w:line="240" w:lineRule="auto"/>
        <w:ind w:left="220"/>
        <w:jc w:val="both"/>
        <w:rPr>
          <w:rFonts w:asciiTheme="minorHAnsi" w:hAnsiTheme="minorHAnsi" w:cstheme="minorHAnsi"/>
        </w:rPr>
      </w:pPr>
      <w:r w:rsidRPr="00544740">
        <w:rPr>
          <w:rFonts w:asciiTheme="minorHAnsi" w:hAnsiTheme="minorHAnsi" w:cstheme="minorHAnsi"/>
        </w:rPr>
        <w:t xml:space="preserve">Programme efficiency is considered </w:t>
      </w:r>
      <w:r w:rsidRPr="00544740">
        <w:rPr>
          <w:rFonts w:asciiTheme="minorHAnsi" w:hAnsiTheme="minorHAnsi" w:cstheme="minorHAnsi"/>
          <w:b/>
        </w:rPr>
        <w:t xml:space="preserve">Satisfactory (S) </w:t>
      </w:r>
      <w:r w:rsidRPr="00544740">
        <w:rPr>
          <w:rFonts w:asciiTheme="minorHAnsi" w:hAnsiTheme="minorHAnsi" w:cstheme="minorHAnsi"/>
        </w:rPr>
        <w:t>for the following reasons:</w:t>
      </w:r>
    </w:p>
    <w:p w14:paraId="6E992678" w14:textId="2E163D45" w:rsidR="00F75F6E" w:rsidRPr="00544740" w:rsidRDefault="00F75F6E" w:rsidP="00D80344">
      <w:pPr>
        <w:pStyle w:val="ListParagraph"/>
        <w:numPr>
          <w:ilvl w:val="0"/>
          <w:numId w:val="28"/>
        </w:numPr>
        <w:tabs>
          <w:tab w:val="left" w:pos="581"/>
        </w:tabs>
        <w:spacing w:before="0" w:after="120"/>
        <w:ind w:right="638"/>
        <w:jc w:val="both"/>
        <w:rPr>
          <w:rFonts w:asciiTheme="minorHAnsi" w:hAnsiTheme="minorHAnsi" w:cstheme="minorHAnsi"/>
          <w:b/>
        </w:rPr>
      </w:pPr>
      <w:r w:rsidRPr="00544740">
        <w:rPr>
          <w:rFonts w:asciiTheme="minorHAnsi" w:hAnsiTheme="minorHAnsi" w:cstheme="minorHAnsi"/>
        </w:rPr>
        <w:t>Programme</w:t>
      </w:r>
      <w:r w:rsidRPr="00544740">
        <w:rPr>
          <w:rFonts w:asciiTheme="minorHAnsi" w:hAnsiTheme="minorHAnsi" w:cstheme="minorHAnsi"/>
          <w:spacing w:val="-11"/>
        </w:rPr>
        <w:t xml:space="preserve"> </w:t>
      </w:r>
      <w:r w:rsidRPr="00544740">
        <w:rPr>
          <w:rFonts w:asciiTheme="minorHAnsi" w:hAnsiTheme="minorHAnsi" w:cstheme="minorHAnsi"/>
        </w:rPr>
        <w:t>capacity</w:t>
      </w:r>
      <w:r w:rsidRPr="00544740">
        <w:rPr>
          <w:rFonts w:asciiTheme="minorHAnsi" w:hAnsiTheme="minorHAnsi" w:cstheme="minorHAnsi"/>
          <w:spacing w:val="-9"/>
        </w:rPr>
        <w:t xml:space="preserve"> </w:t>
      </w:r>
      <w:r w:rsidRPr="00544740">
        <w:rPr>
          <w:rFonts w:asciiTheme="minorHAnsi" w:hAnsiTheme="minorHAnsi" w:cstheme="minorHAnsi"/>
        </w:rPr>
        <w:t>to</w:t>
      </w:r>
      <w:r w:rsidRPr="00544740">
        <w:rPr>
          <w:rFonts w:asciiTheme="minorHAnsi" w:hAnsiTheme="minorHAnsi" w:cstheme="minorHAnsi"/>
          <w:spacing w:val="-12"/>
        </w:rPr>
        <w:t xml:space="preserve"> </w:t>
      </w:r>
      <w:r w:rsidRPr="00544740">
        <w:rPr>
          <w:rFonts w:asciiTheme="minorHAnsi" w:hAnsiTheme="minorHAnsi" w:cstheme="minorHAnsi"/>
        </w:rPr>
        <w:t>build</w:t>
      </w:r>
      <w:r w:rsidRPr="00544740">
        <w:rPr>
          <w:rFonts w:asciiTheme="minorHAnsi" w:hAnsiTheme="minorHAnsi" w:cstheme="minorHAnsi"/>
          <w:spacing w:val="-10"/>
        </w:rPr>
        <w:t xml:space="preserve"> </w:t>
      </w:r>
      <w:r w:rsidRPr="00544740">
        <w:rPr>
          <w:rFonts w:asciiTheme="minorHAnsi" w:hAnsiTheme="minorHAnsi" w:cstheme="minorHAnsi"/>
        </w:rPr>
        <w:t>needed</w:t>
      </w:r>
      <w:r w:rsidRPr="00544740">
        <w:rPr>
          <w:rFonts w:asciiTheme="minorHAnsi" w:hAnsiTheme="minorHAnsi" w:cstheme="minorHAnsi"/>
          <w:spacing w:val="-12"/>
        </w:rPr>
        <w:t xml:space="preserve"> </w:t>
      </w:r>
      <w:r w:rsidRPr="00544740">
        <w:rPr>
          <w:rFonts w:asciiTheme="minorHAnsi" w:hAnsiTheme="minorHAnsi" w:cstheme="minorHAnsi"/>
        </w:rPr>
        <w:t>partnerships</w:t>
      </w:r>
      <w:r w:rsidRPr="00544740">
        <w:rPr>
          <w:rFonts w:asciiTheme="minorHAnsi" w:hAnsiTheme="minorHAnsi" w:cstheme="minorHAnsi"/>
          <w:spacing w:val="-9"/>
        </w:rPr>
        <w:t xml:space="preserve"> </w:t>
      </w:r>
      <w:r w:rsidRPr="00544740">
        <w:rPr>
          <w:rFonts w:asciiTheme="minorHAnsi" w:hAnsiTheme="minorHAnsi" w:cstheme="minorHAnsi"/>
        </w:rPr>
        <w:t>during</w:t>
      </w:r>
      <w:r w:rsidRPr="00544740">
        <w:rPr>
          <w:rFonts w:asciiTheme="minorHAnsi" w:hAnsiTheme="minorHAnsi" w:cstheme="minorHAnsi"/>
          <w:spacing w:val="-12"/>
        </w:rPr>
        <w:t xml:space="preserve"> </w:t>
      </w:r>
      <w:r w:rsidRPr="00544740">
        <w:rPr>
          <w:rFonts w:asciiTheme="minorHAnsi" w:hAnsiTheme="minorHAnsi" w:cstheme="minorHAnsi"/>
        </w:rPr>
        <w:t>the</w:t>
      </w:r>
      <w:r w:rsidRPr="00544740">
        <w:rPr>
          <w:rFonts w:asciiTheme="minorHAnsi" w:hAnsiTheme="minorHAnsi" w:cstheme="minorHAnsi"/>
          <w:spacing w:val="-11"/>
        </w:rPr>
        <w:t xml:space="preserve"> </w:t>
      </w:r>
      <w:r w:rsidRPr="00544740">
        <w:rPr>
          <w:rFonts w:asciiTheme="minorHAnsi" w:hAnsiTheme="minorHAnsi" w:cstheme="minorHAnsi"/>
        </w:rPr>
        <w:t>Programme’s</w:t>
      </w:r>
      <w:r w:rsidRPr="00544740">
        <w:rPr>
          <w:rFonts w:asciiTheme="minorHAnsi" w:hAnsiTheme="minorHAnsi" w:cstheme="minorHAnsi"/>
          <w:spacing w:val="-10"/>
        </w:rPr>
        <w:t xml:space="preserve"> </w:t>
      </w:r>
      <w:r w:rsidRPr="00544740">
        <w:rPr>
          <w:rFonts w:asciiTheme="minorHAnsi" w:hAnsiTheme="minorHAnsi" w:cstheme="minorHAnsi"/>
        </w:rPr>
        <w:t xml:space="preserve">implementation phase is rated as </w:t>
      </w:r>
      <w:r w:rsidRPr="00544740">
        <w:rPr>
          <w:rFonts w:asciiTheme="minorHAnsi" w:hAnsiTheme="minorHAnsi" w:cstheme="minorHAnsi"/>
          <w:b/>
        </w:rPr>
        <w:t>Highly Satisfactory</w:t>
      </w:r>
      <w:r w:rsidRPr="00544740">
        <w:rPr>
          <w:rFonts w:asciiTheme="minorHAnsi" w:hAnsiTheme="minorHAnsi" w:cstheme="minorHAnsi"/>
          <w:b/>
          <w:spacing w:val="-2"/>
        </w:rPr>
        <w:t xml:space="preserve"> </w:t>
      </w:r>
      <w:r w:rsidRPr="00544740">
        <w:rPr>
          <w:rFonts w:asciiTheme="minorHAnsi" w:hAnsiTheme="minorHAnsi" w:cstheme="minorHAnsi"/>
          <w:b/>
        </w:rPr>
        <w:t>(HS).</w:t>
      </w:r>
      <w:r w:rsidR="00544740" w:rsidRPr="00544740">
        <w:rPr>
          <w:rFonts w:asciiTheme="minorHAnsi" w:hAnsiTheme="minorHAnsi" w:cstheme="minorHAnsi"/>
          <w:b/>
        </w:rPr>
        <w:t xml:space="preserve"> </w:t>
      </w:r>
      <w:r w:rsidR="00544740" w:rsidRPr="00544740">
        <w:rPr>
          <w:rFonts w:asciiTheme="minorHAnsi" w:hAnsiTheme="minorHAnsi" w:cstheme="minorHAnsi"/>
          <w:bCs/>
        </w:rPr>
        <w:t>This is due to the PMUs ability to engage corporate stakeholders and also leverage co-financing</w:t>
      </w:r>
      <w:r w:rsidR="00544740" w:rsidRPr="00544740">
        <w:rPr>
          <w:rFonts w:asciiTheme="minorHAnsi" w:hAnsiTheme="minorHAnsi" w:cstheme="minorHAnsi"/>
          <w:b/>
        </w:rPr>
        <w:t>.</w:t>
      </w:r>
    </w:p>
    <w:p w14:paraId="070A8D05" w14:textId="08DD1B5E" w:rsidR="00A926E9" w:rsidRPr="00A926E9" w:rsidRDefault="00F75F6E" w:rsidP="00D80344">
      <w:pPr>
        <w:pStyle w:val="ListParagraph"/>
        <w:numPr>
          <w:ilvl w:val="0"/>
          <w:numId w:val="28"/>
        </w:numPr>
        <w:tabs>
          <w:tab w:val="left" w:pos="581"/>
        </w:tabs>
        <w:spacing w:before="0" w:after="120"/>
        <w:ind w:right="640"/>
        <w:jc w:val="both"/>
        <w:rPr>
          <w:rFonts w:asciiTheme="minorHAnsi" w:hAnsiTheme="minorHAnsi" w:cstheme="minorHAnsi"/>
        </w:rPr>
      </w:pPr>
      <w:r w:rsidRPr="00544740">
        <w:rPr>
          <w:rFonts w:asciiTheme="minorHAnsi" w:hAnsiTheme="minorHAnsi" w:cstheme="minorHAnsi"/>
        </w:rPr>
        <w:t>The</w:t>
      </w:r>
      <w:r w:rsidR="00A926E9">
        <w:rPr>
          <w:rFonts w:asciiTheme="minorHAnsi" w:hAnsiTheme="minorHAnsi" w:cstheme="minorHAnsi"/>
        </w:rPr>
        <w:t xml:space="preserve"> sequence organization of inputs </w:t>
      </w:r>
      <w:r w:rsidR="00943E4D">
        <w:rPr>
          <w:rFonts w:asciiTheme="minorHAnsi" w:hAnsiTheme="minorHAnsi" w:cstheme="minorHAnsi"/>
        </w:rPr>
        <w:t>and</w:t>
      </w:r>
      <w:r w:rsidR="00A926E9">
        <w:rPr>
          <w:rFonts w:asciiTheme="minorHAnsi" w:hAnsiTheme="minorHAnsi" w:cstheme="minorHAnsi"/>
        </w:rPr>
        <w:t xml:space="preserve"> outputs under Com</w:t>
      </w:r>
      <w:r w:rsidR="00B63A10">
        <w:rPr>
          <w:rFonts w:asciiTheme="minorHAnsi" w:hAnsiTheme="minorHAnsi" w:cstheme="minorHAnsi"/>
        </w:rPr>
        <w:t>p</w:t>
      </w:r>
      <w:r w:rsidR="00A926E9">
        <w:rPr>
          <w:rFonts w:asciiTheme="minorHAnsi" w:hAnsiTheme="minorHAnsi" w:cstheme="minorHAnsi"/>
        </w:rPr>
        <w:t xml:space="preserve">onent 1, in addition to </w:t>
      </w:r>
      <w:r w:rsidR="00943E4D">
        <w:rPr>
          <w:rFonts w:asciiTheme="minorHAnsi" w:hAnsiTheme="minorHAnsi" w:cstheme="minorHAnsi"/>
        </w:rPr>
        <w:t xml:space="preserve">the </w:t>
      </w:r>
      <w:r w:rsidR="00943E4D" w:rsidRPr="00544740">
        <w:rPr>
          <w:rFonts w:asciiTheme="minorHAnsi" w:hAnsiTheme="minorHAnsi" w:cstheme="minorHAnsi"/>
          <w:spacing w:val="-13"/>
        </w:rPr>
        <w:t>M</w:t>
      </w:r>
      <w:r w:rsidRPr="00544740">
        <w:rPr>
          <w:rFonts w:asciiTheme="minorHAnsi" w:hAnsiTheme="minorHAnsi" w:cstheme="minorHAnsi"/>
        </w:rPr>
        <w:t>&amp;E</w:t>
      </w:r>
      <w:r w:rsidRPr="00544740">
        <w:rPr>
          <w:rFonts w:asciiTheme="minorHAnsi" w:hAnsiTheme="minorHAnsi" w:cstheme="minorHAnsi"/>
          <w:spacing w:val="-13"/>
        </w:rPr>
        <w:t xml:space="preserve"> </w:t>
      </w:r>
      <w:r w:rsidRPr="00544740">
        <w:rPr>
          <w:rFonts w:asciiTheme="minorHAnsi" w:hAnsiTheme="minorHAnsi" w:cstheme="minorHAnsi"/>
        </w:rPr>
        <w:t>of</w:t>
      </w:r>
      <w:r w:rsidRPr="00544740">
        <w:rPr>
          <w:rFonts w:asciiTheme="minorHAnsi" w:hAnsiTheme="minorHAnsi" w:cstheme="minorHAnsi"/>
          <w:spacing w:val="-12"/>
        </w:rPr>
        <w:t xml:space="preserve"> </w:t>
      </w:r>
      <w:r w:rsidRPr="00544740">
        <w:rPr>
          <w:rFonts w:asciiTheme="minorHAnsi" w:hAnsiTheme="minorHAnsi" w:cstheme="minorHAnsi"/>
        </w:rPr>
        <w:t>the</w:t>
      </w:r>
      <w:r w:rsidRPr="00544740">
        <w:rPr>
          <w:rFonts w:asciiTheme="minorHAnsi" w:hAnsiTheme="minorHAnsi" w:cstheme="minorHAnsi"/>
          <w:spacing w:val="-10"/>
        </w:rPr>
        <w:t xml:space="preserve"> </w:t>
      </w:r>
      <w:r w:rsidRPr="00544740">
        <w:rPr>
          <w:rFonts w:asciiTheme="minorHAnsi" w:hAnsiTheme="minorHAnsi" w:cstheme="minorHAnsi"/>
        </w:rPr>
        <w:t>Programme</w:t>
      </w:r>
      <w:r w:rsidRPr="00544740">
        <w:rPr>
          <w:rFonts w:asciiTheme="minorHAnsi" w:hAnsiTheme="minorHAnsi" w:cstheme="minorHAnsi"/>
          <w:spacing w:val="-10"/>
        </w:rPr>
        <w:t xml:space="preserve"> </w:t>
      </w:r>
      <w:r w:rsidR="00A926E9">
        <w:rPr>
          <w:rFonts w:asciiTheme="minorHAnsi" w:hAnsiTheme="minorHAnsi" w:cstheme="minorHAnsi"/>
          <w:spacing w:val="-10"/>
        </w:rPr>
        <w:t xml:space="preserve">with feedback loops was </w:t>
      </w:r>
      <w:r w:rsidRPr="00544740">
        <w:rPr>
          <w:rFonts w:asciiTheme="minorHAnsi" w:hAnsiTheme="minorHAnsi" w:cstheme="minorHAnsi"/>
        </w:rPr>
        <w:t>undertak</w:t>
      </w:r>
      <w:r w:rsidR="00A926E9">
        <w:rPr>
          <w:rFonts w:asciiTheme="minorHAnsi" w:hAnsiTheme="minorHAnsi" w:cstheme="minorHAnsi"/>
        </w:rPr>
        <w:t>e</w:t>
      </w:r>
      <w:r w:rsidR="003C4F73">
        <w:rPr>
          <w:rFonts w:asciiTheme="minorHAnsi" w:hAnsiTheme="minorHAnsi" w:cstheme="minorHAnsi"/>
        </w:rPr>
        <w:t>n</w:t>
      </w:r>
      <w:r w:rsidRPr="00544740">
        <w:rPr>
          <w:rFonts w:asciiTheme="minorHAnsi" w:hAnsiTheme="minorHAnsi" w:cstheme="minorHAnsi"/>
          <w:spacing w:val="-13"/>
        </w:rPr>
        <w:t xml:space="preserve"> </w:t>
      </w:r>
      <w:r w:rsidRPr="00544740">
        <w:rPr>
          <w:rFonts w:asciiTheme="minorHAnsi" w:hAnsiTheme="minorHAnsi" w:cstheme="minorHAnsi"/>
        </w:rPr>
        <w:t>according</w:t>
      </w:r>
      <w:r w:rsidRPr="00544740">
        <w:rPr>
          <w:rFonts w:asciiTheme="minorHAnsi" w:hAnsiTheme="minorHAnsi" w:cstheme="minorHAnsi"/>
          <w:spacing w:val="-11"/>
        </w:rPr>
        <w:t xml:space="preserve"> </w:t>
      </w:r>
      <w:r w:rsidRPr="00544740">
        <w:rPr>
          <w:rFonts w:asciiTheme="minorHAnsi" w:hAnsiTheme="minorHAnsi" w:cstheme="minorHAnsi"/>
        </w:rPr>
        <w:t>to</w:t>
      </w:r>
      <w:r w:rsidRPr="00544740">
        <w:rPr>
          <w:rFonts w:asciiTheme="minorHAnsi" w:hAnsiTheme="minorHAnsi" w:cstheme="minorHAnsi"/>
          <w:spacing w:val="-12"/>
        </w:rPr>
        <w:t xml:space="preserve"> </w:t>
      </w:r>
      <w:r w:rsidRPr="00544740">
        <w:rPr>
          <w:rFonts w:asciiTheme="minorHAnsi" w:hAnsiTheme="minorHAnsi" w:cstheme="minorHAnsi"/>
        </w:rPr>
        <w:t>UNDP</w:t>
      </w:r>
      <w:r w:rsidRPr="00544740">
        <w:rPr>
          <w:rFonts w:asciiTheme="minorHAnsi" w:hAnsiTheme="minorHAnsi" w:cstheme="minorHAnsi"/>
          <w:spacing w:val="-13"/>
        </w:rPr>
        <w:t xml:space="preserve"> </w:t>
      </w:r>
      <w:r w:rsidRPr="00544740">
        <w:rPr>
          <w:rFonts w:asciiTheme="minorHAnsi" w:hAnsiTheme="minorHAnsi" w:cstheme="minorHAnsi"/>
        </w:rPr>
        <w:t>and</w:t>
      </w:r>
      <w:r w:rsidRPr="00544740">
        <w:rPr>
          <w:rFonts w:asciiTheme="minorHAnsi" w:hAnsiTheme="minorHAnsi" w:cstheme="minorHAnsi"/>
          <w:spacing w:val="-13"/>
        </w:rPr>
        <w:t xml:space="preserve"> </w:t>
      </w:r>
      <w:r w:rsidRPr="00544740">
        <w:rPr>
          <w:rFonts w:asciiTheme="minorHAnsi" w:hAnsiTheme="minorHAnsi" w:cstheme="minorHAnsi"/>
        </w:rPr>
        <w:t>GEF</w:t>
      </w:r>
      <w:r w:rsidRPr="00544740">
        <w:rPr>
          <w:rFonts w:asciiTheme="minorHAnsi" w:hAnsiTheme="minorHAnsi" w:cstheme="minorHAnsi"/>
          <w:spacing w:val="-11"/>
        </w:rPr>
        <w:t xml:space="preserve"> </w:t>
      </w:r>
      <w:r w:rsidRPr="00544740">
        <w:rPr>
          <w:rFonts w:asciiTheme="minorHAnsi" w:hAnsiTheme="minorHAnsi" w:cstheme="minorHAnsi"/>
        </w:rPr>
        <w:t>procedures</w:t>
      </w:r>
      <w:r w:rsidRPr="00544740">
        <w:rPr>
          <w:rFonts w:asciiTheme="minorHAnsi" w:hAnsiTheme="minorHAnsi" w:cstheme="minorHAnsi"/>
          <w:spacing w:val="-12"/>
        </w:rPr>
        <w:t xml:space="preserve"> </w:t>
      </w:r>
      <w:r w:rsidRPr="00544740">
        <w:rPr>
          <w:rFonts w:asciiTheme="minorHAnsi" w:hAnsiTheme="minorHAnsi" w:cstheme="minorHAnsi"/>
        </w:rPr>
        <w:t xml:space="preserve">and it is rated as </w:t>
      </w:r>
      <w:r w:rsidRPr="00A926E9">
        <w:rPr>
          <w:rFonts w:asciiTheme="minorHAnsi" w:hAnsiTheme="minorHAnsi" w:cstheme="minorHAnsi"/>
          <w:b/>
        </w:rPr>
        <w:t>Satisfactory (S)</w:t>
      </w:r>
      <w:r w:rsidR="00A926E9">
        <w:rPr>
          <w:rFonts w:asciiTheme="minorHAnsi" w:hAnsiTheme="minorHAnsi" w:cstheme="minorHAnsi"/>
          <w:b/>
        </w:rPr>
        <w:t>.</w:t>
      </w:r>
    </w:p>
    <w:p w14:paraId="0465B33F" w14:textId="06D86503" w:rsidR="00F75F6E" w:rsidRPr="00544740" w:rsidRDefault="00A926E9" w:rsidP="00D80344">
      <w:pPr>
        <w:pStyle w:val="ListParagraph"/>
        <w:numPr>
          <w:ilvl w:val="0"/>
          <w:numId w:val="28"/>
        </w:numPr>
        <w:tabs>
          <w:tab w:val="left" w:pos="581"/>
        </w:tabs>
        <w:spacing w:before="0" w:after="120"/>
        <w:ind w:right="640"/>
        <w:jc w:val="both"/>
        <w:rPr>
          <w:rFonts w:asciiTheme="minorHAnsi" w:hAnsiTheme="minorHAnsi" w:cstheme="minorHAnsi"/>
        </w:rPr>
      </w:pPr>
      <w:r w:rsidRPr="00A926E9">
        <w:rPr>
          <w:rFonts w:asciiTheme="minorHAnsi" w:hAnsiTheme="minorHAnsi" w:cstheme="minorHAnsi"/>
          <w:bCs/>
        </w:rPr>
        <w:t xml:space="preserve">The </w:t>
      </w:r>
      <w:r>
        <w:rPr>
          <w:rFonts w:asciiTheme="minorHAnsi" w:hAnsiTheme="minorHAnsi" w:cstheme="minorHAnsi"/>
        </w:rPr>
        <w:t>use of shared resources mainly splitting time with the Production project is seen to have taken effort and time away from A&amp;L</w:t>
      </w:r>
      <w:r w:rsidR="00355CFB">
        <w:rPr>
          <w:rFonts w:asciiTheme="minorHAnsi" w:hAnsiTheme="minorHAnsi" w:cstheme="minorHAnsi"/>
        </w:rPr>
        <w:t xml:space="preserve"> and for the under-budgeted outputs which suffered in efficiency as a result, a rating of </w:t>
      </w:r>
      <w:r w:rsidR="00355CFB" w:rsidRPr="00355CFB">
        <w:rPr>
          <w:rFonts w:asciiTheme="minorHAnsi" w:hAnsiTheme="minorHAnsi" w:cstheme="minorHAnsi"/>
          <w:b/>
          <w:bCs/>
        </w:rPr>
        <w:t xml:space="preserve">Mildly Unsatisfactory </w:t>
      </w:r>
      <w:r w:rsidR="00355CFB">
        <w:rPr>
          <w:rFonts w:asciiTheme="minorHAnsi" w:hAnsiTheme="minorHAnsi" w:cstheme="minorHAnsi"/>
          <w:b/>
          <w:bCs/>
        </w:rPr>
        <w:t>(</w:t>
      </w:r>
      <w:r w:rsidR="00355CFB" w:rsidRPr="00355CFB">
        <w:rPr>
          <w:rFonts w:asciiTheme="minorHAnsi" w:hAnsiTheme="minorHAnsi" w:cstheme="minorHAnsi"/>
          <w:b/>
          <w:bCs/>
        </w:rPr>
        <w:t>MU</w:t>
      </w:r>
      <w:r w:rsidR="00355CFB">
        <w:rPr>
          <w:rFonts w:asciiTheme="minorHAnsi" w:hAnsiTheme="minorHAnsi" w:cstheme="minorHAnsi"/>
          <w:b/>
          <w:bCs/>
        </w:rPr>
        <w:t>)</w:t>
      </w:r>
      <w:r w:rsidR="00355CFB">
        <w:rPr>
          <w:rFonts w:asciiTheme="minorHAnsi" w:hAnsiTheme="minorHAnsi" w:cstheme="minorHAnsi"/>
        </w:rPr>
        <w:t xml:space="preserve"> is assigned.</w:t>
      </w:r>
      <w:r w:rsidRPr="00A926E9">
        <w:rPr>
          <w:rFonts w:asciiTheme="minorHAnsi" w:hAnsiTheme="minorHAnsi" w:cstheme="minorHAnsi"/>
        </w:rPr>
        <w:t xml:space="preserve"> </w:t>
      </w:r>
      <w:r w:rsidR="00F75F6E" w:rsidRPr="00A926E9">
        <w:rPr>
          <w:rFonts w:asciiTheme="minorHAnsi" w:hAnsiTheme="minorHAnsi" w:cstheme="minorHAnsi"/>
        </w:rPr>
        <w:t xml:space="preserve"> </w:t>
      </w:r>
    </w:p>
    <w:p w14:paraId="4C9A2FDC" w14:textId="13EFB69D" w:rsidR="00F75F6E" w:rsidRPr="00544740" w:rsidRDefault="00F75F6E" w:rsidP="00D80344">
      <w:pPr>
        <w:pStyle w:val="ListParagraph"/>
        <w:numPr>
          <w:ilvl w:val="0"/>
          <w:numId w:val="28"/>
        </w:numPr>
        <w:tabs>
          <w:tab w:val="left" w:pos="581"/>
        </w:tabs>
        <w:spacing w:before="0" w:after="120"/>
        <w:ind w:right="636"/>
        <w:jc w:val="both"/>
        <w:rPr>
          <w:rFonts w:asciiTheme="minorHAnsi" w:hAnsiTheme="minorHAnsi" w:cstheme="minorHAnsi"/>
        </w:rPr>
      </w:pPr>
      <w:r w:rsidRPr="00544740">
        <w:rPr>
          <w:rFonts w:asciiTheme="minorHAnsi" w:hAnsiTheme="minorHAnsi" w:cstheme="minorHAnsi"/>
        </w:rPr>
        <w:t xml:space="preserve">Risks and issues identification and management is rated as </w:t>
      </w:r>
      <w:r w:rsidR="00355CFB" w:rsidRPr="003C4F73">
        <w:rPr>
          <w:rFonts w:asciiTheme="minorHAnsi" w:hAnsiTheme="minorHAnsi" w:cstheme="minorHAnsi"/>
          <w:b/>
        </w:rPr>
        <w:t>Satisfactory</w:t>
      </w:r>
      <w:r w:rsidRPr="003C4F73">
        <w:rPr>
          <w:rFonts w:asciiTheme="minorHAnsi" w:hAnsiTheme="minorHAnsi" w:cstheme="minorHAnsi"/>
          <w:b/>
        </w:rPr>
        <w:t xml:space="preserve"> (S).</w:t>
      </w:r>
      <w:r w:rsidRPr="00544740">
        <w:rPr>
          <w:rFonts w:asciiTheme="minorHAnsi" w:hAnsiTheme="minorHAnsi" w:cstheme="minorHAnsi"/>
          <w:b/>
        </w:rPr>
        <w:t xml:space="preserve"> </w:t>
      </w:r>
      <w:r w:rsidRPr="00544740">
        <w:rPr>
          <w:rFonts w:asciiTheme="minorHAnsi" w:hAnsiTheme="minorHAnsi" w:cstheme="minorHAnsi"/>
        </w:rPr>
        <w:t xml:space="preserve">Issues and risks were not quarterly updated </w:t>
      </w:r>
      <w:r w:rsidR="00355CFB">
        <w:rPr>
          <w:rFonts w:asciiTheme="minorHAnsi" w:hAnsiTheme="minorHAnsi" w:cstheme="minorHAnsi"/>
        </w:rPr>
        <w:t>but they were updated.</w:t>
      </w:r>
      <w:r w:rsidR="00BD0834">
        <w:rPr>
          <w:rFonts w:asciiTheme="minorHAnsi" w:hAnsiTheme="minorHAnsi" w:cstheme="minorHAnsi"/>
        </w:rPr>
        <w:t xml:space="preserve"> In addition they were reviewed and reported on a quarterly basis to the Project Board or Programme Steering Committee.</w:t>
      </w:r>
    </w:p>
    <w:p w14:paraId="522AD8B2" w14:textId="5069C9BB" w:rsidR="00F75F6E" w:rsidRPr="00544740" w:rsidRDefault="00F75F6E" w:rsidP="00D80344">
      <w:pPr>
        <w:pStyle w:val="ListParagraph"/>
        <w:numPr>
          <w:ilvl w:val="0"/>
          <w:numId w:val="28"/>
        </w:numPr>
        <w:tabs>
          <w:tab w:val="left" w:pos="581"/>
        </w:tabs>
        <w:spacing w:before="0" w:after="120"/>
        <w:ind w:right="635"/>
        <w:jc w:val="both"/>
        <w:rPr>
          <w:rFonts w:asciiTheme="minorHAnsi" w:hAnsiTheme="minorHAnsi" w:cstheme="minorHAnsi"/>
        </w:rPr>
      </w:pPr>
      <w:r w:rsidRPr="00544740">
        <w:rPr>
          <w:rFonts w:asciiTheme="minorHAnsi" w:hAnsiTheme="minorHAnsi" w:cstheme="minorHAnsi"/>
        </w:rPr>
        <w:t xml:space="preserve">The involvement of men and women equally into Programme activities </w:t>
      </w:r>
      <w:r w:rsidR="0024641A">
        <w:rPr>
          <w:rFonts w:asciiTheme="minorHAnsi" w:hAnsiTheme="minorHAnsi" w:cstheme="minorHAnsi"/>
          <w:spacing w:val="-12"/>
        </w:rPr>
        <w:t xml:space="preserve">and in the gender action plan and knowledge Products, the Project´s </w:t>
      </w:r>
      <w:r w:rsidR="003C4F73">
        <w:rPr>
          <w:rFonts w:asciiTheme="minorHAnsi" w:hAnsiTheme="minorHAnsi" w:cstheme="minorHAnsi"/>
          <w:spacing w:val="-12"/>
        </w:rPr>
        <w:t>a</w:t>
      </w:r>
      <w:r w:rsidRPr="00544740">
        <w:rPr>
          <w:rFonts w:asciiTheme="minorHAnsi" w:hAnsiTheme="minorHAnsi" w:cstheme="minorHAnsi"/>
        </w:rPr>
        <w:t>ctivities</w:t>
      </w:r>
      <w:r w:rsidRPr="00544740">
        <w:rPr>
          <w:rFonts w:asciiTheme="minorHAnsi" w:hAnsiTheme="minorHAnsi" w:cstheme="minorHAnsi"/>
          <w:spacing w:val="-11"/>
        </w:rPr>
        <w:t xml:space="preserve"> </w:t>
      </w:r>
      <w:r w:rsidRPr="00544740">
        <w:rPr>
          <w:rFonts w:asciiTheme="minorHAnsi" w:hAnsiTheme="minorHAnsi" w:cstheme="minorHAnsi"/>
        </w:rPr>
        <w:t>are</w:t>
      </w:r>
      <w:r w:rsidRPr="00544740">
        <w:rPr>
          <w:rFonts w:asciiTheme="minorHAnsi" w:hAnsiTheme="minorHAnsi" w:cstheme="minorHAnsi"/>
          <w:spacing w:val="-13"/>
        </w:rPr>
        <w:t xml:space="preserve"> </w:t>
      </w:r>
      <w:r w:rsidRPr="00544740">
        <w:rPr>
          <w:rFonts w:asciiTheme="minorHAnsi" w:hAnsiTheme="minorHAnsi" w:cstheme="minorHAnsi"/>
        </w:rPr>
        <w:t>rated</w:t>
      </w:r>
      <w:r w:rsidRPr="00544740">
        <w:rPr>
          <w:rFonts w:asciiTheme="minorHAnsi" w:hAnsiTheme="minorHAnsi" w:cstheme="minorHAnsi"/>
          <w:spacing w:val="-11"/>
        </w:rPr>
        <w:t xml:space="preserve"> </w:t>
      </w:r>
      <w:r w:rsidRPr="00544740">
        <w:rPr>
          <w:rFonts w:asciiTheme="minorHAnsi" w:hAnsiTheme="minorHAnsi" w:cstheme="minorHAnsi"/>
        </w:rPr>
        <w:t>as</w:t>
      </w:r>
      <w:r w:rsidRPr="00544740">
        <w:rPr>
          <w:rFonts w:asciiTheme="minorHAnsi" w:hAnsiTheme="minorHAnsi" w:cstheme="minorHAnsi"/>
          <w:spacing w:val="-11"/>
        </w:rPr>
        <w:t xml:space="preserve"> </w:t>
      </w:r>
      <w:r w:rsidR="0024641A" w:rsidRPr="003C4F73">
        <w:rPr>
          <w:rFonts w:asciiTheme="minorHAnsi" w:hAnsiTheme="minorHAnsi" w:cstheme="minorHAnsi"/>
          <w:b/>
          <w:bCs/>
          <w:spacing w:val="-11"/>
        </w:rPr>
        <w:t>Highly</w:t>
      </w:r>
      <w:r w:rsidR="0024641A" w:rsidRPr="003C4F73">
        <w:rPr>
          <w:rFonts w:asciiTheme="minorHAnsi" w:hAnsiTheme="minorHAnsi" w:cstheme="minorHAnsi"/>
          <w:spacing w:val="-11"/>
        </w:rPr>
        <w:t xml:space="preserve"> </w:t>
      </w:r>
      <w:r w:rsidRPr="00B63A10">
        <w:rPr>
          <w:rFonts w:asciiTheme="minorHAnsi" w:hAnsiTheme="minorHAnsi" w:cstheme="minorHAnsi"/>
          <w:b/>
        </w:rPr>
        <w:t>Satisfactory</w:t>
      </w:r>
      <w:r w:rsidRPr="00B63A10">
        <w:rPr>
          <w:rFonts w:asciiTheme="minorHAnsi" w:hAnsiTheme="minorHAnsi" w:cstheme="minorHAnsi"/>
          <w:b/>
          <w:spacing w:val="-13"/>
        </w:rPr>
        <w:t xml:space="preserve"> </w:t>
      </w:r>
      <w:r w:rsidRPr="00B63A10">
        <w:rPr>
          <w:rFonts w:asciiTheme="minorHAnsi" w:hAnsiTheme="minorHAnsi" w:cstheme="minorHAnsi"/>
          <w:b/>
        </w:rPr>
        <w:t>(S)</w:t>
      </w:r>
      <w:r w:rsidRPr="00B63A10">
        <w:rPr>
          <w:rFonts w:asciiTheme="minorHAnsi" w:hAnsiTheme="minorHAnsi" w:cstheme="minorHAnsi"/>
        </w:rPr>
        <w:t>.</w:t>
      </w:r>
    </w:p>
    <w:p w14:paraId="269A8896" w14:textId="4E1EDD4B" w:rsidR="00F75F6E" w:rsidRPr="0024641A" w:rsidRDefault="00F75F6E" w:rsidP="00D80344">
      <w:pPr>
        <w:pStyle w:val="ListParagraph"/>
        <w:numPr>
          <w:ilvl w:val="0"/>
          <w:numId w:val="28"/>
        </w:numPr>
        <w:tabs>
          <w:tab w:val="left" w:pos="581"/>
        </w:tabs>
        <w:spacing w:before="0" w:after="120"/>
        <w:ind w:right="640"/>
        <w:jc w:val="both"/>
        <w:rPr>
          <w:rFonts w:asciiTheme="minorHAnsi" w:hAnsiTheme="minorHAnsi" w:cstheme="minorHAnsi"/>
        </w:rPr>
      </w:pPr>
      <w:r w:rsidRPr="0024641A">
        <w:rPr>
          <w:rFonts w:asciiTheme="minorHAnsi" w:hAnsiTheme="minorHAnsi" w:cstheme="minorHAnsi"/>
        </w:rPr>
        <w:t>Having</w:t>
      </w:r>
      <w:r w:rsidRPr="0024641A">
        <w:rPr>
          <w:rFonts w:asciiTheme="minorHAnsi" w:hAnsiTheme="minorHAnsi" w:cstheme="minorHAnsi"/>
          <w:spacing w:val="-13"/>
        </w:rPr>
        <w:t xml:space="preserve"> </w:t>
      </w:r>
      <w:r w:rsidRPr="0024641A">
        <w:rPr>
          <w:rFonts w:asciiTheme="minorHAnsi" w:hAnsiTheme="minorHAnsi" w:cstheme="minorHAnsi"/>
        </w:rPr>
        <w:t>multiple</w:t>
      </w:r>
      <w:r w:rsidRPr="0024641A">
        <w:rPr>
          <w:rFonts w:asciiTheme="minorHAnsi" w:hAnsiTheme="minorHAnsi" w:cstheme="minorHAnsi"/>
          <w:spacing w:val="-15"/>
        </w:rPr>
        <w:t xml:space="preserve"> </w:t>
      </w:r>
      <w:r w:rsidRPr="0024641A">
        <w:rPr>
          <w:rFonts w:asciiTheme="minorHAnsi" w:hAnsiTheme="minorHAnsi" w:cstheme="minorHAnsi"/>
        </w:rPr>
        <w:t>countries</w:t>
      </w:r>
      <w:r w:rsidRPr="0024641A">
        <w:rPr>
          <w:rFonts w:asciiTheme="minorHAnsi" w:hAnsiTheme="minorHAnsi" w:cstheme="minorHAnsi"/>
          <w:spacing w:val="-12"/>
        </w:rPr>
        <w:t xml:space="preserve"> </w:t>
      </w:r>
      <w:r w:rsidRPr="0024641A">
        <w:rPr>
          <w:rFonts w:asciiTheme="minorHAnsi" w:hAnsiTheme="minorHAnsi" w:cstheme="minorHAnsi"/>
        </w:rPr>
        <w:t>procure</w:t>
      </w:r>
      <w:r w:rsidRPr="0024641A">
        <w:rPr>
          <w:rFonts w:asciiTheme="minorHAnsi" w:hAnsiTheme="minorHAnsi" w:cstheme="minorHAnsi"/>
          <w:spacing w:val="-15"/>
        </w:rPr>
        <w:t xml:space="preserve"> </w:t>
      </w:r>
      <w:r w:rsidRPr="0024641A">
        <w:rPr>
          <w:rFonts w:asciiTheme="minorHAnsi" w:hAnsiTheme="minorHAnsi" w:cstheme="minorHAnsi"/>
        </w:rPr>
        <w:t>the</w:t>
      </w:r>
      <w:r w:rsidRPr="0024641A">
        <w:rPr>
          <w:rFonts w:asciiTheme="minorHAnsi" w:hAnsiTheme="minorHAnsi" w:cstheme="minorHAnsi"/>
          <w:spacing w:val="-12"/>
        </w:rPr>
        <w:t xml:space="preserve"> </w:t>
      </w:r>
      <w:r w:rsidRPr="0024641A">
        <w:rPr>
          <w:rFonts w:asciiTheme="minorHAnsi" w:hAnsiTheme="minorHAnsi" w:cstheme="minorHAnsi"/>
        </w:rPr>
        <w:t>same</w:t>
      </w:r>
      <w:r w:rsidRPr="0024641A">
        <w:rPr>
          <w:rFonts w:asciiTheme="minorHAnsi" w:hAnsiTheme="minorHAnsi" w:cstheme="minorHAnsi"/>
          <w:spacing w:val="-13"/>
        </w:rPr>
        <w:t xml:space="preserve"> </w:t>
      </w:r>
      <w:r w:rsidR="0024641A" w:rsidRPr="0024641A">
        <w:rPr>
          <w:rFonts w:asciiTheme="minorHAnsi" w:hAnsiTheme="minorHAnsi" w:cstheme="minorHAnsi"/>
        </w:rPr>
        <w:t>outputs</w:t>
      </w:r>
      <w:r w:rsidRPr="0024641A">
        <w:rPr>
          <w:rFonts w:asciiTheme="minorHAnsi" w:hAnsiTheme="minorHAnsi" w:cstheme="minorHAnsi"/>
          <w:spacing w:val="-13"/>
        </w:rPr>
        <w:t xml:space="preserve"> </w:t>
      </w:r>
      <w:r w:rsidRPr="0024641A">
        <w:rPr>
          <w:rFonts w:asciiTheme="minorHAnsi" w:hAnsiTheme="minorHAnsi" w:cstheme="minorHAnsi"/>
        </w:rPr>
        <w:t>had</w:t>
      </w:r>
      <w:r w:rsidRPr="0024641A">
        <w:rPr>
          <w:rFonts w:asciiTheme="minorHAnsi" w:hAnsiTheme="minorHAnsi" w:cstheme="minorHAnsi"/>
          <w:spacing w:val="-15"/>
        </w:rPr>
        <w:t xml:space="preserve"> </w:t>
      </w:r>
      <w:r w:rsidRPr="0024641A">
        <w:rPr>
          <w:rFonts w:asciiTheme="minorHAnsi" w:hAnsiTheme="minorHAnsi" w:cstheme="minorHAnsi"/>
        </w:rPr>
        <w:t>the</w:t>
      </w:r>
      <w:r w:rsidRPr="0024641A">
        <w:rPr>
          <w:rFonts w:asciiTheme="minorHAnsi" w:hAnsiTheme="minorHAnsi" w:cstheme="minorHAnsi"/>
          <w:spacing w:val="-12"/>
        </w:rPr>
        <w:t xml:space="preserve"> </w:t>
      </w:r>
      <w:r w:rsidRPr="0024641A">
        <w:rPr>
          <w:rFonts w:asciiTheme="minorHAnsi" w:hAnsiTheme="minorHAnsi" w:cstheme="minorHAnsi"/>
        </w:rPr>
        <w:t>advantage</w:t>
      </w:r>
      <w:r w:rsidRPr="0024641A">
        <w:rPr>
          <w:rFonts w:asciiTheme="minorHAnsi" w:hAnsiTheme="minorHAnsi" w:cstheme="minorHAnsi"/>
          <w:spacing w:val="-15"/>
        </w:rPr>
        <w:t xml:space="preserve"> </w:t>
      </w:r>
      <w:r w:rsidRPr="0024641A">
        <w:rPr>
          <w:rFonts w:asciiTheme="minorHAnsi" w:hAnsiTheme="minorHAnsi" w:cstheme="minorHAnsi"/>
        </w:rPr>
        <w:t>that</w:t>
      </w:r>
      <w:r w:rsidRPr="0024641A">
        <w:rPr>
          <w:rFonts w:asciiTheme="minorHAnsi" w:hAnsiTheme="minorHAnsi" w:cstheme="minorHAnsi"/>
          <w:spacing w:val="-15"/>
        </w:rPr>
        <w:t xml:space="preserve"> </w:t>
      </w:r>
      <w:r w:rsidRPr="0024641A">
        <w:rPr>
          <w:rFonts w:asciiTheme="minorHAnsi" w:hAnsiTheme="minorHAnsi" w:cstheme="minorHAnsi"/>
        </w:rPr>
        <w:t xml:space="preserve">experiences </w:t>
      </w:r>
      <w:r w:rsidRPr="0024641A">
        <w:rPr>
          <w:rFonts w:asciiTheme="minorHAnsi" w:hAnsiTheme="minorHAnsi" w:cstheme="minorHAnsi"/>
        </w:rPr>
        <w:lastRenderedPageBreak/>
        <w:t>were shared, joint training sessions were conducted in a large multi-country group format, and teams from one country assisted another in the initial</w:t>
      </w:r>
      <w:r w:rsidRPr="0024641A">
        <w:rPr>
          <w:rFonts w:asciiTheme="minorHAnsi" w:hAnsiTheme="minorHAnsi" w:cstheme="minorHAnsi"/>
          <w:spacing w:val="-5"/>
        </w:rPr>
        <w:t xml:space="preserve"> </w:t>
      </w:r>
      <w:r w:rsidRPr="0024641A">
        <w:rPr>
          <w:rFonts w:asciiTheme="minorHAnsi" w:hAnsiTheme="minorHAnsi" w:cstheme="minorHAnsi"/>
        </w:rPr>
        <w:t>installation.</w:t>
      </w:r>
      <w:r w:rsidR="0024641A" w:rsidRPr="0024641A">
        <w:rPr>
          <w:rFonts w:asciiTheme="minorHAnsi" w:hAnsiTheme="minorHAnsi" w:cstheme="minorHAnsi"/>
        </w:rPr>
        <w:t xml:space="preserve"> </w:t>
      </w:r>
      <w:r w:rsidRPr="0024641A">
        <w:rPr>
          <w:rFonts w:asciiTheme="minorHAnsi" w:hAnsiTheme="minorHAnsi" w:cstheme="minorHAnsi"/>
        </w:rPr>
        <w:t>The Pro</w:t>
      </w:r>
      <w:r w:rsidR="0024641A">
        <w:rPr>
          <w:rFonts w:asciiTheme="minorHAnsi" w:hAnsiTheme="minorHAnsi" w:cstheme="minorHAnsi"/>
        </w:rPr>
        <w:t>ject team</w:t>
      </w:r>
      <w:r w:rsidR="004F5EA0">
        <w:rPr>
          <w:rFonts w:asciiTheme="minorHAnsi" w:hAnsiTheme="minorHAnsi" w:cstheme="minorHAnsi"/>
        </w:rPr>
        <w:t>s</w:t>
      </w:r>
      <w:r w:rsidR="0024641A">
        <w:rPr>
          <w:rFonts w:asciiTheme="minorHAnsi" w:hAnsiTheme="minorHAnsi" w:cstheme="minorHAnsi"/>
        </w:rPr>
        <w:t xml:space="preserve"> </w:t>
      </w:r>
      <w:r w:rsidRPr="0024641A">
        <w:rPr>
          <w:rFonts w:asciiTheme="minorHAnsi" w:hAnsiTheme="minorHAnsi" w:cstheme="minorHAnsi"/>
        </w:rPr>
        <w:t xml:space="preserve">became expert in troubleshooting </w:t>
      </w:r>
      <w:r w:rsidR="0024641A">
        <w:rPr>
          <w:rFonts w:asciiTheme="minorHAnsi" w:hAnsiTheme="minorHAnsi" w:cstheme="minorHAnsi"/>
        </w:rPr>
        <w:t xml:space="preserve">problems in getting the National Acton Plans, Platforms, and moving project along in insufficiently budgeted activities at the country-level is </w:t>
      </w:r>
      <w:r w:rsidR="0024641A" w:rsidRPr="003C4F73">
        <w:rPr>
          <w:rFonts w:asciiTheme="minorHAnsi" w:hAnsiTheme="minorHAnsi" w:cstheme="minorHAnsi"/>
          <w:b/>
          <w:bCs/>
        </w:rPr>
        <w:t>Satisfactory (S).</w:t>
      </w:r>
      <w:r w:rsidR="0024641A">
        <w:rPr>
          <w:rFonts w:asciiTheme="minorHAnsi" w:hAnsiTheme="minorHAnsi" w:cstheme="minorHAnsi"/>
        </w:rPr>
        <w:t xml:space="preserve"> </w:t>
      </w:r>
    </w:p>
    <w:p w14:paraId="11769AC4" w14:textId="2E8C88C9" w:rsidR="00F75F6E" w:rsidRPr="00544740" w:rsidRDefault="003C4F73" w:rsidP="00D80344">
      <w:pPr>
        <w:pStyle w:val="ListParagraph"/>
        <w:numPr>
          <w:ilvl w:val="0"/>
          <w:numId w:val="28"/>
        </w:numPr>
        <w:tabs>
          <w:tab w:val="left" w:pos="581"/>
        </w:tabs>
        <w:spacing w:before="0" w:after="120"/>
        <w:ind w:right="641"/>
        <w:jc w:val="both"/>
        <w:rPr>
          <w:rFonts w:asciiTheme="minorHAnsi" w:hAnsiTheme="minorHAnsi" w:cstheme="minorHAnsi"/>
        </w:rPr>
      </w:pPr>
      <w:r>
        <w:rPr>
          <w:rFonts w:asciiTheme="minorHAnsi" w:hAnsiTheme="minorHAnsi" w:cstheme="minorHAnsi"/>
        </w:rPr>
        <w:t xml:space="preserve">Component 2: Evidensia completed its tasks, </w:t>
      </w:r>
      <w:r w:rsidR="00943E4D">
        <w:rPr>
          <w:rFonts w:asciiTheme="minorHAnsi" w:hAnsiTheme="minorHAnsi" w:cstheme="minorHAnsi"/>
        </w:rPr>
        <w:t>ISEAL</w:t>
      </w:r>
      <w:r w:rsidR="00B63A10">
        <w:rPr>
          <w:rFonts w:asciiTheme="minorHAnsi" w:hAnsiTheme="minorHAnsi" w:cstheme="minorHAnsi"/>
        </w:rPr>
        <w:t xml:space="preserve"> alliance added more funding, and synergies between ITC, </w:t>
      </w:r>
      <w:r w:rsidR="00943E4D">
        <w:rPr>
          <w:rFonts w:asciiTheme="minorHAnsi" w:hAnsiTheme="minorHAnsi" w:cstheme="minorHAnsi"/>
        </w:rPr>
        <w:t>ISEAL</w:t>
      </w:r>
      <w:r w:rsidR="00B63A10">
        <w:rPr>
          <w:rFonts w:asciiTheme="minorHAnsi" w:hAnsiTheme="minorHAnsi" w:cstheme="minorHAnsi"/>
        </w:rPr>
        <w:t xml:space="preserve"> and others is </w:t>
      </w:r>
      <w:r w:rsidR="00B63A10" w:rsidRPr="00B63A10">
        <w:rPr>
          <w:rFonts w:asciiTheme="minorHAnsi" w:hAnsiTheme="minorHAnsi" w:cstheme="minorHAnsi"/>
          <w:b/>
          <w:bCs/>
        </w:rPr>
        <w:t>Highly Satisfactory (HS).</w:t>
      </w:r>
    </w:p>
    <w:p w14:paraId="0E1C147E" w14:textId="3B3613B7" w:rsidR="00F75F6E" w:rsidRPr="00544740" w:rsidRDefault="00F75F6E" w:rsidP="00D80344">
      <w:pPr>
        <w:pStyle w:val="ListParagraph"/>
        <w:numPr>
          <w:ilvl w:val="0"/>
          <w:numId w:val="28"/>
        </w:numPr>
        <w:tabs>
          <w:tab w:val="left" w:pos="581"/>
        </w:tabs>
        <w:spacing w:before="0" w:after="120"/>
        <w:ind w:right="635"/>
        <w:jc w:val="both"/>
        <w:rPr>
          <w:rFonts w:asciiTheme="minorHAnsi" w:hAnsiTheme="minorHAnsi" w:cstheme="minorHAnsi"/>
        </w:rPr>
      </w:pPr>
      <w:r w:rsidRPr="00544740">
        <w:rPr>
          <w:rFonts w:asciiTheme="minorHAnsi" w:hAnsiTheme="minorHAnsi" w:cstheme="minorHAnsi"/>
        </w:rPr>
        <w:t xml:space="preserve">The Programme team was </w:t>
      </w:r>
      <w:r w:rsidR="003C4F73">
        <w:rPr>
          <w:rFonts w:asciiTheme="minorHAnsi" w:hAnsiTheme="minorHAnsi" w:cstheme="minorHAnsi"/>
        </w:rPr>
        <w:t xml:space="preserve">assisted by assets from the Green Commodities Programme. The expertise, co-financing and in-kind support helped in lieu of an inadequate budget. This relationship is </w:t>
      </w:r>
      <w:r w:rsidR="003C4F73" w:rsidRPr="003C4F73">
        <w:rPr>
          <w:rFonts w:asciiTheme="minorHAnsi" w:hAnsiTheme="minorHAnsi" w:cstheme="minorHAnsi"/>
          <w:b/>
          <w:bCs/>
        </w:rPr>
        <w:t>Highly Satisfactory (HS)</w:t>
      </w:r>
    </w:p>
    <w:p w14:paraId="4FC435A2" w14:textId="77777777" w:rsidR="00E71B58" w:rsidRDefault="00E71B58" w:rsidP="00E71B58"/>
    <w:p w14:paraId="354A6B6F" w14:textId="5D189498" w:rsidR="00E71B58" w:rsidRPr="001B4669" w:rsidRDefault="00E71B58" w:rsidP="001B4669">
      <w:pPr>
        <w:pStyle w:val="Heading3"/>
      </w:pPr>
      <w:bookmarkStart w:id="79" w:name="_Toc96772498"/>
      <w:r w:rsidRPr="001B4669">
        <w:t>4.3.5</w:t>
      </w:r>
      <w:r w:rsidRPr="001B4669">
        <w:tab/>
        <w:t>Overall Project Outcome Rating</w:t>
      </w:r>
      <w:bookmarkEnd w:id="79"/>
    </w:p>
    <w:p w14:paraId="0308442A" w14:textId="77777777" w:rsidR="00E71B58" w:rsidRDefault="00E71B58" w:rsidP="00E71B58">
      <w:pPr>
        <w:pStyle w:val="BodyText"/>
        <w:spacing w:before="8"/>
        <w:rPr>
          <w:rFonts w:ascii="Segoe UI" w:hAnsi="Segoe UI" w:cs="Segoe UI"/>
        </w:rPr>
      </w:pPr>
    </w:p>
    <w:p w14:paraId="6F2BB3A1" w14:textId="77777777" w:rsidR="00E71B58" w:rsidRDefault="00E71B58" w:rsidP="00E71B58">
      <w:pPr>
        <w:pStyle w:val="BodyText"/>
        <w:spacing w:before="8"/>
        <w:rPr>
          <w:rFonts w:ascii="Segoe UI" w:hAnsi="Segoe UI" w:cs="Segoe UI"/>
        </w:rPr>
      </w:pPr>
    </w:p>
    <w:tbl>
      <w:tblPr>
        <w:tblStyle w:val="TableNormal2"/>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32"/>
        <w:gridCol w:w="1796"/>
      </w:tblGrid>
      <w:tr w:rsidR="00E71B58" w:rsidRPr="003C1535" w14:paraId="71A7B3F2" w14:textId="77777777" w:rsidTr="00062DAE">
        <w:trPr>
          <w:trHeight w:val="285"/>
          <w:jc w:val="center"/>
        </w:trPr>
        <w:tc>
          <w:tcPr>
            <w:tcW w:w="4232" w:type="dxa"/>
            <w:tcBorders>
              <w:top w:val="nil"/>
              <w:left w:val="nil"/>
              <w:bottom w:val="nil"/>
              <w:right w:val="nil"/>
            </w:tcBorders>
            <w:shd w:val="clear" w:color="auto" w:fill="1F3863"/>
          </w:tcPr>
          <w:p w14:paraId="7A97266A" w14:textId="77777777" w:rsidR="00E71B58" w:rsidRPr="003C1535" w:rsidRDefault="00E71B58" w:rsidP="00062DAE">
            <w:pPr>
              <w:pStyle w:val="TableParagraph"/>
              <w:spacing w:before="3" w:line="262" w:lineRule="exact"/>
              <w:ind w:left="91"/>
              <w:rPr>
                <w:rFonts w:asciiTheme="minorHAnsi" w:hAnsiTheme="minorHAnsi" w:cstheme="minorHAnsi"/>
                <w:sz w:val="24"/>
                <w:szCs w:val="24"/>
              </w:rPr>
            </w:pPr>
            <w:r w:rsidRPr="003C1535">
              <w:rPr>
                <w:rFonts w:asciiTheme="minorHAnsi" w:hAnsiTheme="minorHAnsi" w:cstheme="minorHAnsi"/>
                <w:color w:val="FFFFFF"/>
                <w:sz w:val="24"/>
                <w:szCs w:val="24"/>
              </w:rPr>
              <w:t>Assessment of Outcomes</w:t>
            </w:r>
          </w:p>
        </w:tc>
        <w:tc>
          <w:tcPr>
            <w:tcW w:w="1796" w:type="dxa"/>
            <w:tcBorders>
              <w:top w:val="nil"/>
              <w:left w:val="nil"/>
              <w:bottom w:val="nil"/>
              <w:right w:val="nil"/>
            </w:tcBorders>
            <w:shd w:val="clear" w:color="auto" w:fill="1F3863"/>
          </w:tcPr>
          <w:p w14:paraId="13A9BC41" w14:textId="77777777" w:rsidR="00E71B58" w:rsidRPr="003C1535" w:rsidRDefault="00E71B58" w:rsidP="00062DAE">
            <w:pPr>
              <w:pStyle w:val="TableParagraph"/>
              <w:spacing w:before="3" w:line="262" w:lineRule="exact"/>
              <w:ind w:left="597"/>
              <w:rPr>
                <w:rFonts w:asciiTheme="minorHAnsi" w:hAnsiTheme="minorHAnsi" w:cstheme="minorHAnsi"/>
                <w:sz w:val="24"/>
                <w:szCs w:val="24"/>
              </w:rPr>
            </w:pPr>
            <w:r w:rsidRPr="003C1535">
              <w:rPr>
                <w:rFonts w:asciiTheme="minorHAnsi" w:hAnsiTheme="minorHAnsi" w:cstheme="minorHAnsi"/>
                <w:color w:val="FFFFFF"/>
                <w:sz w:val="24"/>
                <w:szCs w:val="24"/>
              </w:rPr>
              <w:t>Rating</w:t>
            </w:r>
          </w:p>
        </w:tc>
      </w:tr>
      <w:tr w:rsidR="00E71B58" w:rsidRPr="003C1535" w14:paraId="75C4AC4F" w14:textId="77777777" w:rsidTr="00062DAE">
        <w:trPr>
          <w:trHeight w:val="278"/>
          <w:jc w:val="center"/>
        </w:trPr>
        <w:tc>
          <w:tcPr>
            <w:tcW w:w="4232" w:type="dxa"/>
            <w:tcBorders>
              <w:top w:val="nil"/>
            </w:tcBorders>
            <w:shd w:val="clear" w:color="auto" w:fill="D9E1F3"/>
          </w:tcPr>
          <w:p w14:paraId="49AF3CCE" w14:textId="77777777" w:rsidR="00E71B58" w:rsidRPr="003C1535" w:rsidRDefault="00E71B58" w:rsidP="00062DAE">
            <w:pPr>
              <w:pStyle w:val="TableParagraph"/>
              <w:spacing w:line="258" w:lineRule="exact"/>
              <w:ind w:left="88"/>
              <w:rPr>
                <w:rFonts w:asciiTheme="minorHAnsi" w:hAnsiTheme="minorHAnsi" w:cstheme="minorHAnsi"/>
                <w:sz w:val="24"/>
                <w:szCs w:val="24"/>
              </w:rPr>
            </w:pPr>
            <w:r w:rsidRPr="003C1535">
              <w:rPr>
                <w:rFonts w:asciiTheme="minorHAnsi" w:hAnsiTheme="minorHAnsi" w:cstheme="minorHAnsi"/>
                <w:color w:val="1F3863"/>
                <w:sz w:val="24"/>
                <w:szCs w:val="24"/>
              </w:rPr>
              <w:t>Relevance</w:t>
            </w:r>
          </w:p>
        </w:tc>
        <w:tc>
          <w:tcPr>
            <w:tcW w:w="1796" w:type="dxa"/>
            <w:tcBorders>
              <w:top w:val="nil"/>
            </w:tcBorders>
          </w:tcPr>
          <w:p w14:paraId="62BC8845" w14:textId="1BE02545" w:rsidR="00E71B58" w:rsidRPr="003C1535" w:rsidRDefault="005D4C63" w:rsidP="00062DAE">
            <w:pPr>
              <w:pStyle w:val="TableParagraph"/>
              <w:jc w:val="center"/>
              <w:rPr>
                <w:rFonts w:asciiTheme="minorHAnsi" w:hAnsiTheme="minorHAnsi" w:cstheme="minorHAnsi"/>
                <w:sz w:val="24"/>
                <w:szCs w:val="24"/>
              </w:rPr>
            </w:pPr>
            <w:r>
              <w:rPr>
                <w:rFonts w:asciiTheme="minorHAnsi" w:hAnsiTheme="minorHAnsi" w:cstheme="minorHAnsi"/>
                <w:sz w:val="24"/>
                <w:szCs w:val="24"/>
              </w:rPr>
              <w:t>HS (6)</w:t>
            </w:r>
          </w:p>
        </w:tc>
      </w:tr>
      <w:tr w:rsidR="00E71B58" w:rsidRPr="003C1535" w14:paraId="77E97C84" w14:textId="77777777" w:rsidTr="00062DAE">
        <w:trPr>
          <w:trHeight w:val="280"/>
          <w:jc w:val="center"/>
        </w:trPr>
        <w:tc>
          <w:tcPr>
            <w:tcW w:w="4232" w:type="dxa"/>
            <w:shd w:val="clear" w:color="auto" w:fill="D9E1F3"/>
          </w:tcPr>
          <w:p w14:paraId="15134C76" w14:textId="77777777" w:rsidR="00E71B58" w:rsidRPr="003C1535" w:rsidRDefault="00E71B58" w:rsidP="00062DAE">
            <w:pPr>
              <w:pStyle w:val="TableParagraph"/>
              <w:spacing w:line="261" w:lineRule="exact"/>
              <w:ind w:left="88"/>
              <w:rPr>
                <w:rFonts w:asciiTheme="minorHAnsi" w:hAnsiTheme="minorHAnsi" w:cstheme="minorHAnsi"/>
                <w:sz w:val="24"/>
                <w:szCs w:val="24"/>
              </w:rPr>
            </w:pPr>
            <w:r w:rsidRPr="003C1535">
              <w:rPr>
                <w:rFonts w:asciiTheme="minorHAnsi" w:hAnsiTheme="minorHAnsi" w:cstheme="minorHAnsi"/>
                <w:color w:val="1F3863"/>
                <w:sz w:val="24"/>
                <w:szCs w:val="24"/>
              </w:rPr>
              <w:t>Effectiveness</w:t>
            </w:r>
          </w:p>
        </w:tc>
        <w:tc>
          <w:tcPr>
            <w:tcW w:w="1796" w:type="dxa"/>
          </w:tcPr>
          <w:p w14:paraId="206904CA" w14:textId="34098283" w:rsidR="00E71B58" w:rsidRPr="003C1535" w:rsidRDefault="005D4C63" w:rsidP="00062DAE">
            <w:pPr>
              <w:pStyle w:val="TableParagraph"/>
              <w:jc w:val="center"/>
              <w:rPr>
                <w:rFonts w:asciiTheme="minorHAnsi" w:hAnsiTheme="minorHAnsi" w:cstheme="minorHAnsi"/>
                <w:sz w:val="24"/>
                <w:szCs w:val="24"/>
              </w:rPr>
            </w:pPr>
            <w:r>
              <w:rPr>
                <w:rFonts w:asciiTheme="minorHAnsi" w:hAnsiTheme="minorHAnsi" w:cstheme="minorHAnsi"/>
                <w:sz w:val="24"/>
                <w:szCs w:val="24"/>
              </w:rPr>
              <w:t>S (5)</w:t>
            </w:r>
          </w:p>
        </w:tc>
      </w:tr>
      <w:tr w:rsidR="00E71B58" w:rsidRPr="003C1535" w14:paraId="456C9625" w14:textId="77777777" w:rsidTr="00062DAE">
        <w:trPr>
          <w:trHeight w:val="278"/>
          <w:jc w:val="center"/>
        </w:trPr>
        <w:tc>
          <w:tcPr>
            <w:tcW w:w="4232" w:type="dxa"/>
            <w:shd w:val="clear" w:color="auto" w:fill="D9E1F3"/>
          </w:tcPr>
          <w:p w14:paraId="535ACA90" w14:textId="77777777" w:rsidR="00E71B58" w:rsidRPr="003C1535" w:rsidRDefault="00E71B58" w:rsidP="00062DAE">
            <w:pPr>
              <w:pStyle w:val="TableParagraph"/>
              <w:spacing w:line="258" w:lineRule="exact"/>
              <w:ind w:left="88"/>
              <w:rPr>
                <w:rFonts w:asciiTheme="minorHAnsi" w:hAnsiTheme="minorHAnsi" w:cstheme="minorHAnsi"/>
                <w:sz w:val="24"/>
                <w:szCs w:val="24"/>
              </w:rPr>
            </w:pPr>
            <w:r w:rsidRPr="003C1535">
              <w:rPr>
                <w:rFonts w:asciiTheme="minorHAnsi" w:hAnsiTheme="minorHAnsi" w:cstheme="minorHAnsi"/>
                <w:color w:val="1F3863"/>
                <w:sz w:val="24"/>
                <w:szCs w:val="24"/>
              </w:rPr>
              <w:t>Efficiency</w:t>
            </w:r>
          </w:p>
        </w:tc>
        <w:tc>
          <w:tcPr>
            <w:tcW w:w="1796" w:type="dxa"/>
          </w:tcPr>
          <w:p w14:paraId="5D19E4D5" w14:textId="6905847F" w:rsidR="00E71B58" w:rsidRPr="003C1535" w:rsidRDefault="005D4C63" w:rsidP="00062DAE">
            <w:pPr>
              <w:pStyle w:val="TableParagraph"/>
              <w:jc w:val="center"/>
              <w:rPr>
                <w:rFonts w:asciiTheme="minorHAnsi" w:hAnsiTheme="minorHAnsi" w:cstheme="minorHAnsi"/>
                <w:sz w:val="24"/>
                <w:szCs w:val="24"/>
              </w:rPr>
            </w:pPr>
            <w:r>
              <w:rPr>
                <w:rFonts w:asciiTheme="minorHAnsi" w:hAnsiTheme="minorHAnsi" w:cstheme="minorHAnsi"/>
                <w:sz w:val="24"/>
                <w:szCs w:val="24"/>
              </w:rPr>
              <w:t>S (5)</w:t>
            </w:r>
          </w:p>
        </w:tc>
      </w:tr>
      <w:tr w:rsidR="00E71B58" w:rsidRPr="003C1535" w14:paraId="6AEF2161" w14:textId="77777777" w:rsidTr="00062DAE">
        <w:trPr>
          <w:trHeight w:val="280"/>
          <w:jc w:val="center"/>
        </w:trPr>
        <w:tc>
          <w:tcPr>
            <w:tcW w:w="4232" w:type="dxa"/>
            <w:shd w:val="clear" w:color="auto" w:fill="D9E1F3"/>
          </w:tcPr>
          <w:p w14:paraId="71C8F051" w14:textId="77777777" w:rsidR="00E71B58" w:rsidRPr="003C1535" w:rsidRDefault="00E71B58" w:rsidP="00062DAE">
            <w:pPr>
              <w:pStyle w:val="TableParagraph"/>
              <w:spacing w:line="261" w:lineRule="exact"/>
              <w:ind w:left="88"/>
              <w:rPr>
                <w:rFonts w:asciiTheme="minorHAnsi" w:hAnsiTheme="minorHAnsi" w:cstheme="minorHAnsi"/>
                <w:sz w:val="24"/>
                <w:szCs w:val="24"/>
              </w:rPr>
            </w:pPr>
            <w:r w:rsidRPr="003C1535">
              <w:rPr>
                <w:rFonts w:asciiTheme="minorHAnsi" w:hAnsiTheme="minorHAnsi" w:cstheme="minorHAnsi"/>
                <w:color w:val="1F3863"/>
                <w:sz w:val="24"/>
                <w:szCs w:val="24"/>
              </w:rPr>
              <w:t>Overall Project Outcome Rating</w:t>
            </w:r>
          </w:p>
        </w:tc>
        <w:tc>
          <w:tcPr>
            <w:tcW w:w="1796" w:type="dxa"/>
          </w:tcPr>
          <w:p w14:paraId="44B83C53" w14:textId="2D9C0F02" w:rsidR="00E71B58" w:rsidRPr="003C1535" w:rsidRDefault="005D4C63" w:rsidP="00062DAE">
            <w:pPr>
              <w:pStyle w:val="TableParagraph"/>
              <w:jc w:val="center"/>
              <w:rPr>
                <w:rFonts w:asciiTheme="minorHAnsi" w:hAnsiTheme="minorHAnsi" w:cstheme="minorHAnsi"/>
                <w:sz w:val="24"/>
                <w:szCs w:val="24"/>
              </w:rPr>
            </w:pPr>
            <w:r>
              <w:rPr>
                <w:rFonts w:asciiTheme="minorHAnsi" w:hAnsiTheme="minorHAnsi" w:cstheme="minorHAnsi"/>
                <w:sz w:val="24"/>
                <w:szCs w:val="24"/>
              </w:rPr>
              <w:t>S (5)</w:t>
            </w:r>
          </w:p>
        </w:tc>
      </w:tr>
    </w:tbl>
    <w:p w14:paraId="72E06F49" w14:textId="1AE5797B" w:rsidR="00E71B58" w:rsidRDefault="00981DDE" w:rsidP="00E71B58">
      <w:pPr>
        <w:pStyle w:val="BodyText"/>
        <w:spacing w:before="8"/>
        <w:rPr>
          <w:rFonts w:ascii="Segoe UI" w:hAnsi="Segoe UI" w:cs="Segoe UI"/>
        </w:rPr>
      </w:pPr>
      <w:r>
        <w:rPr>
          <w:rFonts w:ascii="Segoe UI" w:hAnsi="Segoe UI" w:cs="Segoe UI"/>
        </w:rPr>
        <w:tab/>
      </w:r>
      <w:r>
        <w:rPr>
          <w:rFonts w:ascii="Segoe UI" w:hAnsi="Segoe UI" w:cs="Segoe UI"/>
        </w:rPr>
        <w:tab/>
      </w:r>
      <w:r>
        <w:rPr>
          <w:rFonts w:ascii="Segoe UI" w:hAnsi="Segoe UI" w:cs="Segoe UI"/>
        </w:rPr>
        <w:tab/>
        <w:t>Table 11. Overall Project Outcome Rating</w:t>
      </w:r>
    </w:p>
    <w:p w14:paraId="70721416" w14:textId="77777777" w:rsidR="00981DDE" w:rsidRDefault="00981DDE" w:rsidP="00E71B58">
      <w:pPr>
        <w:pStyle w:val="BodyText"/>
        <w:spacing w:before="8"/>
        <w:rPr>
          <w:rFonts w:ascii="Segoe UI" w:hAnsi="Segoe UI" w:cs="Segoe UI"/>
        </w:rPr>
      </w:pPr>
    </w:p>
    <w:p w14:paraId="61D78D46" w14:textId="114026CF" w:rsidR="00943E4D" w:rsidRDefault="00943E4D" w:rsidP="005D4C63">
      <w:pPr>
        <w:pStyle w:val="BodyText"/>
        <w:spacing w:after="120"/>
        <w:ind w:right="86"/>
        <w:rPr>
          <w:rFonts w:asciiTheme="minorHAnsi" w:hAnsiTheme="minorHAnsi" w:cstheme="minorHAnsi"/>
          <w:sz w:val="22"/>
          <w:szCs w:val="22"/>
        </w:rPr>
      </w:pPr>
      <w:r>
        <w:rPr>
          <w:rFonts w:asciiTheme="minorHAnsi" w:hAnsiTheme="minorHAnsi" w:cstheme="minorHAnsi"/>
          <w:sz w:val="22"/>
          <w:szCs w:val="22"/>
        </w:rPr>
        <w:t>Overall Project Outcome Rating is Satisfactory.</w:t>
      </w:r>
      <w:r w:rsidR="005D4C63">
        <w:rPr>
          <w:rFonts w:asciiTheme="minorHAnsi" w:hAnsiTheme="minorHAnsi" w:cstheme="minorHAnsi"/>
          <w:sz w:val="22"/>
          <w:szCs w:val="22"/>
        </w:rPr>
        <w:t xml:space="preserve"> Refer to Rating Table in </w:t>
      </w:r>
      <w:hyperlink w:anchor="_Annex_1._Summary" w:history="1">
        <w:r w:rsidR="005D4C63" w:rsidRPr="00F875FE">
          <w:rPr>
            <w:rStyle w:val="Hyperlink"/>
            <w:rFonts w:asciiTheme="minorHAnsi" w:hAnsiTheme="minorHAnsi" w:cstheme="minorHAnsi"/>
            <w:sz w:val="22"/>
            <w:szCs w:val="22"/>
          </w:rPr>
          <w:t>Annex 1</w:t>
        </w:r>
      </w:hyperlink>
      <w:r w:rsidR="005D4C63">
        <w:rPr>
          <w:rFonts w:asciiTheme="minorHAnsi" w:hAnsiTheme="minorHAnsi" w:cstheme="minorHAnsi"/>
          <w:sz w:val="22"/>
          <w:szCs w:val="22"/>
        </w:rPr>
        <w:t xml:space="preserve">. </w:t>
      </w:r>
    </w:p>
    <w:p w14:paraId="01D86BF7" w14:textId="09901677" w:rsidR="00E71B58" w:rsidRDefault="00E71B58" w:rsidP="007D3FE4">
      <w:pPr>
        <w:pStyle w:val="BodyText"/>
        <w:spacing w:after="120"/>
        <w:ind w:right="86"/>
        <w:rPr>
          <w:rFonts w:asciiTheme="minorHAnsi" w:hAnsiTheme="minorHAnsi" w:cstheme="minorHAnsi"/>
          <w:sz w:val="22"/>
          <w:szCs w:val="22"/>
        </w:rPr>
      </w:pPr>
    </w:p>
    <w:p w14:paraId="6A9BADB4" w14:textId="387409B4" w:rsidR="00E71B58" w:rsidRDefault="00E71B58" w:rsidP="00D80344">
      <w:pPr>
        <w:pStyle w:val="Heading3"/>
        <w:numPr>
          <w:ilvl w:val="2"/>
          <w:numId w:val="11"/>
        </w:numPr>
      </w:pPr>
      <w:bookmarkStart w:id="80" w:name="_Toc96772499"/>
      <w:r>
        <w:t>Country ownership</w:t>
      </w:r>
      <w:bookmarkEnd w:id="80"/>
    </w:p>
    <w:p w14:paraId="3F5F2C6B" w14:textId="50526DD4" w:rsidR="00E71B58" w:rsidRPr="000D6675" w:rsidRDefault="00E71B58" w:rsidP="00943E4D">
      <w:pPr>
        <w:pStyle w:val="BodyText"/>
        <w:spacing w:after="120"/>
        <w:ind w:left="216" w:right="634"/>
        <w:jc w:val="both"/>
        <w:rPr>
          <w:rFonts w:asciiTheme="minorHAnsi" w:hAnsiTheme="minorHAnsi" w:cstheme="minorHAnsi"/>
          <w:sz w:val="22"/>
          <w:szCs w:val="22"/>
        </w:rPr>
      </w:pPr>
      <w:r w:rsidRPr="000D6675">
        <w:rPr>
          <w:rFonts w:asciiTheme="minorHAnsi" w:hAnsiTheme="minorHAnsi" w:cstheme="minorHAnsi"/>
          <w:sz w:val="22"/>
          <w:szCs w:val="22"/>
        </w:rPr>
        <w:t>Although this is a global programme, country ownership was evident during the Pro</w:t>
      </w:r>
      <w:r w:rsidR="000D6675">
        <w:rPr>
          <w:rFonts w:asciiTheme="minorHAnsi" w:hAnsiTheme="minorHAnsi" w:cstheme="minorHAnsi"/>
          <w:sz w:val="22"/>
          <w:szCs w:val="22"/>
        </w:rPr>
        <w:t>ject</w:t>
      </w:r>
      <w:r w:rsidRPr="000D6675">
        <w:rPr>
          <w:rFonts w:asciiTheme="minorHAnsi" w:hAnsiTheme="minorHAnsi" w:cstheme="minorHAnsi"/>
          <w:sz w:val="22"/>
          <w:szCs w:val="22"/>
        </w:rPr>
        <w:t xml:space="preserve"> formulation stage and Programme implementation due to the following:</w:t>
      </w:r>
    </w:p>
    <w:p w14:paraId="1D91B53B" w14:textId="16DEACCE" w:rsidR="000D6675" w:rsidRPr="009D1714" w:rsidRDefault="00943E4D" w:rsidP="00D80344">
      <w:pPr>
        <w:pStyle w:val="ListParagraph"/>
        <w:numPr>
          <w:ilvl w:val="0"/>
          <w:numId w:val="40"/>
        </w:numPr>
        <w:tabs>
          <w:tab w:val="left" w:pos="941"/>
        </w:tabs>
        <w:spacing w:after="120"/>
        <w:ind w:right="641"/>
        <w:jc w:val="both"/>
        <w:rPr>
          <w:rFonts w:asciiTheme="minorHAnsi" w:hAnsiTheme="minorHAnsi" w:cstheme="minorHAnsi"/>
        </w:rPr>
      </w:pPr>
      <w:r>
        <w:rPr>
          <w:rFonts w:asciiTheme="minorHAnsi" w:hAnsiTheme="minorHAnsi" w:cstheme="minorHAnsi"/>
        </w:rPr>
        <w:t>T</w:t>
      </w:r>
      <w:r w:rsidR="00E71B58" w:rsidRPr="009D1714">
        <w:rPr>
          <w:rFonts w:asciiTheme="minorHAnsi" w:hAnsiTheme="minorHAnsi" w:cstheme="minorHAnsi"/>
        </w:rPr>
        <w:t xml:space="preserve">he Programme idea has its origin within the national </w:t>
      </w:r>
      <w:r w:rsidR="000D6675" w:rsidRPr="009D1714">
        <w:rPr>
          <w:rFonts w:asciiTheme="minorHAnsi" w:hAnsiTheme="minorHAnsi" w:cstheme="minorHAnsi"/>
        </w:rPr>
        <w:t>priority sectors</w:t>
      </w:r>
      <w:r w:rsidR="00E71B58" w:rsidRPr="009D1714">
        <w:rPr>
          <w:rFonts w:asciiTheme="minorHAnsi" w:hAnsiTheme="minorHAnsi" w:cstheme="minorHAnsi"/>
        </w:rPr>
        <w:t xml:space="preserve"> and development</w:t>
      </w:r>
      <w:r w:rsidR="00E71B58" w:rsidRPr="009D1714">
        <w:rPr>
          <w:rFonts w:asciiTheme="minorHAnsi" w:hAnsiTheme="minorHAnsi" w:cstheme="minorHAnsi"/>
          <w:spacing w:val="-26"/>
        </w:rPr>
        <w:t xml:space="preserve"> </w:t>
      </w:r>
      <w:r w:rsidR="00E71B58" w:rsidRPr="009D1714">
        <w:rPr>
          <w:rFonts w:asciiTheme="minorHAnsi" w:hAnsiTheme="minorHAnsi" w:cstheme="minorHAnsi"/>
        </w:rPr>
        <w:t xml:space="preserve">plans. </w:t>
      </w:r>
    </w:p>
    <w:p w14:paraId="4137D1BF" w14:textId="34D7EB09" w:rsidR="00E71B58" w:rsidRPr="009D1714" w:rsidRDefault="00E71B58" w:rsidP="00D80344">
      <w:pPr>
        <w:pStyle w:val="ListParagraph"/>
        <w:numPr>
          <w:ilvl w:val="0"/>
          <w:numId w:val="40"/>
        </w:numPr>
        <w:tabs>
          <w:tab w:val="left" w:pos="941"/>
        </w:tabs>
        <w:spacing w:after="120"/>
        <w:ind w:right="641"/>
        <w:jc w:val="both"/>
        <w:rPr>
          <w:rFonts w:asciiTheme="minorHAnsi" w:hAnsiTheme="minorHAnsi" w:cstheme="minorHAnsi"/>
        </w:rPr>
      </w:pPr>
      <w:r w:rsidRPr="009D1714">
        <w:rPr>
          <w:rFonts w:asciiTheme="minorHAnsi" w:hAnsiTheme="minorHAnsi" w:cstheme="minorHAnsi"/>
        </w:rPr>
        <w:t xml:space="preserve">It is aligned and interlinked with several </w:t>
      </w:r>
      <w:r w:rsidR="000D6675" w:rsidRPr="009D1714">
        <w:rPr>
          <w:rFonts w:asciiTheme="minorHAnsi" w:hAnsiTheme="minorHAnsi" w:cstheme="minorHAnsi"/>
        </w:rPr>
        <w:t xml:space="preserve">international partners with </w:t>
      </w:r>
      <w:r w:rsidRPr="009D1714">
        <w:rPr>
          <w:rFonts w:asciiTheme="minorHAnsi" w:hAnsiTheme="minorHAnsi" w:cstheme="minorHAnsi"/>
        </w:rPr>
        <w:t>nationally led</w:t>
      </w:r>
      <w:r w:rsidRPr="009D1714">
        <w:rPr>
          <w:rFonts w:asciiTheme="minorHAnsi" w:hAnsiTheme="minorHAnsi" w:cstheme="minorHAnsi"/>
          <w:spacing w:val="-8"/>
        </w:rPr>
        <w:t xml:space="preserve"> </w:t>
      </w:r>
      <w:r w:rsidRPr="009D1714">
        <w:rPr>
          <w:rFonts w:asciiTheme="minorHAnsi" w:hAnsiTheme="minorHAnsi" w:cstheme="minorHAnsi"/>
        </w:rPr>
        <w:t>projects</w:t>
      </w:r>
      <w:r w:rsidR="000D6675" w:rsidRPr="009D1714">
        <w:rPr>
          <w:rFonts w:asciiTheme="minorHAnsi" w:hAnsiTheme="minorHAnsi" w:cstheme="minorHAnsi"/>
        </w:rPr>
        <w:t xml:space="preserve"> and priorities</w:t>
      </w:r>
      <w:r w:rsidRPr="009D1714">
        <w:rPr>
          <w:rFonts w:asciiTheme="minorHAnsi" w:hAnsiTheme="minorHAnsi" w:cstheme="minorHAnsi"/>
        </w:rPr>
        <w:t>.</w:t>
      </w:r>
    </w:p>
    <w:p w14:paraId="1576742A" w14:textId="77777777" w:rsidR="00E71B58" w:rsidRPr="009D1714" w:rsidRDefault="00E71B58" w:rsidP="00D80344">
      <w:pPr>
        <w:pStyle w:val="ListParagraph"/>
        <w:numPr>
          <w:ilvl w:val="0"/>
          <w:numId w:val="40"/>
        </w:numPr>
        <w:tabs>
          <w:tab w:val="left" w:pos="941"/>
        </w:tabs>
        <w:spacing w:after="120"/>
        <w:ind w:right="646"/>
        <w:jc w:val="both"/>
        <w:rPr>
          <w:rFonts w:asciiTheme="minorHAnsi" w:hAnsiTheme="minorHAnsi" w:cstheme="minorHAnsi"/>
        </w:rPr>
      </w:pPr>
      <w:r w:rsidRPr="009D1714">
        <w:rPr>
          <w:rFonts w:asciiTheme="minorHAnsi" w:hAnsiTheme="minorHAnsi" w:cstheme="minorHAnsi"/>
        </w:rPr>
        <w:t>The</w:t>
      </w:r>
      <w:r w:rsidRPr="009D1714">
        <w:rPr>
          <w:rFonts w:asciiTheme="minorHAnsi" w:hAnsiTheme="minorHAnsi" w:cstheme="minorHAnsi"/>
          <w:spacing w:val="-17"/>
        </w:rPr>
        <w:t xml:space="preserve"> </w:t>
      </w:r>
      <w:r w:rsidRPr="009D1714">
        <w:rPr>
          <w:rFonts w:asciiTheme="minorHAnsi" w:hAnsiTheme="minorHAnsi" w:cstheme="minorHAnsi"/>
        </w:rPr>
        <w:t>Programme</w:t>
      </w:r>
      <w:r w:rsidRPr="009D1714">
        <w:rPr>
          <w:rFonts w:asciiTheme="minorHAnsi" w:hAnsiTheme="minorHAnsi" w:cstheme="minorHAnsi"/>
          <w:spacing w:val="-16"/>
        </w:rPr>
        <w:t xml:space="preserve"> </w:t>
      </w:r>
      <w:r w:rsidRPr="009D1714">
        <w:rPr>
          <w:rFonts w:asciiTheme="minorHAnsi" w:hAnsiTheme="minorHAnsi" w:cstheme="minorHAnsi"/>
        </w:rPr>
        <w:t>component</w:t>
      </w:r>
      <w:r w:rsidRPr="009D1714">
        <w:rPr>
          <w:rFonts w:asciiTheme="minorHAnsi" w:hAnsiTheme="minorHAnsi" w:cstheme="minorHAnsi"/>
          <w:spacing w:val="-18"/>
        </w:rPr>
        <w:t xml:space="preserve"> </w:t>
      </w:r>
      <w:r w:rsidRPr="009D1714">
        <w:rPr>
          <w:rFonts w:asciiTheme="minorHAnsi" w:hAnsiTheme="minorHAnsi" w:cstheme="minorHAnsi"/>
        </w:rPr>
        <w:t>was</w:t>
      </w:r>
      <w:r w:rsidRPr="009D1714">
        <w:rPr>
          <w:rFonts w:asciiTheme="minorHAnsi" w:hAnsiTheme="minorHAnsi" w:cstheme="minorHAnsi"/>
          <w:spacing w:val="-16"/>
        </w:rPr>
        <w:t xml:space="preserve"> </w:t>
      </w:r>
      <w:r w:rsidRPr="009D1714">
        <w:rPr>
          <w:rFonts w:asciiTheme="minorHAnsi" w:hAnsiTheme="minorHAnsi" w:cstheme="minorHAnsi"/>
        </w:rPr>
        <w:t>developed</w:t>
      </w:r>
      <w:r w:rsidRPr="009D1714">
        <w:rPr>
          <w:rFonts w:asciiTheme="minorHAnsi" w:hAnsiTheme="minorHAnsi" w:cstheme="minorHAnsi"/>
          <w:spacing w:val="-16"/>
        </w:rPr>
        <w:t xml:space="preserve"> </w:t>
      </w:r>
      <w:r w:rsidRPr="009D1714">
        <w:rPr>
          <w:rFonts w:asciiTheme="minorHAnsi" w:hAnsiTheme="minorHAnsi" w:cstheme="minorHAnsi"/>
        </w:rPr>
        <w:t>based</w:t>
      </w:r>
      <w:r w:rsidRPr="009D1714">
        <w:rPr>
          <w:rFonts w:asciiTheme="minorHAnsi" w:hAnsiTheme="minorHAnsi" w:cstheme="minorHAnsi"/>
          <w:spacing w:val="-17"/>
        </w:rPr>
        <w:t xml:space="preserve"> </w:t>
      </w:r>
      <w:r w:rsidRPr="009D1714">
        <w:rPr>
          <w:rFonts w:asciiTheme="minorHAnsi" w:hAnsiTheme="minorHAnsi" w:cstheme="minorHAnsi"/>
        </w:rPr>
        <w:t>on</w:t>
      </w:r>
      <w:r w:rsidRPr="009D1714">
        <w:rPr>
          <w:rFonts w:asciiTheme="minorHAnsi" w:hAnsiTheme="minorHAnsi" w:cstheme="minorHAnsi"/>
          <w:spacing w:val="-17"/>
        </w:rPr>
        <w:t xml:space="preserve"> </w:t>
      </w:r>
      <w:r w:rsidRPr="009D1714">
        <w:rPr>
          <w:rFonts w:asciiTheme="minorHAnsi" w:hAnsiTheme="minorHAnsi" w:cstheme="minorHAnsi"/>
        </w:rPr>
        <w:t>comprehensive</w:t>
      </w:r>
      <w:r w:rsidRPr="009D1714">
        <w:rPr>
          <w:rFonts w:asciiTheme="minorHAnsi" w:hAnsiTheme="minorHAnsi" w:cstheme="minorHAnsi"/>
          <w:spacing w:val="-16"/>
        </w:rPr>
        <w:t xml:space="preserve"> </w:t>
      </w:r>
      <w:r w:rsidRPr="009D1714">
        <w:rPr>
          <w:rFonts w:asciiTheme="minorHAnsi" w:hAnsiTheme="minorHAnsi" w:cstheme="minorHAnsi"/>
        </w:rPr>
        <w:t>consultation</w:t>
      </w:r>
      <w:r w:rsidRPr="009D1714">
        <w:rPr>
          <w:rFonts w:asciiTheme="minorHAnsi" w:hAnsiTheme="minorHAnsi" w:cstheme="minorHAnsi"/>
          <w:spacing w:val="-15"/>
        </w:rPr>
        <w:t xml:space="preserve"> </w:t>
      </w:r>
      <w:r w:rsidRPr="009D1714">
        <w:rPr>
          <w:rFonts w:asciiTheme="minorHAnsi" w:hAnsiTheme="minorHAnsi" w:cstheme="minorHAnsi"/>
        </w:rPr>
        <w:t>with national</w:t>
      </w:r>
      <w:r w:rsidRPr="009D1714">
        <w:rPr>
          <w:rFonts w:asciiTheme="minorHAnsi" w:hAnsiTheme="minorHAnsi" w:cstheme="minorHAnsi"/>
          <w:spacing w:val="-3"/>
        </w:rPr>
        <w:t xml:space="preserve"> </w:t>
      </w:r>
      <w:r w:rsidRPr="009D1714">
        <w:rPr>
          <w:rFonts w:asciiTheme="minorHAnsi" w:hAnsiTheme="minorHAnsi" w:cstheme="minorHAnsi"/>
        </w:rPr>
        <w:t>stakeholders.</w:t>
      </w:r>
    </w:p>
    <w:p w14:paraId="7C5338AF" w14:textId="621338FA" w:rsidR="00E71B58" w:rsidRPr="009D1714" w:rsidRDefault="00E71B58" w:rsidP="00D80344">
      <w:pPr>
        <w:pStyle w:val="ListParagraph"/>
        <w:numPr>
          <w:ilvl w:val="0"/>
          <w:numId w:val="40"/>
        </w:numPr>
        <w:tabs>
          <w:tab w:val="left" w:pos="941"/>
        </w:tabs>
        <w:spacing w:after="120"/>
        <w:ind w:right="635"/>
        <w:jc w:val="both"/>
        <w:rPr>
          <w:rFonts w:asciiTheme="minorHAnsi" w:hAnsiTheme="minorHAnsi" w:cstheme="minorHAnsi"/>
        </w:rPr>
      </w:pPr>
      <w:r w:rsidRPr="009D1714">
        <w:rPr>
          <w:rFonts w:asciiTheme="minorHAnsi" w:hAnsiTheme="minorHAnsi" w:cstheme="minorHAnsi"/>
        </w:rPr>
        <w:t>Each</w:t>
      </w:r>
      <w:r w:rsidRPr="009D1714">
        <w:rPr>
          <w:rFonts w:asciiTheme="minorHAnsi" w:hAnsiTheme="minorHAnsi" w:cstheme="minorHAnsi"/>
          <w:spacing w:val="-8"/>
        </w:rPr>
        <w:t xml:space="preserve"> </w:t>
      </w:r>
      <w:r w:rsidRPr="009D1714">
        <w:rPr>
          <w:rFonts w:asciiTheme="minorHAnsi" w:hAnsiTheme="minorHAnsi" w:cstheme="minorHAnsi"/>
        </w:rPr>
        <w:t>country</w:t>
      </w:r>
      <w:r w:rsidRPr="009D1714">
        <w:rPr>
          <w:rFonts w:asciiTheme="minorHAnsi" w:hAnsiTheme="minorHAnsi" w:cstheme="minorHAnsi"/>
          <w:spacing w:val="-6"/>
        </w:rPr>
        <w:t xml:space="preserve"> </w:t>
      </w:r>
      <w:r w:rsidRPr="009D1714">
        <w:rPr>
          <w:rFonts w:asciiTheme="minorHAnsi" w:hAnsiTheme="minorHAnsi" w:cstheme="minorHAnsi"/>
        </w:rPr>
        <w:t>project</w:t>
      </w:r>
      <w:r w:rsidRPr="009D1714">
        <w:rPr>
          <w:rFonts w:asciiTheme="minorHAnsi" w:hAnsiTheme="minorHAnsi" w:cstheme="minorHAnsi"/>
          <w:spacing w:val="-10"/>
        </w:rPr>
        <w:t xml:space="preserve"> </w:t>
      </w:r>
      <w:r w:rsidRPr="009D1714">
        <w:rPr>
          <w:rFonts w:asciiTheme="minorHAnsi" w:hAnsiTheme="minorHAnsi" w:cstheme="minorHAnsi"/>
        </w:rPr>
        <w:t>has</w:t>
      </w:r>
      <w:r w:rsidRPr="009D1714">
        <w:rPr>
          <w:rFonts w:asciiTheme="minorHAnsi" w:hAnsiTheme="minorHAnsi" w:cstheme="minorHAnsi"/>
          <w:spacing w:val="-9"/>
        </w:rPr>
        <w:t xml:space="preserve"> </w:t>
      </w:r>
      <w:r w:rsidRPr="009D1714">
        <w:rPr>
          <w:rFonts w:asciiTheme="minorHAnsi" w:hAnsiTheme="minorHAnsi" w:cstheme="minorHAnsi"/>
        </w:rPr>
        <w:t>identified</w:t>
      </w:r>
      <w:r w:rsidRPr="009D1714">
        <w:rPr>
          <w:rFonts w:asciiTheme="minorHAnsi" w:hAnsiTheme="minorHAnsi" w:cstheme="minorHAnsi"/>
          <w:spacing w:val="-8"/>
        </w:rPr>
        <w:t xml:space="preserve"> </w:t>
      </w:r>
      <w:r w:rsidRPr="009D1714">
        <w:rPr>
          <w:rFonts w:asciiTheme="minorHAnsi" w:hAnsiTheme="minorHAnsi" w:cstheme="minorHAnsi"/>
        </w:rPr>
        <w:t>a</w:t>
      </w:r>
      <w:r w:rsidRPr="009D1714">
        <w:rPr>
          <w:rFonts w:asciiTheme="minorHAnsi" w:hAnsiTheme="minorHAnsi" w:cstheme="minorHAnsi"/>
          <w:spacing w:val="-8"/>
        </w:rPr>
        <w:t xml:space="preserve"> </w:t>
      </w:r>
      <w:r w:rsidRPr="009D1714">
        <w:rPr>
          <w:rFonts w:asciiTheme="minorHAnsi" w:hAnsiTheme="minorHAnsi" w:cstheme="minorHAnsi"/>
        </w:rPr>
        <w:t>national</w:t>
      </w:r>
      <w:r w:rsidRPr="009D1714">
        <w:rPr>
          <w:rFonts w:asciiTheme="minorHAnsi" w:hAnsiTheme="minorHAnsi" w:cstheme="minorHAnsi"/>
          <w:spacing w:val="-8"/>
        </w:rPr>
        <w:t xml:space="preserve"> </w:t>
      </w:r>
      <w:r w:rsidRPr="009D1714">
        <w:rPr>
          <w:rFonts w:asciiTheme="minorHAnsi" w:hAnsiTheme="minorHAnsi" w:cstheme="minorHAnsi"/>
        </w:rPr>
        <w:t>priority</w:t>
      </w:r>
      <w:r w:rsidRPr="009D1714">
        <w:rPr>
          <w:rFonts w:asciiTheme="minorHAnsi" w:hAnsiTheme="minorHAnsi" w:cstheme="minorHAnsi"/>
          <w:spacing w:val="-9"/>
        </w:rPr>
        <w:t xml:space="preserve"> </w:t>
      </w:r>
      <w:r w:rsidRPr="009D1714">
        <w:rPr>
          <w:rFonts w:asciiTheme="minorHAnsi" w:hAnsiTheme="minorHAnsi" w:cstheme="minorHAnsi"/>
        </w:rPr>
        <w:t>for</w:t>
      </w:r>
      <w:r w:rsidRPr="009D1714">
        <w:rPr>
          <w:rFonts w:asciiTheme="minorHAnsi" w:hAnsiTheme="minorHAnsi" w:cstheme="minorHAnsi"/>
          <w:spacing w:val="-9"/>
        </w:rPr>
        <w:t xml:space="preserve"> </w:t>
      </w:r>
      <w:r w:rsidR="000D6675" w:rsidRPr="009D1714">
        <w:rPr>
          <w:rFonts w:asciiTheme="minorHAnsi" w:hAnsiTheme="minorHAnsi" w:cstheme="minorHAnsi"/>
          <w:spacing w:val="-9"/>
        </w:rPr>
        <w:t>the commodity sectors targeted</w:t>
      </w:r>
      <w:r w:rsidRPr="009D1714">
        <w:rPr>
          <w:rFonts w:asciiTheme="minorHAnsi" w:hAnsiTheme="minorHAnsi" w:cstheme="minorHAnsi"/>
        </w:rPr>
        <w:t>.</w:t>
      </w:r>
    </w:p>
    <w:p w14:paraId="1FB29214" w14:textId="750FA4C6" w:rsidR="00E71B58" w:rsidRPr="009D1714" w:rsidRDefault="00E71B58" w:rsidP="00D80344">
      <w:pPr>
        <w:pStyle w:val="ListParagraph"/>
        <w:numPr>
          <w:ilvl w:val="0"/>
          <w:numId w:val="40"/>
        </w:numPr>
        <w:tabs>
          <w:tab w:val="left" w:pos="941"/>
        </w:tabs>
        <w:spacing w:after="120"/>
        <w:ind w:right="638"/>
        <w:jc w:val="both"/>
        <w:rPr>
          <w:rFonts w:asciiTheme="minorHAnsi" w:hAnsiTheme="minorHAnsi" w:cstheme="minorHAnsi"/>
        </w:rPr>
      </w:pPr>
      <w:r w:rsidRPr="009D1714">
        <w:rPr>
          <w:rFonts w:asciiTheme="minorHAnsi" w:hAnsiTheme="minorHAnsi" w:cstheme="minorHAnsi"/>
        </w:rPr>
        <w:t xml:space="preserve">In-depth assessments and stakeholder consultations were conducted during the </w:t>
      </w:r>
      <w:r w:rsidR="009D1714" w:rsidRPr="009D1714">
        <w:rPr>
          <w:rFonts w:asciiTheme="minorHAnsi" w:hAnsiTheme="minorHAnsi" w:cstheme="minorHAnsi"/>
        </w:rPr>
        <w:t xml:space="preserve">child project </w:t>
      </w:r>
      <w:r w:rsidRPr="009D1714">
        <w:rPr>
          <w:rFonts w:asciiTheme="minorHAnsi" w:hAnsiTheme="minorHAnsi" w:cstheme="minorHAnsi"/>
        </w:rPr>
        <w:t xml:space="preserve">preparatory phase in each country, and all barriers </w:t>
      </w:r>
      <w:r w:rsidR="00B61188">
        <w:rPr>
          <w:rFonts w:asciiTheme="minorHAnsi" w:hAnsiTheme="minorHAnsi" w:cstheme="minorHAnsi"/>
        </w:rPr>
        <w:t>identified</w:t>
      </w:r>
      <w:r w:rsidR="00CA5509">
        <w:rPr>
          <w:rFonts w:asciiTheme="minorHAnsi" w:hAnsiTheme="minorHAnsi" w:cstheme="minorHAnsi"/>
        </w:rPr>
        <w:t xml:space="preserve"> </w:t>
      </w:r>
      <w:r w:rsidRPr="009D1714">
        <w:rPr>
          <w:rFonts w:asciiTheme="minorHAnsi" w:hAnsiTheme="minorHAnsi" w:cstheme="minorHAnsi"/>
        </w:rPr>
        <w:t>as significant impediments</w:t>
      </w:r>
      <w:r w:rsidRPr="009D1714">
        <w:rPr>
          <w:rFonts w:asciiTheme="minorHAnsi" w:hAnsiTheme="minorHAnsi" w:cstheme="minorHAnsi"/>
          <w:spacing w:val="-10"/>
        </w:rPr>
        <w:t xml:space="preserve"> </w:t>
      </w:r>
      <w:r w:rsidRPr="009D1714">
        <w:rPr>
          <w:rFonts w:asciiTheme="minorHAnsi" w:hAnsiTheme="minorHAnsi" w:cstheme="minorHAnsi"/>
        </w:rPr>
        <w:t>to</w:t>
      </w:r>
      <w:r w:rsidRPr="009D1714">
        <w:rPr>
          <w:rFonts w:asciiTheme="minorHAnsi" w:hAnsiTheme="minorHAnsi" w:cstheme="minorHAnsi"/>
          <w:spacing w:val="-7"/>
        </w:rPr>
        <w:t xml:space="preserve"> </w:t>
      </w:r>
      <w:r w:rsidRPr="009D1714">
        <w:rPr>
          <w:rFonts w:asciiTheme="minorHAnsi" w:hAnsiTheme="minorHAnsi" w:cstheme="minorHAnsi"/>
        </w:rPr>
        <w:t>the</w:t>
      </w:r>
      <w:r w:rsidRPr="009D1714">
        <w:rPr>
          <w:rFonts w:asciiTheme="minorHAnsi" w:hAnsiTheme="minorHAnsi" w:cstheme="minorHAnsi"/>
          <w:spacing w:val="-9"/>
        </w:rPr>
        <w:t xml:space="preserve"> </w:t>
      </w:r>
      <w:r w:rsidRPr="009D1714">
        <w:rPr>
          <w:rFonts w:asciiTheme="minorHAnsi" w:hAnsiTheme="minorHAnsi" w:cstheme="minorHAnsi"/>
        </w:rPr>
        <w:t>effective</w:t>
      </w:r>
      <w:r w:rsidRPr="009D1714">
        <w:rPr>
          <w:rFonts w:asciiTheme="minorHAnsi" w:hAnsiTheme="minorHAnsi" w:cstheme="minorHAnsi"/>
          <w:spacing w:val="-9"/>
        </w:rPr>
        <w:t xml:space="preserve"> </w:t>
      </w:r>
      <w:r w:rsidR="009D1714" w:rsidRPr="009D1714">
        <w:rPr>
          <w:rFonts w:asciiTheme="minorHAnsi" w:hAnsiTheme="minorHAnsi" w:cstheme="minorHAnsi"/>
        </w:rPr>
        <w:t xml:space="preserve">cultivation of commodities without deforestation and in lieu of </w:t>
      </w:r>
      <w:r w:rsidRPr="009D1714">
        <w:rPr>
          <w:rFonts w:asciiTheme="minorHAnsi" w:hAnsiTheme="minorHAnsi" w:cstheme="minorHAnsi"/>
        </w:rPr>
        <w:t>climate change risks and</w:t>
      </w:r>
      <w:r w:rsidRPr="009D1714">
        <w:rPr>
          <w:rFonts w:asciiTheme="minorHAnsi" w:hAnsiTheme="minorHAnsi" w:cstheme="minorHAnsi"/>
          <w:spacing w:val="1"/>
        </w:rPr>
        <w:t xml:space="preserve"> </w:t>
      </w:r>
      <w:r w:rsidRPr="009D1714">
        <w:rPr>
          <w:rFonts w:asciiTheme="minorHAnsi" w:hAnsiTheme="minorHAnsi" w:cstheme="minorHAnsi"/>
        </w:rPr>
        <w:t>opportunities</w:t>
      </w:r>
      <w:r w:rsidR="00B61188" w:rsidRPr="00B61188">
        <w:rPr>
          <w:rFonts w:asciiTheme="minorHAnsi" w:hAnsiTheme="minorHAnsi" w:cstheme="minorHAnsi"/>
        </w:rPr>
        <w:t xml:space="preserve"> </w:t>
      </w:r>
      <w:r w:rsidR="00B61188" w:rsidRPr="009D1714">
        <w:rPr>
          <w:rFonts w:asciiTheme="minorHAnsi" w:hAnsiTheme="minorHAnsi" w:cstheme="minorHAnsi"/>
        </w:rPr>
        <w:t>were noted</w:t>
      </w:r>
      <w:r w:rsidRPr="009D1714">
        <w:rPr>
          <w:rFonts w:asciiTheme="minorHAnsi" w:hAnsiTheme="minorHAnsi" w:cstheme="minorHAnsi"/>
        </w:rPr>
        <w:t>.</w:t>
      </w:r>
    </w:p>
    <w:p w14:paraId="209AD086" w14:textId="74313C9C" w:rsidR="00E71B58" w:rsidRPr="009D1714" w:rsidRDefault="00E71B58" w:rsidP="00D80344">
      <w:pPr>
        <w:pStyle w:val="ListParagraph"/>
        <w:numPr>
          <w:ilvl w:val="0"/>
          <w:numId w:val="40"/>
        </w:numPr>
        <w:tabs>
          <w:tab w:val="left" w:pos="941"/>
        </w:tabs>
        <w:spacing w:after="120"/>
        <w:ind w:right="643"/>
        <w:jc w:val="both"/>
        <w:rPr>
          <w:rFonts w:asciiTheme="minorHAnsi" w:hAnsiTheme="minorHAnsi" w:cstheme="minorHAnsi"/>
        </w:rPr>
      </w:pPr>
      <w:r w:rsidRPr="009D1714">
        <w:rPr>
          <w:rFonts w:asciiTheme="minorHAnsi" w:hAnsiTheme="minorHAnsi" w:cstheme="minorHAnsi"/>
        </w:rPr>
        <w:t xml:space="preserve">Country-specific </w:t>
      </w:r>
      <w:r w:rsidR="009D1714" w:rsidRPr="009D1714">
        <w:rPr>
          <w:rFonts w:asciiTheme="minorHAnsi" w:hAnsiTheme="minorHAnsi" w:cstheme="minorHAnsi"/>
        </w:rPr>
        <w:t xml:space="preserve">Integrated </w:t>
      </w:r>
      <w:r w:rsidR="004F5EA0">
        <w:rPr>
          <w:rFonts w:asciiTheme="minorHAnsi" w:hAnsiTheme="minorHAnsi" w:cstheme="minorHAnsi"/>
        </w:rPr>
        <w:t>workplans developed during annual workshops</w:t>
      </w:r>
      <w:r w:rsidRPr="009D1714">
        <w:rPr>
          <w:rFonts w:asciiTheme="minorHAnsi" w:hAnsiTheme="minorHAnsi" w:cstheme="minorHAnsi"/>
        </w:rPr>
        <w:t xml:space="preserve"> have been developed based on country consultations.</w:t>
      </w:r>
    </w:p>
    <w:p w14:paraId="6E3E748D" w14:textId="314990C9" w:rsidR="00E71B58" w:rsidRPr="009D1714" w:rsidRDefault="00E71B58" w:rsidP="00D80344">
      <w:pPr>
        <w:pStyle w:val="ListParagraph"/>
        <w:numPr>
          <w:ilvl w:val="0"/>
          <w:numId w:val="40"/>
        </w:numPr>
        <w:tabs>
          <w:tab w:val="left" w:pos="941"/>
        </w:tabs>
        <w:spacing w:after="120"/>
        <w:ind w:right="642"/>
        <w:jc w:val="both"/>
        <w:rPr>
          <w:rFonts w:asciiTheme="minorHAnsi" w:hAnsiTheme="minorHAnsi" w:cstheme="minorHAnsi"/>
        </w:rPr>
      </w:pPr>
      <w:r w:rsidRPr="009D1714">
        <w:rPr>
          <w:rFonts w:asciiTheme="minorHAnsi" w:hAnsiTheme="minorHAnsi" w:cstheme="minorHAnsi"/>
        </w:rPr>
        <w:lastRenderedPageBreak/>
        <w:t xml:space="preserve">As a </w:t>
      </w:r>
      <w:r w:rsidR="004F5EA0">
        <w:rPr>
          <w:rFonts w:asciiTheme="minorHAnsi" w:hAnsiTheme="minorHAnsi" w:cstheme="minorHAnsi"/>
        </w:rPr>
        <w:t xml:space="preserve">global </w:t>
      </w:r>
      <w:r w:rsidRPr="009D1714">
        <w:rPr>
          <w:rFonts w:asciiTheme="minorHAnsi" w:hAnsiTheme="minorHAnsi" w:cstheme="minorHAnsi"/>
        </w:rPr>
        <w:t>Programme, common requirements across all countries were identified and for each country, the number and type of specialized technical assistance were identified to provide needed support</w:t>
      </w:r>
      <w:r w:rsidRPr="009D1714">
        <w:rPr>
          <w:rFonts w:asciiTheme="minorHAnsi" w:hAnsiTheme="minorHAnsi" w:cstheme="minorHAnsi"/>
          <w:spacing w:val="-4"/>
        </w:rPr>
        <w:t xml:space="preserve"> </w:t>
      </w:r>
      <w:r w:rsidRPr="009D1714">
        <w:rPr>
          <w:rFonts w:asciiTheme="minorHAnsi" w:hAnsiTheme="minorHAnsi" w:cstheme="minorHAnsi"/>
        </w:rPr>
        <w:t>services.</w:t>
      </w:r>
    </w:p>
    <w:p w14:paraId="77BA97B6" w14:textId="6A80EE2D" w:rsidR="00E71B58" w:rsidRDefault="00E71B58" w:rsidP="007D3FE4">
      <w:pPr>
        <w:pStyle w:val="BodyText"/>
        <w:spacing w:after="120"/>
        <w:ind w:right="86"/>
        <w:rPr>
          <w:rFonts w:asciiTheme="minorHAnsi" w:hAnsiTheme="minorHAnsi" w:cstheme="minorHAnsi"/>
          <w:sz w:val="22"/>
          <w:szCs w:val="22"/>
        </w:rPr>
      </w:pPr>
    </w:p>
    <w:p w14:paraId="530C178A" w14:textId="2F662C87" w:rsidR="007D3B47" w:rsidRDefault="00D66BEC" w:rsidP="00D66BEC">
      <w:pPr>
        <w:pStyle w:val="Heading3"/>
      </w:pPr>
      <w:bookmarkStart w:id="81" w:name="_Toc96772500"/>
      <w:r>
        <w:t xml:space="preserve">4.3.7. </w:t>
      </w:r>
      <w:r w:rsidR="007D3B47" w:rsidRPr="009E7CE1">
        <w:t>Social and Environmental Standards</w:t>
      </w:r>
      <w:bookmarkEnd w:id="81"/>
    </w:p>
    <w:p w14:paraId="23C5328F" w14:textId="77777777" w:rsidR="00943E4D" w:rsidRDefault="00943E4D" w:rsidP="007D3B47">
      <w:pPr>
        <w:jc w:val="both"/>
      </w:pPr>
    </w:p>
    <w:p w14:paraId="3B19D9AC" w14:textId="77982B61" w:rsidR="007D3B47" w:rsidRPr="00FA0877" w:rsidRDefault="007D3B47" w:rsidP="007D3B47">
      <w:pPr>
        <w:jc w:val="both"/>
      </w:pPr>
      <w:r w:rsidRPr="00FA0877">
        <w:t>A SESP was carried out which detailed that the project would:</w:t>
      </w:r>
    </w:p>
    <w:p w14:paraId="69C0734C" w14:textId="77777777" w:rsidR="007D3B47" w:rsidRPr="00E160AF" w:rsidRDefault="007D3B47" w:rsidP="00D80344">
      <w:pPr>
        <w:pStyle w:val="ListParagraph"/>
        <w:numPr>
          <w:ilvl w:val="0"/>
          <w:numId w:val="7"/>
        </w:numPr>
        <w:jc w:val="both"/>
        <w:rPr>
          <w:rFonts w:asciiTheme="minorHAnsi" w:hAnsiTheme="minorHAnsi" w:cstheme="minorHAnsi"/>
        </w:rPr>
      </w:pPr>
      <w:r w:rsidRPr="00E160AF">
        <w:rPr>
          <w:rFonts w:asciiTheme="minorHAnsi" w:hAnsiTheme="minorHAnsi" w:cstheme="minorHAnsi"/>
        </w:rPr>
        <w:t>mainstream the human-rights based approach, is likely to improve gender equality and women’s empowerment, and mainstreams environmental sustainability.</w:t>
      </w:r>
    </w:p>
    <w:p w14:paraId="17142652" w14:textId="77777777" w:rsidR="007D3B47" w:rsidRPr="00E160AF" w:rsidRDefault="007D3B47" w:rsidP="00D80344">
      <w:pPr>
        <w:pStyle w:val="ListParagraph"/>
        <w:numPr>
          <w:ilvl w:val="0"/>
          <w:numId w:val="7"/>
        </w:numPr>
        <w:jc w:val="both"/>
        <w:rPr>
          <w:rFonts w:asciiTheme="minorHAnsi" w:hAnsiTheme="minorHAnsi" w:cstheme="minorHAnsi"/>
        </w:rPr>
      </w:pPr>
      <w:r w:rsidRPr="00E160AF">
        <w:rPr>
          <w:rFonts w:asciiTheme="minorHAnsi" w:hAnsiTheme="minorHAnsi" w:cstheme="minorHAnsi"/>
        </w:rPr>
        <w:t>No environmental or social risks were identified for this child project and the project risk categorization was therefore low risk.</w:t>
      </w:r>
    </w:p>
    <w:p w14:paraId="7B0EC6FE" w14:textId="1DD24B6E" w:rsidR="007D3B47" w:rsidRDefault="007D3B47" w:rsidP="00D80344">
      <w:pPr>
        <w:pStyle w:val="ListParagraph"/>
        <w:numPr>
          <w:ilvl w:val="0"/>
          <w:numId w:val="7"/>
        </w:numPr>
        <w:jc w:val="both"/>
        <w:rPr>
          <w:rFonts w:asciiTheme="minorHAnsi" w:hAnsiTheme="minorHAnsi" w:cstheme="minorHAnsi"/>
        </w:rPr>
      </w:pPr>
      <w:r w:rsidRPr="00E160AF">
        <w:rPr>
          <w:rFonts w:asciiTheme="minorHAnsi" w:hAnsiTheme="minorHAnsi" w:cstheme="minorHAnsi"/>
        </w:rPr>
        <w:t>Environmental and social grievances were not reported to the GEF in any of the annual PIRs.</w:t>
      </w:r>
    </w:p>
    <w:p w14:paraId="27A48ECF" w14:textId="703FF713" w:rsidR="00D66BEC" w:rsidRDefault="00D66BEC" w:rsidP="00D80344">
      <w:pPr>
        <w:pStyle w:val="ListParagraph"/>
        <w:numPr>
          <w:ilvl w:val="0"/>
          <w:numId w:val="7"/>
        </w:numPr>
        <w:jc w:val="both"/>
        <w:rPr>
          <w:rFonts w:asciiTheme="minorHAnsi" w:hAnsiTheme="minorHAnsi" w:cstheme="minorHAnsi"/>
        </w:rPr>
      </w:pPr>
      <w:r w:rsidRPr="00D66BEC">
        <w:rPr>
          <w:rFonts w:asciiTheme="minorHAnsi" w:hAnsiTheme="minorHAnsi" w:cstheme="minorHAnsi"/>
        </w:rPr>
        <w:t>There is no evidence in the PIRs that the SESP Risk has been changed over time. In fact, there is no evidence of subsequent screening during implementation</w:t>
      </w:r>
    </w:p>
    <w:p w14:paraId="60F6935B" w14:textId="1D5FC13E" w:rsidR="00D66BEC" w:rsidRDefault="00D66BEC" w:rsidP="00D80344">
      <w:pPr>
        <w:pStyle w:val="ListParagraph"/>
        <w:numPr>
          <w:ilvl w:val="0"/>
          <w:numId w:val="7"/>
        </w:numPr>
        <w:jc w:val="both"/>
        <w:rPr>
          <w:rFonts w:asciiTheme="minorHAnsi" w:hAnsiTheme="minorHAnsi" w:cstheme="minorHAnsi"/>
        </w:rPr>
      </w:pPr>
      <w:r>
        <w:rPr>
          <w:rFonts w:asciiTheme="minorHAnsi" w:hAnsiTheme="minorHAnsi" w:cstheme="minorHAnsi"/>
        </w:rPr>
        <w:t xml:space="preserve">There is an ample stakeholder participation built into the governance structures and structures promoted by the child projects.  Tools for women and small farmers </w:t>
      </w:r>
    </w:p>
    <w:p w14:paraId="534A0B79" w14:textId="21074BC2" w:rsidR="00976CAA" w:rsidRDefault="00976CAA" w:rsidP="00976CAA">
      <w:pPr>
        <w:jc w:val="both"/>
        <w:rPr>
          <w:rFonts w:asciiTheme="minorHAnsi" w:hAnsiTheme="minorHAnsi" w:cstheme="minorHAnsi"/>
        </w:rPr>
      </w:pPr>
    </w:p>
    <w:p w14:paraId="2FF21237" w14:textId="5F33F88E" w:rsidR="00666A21" w:rsidRDefault="00666A21" w:rsidP="00666A21">
      <w:pPr>
        <w:jc w:val="center"/>
        <w:rPr>
          <w:rFonts w:asciiTheme="minorHAnsi" w:hAnsiTheme="minorHAnsi" w:cstheme="minorHAnsi"/>
        </w:rPr>
      </w:pPr>
      <w:r>
        <w:rPr>
          <w:rFonts w:asciiTheme="minorHAnsi" w:hAnsiTheme="minorHAnsi" w:cstheme="minorHAnsi"/>
          <w:noProof/>
        </w:rPr>
        <w:drawing>
          <wp:inline distT="0" distB="0" distL="0" distR="0" wp14:anchorId="450FED49" wp14:editId="744EFF3F">
            <wp:extent cx="4210050" cy="159343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8001" cy="1611584"/>
                    </a:xfrm>
                    <a:prstGeom prst="rect">
                      <a:avLst/>
                    </a:prstGeom>
                    <a:noFill/>
                  </pic:spPr>
                </pic:pic>
              </a:graphicData>
            </a:graphic>
          </wp:inline>
        </w:drawing>
      </w:r>
      <w:r w:rsidR="008F2AB4">
        <w:rPr>
          <w:rFonts w:asciiTheme="minorHAnsi" w:hAnsiTheme="minorHAnsi" w:cstheme="minorHAnsi"/>
        </w:rPr>
        <w:t xml:space="preserve"> </w:t>
      </w:r>
    </w:p>
    <w:p w14:paraId="5D3DCB19" w14:textId="2B6B4F34" w:rsidR="00666A21" w:rsidRDefault="00445D9C" w:rsidP="00976CAA">
      <w:pPr>
        <w:jc w:val="both"/>
        <w:rPr>
          <w:rFonts w:asciiTheme="minorHAnsi" w:hAnsiTheme="minorHAnsi" w:cstheme="minorHAnsi"/>
        </w:rPr>
      </w:pPr>
      <w:r>
        <w:rPr>
          <w:rFonts w:asciiTheme="minorHAnsi" w:hAnsiTheme="minorHAnsi" w:cstheme="minorHAnsi"/>
        </w:rPr>
        <w:t>Table 12. SESP Risk Assessment</w:t>
      </w:r>
    </w:p>
    <w:p w14:paraId="46DE94DA" w14:textId="77777777" w:rsidR="00CD453A" w:rsidRDefault="00CD453A" w:rsidP="00BA2312">
      <w:pPr>
        <w:pStyle w:val="BodyText"/>
        <w:spacing w:before="102"/>
        <w:ind w:left="960"/>
      </w:pPr>
    </w:p>
    <w:p w14:paraId="35610930" w14:textId="20DDF218" w:rsidR="00360CB3" w:rsidRDefault="00360CB3" w:rsidP="00D80344">
      <w:pPr>
        <w:pStyle w:val="Heading3"/>
        <w:numPr>
          <w:ilvl w:val="2"/>
          <w:numId w:val="11"/>
        </w:numPr>
      </w:pPr>
      <w:bookmarkStart w:id="82" w:name="_Toc96772501"/>
      <w:bookmarkStart w:id="83" w:name="_Hlk90463752"/>
      <w:r>
        <w:t xml:space="preserve">Sustainability: </w:t>
      </w:r>
      <w:r w:rsidR="00B13025">
        <w:t>financial (</w:t>
      </w:r>
      <w:r>
        <w:t>*), socio-</w:t>
      </w:r>
      <w:r w:rsidR="00CD453A">
        <w:t>political (</w:t>
      </w:r>
      <w:r>
        <w:t xml:space="preserve">*), institutional framework and </w:t>
      </w:r>
      <w:r w:rsidR="00833127">
        <w:t>governance (</w:t>
      </w:r>
      <w:r>
        <w:t xml:space="preserve">*), </w:t>
      </w:r>
      <w:r w:rsidR="00BC0B7F">
        <w:t>environmental (</w:t>
      </w:r>
      <w:r>
        <w:t xml:space="preserve">*), overall likelihood of </w:t>
      </w:r>
      <w:r w:rsidR="00BC0B7F">
        <w:t>sustainability (</w:t>
      </w:r>
      <w:r>
        <w:t>*)</w:t>
      </w:r>
      <w:bookmarkEnd w:id="82"/>
    </w:p>
    <w:p w14:paraId="6397D719" w14:textId="77777777" w:rsidR="00833127" w:rsidRDefault="00833127" w:rsidP="00833127"/>
    <w:p w14:paraId="4B6E45B1" w14:textId="6E44329A" w:rsidR="00BC0B7F" w:rsidRPr="00050826" w:rsidRDefault="00BC0B7F" w:rsidP="00B63EB4">
      <w:pPr>
        <w:pStyle w:val="BodyText"/>
        <w:spacing w:before="71"/>
        <w:jc w:val="both"/>
        <w:rPr>
          <w:rFonts w:ascii="Calibri" w:hAnsi="Calibri" w:cs="Calibri"/>
          <w:sz w:val="22"/>
          <w:szCs w:val="22"/>
        </w:rPr>
      </w:pPr>
      <w:r w:rsidRPr="00050826">
        <w:rPr>
          <w:rFonts w:ascii="Calibri" w:hAnsi="Calibri" w:cs="Calibri"/>
          <w:sz w:val="22"/>
          <w:szCs w:val="22"/>
        </w:rPr>
        <w:t xml:space="preserve">UNDP/GEF TE guidelines identify Sustainability as the </w:t>
      </w:r>
      <w:r w:rsidRPr="00050826">
        <w:rPr>
          <w:rFonts w:ascii="Calibri" w:hAnsi="Calibri" w:cs="Calibri"/>
          <w:i/>
          <w:sz w:val="22"/>
          <w:szCs w:val="22"/>
        </w:rPr>
        <w:t>likelihood of continued benefits after the project ends</w:t>
      </w:r>
      <w:r w:rsidRPr="00050826">
        <w:rPr>
          <w:rFonts w:ascii="Calibri" w:hAnsi="Calibri" w:cs="Calibri"/>
          <w:sz w:val="22"/>
          <w:szCs w:val="22"/>
        </w:rPr>
        <w:t>. Consequently, the assessment of sustainability considers the risks that are likely to affect the continuation of project outcomes. The GEF Guidelines establish four areas for considering risks to sustainability: Sustainability assessed on a four-point scale.</w:t>
      </w:r>
    </w:p>
    <w:p w14:paraId="60747E53" w14:textId="77777777" w:rsidR="00BC0B7F" w:rsidRPr="00050826" w:rsidRDefault="00BC0B7F" w:rsidP="00B63EB4">
      <w:pPr>
        <w:widowControl w:val="0"/>
        <w:autoSpaceDE w:val="0"/>
        <w:autoSpaceDN w:val="0"/>
        <w:spacing w:after="120" w:line="240" w:lineRule="auto"/>
        <w:jc w:val="both"/>
        <w:rPr>
          <w:rFonts w:eastAsia="Arial"/>
          <w:lang w:eastAsia="en-US"/>
        </w:rPr>
      </w:pPr>
    </w:p>
    <w:p w14:paraId="701F2CFC" w14:textId="77777777" w:rsidR="00BC0B7F" w:rsidRPr="00E1243D" w:rsidRDefault="00BC0B7F" w:rsidP="00B63EB4">
      <w:pPr>
        <w:pStyle w:val="BodyText"/>
        <w:spacing w:after="120"/>
        <w:ind w:right="3770"/>
        <w:jc w:val="both"/>
        <w:rPr>
          <w:rFonts w:ascii="Calibri" w:hAnsi="Calibri" w:cs="Calibri"/>
          <w:b/>
          <w:bCs/>
          <w:sz w:val="22"/>
          <w:szCs w:val="22"/>
        </w:rPr>
      </w:pPr>
      <w:r w:rsidRPr="00E1243D">
        <w:rPr>
          <w:rFonts w:ascii="Calibri" w:hAnsi="Calibri" w:cs="Calibri"/>
          <w:b/>
          <w:bCs/>
          <w:sz w:val="22"/>
          <w:szCs w:val="22"/>
        </w:rPr>
        <w:t xml:space="preserve">Financial Risks: </w:t>
      </w:r>
    </w:p>
    <w:p w14:paraId="770DC2E5" w14:textId="77777777" w:rsidR="00BC0B7F" w:rsidRDefault="00BC0B7F" w:rsidP="00B63EB4">
      <w:pPr>
        <w:pStyle w:val="BodyText"/>
        <w:spacing w:after="120"/>
        <w:jc w:val="both"/>
        <w:rPr>
          <w:rFonts w:ascii="Calibri" w:hAnsi="Calibri" w:cs="Calibri"/>
          <w:sz w:val="22"/>
          <w:szCs w:val="22"/>
        </w:rPr>
      </w:pPr>
      <w:r>
        <w:rPr>
          <w:rFonts w:ascii="Calibri" w:hAnsi="Calibri" w:cs="Calibri"/>
          <w:sz w:val="22"/>
          <w:szCs w:val="22"/>
        </w:rPr>
        <w:t xml:space="preserve">The core services under the project have ongoing financing once the project is finished is </w:t>
      </w:r>
      <w:r w:rsidRPr="00DA0E36">
        <w:rPr>
          <w:rFonts w:ascii="Calibri" w:hAnsi="Calibri" w:cs="Calibri"/>
          <w:b/>
          <w:bCs/>
          <w:sz w:val="22"/>
          <w:szCs w:val="22"/>
        </w:rPr>
        <w:t>Likely (L)</w:t>
      </w:r>
      <w:r>
        <w:rPr>
          <w:rFonts w:ascii="Calibri" w:hAnsi="Calibri" w:cs="Calibri"/>
          <w:sz w:val="22"/>
          <w:szCs w:val="22"/>
        </w:rPr>
        <w:t xml:space="preserve">.  </w:t>
      </w:r>
    </w:p>
    <w:p w14:paraId="65FAB510" w14:textId="49563801" w:rsidR="00BC0B7F" w:rsidRDefault="00BC0B7F" w:rsidP="00D80344">
      <w:pPr>
        <w:pStyle w:val="BodyText"/>
        <w:numPr>
          <w:ilvl w:val="0"/>
          <w:numId w:val="66"/>
        </w:numPr>
        <w:spacing w:after="120"/>
        <w:jc w:val="both"/>
        <w:rPr>
          <w:rFonts w:ascii="Calibri" w:hAnsi="Calibri" w:cs="Calibri"/>
          <w:sz w:val="22"/>
          <w:szCs w:val="22"/>
        </w:rPr>
      </w:pPr>
      <w:r>
        <w:rPr>
          <w:rFonts w:ascii="Calibri" w:hAnsi="Calibri" w:cs="Calibri"/>
          <w:sz w:val="22"/>
          <w:szCs w:val="22"/>
        </w:rPr>
        <w:t>At the Programme-level, the GCP has been online since 20</w:t>
      </w:r>
      <w:r w:rsidR="009649AC">
        <w:rPr>
          <w:rFonts w:ascii="Calibri" w:hAnsi="Calibri" w:cs="Calibri"/>
          <w:sz w:val="22"/>
          <w:szCs w:val="22"/>
        </w:rPr>
        <w:t>10</w:t>
      </w:r>
      <w:r>
        <w:rPr>
          <w:rFonts w:ascii="Calibri" w:hAnsi="Calibri" w:cs="Calibri"/>
          <w:sz w:val="22"/>
          <w:szCs w:val="22"/>
        </w:rPr>
        <w:t xml:space="preserve"> and is a core program of UNDP. That unit seeks financing and co-financing. </w:t>
      </w:r>
    </w:p>
    <w:p w14:paraId="5E0119FA" w14:textId="0BAF5429" w:rsidR="00BC0B7F" w:rsidRDefault="007F06B4" w:rsidP="00D80344">
      <w:pPr>
        <w:pStyle w:val="BodyText"/>
        <w:numPr>
          <w:ilvl w:val="0"/>
          <w:numId w:val="66"/>
        </w:numPr>
        <w:spacing w:after="120"/>
        <w:jc w:val="both"/>
        <w:rPr>
          <w:rFonts w:ascii="Calibri" w:hAnsi="Calibri" w:cs="Calibri"/>
          <w:sz w:val="22"/>
          <w:szCs w:val="22"/>
        </w:rPr>
      </w:pPr>
      <w:r>
        <w:rPr>
          <w:rFonts w:ascii="Calibri" w:hAnsi="Calibri" w:cs="Calibri"/>
          <w:sz w:val="22"/>
          <w:szCs w:val="22"/>
        </w:rPr>
        <w:lastRenderedPageBreak/>
        <w:t>UNDP</w:t>
      </w:r>
      <w:r w:rsidR="00BC0B7F">
        <w:rPr>
          <w:rFonts w:ascii="Calibri" w:hAnsi="Calibri" w:cs="Calibri"/>
          <w:sz w:val="22"/>
          <w:szCs w:val="22"/>
        </w:rPr>
        <w:t xml:space="preserve"> is actively seeking and has secured co-financing for critical areas of the A&amp;L, such as the Green Commodities Community. A sustainability plan has been drawn up for the GCC and is now financed for the next several years.</w:t>
      </w:r>
    </w:p>
    <w:p w14:paraId="6B4E6CA0" w14:textId="375C524F" w:rsidR="00BC0B7F" w:rsidRDefault="00BC0B7F" w:rsidP="00D80344">
      <w:pPr>
        <w:pStyle w:val="BodyText"/>
        <w:numPr>
          <w:ilvl w:val="0"/>
          <w:numId w:val="66"/>
        </w:numPr>
        <w:spacing w:after="120"/>
        <w:jc w:val="both"/>
        <w:rPr>
          <w:rFonts w:ascii="Calibri" w:hAnsi="Calibri" w:cs="Calibri"/>
          <w:sz w:val="22"/>
          <w:szCs w:val="22"/>
        </w:rPr>
      </w:pPr>
      <w:r>
        <w:rPr>
          <w:rFonts w:ascii="Calibri" w:hAnsi="Calibri" w:cs="Calibri"/>
          <w:sz w:val="22"/>
          <w:szCs w:val="22"/>
        </w:rPr>
        <w:t xml:space="preserve">The Evidensia Platform is financed by the ISEAL alliance in the short term and has a high probability of securing private sector </w:t>
      </w:r>
      <w:r w:rsidR="00B63EB4">
        <w:rPr>
          <w:rFonts w:ascii="Calibri" w:hAnsi="Calibri" w:cs="Calibri"/>
          <w:sz w:val="22"/>
          <w:szCs w:val="22"/>
        </w:rPr>
        <w:t>donations</w:t>
      </w:r>
      <w:r>
        <w:rPr>
          <w:rFonts w:ascii="Calibri" w:hAnsi="Calibri" w:cs="Calibri"/>
          <w:sz w:val="22"/>
          <w:szCs w:val="22"/>
        </w:rPr>
        <w:t xml:space="preserve"> or subscriptions to maintain the </w:t>
      </w:r>
      <w:r w:rsidR="00B63EB4">
        <w:rPr>
          <w:rFonts w:ascii="Calibri" w:hAnsi="Calibri" w:cs="Calibri"/>
          <w:sz w:val="22"/>
          <w:szCs w:val="22"/>
        </w:rPr>
        <w:t>platform.</w:t>
      </w:r>
    </w:p>
    <w:p w14:paraId="3AAA2A0A" w14:textId="77777777" w:rsidR="00BC0B7F" w:rsidRDefault="00BC0B7F" w:rsidP="00D80344">
      <w:pPr>
        <w:pStyle w:val="BodyText"/>
        <w:numPr>
          <w:ilvl w:val="0"/>
          <w:numId w:val="66"/>
        </w:numPr>
        <w:spacing w:after="120"/>
        <w:jc w:val="both"/>
        <w:rPr>
          <w:rFonts w:ascii="Calibri" w:hAnsi="Calibri" w:cs="Calibri"/>
          <w:sz w:val="22"/>
          <w:szCs w:val="22"/>
        </w:rPr>
      </w:pPr>
      <w:r>
        <w:rPr>
          <w:rFonts w:ascii="Calibri" w:hAnsi="Calibri" w:cs="Calibri"/>
          <w:sz w:val="22"/>
          <w:szCs w:val="22"/>
        </w:rPr>
        <w:t>With the GCC sustainability plan, the salient products produced under the A&amp;L project can be distributed.</w:t>
      </w:r>
    </w:p>
    <w:p w14:paraId="172842A2" w14:textId="0690DB9C" w:rsidR="00BC0B7F" w:rsidRPr="00050826" w:rsidRDefault="00AA11FA" w:rsidP="00D80344">
      <w:pPr>
        <w:pStyle w:val="BodyText"/>
        <w:numPr>
          <w:ilvl w:val="0"/>
          <w:numId w:val="66"/>
        </w:numPr>
        <w:spacing w:after="120"/>
        <w:jc w:val="both"/>
        <w:rPr>
          <w:rFonts w:ascii="Calibri" w:hAnsi="Calibri" w:cs="Calibri"/>
          <w:sz w:val="22"/>
          <w:szCs w:val="22"/>
        </w:rPr>
      </w:pPr>
      <w:r>
        <w:rPr>
          <w:rFonts w:ascii="Calibri" w:hAnsi="Calibri" w:cs="Calibri"/>
          <w:sz w:val="22"/>
          <w:szCs w:val="22"/>
        </w:rPr>
        <w:t xml:space="preserve">Efforts to sustain financing to </w:t>
      </w:r>
      <w:r w:rsidRPr="00AA11FA">
        <w:rPr>
          <w:rFonts w:ascii="Calibri" w:hAnsi="Calibri" w:cs="Calibri"/>
          <w:sz w:val="22"/>
          <w:szCs w:val="22"/>
        </w:rPr>
        <w:t>the Partner</w:t>
      </w:r>
      <w:r w:rsidR="00792F96">
        <w:rPr>
          <w:rFonts w:ascii="Calibri" w:hAnsi="Calibri" w:cs="Calibri"/>
          <w:sz w:val="22"/>
          <w:szCs w:val="22"/>
        </w:rPr>
        <w:t>ship</w:t>
      </w:r>
      <w:r w:rsidRPr="00AA11FA">
        <w:rPr>
          <w:rFonts w:ascii="Calibri" w:hAnsi="Calibri" w:cs="Calibri"/>
          <w:sz w:val="22"/>
          <w:szCs w:val="22"/>
        </w:rPr>
        <w:t xml:space="preserve"> to develop a GGP 2 concept and resource mobilization efforts done. This is key for the sustainability of the partnership created between UNDP, WWF, CI, UNEP</w:t>
      </w:r>
      <w:r w:rsidRPr="00AA11FA" w:rsidDel="00AA11FA">
        <w:rPr>
          <w:rFonts w:ascii="Calibri" w:hAnsi="Calibri" w:cs="Calibri"/>
          <w:sz w:val="22"/>
          <w:szCs w:val="22"/>
        </w:rPr>
        <w:t xml:space="preserve"> </w:t>
      </w:r>
      <w:r w:rsidR="00792F96">
        <w:rPr>
          <w:rFonts w:ascii="Calibri" w:hAnsi="Calibri" w:cs="Calibri"/>
          <w:sz w:val="22"/>
          <w:szCs w:val="22"/>
        </w:rPr>
        <w:t xml:space="preserve">. there is a likelihood that the Partnership will continue under FOLUR. </w:t>
      </w:r>
      <w:r w:rsidR="00BC0B7F">
        <w:rPr>
          <w:rFonts w:ascii="Calibri" w:hAnsi="Calibri" w:cs="Calibri"/>
          <w:sz w:val="22"/>
          <w:szCs w:val="22"/>
        </w:rPr>
        <w:t>Targeted fundraising</w:t>
      </w:r>
      <w:r>
        <w:rPr>
          <w:rFonts w:ascii="Calibri" w:hAnsi="Calibri" w:cs="Calibri"/>
          <w:sz w:val="22"/>
          <w:szCs w:val="22"/>
        </w:rPr>
        <w:t xml:space="preserve"> </w:t>
      </w:r>
      <w:r w:rsidR="00BC0B7F">
        <w:rPr>
          <w:rFonts w:ascii="Calibri" w:hAnsi="Calibri" w:cs="Calibri"/>
          <w:sz w:val="22"/>
          <w:szCs w:val="22"/>
        </w:rPr>
        <w:t>. Promote VBV guidance</w:t>
      </w:r>
    </w:p>
    <w:p w14:paraId="7E90F3E0" w14:textId="77777777" w:rsidR="00BC0B7F" w:rsidRDefault="00BC0B7F" w:rsidP="00B63EB4">
      <w:pPr>
        <w:pStyle w:val="BodyText"/>
        <w:spacing w:after="120"/>
        <w:ind w:right="3770"/>
        <w:jc w:val="both"/>
        <w:rPr>
          <w:rFonts w:ascii="Calibri" w:hAnsi="Calibri" w:cs="Calibri"/>
          <w:b/>
          <w:bCs/>
          <w:sz w:val="22"/>
          <w:szCs w:val="22"/>
        </w:rPr>
      </w:pPr>
    </w:p>
    <w:p w14:paraId="19E8CCF7" w14:textId="77777777" w:rsidR="00BC0B7F" w:rsidRPr="00E1243D" w:rsidRDefault="00BC0B7F" w:rsidP="00B63EB4">
      <w:pPr>
        <w:pStyle w:val="BodyText"/>
        <w:spacing w:after="120"/>
        <w:ind w:right="3770"/>
        <w:jc w:val="both"/>
        <w:rPr>
          <w:rFonts w:ascii="Calibri" w:hAnsi="Calibri" w:cs="Calibri"/>
          <w:b/>
          <w:bCs/>
          <w:sz w:val="22"/>
          <w:szCs w:val="22"/>
        </w:rPr>
      </w:pPr>
      <w:r w:rsidRPr="00E1243D">
        <w:rPr>
          <w:rFonts w:ascii="Calibri" w:hAnsi="Calibri" w:cs="Calibri"/>
          <w:b/>
          <w:bCs/>
          <w:sz w:val="22"/>
          <w:szCs w:val="22"/>
        </w:rPr>
        <w:t>Socio-economic risks:</w:t>
      </w:r>
    </w:p>
    <w:p w14:paraId="130BEB7C" w14:textId="2F9AEE5E" w:rsidR="00BC0B7F" w:rsidRDefault="00E53412" w:rsidP="00B63EB4">
      <w:pPr>
        <w:pStyle w:val="BodyText"/>
        <w:spacing w:after="120"/>
        <w:ind w:right="3770"/>
        <w:jc w:val="both"/>
        <w:rPr>
          <w:rFonts w:ascii="Calibri" w:hAnsi="Calibri" w:cs="Calibri"/>
          <w:sz w:val="22"/>
          <w:szCs w:val="22"/>
        </w:rPr>
      </w:pPr>
      <w:bookmarkStart w:id="84" w:name="_Hlk96896194"/>
      <w:r>
        <w:rPr>
          <w:rFonts w:ascii="Calibri" w:hAnsi="Calibri" w:cs="Calibri"/>
          <w:sz w:val="22"/>
          <w:szCs w:val="22"/>
        </w:rPr>
        <w:t xml:space="preserve">Socio economic </w:t>
      </w:r>
      <w:r w:rsidR="00BC0B7F">
        <w:rPr>
          <w:rFonts w:ascii="Calibri" w:hAnsi="Calibri" w:cs="Calibri"/>
          <w:sz w:val="22"/>
          <w:szCs w:val="22"/>
        </w:rPr>
        <w:t xml:space="preserve">sustainability is </w:t>
      </w:r>
      <w:r w:rsidR="00BC0B7F" w:rsidRPr="00DA0E36">
        <w:rPr>
          <w:rFonts w:ascii="Calibri" w:hAnsi="Calibri" w:cs="Calibri"/>
          <w:b/>
          <w:bCs/>
          <w:sz w:val="22"/>
          <w:szCs w:val="22"/>
        </w:rPr>
        <w:t>Likely (L)</w:t>
      </w:r>
    </w:p>
    <w:p w14:paraId="4B55C006" w14:textId="41CBB7F2" w:rsidR="00BC0B7F" w:rsidRDefault="00BC0B7F" w:rsidP="00D80344">
      <w:pPr>
        <w:pStyle w:val="BodyText"/>
        <w:numPr>
          <w:ilvl w:val="0"/>
          <w:numId w:val="67"/>
        </w:numPr>
        <w:spacing w:after="120"/>
        <w:jc w:val="both"/>
        <w:rPr>
          <w:rFonts w:ascii="Calibri" w:hAnsi="Calibri" w:cs="Calibri"/>
          <w:sz w:val="22"/>
          <w:szCs w:val="22"/>
        </w:rPr>
      </w:pPr>
      <w:bookmarkStart w:id="85" w:name="_Hlk96896221"/>
      <w:r>
        <w:rPr>
          <w:rFonts w:ascii="Calibri" w:hAnsi="Calibri" w:cs="Calibri"/>
          <w:sz w:val="22"/>
          <w:szCs w:val="22"/>
        </w:rPr>
        <w:t>The socio-economic risks</w:t>
      </w:r>
      <w:r w:rsidR="000054A7">
        <w:rPr>
          <w:rFonts w:ascii="Calibri" w:hAnsi="Calibri" w:cs="Calibri"/>
          <w:sz w:val="22"/>
          <w:szCs w:val="22"/>
        </w:rPr>
        <w:t xml:space="preserve">, such as competing TOCs, competing platforms, clarity of message a illustrated in the Revised Risk Rating table (Annex 3) as well as changes in socio economic drivers. These do not owever affect the A&amp;L project </w:t>
      </w:r>
      <w:r w:rsidR="000054A7" w:rsidRPr="00C45626">
        <w:rPr>
          <w:rFonts w:ascii="Calibri" w:hAnsi="Calibri" w:cs="Calibri"/>
          <w:i/>
          <w:iCs/>
          <w:sz w:val="22"/>
          <w:szCs w:val="22"/>
        </w:rPr>
        <w:t>per se</w:t>
      </w:r>
      <w:r w:rsidR="000054A7">
        <w:rPr>
          <w:rFonts w:ascii="Calibri" w:hAnsi="Calibri" w:cs="Calibri"/>
          <w:sz w:val="22"/>
          <w:szCs w:val="22"/>
        </w:rPr>
        <w:t xml:space="preserve"> as the management paradigm would ony require creating the space for the dialogue, such as, in the GCC.  In reality, the main socio-economic effects </w:t>
      </w:r>
      <w:r>
        <w:rPr>
          <w:rFonts w:ascii="Calibri" w:hAnsi="Calibri" w:cs="Calibri"/>
          <w:sz w:val="22"/>
          <w:szCs w:val="22"/>
        </w:rPr>
        <w:t>are mitigated through the child projects who have stakeholder plans in place and ongoing relationships.</w:t>
      </w:r>
    </w:p>
    <w:p w14:paraId="33B48710" w14:textId="36DF6227" w:rsidR="00BC0B7F" w:rsidRDefault="00BC0B7F" w:rsidP="00D80344">
      <w:pPr>
        <w:pStyle w:val="BodyText"/>
        <w:numPr>
          <w:ilvl w:val="0"/>
          <w:numId w:val="67"/>
        </w:numPr>
        <w:spacing w:after="120"/>
        <w:jc w:val="both"/>
        <w:rPr>
          <w:rFonts w:ascii="Calibri" w:hAnsi="Calibri" w:cs="Calibri"/>
          <w:sz w:val="22"/>
          <w:szCs w:val="22"/>
        </w:rPr>
      </w:pPr>
      <w:r>
        <w:rPr>
          <w:rFonts w:ascii="Calibri" w:hAnsi="Calibri" w:cs="Calibri"/>
          <w:sz w:val="22"/>
          <w:szCs w:val="22"/>
        </w:rPr>
        <w:t>The balance of national and international actors will lower</w:t>
      </w:r>
      <w:r w:rsidR="00D35E0A">
        <w:rPr>
          <w:rFonts w:ascii="Calibri" w:hAnsi="Calibri" w:cs="Calibri"/>
          <w:sz w:val="22"/>
          <w:szCs w:val="22"/>
        </w:rPr>
        <w:t>s economic</w:t>
      </w:r>
      <w:r>
        <w:rPr>
          <w:rFonts w:ascii="Calibri" w:hAnsi="Calibri" w:cs="Calibri"/>
          <w:sz w:val="22"/>
          <w:szCs w:val="22"/>
        </w:rPr>
        <w:t xml:space="preserve"> risks as different connections to financing</w:t>
      </w:r>
      <w:r w:rsidR="00D35E0A">
        <w:rPr>
          <w:rFonts w:ascii="Calibri" w:hAnsi="Calibri" w:cs="Calibri"/>
          <w:sz w:val="22"/>
          <w:szCs w:val="22"/>
        </w:rPr>
        <w:t xml:space="preserve"> follow-on actions have been made available. The A&amp;L structure has made extensive international connections for follow-on projects related to child projects and at the portfolio-level. </w:t>
      </w:r>
    </w:p>
    <w:p w14:paraId="2FAE4555" w14:textId="70B2EA32" w:rsidR="00BC0B7F" w:rsidRPr="00DA0E36" w:rsidRDefault="00BC0B7F" w:rsidP="00D80344">
      <w:pPr>
        <w:pStyle w:val="BodyText"/>
        <w:numPr>
          <w:ilvl w:val="0"/>
          <w:numId w:val="67"/>
        </w:numPr>
        <w:spacing w:after="120"/>
        <w:jc w:val="both"/>
        <w:rPr>
          <w:rFonts w:ascii="Calibri" w:hAnsi="Calibri" w:cs="Calibri"/>
          <w:sz w:val="22"/>
          <w:szCs w:val="22"/>
        </w:rPr>
      </w:pPr>
      <w:r w:rsidRPr="00DA0E36">
        <w:rPr>
          <w:rFonts w:ascii="Calibri" w:hAnsi="Calibri" w:cs="Calibri"/>
          <w:sz w:val="22"/>
          <w:szCs w:val="22"/>
        </w:rPr>
        <w:t>Multi-stakeholder action already has momentum</w:t>
      </w:r>
      <w:r w:rsidR="00D35E0A">
        <w:rPr>
          <w:rFonts w:ascii="Calibri" w:hAnsi="Calibri" w:cs="Calibri"/>
          <w:sz w:val="22"/>
          <w:szCs w:val="22"/>
        </w:rPr>
        <w:t xml:space="preserve"> and has added smallholder mechanisms for participation in all countries. The multi-stakehodler approach and materials have been integrated by project partners. </w:t>
      </w:r>
      <w:r w:rsidRPr="00DA0E36">
        <w:rPr>
          <w:rFonts w:ascii="Calibri" w:hAnsi="Calibri" w:cs="Calibri"/>
          <w:sz w:val="22"/>
          <w:szCs w:val="22"/>
        </w:rPr>
        <w:t xml:space="preserve"> </w:t>
      </w:r>
    </w:p>
    <w:bookmarkEnd w:id="84"/>
    <w:bookmarkEnd w:id="85"/>
    <w:p w14:paraId="4BA6A386" w14:textId="77777777" w:rsidR="00BC0B7F" w:rsidRDefault="00BC0B7F" w:rsidP="00B63EB4">
      <w:pPr>
        <w:pStyle w:val="BodyText"/>
        <w:spacing w:after="120"/>
        <w:ind w:right="3770"/>
        <w:jc w:val="both"/>
        <w:rPr>
          <w:b/>
          <w:bCs/>
        </w:rPr>
      </w:pPr>
    </w:p>
    <w:p w14:paraId="52DC16C2" w14:textId="77777777" w:rsidR="00BC0B7F" w:rsidRPr="00AB2B2F" w:rsidRDefault="00BC0B7F" w:rsidP="00B63EB4">
      <w:pPr>
        <w:pStyle w:val="BodyText"/>
        <w:spacing w:after="120"/>
        <w:ind w:right="3770"/>
        <w:jc w:val="both"/>
        <w:rPr>
          <w:rFonts w:asciiTheme="minorHAnsi" w:hAnsiTheme="minorHAnsi" w:cstheme="minorHAnsi"/>
          <w:sz w:val="22"/>
          <w:szCs w:val="22"/>
        </w:rPr>
      </w:pPr>
      <w:r w:rsidRPr="00AB2B2F">
        <w:rPr>
          <w:rFonts w:asciiTheme="minorHAnsi" w:hAnsiTheme="minorHAnsi" w:cstheme="minorHAnsi"/>
          <w:b/>
          <w:bCs/>
          <w:sz w:val="22"/>
          <w:szCs w:val="22"/>
        </w:rPr>
        <w:t>Institutional Framework and Governance risks</w:t>
      </w:r>
      <w:r w:rsidRPr="00AB2B2F">
        <w:rPr>
          <w:rFonts w:asciiTheme="minorHAnsi" w:hAnsiTheme="minorHAnsi" w:cstheme="minorHAnsi"/>
          <w:sz w:val="22"/>
          <w:szCs w:val="22"/>
        </w:rPr>
        <w:t xml:space="preserve">: </w:t>
      </w:r>
    </w:p>
    <w:p w14:paraId="6061EA77" w14:textId="77777777" w:rsidR="00BC0B7F" w:rsidRPr="00AB2B2F" w:rsidRDefault="00BC0B7F" w:rsidP="00B63EB4">
      <w:pPr>
        <w:pStyle w:val="BodyText"/>
        <w:spacing w:after="120"/>
        <w:jc w:val="both"/>
        <w:rPr>
          <w:rFonts w:asciiTheme="minorHAnsi" w:hAnsiTheme="minorHAnsi" w:cstheme="minorHAnsi"/>
          <w:sz w:val="22"/>
          <w:szCs w:val="22"/>
        </w:rPr>
      </w:pPr>
      <w:r w:rsidRPr="00AB2B2F">
        <w:rPr>
          <w:rFonts w:asciiTheme="minorHAnsi" w:hAnsiTheme="minorHAnsi" w:cstheme="minorHAnsi"/>
          <w:sz w:val="22"/>
          <w:szCs w:val="22"/>
        </w:rPr>
        <w:t xml:space="preserve">Institutional and Governance Sustainability is </w:t>
      </w:r>
      <w:r w:rsidRPr="00AB2B2F">
        <w:rPr>
          <w:rFonts w:asciiTheme="minorHAnsi" w:hAnsiTheme="minorHAnsi" w:cstheme="minorHAnsi"/>
          <w:b/>
          <w:bCs/>
          <w:sz w:val="22"/>
          <w:szCs w:val="22"/>
        </w:rPr>
        <w:t>Moderately</w:t>
      </w:r>
      <w:r w:rsidRPr="00AB2B2F">
        <w:rPr>
          <w:rFonts w:asciiTheme="minorHAnsi" w:hAnsiTheme="minorHAnsi" w:cstheme="minorHAnsi"/>
          <w:sz w:val="22"/>
          <w:szCs w:val="22"/>
        </w:rPr>
        <w:t xml:space="preserve"> </w:t>
      </w:r>
      <w:r w:rsidRPr="00AB2B2F">
        <w:rPr>
          <w:rFonts w:asciiTheme="minorHAnsi" w:hAnsiTheme="minorHAnsi" w:cstheme="minorHAnsi"/>
          <w:b/>
          <w:bCs/>
          <w:sz w:val="22"/>
          <w:szCs w:val="22"/>
        </w:rPr>
        <w:t xml:space="preserve">Likely (ML) </w:t>
      </w:r>
      <w:r w:rsidRPr="00AB2B2F">
        <w:rPr>
          <w:rFonts w:asciiTheme="minorHAnsi" w:hAnsiTheme="minorHAnsi" w:cstheme="minorHAnsi"/>
          <w:sz w:val="22"/>
          <w:szCs w:val="22"/>
        </w:rPr>
        <w:t>as GGP enters into a transition phase</w:t>
      </w:r>
    </w:p>
    <w:p w14:paraId="276CB6D7" w14:textId="1AA1A100" w:rsidR="00BC0B7F" w:rsidRPr="00AB2B2F" w:rsidRDefault="00BC0B7F" w:rsidP="00D80344">
      <w:pPr>
        <w:pStyle w:val="BodyText"/>
        <w:numPr>
          <w:ilvl w:val="0"/>
          <w:numId w:val="68"/>
        </w:numPr>
        <w:spacing w:after="120"/>
        <w:ind w:right="90"/>
        <w:jc w:val="both"/>
        <w:rPr>
          <w:rFonts w:asciiTheme="minorHAnsi" w:hAnsiTheme="minorHAnsi" w:cstheme="minorHAnsi"/>
          <w:sz w:val="22"/>
          <w:szCs w:val="22"/>
        </w:rPr>
      </w:pPr>
      <w:r w:rsidRPr="00AB2B2F">
        <w:rPr>
          <w:rFonts w:asciiTheme="minorHAnsi" w:hAnsiTheme="minorHAnsi" w:cstheme="minorHAnsi"/>
          <w:sz w:val="22"/>
          <w:szCs w:val="22"/>
        </w:rPr>
        <w:t xml:space="preserve">It is important to maintain a type of governance structure to keep the momentum in terms of fundraising. </w:t>
      </w:r>
    </w:p>
    <w:p w14:paraId="10AF2742" w14:textId="77777777" w:rsidR="00BC0B7F" w:rsidRPr="00AB2B2F" w:rsidRDefault="00BC0B7F" w:rsidP="00D80344">
      <w:pPr>
        <w:pStyle w:val="BodyText"/>
        <w:numPr>
          <w:ilvl w:val="0"/>
          <w:numId w:val="68"/>
        </w:numPr>
        <w:spacing w:after="120"/>
        <w:ind w:right="90"/>
        <w:jc w:val="both"/>
        <w:rPr>
          <w:rFonts w:asciiTheme="minorHAnsi" w:hAnsiTheme="minorHAnsi" w:cstheme="minorHAnsi"/>
          <w:sz w:val="22"/>
          <w:szCs w:val="22"/>
        </w:rPr>
      </w:pPr>
      <w:r w:rsidRPr="00AB2B2F">
        <w:rPr>
          <w:rFonts w:asciiTheme="minorHAnsi" w:hAnsiTheme="minorHAnsi" w:cstheme="minorHAnsi"/>
          <w:sz w:val="22"/>
          <w:szCs w:val="22"/>
        </w:rPr>
        <w:t xml:space="preserve">An integrated approach will be a sustainable approach. A governance structure will be needed. </w:t>
      </w:r>
    </w:p>
    <w:p w14:paraId="2A81B797" w14:textId="77777777" w:rsidR="00BC0B7F" w:rsidRPr="00AB2B2F" w:rsidRDefault="00BC0B7F" w:rsidP="00D80344">
      <w:pPr>
        <w:pStyle w:val="BodyText"/>
        <w:numPr>
          <w:ilvl w:val="0"/>
          <w:numId w:val="68"/>
        </w:numPr>
        <w:spacing w:after="120"/>
        <w:ind w:right="90"/>
        <w:jc w:val="both"/>
        <w:rPr>
          <w:rFonts w:asciiTheme="minorHAnsi" w:hAnsiTheme="minorHAnsi" w:cstheme="minorHAnsi"/>
          <w:sz w:val="22"/>
          <w:szCs w:val="22"/>
        </w:rPr>
      </w:pPr>
      <w:r w:rsidRPr="00AB2B2F">
        <w:rPr>
          <w:rFonts w:asciiTheme="minorHAnsi" w:hAnsiTheme="minorHAnsi" w:cstheme="minorHAnsi"/>
          <w:sz w:val="22"/>
          <w:szCs w:val="22"/>
        </w:rPr>
        <w:t xml:space="preserve">Training and dissemination of knowledge products on sustainability </w:t>
      </w:r>
    </w:p>
    <w:p w14:paraId="4D6CE090" w14:textId="45AA4AC7" w:rsidR="00BC0B7F" w:rsidRPr="00AB2B2F" w:rsidRDefault="00BC0B7F" w:rsidP="00D80344">
      <w:pPr>
        <w:pStyle w:val="BodyText"/>
        <w:numPr>
          <w:ilvl w:val="0"/>
          <w:numId w:val="68"/>
        </w:numPr>
        <w:spacing w:after="120"/>
        <w:ind w:right="90"/>
        <w:jc w:val="both"/>
        <w:rPr>
          <w:rFonts w:asciiTheme="minorHAnsi" w:hAnsiTheme="minorHAnsi" w:cstheme="minorHAnsi"/>
          <w:sz w:val="22"/>
          <w:szCs w:val="22"/>
        </w:rPr>
      </w:pPr>
      <w:r w:rsidRPr="00AB2B2F">
        <w:rPr>
          <w:rFonts w:asciiTheme="minorHAnsi" w:hAnsiTheme="minorHAnsi" w:cstheme="minorHAnsi"/>
          <w:sz w:val="22"/>
          <w:szCs w:val="22"/>
        </w:rPr>
        <w:t>Support national Action Plans</w:t>
      </w:r>
    </w:p>
    <w:p w14:paraId="64EFE3CE" w14:textId="31037C9A" w:rsidR="00BC0B7F" w:rsidRPr="00AB2B2F" w:rsidRDefault="00BC0B7F" w:rsidP="00D80344">
      <w:pPr>
        <w:pStyle w:val="BodyText"/>
        <w:numPr>
          <w:ilvl w:val="0"/>
          <w:numId w:val="68"/>
        </w:numPr>
        <w:spacing w:after="120"/>
        <w:ind w:right="90"/>
        <w:jc w:val="both"/>
        <w:rPr>
          <w:rFonts w:asciiTheme="minorHAnsi" w:hAnsiTheme="minorHAnsi" w:cstheme="minorHAnsi"/>
          <w:sz w:val="22"/>
          <w:szCs w:val="22"/>
        </w:rPr>
      </w:pPr>
      <w:r w:rsidRPr="00AB2B2F">
        <w:rPr>
          <w:rFonts w:asciiTheme="minorHAnsi" w:hAnsiTheme="minorHAnsi" w:cstheme="minorHAnsi"/>
          <w:sz w:val="22"/>
          <w:szCs w:val="22"/>
        </w:rPr>
        <w:t>Private sector already engaged and can play a bigger role</w:t>
      </w:r>
    </w:p>
    <w:p w14:paraId="62033A76" w14:textId="77777777" w:rsidR="00BC0B7F" w:rsidRPr="00AB2B2F" w:rsidRDefault="00BC0B7F" w:rsidP="00B63EB4">
      <w:pPr>
        <w:pStyle w:val="BodyText"/>
        <w:spacing w:before="71"/>
        <w:ind w:right="3770"/>
        <w:jc w:val="both"/>
        <w:rPr>
          <w:rFonts w:asciiTheme="minorHAnsi" w:hAnsiTheme="minorHAnsi" w:cstheme="minorHAnsi"/>
          <w:sz w:val="22"/>
          <w:szCs w:val="22"/>
        </w:rPr>
      </w:pPr>
    </w:p>
    <w:p w14:paraId="30E6BEE6" w14:textId="77777777" w:rsidR="00BC0B7F" w:rsidRPr="00AB2B2F" w:rsidRDefault="00BC0B7F" w:rsidP="00B63EB4">
      <w:pPr>
        <w:pStyle w:val="BodyText"/>
        <w:spacing w:before="71"/>
        <w:ind w:right="3770"/>
        <w:jc w:val="both"/>
        <w:rPr>
          <w:rFonts w:asciiTheme="minorHAnsi" w:hAnsiTheme="minorHAnsi" w:cstheme="minorHAnsi"/>
          <w:b/>
          <w:bCs/>
          <w:sz w:val="22"/>
          <w:szCs w:val="22"/>
        </w:rPr>
      </w:pPr>
      <w:r w:rsidRPr="00AB2B2F">
        <w:rPr>
          <w:rFonts w:asciiTheme="minorHAnsi" w:hAnsiTheme="minorHAnsi" w:cstheme="minorHAnsi"/>
          <w:b/>
          <w:bCs/>
          <w:sz w:val="22"/>
          <w:szCs w:val="22"/>
        </w:rPr>
        <w:t>Environmental</w:t>
      </w:r>
    </w:p>
    <w:p w14:paraId="1F3644F7" w14:textId="77777777" w:rsidR="00BC0B7F" w:rsidRPr="00AB2B2F" w:rsidRDefault="00BC0B7F" w:rsidP="00B63EB4">
      <w:pPr>
        <w:pStyle w:val="BodyText"/>
        <w:spacing w:before="71"/>
        <w:ind w:right="270"/>
        <w:jc w:val="both"/>
        <w:rPr>
          <w:rFonts w:asciiTheme="minorHAnsi" w:hAnsiTheme="minorHAnsi" w:cstheme="minorHAnsi"/>
          <w:sz w:val="22"/>
          <w:szCs w:val="22"/>
        </w:rPr>
      </w:pPr>
      <w:r w:rsidRPr="00AB2B2F">
        <w:rPr>
          <w:rFonts w:asciiTheme="minorHAnsi" w:hAnsiTheme="minorHAnsi" w:cstheme="minorHAnsi"/>
          <w:sz w:val="22"/>
          <w:szCs w:val="22"/>
        </w:rPr>
        <w:lastRenderedPageBreak/>
        <w:t xml:space="preserve">Environmental Sustainability is </w:t>
      </w:r>
      <w:r w:rsidRPr="00AB2B2F">
        <w:rPr>
          <w:rFonts w:asciiTheme="minorHAnsi" w:hAnsiTheme="minorHAnsi" w:cstheme="minorHAnsi"/>
          <w:b/>
          <w:bCs/>
          <w:sz w:val="22"/>
          <w:szCs w:val="22"/>
        </w:rPr>
        <w:t xml:space="preserve">Likely (L): </w:t>
      </w:r>
      <w:r w:rsidRPr="00AB2B2F">
        <w:rPr>
          <w:rFonts w:asciiTheme="minorHAnsi" w:hAnsiTheme="minorHAnsi" w:cstheme="minorHAnsi"/>
          <w:sz w:val="22"/>
          <w:szCs w:val="22"/>
        </w:rPr>
        <w:t>The environmental attributes of the project will continue to produce</w:t>
      </w:r>
    </w:p>
    <w:p w14:paraId="201A0909" w14:textId="164C21A3" w:rsidR="00D35E0A" w:rsidRDefault="00D35E0A" w:rsidP="00D35E0A">
      <w:pPr>
        <w:pStyle w:val="BodyText"/>
        <w:numPr>
          <w:ilvl w:val="0"/>
          <w:numId w:val="69"/>
        </w:numPr>
        <w:spacing w:before="71"/>
        <w:ind w:right="90"/>
        <w:jc w:val="both"/>
      </w:pPr>
      <w:bookmarkStart w:id="86" w:name="_Hlk96896278"/>
      <w:r>
        <w:t xml:space="preserve">Plantations </w:t>
      </w:r>
      <w:r w:rsidR="00857840">
        <w:t>supported by</w:t>
      </w:r>
      <w:r>
        <w:t xml:space="preserve"> the child projects will continue to absorb CO2. This will be in addition to the 12 million tons of CO2 avoided. The plantations will keep doing this sustainably without inputs from A&amp;L or other actors. .</w:t>
      </w:r>
    </w:p>
    <w:p w14:paraId="2BB5FB13" w14:textId="7E45A9AA" w:rsidR="00BC0B7F" w:rsidRPr="00AB2B2F" w:rsidRDefault="00BC0B7F" w:rsidP="00D80344">
      <w:pPr>
        <w:pStyle w:val="BodyText"/>
        <w:numPr>
          <w:ilvl w:val="0"/>
          <w:numId w:val="69"/>
        </w:numPr>
        <w:spacing w:before="71"/>
        <w:ind w:right="90"/>
        <w:jc w:val="both"/>
        <w:rPr>
          <w:rFonts w:asciiTheme="minorHAnsi" w:hAnsiTheme="minorHAnsi" w:cstheme="minorHAnsi"/>
          <w:sz w:val="22"/>
          <w:szCs w:val="22"/>
        </w:rPr>
      </w:pPr>
      <w:r w:rsidRPr="00AB2B2F">
        <w:rPr>
          <w:rFonts w:asciiTheme="minorHAnsi" w:hAnsiTheme="minorHAnsi" w:cstheme="minorHAnsi"/>
          <w:sz w:val="22"/>
          <w:szCs w:val="22"/>
        </w:rPr>
        <w:t xml:space="preserve">The communications program will live on in the internet repeating messages on the role of sustainable commodity </w:t>
      </w:r>
      <w:r w:rsidR="000F6A15" w:rsidRPr="00AB2B2F">
        <w:rPr>
          <w:rFonts w:asciiTheme="minorHAnsi" w:hAnsiTheme="minorHAnsi" w:cstheme="minorHAnsi"/>
          <w:sz w:val="22"/>
          <w:szCs w:val="22"/>
        </w:rPr>
        <w:t>sectors</w:t>
      </w:r>
    </w:p>
    <w:p w14:paraId="7F6DC6B1" w14:textId="518ACF39" w:rsidR="00BC0B7F" w:rsidRPr="00AB2B2F" w:rsidRDefault="00BC0B7F" w:rsidP="00D80344">
      <w:pPr>
        <w:pStyle w:val="BodyText"/>
        <w:numPr>
          <w:ilvl w:val="0"/>
          <w:numId w:val="69"/>
        </w:numPr>
        <w:spacing w:before="71"/>
        <w:ind w:right="90"/>
        <w:jc w:val="both"/>
        <w:rPr>
          <w:rFonts w:asciiTheme="minorHAnsi" w:hAnsiTheme="minorHAnsi" w:cstheme="minorHAnsi"/>
          <w:sz w:val="22"/>
          <w:szCs w:val="22"/>
        </w:rPr>
      </w:pPr>
      <w:r w:rsidRPr="00AB2B2F">
        <w:rPr>
          <w:rFonts w:asciiTheme="minorHAnsi" w:hAnsiTheme="minorHAnsi" w:cstheme="minorHAnsi"/>
          <w:sz w:val="22"/>
          <w:szCs w:val="22"/>
        </w:rPr>
        <w:t>The program has tool</w:t>
      </w:r>
      <w:r w:rsidR="005E4DB8" w:rsidRPr="00AB2B2F">
        <w:rPr>
          <w:rFonts w:asciiTheme="minorHAnsi" w:hAnsiTheme="minorHAnsi" w:cstheme="minorHAnsi"/>
          <w:sz w:val="22"/>
          <w:szCs w:val="22"/>
        </w:rPr>
        <w:t>s</w:t>
      </w:r>
      <w:r w:rsidRPr="00AB2B2F">
        <w:rPr>
          <w:rFonts w:asciiTheme="minorHAnsi" w:hAnsiTheme="minorHAnsi" w:cstheme="minorHAnsi"/>
          <w:sz w:val="22"/>
          <w:szCs w:val="22"/>
        </w:rPr>
        <w:t>, such as Tra</w:t>
      </w:r>
      <w:r w:rsidR="005E4DB8" w:rsidRPr="00AB2B2F">
        <w:rPr>
          <w:rFonts w:asciiTheme="minorHAnsi" w:hAnsiTheme="minorHAnsi" w:cstheme="minorHAnsi"/>
          <w:sz w:val="22"/>
          <w:szCs w:val="22"/>
        </w:rPr>
        <w:t>s</w:t>
      </w:r>
      <w:r w:rsidRPr="00AB2B2F">
        <w:rPr>
          <w:rFonts w:asciiTheme="minorHAnsi" w:hAnsiTheme="minorHAnsi" w:cstheme="minorHAnsi"/>
          <w:sz w:val="22"/>
          <w:szCs w:val="22"/>
        </w:rPr>
        <w:t>e, Evidensia, and the GCC that can be sourced to wider audiences if the GCC is expanded</w:t>
      </w:r>
      <w:r w:rsidR="00C2661B" w:rsidRPr="00AB2B2F">
        <w:rPr>
          <w:rFonts w:asciiTheme="minorHAnsi" w:hAnsiTheme="minorHAnsi" w:cstheme="minorHAnsi"/>
          <w:sz w:val="22"/>
          <w:szCs w:val="22"/>
        </w:rPr>
        <w:t>, contributing to reducing environmental threats</w:t>
      </w:r>
      <w:r w:rsidR="00F848D5" w:rsidRPr="00AB2B2F">
        <w:rPr>
          <w:rFonts w:asciiTheme="minorHAnsi" w:hAnsiTheme="minorHAnsi" w:cstheme="minorHAnsi"/>
          <w:sz w:val="22"/>
          <w:szCs w:val="22"/>
        </w:rPr>
        <w:t xml:space="preserve"> by building capacity of project teams</w:t>
      </w:r>
      <w:r w:rsidRPr="00AB2B2F">
        <w:rPr>
          <w:rFonts w:asciiTheme="minorHAnsi" w:hAnsiTheme="minorHAnsi" w:cstheme="minorHAnsi"/>
          <w:sz w:val="22"/>
          <w:szCs w:val="22"/>
        </w:rPr>
        <w:t>.</w:t>
      </w:r>
    </w:p>
    <w:p w14:paraId="316C642C" w14:textId="01B32B2F" w:rsidR="00BC0B7F" w:rsidRPr="00AB2B2F" w:rsidRDefault="00BC0B7F" w:rsidP="00D80344">
      <w:pPr>
        <w:pStyle w:val="BodyText"/>
        <w:numPr>
          <w:ilvl w:val="0"/>
          <w:numId w:val="69"/>
        </w:numPr>
        <w:spacing w:before="71"/>
        <w:ind w:right="90"/>
        <w:jc w:val="both"/>
        <w:rPr>
          <w:rFonts w:asciiTheme="minorHAnsi" w:hAnsiTheme="minorHAnsi" w:cstheme="minorHAnsi"/>
          <w:sz w:val="22"/>
          <w:szCs w:val="22"/>
        </w:rPr>
      </w:pPr>
      <w:r w:rsidRPr="00AB2B2F">
        <w:rPr>
          <w:rFonts w:asciiTheme="minorHAnsi" w:hAnsiTheme="minorHAnsi" w:cstheme="minorHAnsi"/>
          <w:sz w:val="22"/>
          <w:szCs w:val="22"/>
        </w:rPr>
        <w:t xml:space="preserve">Producers are making money with improved production methodologies. Indonesia and Liberia oil palm plantations are </w:t>
      </w:r>
      <w:r w:rsidR="00D35E0A">
        <w:rPr>
          <w:rFonts w:asciiTheme="minorHAnsi" w:hAnsiTheme="minorHAnsi" w:cstheme="minorHAnsi"/>
          <w:sz w:val="22"/>
          <w:szCs w:val="22"/>
        </w:rPr>
        <w:t xml:space="preserve">likely to expand as farmers continue to replicate the practices learned in the field. A continued effort to share those results through the GCC, which as a sustainability plan in place, will greatly help </w:t>
      </w:r>
      <w:r w:rsidR="00857840">
        <w:rPr>
          <w:rFonts w:asciiTheme="minorHAnsi" w:hAnsiTheme="minorHAnsi" w:cstheme="minorHAnsi"/>
          <w:sz w:val="22"/>
          <w:szCs w:val="22"/>
        </w:rPr>
        <w:t xml:space="preserve">practitioners to look at strengthening </w:t>
      </w:r>
      <w:r w:rsidR="00D35E0A">
        <w:rPr>
          <w:rFonts w:asciiTheme="minorHAnsi" w:hAnsiTheme="minorHAnsi" w:cstheme="minorHAnsi"/>
          <w:sz w:val="22"/>
          <w:szCs w:val="22"/>
        </w:rPr>
        <w:t>extension services</w:t>
      </w:r>
      <w:r w:rsidR="00857840">
        <w:rPr>
          <w:rFonts w:asciiTheme="minorHAnsi" w:hAnsiTheme="minorHAnsi" w:cstheme="minorHAnsi"/>
          <w:sz w:val="22"/>
          <w:szCs w:val="22"/>
        </w:rPr>
        <w:t>.</w:t>
      </w:r>
    </w:p>
    <w:bookmarkEnd w:id="86"/>
    <w:p w14:paraId="264BA6CE" w14:textId="77777777" w:rsidR="00BC0B7F" w:rsidRPr="00AB2B2F" w:rsidRDefault="00BC0B7F" w:rsidP="00D80344">
      <w:pPr>
        <w:pStyle w:val="BodyText"/>
        <w:numPr>
          <w:ilvl w:val="0"/>
          <w:numId w:val="69"/>
        </w:numPr>
        <w:spacing w:before="71"/>
        <w:ind w:right="90"/>
        <w:jc w:val="both"/>
        <w:rPr>
          <w:rFonts w:asciiTheme="minorHAnsi" w:hAnsiTheme="minorHAnsi" w:cstheme="minorHAnsi"/>
          <w:sz w:val="22"/>
          <w:szCs w:val="22"/>
        </w:rPr>
      </w:pPr>
      <w:r w:rsidRPr="00AB2B2F">
        <w:rPr>
          <w:rFonts w:asciiTheme="minorHAnsi" w:hAnsiTheme="minorHAnsi" w:cstheme="minorHAnsi"/>
          <w:sz w:val="22"/>
          <w:szCs w:val="22"/>
        </w:rPr>
        <w:t>None of the activities implemented pose an environmental threat.</w:t>
      </w:r>
    </w:p>
    <w:p w14:paraId="1943AA2E" w14:textId="2F84F1AF" w:rsidR="00BC0B7F" w:rsidRDefault="00BC0B7F" w:rsidP="00B63EB4">
      <w:pPr>
        <w:jc w:val="both"/>
        <w:rPr>
          <w:b/>
          <w:bCs/>
        </w:rPr>
      </w:pPr>
    </w:p>
    <w:bookmarkEnd w:id="83"/>
    <w:p w14:paraId="6A3C3ACD" w14:textId="266B625D" w:rsidR="00BC0B7F" w:rsidRDefault="00BC0B7F" w:rsidP="00BC0B7F">
      <w:r w:rsidRPr="00E1243D">
        <w:rPr>
          <w:b/>
          <w:bCs/>
        </w:rPr>
        <w:t>Overall Likelihood:</w:t>
      </w:r>
      <w:r>
        <w:rPr>
          <w:b/>
          <w:bCs/>
        </w:rPr>
        <w:t xml:space="preserve"> Likely (L)</w:t>
      </w:r>
    </w:p>
    <w:p w14:paraId="70A5342E" w14:textId="7428DE2B" w:rsidR="00360CB3" w:rsidRPr="00970C33" w:rsidRDefault="00360CB3" w:rsidP="00BA2312">
      <w:pPr>
        <w:pStyle w:val="BodyText"/>
        <w:spacing w:before="4"/>
        <w:rPr>
          <w:rFonts w:asciiTheme="minorHAnsi" w:hAnsiTheme="minorHAnsi" w:cstheme="minorHAnsi"/>
          <w:sz w:val="22"/>
          <w:szCs w:val="22"/>
        </w:rPr>
      </w:pPr>
    </w:p>
    <w:tbl>
      <w:tblPr>
        <w:tblW w:w="8840" w:type="dxa"/>
        <w:jc w:val="center"/>
        <w:tblCellMar>
          <w:left w:w="0" w:type="dxa"/>
          <w:right w:w="0" w:type="dxa"/>
        </w:tblCellMar>
        <w:tblLook w:val="01E0" w:firstRow="1" w:lastRow="1" w:firstColumn="1" w:lastColumn="1" w:noHBand="0" w:noVBand="0"/>
      </w:tblPr>
      <w:tblGrid>
        <w:gridCol w:w="6160"/>
        <w:gridCol w:w="2680"/>
      </w:tblGrid>
      <w:tr w:rsidR="00970C33" w:rsidRPr="00970C33" w14:paraId="1E73BA78" w14:textId="77777777" w:rsidTr="00970C33">
        <w:trPr>
          <w:trHeight w:val="397"/>
          <w:jc w:val="center"/>
        </w:trPr>
        <w:tc>
          <w:tcPr>
            <w:tcW w:w="6160" w:type="dxa"/>
            <w:tcBorders>
              <w:top w:val="single" w:sz="8" w:space="0" w:color="5B9BD5"/>
              <w:left w:val="single" w:sz="8" w:space="0" w:color="5B9BD5"/>
              <w:bottom w:val="single" w:sz="8" w:space="0" w:color="5B9BD5"/>
              <w:right w:val="nil"/>
            </w:tcBorders>
            <w:shd w:val="clear" w:color="auto" w:fill="5B9BD5"/>
            <w:tcMar>
              <w:top w:w="15" w:type="dxa"/>
              <w:left w:w="15" w:type="dxa"/>
              <w:bottom w:w="0" w:type="dxa"/>
              <w:right w:w="15" w:type="dxa"/>
            </w:tcMar>
            <w:hideMark/>
          </w:tcPr>
          <w:p w14:paraId="0EE05947" w14:textId="77777777" w:rsidR="00970C33" w:rsidRPr="00970C33" w:rsidRDefault="00970C33" w:rsidP="00BA2312">
            <w:pPr>
              <w:pStyle w:val="BodyText"/>
              <w:spacing w:before="4"/>
              <w:rPr>
                <w:rFonts w:asciiTheme="minorHAnsi" w:hAnsiTheme="minorHAnsi" w:cstheme="minorHAnsi"/>
                <w:color w:val="FFFFFF" w:themeColor="background1"/>
                <w:sz w:val="22"/>
                <w:szCs w:val="22"/>
                <w:lang w:val="es-ES"/>
              </w:rPr>
            </w:pPr>
            <w:r w:rsidRPr="00970C33">
              <w:rPr>
                <w:rFonts w:asciiTheme="minorHAnsi" w:hAnsiTheme="minorHAnsi" w:cstheme="minorHAnsi"/>
                <w:color w:val="FFFFFF" w:themeColor="background1"/>
                <w:sz w:val="22"/>
                <w:szCs w:val="22"/>
              </w:rPr>
              <w:t>Sustainability</w:t>
            </w:r>
          </w:p>
        </w:tc>
        <w:tc>
          <w:tcPr>
            <w:tcW w:w="2680" w:type="dxa"/>
            <w:tcBorders>
              <w:top w:val="single" w:sz="8" w:space="0" w:color="5B9BD5"/>
              <w:left w:val="nil"/>
              <w:bottom w:val="single" w:sz="8" w:space="0" w:color="5B9BD5"/>
              <w:right w:val="single" w:sz="8" w:space="0" w:color="5B9BD5"/>
            </w:tcBorders>
            <w:shd w:val="clear" w:color="auto" w:fill="5B9BD5"/>
            <w:tcMar>
              <w:top w:w="15" w:type="dxa"/>
              <w:left w:w="15" w:type="dxa"/>
              <w:bottom w:w="0" w:type="dxa"/>
              <w:right w:w="15" w:type="dxa"/>
            </w:tcMar>
            <w:hideMark/>
          </w:tcPr>
          <w:p w14:paraId="4FCD9FAE" w14:textId="77777777" w:rsidR="00970C33" w:rsidRPr="00970C33" w:rsidRDefault="00970C33" w:rsidP="00BA2312">
            <w:pPr>
              <w:pStyle w:val="BodyText"/>
              <w:spacing w:before="4"/>
              <w:rPr>
                <w:rFonts w:asciiTheme="minorHAnsi" w:hAnsiTheme="minorHAnsi" w:cstheme="minorHAnsi"/>
                <w:color w:val="FFFFFF" w:themeColor="background1"/>
                <w:sz w:val="22"/>
                <w:szCs w:val="22"/>
                <w:lang w:val="es-ES"/>
              </w:rPr>
            </w:pPr>
            <w:r w:rsidRPr="00970C33">
              <w:rPr>
                <w:rFonts w:asciiTheme="minorHAnsi" w:hAnsiTheme="minorHAnsi" w:cstheme="minorHAnsi"/>
                <w:color w:val="FFFFFF" w:themeColor="background1"/>
                <w:sz w:val="22"/>
                <w:szCs w:val="22"/>
              </w:rPr>
              <w:t>Rating</w:t>
            </w:r>
          </w:p>
        </w:tc>
      </w:tr>
      <w:tr w:rsidR="00970C33" w:rsidRPr="00970C33" w14:paraId="5120600A" w14:textId="77777777" w:rsidTr="00970C33">
        <w:trPr>
          <w:trHeight w:val="415"/>
          <w:jc w:val="center"/>
        </w:trPr>
        <w:tc>
          <w:tcPr>
            <w:tcW w:w="6160" w:type="dxa"/>
            <w:tcBorders>
              <w:top w:val="single" w:sz="8" w:space="0" w:color="5B9BD5"/>
              <w:left w:val="single" w:sz="8" w:space="0" w:color="5B9BD5"/>
              <w:bottom w:val="single" w:sz="8" w:space="0" w:color="5B9BD5"/>
              <w:right w:val="nil"/>
            </w:tcBorders>
            <w:shd w:val="clear" w:color="auto" w:fill="EAEFF7"/>
            <w:tcMar>
              <w:top w:w="15" w:type="dxa"/>
              <w:left w:w="15" w:type="dxa"/>
              <w:bottom w:w="0" w:type="dxa"/>
              <w:right w:w="15" w:type="dxa"/>
            </w:tcMar>
            <w:hideMark/>
          </w:tcPr>
          <w:p w14:paraId="58C5426B"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Financial resources</w:t>
            </w:r>
          </w:p>
        </w:tc>
        <w:tc>
          <w:tcPr>
            <w:tcW w:w="2680" w:type="dxa"/>
            <w:tcBorders>
              <w:top w:val="single" w:sz="8" w:space="0" w:color="5B9BD5"/>
              <w:left w:val="nil"/>
              <w:bottom w:val="single" w:sz="8" w:space="0" w:color="5B9BD5"/>
              <w:right w:val="single" w:sz="8" w:space="0" w:color="5B9BD5"/>
            </w:tcBorders>
            <w:shd w:val="clear" w:color="auto" w:fill="EAEFF7"/>
            <w:tcMar>
              <w:top w:w="15" w:type="dxa"/>
              <w:left w:w="15" w:type="dxa"/>
              <w:bottom w:w="0" w:type="dxa"/>
              <w:right w:w="15" w:type="dxa"/>
            </w:tcMar>
            <w:hideMark/>
          </w:tcPr>
          <w:p w14:paraId="2291DEE3"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 L</w:t>
            </w:r>
          </w:p>
        </w:tc>
      </w:tr>
      <w:tr w:rsidR="00970C33" w:rsidRPr="00970C33" w14:paraId="4B2F1EFC" w14:textId="77777777" w:rsidTr="00970C33">
        <w:trPr>
          <w:trHeight w:val="325"/>
          <w:jc w:val="center"/>
        </w:trPr>
        <w:tc>
          <w:tcPr>
            <w:tcW w:w="6160" w:type="dxa"/>
            <w:tcBorders>
              <w:top w:val="single" w:sz="8" w:space="0" w:color="5B9BD5"/>
              <w:left w:val="single" w:sz="8" w:space="0" w:color="5B9BD5"/>
              <w:bottom w:val="single" w:sz="8" w:space="0" w:color="5B9BD5"/>
              <w:right w:val="nil"/>
            </w:tcBorders>
            <w:shd w:val="clear" w:color="auto" w:fill="FFFFFF"/>
            <w:tcMar>
              <w:top w:w="15" w:type="dxa"/>
              <w:left w:w="15" w:type="dxa"/>
              <w:bottom w:w="0" w:type="dxa"/>
              <w:right w:w="15" w:type="dxa"/>
            </w:tcMar>
            <w:hideMark/>
          </w:tcPr>
          <w:p w14:paraId="6211349A"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Socio-political</w:t>
            </w:r>
          </w:p>
        </w:tc>
        <w:tc>
          <w:tcPr>
            <w:tcW w:w="2680"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hideMark/>
          </w:tcPr>
          <w:p w14:paraId="491BD109"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 L</w:t>
            </w:r>
          </w:p>
        </w:tc>
      </w:tr>
      <w:tr w:rsidR="00970C33" w:rsidRPr="00970C33" w14:paraId="34CA091B" w14:textId="77777777" w:rsidTr="00970C33">
        <w:trPr>
          <w:trHeight w:val="415"/>
          <w:jc w:val="center"/>
        </w:trPr>
        <w:tc>
          <w:tcPr>
            <w:tcW w:w="6160" w:type="dxa"/>
            <w:tcBorders>
              <w:top w:val="single" w:sz="8" w:space="0" w:color="5B9BD5"/>
              <w:left w:val="single" w:sz="8" w:space="0" w:color="5B9BD5"/>
              <w:bottom w:val="single" w:sz="8" w:space="0" w:color="5B9BD5"/>
              <w:right w:val="nil"/>
            </w:tcBorders>
            <w:shd w:val="clear" w:color="auto" w:fill="EAEFF7"/>
            <w:tcMar>
              <w:top w:w="15" w:type="dxa"/>
              <w:left w:w="15" w:type="dxa"/>
              <w:bottom w:w="0" w:type="dxa"/>
              <w:right w:w="15" w:type="dxa"/>
            </w:tcMar>
            <w:hideMark/>
          </w:tcPr>
          <w:p w14:paraId="69C485C8"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Institutional framework and governance</w:t>
            </w:r>
          </w:p>
        </w:tc>
        <w:tc>
          <w:tcPr>
            <w:tcW w:w="2680" w:type="dxa"/>
            <w:tcBorders>
              <w:top w:val="single" w:sz="8" w:space="0" w:color="5B9BD5"/>
              <w:left w:val="nil"/>
              <w:bottom w:val="single" w:sz="8" w:space="0" w:color="5B9BD5"/>
              <w:right w:val="single" w:sz="8" w:space="0" w:color="5B9BD5"/>
            </w:tcBorders>
            <w:shd w:val="clear" w:color="auto" w:fill="EAEFF7"/>
            <w:tcMar>
              <w:top w:w="15" w:type="dxa"/>
              <w:left w:w="15" w:type="dxa"/>
              <w:bottom w:w="0" w:type="dxa"/>
              <w:right w:w="15" w:type="dxa"/>
            </w:tcMar>
            <w:hideMark/>
          </w:tcPr>
          <w:p w14:paraId="334D3A80" w14:textId="0B13DD5D"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 </w:t>
            </w:r>
            <w:r w:rsidR="00BC0B7F">
              <w:rPr>
                <w:rFonts w:asciiTheme="minorHAnsi" w:hAnsiTheme="minorHAnsi" w:cstheme="minorHAnsi"/>
                <w:sz w:val="22"/>
                <w:szCs w:val="22"/>
              </w:rPr>
              <w:t>ML</w:t>
            </w:r>
          </w:p>
        </w:tc>
      </w:tr>
      <w:tr w:rsidR="00970C33" w:rsidRPr="00970C33" w14:paraId="15D8A8AA" w14:textId="77777777" w:rsidTr="00970C33">
        <w:trPr>
          <w:trHeight w:val="415"/>
          <w:jc w:val="center"/>
        </w:trPr>
        <w:tc>
          <w:tcPr>
            <w:tcW w:w="6160" w:type="dxa"/>
            <w:tcBorders>
              <w:top w:val="single" w:sz="8" w:space="0" w:color="5B9BD5"/>
              <w:left w:val="single" w:sz="8" w:space="0" w:color="5B9BD5"/>
              <w:bottom w:val="double" w:sz="12" w:space="0" w:color="5B9BD5"/>
              <w:right w:val="nil"/>
            </w:tcBorders>
            <w:shd w:val="clear" w:color="auto" w:fill="FFFFFF"/>
            <w:tcMar>
              <w:top w:w="15" w:type="dxa"/>
              <w:left w:w="15" w:type="dxa"/>
              <w:bottom w:w="0" w:type="dxa"/>
              <w:right w:w="15" w:type="dxa"/>
            </w:tcMar>
            <w:hideMark/>
          </w:tcPr>
          <w:p w14:paraId="45CC2B06"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Environmental</w:t>
            </w:r>
          </w:p>
        </w:tc>
        <w:tc>
          <w:tcPr>
            <w:tcW w:w="2680" w:type="dxa"/>
            <w:tcBorders>
              <w:top w:val="single" w:sz="8" w:space="0" w:color="5B9BD5"/>
              <w:left w:val="nil"/>
              <w:bottom w:val="double" w:sz="12" w:space="0" w:color="5B9BD5"/>
              <w:right w:val="single" w:sz="8" w:space="0" w:color="5B9BD5"/>
            </w:tcBorders>
            <w:shd w:val="clear" w:color="auto" w:fill="FFFFFF"/>
            <w:tcMar>
              <w:top w:w="15" w:type="dxa"/>
              <w:left w:w="15" w:type="dxa"/>
              <w:bottom w:w="0" w:type="dxa"/>
              <w:right w:w="15" w:type="dxa"/>
            </w:tcMar>
            <w:hideMark/>
          </w:tcPr>
          <w:p w14:paraId="449B5354" w14:textId="141FE5D2"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 L</w:t>
            </w:r>
          </w:p>
        </w:tc>
      </w:tr>
      <w:tr w:rsidR="00970C33" w:rsidRPr="00970C33" w14:paraId="7784A737" w14:textId="77777777" w:rsidTr="00970C33">
        <w:trPr>
          <w:trHeight w:val="435"/>
          <w:jc w:val="center"/>
        </w:trPr>
        <w:tc>
          <w:tcPr>
            <w:tcW w:w="6160" w:type="dxa"/>
            <w:tcBorders>
              <w:top w:val="double" w:sz="12" w:space="0" w:color="5B9BD5"/>
              <w:left w:val="single" w:sz="8" w:space="0" w:color="5B9BD5"/>
              <w:bottom w:val="single" w:sz="8" w:space="0" w:color="5B9BD5"/>
              <w:right w:val="nil"/>
            </w:tcBorders>
            <w:shd w:val="clear" w:color="auto" w:fill="FFFFFF"/>
            <w:tcMar>
              <w:top w:w="15" w:type="dxa"/>
              <w:left w:w="15" w:type="dxa"/>
              <w:bottom w:w="0" w:type="dxa"/>
              <w:right w:w="15" w:type="dxa"/>
            </w:tcMar>
            <w:hideMark/>
          </w:tcPr>
          <w:p w14:paraId="33CB51DB"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Overall Likelihood of Sustainability</w:t>
            </w:r>
          </w:p>
        </w:tc>
        <w:tc>
          <w:tcPr>
            <w:tcW w:w="2680" w:type="dxa"/>
            <w:tcBorders>
              <w:top w:val="double" w:sz="12" w:space="0" w:color="5B9BD5"/>
              <w:left w:val="nil"/>
              <w:bottom w:val="single" w:sz="8" w:space="0" w:color="5B9BD5"/>
              <w:right w:val="single" w:sz="8" w:space="0" w:color="5B9BD5"/>
            </w:tcBorders>
            <w:shd w:val="clear" w:color="auto" w:fill="FFFFFF"/>
            <w:tcMar>
              <w:top w:w="15" w:type="dxa"/>
              <w:left w:w="15" w:type="dxa"/>
              <w:bottom w:w="0" w:type="dxa"/>
              <w:right w:w="15" w:type="dxa"/>
            </w:tcMar>
            <w:hideMark/>
          </w:tcPr>
          <w:p w14:paraId="1A101F12" w14:textId="77777777" w:rsidR="00970C33" w:rsidRPr="00970C33" w:rsidRDefault="00970C33" w:rsidP="00BA2312">
            <w:pPr>
              <w:pStyle w:val="BodyText"/>
              <w:spacing w:before="4"/>
              <w:rPr>
                <w:rFonts w:asciiTheme="minorHAnsi" w:hAnsiTheme="minorHAnsi" w:cstheme="minorHAnsi"/>
                <w:sz w:val="22"/>
                <w:szCs w:val="22"/>
                <w:lang w:val="es-ES"/>
              </w:rPr>
            </w:pPr>
            <w:r w:rsidRPr="00970C33">
              <w:rPr>
                <w:rFonts w:asciiTheme="minorHAnsi" w:hAnsiTheme="minorHAnsi" w:cstheme="minorHAnsi"/>
                <w:sz w:val="22"/>
                <w:szCs w:val="22"/>
              </w:rPr>
              <w:t>L</w:t>
            </w:r>
          </w:p>
        </w:tc>
      </w:tr>
    </w:tbl>
    <w:p w14:paraId="5EE01F04" w14:textId="01153A67" w:rsidR="00B13025" w:rsidRPr="00970C33" w:rsidRDefault="00445D9C" w:rsidP="00BA2312">
      <w:pPr>
        <w:pStyle w:val="BodyText"/>
        <w:spacing w:before="4"/>
        <w:rPr>
          <w:rFonts w:asciiTheme="minorHAnsi" w:hAnsiTheme="minorHAnsi" w:cstheme="minorHAnsi"/>
          <w:sz w:val="22"/>
          <w:szCs w:val="22"/>
        </w:rPr>
      </w:pPr>
      <w:r>
        <w:rPr>
          <w:rFonts w:asciiTheme="minorHAnsi" w:hAnsiTheme="minorHAnsi" w:cstheme="minorHAnsi"/>
          <w:sz w:val="22"/>
          <w:szCs w:val="22"/>
        </w:rPr>
        <w:t>Table 13. Sustainability Ratings</w:t>
      </w:r>
    </w:p>
    <w:p w14:paraId="0F56C8CD" w14:textId="77777777" w:rsidR="00AB4699" w:rsidRPr="00970C33" w:rsidRDefault="00AB4699" w:rsidP="00BA2312">
      <w:pPr>
        <w:pStyle w:val="BodyText"/>
        <w:spacing w:before="4"/>
        <w:rPr>
          <w:rFonts w:asciiTheme="minorHAnsi" w:hAnsiTheme="minorHAnsi" w:cstheme="minorHAnsi"/>
          <w:sz w:val="22"/>
          <w:szCs w:val="22"/>
        </w:rPr>
      </w:pPr>
    </w:p>
    <w:p w14:paraId="482DA2CE" w14:textId="19CB9B85" w:rsidR="0024361C" w:rsidRPr="00AB4699" w:rsidRDefault="0024361C" w:rsidP="00BA2312">
      <w:pPr>
        <w:pStyle w:val="BodyText"/>
        <w:spacing w:before="4"/>
        <w:rPr>
          <w:rFonts w:asciiTheme="minorHAnsi" w:hAnsiTheme="minorHAnsi" w:cstheme="minorHAnsi"/>
          <w:sz w:val="22"/>
          <w:szCs w:val="22"/>
          <w:lang w:val="es-ES"/>
        </w:rPr>
      </w:pPr>
    </w:p>
    <w:p w14:paraId="4B14DBD0" w14:textId="696BF658" w:rsidR="003C1535" w:rsidRPr="000C24B3" w:rsidRDefault="003C1535" w:rsidP="00BA2312">
      <w:pPr>
        <w:pStyle w:val="BodyText"/>
        <w:spacing w:before="170" w:line="259" w:lineRule="auto"/>
        <w:ind w:left="960" w:right="840"/>
        <w:rPr>
          <w:lang w:val="es-ES"/>
        </w:rPr>
      </w:pPr>
    </w:p>
    <w:p w14:paraId="51F391D3" w14:textId="60625F6D" w:rsidR="00360CB3" w:rsidRDefault="00CD453A" w:rsidP="00CD453A">
      <w:pPr>
        <w:pStyle w:val="Heading3"/>
      </w:pPr>
      <w:bookmarkStart w:id="87" w:name="_Toc96772502"/>
      <w:r>
        <w:t>4.3.8</w:t>
      </w:r>
      <w:r>
        <w:tab/>
      </w:r>
      <w:r w:rsidR="00360CB3">
        <w:t>Gender equality and women’s empowerment</w:t>
      </w:r>
      <w:bookmarkEnd w:id="87"/>
    </w:p>
    <w:p w14:paraId="35FAD714" w14:textId="77777777" w:rsidR="00833127" w:rsidRDefault="00833127" w:rsidP="00BA2312">
      <w:pPr>
        <w:pStyle w:val="BodyText"/>
        <w:spacing w:before="123"/>
        <w:ind w:left="960" w:right="902"/>
      </w:pPr>
    </w:p>
    <w:p w14:paraId="10736C9C" w14:textId="77592F7D" w:rsidR="00833127" w:rsidRDefault="00833127" w:rsidP="00833127">
      <w:pPr>
        <w:jc w:val="both"/>
      </w:pPr>
      <w:r>
        <w:t xml:space="preserve">The </w:t>
      </w:r>
      <w:r w:rsidR="00777063">
        <w:t xml:space="preserve">programme </w:t>
      </w:r>
      <w:r>
        <w:t>is contributing to gender equality on the following results areas:</w:t>
      </w:r>
    </w:p>
    <w:p w14:paraId="371A685A" w14:textId="77777777" w:rsidR="00833127" w:rsidRPr="007E7E93" w:rsidRDefault="00833127" w:rsidP="00D80344">
      <w:pPr>
        <w:pStyle w:val="ListParagraph"/>
        <w:numPr>
          <w:ilvl w:val="0"/>
          <w:numId w:val="54"/>
        </w:numPr>
        <w:spacing w:before="0"/>
        <w:jc w:val="both"/>
        <w:rPr>
          <w:rFonts w:asciiTheme="minorHAnsi" w:hAnsiTheme="minorHAnsi" w:cstheme="minorHAnsi"/>
        </w:rPr>
      </w:pPr>
      <w:r w:rsidRPr="007E7E93">
        <w:rPr>
          <w:rFonts w:asciiTheme="minorHAnsi" w:hAnsiTheme="minorHAnsi" w:cstheme="minorHAnsi"/>
        </w:rPr>
        <w:t>Contributing to closing gender gaps in access to and control over resources</w:t>
      </w:r>
    </w:p>
    <w:p w14:paraId="0B2209B5" w14:textId="77777777" w:rsidR="00833127" w:rsidRPr="007E7E93" w:rsidRDefault="00833127" w:rsidP="00D80344">
      <w:pPr>
        <w:pStyle w:val="ListParagraph"/>
        <w:numPr>
          <w:ilvl w:val="0"/>
          <w:numId w:val="54"/>
        </w:numPr>
        <w:spacing w:before="0"/>
        <w:jc w:val="both"/>
        <w:rPr>
          <w:rFonts w:asciiTheme="minorHAnsi" w:hAnsiTheme="minorHAnsi" w:cstheme="minorHAnsi"/>
        </w:rPr>
      </w:pPr>
      <w:r w:rsidRPr="007E7E93">
        <w:rPr>
          <w:rFonts w:asciiTheme="minorHAnsi" w:hAnsiTheme="minorHAnsi" w:cstheme="minorHAnsi"/>
        </w:rPr>
        <w:t>Improving the participation and decision-making of women in natural resource governance</w:t>
      </w:r>
    </w:p>
    <w:p w14:paraId="33DB2365" w14:textId="77777777" w:rsidR="00833127" w:rsidRDefault="00833127" w:rsidP="00833127">
      <w:pPr>
        <w:pStyle w:val="BodyText"/>
        <w:spacing w:before="123"/>
        <w:ind w:left="960" w:right="902"/>
        <w:jc w:val="both"/>
      </w:pPr>
    </w:p>
    <w:p w14:paraId="78E9ADD5" w14:textId="0F6D749E" w:rsidR="00833127" w:rsidRDefault="00833127" w:rsidP="00833127">
      <w:pPr>
        <w:jc w:val="both"/>
      </w:pPr>
      <w:r w:rsidRPr="00D87950">
        <w:t xml:space="preserve">Great efforts </w:t>
      </w:r>
      <w:r>
        <w:t>were</w:t>
      </w:r>
      <w:r w:rsidRPr="00D87950">
        <w:t xml:space="preserve"> constantly made to promote gender equality through GGP communications material since the launch of the project. For instance, the Year 3</w:t>
      </w:r>
      <w:r>
        <w:t xml:space="preserve"> and Year 4</w:t>
      </w:r>
      <w:r w:rsidRPr="00D87950">
        <w:t xml:space="preserve"> Highlights Report</w:t>
      </w:r>
      <w:r>
        <w:t>s</w:t>
      </w:r>
      <w:r w:rsidRPr="00D87950">
        <w:t xml:space="preserve"> </w:t>
      </w:r>
      <w:r>
        <w:t>have</w:t>
      </w:r>
      <w:r w:rsidRPr="00D87950">
        <w:t xml:space="preserve"> a chapter dedicated to gender equality and women empowerment, as a way to communicate on related results achieved as part of GGP but also to raise awareness and increase visibility on gender inequalities and discrimination, which are too often overlooked in commodity-focused projects. </w:t>
      </w:r>
    </w:p>
    <w:p w14:paraId="1456D13D" w14:textId="4607D912" w:rsidR="00FD55B5" w:rsidRDefault="00FD55B5" w:rsidP="00FD55B5">
      <w:pPr>
        <w:jc w:val="both"/>
      </w:pPr>
      <w:r>
        <w:lastRenderedPageBreak/>
        <w:t>Through the coordination of the A&amp;L Project, there are 11 pieces on gender-based production including</w:t>
      </w:r>
      <w:r w:rsidR="00AA11FA">
        <w:t xml:space="preserve"> for example</w:t>
      </w:r>
      <w:r>
        <w:t>:</w:t>
      </w:r>
    </w:p>
    <w:p w14:paraId="61A5CA54" w14:textId="77777777" w:rsidR="00FD55B5" w:rsidRDefault="00FD55B5" w:rsidP="00FD55B5">
      <w:pPr>
        <w:jc w:val="both"/>
      </w:pPr>
      <w:r>
        <w:t>•</w:t>
      </w:r>
      <w:r>
        <w:tab/>
        <w:t>One Gender Knowledge Product: Gender Mainstreaming in Agrcultural Supply Chains Can Accelerate Growth: What Words and for Whom?</w:t>
      </w:r>
    </w:p>
    <w:p w14:paraId="304FE90F" w14:textId="77777777" w:rsidR="00FD55B5" w:rsidRDefault="00FD55B5" w:rsidP="00FD55B5">
      <w:pPr>
        <w:jc w:val="both"/>
      </w:pPr>
      <w:r>
        <w:t>•</w:t>
      </w:r>
      <w:r>
        <w:tab/>
        <w:t xml:space="preserve">1 Roundtable on Gender organized for the Green Commodities and their problemsby the Green Commodities Community </w:t>
      </w:r>
    </w:p>
    <w:p w14:paraId="04ACB78C" w14:textId="77777777" w:rsidR="00FD55B5" w:rsidRDefault="00FD55B5" w:rsidP="00FD55B5">
      <w:pPr>
        <w:jc w:val="both"/>
      </w:pPr>
      <w:r>
        <w:t>•</w:t>
      </w:r>
      <w:r>
        <w:tab/>
        <w:t>Gender action plans for each Child Project</w:t>
      </w:r>
    </w:p>
    <w:p w14:paraId="37BEC3E8" w14:textId="47F57C7E" w:rsidR="00833127" w:rsidRPr="00D87950" w:rsidRDefault="00833127" w:rsidP="00833127">
      <w:pPr>
        <w:jc w:val="both"/>
      </w:pPr>
      <w:r w:rsidRPr="00D87950">
        <w:t xml:space="preserve">In addition, gender disaggregated data has been gathered for the completion of the </w:t>
      </w:r>
      <w:r w:rsidR="00364406">
        <w:t xml:space="preserve">recently finalized </w:t>
      </w:r>
      <w:r w:rsidRPr="00D87950">
        <w:t>first update of the GGP programme-level monitoring framework (launched in Q1 2021. This will allow to monitor the proportion of women benefitting from GGP projects and will help understand better populations benefitting and potentially identify issues to be further investigated.</w:t>
      </w:r>
    </w:p>
    <w:p w14:paraId="2C6E7B1E" w14:textId="2FB5B69B" w:rsidR="00833127" w:rsidRPr="00D87950" w:rsidRDefault="00B25263" w:rsidP="00833127">
      <w:pPr>
        <w:jc w:val="both"/>
      </w:pPr>
      <w:r>
        <w:t>Looking more specifically at the A&amp;L project, a</w:t>
      </w:r>
      <w:r w:rsidR="00833127" w:rsidRPr="00D87950">
        <w:t xml:space="preserve"> gender specialist </w:t>
      </w:r>
      <w:r w:rsidR="00833127">
        <w:t>wa</w:t>
      </w:r>
      <w:r w:rsidR="00833127" w:rsidRPr="00D87950">
        <w:t>s</w:t>
      </w:r>
      <w:r>
        <w:t xml:space="preserve"> hired</w:t>
      </w:r>
      <w:r w:rsidR="00833127" w:rsidRPr="00D87950">
        <w:t xml:space="preserve"> </w:t>
      </w:r>
      <w:r w:rsidR="00833127">
        <w:t>in 2021 to develop</w:t>
      </w:r>
      <w:r w:rsidR="00833127" w:rsidRPr="00D87950">
        <w:t xml:space="preserve"> an Executive Summary of </w:t>
      </w:r>
      <w:r w:rsidR="00833127">
        <w:t>the GGP</w:t>
      </w:r>
      <w:r w:rsidR="00833127" w:rsidRPr="00D87950">
        <w:t xml:space="preserve"> knowledge product “Gender Mainstreaming in Agricultural Supply Chains Can Accelerate Good Growth: What Works and for Whom?” (</w:t>
      </w:r>
      <w:hyperlink r:id="rId34" w:history="1">
        <w:r w:rsidR="00833127" w:rsidRPr="00D87950">
          <w:rPr>
            <w:rStyle w:val="Hyperlink"/>
          </w:rPr>
          <w:t>https://goodgrowthpartnership.com/wp-content/uploads/Gender-KP-Final-Jan2020.pdf</w:t>
        </w:r>
      </w:hyperlink>
      <w:r w:rsidR="00833127" w:rsidRPr="00D87950">
        <w:t xml:space="preserve">), launched at the beginning of 2020 to underline and stress the added value of using a gender lens in the design and implementation of activities in agricultural supply chains, and reflect on current trends in gender mainstreaming, opportunities to accelerate action, and critical lessons-learned from initiatives that have already been implemented in order to allow a better dissemination of the key insights of this piece of knowledge. </w:t>
      </w:r>
      <w:r w:rsidR="00833127">
        <w:t>At the time of the evaluation, this Executive Summary was not finished but on track.</w:t>
      </w:r>
      <w:r w:rsidR="00833127" w:rsidRPr="00D87950">
        <w:t xml:space="preserve"> </w:t>
      </w:r>
    </w:p>
    <w:p w14:paraId="2575ED97" w14:textId="77777777" w:rsidR="00833127" w:rsidRPr="00D87950" w:rsidRDefault="00833127" w:rsidP="00833127">
      <w:pPr>
        <w:jc w:val="both"/>
      </w:pPr>
      <w:r>
        <w:t xml:space="preserve">A </w:t>
      </w:r>
      <w:r w:rsidRPr="00D87950">
        <w:t>training on gender for GCC practitioners is being planned to be delivered at the beginning of 2022. The Green Commodities Community also put an emphasis on promoting the participation of women in this learning space, and as of June 2021, 62% of the Community members are women.</w:t>
      </w:r>
    </w:p>
    <w:p w14:paraId="38287C78" w14:textId="77777777" w:rsidR="00833127" w:rsidRPr="00D87950" w:rsidRDefault="00833127" w:rsidP="00833127">
      <w:pPr>
        <w:jc w:val="both"/>
      </w:pPr>
      <w:r w:rsidRPr="00D87950">
        <w:t xml:space="preserve">Gender mainstreaming and programming </w:t>
      </w:r>
      <w:r>
        <w:t>were</w:t>
      </w:r>
      <w:r w:rsidRPr="00D87950">
        <w:t xml:space="preserve"> maintained as key topics of discussion of the GGP Secretariat country focused calls (organized on a quarterly basis since beginning of 2019), where country teams are encouraged to share their challenges, learnings and activities planned to increase gender equality and enable women empowerment in commodity supply chains. </w:t>
      </w:r>
    </w:p>
    <w:p w14:paraId="043BCD6E" w14:textId="0F806FA9" w:rsidR="00833127" w:rsidRPr="00D87950" w:rsidRDefault="00833127" w:rsidP="00833127">
      <w:pPr>
        <w:jc w:val="both"/>
      </w:pPr>
      <w:r>
        <w:t>Also,</w:t>
      </w:r>
      <w:r w:rsidRPr="00D87950">
        <w:t xml:space="preserve"> “gender” was included as a cross-cutting tag in Evidensia, so anyone can easily find all gender-focused resources and resources including a gender lens through typing in the word “gender” in the search box or selecting SDG 5 on Gender Equality in the filter option. As of end of March 2021, closing date for activities under the A&amp;L Project component 2, 84 resources on Evidensia have been coded with the “gender “tag.  </w:t>
      </w:r>
    </w:p>
    <w:p w14:paraId="0544B388" w14:textId="1B1F4771" w:rsidR="00833127" w:rsidRDefault="00833127" w:rsidP="00833127">
      <w:pPr>
        <w:jc w:val="both"/>
      </w:pPr>
      <w:r>
        <w:t>D</w:t>
      </w:r>
      <w:r w:rsidRPr="00D87950">
        <w:t>uring the organization of the GGP-New York Climate Week event (September 23, 2020) and the two follow-up webinars (November 17 and December 7, 2020), as well as the Good Growth Partnership 2021 high-level panels (May 25-26, 2020) were gender inclusive and included women as key speakers. This aimed to contribute to change mindsets in commodity sectors which are often male dominated</w:t>
      </w:r>
      <w:r w:rsidR="00364406">
        <w:t>; as well as the GGP Celebration event of October 28 to launch the GGP Highlights Report into circulation</w:t>
      </w:r>
      <w:r w:rsidRPr="00D87950">
        <w:t>.</w:t>
      </w:r>
    </w:p>
    <w:p w14:paraId="37A80F38" w14:textId="77777777" w:rsidR="00833127" w:rsidRDefault="00833127" w:rsidP="00833127">
      <w:pPr>
        <w:jc w:val="both"/>
      </w:pPr>
      <w:r w:rsidRPr="00D87950">
        <w:t xml:space="preserve">The programme-level gender knowledge product (mentioned into more details above) published in 2020 outlines a business case for gender equality and women empowerment in commodity supply chains. The </w:t>
      </w:r>
      <w:r w:rsidRPr="00D87950">
        <w:lastRenderedPageBreak/>
        <w:t xml:space="preserve">key arguments presented in the publication for the productive and financial sectors as well as for the demand side provide evidence that gender is a development multiplier for sustainable commodities projects and supply chains sustainability efforts and that a gendered approach to commodity supply chains can deliver for 9 of the 17 SDGs, including SDG 12 on Responsible Consumption and Production, SDG 13 on Climate Action and SDG 15 on Life on Land. The ongoing development of an Executive Summary of this knowledge product and its future dissemination will contribute to further raise visibility around these specific issues. </w:t>
      </w:r>
    </w:p>
    <w:p w14:paraId="17CC21F3" w14:textId="77777777" w:rsidR="00833127" w:rsidRDefault="00833127" w:rsidP="00BA2312">
      <w:pPr>
        <w:pStyle w:val="BodyText"/>
        <w:spacing w:before="123"/>
        <w:ind w:left="960" w:right="902"/>
      </w:pPr>
    </w:p>
    <w:p w14:paraId="56B57F3C" w14:textId="712F429F" w:rsidR="00360CB3" w:rsidRDefault="00CD453A" w:rsidP="00CD453A">
      <w:pPr>
        <w:pStyle w:val="Heading3"/>
      </w:pPr>
      <w:bookmarkStart w:id="88" w:name="_Toc96772503"/>
      <w:r>
        <w:t>4.3.9</w:t>
      </w:r>
      <w:r>
        <w:tab/>
      </w:r>
      <w:r w:rsidR="00360CB3">
        <w:t>Cross-cutting Issues</w:t>
      </w:r>
      <w:bookmarkEnd w:id="88"/>
    </w:p>
    <w:p w14:paraId="38F0616C" w14:textId="78D63729" w:rsidR="00B63EB4" w:rsidRDefault="00B63EB4" w:rsidP="00B63EB4"/>
    <w:p w14:paraId="563E48A0" w14:textId="77777777" w:rsidR="00B63EB4" w:rsidRDefault="00B63EB4" w:rsidP="00B63EB4">
      <w:pPr>
        <w:jc w:val="both"/>
        <w:rPr>
          <w:spacing w:val="-5"/>
        </w:rPr>
      </w:pPr>
      <w:r>
        <w:t>The project creates a number of issues that are cross cutting for UNDP-supported</w:t>
      </w:r>
      <w:r>
        <w:rPr>
          <w:spacing w:val="-4"/>
        </w:rPr>
        <w:t xml:space="preserve"> </w:t>
      </w:r>
      <w:r>
        <w:t>GEF-financed</w:t>
      </w:r>
      <w:r>
        <w:rPr>
          <w:spacing w:val="-3"/>
        </w:rPr>
        <w:t xml:space="preserve"> </w:t>
      </w:r>
      <w:r>
        <w:t>projects</w:t>
      </w:r>
      <w:r>
        <w:rPr>
          <w:spacing w:val="-4"/>
        </w:rPr>
        <w:t xml:space="preserve"> </w:t>
      </w:r>
      <w:r>
        <w:t>are</w:t>
      </w:r>
      <w:r>
        <w:rPr>
          <w:spacing w:val="-5"/>
        </w:rPr>
        <w:t xml:space="preserve"> </w:t>
      </w:r>
      <w:r>
        <w:t>key</w:t>
      </w:r>
      <w:r>
        <w:rPr>
          <w:spacing w:val="-3"/>
        </w:rPr>
        <w:t xml:space="preserve"> </w:t>
      </w:r>
      <w:r>
        <w:t>elements</w:t>
      </w:r>
      <w:r>
        <w:rPr>
          <w:spacing w:val="-4"/>
        </w:rPr>
        <w:t xml:space="preserve"> </w:t>
      </w:r>
      <w:r>
        <w:t>in</w:t>
      </w:r>
      <w:r>
        <w:rPr>
          <w:spacing w:val="-4"/>
        </w:rPr>
        <w:t xml:space="preserve"> </w:t>
      </w:r>
      <w:r>
        <w:t>UNDP</w:t>
      </w:r>
      <w:r>
        <w:rPr>
          <w:spacing w:val="-5"/>
        </w:rPr>
        <w:t xml:space="preserve"> </w:t>
      </w:r>
      <w:r>
        <w:t>country programming.</w:t>
      </w:r>
      <w:r>
        <w:rPr>
          <w:spacing w:val="-5"/>
        </w:rPr>
        <w:t xml:space="preserve"> </w:t>
      </w:r>
    </w:p>
    <w:p w14:paraId="2E74F97E" w14:textId="77777777" w:rsidR="00B63EB4" w:rsidRPr="00B63EB4" w:rsidRDefault="00B63EB4" w:rsidP="00D80344">
      <w:pPr>
        <w:pStyle w:val="ListParagraph"/>
        <w:numPr>
          <w:ilvl w:val="0"/>
          <w:numId w:val="70"/>
        </w:numPr>
        <w:jc w:val="both"/>
        <w:rPr>
          <w:rFonts w:asciiTheme="minorHAnsi" w:hAnsiTheme="minorHAnsi" w:cstheme="minorHAnsi"/>
        </w:rPr>
      </w:pPr>
      <w:r w:rsidRPr="00B63EB4">
        <w:rPr>
          <w:rFonts w:asciiTheme="minorHAnsi" w:hAnsiTheme="minorHAnsi" w:cstheme="minorHAnsi"/>
        </w:rPr>
        <w:t>The collaborative approach and multi-stakeholder tools have a high degree of applicability.  One partner organization in the mix recounted to the evaluation team an experience where they were working in a separate area and adopted the approach, convinced it was the way to go.</w:t>
      </w:r>
    </w:p>
    <w:p w14:paraId="589428AB" w14:textId="77777777" w:rsidR="00B63EB4" w:rsidRPr="00B63EB4" w:rsidRDefault="00B63EB4" w:rsidP="00D80344">
      <w:pPr>
        <w:pStyle w:val="ListParagraph"/>
        <w:numPr>
          <w:ilvl w:val="0"/>
          <w:numId w:val="70"/>
        </w:numPr>
        <w:jc w:val="both"/>
        <w:rPr>
          <w:rFonts w:asciiTheme="minorHAnsi" w:hAnsiTheme="minorHAnsi" w:cstheme="minorHAnsi"/>
        </w:rPr>
      </w:pPr>
      <w:r w:rsidRPr="00B63EB4">
        <w:rPr>
          <w:rFonts w:asciiTheme="minorHAnsi" w:hAnsiTheme="minorHAnsi" w:cstheme="minorHAnsi"/>
        </w:rPr>
        <w:t xml:space="preserve">Systems thinking moving away from linear project design and M&amp;E using a systems framework. </w:t>
      </w:r>
    </w:p>
    <w:p w14:paraId="46E9166A" w14:textId="692B2110" w:rsidR="00B63EB4" w:rsidRPr="00B63EB4" w:rsidRDefault="00B63EB4" w:rsidP="00D80344">
      <w:pPr>
        <w:pStyle w:val="ListParagraph"/>
        <w:numPr>
          <w:ilvl w:val="0"/>
          <w:numId w:val="70"/>
        </w:numPr>
        <w:jc w:val="both"/>
        <w:rPr>
          <w:rFonts w:asciiTheme="minorHAnsi" w:hAnsiTheme="minorHAnsi" w:cstheme="minorHAnsi"/>
        </w:rPr>
      </w:pPr>
      <w:r w:rsidRPr="00B63EB4">
        <w:rPr>
          <w:rFonts w:asciiTheme="minorHAnsi" w:hAnsiTheme="minorHAnsi" w:cstheme="minorHAnsi"/>
        </w:rPr>
        <w:t xml:space="preserve">The use of multi-stakeholder platforms as a means to plan and reach consensus. </w:t>
      </w:r>
    </w:p>
    <w:p w14:paraId="770DC8BB" w14:textId="36A04AF7" w:rsidR="00B63EB4" w:rsidRPr="00B63EB4" w:rsidRDefault="00B63EB4" w:rsidP="00D80344">
      <w:pPr>
        <w:pStyle w:val="ListParagraph"/>
        <w:numPr>
          <w:ilvl w:val="0"/>
          <w:numId w:val="70"/>
        </w:numPr>
        <w:jc w:val="both"/>
        <w:rPr>
          <w:rFonts w:asciiTheme="minorHAnsi" w:hAnsiTheme="minorHAnsi" w:cstheme="minorHAnsi"/>
        </w:rPr>
      </w:pPr>
      <w:r w:rsidRPr="00B63EB4">
        <w:rPr>
          <w:rFonts w:asciiTheme="minorHAnsi" w:hAnsiTheme="minorHAnsi" w:cstheme="minorHAnsi"/>
        </w:rPr>
        <w:t xml:space="preserve">The GCC has valuable materials and lessons </w:t>
      </w:r>
      <w:r w:rsidR="006866FF">
        <w:rPr>
          <w:rFonts w:asciiTheme="minorHAnsi" w:hAnsiTheme="minorHAnsi" w:cstheme="minorHAnsi"/>
        </w:rPr>
        <w:t xml:space="preserve">produced through the GCP projects </w:t>
      </w:r>
      <w:r w:rsidRPr="00B63EB4">
        <w:rPr>
          <w:rFonts w:asciiTheme="minorHAnsi" w:hAnsiTheme="minorHAnsi" w:cstheme="minorHAnsi"/>
        </w:rPr>
        <w:t>that can be applied outside of the intended commodities</w:t>
      </w:r>
      <w:r w:rsidR="00B14739">
        <w:rPr>
          <w:rFonts w:asciiTheme="minorHAnsi" w:hAnsiTheme="minorHAnsi" w:cstheme="minorHAnsi"/>
        </w:rPr>
        <w:t xml:space="preserve">, such as the </w:t>
      </w:r>
      <w:r w:rsidR="006866FF">
        <w:rPr>
          <w:rFonts w:asciiTheme="minorHAnsi" w:hAnsiTheme="minorHAnsi" w:cstheme="minorHAnsi"/>
        </w:rPr>
        <w:t xml:space="preserve">Knowledge Management guides on </w:t>
      </w:r>
      <w:r w:rsidR="00B14739">
        <w:rPr>
          <w:rFonts w:asciiTheme="minorHAnsi" w:hAnsiTheme="minorHAnsi" w:cstheme="minorHAnsi"/>
        </w:rPr>
        <w:t>Gender, Multi-stakehodler Guide</w:t>
      </w:r>
      <w:r w:rsidR="006866FF">
        <w:rPr>
          <w:rFonts w:asciiTheme="minorHAnsi" w:hAnsiTheme="minorHAnsi" w:cstheme="minorHAnsi"/>
        </w:rPr>
        <w:t xml:space="preserve">, Small Farmer participation toolkit, etc, </w:t>
      </w:r>
      <w:r w:rsidRPr="00B63EB4">
        <w:rPr>
          <w:rFonts w:asciiTheme="minorHAnsi" w:hAnsiTheme="minorHAnsi" w:cstheme="minorHAnsi"/>
        </w:rPr>
        <w:t xml:space="preserve">. These should be </w:t>
      </w:r>
      <w:r w:rsidR="006866FF">
        <w:rPr>
          <w:rFonts w:asciiTheme="minorHAnsi" w:hAnsiTheme="minorHAnsi" w:cstheme="minorHAnsi"/>
        </w:rPr>
        <w:t xml:space="preserve">actively promoted </w:t>
      </w:r>
      <w:r w:rsidRPr="00B63EB4">
        <w:rPr>
          <w:rFonts w:asciiTheme="minorHAnsi" w:hAnsiTheme="minorHAnsi" w:cstheme="minorHAnsi"/>
        </w:rPr>
        <w:t xml:space="preserve">outside of the </w:t>
      </w:r>
      <w:r w:rsidR="006866FF">
        <w:rPr>
          <w:rFonts w:asciiTheme="minorHAnsi" w:hAnsiTheme="minorHAnsi" w:cstheme="minorHAnsi"/>
        </w:rPr>
        <w:t xml:space="preserve">existing </w:t>
      </w:r>
      <w:r w:rsidRPr="00B63EB4">
        <w:rPr>
          <w:rFonts w:asciiTheme="minorHAnsi" w:hAnsiTheme="minorHAnsi" w:cstheme="minorHAnsi"/>
        </w:rPr>
        <w:t>network</w:t>
      </w:r>
      <w:r w:rsidR="006866FF">
        <w:rPr>
          <w:rFonts w:asciiTheme="minorHAnsi" w:hAnsiTheme="minorHAnsi" w:cstheme="minorHAnsi"/>
        </w:rPr>
        <w:t xml:space="preserve"> along with digital learning opportunities such as webinars, video content, etc. that will be available on the Digital Plarform for Colaborative Learning. </w:t>
      </w:r>
    </w:p>
    <w:p w14:paraId="4D0F124F" w14:textId="77777777" w:rsidR="00B63EB4" w:rsidRPr="00970C33" w:rsidRDefault="00B63EB4" w:rsidP="00B63EB4"/>
    <w:p w14:paraId="40950F4E" w14:textId="77777777" w:rsidR="00970C33" w:rsidRPr="00970C33" w:rsidRDefault="00970C33" w:rsidP="00BA2312">
      <w:pPr>
        <w:pStyle w:val="Heading4"/>
        <w:spacing w:before="100"/>
        <w:ind w:left="900"/>
      </w:pPr>
    </w:p>
    <w:p w14:paraId="58C72B71" w14:textId="454D0E5B" w:rsidR="00360CB3" w:rsidRDefault="00CD453A" w:rsidP="00CD453A">
      <w:pPr>
        <w:pStyle w:val="Heading3"/>
      </w:pPr>
      <w:bookmarkStart w:id="89" w:name="_Toc96772504"/>
      <w:r>
        <w:t>4.3.10</w:t>
      </w:r>
      <w:r>
        <w:tab/>
      </w:r>
      <w:r w:rsidR="00360CB3">
        <w:t>GEF Additionality</w:t>
      </w:r>
      <w:bookmarkEnd w:id="89"/>
    </w:p>
    <w:p w14:paraId="03ADFF40" w14:textId="77777777" w:rsidR="00452377" w:rsidRPr="004024EB" w:rsidRDefault="00452377" w:rsidP="00452377">
      <w:pPr>
        <w:spacing w:after="120" w:line="240" w:lineRule="auto"/>
        <w:jc w:val="both"/>
        <w:rPr>
          <w:rFonts w:eastAsia="Times New Roman"/>
          <w:color w:val="000000"/>
          <w:lang w:eastAsia="en-US"/>
        </w:rPr>
      </w:pPr>
      <w:r w:rsidRPr="004024EB">
        <w:rPr>
          <w:rFonts w:eastAsia="Times New Roman"/>
          <w:color w:val="000000"/>
          <w:lang w:eastAsia="en-US"/>
        </w:rPr>
        <w:t xml:space="preserve">The A&amp;L project </w:t>
      </w:r>
      <w:r>
        <w:rPr>
          <w:rFonts w:eastAsia="Times New Roman"/>
          <w:color w:val="000000"/>
          <w:lang w:eastAsia="en-US"/>
        </w:rPr>
        <w:t xml:space="preserve">provides management and coordination to the GGP. It is </w:t>
      </w:r>
      <w:r w:rsidRPr="004024EB">
        <w:rPr>
          <w:rFonts w:eastAsia="Times New Roman"/>
          <w:color w:val="000000"/>
          <w:lang w:eastAsia="en-US"/>
        </w:rPr>
        <w:t>instrumental in ensuring that the IAP is viewed as a cohesive whole and that it has a clear identity. This will entail a number of different vital elements, which are further detailed in the description of the project's Outcomes</w:t>
      </w:r>
      <w:r>
        <w:rPr>
          <w:rFonts w:eastAsia="Times New Roman"/>
          <w:color w:val="000000"/>
          <w:lang w:eastAsia="en-US"/>
        </w:rPr>
        <w:t>. These aspects were tested in interviews with field staff of the Production Project and in a focus group meeting with the Brazil team</w:t>
      </w:r>
      <w:r w:rsidRPr="004024EB">
        <w:rPr>
          <w:rFonts w:eastAsia="Times New Roman"/>
          <w:color w:val="000000"/>
          <w:lang w:eastAsia="en-US"/>
        </w:rPr>
        <w:t>, including the following</w:t>
      </w:r>
      <w:r>
        <w:rPr>
          <w:rFonts w:eastAsia="Times New Roman"/>
          <w:color w:val="000000"/>
          <w:lang w:eastAsia="en-US"/>
        </w:rPr>
        <w:t xml:space="preserve"> elements</w:t>
      </w:r>
      <w:r w:rsidRPr="004024EB">
        <w:rPr>
          <w:rFonts w:eastAsia="Times New Roman"/>
          <w:color w:val="000000"/>
          <w:lang w:eastAsia="en-US"/>
        </w:rPr>
        <w:t>:</w:t>
      </w:r>
    </w:p>
    <w:p w14:paraId="4525DCA4" w14:textId="2356BB12" w:rsidR="00452377" w:rsidRDefault="00452377" w:rsidP="00D80344">
      <w:pPr>
        <w:numPr>
          <w:ilvl w:val="0"/>
          <w:numId w:val="71"/>
        </w:numPr>
        <w:tabs>
          <w:tab w:val="left" w:pos="6663"/>
        </w:tabs>
        <w:spacing w:after="120" w:line="240" w:lineRule="auto"/>
        <w:jc w:val="both"/>
        <w:rPr>
          <w:rFonts w:eastAsia="Times New Roman"/>
          <w:color w:val="000000"/>
          <w:lang w:eastAsia="en-US"/>
        </w:rPr>
      </w:pPr>
      <w:r w:rsidRPr="004024EB">
        <w:rPr>
          <w:rFonts w:eastAsia="Times New Roman"/>
          <w:color w:val="000000"/>
          <w:lang w:eastAsia="en-US"/>
        </w:rPr>
        <w:t>Development of an IAP brand identity to increase visibility and awareness of the integrated supply chain approach.</w:t>
      </w:r>
    </w:p>
    <w:p w14:paraId="588E67BA" w14:textId="49204597" w:rsidR="00452377" w:rsidRPr="004024EB" w:rsidRDefault="00452377" w:rsidP="00D80344">
      <w:pPr>
        <w:numPr>
          <w:ilvl w:val="0"/>
          <w:numId w:val="71"/>
        </w:numPr>
        <w:tabs>
          <w:tab w:val="left" w:pos="6663"/>
        </w:tabs>
        <w:spacing w:after="120" w:line="240" w:lineRule="auto"/>
        <w:jc w:val="both"/>
        <w:rPr>
          <w:rFonts w:eastAsia="Times New Roman"/>
          <w:color w:val="000000"/>
          <w:lang w:eastAsia="en-US"/>
        </w:rPr>
      </w:pPr>
      <w:r>
        <w:rPr>
          <w:rFonts w:eastAsia="Times New Roman"/>
          <w:color w:val="000000"/>
          <w:lang w:eastAsia="en-US"/>
        </w:rPr>
        <w:t>Collaborative framework that would not be possible in the status quo</w:t>
      </w:r>
    </w:p>
    <w:p w14:paraId="6A2E36D7" w14:textId="3E68ABA4" w:rsidR="00452377" w:rsidRPr="004024EB" w:rsidRDefault="00452377" w:rsidP="00D80344">
      <w:pPr>
        <w:numPr>
          <w:ilvl w:val="0"/>
          <w:numId w:val="71"/>
        </w:numPr>
        <w:tabs>
          <w:tab w:val="left" w:pos="6663"/>
        </w:tabs>
        <w:spacing w:after="120" w:line="240" w:lineRule="auto"/>
        <w:jc w:val="both"/>
        <w:rPr>
          <w:rFonts w:eastAsia="Times New Roman"/>
          <w:color w:val="000000"/>
          <w:lang w:eastAsia="en-US"/>
        </w:rPr>
      </w:pPr>
      <w:r w:rsidRPr="004024EB">
        <w:rPr>
          <w:rFonts w:eastAsia="Times New Roman"/>
          <w:color w:val="000000"/>
          <w:lang w:eastAsia="en-US"/>
        </w:rPr>
        <w:t xml:space="preserve">Program-level monitoring and evaluation. This will be anchored on the Program-level results framework and preparation of a final report on lessons learned from adopting this integrated pilot approach, among others. </w:t>
      </w:r>
      <w:r>
        <w:rPr>
          <w:rFonts w:eastAsia="Times New Roman"/>
          <w:color w:val="000000"/>
          <w:lang w:eastAsia="en-US"/>
        </w:rPr>
        <w:t>Uncovering the truth behind the TOC with an evidence base</w:t>
      </w:r>
    </w:p>
    <w:p w14:paraId="09FAC201" w14:textId="33EDB384" w:rsidR="00452377" w:rsidRDefault="00452377" w:rsidP="00D80344">
      <w:pPr>
        <w:numPr>
          <w:ilvl w:val="0"/>
          <w:numId w:val="71"/>
        </w:numPr>
        <w:tabs>
          <w:tab w:val="left" w:pos="6663"/>
        </w:tabs>
        <w:spacing w:after="120" w:line="240" w:lineRule="auto"/>
        <w:jc w:val="both"/>
        <w:rPr>
          <w:rFonts w:eastAsia="Times New Roman"/>
          <w:color w:val="000000"/>
          <w:lang w:eastAsia="en-US"/>
        </w:rPr>
      </w:pPr>
      <w:r w:rsidRPr="004024EB">
        <w:rPr>
          <w:rFonts w:eastAsia="Times New Roman"/>
          <w:color w:val="000000"/>
          <w:lang w:eastAsia="en-US"/>
        </w:rPr>
        <w:t xml:space="preserve">Knowledge management within the Program and with external initiatives. This will include the establishment of a Global Community of Practice to facilitate learning on effective interventions to address deforestation in supply chains and to provide a learning framework to explore cross-cutting themes such as gender and resilience. Knowledge management will include extensive </w:t>
      </w:r>
      <w:r w:rsidRPr="004024EB">
        <w:rPr>
          <w:rFonts w:eastAsia="Times New Roman"/>
          <w:color w:val="000000"/>
          <w:lang w:eastAsia="en-US"/>
        </w:rPr>
        <w:lastRenderedPageBreak/>
        <w:t>learning from within the IAP, as well as learning from external partners through participation in relevant events and fora. IAP publications will be produced</w:t>
      </w:r>
      <w:r w:rsidR="005017E5">
        <w:rPr>
          <w:rFonts w:eastAsia="Times New Roman"/>
          <w:color w:val="000000"/>
          <w:lang w:eastAsia="en-US"/>
        </w:rPr>
        <w:t xml:space="preserve"> and</w:t>
      </w:r>
      <w:r w:rsidRPr="004024EB">
        <w:rPr>
          <w:rFonts w:eastAsia="Times New Roman"/>
          <w:color w:val="000000"/>
          <w:lang w:eastAsia="en-US"/>
        </w:rPr>
        <w:t xml:space="preserve"> information disseminated through speaking events</w:t>
      </w:r>
      <w:r w:rsidR="005017E5">
        <w:rPr>
          <w:rFonts w:eastAsia="Times New Roman"/>
          <w:color w:val="000000"/>
          <w:lang w:eastAsia="en-US"/>
        </w:rPr>
        <w:t>.</w:t>
      </w:r>
    </w:p>
    <w:p w14:paraId="73F1696A" w14:textId="77777777" w:rsidR="00452377" w:rsidRDefault="00452377" w:rsidP="00D80344">
      <w:pPr>
        <w:numPr>
          <w:ilvl w:val="0"/>
          <w:numId w:val="71"/>
        </w:numPr>
        <w:tabs>
          <w:tab w:val="left" w:pos="6663"/>
        </w:tabs>
        <w:spacing w:after="120" w:line="240" w:lineRule="auto"/>
        <w:jc w:val="both"/>
        <w:rPr>
          <w:rFonts w:eastAsia="Times New Roman"/>
          <w:color w:val="000000"/>
          <w:lang w:eastAsia="en-US"/>
        </w:rPr>
      </w:pPr>
      <w:r>
        <w:rPr>
          <w:rFonts w:eastAsia="Times New Roman"/>
          <w:color w:val="000000"/>
          <w:lang w:eastAsia="en-US"/>
        </w:rPr>
        <w:t>Design of knowledge tools and events designed to change thinking towards a systems approach that would not otherwise be possible to test and support an innovative approach.</w:t>
      </w:r>
    </w:p>
    <w:p w14:paraId="0F660B89" w14:textId="77777777" w:rsidR="00452377" w:rsidRPr="004024EB" w:rsidRDefault="00452377" w:rsidP="00D80344">
      <w:pPr>
        <w:numPr>
          <w:ilvl w:val="0"/>
          <w:numId w:val="71"/>
        </w:numPr>
        <w:tabs>
          <w:tab w:val="left" w:pos="6663"/>
        </w:tabs>
        <w:spacing w:after="120" w:line="240" w:lineRule="auto"/>
        <w:jc w:val="both"/>
        <w:rPr>
          <w:rFonts w:eastAsia="Times New Roman"/>
          <w:color w:val="000000"/>
          <w:lang w:eastAsia="en-US"/>
        </w:rPr>
      </w:pPr>
      <w:r>
        <w:rPr>
          <w:rFonts w:eastAsia="Times New Roman"/>
          <w:color w:val="000000"/>
          <w:lang w:eastAsia="en-US"/>
        </w:rPr>
        <w:t>Trust building</w:t>
      </w:r>
    </w:p>
    <w:p w14:paraId="58D53C58" w14:textId="77777777" w:rsidR="00452377" w:rsidRPr="004024EB" w:rsidRDefault="00452377" w:rsidP="00D80344">
      <w:pPr>
        <w:numPr>
          <w:ilvl w:val="0"/>
          <w:numId w:val="71"/>
        </w:numPr>
        <w:tabs>
          <w:tab w:val="left" w:pos="6663"/>
        </w:tabs>
        <w:spacing w:after="120" w:line="240" w:lineRule="auto"/>
        <w:jc w:val="both"/>
        <w:rPr>
          <w:rFonts w:eastAsia="Times New Roman"/>
          <w:color w:val="000000"/>
          <w:lang w:eastAsia="en-US"/>
        </w:rPr>
      </w:pPr>
      <w:r w:rsidRPr="004024EB">
        <w:rPr>
          <w:rFonts w:eastAsia="Times New Roman"/>
          <w:color w:val="000000"/>
          <w:lang w:eastAsia="en-US"/>
        </w:rPr>
        <w:t>Development of a robust and policy-relevant evidence base on the effectiveness of Voluntary Sustainability Standards and similar mechanisms being used to implement deforestation-free and sustainable production and sourcing initiatives. This will include support to filling key gaps in the evidence base, making existing evidence more accessible to key user groups and synthesizing and communicating evidence in decision-relevant terms.</w:t>
      </w:r>
    </w:p>
    <w:p w14:paraId="0778D0F1" w14:textId="77777777" w:rsidR="00452377" w:rsidRPr="004024EB" w:rsidRDefault="00452377" w:rsidP="00D80344">
      <w:pPr>
        <w:numPr>
          <w:ilvl w:val="0"/>
          <w:numId w:val="71"/>
        </w:numPr>
        <w:tabs>
          <w:tab w:val="left" w:pos="6663"/>
        </w:tabs>
        <w:spacing w:after="120" w:line="240" w:lineRule="auto"/>
        <w:jc w:val="both"/>
        <w:rPr>
          <w:rFonts w:eastAsia="Times New Roman"/>
          <w:color w:val="000000"/>
          <w:lang w:eastAsia="en-US"/>
        </w:rPr>
      </w:pPr>
      <w:r w:rsidRPr="004024EB">
        <w:rPr>
          <w:rFonts w:eastAsia="Times New Roman"/>
          <w:color w:val="000000"/>
          <w:lang w:eastAsia="en-US"/>
        </w:rPr>
        <w:t>Implementation of a partnership strategy with global-level cross cutting partners.</w:t>
      </w:r>
    </w:p>
    <w:p w14:paraId="72A1E684" w14:textId="48154778" w:rsidR="00452377" w:rsidRDefault="00452377" w:rsidP="00452377">
      <w:pPr>
        <w:pStyle w:val="BodyText"/>
        <w:spacing w:after="120"/>
        <w:rPr>
          <w:rFonts w:ascii="Calibri" w:hAnsi="Calibri" w:cs="Calibri"/>
          <w:sz w:val="22"/>
          <w:szCs w:val="22"/>
        </w:rPr>
      </w:pPr>
    </w:p>
    <w:p w14:paraId="7D164601" w14:textId="496B02C7" w:rsidR="00A74690" w:rsidRDefault="00CD453A" w:rsidP="00CD453A">
      <w:pPr>
        <w:pStyle w:val="Heading3"/>
      </w:pPr>
      <w:bookmarkStart w:id="90" w:name="_Toc96772505"/>
      <w:r>
        <w:t>4.3.11</w:t>
      </w:r>
      <w:r>
        <w:tab/>
      </w:r>
      <w:r w:rsidR="00A74690">
        <w:t>Catalytic/Replication Effect</w:t>
      </w:r>
      <w:bookmarkEnd w:id="90"/>
    </w:p>
    <w:p w14:paraId="7AF2FC5B" w14:textId="56C82153" w:rsidR="00452377" w:rsidRDefault="00452377" w:rsidP="00BA2312">
      <w:pPr>
        <w:pStyle w:val="BodyText"/>
        <w:spacing w:before="184"/>
        <w:ind w:left="960" w:right="902"/>
      </w:pPr>
    </w:p>
    <w:p w14:paraId="36BD0FB0" w14:textId="3FB0C54C" w:rsidR="00452377" w:rsidRPr="00B41B5C" w:rsidRDefault="00452377" w:rsidP="00452377">
      <w:pPr>
        <w:pStyle w:val="BodyText"/>
        <w:spacing w:before="12"/>
        <w:jc w:val="both"/>
        <w:rPr>
          <w:rFonts w:asciiTheme="minorHAnsi" w:hAnsiTheme="minorHAnsi" w:cstheme="minorHAnsi"/>
          <w:sz w:val="22"/>
        </w:rPr>
      </w:pPr>
      <w:r w:rsidRPr="00B41B5C">
        <w:rPr>
          <w:rFonts w:asciiTheme="minorHAnsi" w:hAnsiTheme="minorHAnsi" w:cstheme="minorHAnsi"/>
          <w:sz w:val="22"/>
        </w:rPr>
        <w:t xml:space="preserve">Based on the criteria presented in the following </w:t>
      </w:r>
      <w:r w:rsidR="00445D9C">
        <w:rPr>
          <w:rFonts w:asciiTheme="minorHAnsi" w:hAnsiTheme="minorHAnsi" w:cstheme="minorHAnsi"/>
          <w:sz w:val="22"/>
        </w:rPr>
        <w:t>T</w:t>
      </w:r>
      <w:r w:rsidRPr="00B41B5C">
        <w:rPr>
          <w:rFonts w:asciiTheme="minorHAnsi" w:hAnsiTheme="minorHAnsi" w:cstheme="minorHAnsi"/>
          <w:sz w:val="22"/>
        </w:rPr>
        <w:t>able</w:t>
      </w:r>
      <w:r w:rsidR="00445D9C">
        <w:rPr>
          <w:rFonts w:asciiTheme="minorHAnsi" w:hAnsiTheme="minorHAnsi" w:cstheme="minorHAnsi"/>
          <w:sz w:val="22"/>
        </w:rPr>
        <w:t xml:space="preserve"> </w:t>
      </w:r>
      <w:r w:rsidR="00CE11F0">
        <w:rPr>
          <w:rFonts w:asciiTheme="minorHAnsi" w:hAnsiTheme="minorHAnsi" w:cstheme="minorHAnsi"/>
          <w:sz w:val="22"/>
        </w:rPr>
        <w:t>14</w:t>
      </w:r>
      <w:r w:rsidR="00CE11F0" w:rsidRPr="00B41B5C">
        <w:rPr>
          <w:rFonts w:asciiTheme="minorHAnsi" w:hAnsiTheme="minorHAnsi" w:cstheme="minorHAnsi"/>
          <w:sz w:val="22"/>
        </w:rPr>
        <w:t>:</w:t>
      </w:r>
      <w:r w:rsidRPr="00B41B5C">
        <w:rPr>
          <w:rFonts w:asciiTheme="minorHAnsi" w:hAnsiTheme="minorHAnsi" w:cstheme="minorHAnsi"/>
          <w:sz w:val="22"/>
        </w:rPr>
        <w:t xml:space="preserve"> Assessment of Catalytic Role, the A&amp;L project has a number of constructs that have very high replication potential.</w:t>
      </w:r>
    </w:p>
    <w:p w14:paraId="0E0FA417" w14:textId="77777777" w:rsidR="00452377" w:rsidRPr="00B41B5C" w:rsidRDefault="00452377" w:rsidP="00452377">
      <w:pPr>
        <w:pStyle w:val="BodyText"/>
        <w:spacing w:before="12"/>
        <w:jc w:val="both"/>
        <w:rPr>
          <w:rFonts w:asciiTheme="minorHAnsi" w:hAnsiTheme="minorHAnsi" w:cstheme="minorHAnsi"/>
          <w:sz w:val="22"/>
        </w:rPr>
      </w:pPr>
    </w:p>
    <w:p w14:paraId="0916AEF8" w14:textId="410CAABE" w:rsidR="00452377" w:rsidRPr="00B41B5C" w:rsidRDefault="00452377" w:rsidP="00D80344">
      <w:pPr>
        <w:pStyle w:val="BodyText"/>
        <w:numPr>
          <w:ilvl w:val="0"/>
          <w:numId w:val="72"/>
        </w:numPr>
        <w:spacing w:before="12"/>
        <w:jc w:val="both"/>
        <w:rPr>
          <w:rFonts w:asciiTheme="minorHAnsi" w:hAnsiTheme="minorHAnsi" w:cstheme="minorHAnsi"/>
          <w:sz w:val="22"/>
        </w:rPr>
      </w:pPr>
      <w:r w:rsidRPr="00B41B5C">
        <w:rPr>
          <w:rFonts w:asciiTheme="minorHAnsi" w:hAnsiTheme="minorHAnsi" w:cstheme="minorHAnsi"/>
          <w:sz w:val="22"/>
        </w:rPr>
        <w:t>the Green Commodity Community is a community of Practice for practitioners of one of the extractive industries. The GCC exists specifically for the capture and creation of knowledge and for replication. It is presently a closed community that requires a query to access. The community prefers practitioners.  The digital platform contains a wealth of material in only a short time. it is currently at the replication stage and moving towards the scaling-up category</w:t>
      </w:r>
      <w:r w:rsidR="00B14739">
        <w:rPr>
          <w:rFonts w:asciiTheme="minorHAnsi" w:hAnsiTheme="minorHAnsi" w:cstheme="minorHAnsi"/>
          <w:sz w:val="22"/>
        </w:rPr>
        <w:t>. There are plans and a strategy for scaling up under Food systems and Land Use and Restoration Impact Programme (FOLUR).</w:t>
      </w:r>
    </w:p>
    <w:p w14:paraId="464324CE" w14:textId="77777777" w:rsidR="00452377" w:rsidRPr="00B41B5C" w:rsidRDefault="00452377" w:rsidP="00D80344">
      <w:pPr>
        <w:pStyle w:val="BodyText"/>
        <w:numPr>
          <w:ilvl w:val="0"/>
          <w:numId w:val="72"/>
        </w:numPr>
        <w:spacing w:before="12"/>
        <w:jc w:val="both"/>
        <w:rPr>
          <w:rFonts w:asciiTheme="minorHAnsi" w:hAnsiTheme="minorHAnsi" w:cstheme="minorHAnsi"/>
          <w:sz w:val="22"/>
        </w:rPr>
      </w:pPr>
      <w:r w:rsidRPr="00B41B5C">
        <w:rPr>
          <w:rFonts w:asciiTheme="minorHAnsi" w:hAnsiTheme="minorHAnsi" w:cstheme="minorHAnsi"/>
          <w:sz w:val="22"/>
        </w:rPr>
        <w:t>a second platform created by the project is the Evidensia system for accessing research and syntheses on, among other topics, VSS and deforestation, as an example.  That platform is also in the scaling up phase</w:t>
      </w:r>
    </w:p>
    <w:p w14:paraId="18E7BBF8" w14:textId="17CA8DA1" w:rsidR="00452377" w:rsidRDefault="009A28DE" w:rsidP="00D80344">
      <w:pPr>
        <w:pStyle w:val="BodyText"/>
        <w:numPr>
          <w:ilvl w:val="0"/>
          <w:numId w:val="72"/>
        </w:numPr>
        <w:spacing w:before="12"/>
        <w:jc w:val="both"/>
        <w:rPr>
          <w:sz w:val="22"/>
        </w:rPr>
      </w:pPr>
      <w:r w:rsidRPr="00ED496B">
        <w:rPr>
          <w:noProof/>
        </w:rPr>
        <w:drawing>
          <wp:anchor distT="0" distB="0" distL="114300" distR="114300" simplePos="0" relativeHeight="251672064" behindDoc="1" locked="0" layoutInCell="1" allowOverlap="1" wp14:anchorId="141D896C" wp14:editId="23062804">
            <wp:simplePos x="0" y="0"/>
            <wp:positionH relativeFrom="column">
              <wp:posOffset>142875</wp:posOffset>
            </wp:positionH>
            <wp:positionV relativeFrom="paragraph">
              <wp:posOffset>803275</wp:posOffset>
            </wp:positionV>
            <wp:extent cx="5605145" cy="2390775"/>
            <wp:effectExtent l="0" t="0" r="0" b="9525"/>
            <wp:wrapTight wrapText="bothSides">
              <wp:wrapPolygon edited="0">
                <wp:start x="0" y="0"/>
                <wp:lineTo x="0" y="21514"/>
                <wp:lineTo x="21509" y="21514"/>
                <wp:lineTo x="21509" y="0"/>
                <wp:lineTo x="0" y="0"/>
              </wp:wrapPolygon>
            </wp:wrapTight>
            <wp:docPr id="25" name="Imagen 4" descr="Interfaz de usuario gráfica, Aplicación, Word&#10;&#10;Descripción generada automáticamente">
              <a:extLst xmlns:a="http://schemas.openxmlformats.org/drawingml/2006/main">
                <a:ext uri="{FF2B5EF4-FFF2-40B4-BE49-F238E27FC236}">
                  <a16:creationId xmlns:a16="http://schemas.microsoft.com/office/drawing/2014/main" id="{7A09CA96-E634-448A-A42D-9B9689267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descr="Interfaz de usuario gráfica, Aplicación, Word&#10;&#10;Descripción generada automáticamente">
                      <a:extLst>
                        <a:ext uri="{FF2B5EF4-FFF2-40B4-BE49-F238E27FC236}">
                          <a16:creationId xmlns:a16="http://schemas.microsoft.com/office/drawing/2014/main" id="{7A09CA96-E634-448A-A42D-9B968926775D}"/>
                        </a:ext>
                      </a:extLst>
                    </pic:cNvPr>
                    <pic:cNvPicPr>
                      <a:picLocks noChangeAspect="1"/>
                    </pic:cNvPicPr>
                  </pic:nvPicPr>
                  <pic:blipFill rotWithShape="1">
                    <a:blip r:embed="rId35">
                      <a:extLst>
                        <a:ext uri="{28A0092B-C50C-407E-A947-70E740481C1C}">
                          <a14:useLocalDpi xmlns:a14="http://schemas.microsoft.com/office/drawing/2010/main" val="0"/>
                        </a:ext>
                      </a:extLst>
                    </a:blip>
                    <a:srcRect l="24344" t="24250" r="26352" b="38354"/>
                    <a:stretch/>
                  </pic:blipFill>
                  <pic:spPr>
                    <a:xfrm>
                      <a:off x="0" y="0"/>
                      <a:ext cx="5605145" cy="2390775"/>
                    </a:xfrm>
                    <a:prstGeom prst="rect">
                      <a:avLst/>
                    </a:prstGeom>
                  </pic:spPr>
                </pic:pic>
              </a:graphicData>
            </a:graphic>
            <wp14:sizeRelH relativeFrom="margin">
              <wp14:pctWidth>0</wp14:pctWidth>
            </wp14:sizeRelH>
            <wp14:sizeRelV relativeFrom="margin">
              <wp14:pctHeight>0</wp14:pctHeight>
            </wp14:sizeRelV>
          </wp:anchor>
        </w:drawing>
      </w:r>
      <w:r w:rsidR="00452377" w:rsidRPr="00B41B5C">
        <w:rPr>
          <w:rFonts w:asciiTheme="minorHAnsi" w:hAnsiTheme="minorHAnsi" w:cstheme="minorHAnsi"/>
          <w:sz w:val="22"/>
        </w:rPr>
        <w:t xml:space="preserve">The project produced a suite of knowledge management materials and documents that will be an aid for any professional working in the commodities space, in planning, or with multiple </w:t>
      </w:r>
      <w:r w:rsidR="00452377" w:rsidRPr="00B41B5C">
        <w:rPr>
          <w:rFonts w:asciiTheme="minorHAnsi" w:hAnsiTheme="minorHAnsi" w:cstheme="minorHAnsi"/>
          <w:sz w:val="22"/>
        </w:rPr>
        <w:lastRenderedPageBreak/>
        <w:t>stakeholders. These materials are at the demonstration stage and, if GCC is successful, can slide up the scale to the replication stage.</w:t>
      </w:r>
      <w:r w:rsidR="00452377">
        <w:rPr>
          <w:sz w:val="22"/>
        </w:rPr>
        <w:t xml:space="preserve"> </w:t>
      </w:r>
    </w:p>
    <w:p w14:paraId="7055F06F" w14:textId="367DEBC4" w:rsidR="009A28DE" w:rsidRDefault="009A28DE" w:rsidP="009A28DE">
      <w:pPr>
        <w:pStyle w:val="BodyText"/>
        <w:spacing w:before="184"/>
        <w:ind w:right="902"/>
        <w:jc w:val="both"/>
      </w:pPr>
    </w:p>
    <w:p w14:paraId="1A9EDB7A" w14:textId="5776BC99" w:rsidR="00C018AF" w:rsidRDefault="00CD453A" w:rsidP="00CD453A">
      <w:pPr>
        <w:pStyle w:val="Heading3"/>
      </w:pPr>
      <w:bookmarkStart w:id="91" w:name="_Toc96772506"/>
      <w:r>
        <w:t>4.3.12</w:t>
      </w:r>
      <w:r>
        <w:tab/>
      </w:r>
      <w:r w:rsidR="00C018AF">
        <w:t>Progress to Impact</w:t>
      </w:r>
      <w:bookmarkEnd w:id="91"/>
    </w:p>
    <w:p w14:paraId="65253C60" w14:textId="608A099D" w:rsidR="0017304D" w:rsidRDefault="0017304D" w:rsidP="00BA2312">
      <w:pPr>
        <w:pStyle w:val="BodyText"/>
        <w:spacing w:before="156"/>
        <w:ind w:left="960" w:right="905"/>
      </w:pPr>
    </w:p>
    <w:p w14:paraId="747ABD4A" w14:textId="74EFD2FB" w:rsidR="0017304D" w:rsidRPr="0017304D" w:rsidRDefault="0017304D" w:rsidP="0017304D">
      <w:pPr>
        <w:spacing w:after="120" w:line="240" w:lineRule="auto"/>
        <w:jc w:val="both"/>
        <w:rPr>
          <w:rFonts w:asciiTheme="minorHAnsi" w:hAnsiTheme="minorHAnsi" w:cstheme="minorHAnsi"/>
        </w:rPr>
      </w:pPr>
      <w:bookmarkStart w:id="92" w:name="_Hlk96897278"/>
      <w:r w:rsidRPr="0017304D">
        <w:rPr>
          <w:rFonts w:asciiTheme="minorHAnsi" w:hAnsiTheme="minorHAnsi" w:cstheme="minorHAnsi"/>
        </w:rPr>
        <w:t xml:space="preserve">The A&amp;L project was instrumental in the successful management of the GGP.  </w:t>
      </w:r>
      <w:r w:rsidR="00815B63">
        <w:rPr>
          <w:rFonts w:asciiTheme="minorHAnsi" w:hAnsiTheme="minorHAnsi" w:cstheme="minorHAnsi"/>
        </w:rPr>
        <w:t xml:space="preserve">A&amp;L on its own does not have impacts rather the effects of the Project´s efforts is seen at the GGP level. </w:t>
      </w:r>
      <w:bookmarkEnd w:id="92"/>
      <w:r w:rsidRPr="0017304D">
        <w:rPr>
          <w:rFonts w:asciiTheme="minorHAnsi" w:hAnsiTheme="minorHAnsi" w:cstheme="minorHAnsi"/>
        </w:rPr>
        <w:t>The impact areas are found from within the 4-child project</w:t>
      </w:r>
      <w:r w:rsidR="00815B63">
        <w:rPr>
          <w:rFonts w:asciiTheme="minorHAnsi" w:hAnsiTheme="minorHAnsi" w:cstheme="minorHAnsi"/>
        </w:rPr>
        <w:t>s</w:t>
      </w:r>
      <w:r w:rsidRPr="0017304D">
        <w:rPr>
          <w:rFonts w:asciiTheme="minorHAnsi" w:hAnsiTheme="minorHAnsi" w:cstheme="minorHAnsi"/>
        </w:rPr>
        <w:t xml:space="preserve"> that have been facilitated by the PMU in UNDP´s RH LAC</w:t>
      </w:r>
      <w:r w:rsidR="00324402">
        <w:rPr>
          <w:rFonts w:asciiTheme="minorHAnsi" w:hAnsiTheme="minorHAnsi" w:cstheme="minorHAnsi"/>
        </w:rPr>
        <w:t>, two of which under their direct management</w:t>
      </w:r>
      <w:r w:rsidRPr="0017304D">
        <w:rPr>
          <w:rFonts w:asciiTheme="minorHAnsi" w:hAnsiTheme="minorHAnsi" w:cstheme="minorHAnsi"/>
        </w:rPr>
        <w:t>. More specifically, management systems, programme level M&amp;E, feedback loops, among others..</w:t>
      </w:r>
      <w:r w:rsidR="00324402" w:rsidRPr="00324402">
        <w:t xml:space="preserve"> </w:t>
      </w:r>
      <w:r w:rsidR="00324402" w:rsidRPr="00324402">
        <w:rPr>
          <w:rFonts w:asciiTheme="minorHAnsi" w:hAnsiTheme="minorHAnsi" w:cstheme="minorHAnsi"/>
        </w:rPr>
        <w:t>ISEAL Alliance as lead implementation agency with support from WWF and Rainforest Alliance established the Evidensia Platform. Also, the platform has 1000 resources</w:t>
      </w:r>
      <w:r w:rsidRPr="0017304D">
        <w:rPr>
          <w:rFonts w:asciiTheme="minorHAnsi" w:hAnsiTheme="minorHAnsi" w:cstheme="minorHAnsi"/>
        </w:rPr>
        <w:t xml:space="preserve">  Concurrently, the project developed a knowledge management platform or “Green Commodifies Community” where learning, technical support and a host of other materials and opportunities can be found. Linked to this, the project also invested in knowledge products based on lessons learned by practitioners with many years in the field. In addition, from the group of child projects under the GGP umbrella, the following results to impacts have been reported by the PMU´s directors: </w:t>
      </w:r>
    </w:p>
    <w:p w14:paraId="23BCAB1B"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The Partnership established or strengthened 22 national and sub-national multi-stakeholder and commodity-focused platforms bringing together stakeholders in target commodities and landscapes. Through these forums, trust between stakeholders was enhanced and visions and clear pathways to sustainability for critical supply chains were defined. To facilitate the process multi-stakeholder guidance and learning materials were produced.</w:t>
      </w:r>
    </w:p>
    <w:p w14:paraId="17FD01F4"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 xml:space="preserve">Nine action plans for sustainable commodity production were collaboratively developed at the national and subnational levels, of which six are already being implemented. These action plans contain interventions needed to reform the industry, laying the foundation for unlocking public and private financing and investment to undertake them. </w:t>
      </w:r>
    </w:p>
    <w:p w14:paraId="6040AAA1"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 xml:space="preserve">The platforms and plans also created mechanisms for coordination and alignment across stakeholders and sectors, and at various scales, helping to consider trade-offs and break down silos, all prerequisites for achieving systemic change. </w:t>
      </w:r>
    </w:p>
    <w:p w14:paraId="2BDEDD26"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Monitoring tools has been developed to aid in the planning and monitoring of an adequate baseline for High Conservation Value Forests, filling an important void in the planning and in some cases the licensing process.</w:t>
      </w:r>
    </w:p>
    <w:p w14:paraId="1FD6BB8C" w14:textId="5B789F32" w:rsid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As a contribution to action plans implementation, the Partnership supported the development or improvement of 29 policies enabling sustainable production or improving land use allocation. Nine of these policies have been legalized and/or are being implemented today. Examples of these include strengthened farmer extension systems and preserving important conservation areas or forests from conversion to agriculture or livestock production as a result of better land use planning.</w:t>
      </w:r>
    </w:p>
    <w:p w14:paraId="0BE59AF1" w14:textId="01661896" w:rsidR="0017304D" w:rsidRPr="004236D9" w:rsidRDefault="004236D9" w:rsidP="004236D9">
      <w:pPr>
        <w:pStyle w:val="ListParagraph"/>
        <w:widowControl/>
        <w:numPr>
          <w:ilvl w:val="0"/>
          <w:numId w:val="29"/>
        </w:numPr>
        <w:autoSpaceDE/>
        <w:autoSpaceDN/>
        <w:spacing w:before="0" w:after="120"/>
        <w:jc w:val="both"/>
        <w:rPr>
          <w:rFonts w:asciiTheme="minorHAnsi" w:hAnsiTheme="minorHAnsi" w:cstheme="minorHAnsi"/>
        </w:rPr>
      </w:pPr>
      <w:r w:rsidRPr="004236D9">
        <w:rPr>
          <w:rFonts w:asciiTheme="minorHAnsi" w:hAnsiTheme="minorHAnsi" w:cstheme="minorHAnsi"/>
        </w:rPr>
        <w:t xml:space="preserve">The GCC was effective in transmitting new messages and ideas to practitioners. In a GCC survey almost 60% indicated that they had changed their plans or methods based on information received through </w:t>
      </w:r>
      <w:r>
        <w:rPr>
          <w:rFonts w:asciiTheme="minorHAnsi" w:hAnsiTheme="minorHAnsi" w:cstheme="minorHAnsi"/>
        </w:rPr>
        <w:t xml:space="preserve">the Good Growth Conference. </w:t>
      </w:r>
      <w:r w:rsidR="00DF1E2D">
        <w:rPr>
          <w:rFonts w:asciiTheme="minorHAnsi" w:hAnsiTheme="minorHAnsi" w:cstheme="minorHAnsi"/>
        </w:rPr>
        <w:t>A good example is a KI in Liberia is mimicking a methodology for rural oil palm development that was obtained though GCC as presented form a KI from a GCP Partner n Indonesia.</w:t>
      </w:r>
      <w:r w:rsidR="0017304D" w:rsidRPr="004236D9">
        <w:rPr>
          <w:rFonts w:asciiTheme="minorHAnsi" w:hAnsiTheme="minorHAnsi" w:cstheme="minorHAnsi"/>
        </w:rPr>
        <w:t xml:space="preserve">The Partnership supported the generation of Global Environmental Benefits, such as introducing or strengthening natural resource management practices leading to improved management of over seven million hectares of lands and the </w:t>
      </w:r>
      <w:r w:rsidR="0017304D" w:rsidRPr="004236D9">
        <w:rPr>
          <w:rFonts w:asciiTheme="minorHAnsi" w:hAnsiTheme="minorHAnsi" w:cstheme="minorHAnsi"/>
        </w:rPr>
        <w:lastRenderedPageBreak/>
        <w:t>avoidance of almost 30 million tons of CO2 emissions. * (* Different tools have been used to calculate data on CO2 emissions avoided in the Brazil and Production projects. Please contact us if you need further clarifications.)</w:t>
      </w:r>
    </w:p>
    <w:p w14:paraId="0275C20E"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 xml:space="preserve">As a means of addressing deforestation in production, the Partnership has taken a systems approach, working across sectors and geographic scales to activate the right incentives, such as finance and market drivers, to encourage sustainable production. </w:t>
      </w:r>
    </w:p>
    <w:p w14:paraId="7AA256E5"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 xml:space="preserve">The Partnership helped drive US$ 16+ million in new investments toward sustainable production of Paraguayan beef and Indonesian palm oil and increased the capacity of more than 135 financial institutions to address environmental, social, and governance risks in their portfolios and allocate capital to producers applying sustainable practices, promoting the generation of new financial incentives for sustainable production. </w:t>
      </w:r>
    </w:p>
    <w:p w14:paraId="40EC77CB" w14:textId="77777777" w:rsidR="0017304D" w:rsidRPr="0017304D"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17304D">
        <w:rPr>
          <w:rFonts w:asciiTheme="minorHAnsi" w:hAnsiTheme="minorHAnsi" w:cstheme="minorHAnsi"/>
        </w:rPr>
        <w:t xml:space="preserve">On the market side, the programme collaborated closely with global traders, manufacturers of consumer goods and retailers to help them source more sustainably. Today, more than 85 companies that the Partnership engaged with one on-one and through platforms and co-financing have made new or strengthened commitments to sustainable supply chains. Many of these were directly supported in implementing their commitments through technical assistance, training and tools developed by the Partnership. </w:t>
      </w:r>
    </w:p>
    <w:p w14:paraId="4ABC872E" w14:textId="77777777" w:rsidR="0017304D" w:rsidRPr="00DC4367" w:rsidRDefault="0017304D" w:rsidP="00D80344">
      <w:pPr>
        <w:pStyle w:val="ListParagraph"/>
        <w:widowControl/>
        <w:numPr>
          <w:ilvl w:val="0"/>
          <w:numId w:val="29"/>
        </w:numPr>
        <w:autoSpaceDE/>
        <w:autoSpaceDN/>
        <w:spacing w:before="0" w:after="120"/>
        <w:jc w:val="both"/>
        <w:rPr>
          <w:rFonts w:asciiTheme="minorHAnsi" w:hAnsiTheme="minorHAnsi" w:cstheme="minorHAnsi"/>
        </w:rPr>
      </w:pPr>
      <w:r w:rsidRPr="00DC4367">
        <w:rPr>
          <w:rFonts w:asciiTheme="minorHAnsi" w:hAnsiTheme="minorHAnsi" w:cstheme="minorHAnsi"/>
        </w:rPr>
        <w:t xml:space="preserve">Supply chain transparency was substantially improved for palm oil, beef and soy globally thanks to the Partnership’s support of the Trase supply chain transparency platform, allowing companies to assess their deforestation risk and make better sourcing decisions. With more demand for responsible commodities and increased transparency in the supply chain, producers are incentivized to shift toward sustainable practices to capture a growing market and avoid the increasing risks of being linked to deforestation. </w:t>
      </w:r>
    </w:p>
    <w:p w14:paraId="3D9AC0C9" w14:textId="77777777" w:rsidR="0017304D" w:rsidRPr="00D00592" w:rsidRDefault="0017304D" w:rsidP="00D80344">
      <w:pPr>
        <w:pStyle w:val="ListParagraph"/>
        <w:widowControl/>
        <w:numPr>
          <w:ilvl w:val="0"/>
          <w:numId w:val="29"/>
        </w:numPr>
        <w:autoSpaceDE/>
        <w:autoSpaceDN/>
        <w:spacing w:before="0" w:after="120"/>
        <w:jc w:val="both"/>
      </w:pPr>
      <w:r w:rsidRPr="00DC4367">
        <w:rPr>
          <w:rFonts w:asciiTheme="minorHAnsi" w:hAnsiTheme="minorHAnsi" w:cstheme="minorHAnsi"/>
        </w:rPr>
        <w:t>Recognizing that the challenges we face are significant, complex and ever changing, the Partnership continuously strived to generate, capture and share knowledge. From improving gender equality and women’s empowerment in commodity supply chains to toolkits for sustainable sourcing, over 73 resources and tools have been developed and shared by the Partnership.</w:t>
      </w:r>
      <w:r w:rsidRPr="00D00592">
        <w:t xml:space="preserve"> </w:t>
      </w:r>
    </w:p>
    <w:p w14:paraId="2A9FA49A" w14:textId="497A763F" w:rsidR="0017304D" w:rsidRDefault="0017304D" w:rsidP="00BA2312">
      <w:pPr>
        <w:pStyle w:val="BodyText"/>
        <w:spacing w:before="156"/>
        <w:ind w:left="960" w:right="905"/>
      </w:pPr>
    </w:p>
    <w:p w14:paraId="67F796AE" w14:textId="19A625FA" w:rsidR="00C018AF" w:rsidRDefault="00C018AF" w:rsidP="007B0011">
      <w:pPr>
        <w:pStyle w:val="Heading1"/>
        <w:numPr>
          <w:ilvl w:val="0"/>
          <w:numId w:val="1"/>
        </w:numPr>
        <w:rPr>
          <w:rFonts w:asciiTheme="minorHAnsi" w:hAnsiTheme="minorHAnsi" w:cstheme="minorHAnsi"/>
          <w:sz w:val="28"/>
          <w:szCs w:val="28"/>
        </w:rPr>
      </w:pPr>
      <w:bookmarkStart w:id="93" w:name="_Toc96772507"/>
      <w:r w:rsidRPr="00833127">
        <w:rPr>
          <w:rFonts w:asciiTheme="minorHAnsi" w:hAnsiTheme="minorHAnsi" w:cstheme="minorHAnsi"/>
          <w:sz w:val="28"/>
          <w:szCs w:val="28"/>
        </w:rPr>
        <w:t>Main Findings, Conclusions, Recommendations, Lessons Learned</w:t>
      </w:r>
      <w:bookmarkEnd w:id="93"/>
    </w:p>
    <w:p w14:paraId="4AABC8EC" w14:textId="77777777" w:rsidR="00D26E06" w:rsidRDefault="00D26E06" w:rsidP="00D26E06"/>
    <w:p w14:paraId="48B7951C" w14:textId="6D61594D" w:rsidR="00C018AF" w:rsidRDefault="00CD453A" w:rsidP="00CD453A">
      <w:pPr>
        <w:pStyle w:val="Heading2"/>
      </w:pPr>
      <w:bookmarkStart w:id="94" w:name="_Toc96772508"/>
      <w:r>
        <w:t>5.1</w:t>
      </w:r>
      <w:r>
        <w:tab/>
      </w:r>
      <w:r w:rsidR="00C018AF">
        <w:t>Main Findings</w:t>
      </w:r>
      <w:bookmarkEnd w:id="94"/>
    </w:p>
    <w:p w14:paraId="280B1444" w14:textId="28FE870A" w:rsidR="00B473CA" w:rsidRDefault="007430DA" w:rsidP="00D26E06">
      <w:pPr>
        <w:pStyle w:val="BodyText"/>
        <w:spacing w:before="170" w:line="259" w:lineRule="auto"/>
        <w:ind w:right="840"/>
        <w:rPr>
          <w:rFonts w:asciiTheme="minorHAnsi" w:hAnsiTheme="minorHAnsi" w:cstheme="minorHAnsi"/>
          <w:sz w:val="22"/>
          <w:szCs w:val="22"/>
        </w:rPr>
      </w:pPr>
      <w:r w:rsidRPr="00D26E06">
        <w:rPr>
          <w:rFonts w:asciiTheme="minorHAnsi" w:hAnsiTheme="minorHAnsi" w:cstheme="minorHAnsi"/>
          <w:sz w:val="22"/>
          <w:szCs w:val="22"/>
        </w:rPr>
        <w:t xml:space="preserve">The main findings are incorporated into the text of the evaluation report. See also </w:t>
      </w:r>
      <w:hyperlink w:anchor="_Annex_14._Annex" w:history="1">
        <w:r w:rsidRPr="00D26E06">
          <w:rPr>
            <w:rStyle w:val="Hyperlink"/>
            <w:rFonts w:asciiTheme="minorHAnsi" w:hAnsiTheme="minorHAnsi" w:cstheme="minorHAnsi"/>
            <w:sz w:val="22"/>
            <w:szCs w:val="22"/>
          </w:rPr>
          <w:t>Annex 14</w:t>
        </w:r>
      </w:hyperlink>
      <w:r w:rsidRPr="00D26E06">
        <w:rPr>
          <w:rFonts w:asciiTheme="minorHAnsi" w:hAnsiTheme="minorHAnsi" w:cstheme="minorHAnsi"/>
          <w:sz w:val="22"/>
          <w:szCs w:val="22"/>
        </w:rPr>
        <w:t xml:space="preserve"> for a table of Findings, Conclusions, Recommendations and Lessons Learned.</w:t>
      </w:r>
    </w:p>
    <w:p w14:paraId="478F6140" w14:textId="77777777" w:rsidR="00D26E06" w:rsidRPr="00D26E06" w:rsidRDefault="00D26E06" w:rsidP="00D26E06">
      <w:pPr>
        <w:pStyle w:val="BodyText"/>
        <w:spacing w:before="170" w:line="259" w:lineRule="auto"/>
        <w:ind w:right="840"/>
        <w:rPr>
          <w:rFonts w:asciiTheme="minorHAnsi" w:hAnsiTheme="minorHAnsi" w:cstheme="minorHAnsi"/>
          <w:sz w:val="22"/>
          <w:szCs w:val="22"/>
        </w:rPr>
      </w:pPr>
    </w:p>
    <w:p w14:paraId="333BC893" w14:textId="6292AD30" w:rsidR="00C018AF" w:rsidRDefault="00CD453A" w:rsidP="00CD453A">
      <w:pPr>
        <w:pStyle w:val="Heading2"/>
      </w:pPr>
      <w:bookmarkStart w:id="95" w:name="_Toc96772509"/>
      <w:r>
        <w:t>5.2</w:t>
      </w:r>
      <w:r>
        <w:tab/>
      </w:r>
      <w:r w:rsidR="00C018AF">
        <w:t>Conclusions</w:t>
      </w:r>
      <w:bookmarkEnd w:id="95"/>
    </w:p>
    <w:p w14:paraId="300AFB95" w14:textId="77777777" w:rsidR="00D26E06" w:rsidRPr="00D26E06" w:rsidRDefault="00D26E06" w:rsidP="00D26E06"/>
    <w:p w14:paraId="76B44A9C" w14:textId="206A71A7" w:rsidR="00596AF5" w:rsidRDefault="00596AF5" w:rsidP="00981FE1">
      <w:pPr>
        <w:jc w:val="both"/>
      </w:pPr>
      <w:r>
        <w:t xml:space="preserve">The main conclusions are presented on Page 2. They are also incorporated into the text of the evaluation report. See also </w:t>
      </w:r>
      <w:hyperlink w:anchor="_Annex_14._Annex" w:history="1">
        <w:r w:rsidRPr="009A28DE">
          <w:rPr>
            <w:rStyle w:val="Hyperlink"/>
          </w:rPr>
          <w:t>Annex 14</w:t>
        </w:r>
      </w:hyperlink>
      <w:r>
        <w:t xml:space="preserve"> for a table of Findings, Conclusions, Recommendations and Lessons Learned.</w:t>
      </w:r>
    </w:p>
    <w:p w14:paraId="350B4BE0" w14:textId="3062413F" w:rsidR="00C018AF" w:rsidRDefault="00CD453A" w:rsidP="00CD453A">
      <w:pPr>
        <w:pStyle w:val="Heading2"/>
      </w:pPr>
      <w:bookmarkStart w:id="96" w:name="_Toc96772510"/>
      <w:r>
        <w:lastRenderedPageBreak/>
        <w:t>5.3</w:t>
      </w:r>
      <w:r>
        <w:tab/>
        <w:t>Recommendations</w:t>
      </w:r>
      <w:bookmarkEnd w:id="96"/>
    </w:p>
    <w:p w14:paraId="446DD79E" w14:textId="77777777" w:rsidR="00D26E06" w:rsidRPr="00D26E06" w:rsidRDefault="00D26E06" w:rsidP="00D26E06"/>
    <w:p w14:paraId="72E0AFDA" w14:textId="63A8DA11" w:rsidR="007430DA" w:rsidRDefault="007430DA" w:rsidP="00981FE1">
      <w:pPr>
        <w:jc w:val="both"/>
      </w:pPr>
      <w:r w:rsidRPr="007430DA">
        <w:t xml:space="preserve">The main </w:t>
      </w:r>
      <w:r>
        <w:t>Recommendations</w:t>
      </w:r>
      <w:r w:rsidRPr="007430DA">
        <w:t xml:space="preserve"> are presented </w:t>
      </w:r>
      <w:r>
        <w:t>in Table 4</w:t>
      </w:r>
      <w:r w:rsidRPr="007430DA">
        <w:t xml:space="preserve">. They are also incorporated into the text of the evaluation report. See also </w:t>
      </w:r>
      <w:hyperlink w:anchor="_Annex_14._Annex" w:history="1">
        <w:r w:rsidRPr="009A28DE">
          <w:rPr>
            <w:rStyle w:val="Hyperlink"/>
          </w:rPr>
          <w:t>Annex 14</w:t>
        </w:r>
      </w:hyperlink>
      <w:r w:rsidRPr="007430DA">
        <w:t xml:space="preserve"> for a table of Findings, Conclusions, Recommendations and Lessons Learned.</w:t>
      </w:r>
    </w:p>
    <w:p w14:paraId="72ADD9A3" w14:textId="24983E47" w:rsidR="0017304D" w:rsidRDefault="0017304D">
      <w:pPr>
        <w:rPr>
          <w:rFonts w:ascii="Arial" w:eastAsia="Arial" w:hAnsi="Arial" w:cs="Arial"/>
          <w:sz w:val="20"/>
          <w:szCs w:val="20"/>
          <w:lang w:eastAsia="en-US"/>
        </w:rPr>
      </w:pPr>
      <w:r>
        <w:br w:type="page"/>
      </w:r>
    </w:p>
    <w:p w14:paraId="206E667B" w14:textId="77777777" w:rsidR="00BF7C26" w:rsidRDefault="00BF7C26" w:rsidP="00BA2312">
      <w:pPr>
        <w:pStyle w:val="BodyText"/>
        <w:spacing w:before="170" w:line="259" w:lineRule="auto"/>
        <w:ind w:right="840"/>
      </w:pPr>
    </w:p>
    <w:p w14:paraId="0663D1E8" w14:textId="3D2882A4" w:rsidR="00BF7C26" w:rsidRPr="00833127" w:rsidRDefault="00BF7C26" w:rsidP="007B0011">
      <w:pPr>
        <w:pStyle w:val="Heading1"/>
        <w:numPr>
          <w:ilvl w:val="0"/>
          <w:numId w:val="1"/>
        </w:numPr>
        <w:rPr>
          <w:rFonts w:asciiTheme="minorHAnsi" w:hAnsiTheme="minorHAnsi" w:cstheme="minorHAnsi"/>
          <w:sz w:val="28"/>
          <w:szCs w:val="28"/>
        </w:rPr>
      </w:pPr>
      <w:bookmarkStart w:id="97" w:name="_Toc96772511"/>
      <w:r w:rsidRPr="00833127">
        <w:rPr>
          <w:rFonts w:asciiTheme="minorHAnsi" w:hAnsiTheme="minorHAnsi" w:cstheme="minorHAnsi"/>
          <w:sz w:val="28"/>
          <w:szCs w:val="28"/>
        </w:rPr>
        <w:t>Annexes</w:t>
      </w:r>
      <w:bookmarkEnd w:id="97"/>
    </w:p>
    <w:p w14:paraId="6C43F10A" w14:textId="5A13E7EF" w:rsidR="00D70CD3" w:rsidRDefault="00D70CD3" w:rsidP="00D23CD2">
      <w:pPr>
        <w:pStyle w:val="Heading2"/>
        <w:jc w:val="both"/>
      </w:pPr>
      <w:bookmarkStart w:id="98" w:name="_Annex_1._Summary"/>
      <w:bookmarkStart w:id="99" w:name="_Toc96772512"/>
      <w:bookmarkEnd w:id="98"/>
      <w:r>
        <w:rPr>
          <w:color w:val="1F3863"/>
        </w:rPr>
        <w:t>Annex 1. Summary of Rating Scales</w:t>
      </w:r>
      <w:bookmarkEnd w:id="99"/>
    </w:p>
    <w:p w14:paraId="0F8D5FB2" w14:textId="77777777" w:rsidR="00D70CD3" w:rsidRPr="00E136A1" w:rsidRDefault="00D70CD3" w:rsidP="00D23CD2">
      <w:pPr>
        <w:jc w:val="both"/>
        <w:rPr>
          <w:b/>
          <w:bCs/>
        </w:rPr>
      </w:pPr>
      <w:r w:rsidRPr="00E136A1">
        <w:rPr>
          <w:b/>
          <w:bCs/>
        </w:rPr>
        <w:t>Monitoring &amp; Evaluation Ratings Scale</w:t>
      </w:r>
    </w:p>
    <w:tbl>
      <w:tblPr>
        <w:tblStyle w:val="TableNormal2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2"/>
        <w:gridCol w:w="5669"/>
      </w:tblGrid>
      <w:tr w:rsidR="00D70CD3" w:rsidRPr="00596AF5" w14:paraId="7033AC71" w14:textId="77777777" w:rsidTr="00D23CD2">
        <w:trPr>
          <w:trHeight w:val="280"/>
          <w:jc w:val="center"/>
        </w:trPr>
        <w:tc>
          <w:tcPr>
            <w:tcW w:w="3692" w:type="dxa"/>
            <w:tcBorders>
              <w:bottom w:val="single" w:sz="2" w:space="0" w:color="000000"/>
              <w:right w:val="nil"/>
            </w:tcBorders>
            <w:shd w:val="clear" w:color="auto" w:fill="1F3863"/>
          </w:tcPr>
          <w:p w14:paraId="3D9CF4C0" w14:textId="77777777" w:rsidR="00D70CD3" w:rsidRPr="00981FE1" w:rsidRDefault="00D70CD3" w:rsidP="00062DAE">
            <w:pPr>
              <w:pStyle w:val="TableParagraph"/>
              <w:spacing w:line="260" w:lineRule="exact"/>
              <w:ind w:left="1480" w:right="1478"/>
              <w:jc w:val="center"/>
              <w:rPr>
                <w:rFonts w:asciiTheme="minorHAnsi" w:hAnsiTheme="minorHAnsi" w:cstheme="minorHAnsi"/>
              </w:rPr>
            </w:pPr>
            <w:r w:rsidRPr="00981FE1">
              <w:rPr>
                <w:rFonts w:asciiTheme="minorHAnsi" w:hAnsiTheme="minorHAnsi" w:cstheme="minorHAnsi"/>
                <w:color w:val="FFFFFF"/>
              </w:rPr>
              <w:t>Rating</w:t>
            </w:r>
          </w:p>
        </w:tc>
        <w:tc>
          <w:tcPr>
            <w:tcW w:w="5669" w:type="dxa"/>
            <w:tcBorders>
              <w:left w:val="nil"/>
              <w:bottom w:val="single" w:sz="2" w:space="0" w:color="000000"/>
            </w:tcBorders>
            <w:shd w:val="clear" w:color="auto" w:fill="1F3863"/>
          </w:tcPr>
          <w:p w14:paraId="49662F5C" w14:textId="77777777" w:rsidR="00D70CD3" w:rsidRPr="00981FE1" w:rsidRDefault="00D70CD3" w:rsidP="00062DAE">
            <w:pPr>
              <w:pStyle w:val="TableParagraph"/>
              <w:spacing w:line="260" w:lineRule="exact"/>
              <w:ind w:left="2289" w:right="2280"/>
              <w:jc w:val="center"/>
              <w:rPr>
                <w:rFonts w:asciiTheme="minorHAnsi" w:hAnsiTheme="minorHAnsi" w:cstheme="minorHAnsi"/>
              </w:rPr>
            </w:pPr>
            <w:r w:rsidRPr="00981FE1">
              <w:rPr>
                <w:rFonts w:asciiTheme="minorHAnsi" w:hAnsiTheme="minorHAnsi" w:cstheme="minorHAnsi"/>
                <w:color w:val="FFFFFF"/>
              </w:rPr>
              <w:t>Description</w:t>
            </w:r>
          </w:p>
        </w:tc>
      </w:tr>
      <w:tr w:rsidR="00D70CD3" w:rsidRPr="00596AF5" w14:paraId="1AC2F838" w14:textId="77777777" w:rsidTr="00D23CD2">
        <w:trPr>
          <w:trHeight w:val="559"/>
          <w:jc w:val="center"/>
        </w:trPr>
        <w:tc>
          <w:tcPr>
            <w:tcW w:w="3692" w:type="dxa"/>
            <w:tcBorders>
              <w:top w:val="single" w:sz="2" w:space="0" w:color="000000"/>
              <w:left w:val="single" w:sz="2" w:space="0" w:color="000000"/>
              <w:bottom w:val="single" w:sz="2" w:space="0" w:color="000000"/>
              <w:right w:val="single" w:sz="2" w:space="0" w:color="000000"/>
            </w:tcBorders>
          </w:tcPr>
          <w:p w14:paraId="096B6AF5" w14:textId="77777777" w:rsidR="00D70CD3" w:rsidRPr="00981FE1" w:rsidRDefault="00D70CD3" w:rsidP="00062DAE">
            <w:pPr>
              <w:pStyle w:val="TableParagraph"/>
              <w:spacing w:line="278" w:lineRule="exact"/>
              <w:ind w:left="110"/>
              <w:rPr>
                <w:rFonts w:asciiTheme="minorHAnsi" w:hAnsiTheme="minorHAnsi" w:cstheme="minorHAnsi"/>
              </w:rPr>
            </w:pPr>
            <w:r w:rsidRPr="00981FE1">
              <w:rPr>
                <w:rFonts w:asciiTheme="minorHAnsi" w:hAnsiTheme="minorHAnsi" w:cstheme="minorHAnsi"/>
                <w:color w:val="1F3863"/>
              </w:rPr>
              <w:t>6 = Highly Satisfactory (HS)</w:t>
            </w:r>
          </w:p>
        </w:tc>
        <w:tc>
          <w:tcPr>
            <w:tcW w:w="5669" w:type="dxa"/>
            <w:tcBorders>
              <w:top w:val="single" w:sz="2" w:space="0" w:color="000000"/>
              <w:left w:val="single" w:sz="2" w:space="0" w:color="000000"/>
              <w:bottom w:val="single" w:sz="2" w:space="0" w:color="000000"/>
            </w:tcBorders>
          </w:tcPr>
          <w:p w14:paraId="78F2EEE0" w14:textId="77777777" w:rsidR="00D70CD3" w:rsidRPr="00981FE1" w:rsidRDefault="00D70CD3" w:rsidP="00062DAE">
            <w:pPr>
              <w:pStyle w:val="TableParagraph"/>
              <w:tabs>
                <w:tab w:val="left" w:pos="870"/>
                <w:tab w:val="left" w:pos="1551"/>
                <w:tab w:val="left" w:pos="2033"/>
                <w:tab w:val="left" w:pos="2745"/>
                <w:tab w:val="left" w:pos="3812"/>
                <w:tab w:val="left" w:pos="4674"/>
                <w:tab w:val="left" w:pos="5101"/>
              </w:tabs>
              <w:spacing w:before="3" w:line="278" w:lineRule="exact"/>
              <w:ind w:left="110" w:right="97"/>
              <w:rPr>
                <w:rFonts w:asciiTheme="minorHAnsi" w:hAnsiTheme="minorHAnsi" w:cstheme="minorHAnsi"/>
              </w:rPr>
            </w:pPr>
            <w:r w:rsidRPr="00981FE1">
              <w:rPr>
                <w:rFonts w:asciiTheme="minorHAnsi" w:hAnsiTheme="minorHAnsi" w:cstheme="minorHAnsi"/>
                <w:color w:val="1F3863"/>
              </w:rPr>
              <w:t>There</w:t>
            </w:r>
            <w:r w:rsidRPr="00981FE1">
              <w:rPr>
                <w:rFonts w:asciiTheme="minorHAnsi" w:hAnsiTheme="minorHAnsi" w:cstheme="minorHAnsi"/>
                <w:color w:val="1F3863"/>
              </w:rPr>
              <w:tab/>
              <w:t>were</w:t>
            </w:r>
            <w:r w:rsidRPr="00981FE1">
              <w:rPr>
                <w:rFonts w:asciiTheme="minorHAnsi" w:hAnsiTheme="minorHAnsi" w:cstheme="minorHAnsi"/>
                <w:color w:val="1F3863"/>
              </w:rPr>
              <w:tab/>
              <w:t>no</w:t>
            </w:r>
            <w:r w:rsidRPr="00981FE1">
              <w:rPr>
                <w:rFonts w:asciiTheme="minorHAnsi" w:hAnsiTheme="minorHAnsi" w:cstheme="minorHAnsi"/>
                <w:color w:val="1F3863"/>
              </w:rPr>
              <w:tab/>
              <w:t>short</w:t>
            </w:r>
            <w:r w:rsidRPr="00981FE1">
              <w:rPr>
                <w:rFonts w:asciiTheme="minorHAnsi" w:hAnsiTheme="minorHAnsi" w:cstheme="minorHAnsi"/>
                <w:color w:val="1F3863"/>
              </w:rPr>
              <w:tab/>
              <w:t>comings;</w:t>
            </w:r>
            <w:r w:rsidRPr="00981FE1">
              <w:rPr>
                <w:rFonts w:asciiTheme="minorHAnsi" w:hAnsiTheme="minorHAnsi" w:cstheme="minorHAnsi"/>
                <w:color w:val="1F3863"/>
              </w:rPr>
              <w:tab/>
              <w:t>quality</w:t>
            </w:r>
            <w:r w:rsidRPr="00981FE1">
              <w:rPr>
                <w:rFonts w:asciiTheme="minorHAnsi" w:hAnsiTheme="minorHAnsi" w:cstheme="minorHAnsi"/>
                <w:color w:val="1F3863"/>
              </w:rPr>
              <w:tab/>
              <w:t>of</w:t>
            </w:r>
            <w:r w:rsidRPr="00981FE1">
              <w:rPr>
                <w:rFonts w:asciiTheme="minorHAnsi" w:hAnsiTheme="minorHAnsi" w:cstheme="minorHAnsi"/>
                <w:color w:val="1F3863"/>
              </w:rPr>
              <w:tab/>
            </w:r>
            <w:r w:rsidRPr="00981FE1">
              <w:rPr>
                <w:rFonts w:asciiTheme="minorHAnsi" w:hAnsiTheme="minorHAnsi" w:cstheme="minorHAnsi"/>
                <w:color w:val="1F3863"/>
                <w:spacing w:val="-8"/>
              </w:rPr>
              <w:t xml:space="preserve">M&amp;E </w:t>
            </w:r>
            <w:r w:rsidRPr="00981FE1">
              <w:rPr>
                <w:rFonts w:asciiTheme="minorHAnsi" w:hAnsiTheme="minorHAnsi" w:cstheme="minorHAnsi"/>
                <w:color w:val="1F3863"/>
              </w:rPr>
              <w:t>design/implementation exceeded</w:t>
            </w:r>
            <w:r w:rsidRPr="00981FE1">
              <w:rPr>
                <w:rFonts w:asciiTheme="minorHAnsi" w:hAnsiTheme="minorHAnsi" w:cstheme="minorHAnsi"/>
                <w:color w:val="1F3863"/>
                <w:spacing w:val="-3"/>
              </w:rPr>
              <w:t xml:space="preserve"> </w:t>
            </w:r>
            <w:r w:rsidRPr="00981FE1">
              <w:rPr>
                <w:rFonts w:asciiTheme="minorHAnsi" w:hAnsiTheme="minorHAnsi" w:cstheme="minorHAnsi"/>
                <w:color w:val="1F3863"/>
              </w:rPr>
              <w:t>expectations</w:t>
            </w:r>
          </w:p>
        </w:tc>
      </w:tr>
      <w:tr w:rsidR="00D70CD3" w:rsidRPr="00596AF5" w14:paraId="21549BB5" w14:textId="77777777" w:rsidTr="00D23CD2">
        <w:trPr>
          <w:trHeight w:val="559"/>
          <w:jc w:val="center"/>
        </w:trPr>
        <w:tc>
          <w:tcPr>
            <w:tcW w:w="3692" w:type="dxa"/>
            <w:tcBorders>
              <w:top w:val="single" w:sz="2" w:space="0" w:color="000000"/>
              <w:left w:val="single" w:sz="2" w:space="0" w:color="000000"/>
              <w:bottom w:val="single" w:sz="2" w:space="0" w:color="000000"/>
              <w:right w:val="single" w:sz="2" w:space="0" w:color="000000"/>
            </w:tcBorders>
          </w:tcPr>
          <w:p w14:paraId="44B94519" w14:textId="77777777" w:rsidR="00D70CD3" w:rsidRPr="00981FE1" w:rsidRDefault="00D70CD3" w:rsidP="00062DAE">
            <w:pPr>
              <w:pStyle w:val="TableParagraph"/>
              <w:spacing w:line="278" w:lineRule="exact"/>
              <w:ind w:left="110"/>
              <w:rPr>
                <w:rFonts w:asciiTheme="minorHAnsi" w:hAnsiTheme="minorHAnsi" w:cstheme="minorHAnsi"/>
              </w:rPr>
            </w:pPr>
            <w:r w:rsidRPr="00981FE1">
              <w:rPr>
                <w:rFonts w:asciiTheme="minorHAnsi" w:hAnsiTheme="minorHAnsi" w:cstheme="minorHAnsi"/>
                <w:color w:val="1F3863"/>
              </w:rPr>
              <w:t>5 = Satisfactory (S)</w:t>
            </w:r>
          </w:p>
        </w:tc>
        <w:tc>
          <w:tcPr>
            <w:tcW w:w="5669" w:type="dxa"/>
            <w:tcBorders>
              <w:top w:val="single" w:sz="2" w:space="0" w:color="000000"/>
              <w:left w:val="single" w:sz="2" w:space="0" w:color="000000"/>
              <w:bottom w:val="single" w:sz="2" w:space="0" w:color="000000"/>
            </w:tcBorders>
          </w:tcPr>
          <w:p w14:paraId="129CB83C" w14:textId="77777777" w:rsidR="00D70CD3" w:rsidRPr="00981FE1" w:rsidRDefault="00D70CD3" w:rsidP="00062DAE">
            <w:pPr>
              <w:pStyle w:val="TableParagraph"/>
              <w:tabs>
                <w:tab w:val="left" w:pos="858"/>
                <w:tab w:val="left" w:pos="1529"/>
                <w:tab w:val="left" w:pos="2304"/>
                <w:tab w:val="left" w:pos="3834"/>
                <w:tab w:val="left" w:pos="4684"/>
                <w:tab w:val="left" w:pos="5101"/>
              </w:tabs>
              <w:spacing w:before="3" w:line="278" w:lineRule="exact"/>
              <w:ind w:left="110" w:right="98"/>
              <w:rPr>
                <w:rFonts w:asciiTheme="minorHAnsi" w:hAnsiTheme="minorHAnsi" w:cstheme="minorHAnsi"/>
              </w:rPr>
            </w:pPr>
            <w:r w:rsidRPr="00981FE1">
              <w:rPr>
                <w:rFonts w:asciiTheme="minorHAnsi" w:hAnsiTheme="minorHAnsi" w:cstheme="minorHAnsi"/>
                <w:color w:val="1F3863"/>
              </w:rPr>
              <w:t>There</w:t>
            </w:r>
            <w:r w:rsidRPr="00981FE1">
              <w:rPr>
                <w:rFonts w:asciiTheme="minorHAnsi" w:hAnsiTheme="minorHAnsi" w:cstheme="minorHAnsi"/>
                <w:color w:val="1F3863"/>
              </w:rPr>
              <w:tab/>
              <w:t>were</w:t>
            </w:r>
            <w:r w:rsidRPr="00981FE1">
              <w:rPr>
                <w:rFonts w:asciiTheme="minorHAnsi" w:hAnsiTheme="minorHAnsi" w:cstheme="minorHAnsi"/>
                <w:color w:val="1F3863"/>
              </w:rPr>
              <w:tab/>
              <w:t>minor</w:t>
            </w:r>
            <w:r w:rsidRPr="00981FE1">
              <w:rPr>
                <w:rFonts w:asciiTheme="minorHAnsi" w:hAnsiTheme="minorHAnsi" w:cstheme="minorHAnsi"/>
                <w:color w:val="1F3863"/>
              </w:rPr>
              <w:tab/>
              <w:t>shortcomings;</w:t>
            </w:r>
            <w:r w:rsidRPr="00981FE1">
              <w:rPr>
                <w:rFonts w:asciiTheme="minorHAnsi" w:hAnsiTheme="minorHAnsi" w:cstheme="minorHAnsi"/>
                <w:color w:val="1F3863"/>
              </w:rPr>
              <w:tab/>
              <w:t>quality</w:t>
            </w:r>
            <w:r w:rsidRPr="00981FE1">
              <w:rPr>
                <w:rFonts w:asciiTheme="minorHAnsi" w:hAnsiTheme="minorHAnsi" w:cstheme="minorHAnsi"/>
                <w:color w:val="1F3863"/>
              </w:rPr>
              <w:tab/>
              <w:t>of</w:t>
            </w:r>
            <w:r w:rsidRPr="00981FE1">
              <w:rPr>
                <w:rFonts w:asciiTheme="minorHAnsi" w:hAnsiTheme="minorHAnsi" w:cstheme="minorHAnsi"/>
                <w:color w:val="1F3863"/>
              </w:rPr>
              <w:tab/>
            </w:r>
            <w:r w:rsidRPr="00981FE1">
              <w:rPr>
                <w:rFonts w:asciiTheme="minorHAnsi" w:hAnsiTheme="minorHAnsi" w:cstheme="minorHAnsi"/>
                <w:color w:val="1F3863"/>
                <w:spacing w:val="-8"/>
              </w:rPr>
              <w:t xml:space="preserve">M&amp;E </w:t>
            </w:r>
            <w:r w:rsidRPr="00981FE1">
              <w:rPr>
                <w:rFonts w:asciiTheme="minorHAnsi" w:hAnsiTheme="minorHAnsi" w:cstheme="minorHAnsi"/>
                <w:color w:val="1F3863"/>
              </w:rPr>
              <w:t>design/implementation met</w:t>
            </w:r>
            <w:r w:rsidRPr="00981FE1">
              <w:rPr>
                <w:rFonts w:asciiTheme="minorHAnsi" w:hAnsiTheme="minorHAnsi" w:cstheme="minorHAnsi"/>
                <w:color w:val="1F3863"/>
                <w:spacing w:val="-1"/>
              </w:rPr>
              <w:t xml:space="preserve"> </w:t>
            </w:r>
            <w:r w:rsidRPr="00981FE1">
              <w:rPr>
                <w:rFonts w:asciiTheme="minorHAnsi" w:hAnsiTheme="minorHAnsi" w:cstheme="minorHAnsi"/>
                <w:color w:val="1F3863"/>
              </w:rPr>
              <w:t>expectations</w:t>
            </w:r>
          </w:p>
        </w:tc>
      </w:tr>
      <w:tr w:rsidR="00D70CD3" w:rsidRPr="00596AF5" w14:paraId="2019ABDA" w14:textId="77777777" w:rsidTr="00D23CD2">
        <w:trPr>
          <w:trHeight w:val="556"/>
          <w:jc w:val="center"/>
        </w:trPr>
        <w:tc>
          <w:tcPr>
            <w:tcW w:w="3692" w:type="dxa"/>
            <w:tcBorders>
              <w:top w:val="single" w:sz="2" w:space="0" w:color="000000"/>
              <w:left w:val="single" w:sz="2" w:space="0" w:color="000000"/>
              <w:bottom w:val="single" w:sz="2" w:space="0" w:color="000000"/>
              <w:right w:val="single" w:sz="2" w:space="0" w:color="000000"/>
            </w:tcBorders>
          </w:tcPr>
          <w:p w14:paraId="45E6344A" w14:textId="77777777" w:rsidR="00D70CD3" w:rsidRPr="00981FE1" w:rsidRDefault="00D70CD3" w:rsidP="00062DAE">
            <w:pPr>
              <w:pStyle w:val="TableParagraph"/>
              <w:spacing w:line="278" w:lineRule="exact"/>
              <w:ind w:left="110"/>
              <w:rPr>
                <w:rFonts w:asciiTheme="minorHAnsi" w:hAnsiTheme="minorHAnsi" w:cstheme="minorHAnsi"/>
              </w:rPr>
            </w:pPr>
            <w:r w:rsidRPr="00981FE1">
              <w:rPr>
                <w:rFonts w:asciiTheme="minorHAnsi" w:hAnsiTheme="minorHAnsi" w:cstheme="minorHAnsi"/>
                <w:color w:val="1F3863"/>
              </w:rPr>
              <w:t>4 = Moderately Satisfactory (MS)</w:t>
            </w:r>
          </w:p>
        </w:tc>
        <w:tc>
          <w:tcPr>
            <w:tcW w:w="5669" w:type="dxa"/>
            <w:tcBorders>
              <w:top w:val="single" w:sz="2" w:space="0" w:color="000000"/>
              <w:left w:val="single" w:sz="2" w:space="0" w:color="000000"/>
              <w:bottom w:val="single" w:sz="2" w:space="0" w:color="000000"/>
            </w:tcBorders>
          </w:tcPr>
          <w:p w14:paraId="2B70C3F1" w14:textId="77777777" w:rsidR="00D70CD3" w:rsidRPr="00981FE1" w:rsidRDefault="00D70CD3" w:rsidP="00062DAE">
            <w:pPr>
              <w:pStyle w:val="TableParagraph"/>
              <w:spacing w:before="3" w:line="278" w:lineRule="exact"/>
              <w:ind w:left="110" w:right="98"/>
              <w:rPr>
                <w:rFonts w:asciiTheme="minorHAnsi" w:hAnsiTheme="minorHAnsi" w:cstheme="minorHAnsi"/>
              </w:rPr>
            </w:pPr>
            <w:r w:rsidRPr="00981FE1">
              <w:rPr>
                <w:rFonts w:asciiTheme="minorHAnsi" w:hAnsiTheme="minorHAnsi" w:cstheme="minorHAnsi"/>
                <w:color w:val="1F3863"/>
              </w:rPr>
              <w:t>There were moderate shortcomings; quality of M&amp;E design/implementation more or less met expectations</w:t>
            </w:r>
          </w:p>
        </w:tc>
      </w:tr>
      <w:tr w:rsidR="00D70CD3" w:rsidRPr="00596AF5" w14:paraId="264C354F" w14:textId="77777777" w:rsidTr="00D23CD2">
        <w:trPr>
          <w:trHeight w:val="557"/>
          <w:jc w:val="center"/>
        </w:trPr>
        <w:tc>
          <w:tcPr>
            <w:tcW w:w="3692" w:type="dxa"/>
            <w:tcBorders>
              <w:top w:val="single" w:sz="2" w:space="0" w:color="000000"/>
              <w:left w:val="single" w:sz="2" w:space="0" w:color="000000"/>
              <w:bottom w:val="single" w:sz="2" w:space="0" w:color="000000"/>
              <w:right w:val="single" w:sz="2" w:space="0" w:color="000000"/>
            </w:tcBorders>
          </w:tcPr>
          <w:p w14:paraId="13E27F9F" w14:textId="77777777" w:rsidR="00D70CD3" w:rsidRPr="00981FE1" w:rsidRDefault="00D70CD3" w:rsidP="00062DAE">
            <w:pPr>
              <w:pStyle w:val="TableParagraph"/>
              <w:spacing w:line="276" w:lineRule="exact"/>
              <w:ind w:left="110"/>
              <w:rPr>
                <w:rFonts w:asciiTheme="minorHAnsi" w:hAnsiTheme="minorHAnsi" w:cstheme="minorHAnsi"/>
              </w:rPr>
            </w:pPr>
            <w:r w:rsidRPr="00981FE1">
              <w:rPr>
                <w:rFonts w:asciiTheme="minorHAnsi" w:hAnsiTheme="minorHAnsi" w:cstheme="minorHAnsi"/>
                <w:color w:val="1F3863"/>
              </w:rPr>
              <w:t>3 = Moderately Unsatisfactory (MU)</w:t>
            </w:r>
          </w:p>
        </w:tc>
        <w:tc>
          <w:tcPr>
            <w:tcW w:w="5669" w:type="dxa"/>
            <w:tcBorders>
              <w:top w:val="single" w:sz="2" w:space="0" w:color="000000"/>
              <w:left w:val="single" w:sz="2" w:space="0" w:color="000000"/>
              <w:bottom w:val="single" w:sz="2" w:space="0" w:color="000000"/>
            </w:tcBorders>
          </w:tcPr>
          <w:p w14:paraId="7346BDCA" w14:textId="635E264E" w:rsidR="00D70CD3" w:rsidRPr="00981FE1" w:rsidRDefault="00D70CD3" w:rsidP="00062DAE">
            <w:pPr>
              <w:pStyle w:val="TableParagraph"/>
              <w:spacing w:line="276" w:lineRule="exact"/>
              <w:ind w:left="110"/>
              <w:rPr>
                <w:rFonts w:asciiTheme="minorHAnsi" w:hAnsiTheme="minorHAnsi" w:cstheme="minorHAnsi"/>
              </w:rPr>
            </w:pPr>
            <w:r w:rsidRPr="00981FE1">
              <w:rPr>
                <w:rFonts w:asciiTheme="minorHAnsi" w:hAnsiTheme="minorHAnsi" w:cstheme="minorHAnsi"/>
                <w:color w:val="1F3863"/>
              </w:rPr>
              <w:t xml:space="preserve">There   were   significant   </w:t>
            </w:r>
            <w:r w:rsidR="004336F9" w:rsidRPr="00981FE1">
              <w:rPr>
                <w:rFonts w:asciiTheme="minorHAnsi" w:hAnsiTheme="minorHAnsi" w:cstheme="minorHAnsi"/>
                <w:color w:val="1F3863"/>
              </w:rPr>
              <w:t xml:space="preserve">shortcomings;  </w:t>
            </w:r>
            <w:r w:rsidRPr="00981FE1">
              <w:rPr>
                <w:rFonts w:asciiTheme="minorHAnsi" w:hAnsiTheme="minorHAnsi" w:cstheme="minorHAnsi"/>
                <w:color w:val="1F3863"/>
              </w:rPr>
              <w:t>quality   of</w:t>
            </w:r>
            <w:r w:rsidRPr="00981FE1">
              <w:rPr>
                <w:rFonts w:asciiTheme="minorHAnsi" w:hAnsiTheme="minorHAnsi" w:cstheme="minorHAnsi"/>
                <w:color w:val="1F3863"/>
                <w:spacing w:val="23"/>
              </w:rPr>
              <w:t xml:space="preserve"> </w:t>
            </w:r>
            <w:r w:rsidRPr="00981FE1">
              <w:rPr>
                <w:rFonts w:asciiTheme="minorHAnsi" w:hAnsiTheme="minorHAnsi" w:cstheme="minorHAnsi"/>
                <w:color w:val="1F3863"/>
              </w:rPr>
              <w:t>M&amp;E</w:t>
            </w:r>
          </w:p>
          <w:p w14:paraId="7BEBF613" w14:textId="77777777" w:rsidR="00D70CD3" w:rsidRPr="00981FE1" w:rsidRDefault="00D70CD3" w:rsidP="00062DAE">
            <w:pPr>
              <w:pStyle w:val="TableParagraph"/>
              <w:spacing w:before="2" w:line="259" w:lineRule="exact"/>
              <w:ind w:left="110"/>
              <w:rPr>
                <w:rFonts w:asciiTheme="minorHAnsi" w:hAnsiTheme="minorHAnsi" w:cstheme="minorHAnsi"/>
              </w:rPr>
            </w:pPr>
            <w:r w:rsidRPr="00981FE1">
              <w:rPr>
                <w:rFonts w:asciiTheme="minorHAnsi" w:hAnsiTheme="minorHAnsi" w:cstheme="minorHAnsi"/>
                <w:color w:val="1F3863"/>
              </w:rPr>
              <w:t>design/implementation</w:t>
            </w:r>
            <w:r w:rsidRPr="00981FE1">
              <w:rPr>
                <w:rFonts w:asciiTheme="minorHAnsi" w:hAnsiTheme="minorHAnsi" w:cstheme="minorHAnsi"/>
                <w:color w:val="1F3863"/>
                <w:spacing w:val="-18"/>
              </w:rPr>
              <w:t xml:space="preserve"> </w:t>
            </w:r>
            <w:r w:rsidRPr="00981FE1">
              <w:rPr>
                <w:rFonts w:asciiTheme="minorHAnsi" w:hAnsiTheme="minorHAnsi" w:cstheme="minorHAnsi"/>
                <w:color w:val="1F3863"/>
              </w:rPr>
              <w:t>was</w:t>
            </w:r>
            <w:r w:rsidRPr="00981FE1">
              <w:rPr>
                <w:rFonts w:asciiTheme="minorHAnsi" w:hAnsiTheme="minorHAnsi" w:cstheme="minorHAnsi"/>
                <w:color w:val="1F3863"/>
                <w:spacing w:val="-17"/>
              </w:rPr>
              <w:t xml:space="preserve"> </w:t>
            </w:r>
            <w:r w:rsidRPr="00981FE1">
              <w:rPr>
                <w:rFonts w:asciiTheme="minorHAnsi" w:hAnsiTheme="minorHAnsi" w:cstheme="minorHAnsi"/>
                <w:color w:val="1F3863"/>
              </w:rPr>
              <w:t>somewhat</w:t>
            </w:r>
            <w:r w:rsidRPr="00981FE1">
              <w:rPr>
                <w:rFonts w:asciiTheme="minorHAnsi" w:hAnsiTheme="minorHAnsi" w:cstheme="minorHAnsi"/>
                <w:color w:val="1F3863"/>
                <w:spacing w:val="-15"/>
              </w:rPr>
              <w:t xml:space="preserve"> </w:t>
            </w:r>
            <w:r w:rsidRPr="00981FE1">
              <w:rPr>
                <w:rFonts w:asciiTheme="minorHAnsi" w:hAnsiTheme="minorHAnsi" w:cstheme="minorHAnsi"/>
                <w:color w:val="1F3863"/>
              </w:rPr>
              <w:t>lower</w:t>
            </w:r>
            <w:r w:rsidRPr="00981FE1">
              <w:rPr>
                <w:rFonts w:asciiTheme="minorHAnsi" w:hAnsiTheme="minorHAnsi" w:cstheme="minorHAnsi"/>
                <w:color w:val="1F3863"/>
                <w:spacing w:val="-16"/>
              </w:rPr>
              <w:t xml:space="preserve"> </w:t>
            </w:r>
            <w:r w:rsidRPr="00981FE1">
              <w:rPr>
                <w:rFonts w:asciiTheme="minorHAnsi" w:hAnsiTheme="minorHAnsi" w:cstheme="minorHAnsi"/>
                <w:color w:val="1F3863"/>
              </w:rPr>
              <w:t>than</w:t>
            </w:r>
            <w:r w:rsidRPr="00981FE1">
              <w:rPr>
                <w:rFonts w:asciiTheme="minorHAnsi" w:hAnsiTheme="minorHAnsi" w:cstheme="minorHAnsi"/>
                <w:color w:val="1F3863"/>
                <w:spacing w:val="-16"/>
              </w:rPr>
              <w:t xml:space="preserve"> </w:t>
            </w:r>
            <w:r w:rsidRPr="00981FE1">
              <w:rPr>
                <w:rFonts w:asciiTheme="minorHAnsi" w:hAnsiTheme="minorHAnsi" w:cstheme="minorHAnsi"/>
                <w:color w:val="1F3863"/>
              </w:rPr>
              <w:t>expected</w:t>
            </w:r>
          </w:p>
        </w:tc>
      </w:tr>
      <w:tr w:rsidR="00D70CD3" w:rsidRPr="00596AF5" w14:paraId="6BD14829" w14:textId="77777777" w:rsidTr="00D23CD2">
        <w:trPr>
          <w:trHeight w:val="837"/>
          <w:jc w:val="center"/>
        </w:trPr>
        <w:tc>
          <w:tcPr>
            <w:tcW w:w="3692" w:type="dxa"/>
            <w:tcBorders>
              <w:top w:val="single" w:sz="2" w:space="0" w:color="000000"/>
              <w:left w:val="single" w:sz="2" w:space="0" w:color="000000"/>
              <w:bottom w:val="single" w:sz="2" w:space="0" w:color="000000"/>
              <w:right w:val="single" w:sz="2" w:space="0" w:color="000000"/>
            </w:tcBorders>
          </w:tcPr>
          <w:p w14:paraId="54A5DBA9" w14:textId="77777777" w:rsidR="00D70CD3" w:rsidRPr="00981FE1" w:rsidRDefault="00D70CD3" w:rsidP="00062DAE">
            <w:pPr>
              <w:pStyle w:val="TableParagraph"/>
              <w:spacing w:line="278" w:lineRule="exact"/>
              <w:ind w:left="110"/>
              <w:rPr>
                <w:rFonts w:asciiTheme="minorHAnsi" w:hAnsiTheme="minorHAnsi" w:cstheme="minorHAnsi"/>
              </w:rPr>
            </w:pPr>
            <w:r w:rsidRPr="00981FE1">
              <w:rPr>
                <w:rFonts w:asciiTheme="minorHAnsi" w:hAnsiTheme="minorHAnsi" w:cstheme="minorHAnsi"/>
                <w:color w:val="1F3863"/>
              </w:rPr>
              <w:t>2 = Unsatisfactory (U)</w:t>
            </w:r>
          </w:p>
        </w:tc>
        <w:tc>
          <w:tcPr>
            <w:tcW w:w="5669" w:type="dxa"/>
            <w:tcBorders>
              <w:top w:val="single" w:sz="2" w:space="0" w:color="000000"/>
              <w:left w:val="single" w:sz="2" w:space="0" w:color="000000"/>
              <w:bottom w:val="single" w:sz="2" w:space="0" w:color="000000"/>
            </w:tcBorders>
          </w:tcPr>
          <w:p w14:paraId="79E8B291" w14:textId="77777777" w:rsidR="00D70CD3" w:rsidRPr="00981FE1" w:rsidRDefault="00D70CD3" w:rsidP="00062DAE">
            <w:pPr>
              <w:pStyle w:val="TableParagraph"/>
              <w:tabs>
                <w:tab w:val="left" w:pos="860"/>
                <w:tab w:val="left" w:pos="1534"/>
                <w:tab w:val="left" w:pos="2297"/>
                <w:tab w:val="left" w:pos="3832"/>
                <w:tab w:val="left" w:pos="4684"/>
                <w:tab w:val="left" w:pos="5099"/>
              </w:tabs>
              <w:spacing w:line="278" w:lineRule="exact"/>
              <w:ind w:left="110"/>
              <w:rPr>
                <w:rFonts w:asciiTheme="minorHAnsi" w:hAnsiTheme="minorHAnsi" w:cstheme="minorHAnsi"/>
              </w:rPr>
            </w:pPr>
            <w:r w:rsidRPr="00981FE1">
              <w:rPr>
                <w:rFonts w:asciiTheme="minorHAnsi" w:hAnsiTheme="minorHAnsi" w:cstheme="minorHAnsi"/>
                <w:color w:val="1F3863"/>
              </w:rPr>
              <w:t>There</w:t>
            </w:r>
            <w:r w:rsidRPr="00981FE1">
              <w:rPr>
                <w:rFonts w:asciiTheme="minorHAnsi" w:hAnsiTheme="minorHAnsi" w:cstheme="minorHAnsi"/>
                <w:color w:val="1F3863"/>
              </w:rPr>
              <w:tab/>
              <w:t>were</w:t>
            </w:r>
            <w:r w:rsidRPr="00981FE1">
              <w:rPr>
                <w:rFonts w:asciiTheme="minorHAnsi" w:hAnsiTheme="minorHAnsi" w:cstheme="minorHAnsi"/>
                <w:color w:val="1F3863"/>
              </w:rPr>
              <w:tab/>
              <w:t>major</w:t>
            </w:r>
            <w:r w:rsidRPr="00981FE1">
              <w:rPr>
                <w:rFonts w:asciiTheme="minorHAnsi" w:hAnsiTheme="minorHAnsi" w:cstheme="minorHAnsi"/>
                <w:color w:val="1F3863"/>
              </w:rPr>
              <w:tab/>
              <w:t>shortcomings;</w:t>
            </w:r>
            <w:r w:rsidRPr="00981FE1">
              <w:rPr>
                <w:rFonts w:asciiTheme="minorHAnsi" w:hAnsiTheme="minorHAnsi" w:cstheme="minorHAnsi"/>
                <w:color w:val="1F3863"/>
              </w:rPr>
              <w:tab/>
              <w:t>quality</w:t>
            </w:r>
            <w:r w:rsidRPr="00981FE1">
              <w:rPr>
                <w:rFonts w:asciiTheme="minorHAnsi" w:hAnsiTheme="minorHAnsi" w:cstheme="minorHAnsi"/>
                <w:color w:val="1F3863"/>
              </w:rPr>
              <w:tab/>
              <w:t>of</w:t>
            </w:r>
            <w:r w:rsidRPr="00981FE1">
              <w:rPr>
                <w:rFonts w:asciiTheme="minorHAnsi" w:hAnsiTheme="minorHAnsi" w:cstheme="minorHAnsi"/>
                <w:color w:val="1F3863"/>
              </w:rPr>
              <w:tab/>
              <w:t>M&amp;E</w:t>
            </w:r>
          </w:p>
          <w:p w14:paraId="6F174C26" w14:textId="77777777" w:rsidR="00D70CD3" w:rsidRPr="00981FE1" w:rsidRDefault="00D70CD3" w:rsidP="00062DAE">
            <w:pPr>
              <w:pStyle w:val="TableParagraph"/>
              <w:tabs>
                <w:tab w:val="left" w:pos="2492"/>
                <w:tab w:val="left" w:pos="3058"/>
                <w:tab w:val="left" w:pos="4423"/>
                <w:tab w:val="left" w:pos="5148"/>
              </w:tabs>
              <w:spacing w:before="5" w:line="278" w:lineRule="exact"/>
              <w:ind w:left="110" w:right="96"/>
              <w:rPr>
                <w:rFonts w:asciiTheme="minorHAnsi" w:hAnsiTheme="minorHAnsi" w:cstheme="minorHAnsi"/>
              </w:rPr>
            </w:pPr>
            <w:r w:rsidRPr="00981FE1">
              <w:rPr>
                <w:rFonts w:asciiTheme="minorHAnsi" w:hAnsiTheme="minorHAnsi" w:cstheme="minorHAnsi"/>
                <w:color w:val="1F3863"/>
              </w:rPr>
              <w:t>design/implementation</w:t>
            </w:r>
            <w:r w:rsidRPr="00981FE1">
              <w:rPr>
                <w:rFonts w:asciiTheme="minorHAnsi" w:hAnsiTheme="minorHAnsi" w:cstheme="minorHAnsi"/>
                <w:color w:val="1F3863"/>
              </w:rPr>
              <w:tab/>
              <w:t>was</w:t>
            </w:r>
            <w:r w:rsidRPr="00981FE1">
              <w:rPr>
                <w:rFonts w:asciiTheme="minorHAnsi" w:hAnsiTheme="minorHAnsi" w:cstheme="minorHAnsi"/>
                <w:color w:val="1F3863"/>
              </w:rPr>
              <w:tab/>
              <w:t>substantially</w:t>
            </w:r>
            <w:r w:rsidRPr="00981FE1">
              <w:rPr>
                <w:rFonts w:asciiTheme="minorHAnsi" w:hAnsiTheme="minorHAnsi" w:cstheme="minorHAnsi"/>
                <w:color w:val="1F3863"/>
              </w:rPr>
              <w:tab/>
              <w:t>lower</w:t>
            </w:r>
            <w:r w:rsidRPr="00981FE1">
              <w:rPr>
                <w:rFonts w:asciiTheme="minorHAnsi" w:hAnsiTheme="minorHAnsi" w:cstheme="minorHAnsi"/>
                <w:color w:val="1F3863"/>
              </w:rPr>
              <w:tab/>
            </w:r>
            <w:r w:rsidRPr="00981FE1">
              <w:rPr>
                <w:rFonts w:asciiTheme="minorHAnsi" w:hAnsiTheme="minorHAnsi" w:cstheme="minorHAnsi"/>
                <w:color w:val="1F3863"/>
                <w:spacing w:val="-6"/>
              </w:rPr>
              <w:t xml:space="preserve">than </w:t>
            </w:r>
            <w:r w:rsidRPr="00981FE1">
              <w:rPr>
                <w:rFonts w:asciiTheme="minorHAnsi" w:hAnsiTheme="minorHAnsi" w:cstheme="minorHAnsi"/>
                <w:color w:val="1F3863"/>
              </w:rPr>
              <w:t>expected</w:t>
            </w:r>
          </w:p>
        </w:tc>
      </w:tr>
      <w:tr w:rsidR="00D70CD3" w:rsidRPr="00596AF5" w14:paraId="46E42B96" w14:textId="77777777" w:rsidTr="00D23CD2">
        <w:trPr>
          <w:trHeight w:val="557"/>
          <w:jc w:val="center"/>
        </w:trPr>
        <w:tc>
          <w:tcPr>
            <w:tcW w:w="3692" w:type="dxa"/>
            <w:tcBorders>
              <w:top w:val="single" w:sz="2" w:space="0" w:color="000000"/>
              <w:left w:val="single" w:sz="2" w:space="0" w:color="000000"/>
              <w:bottom w:val="single" w:sz="2" w:space="0" w:color="000000"/>
              <w:right w:val="single" w:sz="2" w:space="0" w:color="000000"/>
            </w:tcBorders>
          </w:tcPr>
          <w:p w14:paraId="56CA3E8F" w14:textId="77777777" w:rsidR="00D70CD3" w:rsidRPr="00981FE1" w:rsidRDefault="00D70CD3" w:rsidP="00062DAE">
            <w:pPr>
              <w:pStyle w:val="TableParagraph"/>
              <w:spacing w:line="279" w:lineRule="exact"/>
              <w:ind w:left="110"/>
              <w:rPr>
                <w:rFonts w:asciiTheme="minorHAnsi" w:hAnsiTheme="minorHAnsi" w:cstheme="minorHAnsi"/>
              </w:rPr>
            </w:pPr>
            <w:r w:rsidRPr="00981FE1">
              <w:rPr>
                <w:rFonts w:asciiTheme="minorHAnsi" w:hAnsiTheme="minorHAnsi" w:cstheme="minorHAnsi"/>
                <w:color w:val="1F3863"/>
              </w:rPr>
              <w:t>1 = Highly Unsatisfactory (HU)</w:t>
            </w:r>
          </w:p>
        </w:tc>
        <w:tc>
          <w:tcPr>
            <w:tcW w:w="5669" w:type="dxa"/>
            <w:tcBorders>
              <w:top w:val="single" w:sz="2" w:space="0" w:color="000000"/>
              <w:left w:val="single" w:sz="2" w:space="0" w:color="000000"/>
              <w:bottom w:val="single" w:sz="2" w:space="0" w:color="000000"/>
            </w:tcBorders>
          </w:tcPr>
          <w:p w14:paraId="27CEE2EB" w14:textId="77777777" w:rsidR="00D70CD3" w:rsidRPr="00981FE1" w:rsidRDefault="00D70CD3" w:rsidP="00062DAE">
            <w:pPr>
              <w:pStyle w:val="TableParagraph"/>
              <w:tabs>
                <w:tab w:val="left" w:pos="1033"/>
                <w:tab w:val="left" w:pos="1880"/>
                <w:tab w:val="left" w:pos="2868"/>
                <w:tab w:val="left" w:pos="4528"/>
                <w:tab w:val="left" w:pos="5097"/>
              </w:tabs>
              <w:spacing w:before="3" w:line="278" w:lineRule="exact"/>
              <w:ind w:left="110" w:right="97"/>
              <w:rPr>
                <w:rFonts w:asciiTheme="minorHAnsi" w:hAnsiTheme="minorHAnsi" w:cstheme="minorHAnsi"/>
              </w:rPr>
            </w:pPr>
            <w:r w:rsidRPr="00981FE1">
              <w:rPr>
                <w:rFonts w:asciiTheme="minorHAnsi" w:hAnsiTheme="minorHAnsi" w:cstheme="minorHAnsi"/>
                <w:color w:val="1F3863"/>
              </w:rPr>
              <w:t>There</w:t>
            </w:r>
            <w:r w:rsidRPr="00981FE1">
              <w:rPr>
                <w:rFonts w:asciiTheme="minorHAnsi" w:hAnsiTheme="minorHAnsi" w:cstheme="minorHAnsi"/>
                <w:color w:val="1F3863"/>
              </w:rPr>
              <w:tab/>
              <w:t>were</w:t>
            </w:r>
            <w:r w:rsidRPr="00981FE1">
              <w:rPr>
                <w:rFonts w:asciiTheme="minorHAnsi" w:hAnsiTheme="minorHAnsi" w:cstheme="minorHAnsi"/>
                <w:color w:val="1F3863"/>
              </w:rPr>
              <w:tab/>
              <w:t>severe</w:t>
            </w:r>
            <w:r w:rsidRPr="00981FE1">
              <w:rPr>
                <w:rFonts w:asciiTheme="minorHAnsi" w:hAnsiTheme="minorHAnsi" w:cstheme="minorHAnsi"/>
                <w:color w:val="1F3863"/>
              </w:rPr>
              <w:tab/>
              <w:t>shortcomings</w:t>
            </w:r>
            <w:r w:rsidRPr="00981FE1">
              <w:rPr>
                <w:rFonts w:asciiTheme="minorHAnsi" w:hAnsiTheme="minorHAnsi" w:cstheme="minorHAnsi"/>
                <w:color w:val="1F3863"/>
              </w:rPr>
              <w:tab/>
              <w:t>in</w:t>
            </w:r>
            <w:r w:rsidRPr="00981FE1">
              <w:rPr>
                <w:rFonts w:asciiTheme="minorHAnsi" w:hAnsiTheme="minorHAnsi" w:cstheme="minorHAnsi"/>
                <w:color w:val="1F3863"/>
              </w:rPr>
              <w:tab/>
            </w:r>
            <w:r w:rsidRPr="00981FE1">
              <w:rPr>
                <w:rFonts w:asciiTheme="minorHAnsi" w:hAnsiTheme="minorHAnsi" w:cstheme="minorHAnsi"/>
                <w:color w:val="1F3863"/>
                <w:spacing w:val="-7"/>
              </w:rPr>
              <w:t xml:space="preserve">M&amp;E </w:t>
            </w:r>
            <w:r w:rsidRPr="00981FE1">
              <w:rPr>
                <w:rFonts w:asciiTheme="minorHAnsi" w:hAnsiTheme="minorHAnsi" w:cstheme="minorHAnsi"/>
                <w:color w:val="1F3863"/>
              </w:rPr>
              <w:t>design/implementation</w:t>
            </w:r>
          </w:p>
        </w:tc>
      </w:tr>
      <w:tr w:rsidR="00D70CD3" w:rsidRPr="00596AF5" w14:paraId="00E284A2" w14:textId="77777777" w:rsidTr="00D23CD2">
        <w:trPr>
          <w:trHeight w:val="556"/>
          <w:jc w:val="center"/>
        </w:trPr>
        <w:tc>
          <w:tcPr>
            <w:tcW w:w="3692" w:type="dxa"/>
            <w:tcBorders>
              <w:top w:val="single" w:sz="2" w:space="0" w:color="000000"/>
              <w:left w:val="single" w:sz="2" w:space="0" w:color="000000"/>
              <w:bottom w:val="single" w:sz="2" w:space="0" w:color="000000"/>
              <w:right w:val="single" w:sz="2" w:space="0" w:color="000000"/>
            </w:tcBorders>
          </w:tcPr>
          <w:p w14:paraId="3A68E7A5" w14:textId="77777777" w:rsidR="00D70CD3" w:rsidRPr="00981FE1" w:rsidRDefault="00D70CD3" w:rsidP="00062DAE">
            <w:pPr>
              <w:pStyle w:val="TableParagraph"/>
              <w:spacing w:line="276" w:lineRule="exact"/>
              <w:ind w:left="110"/>
              <w:rPr>
                <w:rFonts w:asciiTheme="minorHAnsi" w:hAnsiTheme="minorHAnsi" w:cstheme="minorHAnsi"/>
              </w:rPr>
            </w:pPr>
            <w:r w:rsidRPr="00981FE1">
              <w:rPr>
                <w:rFonts w:asciiTheme="minorHAnsi" w:hAnsiTheme="minorHAnsi" w:cstheme="minorHAnsi"/>
                <w:color w:val="1F3863"/>
              </w:rPr>
              <w:t>Unable to Assess (UA)</w:t>
            </w:r>
          </w:p>
        </w:tc>
        <w:tc>
          <w:tcPr>
            <w:tcW w:w="5669" w:type="dxa"/>
            <w:tcBorders>
              <w:top w:val="single" w:sz="2" w:space="0" w:color="000000"/>
              <w:left w:val="single" w:sz="2" w:space="0" w:color="000000"/>
              <w:bottom w:val="single" w:sz="2" w:space="0" w:color="000000"/>
            </w:tcBorders>
          </w:tcPr>
          <w:p w14:paraId="658B69B9" w14:textId="77777777" w:rsidR="00D70CD3" w:rsidRPr="00981FE1" w:rsidRDefault="00D70CD3" w:rsidP="00062DAE">
            <w:pPr>
              <w:pStyle w:val="TableParagraph"/>
              <w:spacing w:line="276" w:lineRule="exact"/>
              <w:ind w:left="110"/>
              <w:rPr>
                <w:rFonts w:asciiTheme="minorHAnsi" w:hAnsiTheme="minorHAnsi" w:cstheme="minorHAnsi"/>
              </w:rPr>
            </w:pPr>
            <w:r w:rsidRPr="00981FE1">
              <w:rPr>
                <w:rFonts w:asciiTheme="minorHAnsi" w:hAnsiTheme="minorHAnsi" w:cstheme="minorHAnsi"/>
                <w:color w:val="1F3863"/>
              </w:rPr>
              <w:t>The available information does not allow an assessment of</w:t>
            </w:r>
          </w:p>
          <w:p w14:paraId="3063D4AC" w14:textId="77777777" w:rsidR="00D70CD3" w:rsidRPr="00981FE1" w:rsidRDefault="00D70CD3" w:rsidP="00062DAE">
            <w:pPr>
              <w:pStyle w:val="TableParagraph"/>
              <w:spacing w:before="1" w:line="259" w:lineRule="exact"/>
              <w:ind w:left="110"/>
              <w:rPr>
                <w:rFonts w:asciiTheme="minorHAnsi" w:hAnsiTheme="minorHAnsi" w:cstheme="minorHAnsi"/>
              </w:rPr>
            </w:pPr>
            <w:r w:rsidRPr="00981FE1">
              <w:rPr>
                <w:rFonts w:asciiTheme="minorHAnsi" w:hAnsiTheme="minorHAnsi" w:cstheme="minorHAnsi"/>
                <w:color w:val="1F3863"/>
              </w:rPr>
              <w:t>the quality of M&amp;E design/implementation.</w:t>
            </w:r>
          </w:p>
        </w:tc>
      </w:tr>
    </w:tbl>
    <w:p w14:paraId="0D06EC88" w14:textId="77777777" w:rsidR="00D70CD3" w:rsidRDefault="00D70CD3" w:rsidP="00E136A1"/>
    <w:p w14:paraId="5DACE14A" w14:textId="77777777" w:rsidR="00D70CD3" w:rsidRPr="00E136A1" w:rsidRDefault="00D70CD3" w:rsidP="00E136A1">
      <w:pPr>
        <w:rPr>
          <w:b/>
          <w:bCs/>
        </w:rPr>
      </w:pPr>
      <w:r w:rsidRPr="00E136A1">
        <w:rPr>
          <w:b/>
          <w:bCs/>
        </w:rPr>
        <w:t>Implementation/Oversight and Execution Ratings Scale</w:t>
      </w:r>
    </w:p>
    <w:tbl>
      <w:tblPr>
        <w:tblStyle w:val="TableNormal2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2"/>
        <w:gridCol w:w="5489"/>
      </w:tblGrid>
      <w:tr w:rsidR="00D70CD3" w:rsidRPr="00596AF5" w14:paraId="61866A92" w14:textId="77777777" w:rsidTr="00A9753E">
        <w:trPr>
          <w:trHeight w:val="280"/>
          <w:jc w:val="center"/>
        </w:trPr>
        <w:tc>
          <w:tcPr>
            <w:tcW w:w="3872" w:type="dxa"/>
            <w:tcBorders>
              <w:bottom w:val="single" w:sz="2" w:space="0" w:color="000000"/>
              <w:right w:val="nil"/>
            </w:tcBorders>
            <w:shd w:val="clear" w:color="auto" w:fill="1F3863"/>
          </w:tcPr>
          <w:p w14:paraId="4C4BCEF4" w14:textId="77777777" w:rsidR="00D70CD3" w:rsidRPr="00981FE1" w:rsidRDefault="00D70CD3" w:rsidP="00A9753E">
            <w:pPr>
              <w:pStyle w:val="TableParagraph"/>
              <w:spacing w:before="1" w:line="259" w:lineRule="exact"/>
              <w:ind w:left="1615" w:right="1615"/>
              <w:rPr>
                <w:rFonts w:asciiTheme="minorHAnsi" w:hAnsiTheme="minorHAnsi" w:cstheme="minorHAnsi"/>
                <w:sz w:val="21"/>
              </w:rPr>
            </w:pPr>
            <w:r w:rsidRPr="00981FE1">
              <w:rPr>
                <w:rFonts w:asciiTheme="minorHAnsi" w:hAnsiTheme="minorHAnsi" w:cstheme="minorHAnsi"/>
                <w:color w:val="FFFFFF"/>
                <w:sz w:val="21"/>
              </w:rPr>
              <w:t>Rating</w:t>
            </w:r>
          </w:p>
        </w:tc>
        <w:tc>
          <w:tcPr>
            <w:tcW w:w="5489" w:type="dxa"/>
            <w:tcBorders>
              <w:left w:val="nil"/>
              <w:bottom w:val="single" w:sz="2" w:space="0" w:color="000000"/>
            </w:tcBorders>
            <w:shd w:val="clear" w:color="auto" w:fill="1F3863"/>
          </w:tcPr>
          <w:p w14:paraId="134F3A90" w14:textId="77777777" w:rsidR="00D70CD3" w:rsidRPr="00981FE1" w:rsidRDefault="00D70CD3" w:rsidP="00062DAE">
            <w:pPr>
              <w:pStyle w:val="TableParagraph"/>
              <w:spacing w:before="1" w:line="259" w:lineRule="exact"/>
              <w:ind w:left="2200" w:right="2189"/>
              <w:jc w:val="center"/>
              <w:rPr>
                <w:rFonts w:asciiTheme="minorHAnsi" w:hAnsiTheme="minorHAnsi" w:cstheme="minorHAnsi"/>
                <w:sz w:val="21"/>
              </w:rPr>
            </w:pPr>
            <w:r w:rsidRPr="00981FE1">
              <w:rPr>
                <w:rFonts w:asciiTheme="minorHAnsi" w:hAnsiTheme="minorHAnsi" w:cstheme="minorHAnsi"/>
                <w:color w:val="FFFFFF"/>
                <w:sz w:val="21"/>
              </w:rPr>
              <w:t>Description</w:t>
            </w:r>
          </w:p>
        </w:tc>
      </w:tr>
      <w:tr w:rsidR="00D70CD3" w:rsidRPr="00596AF5" w14:paraId="1036FA0B" w14:textId="77777777" w:rsidTr="00A9753E">
        <w:trPr>
          <w:trHeight w:val="559"/>
          <w:jc w:val="center"/>
        </w:trPr>
        <w:tc>
          <w:tcPr>
            <w:tcW w:w="3872" w:type="dxa"/>
            <w:tcBorders>
              <w:top w:val="single" w:sz="2" w:space="0" w:color="000000"/>
              <w:left w:val="single" w:sz="2" w:space="0" w:color="000000"/>
              <w:bottom w:val="single" w:sz="2" w:space="0" w:color="000000"/>
              <w:right w:val="single" w:sz="2" w:space="0" w:color="000000"/>
            </w:tcBorders>
          </w:tcPr>
          <w:p w14:paraId="7CB34F15" w14:textId="77777777" w:rsidR="00D70CD3" w:rsidRPr="00981FE1" w:rsidRDefault="00D70CD3" w:rsidP="00062DAE">
            <w:pPr>
              <w:pStyle w:val="TableParagraph"/>
              <w:spacing w:line="279" w:lineRule="exact"/>
              <w:ind w:left="110"/>
              <w:rPr>
                <w:rFonts w:asciiTheme="minorHAnsi" w:hAnsiTheme="minorHAnsi" w:cstheme="minorHAnsi"/>
                <w:sz w:val="21"/>
              </w:rPr>
            </w:pPr>
            <w:r w:rsidRPr="00981FE1">
              <w:rPr>
                <w:rFonts w:asciiTheme="minorHAnsi" w:hAnsiTheme="minorHAnsi" w:cstheme="minorHAnsi"/>
                <w:color w:val="1F3863"/>
                <w:sz w:val="21"/>
              </w:rPr>
              <w:t>6 = Highly Satisfactory (HS)</w:t>
            </w:r>
          </w:p>
        </w:tc>
        <w:tc>
          <w:tcPr>
            <w:tcW w:w="5489" w:type="dxa"/>
            <w:tcBorders>
              <w:top w:val="single" w:sz="2" w:space="0" w:color="000000"/>
              <w:left w:val="single" w:sz="2" w:space="0" w:color="000000"/>
              <w:bottom w:val="single" w:sz="2" w:space="0" w:color="000000"/>
            </w:tcBorders>
          </w:tcPr>
          <w:p w14:paraId="05EDD5FD" w14:textId="77777777" w:rsidR="00D70CD3" w:rsidRPr="00981FE1" w:rsidRDefault="00D70CD3" w:rsidP="00062DAE">
            <w:pPr>
              <w:pStyle w:val="TableParagraph"/>
              <w:tabs>
                <w:tab w:val="left" w:pos="1021"/>
                <w:tab w:val="left" w:pos="1856"/>
                <w:tab w:val="left" w:pos="2487"/>
                <w:tab w:val="left" w:pos="4181"/>
                <w:tab w:val="left" w:pos="5193"/>
              </w:tabs>
              <w:spacing w:before="3" w:line="278" w:lineRule="exact"/>
              <w:ind w:left="110" w:right="96"/>
              <w:rPr>
                <w:rFonts w:asciiTheme="minorHAnsi" w:hAnsiTheme="minorHAnsi" w:cstheme="minorHAnsi"/>
                <w:sz w:val="21"/>
              </w:rPr>
            </w:pPr>
            <w:r w:rsidRPr="00981FE1">
              <w:rPr>
                <w:rFonts w:asciiTheme="minorHAnsi" w:hAnsiTheme="minorHAnsi" w:cstheme="minorHAnsi"/>
                <w:color w:val="1F3863"/>
                <w:sz w:val="21"/>
              </w:rPr>
              <w:t>There</w:t>
            </w:r>
            <w:r w:rsidRPr="00981FE1">
              <w:rPr>
                <w:rFonts w:asciiTheme="minorHAnsi" w:hAnsiTheme="minorHAnsi" w:cstheme="minorHAnsi"/>
                <w:color w:val="1F3863"/>
                <w:sz w:val="21"/>
              </w:rPr>
              <w:tab/>
              <w:t>were</w:t>
            </w:r>
            <w:r w:rsidRPr="00981FE1">
              <w:rPr>
                <w:rFonts w:asciiTheme="minorHAnsi" w:hAnsiTheme="minorHAnsi" w:cstheme="minorHAnsi"/>
                <w:color w:val="1F3863"/>
                <w:sz w:val="21"/>
              </w:rPr>
              <w:tab/>
              <w:t>no</w:t>
            </w:r>
            <w:r w:rsidRPr="00981FE1">
              <w:rPr>
                <w:rFonts w:asciiTheme="minorHAnsi" w:hAnsiTheme="minorHAnsi" w:cstheme="minorHAnsi"/>
                <w:color w:val="1F3863"/>
                <w:sz w:val="21"/>
              </w:rPr>
              <w:tab/>
              <w:t>shortcomings;</w:t>
            </w:r>
            <w:r w:rsidRPr="00981FE1">
              <w:rPr>
                <w:rFonts w:asciiTheme="minorHAnsi" w:hAnsiTheme="minorHAnsi" w:cstheme="minorHAnsi"/>
                <w:color w:val="1F3863"/>
                <w:sz w:val="21"/>
              </w:rPr>
              <w:tab/>
              <w:t>quality</w:t>
            </w:r>
            <w:r w:rsidRPr="00981FE1">
              <w:rPr>
                <w:rFonts w:asciiTheme="minorHAnsi" w:hAnsiTheme="minorHAnsi" w:cstheme="minorHAnsi"/>
                <w:color w:val="1F3863"/>
                <w:sz w:val="21"/>
              </w:rPr>
              <w:tab/>
            </w:r>
            <w:r w:rsidRPr="00981FE1">
              <w:rPr>
                <w:rFonts w:asciiTheme="minorHAnsi" w:hAnsiTheme="minorHAnsi" w:cstheme="minorHAnsi"/>
                <w:color w:val="1F3863"/>
                <w:spacing w:val="-9"/>
                <w:sz w:val="21"/>
              </w:rPr>
              <w:t xml:space="preserve">of </w:t>
            </w:r>
            <w:r w:rsidRPr="00981FE1">
              <w:rPr>
                <w:rFonts w:asciiTheme="minorHAnsi" w:hAnsiTheme="minorHAnsi" w:cstheme="minorHAnsi"/>
                <w:color w:val="1F3863"/>
                <w:sz w:val="21"/>
              </w:rPr>
              <w:t>implementation/execution exceeded</w:t>
            </w:r>
            <w:r w:rsidRPr="00981FE1">
              <w:rPr>
                <w:rFonts w:asciiTheme="minorHAnsi" w:hAnsiTheme="minorHAnsi" w:cstheme="minorHAnsi"/>
                <w:color w:val="1F3863"/>
                <w:spacing w:val="-5"/>
                <w:sz w:val="21"/>
              </w:rPr>
              <w:t xml:space="preserve"> </w:t>
            </w:r>
            <w:r w:rsidRPr="00981FE1">
              <w:rPr>
                <w:rFonts w:asciiTheme="minorHAnsi" w:hAnsiTheme="minorHAnsi" w:cstheme="minorHAnsi"/>
                <w:color w:val="1F3863"/>
                <w:sz w:val="21"/>
              </w:rPr>
              <w:t>expectations</w:t>
            </w:r>
          </w:p>
        </w:tc>
      </w:tr>
      <w:tr w:rsidR="00D70CD3" w:rsidRPr="00596AF5" w14:paraId="2E4C5FC6" w14:textId="77777777" w:rsidTr="00A9753E">
        <w:trPr>
          <w:trHeight w:val="559"/>
          <w:jc w:val="center"/>
        </w:trPr>
        <w:tc>
          <w:tcPr>
            <w:tcW w:w="3872" w:type="dxa"/>
            <w:tcBorders>
              <w:top w:val="single" w:sz="2" w:space="0" w:color="000000"/>
              <w:left w:val="single" w:sz="2" w:space="0" w:color="000000"/>
              <w:bottom w:val="single" w:sz="2" w:space="0" w:color="000000"/>
              <w:right w:val="single" w:sz="2" w:space="0" w:color="000000"/>
            </w:tcBorders>
          </w:tcPr>
          <w:p w14:paraId="28233524"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5 = Satisfactory (S)</w:t>
            </w:r>
          </w:p>
        </w:tc>
        <w:tc>
          <w:tcPr>
            <w:tcW w:w="5489" w:type="dxa"/>
            <w:tcBorders>
              <w:top w:val="single" w:sz="2" w:space="0" w:color="000000"/>
              <w:left w:val="single" w:sz="2" w:space="0" w:color="000000"/>
              <w:bottom w:val="single" w:sz="2" w:space="0" w:color="000000"/>
            </w:tcBorders>
          </w:tcPr>
          <w:p w14:paraId="69BA61F2" w14:textId="77777777" w:rsidR="00D70CD3" w:rsidRPr="00981FE1" w:rsidRDefault="00D70CD3" w:rsidP="00062DAE">
            <w:pPr>
              <w:pStyle w:val="TableParagraph"/>
              <w:spacing w:before="3" w:line="278" w:lineRule="exact"/>
              <w:ind w:left="110" w:right="95"/>
              <w:rPr>
                <w:rFonts w:asciiTheme="minorHAnsi" w:hAnsiTheme="minorHAnsi" w:cstheme="minorHAnsi"/>
                <w:sz w:val="21"/>
              </w:rPr>
            </w:pPr>
            <w:r w:rsidRPr="00981FE1">
              <w:rPr>
                <w:rFonts w:asciiTheme="minorHAnsi" w:hAnsiTheme="minorHAnsi" w:cstheme="minorHAnsi"/>
                <w:color w:val="1F3863"/>
                <w:sz w:val="21"/>
              </w:rPr>
              <w:t>There were no or minor shortcomings; quality of implementation/execution met expectations.</w:t>
            </w:r>
          </w:p>
        </w:tc>
      </w:tr>
      <w:tr w:rsidR="00D70CD3" w:rsidRPr="00596AF5" w14:paraId="1A9DC6F5" w14:textId="77777777" w:rsidTr="00A9753E">
        <w:trPr>
          <w:trHeight w:val="556"/>
          <w:jc w:val="center"/>
        </w:trPr>
        <w:tc>
          <w:tcPr>
            <w:tcW w:w="3872" w:type="dxa"/>
            <w:tcBorders>
              <w:top w:val="single" w:sz="2" w:space="0" w:color="000000"/>
              <w:left w:val="single" w:sz="2" w:space="0" w:color="000000"/>
              <w:bottom w:val="single" w:sz="2" w:space="0" w:color="000000"/>
              <w:right w:val="single" w:sz="2" w:space="0" w:color="000000"/>
            </w:tcBorders>
          </w:tcPr>
          <w:p w14:paraId="4303071F"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4 = Moderately Satisfactory (MS)</w:t>
            </w:r>
          </w:p>
        </w:tc>
        <w:tc>
          <w:tcPr>
            <w:tcW w:w="5489" w:type="dxa"/>
            <w:tcBorders>
              <w:top w:val="single" w:sz="2" w:space="0" w:color="000000"/>
              <w:left w:val="single" w:sz="2" w:space="0" w:color="000000"/>
              <w:bottom w:val="single" w:sz="2" w:space="0" w:color="000000"/>
            </w:tcBorders>
          </w:tcPr>
          <w:p w14:paraId="66350215" w14:textId="77777777" w:rsidR="00D70CD3" w:rsidRPr="00981FE1" w:rsidRDefault="00D70CD3" w:rsidP="00062DAE">
            <w:pPr>
              <w:pStyle w:val="TableParagraph"/>
              <w:tabs>
                <w:tab w:val="left" w:pos="969"/>
                <w:tab w:val="left" w:pos="1753"/>
                <w:tab w:val="left" w:pos="2590"/>
                <w:tab w:val="left" w:pos="4231"/>
                <w:tab w:val="left" w:pos="5193"/>
              </w:tabs>
              <w:spacing w:before="3" w:line="278" w:lineRule="exact"/>
              <w:ind w:left="110" w:right="92"/>
              <w:rPr>
                <w:rFonts w:asciiTheme="minorHAnsi" w:hAnsiTheme="minorHAnsi" w:cstheme="minorHAnsi"/>
                <w:sz w:val="21"/>
              </w:rPr>
            </w:pPr>
            <w:r w:rsidRPr="00981FE1">
              <w:rPr>
                <w:rFonts w:asciiTheme="minorHAnsi" w:hAnsiTheme="minorHAnsi" w:cstheme="minorHAnsi"/>
                <w:color w:val="1F3863"/>
                <w:sz w:val="21"/>
              </w:rPr>
              <w:t>There</w:t>
            </w:r>
            <w:r w:rsidRPr="00981FE1">
              <w:rPr>
                <w:rFonts w:asciiTheme="minorHAnsi" w:hAnsiTheme="minorHAnsi" w:cstheme="minorHAnsi"/>
                <w:color w:val="1F3863"/>
                <w:sz w:val="21"/>
              </w:rPr>
              <w:tab/>
              <w:t>were</w:t>
            </w:r>
            <w:r w:rsidRPr="00981FE1">
              <w:rPr>
                <w:rFonts w:asciiTheme="minorHAnsi" w:hAnsiTheme="minorHAnsi" w:cstheme="minorHAnsi"/>
                <w:color w:val="1F3863"/>
                <w:sz w:val="21"/>
              </w:rPr>
              <w:tab/>
              <w:t>some</w:t>
            </w:r>
            <w:r w:rsidRPr="00981FE1">
              <w:rPr>
                <w:rFonts w:asciiTheme="minorHAnsi" w:hAnsiTheme="minorHAnsi" w:cstheme="minorHAnsi"/>
                <w:color w:val="1F3863"/>
                <w:sz w:val="21"/>
              </w:rPr>
              <w:tab/>
              <w:t>shortcomings;</w:t>
            </w:r>
            <w:r w:rsidRPr="00981FE1">
              <w:rPr>
                <w:rFonts w:asciiTheme="minorHAnsi" w:hAnsiTheme="minorHAnsi" w:cstheme="minorHAnsi"/>
                <w:color w:val="1F3863"/>
                <w:sz w:val="21"/>
              </w:rPr>
              <w:tab/>
              <w:t>quality</w:t>
            </w:r>
            <w:r w:rsidRPr="00981FE1">
              <w:rPr>
                <w:rFonts w:asciiTheme="minorHAnsi" w:hAnsiTheme="minorHAnsi" w:cstheme="minorHAnsi"/>
                <w:color w:val="1F3863"/>
                <w:sz w:val="21"/>
              </w:rPr>
              <w:tab/>
            </w:r>
            <w:r w:rsidRPr="00981FE1">
              <w:rPr>
                <w:rFonts w:asciiTheme="minorHAnsi" w:hAnsiTheme="minorHAnsi" w:cstheme="minorHAnsi"/>
                <w:color w:val="1F3863"/>
                <w:spacing w:val="-7"/>
                <w:sz w:val="21"/>
              </w:rPr>
              <w:t xml:space="preserve">of </w:t>
            </w:r>
            <w:r w:rsidRPr="00981FE1">
              <w:rPr>
                <w:rFonts w:asciiTheme="minorHAnsi" w:hAnsiTheme="minorHAnsi" w:cstheme="minorHAnsi"/>
                <w:color w:val="1F3863"/>
                <w:sz w:val="21"/>
              </w:rPr>
              <w:t>implementation/execution</w:t>
            </w:r>
            <w:r w:rsidRPr="00981FE1">
              <w:rPr>
                <w:rFonts w:asciiTheme="minorHAnsi" w:hAnsiTheme="minorHAnsi" w:cstheme="minorHAnsi"/>
                <w:color w:val="1F3863"/>
                <w:spacing w:val="-16"/>
                <w:sz w:val="21"/>
              </w:rPr>
              <w:t xml:space="preserve"> </w:t>
            </w:r>
            <w:r w:rsidRPr="00981FE1">
              <w:rPr>
                <w:rFonts w:asciiTheme="minorHAnsi" w:hAnsiTheme="minorHAnsi" w:cstheme="minorHAnsi"/>
                <w:color w:val="1F3863"/>
                <w:sz w:val="21"/>
              </w:rPr>
              <w:t>more</w:t>
            </w:r>
            <w:r w:rsidRPr="00981FE1">
              <w:rPr>
                <w:rFonts w:asciiTheme="minorHAnsi" w:hAnsiTheme="minorHAnsi" w:cstheme="minorHAnsi"/>
                <w:color w:val="1F3863"/>
                <w:spacing w:val="-14"/>
                <w:sz w:val="21"/>
              </w:rPr>
              <w:t xml:space="preserve"> </w:t>
            </w:r>
            <w:r w:rsidRPr="00981FE1">
              <w:rPr>
                <w:rFonts w:asciiTheme="minorHAnsi" w:hAnsiTheme="minorHAnsi" w:cstheme="minorHAnsi"/>
                <w:color w:val="1F3863"/>
                <w:sz w:val="21"/>
              </w:rPr>
              <w:t>or</w:t>
            </w:r>
            <w:r w:rsidRPr="00981FE1">
              <w:rPr>
                <w:rFonts w:asciiTheme="minorHAnsi" w:hAnsiTheme="minorHAnsi" w:cstheme="minorHAnsi"/>
                <w:color w:val="1F3863"/>
                <w:spacing w:val="-15"/>
                <w:sz w:val="21"/>
              </w:rPr>
              <w:t xml:space="preserve"> </w:t>
            </w:r>
            <w:r w:rsidRPr="00981FE1">
              <w:rPr>
                <w:rFonts w:asciiTheme="minorHAnsi" w:hAnsiTheme="minorHAnsi" w:cstheme="minorHAnsi"/>
                <w:color w:val="1F3863"/>
                <w:sz w:val="21"/>
              </w:rPr>
              <w:t>less</w:t>
            </w:r>
            <w:r w:rsidRPr="00981FE1">
              <w:rPr>
                <w:rFonts w:asciiTheme="minorHAnsi" w:hAnsiTheme="minorHAnsi" w:cstheme="minorHAnsi"/>
                <w:color w:val="1F3863"/>
                <w:spacing w:val="-15"/>
                <w:sz w:val="21"/>
              </w:rPr>
              <w:t xml:space="preserve"> </w:t>
            </w:r>
            <w:r w:rsidRPr="00981FE1">
              <w:rPr>
                <w:rFonts w:asciiTheme="minorHAnsi" w:hAnsiTheme="minorHAnsi" w:cstheme="minorHAnsi"/>
                <w:color w:val="1F3863"/>
                <w:sz w:val="21"/>
              </w:rPr>
              <w:t>met</w:t>
            </w:r>
            <w:r w:rsidRPr="00981FE1">
              <w:rPr>
                <w:rFonts w:asciiTheme="minorHAnsi" w:hAnsiTheme="minorHAnsi" w:cstheme="minorHAnsi"/>
                <w:color w:val="1F3863"/>
                <w:spacing w:val="-11"/>
                <w:sz w:val="21"/>
              </w:rPr>
              <w:t xml:space="preserve"> </w:t>
            </w:r>
            <w:r w:rsidRPr="00981FE1">
              <w:rPr>
                <w:rFonts w:asciiTheme="minorHAnsi" w:hAnsiTheme="minorHAnsi" w:cstheme="minorHAnsi"/>
                <w:color w:val="1F3863"/>
                <w:sz w:val="21"/>
              </w:rPr>
              <w:t>expectations.</w:t>
            </w:r>
          </w:p>
        </w:tc>
      </w:tr>
      <w:tr w:rsidR="00D70CD3" w:rsidRPr="00596AF5" w14:paraId="63B7FF71" w14:textId="77777777" w:rsidTr="00A9753E">
        <w:trPr>
          <w:trHeight w:val="837"/>
          <w:jc w:val="center"/>
        </w:trPr>
        <w:tc>
          <w:tcPr>
            <w:tcW w:w="3872" w:type="dxa"/>
            <w:tcBorders>
              <w:top w:val="single" w:sz="2" w:space="0" w:color="000000"/>
              <w:left w:val="single" w:sz="2" w:space="0" w:color="000000"/>
              <w:bottom w:val="single" w:sz="2" w:space="0" w:color="000000"/>
              <w:right w:val="single" w:sz="2" w:space="0" w:color="000000"/>
            </w:tcBorders>
          </w:tcPr>
          <w:p w14:paraId="31E66AFD"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3 = Moderately Unsatisfactory (MU)</w:t>
            </w:r>
          </w:p>
        </w:tc>
        <w:tc>
          <w:tcPr>
            <w:tcW w:w="5489" w:type="dxa"/>
            <w:tcBorders>
              <w:top w:val="single" w:sz="2" w:space="0" w:color="000000"/>
              <w:left w:val="single" w:sz="2" w:space="0" w:color="000000"/>
              <w:bottom w:val="single" w:sz="2" w:space="0" w:color="000000"/>
            </w:tcBorders>
          </w:tcPr>
          <w:p w14:paraId="6FA33869" w14:textId="77777777" w:rsidR="00D70CD3" w:rsidRPr="00981FE1" w:rsidRDefault="00D70CD3" w:rsidP="00062DAE">
            <w:pPr>
              <w:pStyle w:val="TableParagraph"/>
              <w:spacing w:before="3" w:line="278" w:lineRule="exact"/>
              <w:ind w:left="110" w:right="96"/>
              <w:jc w:val="both"/>
              <w:rPr>
                <w:rFonts w:asciiTheme="minorHAnsi" w:hAnsiTheme="minorHAnsi" w:cstheme="minorHAnsi"/>
                <w:sz w:val="21"/>
              </w:rPr>
            </w:pPr>
            <w:r w:rsidRPr="00981FE1">
              <w:rPr>
                <w:rFonts w:asciiTheme="minorHAnsi" w:hAnsiTheme="minorHAnsi" w:cstheme="minorHAnsi"/>
                <w:color w:val="1F3863"/>
                <w:sz w:val="21"/>
              </w:rPr>
              <w:t>There were significant shortcomings; quality of implementation/execution was somewhat lower than expected</w:t>
            </w:r>
          </w:p>
        </w:tc>
      </w:tr>
      <w:tr w:rsidR="00D70CD3" w:rsidRPr="00596AF5" w14:paraId="70220268" w14:textId="77777777" w:rsidTr="00A9753E">
        <w:trPr>
          <w:trHeight w:val="837"/>
          <w:jc w:val="center"/>
        </w:trPr>
        <w:tc>
          <w:tcPr>
            <w:tcW w:w="3872" w:type="dxa"/>
            <w:tcBorders>
              <w:top w:val="single" w:sz="2" w:space="0" w:color="000000"/>
              <w:left w:val="single" w:sz="2" w:space="0" w:color="000000"/>
              <w:bottom w:val="single" w:sz="2" w:space="0" w:color="000000"/>
              <w:right w:val="single" w:sz="2" w:space="0" w:color="000000"/>
            </w:tcBorders>
          </w:tcPr>
          <w:p w14:paraId="24CF7016"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2 = Unsatisfactory (U)</w:t>
            </w:r>
          </w:p>
        </w:tc>
        <w:tc>
          <w:tcPr>
            <w:tcW w:w="5489" w:type="dxa"/>
            <w:tcBorders>
              <w:top w:val="single" w:sz="2" w:space="0" w:color="000000"/>
              <w:left w:val="single" w:sz="2" w:space="0" w:color="000000"/>
              <w:bottom w:val="single" w:sz="2" w:space="0" w:color="000000"/>
            </w:tcBorders>
          </w:tcPr>
          <w:p w14:paraId="450BD442" w14:textId="77777777" w:rsidR="00D70CD3" w:rsidRPr="00981FE1" w:rsidRDefault="00D70CD3" w:rsidP="00062DAE">
            <w:pPr>
              <w:pStyle w:val="TableParagraph"/>
              <w:tabs>
                <w:tab w:val="left" w:pos="964"/>
                <w:tab w:val="left" w:pos="1739"/>
                <w:tab w:val="left" w:pos="2602"/>
                <w:tab w:val="left" w:pos="4238"/>
                <w:tab w:val="left" w:pos="5193"/>
              </w:tabs>
              <w:ind w:left="110" w:right="95"/>
              <w:rPr>
                <w:rFonts w:asciiTheme="minorHAnsi" w:hAnsiTheme="minorHAnsi" w:cstheme="minorHAnsi"/>
                <w:sz w:val="21"/>
              </w:rPr>
            </w:pPr>
            <w:r w:rsidRPr="00981FE1">
              <w:rPr>
                <w:rFonts w:asciiTheme="minorHAnsi" w:hAnsiTheme="minorHAnsi" w:cstheme="minorHAnsi"/>
                <w:color w:val="1F3863"/>
                <w:sz w:val="21"/>
              </w:rPr>
              <w:t>There</w:t>
            </w:r>
            <w:r w:rsidRPr="00981FE1">
              <w:rPr>
                <w:rFonts w:asciiTheme="minorHAnsi" w:hAnsiTheme="minorHAnsi" w:cstheme="minorHAnsi"/>
                <w:color w:val="1F3863"/>
                <w:sz w:val="21"/>
              </w:rPr>
              <w:tab/>
              <w:t>were</w:t>
            </w:r>
            <w:r w:rsidRPr="00981FE1">
              <w:rPr>
                <w:rFonts w:asciiTheme="minorHAnsi" w:hAnsiTheme="minorHAnsi" w:cstheme="minorHAnsi"/>
                <w:color w:val="1F3863"/>
                <w:sz w:val="21"/>
              </w:rPr>
              <w:tab/>
              <w:t>major</w:t>
            </w:r>
            <w:r w:rsidRPr="00981FE1">
              <w:rPr>
                <w:rFonts w:asciiTheme="minorHAnsi" w:hAnsiTheme="minorHAnsi" w:cstheme="minorHAnsi"/>
                <w:color w:val="1F3863"/>
                <w:sz w:val="21"/>
              </w:rPr>
              <w:tab/>
              <w:t>shortcomings;</w:t>
            </w:r>
            <w:r w:rsidRPr="00981FE1">
              <w:rPr>
                <w:rFonts w:asciiTheme="minorHAnsi" w:hAnsiTheme="minorHAnsi" w:cstheme="minorHAnsi"/>
                <w:color w:val="1F3863"/>
                <w:sz w:val="21"/>
              </w:rPr>
              <w:tab/>
              <w:t>quality</w:t>
            </w:r>
            <w:r w:rsidRPr="00981FE1">
              <w:rPr>
                <w:rFonts w:asciiTheme="minorHAnsi" w:hAnsiTheme="minorHAnsi" w:cstheme="minorHAnsi"/>
                <w:color w:val="1F3863"/>
                <w:sz w:val="21"/>
              </w:rPr>
              <w:tab/>
            </w:r>
            <w:r w:rsidRPr="00981FE1">
              <w:rPr>
                <w:rFonts w:asciiTheme="minorHAnsi" w:hAnsiTheme="minorHAnsi" w:cstheme="minorHAnsi"/>
                <w:color w:val="1F3863"/>
                <w:spacing w:val="-9"/>
                <w:sz w:val="21"/>
              </w:rPr>
              <w:t xml:space="preserve">of </w:t>
            </w:r>
            <w:r w:rsidRPr="00981FE1">
              <w:rPr>
                <w:rFonts w:asciiTheme="minorHAnsi" w:hAnsiTheme="minorHAnsi" w:cstheme="minorHAnsi"/>
                <w:color w:val="1F3863"/>
                <w:sz w:val="21"/>
              </w:rPr>
              <w:t>implementation/execution was substantially lower</w:t>
            </w:r>
            <w:r w:rsidRPr="00981FE1">
              <w:rPr>
                <w:rFonts w:asciiTheme="minorHAnsi" w:hAnsiTheme="minorHAnsi" w:cstheme="minorHAnsi"/>
                <w:color w:val="1F3863"/>
                <w:spacing w:val="-14"/>
                <w:sz w:val="21"/>
              </w:rPr>
              <w:t xml:space="preserve"> </w:t>
            </w:r>
            <w:r w:rsidRPr="00981FE1">
              <w:rPr>
                <w:rFonts w:asciiTheme="minorHAnsi" w:hAnsiTheme="minorHAnsi" w:cstheme="minorHAnsi"/>
                <w:color w:val="1F3863"/>
                <w:sz w:val="21"/>
              </w:rPr>
              <w:t>than</w:t>
            </w:r>
          </w:p>
          <w:p w14:paraId="71DAC0C4" w14:textId="77777777" w:rsidR="00D70CD3" w:rsidRPr="00981FE1" w:rsidRDefault="00D70CD3" w:rsidP="00062DAE">
            <w:pPr>
              <w:pStyle w:val="TableParagraph"/>
              <w:spacing w:line="259" w:lineRule="exact"/>
              <w:ind w:left="110"/>
              <w:rPr>
                <w:rFonts w:asciiTheme="minorHAnsi" w:hAnsiTheme="minorHAnsi" w:cstheme="minorHAnsi"/>
                <w:sz w:val="21"/>
              </w:rPr>
            </w:pPr>
            <w:r w:rsidRPr="00981FE1">
              <w:rPr>
                <w:rFonts w:asciiTheme="minorHAnsi" w:hAnsiTheme="minorHAnsi" w:cstheme="minorHAnsi"/>
                <w:color w:val="1F3863"/>
                <w:sz w:val="21"/>
              </w:rPr>
              <w:t>expected</w:t>
            </w:r>
          </w:p>
        </w:tc>
      </w:tr>
      <w:tr w:rsidR="00D70CD3" w:rsidRPr="00596AF5" w14:paraId="75BEBA07" w14:textId="77777777" w:rsidTr="00A9753E">
        <w:trPr>
          <w:trHeight w:val="559"/>
          <w:jc w:val="center"/>
        </w:trPr>
        <w:tc>
          <w:tcPr>
            <w:tcW w:w="3872" w:type="dxa"/>
            <w:tcBorders>
              <w:top w:val="single" w:sz="2" w:space="0" w:color="000000"/>
              <w:left w:val="single" w:sz="2" w:space="0" w:color="000000"/>
              <w:bottom w:val="single" w:sz="2" w:space="0" w:color="000000"/>
              <w:right w:val="single" w:sz="2" w:space="0" w:color="000000"/>
            </w:tcBorders>
          </w:tcPr>
          <w:p w14:paraId="63C33C80" w14:textId="77777777" w:rsidR="00D70CD3" w:rsidRPr="00981FE1" w:rsidRDefault="00D70CD3" w:rsidP="00062DAE">
            <w:pPr>
              <w:pStyle w:val="TableParagraph"/>
              <w:spacing w:line="279" w:lineRule="exact"/>
              <w:ind w:left="110"/>
              <w:rPr>
                <w:rFonts w:asciiTheme="minorHAnsi" w:hAnsiTheme="minorHAnsi" w:cstheme="minorHAnsi"/>
                <w:sz w:val="21"/>
              </w:rPr>
            </w:pPr>
            <w:r w:rsidRPr="00981FE1">
              <w:rPr>
                <w:rFonts w:asciiTheme="minorHAnsi" w:hAnsiTheme="minorHAnsi" w:cstheme="minorHAnsi"/>
                <w:color w:val="1F3863"/>
                <w:sz w:val="21"/>
              </w:rPr>
              <w:t>1 = Highly Unsatisfactory (HU)</w:t>
            </w:r>
          </w:p>
        </w:tc>
        <w:tc>
          <w:tcPr>
            <w:tcW w:w="5489" w:type="dxa"/>
            <w:tcBorders>
              <w:top w:val="single" w:sz="2" w:space="0" w:color="000000"/>
              <w:left w:val="single" w:sz="2" w:space="0" w:color="000000"/>
              <w:bottom w:val="single" w:sz="2" w:space="0" w:color="000000"/>
            </w:tcBorders>
          </w:tcPr>
          <w:p w14:paraId="53F4E9EB" w14:textId="77777777" w:rsidR="00D70CD3" w:rsidRPr="00981FE1" w:rsidRDefault="00D70CD3" w:rsidP="00062DAE">
            <w:pPr>
              <w:pStyle w:val="TableParagraph"/>
              <w:tabs>
                <w:tab w:val="left" w:pos="877"/>
                <w:tab w:val="left" w:pos="1568"/>
                <w:tab w:val="left" w:pos="2405"/>
                <w:tab w:val="left" w:pos="3909"/>
                <w:tab w:val="left" w:pos="4324"/>
                <w:tab w:val="left" w:pos="5193"/>
              </w:tabs>
              <w:spacing w:before="3" w:line="278" w:lineRule="exact"/>
              <w:ind w:left="110" w:right="97"/>
              <w:rPr>
                <w:rFonts w:asciiTheme="minorHAnsi" w:hAnsiTheme="minorHAnsi" w:cstheme="minorHAnsi"/>
                <w:sz w:val="21"/>
              </w:rPr>
            </w:pPr>
            <w:r w:rsidRPr="00981FE1">
              <w:rPr>
                <w:rFonts w:asciiTheme="minorHAnsi" w:hAnsiTheme="minorHAnsi" w:cstheme="minorHAnsi"/>
                <w:color w:val="1F3863"/>
                <w:sz w:val="21"/>
              </w:rPr>
              <w:t>There</w:t>
            </w:r>
            <w:r w:rsidRPr="00981FE1">
              <w:rPr>
                <w:rFonts w:asciiTheme="minorHAnsi" w:hAnsiTheme="minorHAnsi" w:cstheme="minorHAnsi"/>
                <w:color w:val="1F3863"/>
                <w:sz w:val="21"/>
              </w:rPr>
              <w:tab/>
              <w:t>were</w:t>
            </w:r>
            <w:r w:rsidRPr="00981FE1">
              <w:rPr>
                <w:rFonts w:asciiTheme="minorHAnsi" w:hAnsiTheme="minorHAnsi" w:cstheme="minorHAnsi"/>
                <w:color w:val="1F3863"/>
                <w:sz w:val="21"/>
              </w:rPr>
              <w:tab/>
              <w:t>severe</w:t>
            </w:r>
            <w:r w:rsidRPr="00981FE1">
              <w:rPr>
                <w:rFonts w:asciiTheme="minorHAnsi" w:hAnsiTheme="minorHAnsi" w:cstheme="minorHAnsi"/>
                <w:color w:val="1F3863"/>
                <w:sz w:val="21"/>
              </w:rPr>
              <w:tab/>
              <w:t>shortcomings</w:t>
            </w:r>
            <w:r w:rsidRPr="00981FE1">
              <w:rPr>
                <w:rFonts w:asciiTheme="minorHAnsi" w:hAnsiTheme="minorHAnsi" w:cstheme="minorHAnsi"/>
                <w:color w:val="1F3863"/>
                <w:sz w:val="21"/>
              </w:rPr>
              <w:tab/>
              <w:t>in</w:t>
            </w:r>
            <w:r w:rsidRPr="00981FE1">
              <w:rPr>
                <w:rFonts w:asciiTheme="minorHAnsi" w:hAnsiTheme="minorHAnsi" w:cstheme="minorHAnsi"/>
                <w:color w:val="1F3863"/>
                <w:sz w:val="21"/>
              </w:rPr>
              <w:tab/>
              <w:t>quality</w:t>
            </w:r>
            <w:r w:rsidRPr="00981FE1">
              <w:rPr>
                <w:rFonts w:asciiTheme="minorHAnsi" w:hAnsiTheme="minorHAnsi" w:cstheme="minorHAnsi"/>
                <w:color w:val="1F3863"/>
                <w:sz w:val="21"/>
              </w:rPr>
              <w:tab/>
            </w:r>
            <w:r w:rsidRPr="00981FE1">
              <w:rPr>
                <w:rFonts w:asciiTheme="minorHAnsi" w:hAnsiTheme="minorHAnsi" w:cstheme="minorHAnsi"/>
                <w:color w:val="1F3863"/>
                <w:spacing w:val="-10"/>
                <w:sz w:val="21"/>
              </w:rPr>
              <w:t xml:space="preserve">of </w:t>
            </w:r>
            <w:r w:rsidRPr="00981FE1">
              <w:rPr>
                <w:rFonts w:asciiTheme="minorHAnsi" w:hAnsiTheme="minorHAnsi" w:cstheme="minorHAnsi"/>
                <w:color w:val="1F3863"/>
                <w:sz w:val="21"/>
              </w:rPr>
              <w:t>implementation/execution</w:t>
            </w:r>
          </w:p>
        </w:tc>
      </w:tr>
      <w:tr w:rsidR="00D70CD3" w:rsidRPr="00596AF5" w14:paraId="7FF9D4DD" w14:textId="77777777" w:rsidTr="00A9753E">
        <w:trPr>
          <w:trHeight w:val="558"/>
          <w:jc w:val="center"/>
        </w:trPr>
        <w:tc>
          <w:tcPr>
            <w:tcW w:w="3872" w:type="dxa"/>
            <w:tcBorders>
              <w:top w:val="single" w:sz="2" w:space="0" w:color="000000"/>
              <w:left w:val="single" w:sz="2" w:space="0" w:color="000000"/>
              <w:bottom w:val="single" w:sz="2" w:space="0" w:color="000000"/>
              <w:right w:val="single" w:sz="2" w:space="0" w:color="000000"/>
            </w:tcBorders>
          </w:tcPr>
          <w:p w14:paraId="30F3A0B2"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Unable to Assess (UA)</w:t>
            </w:r>
          </w:p>
        </w:tc>
        <w:tc>
          <w:tcPr>
            <w:tcW w:w="5489" w:type="dxa"/>
            <w:tcBorders>
              <w:top w:val="single" w:sz="2" w:space="0" w:color="000000"/>
              <w:left w:val="single" w:sz="2" w:space="0" w:color="000000"/>
              <w:bottom w:val="single" w:sz="2" w:space="0" w:color="000000"/>
            </w:tcBorders>
          </w:tcPr>
          <w:p w14:paraId="0D6893C6" w14:textId="77777777" w:rsidR="00D70CD3" w:rsidRPr="00981FE1" w:rsidRDefault="00D70CD3" w:rsidP="00062DAE">
            <w:pPr>
              <w:pStyle w:val="TableParagraph"/>
              <w:spacing w:before="3" w:line="278" w:lineRule="exact"/>
              <w:ind w:left="110" w:right="95"/>
              <w:rPr>
                <w:rFonts w:asciiTheme="minorHAnsi" w:hAnsiTheme="minorHAnsi" w:cstheme="minorHAnsi"/>
                <w:sz w:val="21"/>
              </w:rPr>
            </w:pPr>
            <w:r w:rsidRPr="00981FE1">
              <w:rPr>
                <w:rFonts w:asciiTheme="minorHAnsi" w:hAnsiTheme="minorHAnsi" w:cstheme="minorHAnsi"/>
                <w:color w:val="1F3863"/>
                <w:sz w:val="21"/>
              </w:rPr>
              <w:t>The available information does not allow an assessment of the quality of implementation and execution</w:t>
            </w:r>
          </w:p>
        </w:tc>
      </w:tr>
    </w:tbl>
    <w:p w14:paraId="2E681C7F" w14:textId="77777777" w:rsidR="00D70CD3" w:rsidRDefault="00D70CD3" w:rsidP="00D70CD3">
      <w:pPr>
        <w:spacing w:line="278" w:lineRule="exact"/>
        <w:rPr>
          <w:sz w:val="21"/>
        </w:rPr>
        <w:sectPr w:rsidR="00D70CD3" w:rsidSect="008E78E4">
          <w:footerReference w:type="first" r:id="rId36"/>
          <w:pgSz w:w="12240" w:h="15840"/>
          <w:pgMar w:top="1440" w:right="1440" w:bottom="1440" w:left="1440" w:header="0" w:footer="932" w:gutter="0"/>
          <w:pgNumType w:start="1"/>
          <w:cols w:space="720"/>
          <w:titlePg/>
          <w:docGrid w:linePitch="299"/>
        </w:sectPr>
      </w:pPr>
    </w:p>
    <w:p w14:paraId="6B19F180" w14:textId="77777777" w:rsidR="00D70CD3" w:rsidRPr="00E136A1" w:rsidRDefault="00D70CD3" w:rsidP="00E136A1">
      <w:pPr>
        <w:rPr>
          <w:b/>
          <w:bCs/>
        </w:rPr>
      </w:pPr>
      <w:r w:rsidRPr="00E136A1">
        <w:rPr>
          <w:b/>
          <w:bCs/>
        </w:rPr>
        <w:lastRenderedPageBreak/>
        <w:t>Outcome Ratings Scale - Relevance, Effectiveness, Efficiency</w:t>
      </w:r>
    </w:p>
    <w:tbl>
      <w:tblPr>
        <w:tblStyle w:val="TableNormal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5579"/>
      </w:tblGrid>
      <w:tr w:rsidR="00D70CD3" w:rsidRPr="00596AF5" w14:paraId="2067842D" w14:textId="77777777" w:rsidTr="00A9753E">
        <w:trPr>
          <w:trHeight w:val="278"/>
        </w:trPr>
        <w:tc>
          <w:tcPr>
            <w:tcW w:w="3689" w:type="dxa"/>
            <w:tcBorders>
              <w:bottom w:val="single" w:sz="2" w:space="0" w:color="000000"/>
              <w:right w:val="nil"/>
            </w:tcBorders>
            <w:shd w:val="clear" w:color="auto" w:fill="1F3863"/>
          </w:tcPr>
          <w:p w14:paraId="5D52B2A2" w14:textId="77777777" w:rsidR="00D70CD3" w:rsidRPr="00981FE1" w:rsidRDefault="00D70CD3" w:rsidP="00062DAE">
            <w:pPr>
              <w:pStyle w:val="TableParagraph"/>
              <w:spacing w:line="258" w:lineRule="exact"/>
              <w:ind w:left="1523" w:right="1523"/>
              <w:jc w:val="center"/>
              <w:rPr>
                <w:rFonts w:asciiTheme="minorHAnsi" w:hAnsiTheme="minorHAnsi" w:cstheme="minorHAnsi"/>
                <w:sz w:val="21"/>
              </w:rPr>
            </w:pPr>
            <w:r w:rsidRPr="00981FE1">
              <w:rPr>
                <w:rFonts w:asciiTheme="minorHAnsi" w:hAnsiTheme="minorHAnsi" w:cstheme="minorHAnsi"/>
                <w:color w:val="FFFFFF"/>
                <w:sz w:val="21"/>
              </w:rPr>
              <w:t>Rating</w:t>
            </w:r>
          </w:p>
        </w:tc>
        <w:tc>
          <w:tcPr>
            <w:tcW w:w="5579" w:type="dxa"/>
            <w:tcBorders>
              <w:left w:val="nil"/>
              <w:bottom w:val="single" w:sz="2" w:space="0" w:color="000000"/>
            </w:tcBorders>
            <w:shd w:val="clear" w:color="auto" w:fill="1F3863"/>
          </w:tcPr>
          <w:p w14:paraId="489BE9DC" w14:textId="77777777" w:rsidR="00D70CD3" w:rsidRPr="00981FE1" w:rsidRDefault="00D70CD3" w:rsidP="00062DAE">
            <w:pPr>
              <w:pStyle w:val="TableParagraph"/>
              <w:spacing w:line="258" w:lineRule="exact"/>
              <w:ind w:left="2248" w:right="2230"/>
              <w:jc w:val="center"/>
              <w:rPr>
                <w:rFonts w:asciiTheme="minorHAnsi" w:hAnsiTheme="minorHAnsi" w:cstheme="minorHAnsi"/>
                <w:sz w:val="21"/>
              </w:rPr>
            </w:pPr>
            <w:r w:rsidRPr="00981FE1">
              <w:rPr>
                <w:rFonts w:asciiTheme="minorHAnsi" w:hAnsiTheme="minorHAnsi" w:cstheme="minorHAnsi"/>
                <w:color w:val="FFFFFF"/>
                <w:sz w:val="21"/>
              </w:rPr>
              <w:t>Description</w:t>
            </w:r>
          </w:p>
        </w:tc>
      </w:tr>
      <w:tr w:rsidR="00D70CD3" w:rsidRPr="00596AF5" w14:paraId="220FF9B5" w14:textId="77777777" w:rsidTr="00A9753E">
        <w:trPr>
          <w:trHeight w:val="559"/>
        </w:trPr>
        <w:tc>
          <w:tcPr>
            <w:tcW w:w="3689" w:type="dxa"/>
            <w:tcBorders>
              <w:top w:val="single" w:sz="2" w:space="0" w:color="000000"/>
              <w:left w:val="single" w:sz="2" w:space="0" w:color="000000"/>
              <w:bottom w:val="single" w:sz="2" w:space="0" w:color="000000"/>
              <w:right w:val="single" w:sz="2" w:space="0" w:color="000000"/>
            </w:tcBorders>
          </w:tcPr>
          <w:p w14:paraId="3E46715D"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6 = Highly Satisfactory (HS)</w:t>
            </w:r>
          </w:p>
        </w:tc>
        <w:tc>
          <w:tcPr>
            <w:tcW w:w="5579" w:type="dxa"/>
            <w:tcBorders>
              <w:top w:val="single" w:sz="2" w:space="0" w:color="000000"/>
              <w:left w:val="single" w:sz="2" w:space="0" w:color="000000"/>
              <w:bottom w:val="single" w:sz="2" w:space="0" w:color="000000"/>
            </w:tcBorders>
          </w:tcPr>
          <w:p w14:paraId="2F77CD69" w14:textId="77777777" w:rsidR="00D70CD3" w:rsidRPr="00981FE1" w:rsidRDefault="00D70CD3" w:rsidP="00062DAE">
            <w:pPr>
              <w:pStyle w:val="TableParagraph"/>
              <w:spacing w:before="1" w:line="280" w:lineRule="exact"/>
              <w:ind w:left="110"/>
              <w:rPr>
                <w:rFonts w:asciiTheme="minorHAnsi" w:hAnsiTheme="minorHAnsi" w:cstheme="minorHAnsi"/>
                <w:sz w:val="21"/>
              </w:rPr>
            </w:pPr>
            <w:r w:rsidRPr="00981FE1">
              <w:rPr>
                <w:rFonts w:asciiTheme="minorHAnsi" w:hAnsiTheme="minorHAnsi" w:cstheme="minorHAnsi"/>
                <w:color w:val="1F3863"/>
                <w:sz w:val="21"/>
              </w:rPr>
              <w:t>Level of outcomes achieved clearly exceeds expectations and/or there were no shortcomings</w:t>
            </w:r>
          </w:p>
        </w:tc>
      </w:tr>
      <w:tr w:rsidR="00D70CD3" w:rsidRPr="00596AF5" w14:paraId="088901A4" w14:textId="77777777" w:rsidTr="00A9753E">
        <w:trPr>
          <w:trHeight w:val="557"/>
        </w:trPr>
        <w:tc>
          <w:tcPr>
            <w:tcW w:w="3689" w:type="dxa"/>
            <w:tcBorders>
              <w:top w:val="single" w:sz="2" w:space="0" w:color="000000"/>
              <w:left w:val="single" w:sz="2" w:space="0" w:color="000000"/>
              <w:bottom w:val="single" w:sz="2" w:space="0" w:color="000000"/>
              <w:right w:val="single" w:sz="2" w:space="0" w:color="000000"/>
            </w:tcBorders>
          </w:tcPr>
          <w:p w14:paraId="59EB4FF2" w14:textId="77777777" w:rsidR="00D70CD3" w:rsidRPr="00981FE1" w:rsidRDefault="00D70CD3" w:rsidP="00062DAE">
            <w:pPr>
              <w:pStyle w:val="TableParagraph"/>
              <w:spacing w:line="276" w:lineRule="exact"/>
              <w:ind w:left="110"/>
              <w:rPr>
                <w:rFonts w:asciiTheme="minorHAnsi" w:hAnsiTheme="minorHAnsi" w:cstheme="minorHAnsi"/>
                <w:sz w:val="21"/>
              </w:rPr>
            </w:pPr>
            <w:r w:rsidRPr="00981FE1">
              <w:rPr>
                <w:rFonts w:asciiTheme="minorHAnsi" w:hAnsiTheme="minorHAnsi" w:cstheme="minorHAnsi"/>
                <w:color w:val="1F3863"/>
                <w:sz w:val="21"/>
              </w:rPr>
              <w:t>5 = Satisfactory (S)</w:t>
            </w:r>
          </w:p>
        </w:tc>
        <w:tc>
          <w:tcPr>
            <w:tcW w:w="5579" w:type="dxa"/>
            <w:tcBorders>
              <w:top w:val="single" w:sz="2" w:space="0" w:color="000000"/>
              <w:left w:val="single" w:sz="2" w:space="0" w:color="000000"/>
              <w:bottom w:val="single" w:sz="2" w:space="0" w:color="000000"/>
            </w:tcBorders>
          </w:tcPr>
          <w:p w14:paraId="3366E3C9" w14:textId="77777777" w:rsidR="00D70CD3" w:rsidRPr="00981FE1" w:rsidRDefault="00D70CD3" w:rsidP="00062DAE">
            <w:pPr>
              <w:pStyle w:val="TableParagraph"/>
              <w:spacing w:line="276" w:lineRule="exact"/>
              <w:ind w:left="110"/>
              <w:rPr>
                <w:rFonts w:asciiTheme="minorHAnsi" w:hAnsiTheme="minorHAnsi" w:cstheme="minorHAnsi"/>
                <w:sz w:val="21"/>
              </w:rPr>
            </w:pPr>
            <w:r w:rsidRPr="00981FE1">
              <w:rPr>
                <w:rFonts w:asciiTheme="minorHAnsi" w:hAnsiTheme="minorHAnsi" w:cstheme="minorHAnsi"/>
                <w:color w:val="1F3863"/>
                <w:sz w:val="21"/>
              </w:rPr>
              <w:t>Level of outcomes achieved was as expected and/or there</w:t>
            </w:r>
          </w:p>
          <w:p w14:paraId="0D3D6CF1" w14:textId="77777777" w:rsidR="00D70CD3" w:rsidRPr="00981FE1" w:rsidRDefault="00D70CD3" w:rsidP="00062DAE">
            <w:pPr>
              <w:pStyle w:val="TableParagraph"/>
              <w:spacing w:before="1" w:line="259" w:lineRule="exact"/>
              <w:ind w:left="110"/>
              <w:rPr>
                <w:rFonts w:asciiTheme="minorHAnsi" w:hAnsiTheme="minorHAnsi" w:cstheme="minorHAnsi"/>
                <w:sz w:val="21"/>
              </w:rPr>
            </w:pPr>
            <w:r w:rsidRPr="00981FE1">
              <w:rPr>
                <w:rFonts w:asciiTheme="minorHAnsi" w:hAnsiTheme="minorHAnsi" w:cstheme="minorHAnsi"/>
                <w:color w:val="1F3863"/>
                <w:sz w:val="21"/>
              </w:rPr>
              <w:t>were no or minor shortcomings</w:t>
            </w:r>
          </w:p>
        </w:tc>
      </w:tr>
      <w:tr w:rsidR="00D70CD3" w:rsidRPr="00596AF5" w14:paraId="2E7D55EB" w14:textId="77777777" w:rsidTr="00A9753E">
        <w:trPr>
          <w:trHeight w:val="558"/>
        </w:trPr>
        <w:tc>
          <w:tcPr>
            <w:tcW w:w="3689" w:type="dxa"/>
            <w:tcBorders>
              <w:top w:val="single" w:sz="2" w:space="0" w:color="000000"/>
              <w:left w:val="single" w:sz="2" w:space="0" w:color="000000"/>
              <w:bottom w:val="single" w:sz="2" w:space="0" w:color="000000"/>
              <w:right w:val="single" w:sz="2" w:space="0" w:color="000000"/>
            </w:tcBorders>
          </w:tcPr>
          <w:p w14:paraId="0B10AAE0"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4 = Moderately Satisfactory (MS)</w:t>
            </w:r>
          </w:p>
        </w:tc>
        <w:tc>
          <w:tcPr>
            <w:tcW w:w="5579" w:type="dxa"/>
            <w:tcBorders>
              <w:top w:val="single" w:sz="2" w:space="0" w:color="000000"/>
              <w:left w:val="single" w:sz="2" w:space="0" w:color="000000"/>
              <w:bottom w:val="single" w:sz="2" w:space="0" w:color="000000"/>
            </w:tcBorders>
          </w:tcPr>
          <w:p w14:paraId="197812FE" w14:textId="77777777" w:rsidR="00D70CD3" w:rsidRPr="00981FE1" w:rsidRDefault="00D70CD3" w:rsidP="00062DAE">
            <w:pPr>
              <w:pStyle w:val="TableParagraph"/>
              <w:spacing w:before="1" w:line="280" w:lineRule="exact"/>
              <w:ind w:left="110"/>
              <w:rPr>
                <w:rFonts w:asciiTheme="minorHAnsi" w:hAnsiTheme="minorHAnsi" w:cstheme="minorHAnsi"/>
                <w:sz w:val="21"/>
              </w:rPr>
            </w:pPr>
            <w:r w:rsidRPr="00981FE1">
              <w:rPr>
                <w:rFonts w:asciiTheme="minorHAnsi" w:hAnsiTheme="minorHAnsi" w:cstheme="minorHAnsi"/>
                <w:color w:val="1F3863"/>
                <w:sz w:val="21"/>
              </w:rPr>
              <w:t>Level of outcomes achieved more or less as expected and/or there were moderate shortcomings.</w:t>
            </w:r>
          </w:p>
        </w:tc>
      </w:tr>
      <w:tr w:rsidR="00D70CD3" w:rsidRPr="00596AF5" w14:paraId="201BE674" w14:textId="77777777" w:rsidTr="00A9753E">
        <w:trPr>
          <w:trHeight w:val="556"/>
        </w:trPr>
        <w:tc>
          <w:tcPr>
            <w:tcW w:w="3689" w:type="dxa"/>
            <w:tcBorders>
              <w:top w:val="single" w:sz="2" w:space="0" w:color="000000"/>
              <w:left w:val="single" w:sz="2" w:space="0" w:color="000000"/>
              <w:bottom w:val="single" w:sz="2" w:space="0" w:color="000000"/>
              <w:right w:val="single" w:sz="2" w:space="0" w:color="000000"/>
            </w:tcBorders>
          </w:tcPr>
          <w:p w14:paraId="1955E254" w14:textId="77777777" w:rsidR="00D70CD3" w:rsidRPr="00981FE1" w:rsidRDefault="00D70CD3" w:rsidP="00062DAE">
            <w:pPr>
              <w:pStyle w:val="TableParagraph"/>
              <w:spacing w:line="276" w:lineRule="exact"/>
              <w:ind w:left="110"/>
              <w:rPr>
                <w:rFonts w:asciiTheme="minorHAnsi" w:hAnsiTheme="minorHAnsi" w:cstheme="minorHAnsi"/>
                <w:sz w:val="21"/>
              </w:rPr>
            </w:pPr>
            <w:r w:rsidRPr="00981FE1">
              <w:rPr>
                <w:rFonts w:asciiTheme="minorHAnsi" w:hAnsiTheme="minorHAnsi" w:cstheme="minorHAnsi"/>
                <w:color w:val="1F3863"/>
                <w:sz w:val="21"/>
              </w:rPr>
              <w:t>3 = Moderately Unsatisfactory (MU)</w:t>
            </w:r>
          </w:p>
        </w:tc>
        <w:tc>
          <w:tcPr>
            <w:tcW w:w="5579" w:type="dxa"/>
            <w:tcBorders>
              <w:top w:val="single" w:sz="2" w:space="0" w:color="000000"/>
              <w:left w:val="single" w:sz="2" w:space="0" w:color="000000"/>
              <w:bottom w:val="single" w:sz="2" w:space="0" w:color="000000"/>
            </w:tcBorders>
          </w:tcPr>
          <w:p w14:paraId="0ED86EB6" w14:textId="77777777" w:rsidR="00D70CD3" w:rsidRPr="00981FE1" w:rsidRDefault="00D70CD3" w:rsidP="00062DAE">
            <w:pPr>
              <w:pStyle w:val="TableParagraph"/>
              <w:spacing w:before="1" w:line="278" w:lineRule="exact"/>
              <w:ind w:left="110" w:right="81"/>
              <w:rPr>
                <w:rFonts w:asciiTheme="minorHAnsi" w:hAnsiTheme="minorHAnsi" w:cstheme="minorHAnsi"/>
                <w:sz w:val="21"/>
              </w:rPr>
            </w:pPr>
            <w:r w:rsidRPr="00981FE1">
              <w:rPr>
                <w:rFonts w:asciiTheme="minorHAnsi" w:hAnsiTheme="minorHAnsi" w:cstheme="minorHAnsi"/>
                <w:color w:val="1F3863"/>
                <w:sz w:val="21"/>
              </w:rPr>
              <w:t>Level of outcomes achieved somewhat lower than expected and/or there were significant shortcomings</w:t>
            </w:r>
          </w:p>
        </w:tc>
      </w:tr>
      <w:tr w:rsidR="00D70CD3" w:rsidRPr="00596AF5" w14:paraId="51D170D5" w14:textId="77777777" w:rsidTr="00A9753E">
        <w:trPr>
          <w:trHeight w:val="559"/>
        </w:trPr>
        <w:tc>
          <w:tcPr>
            <w:tcW w:w="3689" w:type="dxa"/>
            <w:tcBorders>
              <w:top w:val="single" w:sz="2" w:space="0" w:color="000000"/>
              <w:left w:val="single" w:sz="2" w:space="0" w:color="000000"/>
              <w:bottom w:val="single" w:sz="2" w:space="0" w:color="000000"/>
              <w:right w:val="single" w:sz="2" w:space="0" w:color="000000"/>
            </w:tcBorders>
          </w:tcPr>
          <w:p w14:paraId="6964BBAB" w14:textId="77777777" w:rsidR="00D70CD3" w:rsidRPr="00981FE1" w:rsidRDefault="00D70CD3" w:rsidP="00062DAE">
            <w:pPr>
              <w:pStyle w:val="TableParagraph"/>
              <w:spacing w:line="278" w:lineRule="exact"/>
              <w:ind w:left="110"/>
              <w:rPr>
                <w:rFonts w:asciiTheme="minorHAnsi" w:hAnsiTheme="minorHAnsi" w:cstheme="minorHAnsi"/>
                <w:sz w:val="21"/>
              </w:rPr>
            </w:pPr>
            <w:r w:rsidRPr="00981FE1">
              <w:rPr>
                <w:rFonts w:asciiTheme="minorHAnsi" w:hAnsiTheme="minorHAnsi" w:cstheme="minorHAnsi"/>
                <w:color w:val="1F3863"/>
                <w:sz w:val="21"/>
              </w:rPr>
              <w:t>2 = Unsatisfactory (U)</w:t>
            </w:r>
          </w:p>
        </w:tc>
        <w:tc>
          <w:tcPr>
            <w:tcW w:w="5579" w:type="dxa"/>
            <w:tcBorders>
              <w:top w:val="single" w:sz="2" w:space="0" w:color="000000"/>
              <w:left w:val="single" w:sz="2" w:space="0" w:color="000000"/>
              <w:bottom w:val="single" w:sz="2" w:space="0" w:color="000000"/>
            </w:tcBorders>
          </w:tcPr>
          <w:p w14:paraId="58806C8E" w14:textId="77777777" w:rsidR="00D70CD3" w:rsidRPr="00981FE1" w:rsidRDefault="00D70CD3" w:rsidP="00062DAE">
            <w:pPr>
              <w:pStyle w:val="TableParagraph"/>
              <w:spacing w:before="3" w:line="278" w:lineRule="exact"/>
              <w:ind w:left="110"/>
              <w:rPr>
                <w:rFonts w:asciiTheme="minorHAnsi" w:hAnsiTheme="minorHAnsi" w:cstheme="minorHAnsi"/>
                <w:sz w:val="21"/>
              </w:rPr>
            </w:pPr>
            <w:r w:rsidRPr="00981FE1">
              <w:rPr>
                <w:rFonts w:asciiTheme="minorHAnsi" w:hAnsiTheme="minorHAnsi" w:cstheme="minorHAnsi"/>
                <w:color w:val="1F3863"/>
                <w:sz w:val="21"/>
              </w:rPr>
              <w:t>Level of outcomes achieved substantially lower than expected and/or there were major shortcomings.</w:t>
            </w:r>
          </w:p>
        </w:tc>
      </w:tr>
      <w:tr w:rsidR="00D70CD3" w:rsidRPr="00596AF5" w14:paraId="734D5B3E" w14:textId="77777777" w:rsidTr="00A9753E">
        <w:trPr>
          <w:trHeight w:val="557"/>
        </w:trPr>
        <w:tc>
          <w:tcPr>
            <w:tcW w:w="3689" w:type="dxa"/>
            <w:tcBorders>
              <w:top w:val="single" w:sz="2" w:space="0" w:color="000000"/>
              <w:left w:val="single" w:sz="2" w:space="0" w:color="000000"/>
              <w:bottom w:val="single" w:sz="2" w:space="0" w:color="000000"/>
              <w:right w:val="single" w:sz="2" w:space="0" w:color="000000"/>
            </w:tcBorders>
          </w:tcPr>
          <w:p w14:paraId="6AE26EC6" w14:textId="77777777" w:rsidR="00D70CD3" w:rsidRPr="00981FE1" w:rsidRDefault="00D70CD3" w:rsidP="00062DAE">
            <w:pPr>
              <w:pStyle w:val="TableParagraph"/>
              <w:spacing w:line="279" w:lineRule="exact"/>
              <w:ind w:left="110"/>
              <w:rPr>
                <w:rFonts w:asciiTheme="minorHAnsi" w:hAnsiTheme="minorHAnsi" w:cstheme="minorHAnsi"/>
                <w:sz w:val="21"/>
              </w:rPr>
            </w:pPr>
            <w:r w:rsidRPr="00981FE1">
              <w:rPr>
                <w:rFonts w:asciiTheme="minorHAnsi" w:hAnsiTheme="minorHAnsi" w:cstheme="minorHAnsi"/>
                <w:color w:val="1F3863"/>
                <w:sz w:val="21"/>
              </w:rPr>
              <w:t>1 = Highly Unsatisfactory (HU)</w:t>
            </w:r>
          </w:p>
        </w:tc>
        <w:tc>
          <w:tcPr>
            <w:tcW w:w="5579" w:type="dxa"/>
            <w:tcBorders>
              <w:top w:val="single" w:sz="2" w:space="0" w:color="000000"/>
              <w:left w:val="single" w:sz="2" w:space="0" w:color="000000"/>
              <w:bottom w:val="single" w:sz="2" w:space="0" w:color="000000"/>
            </w:tcBorders>
          </w:tcPr>
          <w:p w14:paraId="0BC08224" w14:textId="77777777" w:rsidR="00D70CD3" w:rsidRPr="00981FE1" w:rsidRDefault="00D70CD3" w:rsidP="00062DAE">
            <w:pPr>
              <w:pStyle w:val="TableParagraph"/>
              <w:spacing w:before="3" w:line="278" w:lineRule="exact"/>
              <w:ind w:left="110" w:right="81"/>
              <w:rPr>
                <w:rFonts w:asciiTheme="minorHAnsi" w:hAnsiTheme="minorHAnsi" w:cstheme="minorHAnsi"/>
                <w:sz w:val="21"/>
              </w:rPr>
            </w:pPr>
            <w:r w:rsidRPr="00981FE1">
              <w:rPr>
                <w:rFonts w:asciiTheme="minorHAnsi" w:hAnsiTheme="minorHAnsi" w:cstheme="minorHAnsi"/>
                <w:color w:val="1F3863"/>
                <w:sz w:val="21"/>
              </w:rPr>
              <w:t>Only a negligible level of outcomes achieved and/or there were severe shortcomings</w:t>
            </w:r>
          </w:p>
        </w:tc>
      </w:tr>
      <w:tr w:rsidR="00D70CD3" w:rsidRPr="00596AF5" w14:paraId="30D2DFB6" w14:textId="77777777" w:rsidTr="00A9753E">
        <w:trPr>
          <w:trHeight w:val="557"/>
        </w:trPr>
        <w:tc>
          <w:tcPr>
            <w:tcW w:w="3689" w:type="dxa"/>
            <w:tcBorders>
              <w:top w:val="single" w:sz="2" w:space="0" w:color="000000"/>
              <w:left w:val="single" w:sz="2" w:space="0" w:color="000000"/>
              <w:bottom w:val="single" w:sz="2" w:space="0" w:color="000000"/>
              <w:right w:val="single" w:sz="2" w:space="0" w:color="000000"/>
            </w:tcBorders>
          </w:tcPr>
          <w:p w14:paraId="79B25441" w14:textId="77777777" w:rsidR="00D70CD3" w:rsidRPr="00981FE1" w:rsidRDefault="00D70CD3" w:rsidP="00062DAE">
            <w:pPr>
              <w:pStyle w:val="TableParagraph"/>
              <w:spacing w:line="279" w:lineRule="exact"/>
              <w:ind w:left="110"/>
              <w:rPr>
                <w:rFonts w:asciiTheme="minorHAnsi" w:hAnsiTheme="minorHAnsi" w:cstheme="minorHAnsi"/>
                <w:sz w:val="21"/>
              </w:rPr>
            </w:pPr>
            <w:r w:rsidRPr="00981FE1">
              <w:rPr>
                <w:rFonts w:asciiTheme="minorHAnsi" w:hAnsiTheme="minorHAnsi" w:cstheme="minorHAnsi"/>
                <w:color w:val="1F3863"/>
                <w:sz w:val="21"/>
              </w:rPr>
              <w:t>Unable to Assess (UA)</w:t>
            </w:r>
          </w:p>
        </w:tc>
        <w:tc>
          <w:tcPr>
            <w:tcW w:w="5579" w:type="dxa"/>
            <w:tcBorders>
              <w:top w:val="single" w:sz="2" w:space="0" w:color="000000"/>
              <w:left w:val="single" w:sz="2" w:space="0" w:color="000000"/>
              <w:bottom w:val="single" w:sz="2" w:space="0" w:color="000000"/>
            </w:tcBorders>
          </w:tcPr>
          <w:p w14:paraId="49572FD5" w14:textId="77777777" w:rsidR="00D70CD3" w:rsidRPr="00981FE1" w:rsidRDefault="00D70CD3" w:rsidP="00062DAE">
            <w:pPr>
              <w:pStyle w:val="TableParagraph"/>
              <w:spacing w:before="3" w:line="278" w:lineRule="exact"/>
              <w:ind w:left="110"/>
              <w:rPr>
                <w:rFonts w:asciiTheme="minorHAnsi" w:hAnsiTheme="minorHAnsi" w:cstheme="minorHAnsi"/>
                <w:sz w:val="21"/>
              </w:rPr>
            </w:pPr>
            <w:r w:rsidRPr="00981FE1">
              <w:rPr>
                <w:rFonts w:asciiTheme="minorHAnsi" w:hAnsiTheme="minorHAnsi" w:cstheme="minorHAnsi"/>
                <w:color w:val="1F3863"/>
                <w:sz w:val="21"/>
              </w:rPr>
              <w:t>The available information does not allow an assessment of the level of outcome achievements</w:t>
            </w:r>
          </w:p>
        </w:tc>
      </w:tr>
    </w:tbl>
    <w:p w14:paraId="24DD2116" w14:textId="49AF54C9" w:rsidR="00D70CD3" w:rsidRDefault="00D70CD3" w:rsidP="00E136A1"/>
    <w:p w14:paraId="4E0A894B" w14:textId="77777777" w:rsidR="00A9753E" w:rsidRPr="00A9753E" w:rsidRDefault="00A9753E" w:rsidP="00A9753E">
      <w:pPr>
        <w:rPr>
          <w:b/>
          <w:bCs/>
        </w:rPr>
      </w:pPr>
      <w:bookmarkStart w:id="100" w:name="_Toc88151444"/>
      <w:r w:rsidRPr="00A9753E">
        <w:rPr>
          <w:b/>
          <w:bCs/>
        </w:rPr>
        <w:t>Development Objective Rating</w:t>
      </w:r>
      <w:bookmarkEnd w:id="100"/>
    </w:p>
    <w:tbl>
      <w:tblPr>
        <w:tblW w:w="0" w:type="auto"/>
        <w:jc w:val="center"/>
        <w:tblCellMar>
          <w:left w:w="0" w:type="dxa"/>
          <w:right w:w="0" w:type="dxa"/>
        </w:tblCellMar>
        <w:tblLook w:val="04A0" w:firstRow="1" w:lastRow="0" w:firstColumn="1" w:lastColumn="0" w:noHBand="0" w:noVBand="1"/>
      </w:tblPr>
      <w:tblGrid>
        <w:gridCol w:w="3500"/>
        <w:gridCol w:w="3060"/>
      </w:tblGrid>
      <w:tr w:rsidR="00A9753E" w:rsidRPr="00160AEC" w14:paraId="5BA58A27" w14:textId="77777777" w:rsidTr="00A9753E">
        <w:trPr>
          <w:trHeight w:val="419"/>
          <w:jc w:val="center"/>
        </w:trPr>
        <w:tc>
          <w:tcPr>
            <w:tcW w:w="350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0541E5AE" w14:textId="77777777" w:rsidR="00A9753E" w:rsidRPr="00335786" w:rsidRDefault="00A9753E" w:rsidP="00062DAE">
            <w:pPr>
              <w:rPr>
                <w:b/>
                <w:sz w:val="20"/>
              </w:rPr>
            </w:pPr>
            <w:r w:rsidRPr="00335786">
              <w:rPr>
                <w:b/>
                <w:sz w:val="20"/>
              </w:rPr>
              <w:t>Rating</w:t>
            </w:r>
          </w:p>
        </w:tc>
        <w:tc>
          <w:tcPr>
            <w:tcW w:w="3060"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4C14F91C" w14:textId="77777777" w:rsidR="00A9753E" w:rsidRPr="00335786" w:rsidRDefault="00A9753E" w:rsidP="00062DAE">
            <w:pPr>
              <w:rPr>
                <w:b/>
                <w:sz w:val="20"/>
              </w:rPr>
            </w:pPr>
            <w:r w:rsidRPr="00335786">
              <w:rPr>
                <w:b/>
                <w:sz w:val="20"/>
              </w:rPr>
              <w:t>% Achievement of Results Framework targets (average)</w:t>
            </w:r>
          </w:p>
        </w:tc>
      </w:tr>
      <w:tr w:rsidR="00A9753E" w:rsidRPr="00335786" w14:paraId="790A5178" w14:textId="77777777" w:rsidTr="00A9753E">
        <w:trPr>
          <w:trHeight w:val="285"/>
          <w:jc w:val="center"/>
        </w:trPr>
        <w:tc>
          <w:tcPr>
            <w:tcW w:w="3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B1D1FB" w14:textId="77777777" w:rsidR="00A9753E" w:rsidRPr="00335786" w:rsidRDefault="00A9753E" w:rsidP="00062DAE">
            <w:pPr>
              <w:rPr>
                <w:sz w:val="20"/>
              </w:rPr>
            </w:pPr>
            <w:r w:rsidRPr="00335786">
              <w:rPr>
                <w:sz w:val="20"/>
              </w:rPr>
              <w:t>Highly Satisfactory (HS)</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D185E4" w14:textId="77777777" w:rsidR="00A9753E" w:rsidRPr="00335786" w:rsidRDefault="00A9753E" w:rsidP="00062DAE">
            <w:pPr>
              <w:rPr>
                <w:sz w:val="20"/>
              </w:rPr>
            </w:pPr>
            <w:r w:rsidRPr="00160AEC">
              <w:rPr>
                <w:sz w:val="20"/>
              </w:rPr>
              <w:t xml:space="preserve">100% </w:t>
            </w:r>
          </w:p>
        </w:tc>
      </w:tr>
      <w:tr w:rsidR="00A9753E" w:rsidRPr="00335786" w14:paraId="2D93B454" w14:textId="77777777" w:rsidTr="00A9753E">
        <w:trPr>
          <w:trHeight w:val="268"/>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45A0A" w14:textId="77777777" w:rsidR="00A9753E" w:rsidRPr="00335786" w:rsidRDefault="00A9753E" w:rsidP="00062DAE">
            <w:pPr>
              <w:rPr>
                <w:sz w:val="20"/>
              </w:rPr>
            </w:pPr>
            <w:r w:rsidRPr="00335786">
              <w:rPr>
                <w:sz w:val="20"/>
              </w:rPr>
              <w:t>Satisfactory (S)</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225EE569" w14:textId="77777777" w:rsidR="00A9753E" w:rsidRPr="00335786" w:rsidRDefault="00A9753E" w:rsidP="00062DAE">
            <w:pPr>
              <w:rPr>
                <w:sz w:val="20"/>
              </w:rPr>
            </w:pPr>
            <w:r w:rsidRPr="00335786">
              <w:rPr>
                <w:sz w:val="20"/>
              </w:rPr>
              <w:t>80 – 99</w:t>
            </w:r>
          </w:p>
        </w:tc>
      </w:tr>
      <w:tr w:rsidR="00A9753E" w:rsidRPr="00335786" w14:paraId="49FEFC08" w14:textId="77777777" w:rsidTr="00A9753E">
        <w:trPr>
          <w:trHeight w:val="205"/>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9C36C" w14:textId="77777777" w:rsidR="00A9753E" w:rsidRPr="00335786" w:rsidRDefault="00A9753E" w:rsidP="00062DAE">
            <w:pPr>
              <w:rPr>
                <w:sz w:val="20"/>
              </w:rPr>
            </w:pPr>
            <w:r w:rsidRPr="00335786">
              <w:rPr>
                <w:sz w:val="20"/>
              </w:rPr>
              <w:t>Moderately Satisfactory (MS)</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584AD5F5" w14:textId="77777777" w:rsidR="00A9753E" w:rsidRPr="00335786" w:rsidRDefault="00A9753E" w:rsidP="00062DAE">
            <w:pPr>
              <w:rPr>
                <w:sz w:val="20"/>
              </w:rPr>
            </w:pPr>
            <w:r>
              <w:rPr>
                <w:sz w:val="20"/>
              </w:rPr>
              <w:t>6</w:t>
            </w:r>
            <w:r w:rsidRPr="00335786">
              <w:rPr>
                <w:sz w:val="20"/>
              </w:rPr>
              <w:t>0 – 79</w:t>
            </w:r>
          </w:p>
        </w:tc>
      </w:tr>
      <w:tr w:rsidR="00A9753E" w:rsidRPr="00335786" w14:paraId="2AAB5066" w14:textId="77777777" w:rsidTr="00A9753E">
        <w:trPr>
          <w:trHeight w:val="250"/>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7AB8D" w14:textId="77777777" w:rsidR="00A9753E" w:rsidRPr="00335786" w:rsidRDefault="00A9753E" w:rsidP="00062DAE">
            <w:pPr>
              <w:rPr>
                <w:sz w:val="20"/>
              </w:rPr>
            </w:pPr>
            <w:r w:rsidRPr="00335786">
              <w:rPr>
                <w:sz w:val="20"/>
              </w:rPr>
              <w:t>Moderately Unsatisfactory (MU)</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651D2899" w14:textId="77777777" w:rsidR="00A9753E" w:rsidRPr="00335786" w:rsidRDefault="00A9753E" w:rsidP="00062DAE">
            <w:pPr>
              <w:rPr>
                <w:sz w:val="20"/>
              </w:rPr>
            </w:pPr>
            <w:r>
              <w:rPr>
                <w:sz w:val="20"/>
              </w:rPr>
              <w:t>4</w:t>
            </w:r>
            <w:r w:rsidRPr="00335786">
              <w:rPr>
                <w:sz w:val="20"/>
              </w:rPr>
              <w:t xml:space="preserve">0 – </w:t>
            </w:r>
            <w:r>
              <w:rPr>
                <w:sz w:val="20"/>
              </w:rPr>
              <w:t>5</w:t>
            </w:r>
            <w:r w:rsidRPr="00335786">
              <w:rPr>
                <w:sz w:val="20"/>
              </w:rPr>
              <w:t>9</w:t>
            </w:r>
          </w:p>
        </w:tc>
      </w:tr>
      <w:tr w:rsidR="00A9753E" w:rsidRPr="00335786" w14:paraId="32763B59" w14:textId="77777777" w:rsidTr="00A9753E">
        <w:trPr>
          <w:trHeight w:val="27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38123B" w14:textId="77777777" w:rsidR="00A9753E" w:rsidRPr="00335786" w:rsidRDefault="00A9753E" w:rsidP="00062DAE">
            <w:pPr>
              <w:rPr>
                <w:sz w:val="20"/>
              </w:rPr>
            </w:pPr>
            <w:r w:rsidRPr="00335786">
              <w:rPr>
                <w:sz w:val="20"/>
              </w:rPr>
              <w:t>Unsatisfactory (U)</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47200540" w14:textId="77777777" w:rsidR="00A9753E" w:rsidRPr="00335786" w:rsidRDefault="00A9753E" w:rsidP="00062DAE">
            <w:pPr>
              <w:rPr>
                <w:sz w:val="20"/>
              </w:rPr>
            </w:pPr>
            <w:r>
              <w:rPr>
                <w:sz w:val="20"/>
              </w:rPr>
              <w:t>2</w:t>
            </w:r>
            <w:r w:rsidRPr="00335786">
              <w:rPr>
                <w:sz w:val="20"/>
              </w:rPr>
              <w:t xml:space="preserve">0 – </w:t>
            </w:r>
            <w:r>
              <w:rPr>
                <w:sz w:val="20"/>
              </w:rPr>
              <w:t>39</w:t>
            </w:r>
          </w:p>
        </w:tc>
      </w:tr>
      <w:tr w:rsidR="00A9753E" w:rsidRPr="00335786" w14:paraId="1A3F4BE1" w14:textId="77777777" w:rsidTr="00A9753E">
        <w:trPr>
          <w:trHeight w:val="232"/>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F89AA" w14:textId="77777777" w:rsidR="00A9753E" w:rsidRPr="00335786" w:rsidRDefault="00A9753E" w:rsidP="00062DAE">
            <w:pPr>
              <w:rPr>
                <w:sz w:val="20"/>
              </w:rPr>
            </w:pPr>
            <w:r w:rsidRPr="00335786">
              <w:rPr>
                <w:sz w:val="20"/>
              </w:rPr>
              <w:t>Highly Unsatisfactory (HU)</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40E131C6" w14:textId="77777777" w:rsidR="00A9753E" w:rsidRPr="00335786" w:rsidRDefault="00A9753E" w:rsidP="00062DAE">
            <w:pPr>
              <w:rPr>
                <w:sz w:val="20"/>
              </w:rPr>
            </w:pPr>
            <w:r>
              <w:rPr>
                <w:sz w:val="20"/>
              </w:rPr>
              <w:t>Below 20%</w:t>
            </w:r>
          </w:p>
        </w:tc>
      </w:tr>
    </w:tbl>
    <w:p w14:paraId="2A54EC9C" w14:textId="77777777" w:rsidR="00A9753E" w:rsidRPr="00A9753E" w:rsidRDefault="00A9753E" w:rsidP="00A9753E">
      <w:pPr>
        <w:rPr>
          <w:b/>
          <w:bCs/>
        </w:rPr>
      </w:pPr>
      <w:bookmarkStart w:id="101" w:name="_Toc88151445"/>
      <w:r w:rsidRPr="00A9753E">
        <w:rPr>
          <w:b/>
          <w:bCs/>
        </w:rPr>
        <w:t>Implementation Progress Rating</w:t>
      </w:r>
      <w:bookmarkEnd w:id="101"/>
    </w:p>
    <w:tbl>
      <w:tblPr>
        <w:tblW w:w="0" w:type="auto"/>
        <w:jc w:val="center"/>
        <w:tblCellMar>
          <w:left w:w="0" w:type="dxa"/>
          <w:right w:w="0" w:type="dxa"/>
        </w:tblCellMar>
        <w:tblLook w:val="04A0" w:firstRow="1" w:lastRow="0" w:firstColumn="1" w:lastColumn="0" w:noHBand="0" w:noVBand="1"/>
      </w:tblPr>
      <w:tblGrid>
        <w:gridCol w:w="3500"/>
        <w:gridCol w:w="3060"/>
      </w:tblGrid>
      <w:tr w:rsidR="00A9753E" w:rsidRPr="00A9753E" w14:paraId="6CEA35FD" w14:textId="77777777" w:rsidTr="00A9753E">
        <w:trPr>
          <w:trHeight w:val="341"/>
          <w:jc w:val="center"/>
        </w:trPr>
        <w:tc>
          <w:tcPr>
            <w:tcW w:w="350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1705EECC" w14:textId="77777777" w:rsidR="00A9753E" w:rsidRPr="00A9753E" w:rsidRDefault="00A9753E" w:rsidP="00062DAE">
            <w:pPr>
              <w:rPr>
                <w:b/>
                <w:bCs/>
                <w:sz w:val="20"/>
              </w:rPr>
            </w:pPr>
            <w:r w:rsidRPr="00A9753E">
              <w:rPr>
                <w:b/>
                <w:bCs/>
                <w:sz w:val="20"/>
              </w:rPr>
              <w:t>Rating</w:t>
            </w:r>
          </w:p>
        </w:tc>
        <w:tc>
          <w:tcPr>
            <w:tcW w:w="3060"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59A6BE95" w14:textId="77777777" w:rsidR="00A9753E" w:rsidRPr="00A9753E" w:rsidRDefault="00A9753E" w:rsidP="00062DAE">
            <w:pPr>
              <w:rPr>
                <w:b/>
                <w:bCs/>
                <w:sz w:val="20"/>
              </w:rPr>
            </w:pPr>
            <w:r w:rsidRPr="00A9753E">
              <w:rPr>
                <w:b/>
                <w:bCs/>
                <w:sz w:val="20"/>
              </w:rPr>
              <w:t>% Achievement of annual workplan targets (average)</w:t>
            </w:r>
          </w:p>
        </w:tc>
      </w:tr>
      <w:tr w:rsidR="00A9753E" w:rsidRPr="00251840" w14:paraId="3DD154DD" w14:textId="77777777" w:rsidTr="00A9753E">
        <w:trPr>
          <w:trHeight w:val="341"/>
          <w:jc w:val="center"/>
        </w:trPr>
        <w:tc>
          <w:tcPr>
            <w:tcW w:w="3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261F45" w14:textId="77777777" w:rsidR="00A9753E" w:rsidRPr="00251840" w:rsidRDefault="00A9753E" w:rsidP="00062DAE">
            <w:pPr>
              <w:rPr>
                <w:sz w:val="20"/>
              </w:rPr>
            </w:pPr>
            <w:r w:rsidRPr="00251840">
              <w:rPr>
                <w:sz w:val="20"/>
              </w:rPr>
              <w:t>Highly Satisfactory (HS)</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8A9DB8" w14:textId="77777777" w:rsidR="00A9753E" w:rsidRPr="00251840" w:rsidRDefault="00A9753E" w:rsidP="00062DAE">
            <w:pPr>
              <w:rPr>
                <w:sz w:val="20"/>
              </w:rPr>
            </w:pPr>
            <w:r w:rsidRPr="00160AEC">
              <w:rPr>
                <w:sz w:val="20"/>
              </w:rPr>
              <w:t>100</w:t>
            </w:r>
          </w:p>
        </w:tc>
      </w:tr>
      <w:tr w:rsidR="00A9753E" w:rsidRPr="00251840" w14:paraId="3F98D36B" w14:textId="77777777" w:rsidTr="00A9753E">
        <w:trPr>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184E5" w14:textId="77777777" w:rsidR="00A9753E" w:rsidRPr="00251840" w:rsidRDefault="00A9753E" w:rsidP="00062DAE">
            <w:pPr>
              <w:rPr>
                <w:sz w:val="20"/>
              </w:rPr>
            </w:pPr>
            <w:r w:rsidRPr="00251840">
              <w:rPr>
                <w:sz w:val="20"/>
              </w:rPr>
              <w:t>Satisfactory (S)</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0F4405A2" w14:textId="77777777" w:rsidR="00A9753E" w:rsidRPr="00251840" w:rsidRDefault="00A9753E" w:rsidP="00062DAE">
            <w:pPr>
              <w:rPr>
                <w:sz w:val="20"/>
              </w:rPr>
            </w:pPr>
            <w:r w:rsidRPr="00335786">
              <w:rPr>
                <w:sz w:val="20"/>
              </w:rPr>
              <w:t>80 – 99</w:t>
            </w:r>
          </w:p>
        </w:tc>
      </w:tr>
      <w:tr w:rsidR="00A9753E" w:rsidRPr="00251840" w14:paraId="5D70AA23" w14:textId="77777777" w:rsidTr="00A9753E">
        <w:trPr>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39938" w14:textId="77777777" w:rsidR="00A9753E" w:rsidRPr="00251840" w:rsidRDefault="00A9753E" w:rsidP="00062DAE">
            <w:pPr>
              <w:rPr>
                <w:sz w:val="20"/>
              </w:rPr>
            </w:pPr>
            <w:r w:rsidRPr="00251840">
              <w:rPr>
                <w:sz w:val="20"/>
              </w:rPr>
              <w:t>Moderately Satisfactory (MS)</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7049E204" w14:textId="77777777" w:rsidR="00A9753E" w:rsidRPr="00251840" w:rsidRDefault="00A9753E" w:rsidP="00062DAE">
            <w:pPr>
              <w:rPr>
                <w:sz w:val="20"/>
              </w:rPr>
            </w:pPr>
            <w:r>
              <w:rPr>
                <w:sz w:val="20"/>
              </w:rPr>
              <w:t>6</w:t>
            </w:r>
            <w:r w:rsidRPr="00335786">
              <w:rPr>
                <w:sz w:val="20"/>
              </w:rPr>
              <w:t>0 – 79</w:t>
            </w:r>
          </w:p>
        </w:tc>
      </w:tr>
      <w:tr w:rsidR="00A9753E" w:rsidRPr="00251840" w14:paraId="06583422" w14:textId="77777777" w:rsidTr="00A9753E">
        <w:trPr>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BF621" w14:textId="77777777" w:rsidR="00A9753E" w:rsidRPr="00251840" w:rsidRDefault="00A9753E" w:rsidP="00062DAE">
            <w:pPr>
              <w:rPr>
                <w:sz w:val="20"/>
              </w:rPr>
            </w:pPr>
            <w:r w:rsidRPr="00251840">
              <w:rPr>
                <w:sz w:val="20"/>
              </w:rPr>
              <w:t>Moderately Unsatisfactory (MU)</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055E1BAB" w14:textId="77777777" w:rsidR="00A9753E" w:rsidRPr="00251840" w:rsidRDefault="00A9753E" w:rsidP="00062DAE">
            <w:pPr>
              <w:rPr>
                <w:sz w:val="20"/>
              </w:rPr>
            </w:pPr>
            <w:r>
              <w:rPr>
                <w:sz w:val="20"/>
              </w:rPr>
              <w:t>4</w:t>
            </w:r>
            <w:r w:rsidRPr="00335786">
              <w:rPr>
                <w:sz w:val="20"/>
              </w:rPr>
              <w:t xml:space="preserve">0 – </w:t>
            </w:r>
            <w:r>
              <w:rPr>
                <w:sz w:val="20"/>
              </w:rPr>
              <w:t>5</w:t>
            </w:r>
            <w:r w:rsidRPr="00335786">
              <w:rPr>
                <w:sz w:val="20"/>
              </w:rPr>
              <w:t>9</w:t>
            </w:r>
          </w:p>
        </w:tc>
      </w:tr>
      <w:tr w:rsidR="00A9753E" w:rsidRPr="00251840" w14:paraId="04C9C00A" w14:textId="77777777" w:rsidTr="00A9753E">
        <w:trPr>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4BAFF" w14:textId="77777777" w:rsidR="00A9753E" w:rsidRPr="00251840" w:rsidRDefault="00A9753E" w:rsidP="00062DAE">
            <w:pPr>
              <w:rPr>
                <w:sz w:val="20"/>
              </w:rPr>
            </w:pPr>
            <w:r w:rsidRPr="00251840">
              <w:rPr>
                <w:sz w:val="20"/>
              </w:rPr>
              <w:t>Unsatisfactory (U)</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7C16766A" w14:textId="77777777" w:rsidR="00A9753E" w:rsidRPr="00251840" w:rsidRDefault="00A9753E" w:rsidP="00062DAE">
            <w:pPr>
              <w:rPr>
                <w:sz w:val="20"/>
              </w:rPr>
            </w:pPr>
            <w:r>
              <w:rPr>
                <w:sz w:val="20"/>
              </w:rPr>
              <w:t>2</w:t>
            </w:r>
            <w:r w:rsidRPr="00335786">
              <w:rPr>
                <w:sz w:val="20"/>
              </w:rPr>
              <w:t xml:space="preserve">0 – </w:t>
            </w:r>
            <w:r>
              <w:rPr>
                <w:sz w:val="20"/>
              </w:rPr>
              <w:t>39</w:t>
            </w:r>
          </w:p>
        </w:tc>
      </w:tr>
      <w:tr w:rsidR="00A9753E" w:rsidRPr="00251840" w14:paraId="235B107E" w14:textId="77777777" w:rsidTr="00A9753E">
        <w:trPr>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9047E" w14:textId="77777777" w:rsidR="00A9753E" w:rsidRPr="00251840" w:rsidRDefault="00A9753E" w:rsidP="00062DAE">
            <w:pPr>
              <w:rPr>
                <w:sz w:val="20"/>
              </w:rPr>
            </w:pPr>
            <w:r w:rsidRPr="00251840">
              <w:rPr>
                <w:sz w:val="20"/>
              </w:rPr>
              <w:t>Highly Unsatisfactory (HU)</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028E2CD8" w14:textId="77777777" w:rsidR="00A9753E" w:rsidRPr="00251840" w:rsidRDefault="00A9753E" w:rsidP="00062DAE">
            <w:pPr>
              <w:rPr>
                <w:sz w:val="20"/>
              </w:rPr>
            </w:pPr>
            <w:r>
              <w:rPr>
                <w:sz w:val="20"/>
              </w:rPr>
              <w:t>Below 20%</w:t>
            </w:r>
          </w:p>
        </w:tc>
      </w:tr>
    </w:tbl>
    <w:p w14:paraId="77948A30" w14:textId="77777777" w:rsidR="00A9753E" w:rsidRPr="0041702A" w:rsidRDefault="00A9753E" w:rsidP="00A9753E">
      <w:pPr>
        <w:jc w:val="both"/>
        <w:rPr>
          <w:rFonts w:asciiTheme="minorHAnsi" w:hAnsiTheme="minorHAnsi" w:cstheme="minorHAnsi"/>
          <w:iCs/>
        </w:rPr>
      </w:pPr>
    </w:p>
    <w:p w14:paraId="524B05E8" w14:textId="77777777" w:rsidR="00D70CD3" w:rsidRPr="00D23CD2" w:rsidRDefault="00D70CD3" w:rsidP="00D23CD2">
      <w:pPr>
        <w:rPr>
          <w:b/>
          <w:bCs/>
        </w:rPr>
      </w:pPr>
      <w:r w:rsidRPr="00D23CD2">
        <w:rPr>
          <w:b/>
          <w:bCs/>
        </w:rPr>
        <w:t>Sustainability Ratings Scale</w:t>
      </w:r>
    </w:p>
    <w:tbl>
      <w:tblPr>
        <w:tblStyle w:val="TableNormal22"/>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2"/>
        <w:gridCol w:w="5496"/>
      </w:tblGrid>
      <w:tr w:rsidR="00D70CD3" w:rsidRPr="00596AF5" w14:paraId="5D59637E" w14:textId="77777777" w:rsidTr="00062DAE">
        <w:trPr>
          <w:trHeight w:val="278"/>
        </w:trPr>
        <w:tc>
          <w:tcPr>
            <w:tcW w:w="3692" w:type="dxa"/>
            <w:tcBorders>
              <w:bottom w:val="single" w:sz="2" w:space="0" w:color="000000"/>
              <w:right w:val="nil"/>
            </w:tcBorders>
            <w:shd w:val="clear" w:color="auto" w:fill="1F3863"/>
          </w:tcPr>
          <w:p w14:paraId="232E88F9" w14:textId="77777777" w:rsidR="00D70CD3" w:rsidRPr="00981FE1" w:rsidRDefault="00D70CD3" w:rsidP="00062DAE">
            <w:pPr>
              <w:pStyle w:val="TableParagraph"/>
              <w:spacing w:line="258" w:lineRule="exact"/>
              <w:ind w:left="1480" w:right="1479"/>
              <w:jc w:val="center"/>
              <w:rPr>
                <w:rFonts w:asciiTheme="minorHAnsi" w:hAnsiTheme="minorHAnsi" w:cstheme="minorHAnsi"/>
                <w:sz w:val="21"/>
              </w:rPr>
            </w:pPr>
            <w:r w:rsidRPr="00981FE1">
              <w:rPr>
                <w:rFonts w:asciiTheme="minorHAnsi" w:hAnsiTheme="minorHAnsi" w:cstheme="minorHAnsi"/>
                <w:color w:val="FFFFFF"/>
                <w:sz w:val="21"/>
              </w:rPr>
              <w:t>Ratings</w:t>
            </w:r>
          </w:p>
        </w:tc>
        <w:tc>
          <w:tcPr>
            <w:tcW w:w="5496" w:type="dxa"/>
            <w:tcBorders>
              <w:left w:val="nil"/>
              <w:bottom w:val="single" w:sz="2" w:space="0" w:color="000000"/>
            </w:tcBorders>
            <w:shd w:val="clear" w:color="auto" w:fill="1F3863"/>
          </w:tcPr>
          <w:p w14:paraId="4B497D51" w14:textId="77777777" w:rsidR="00D70CD3" w:rsidRPr="00981FE1" w:rsidRDefault="00D70CD3" w:rsidP="00062DAE">
            <w:pPr>
              <w:pStyle w:val="TableParagraph"/>
              <w:spacing w:line="258" w:lineRule="exact"/>
              <w:ind w:left="2205" w:right="2191"/>
              <w:jc w:val="center"/>
              <w:rPr>
                <w:rFonts w:asciiTheme="minorHAnsi" w:hAnsiTheme="minorHAnsi" w:cstheme="minorHAnsi"/>
                <w:sz w:val="21"/>
              </w:rPr>
            </w:pPr>
            <w:r w:rsidRPr="00981FE1">
              <w:rPr>
                <w:rFonts w:asciiTheme="minorHAnsi" w:hAnsiTheme="minorHAnsi" w:cstheme="minorHAnsi"/>
                <w:color w:val="FFFFFF"/>
                <w:sz w:val="21"/>
              </w:rPr>
              <w:t>Description</w:t>
            </w:r>
          </w:p>
        </w:tc>
      </w:tr>
      <w:tr w:rsidR="00D70CD3" w:rsidRPr="00596AF5" w14:paraId="00D5C36E" w14:textId="77777777" w:rsidTr="00062DAE">
        <w:trPr>
          <w:trHeight w:val="280"/>
        </w:trPr>
        <w:tc>
          <w:tcPr>
            <w:tcW w:w="3692" w:type="dxa"/>
            <w:tcBorders>
              <w:top w:val="single" w:sz="2" w:space="0" w:color="000000"/>
              <w:left w:val="single" w:sz="2" w:space="0" w:color="000000"/>
              <w:bottom w:val="single" w:sz="2" w:space="0" w:color="000000"/>
              <w:right w:val="single" w:sz="2" w:space="0" w:color="000000"/>
            </w:tcBorders>
          </w:tcPr>
          <w:p w14:paraId="494AB529" w14:textId="77777777" w:rsidR="00D70CD3" w:rsidRPr="00981FE1" w:rsidRDefault="00D70CD3" w:rsidP="00062DAE">
            <w:pPr>
              <w:pStyle w:val="TableParagraph"/>
              <w:spacing w:line="261" w:lineRule="exact"/>
              <w:ind w:left="110"/>
              <w:rPr>
                <w:rFonts w:asciiTheme="minorHAnsi" w:hAnsiTheme="minorHAnsi" w:cstheme="minorHAnsi"/>
                <w:sz w:val="21"/>
              </w:rPr>
            </w:pPr>
            <w:r w:rsidRPr="00981FE1">
              <w:rPr>
                <w:rFonts w:asciiTheme="minorHAnsi" w:hAnsiTheme="minorHAnsi" w:cstheme="minorHAnsi"/>
                <w:color w:val="1F3863"/>
                <w:sz w:val="21"/>
              </w:rPr>
              <w:t>4 = Likely (L)</w:t>
            </w:r>
          </w:p>
        </w:tc>
        <w:tc>
          <w:tcPr>
            <w:tcW w:w="5496" w:type="dxa"/>
            <w:tcBorders>
              <w:top w:val="single" w:sz="2" w:space="0" w:color="000000"/>
              <w:left w:val="single" w:sz="2" w:space="0" w:color="000000"/>
              <w:bottom w:val="single" w:sz="2" w:space="0" w:color="000000"/>
            </w:tcBorders>
          </w:tcPr>
          <w:p w14:paraId="5214BE4F" w14:textId="77777777" w:rsidR="00D70CD3" w:rsidRPr="00981FE1" w:rsidRDefault="00D70CD3" w:rsidP="00062DAE">
            <w:pPr>
              <w:pStyle w:val="TableParagraph"/>
              <w:spacing w:line="261" w:lineRule="exact"/>
              <w:ind w:left="110"/>
              <w:rPr>
                <w:rFonts w:asciiTheme="minorHAnsi" w:hAnsiTheme="minorHAnsi" w:cstheme="minorHAnsi"/>
                <w:sz w:val="21"/>
              </w:rPr>
            </w:pPr>
            <w:r w:rsidRPr="00981FE1">
              <w:rPr>
                <w:rFonts w:asciiTheme="minorHAnsi" w:hAnsiTheme="minorHAnsi" w:cstheme="minorHAnsi"/>
                <w:color w:val="1F3863"/>
                <w:sz w:val="21"/>
              </w:rPr>
              <w:t>There are little or no risks to sustainability</w:t>
            </w:r>
          </w:p>
        </w:tc>
      </w:tr>
      <w:tr w:rsidR="00D70CD3" w:rsidRPr="00596AF5" w14:paraId="73F98AAB" w14:textId="77777777" w:rsidTr="00062DAE">
        <w:trPr>
          <w:trHeight w:val="278"/>
        </w:trPr>
        <w:tc>
          <w:tcPr>
            <w:tcW w:w="3692" w:type="dxa"/>
            <w:tcBorders>
              <w:top w:val="single" w:sz="2" w:space="0" w:color="000000"/>
              <w:left w:val="single" w:sz="2" w:space="0" w:color="000000"/>
              <w:bottom w:val="single" w:sz="2" w:space="0" w:color="000000"/>
              <w:right w:val="single" w:sz="2" w:space="0" w:color="000000"/>
            </w:tcBorders>
          </w:tcPr>
          <w:p w14:paraId="23B70790" w14:textId="77777777" w:rsidR="00D70CD3" w:rsidRPr="00981FE1" w:rsidRDefault="00D70CD3" w:rsidP="00062DAE">
            <w:pPr>
              <w:pStyle w:val="TableParagraph"/>
              <w:spacing w:line="258" w:lineRule="exact"/>
              <w:ind w:left="110"/>
              <w:rPr>
                <w:rFonts w:asciiTheme="minorHAnsi" w:hAnsiTheme="minorHAnsi" w:cstheme="minorHAnsi"/>
                <w:sz w:val="21"/>
              </w:rPr>
            </w:pPr>
            <w:r w:rsidRPr="00981FE1">
              <w:rPr>
                <w:rFonts w:asciiTheme="minorHAnsi" w:hAnsiTheme="minorHAnsi" w:cstheme="minorHAnsi"/>
                <w:color w:val="1F3863"/>
                <w:sz w:val="21"/>
              </w:rPr>
              <w:t>3 = Moderately Likely (ML)</w:t>
            </w:r>
          </w:p>
        </w:tc>
        <w:tc>
          <w:tcPr>
            <w:tcW w:w="5496" w:type="dxa"/>
            <w:tcBorders>
              <w:top w:val="single" w:sz="2" w:space="0" w:color="000000"/>
              <w:left w:val="single" w:sz="2" w:space="0" w:color="000000"/>
              <w:bottom w:val="single" w:sz="2" w:space="0" w:color="000000"/>
            </w:tcBorders>
          </w:tcPr>
          <w:p w14:paraId="3FA9E66C" w14:textId="77777777" w:rsidR="00D70CD3" w:rsidRPr="00981FE1" w:rsidRDefault="00D70CD3" w:rsidP="00062DAE">
            <w:pPr>
              <w:pStyle w:val="TableParagraph"/>
              <w:spacing w:line="258" w:lineRule="exact"/>
              <w:ind w:left="110"/>
              <w:rPr>
                <w:rFonts w:asciiTheme="minorHAnsi" w:hAnsiTheme="minorHAnsi" w:cstheme="minorHAnsi"/>
                <w:sz w:val="21"/>
              </w:rPr>
            </w:pPr>
            <w:r w:rsidRPr="00981FE1">
              <w:rPr>
                <w:rFonts w:asciiTheme="minorHAnsi" w:hAnsiTheme="minorHAnsi" w:cstheme="minorHAnsi"/>
                <w:color w:val="1F3863"/>
                <w:sz w:val="21"/>
              </w:rPr>
              <w:t>There are moderate risks to sustainability</w:t>
            </w:r>
          </w:p>
        </w:tc>
      </w:tr>
      <w:tr w:rsidR="00D70CD3" w:rsidRPr="00596AF5" w14:paraId="67C9B835" w14:textId="77777777" w:rsidTr="00062DAE">
        <w:trPr>
          <w:trHeight w:val="280"/>
        </w:trPr>
        <w:tc>
          <w:tcPr>
            <w:tcW w:w="3692" w:type="dxa"/>
            <w:tcBorders>
              <w:top w:val="single" w:sz="2" w:space="0" w:color="000000"/>
              <w:left w:val="single" w:sz="2" w:space="0" w:color="000000"/>
              <w:bottom w:val="single" w:sz="2" w:space="0" w:color="000000"/>
              <w:right w:val="single" w:sz="2" w:space="0" w:color="000000"/>
            </w:tcBorders>
          </w:tcPr>
          <w:p w14:paraId="4749CAF1" w14:textId="77777777" w:rsidR="00D70CD3" w:rsidRPr="00981FE1" w:rsidRDefault="00D70CD3" w:rsidP="00062DAE">
            <w:pPr>
              <w:pStyle w:val="TableParagraph"/>
              <w:spacing w:line="261" w:lineRule="exact"/>
              <w:ind w:left="110"/>
              <w:rPr>
                <w:rFonts w:asciiTheme="minorHAnsi" w:hAnsiTheme="minorHAnsi" w:cstheme="minorHAnsi"/>
                <w:sz w:val="21"/>
              </w:rPr>
            </w:pPr>
            <w:r w:rsidRPr="00981FE1">
              <w:rPr>
                <w:rFonts w:asciiTheme="minorHAnsi" w:hAnsiTheme="minorHAnsi" w:cstheme="minorHAnsi"/>
                <w:color w:val="1F3863"/>
                <w:sz w:val="21"/>
              </w:rPr>
              <w:t>2 = Moderately Unlikely (MU)</w:t>
            </w:r>
          </w:p>
        </w:tc>
        <w:tc>
          <w:tcPr>
            <w:tcW w:w="5496" w:type="dxa"/>
            <w:tcBorders>
              <w:top w:val="single" w:sz="2" w:space="0" w:color="000000"/>
              <w:left w:val="single" w:sz="2" w:space="0" w:color="000000"/>
              <w:bottom w:val="single" w:sz="2" w:space="0" w:color="000000"/>
            </w:tcBorders>
          </w:tcPr>
          <w:p w14:paraId="74FB4D19" w14:textId="77777777" w:rsidR="00D70CD3" w:rsidRPr="00981FE1" w:rsidRDefault="00D70CD3" w:rsidP="00062DAE">
            <w:pPr>
              <w:pStyle w:val="TableParagraph"/>
              <w:spacing w:line="261" w:lineRule="exact"/>
              <w:ind w:left="110"/>
              <w:rPr>
                <w:rFonts w:asciiTheme="minorHAnsi" w:hAnsiTheme="minorHAnsi" w:cstheme="minorHAnsi"/>
                <w:sz w:val="21"/>
              </w:rPr>
            </w:pPr>
            <w:r w:rsidRPr="00981FE1">
              <w:rPr>
                <w:rFonts w:asciiTheme="minorHAnsi" w:hAnsiTheme="minorHAnsi" w:cstheme="minorHAnsi"/>
                <w:color w:val="1F3863"/>
                <w:sz w:val="21"/>
              </w:rPr>
              <w:t>There are significant risks to sustainability</w:t>
            </w:r>
          </w:p>
        </w:tc>
      </w:tr>
      <w:tr w:rsidR="00D70CD3" w:rsidRPr="00596AF5" w14:paraId="1E82609B" w14:textId="77777777" w:rsidTr="00062DAE">
        <w:trPr>
          <w:trHeight w:val="278"/>
        </w:trPr>
        <w:tc>
          <w:tcPr>
            <w:tcW w:w="3692" w:type="dxa"/>
            <w:tcBorders>
              <w:top w:val="single" w:sz="2" w:space="0" w:color="000000"/>
              <w:left w:val="single" w:sz="2" w:space="0" w:color="000000"/>
              <w:bottom w:val="single" w:sz="2" w:space="0" w:color="000000"/>
              <w:right w:val="single" w:sz="2" w:space="0" w:color="000000"/>
            </w:tcBorders>
          </w:tcPr>
          <w:p w14:paraId="40ACBA79" w14:textId="77777777" w:rsidR="00D70CD3" w:rsidRPr="00981FE1" w:rsidRDefault="00D70CD3" w:rsidP="00062DAE">
            <w:pPr>
              <w:pStyle w:val="TableParagraph"/>
              <w:spacing w:line="258" w:lineRule="exact"/>
              <w:ind w:left="110"/>
              <w:rPr>
                <w:rFonts w:asciiTheme="minorHAnsi" w:hAnsiTheme="minorHAnsi" w:cstheme="minorHAnsi"/>
                <w:sz w:val="21"/>
              </w:rPr>
            </w:pPr>
            <w:r w:rsidRPr="00981FE1">
              <w:rPr>
                <w:rFonts w:asciiTheme="minorHAnsi" w:hAnsiTheme="minorHAnsi" w:cstheme="minorHAnsi"/>
                <w:color w:val="1F3863"/>
                <w:sz w:val="21"/>
              </w:rPr>
              <w:t>1 = Unlikely (U)</w:t>
            </w:r>
          </w:p>
        </w:tc>
        <w:tc>
          <w:tcPr>
            <w:tcW w:w="5496" w:type="dxa"/>
            <w:tcBorders>
              <w:top w:val="single" w:sz="2" w:space="0" w:color="000000"/>
              <w:left w:val="single" w:sz="2" w:space="0" w:color="000000"/>
              <w:bottom w:val="single" w:sz="2" w:space="0" w:color="000000"/>
            </w:tcBorders>
          </w:tcPr>
          <w:p w14:paraId="3D7A790B" w14:textId="77777777" w:rsidR="00D70CD3" w:rsidRPr="00981FE1" w:rsidRDefault="00D70CD3" w:rsidP="00062DAE">
            <w:pPr>
              <w:pStyle w:val="TableParagraph"/>
              <w:spacing w:line="258" w:lineRule="exact"/>
              <w:ind w:left="110"/>
              <w:rPr>
                <w:rFonts w:asciiTheme="minorHAnsi" w:hAnsiTheme="minorHAnsi" w:cstheme="minorHAnsi"/>
                <w:sz w:val="21"/>
              </w:rPr>
            </w:pPr>
            <w:r w:rsidRPr="00981FE1">
              <w:rPr>
                <w:rFonts w:asciiTheme="minorHAnsi" w:hAnsiTheme="minorHAnsi" w:cstheme="minorHAnsi"/>
                <w:color w:val="1F3863"/>
                <w:sz w:val="21"/>
              </w:rPr>
              <w:t>There are severe risks to sustainability</w:t>
            </w:r>
          </w:p>
        </w:tc>
      </w:tr>
      <w:tr w:rsidR="00D70CD3" w:rsidRPr="00596AF5" w14:paraId="33E61D09" w14:textId="77777777" w:rsidTr="00062DAE">
        <w:trPr>
          <w:trHeight w:val="559"/>
        </w:trPr>
        <w:tc>
          <w:tcPr>
            <w:tcW w:w="3692" w:type="dxa"/>
            <w:tcBorders>
              <w:top w:val="single" w:sz="2" w:space="0" w:color="000000"/>
              <w:left w:val="single" w:sz="2" w:space="0" w:color="000000"/>
              <w:bottom w:val="single" w:sz="2" w:space="0" w:color="000000"/>
              <w:right w:val="single" w:sz="2" w:space="0" w:color="000000"/>
            </w:tcBorders>
          </w:tcPr>
          <w:p w14:paraId="0AC0EA56" w14:textId="77777777" w:rsidR="00D70CD3" w:rsidRPr="00981FE1" w:rsidRDefault="00D70CD3" w:rsidP="00062DAE">
            <w:pPr>
              <w:pStyle w:val="TableParagraph"/>
              <w:spacing w:line="279" w:lineRule="exact"/>
              <w:ind w:left="110"/>
              <w:rPr>
                <w:rFonts w:asciiTheme="minorHAnsi" w:hAnsiTheme="minorHAnsi" w:cstheme="minorHAnsi"/>
                <w:sz w:val="21"/>
              </w:rPr>
            </w:pPr>
            <w:r w:rsidRPr="00981FE1">
              <w:rPr>
                <w:rFonts w:asciiTheme="minorHAnsi" w:hAnsiTheme="minorHAnsi" w:cstheme="minorHAnsi"/>
                <w:color w:val="1F3863"/>
                <w:sz w:val="21"/>
              </w:rPr>
              <w:t>Unable to Assess (UA)</w:t>
            </w:r>
          </w:p>
        </w:tc>
        <w:tc>
          <w:tcPr>
            <w:tcW w:w="5496" w:type="dxa"/>
            <w:tcBorders>
              <w:top w:val="single" w:sz="2" w:space="0" w:color="000000"/>
              <w:left w:val="single" w:sz="2" w:space="0" w:color="000000"/>
              <w:bottom w:val="single" w:sz="2" w:space="0" w:color="000000"/>
            </w:tcBorders>
          </w:tcPr>
          <w:p w14:paraId="25EA986C" w14:textId="77777777" w:rsidR="00D70CD3" w:rsidRPr="00981FE1" w:rsidRDefault="00D70CD3" w:rsidP="00062DAE">
            <w:pPr>
              <w:pStyle w:val="TableParagraph"/>
              <w:spacing w:before="3" w:line="278" w:lineRule="exact"/>
              <w:ind w:left="110" w:right="14"/>
              <w:rPr>
                <w:rFonts w:asciiTheme="minorHAnsi" w:hAnsiTheme="minorHAnsi" w:cstheme="minorHAnsi"/>
                <w:sz w:val="21"/>
              </w:rPr>
            </w:pPr>
            <w:r w:rsidRPr="00981FE1">
              <w:rPr>
                <w:rFonts w:asciiTheme="minorHAnsi" w:hAnsiTheme="minorHAnsi" w:cstheme="minorHAnsi"/>
                <w:color w:val="1F3863"/>
                <w:sz w:val="21"/>
              </w:rPr>
              <w:t>Unable to assess the expected incidence and magnitude of risks to sustainability</w:t>
            </w:r>
          </w:p>
        </w:tc>
      </w:tr>
    </w:tbl>
    <w:p w14:paraId="1DF4A5C8" w14:textId="77777777" w:rsidR="00D70CD3" w:rsidRDefault="00D70CD3" w:rsidP="00D70CD3">
      <w:pPr>
        <w:spacing w:line="278" w:lineRule="exact"/>
        <w:rPr>
          <w:sz w:val="21"/>
        </w:rPr>
        <w:sectPr w:rsidR="00D70CD3" w:rsidSect="00D23CD2">
          <w:pgSz w:w="12240" w:h="15840"/>
          <w:pgMar w:top="1440" w:right="1080" w:bottom="1440" w:left="1080" w:header="0" w:footer="932" w:gutter="0"/>
          <w:cols w:space="720"/>
          <w:docGrid w:linePitch="299"/>
        </w:sectPr>
      </w:pPr>
    </w:p>
    <w:p w14:paraId="0A296609" w14:textId="618C0A66" w:rsidR="00E136A1" w:rsidRPr="005E6081" w:rsidRDefault="00E136A1" w:rsidP="00E136A1">
      <w:pPr>
        <w:pStyle w:val="Heading2"/>
        <w:rPr>
          <w:color w:val="auto"/>
        </w:rPr>
      </w:pPr>
      <w:bookmarkStart w:id="102" w:name="_Annex_2._Terms"/>
      <w:bookmarkStart w:id="103" w:name="_Toc88151458"/>
      <w:bookmarkStart w:id="104" w:name="_Toc96772513"/>
      <w:bookmarkEnd w:id="102"/>
      <w:r w:rsidRPr="005E6081">
        <w:rPr>
          <w:color w:val="auto"/>
        </w:rPr>
        <w:lastRenderedPageBreak/>
        <w:t xml:space="preserve">Annex </w:t>
      </w:r>
      <w:r w:rsidR="00F3481C">
        <w:rPr>
          <w:color w:val="auto"/>
        </w:rPr>
        <w:t>2</w:t>
      </w:r>
      <w:r w:rsidRPr="005E6081">
        <w:rPr>
          <w:color w:val="auto"/>
        </w:rPr>
        <w:t>. Terms of Reference</w:t>
      </w:r>
      <w:bookmarkEnd w:id="103"/>
      <w:bookmarkEnd w:id="104"/>
    </w:p>
    <w:p w14:paraId="713C22FC" w14:textId="77777777" w:rsidR="00E136A1" w:rsidRPr="005E6081" w:rsidRDefault="00E136A1" w:rsidP="00E136A1">
      <w:pPr>
        <w:ind w:left="500"/>
        <w:rPr>
          <w:rFonts w:ascii="Segoe UI"/>
          <w:b/>
          <w:sz w:val="30"/>
        </w:rPr>
      </w:pPr>
      <w:r w:rsidRPr="005E6081">
        <w:rPr>
          <w:rFonts w:ascii="Segoe UI"/>
          <w:b/>
          <w:sz w:val="30"/>
        </w:rPr>
        <w:t>Terminal Evaluation (TE) Terms of Reference</w:t>
      </w:r>
    </w:p>
    <w:p w14:paraId="2B1714D6" w14:textId="77777777" w:rsidR="00E136A1" w:rsidRPr="005E6081" w:rsidRDefault="00E136A1" w:rsidP="00D80344">
      <w:pPr>
        <w:pStyle w:val="ListParagraph"/>
        <w:numPr>
          <w:ilvl w:val="0"/>
          <w:numId w:val="43"/>
        </w:numPr>
        <w:tabs>
          <w:tab w:val="left" w:pos="861"/>
        </w:tabs>
        <w:spacing w:before="99"/>
        <w:ind w:hanging="361"/>
        <w:rPr>
          <w:rFonts w:ascii="Segoe UI"/>
          <w:b/>
          <w:sz w:val="26"/>
        </w:rPr>
      </w:pPr>
      <w:r w:rsidRPr="005E6081">
        <w:rPr>
          <w:rFonts w:ascii="Segoe UI"/>
          <w:b/>
          <w:sz w:val="26"/>
        </w:rPr>
        <w:t>INTRODUCTION</w:t>
      </w:r>
    </w:p>
    <w:p w14:paraId="2F870FD0" w14:textId="77777777" w:rsidR="00E136A1" w:rsidRPr="005E6081" w:rsidRDefault="00E136A1" w:rsidP="00E136A1">
      <w:pPr>
        <w:spacing w:before="277"/>
        <w:ind w:left="500" w:right="1433"/>
        <w:jc w:val="both"/>
        <w:rPr>
          <w:rFonts w:ascii="Segoe UI"/>
          <w:sz w:val="21"/>
        </w:rPr>
      </w:pPr>
      <w:bookmarkStart w:id="105" w:name="_Hlk75872395"/>
      <w:bookmarkStart w:id="106" w:name="_Hlk75871467"/>
      <w:r w:rsidRPr="005E6081">
        <w:rPr>
          <w:rFonts w:ascii="Segoe UI"/>
          <w:sz w:val="21"/>
        </w:rPr>
        <w:t>In accordance with UNDP and GEF M&amp;E policies and procedures, all full- and medium-sized UNDP- supported GEF-financed projects are required to undergo a Terminal Evaluation (TE) at the end of</w:t>
      </w:r>
      <w:r w:rsidRPr="005E6081">
        <w:rPr>
          <w:rFonts w:ascii="Segoe UI"/>
          <w:spacing w:val="-40"/>
          <w:sz w:val="21"/>
        </w:rPr>
        <w:t xml:space="preserve"> </w:t>
      </w:r>
      <w:r w:rsidRPr="005E6081">
        <w:rPr>
          <w:rFonts w:ascii="Segoe UI"/>
          <w:sz w:val="21"/>
        </w:rPr>
        <w:t xml:space="preserve">the project. These Terms of Reference (ToR) set out the expectations for the TEs of two </w:t>
      </w:r>
      <w:r w:rsidRPr="005E6081">
        <w:rPr>
          <w:rFonts w:ascii="Segoe UI"/>
          <w:i/>
          <w:sz w:val="21"/>
        </w:rPr>
        <w:t xml:space="preserve">full-sized projects </w:t>
      </w:r>
      <w:r w:rsidRPr="005E6081">
        <w:rPr>
          <w:rFonts w:ascii="Segoe UI"/>
          <w:sz w:val="21"/>
        </w:rPr>
        <w:t xml:space="preserve">under the Good Growth Partnership (GGP), one of the GEF-funded integrated approach pilots (IAPs). </w:t>
      </w:r>
      <w:bookmarkEnd w:id="105"/>
      <w:r w:rsidRPr="005E6081">
        <w:rPr>
          <w:rFonts w:ascii="Segoe UI"/>
          <w:sz w:val="21"/>
        </w:rPr>
        <w:t>Both</w:t>
      </w:r>
      <w:r w:rsidRPr="005E6081">
        <w:rPr>
          <w:rFonts w:ascii="Segoe UI"/>
          <w:spacing w:val="-9"/>
          <w:sz w:val="21"/>
        </w:rPr>
        <w:t xml:space="preserve"> </w:t>
      </w:r>
      <w:r w:rsidRPr="005E6081">
        <w:rPr>
          <w:rFonts w:ascii="Segoe UI"/>
          <w:sz w:val="21"/>
        </w:rPr>
        <w:t>projects</w:t>
      </w:r>
      <w:r w:rsidRPr="005E6081">
        <w:rPr>
          <w:rFonts w:ascii="Segoe UI"/>
          <w:spacing w:val="-9"/>
          <w:sz w:val="21"/>
        </w:rPr>
        <w:t xml:space="preserve"> </w:t>
      </w:r>
      <w:r w:rsidRPr="005E6081">
        <w:rPr>
          <w:rFonts w:ascii="Segoe UI"/>
          <w:sz w:val="21"/>
        </w:rPr>
        <w:t>are</w:t>
      </w:r>
      <w:r w:rsidRPr="005E6081">
        <w:rPr>
          <w:rFonts w:ascii="Segoe UI"/>
          <w:spacing w:val="-9"/>
          <w:sz w:val="21"/>
        </w:rPr>
        <w:t xml:space="preserve"> </w:t>
      </w:r>
      <w:r w:rsidRPr="005E6081">
        <w:rPr>
          <w:rFonts w:ascii="Segoe UI"/>
          <w:sz w:val="21"/>
        </w:rPr>
        <w:t>implemented</w:t>
      </w:r>
      <w:r w:rsidRPr="005E6081">
        <w:rPr>
          <w:rFonts w:ascii="Segoe UI"/>
          <w:spacing w:val="-6"/>
          <w:sz w:val="21"/>
        </w:rPr>
        <w:t xml:space="preserve"> </w:t>
      </w:r>
      <w:r w:rsidRPr="005E6081">
        <w:rPr>
          <w:rFonts w:ascii="Segoe UI"/>
          <w:sz w:val="21"/>
        </w:rPr>
        <w:t>through</w:t>
      </w:r>
      <w:r w:rsidRPr="005E6081">
        <w:rPr>
          <w:rFonts w:ascii="Segoe UI"/>
          <w:spacing w:val="-6"/>
          <w:sz w:val="21"/>
        </w:rPr>
        <w:t xml:space="preserve"> </w:t>
      </w:r>
      <w:r w:rsidRPr="005E6081">
        <w:rPr>
          <w:rFonts w:ascii="Segoe UI"/>
          <w:sz w:val="21"/>
        </w:rPr>
        <w:t>the</w:t>
      </w:r>
      <w:r w:rsidRPr="005E6081">
        <w:rPr>
          <w:rFonts w:ascii="Segoe UI"/>
          <w:spacing w:val="-9"/>
          <w:sz w:val="21"/>
        </w:rPr>
        <w:t xml:space="preserve"> </w:t>
      </w:r>
      <w:r w:rsidRPr="005E6081">
        <w:rPr>
          <w:rFonts w:ascii="Segoe UI"/>
          <w:i/>
          <w:sz w:val="21"/>
        </w:rPr>
        <w:t>United</w:t>
      </w:r>
      <w:r w:rsidRPr="005E6081">
        <w:rPr>
          <w:rFonts w:ascii="Segoe UI"/>
          <w:i/>
          <w:spacing w:val="-8"/>
          <w:sz w:val="21"/>
        </w:rPr>
        <w:t xml:space="preserve"> </w:t>
      </w:r>
      <w:r w:rsidRPr="005E6081">
        <w:rPr>
          <w:rFonts w:ascii="Segoe UI"/>
          <w:i/>
          <w:sz w:val="21"/>
        </w:rPr>
        <w:t>Nations</w:t>
      </w:r>
      <w:r w:rsidRPr="005E6081">
        <w:rPr>
          <w:rFonts w:ascii="Segoe UI"/>
          <w:i/>
          <w:spacing w:val="-8"/>
          <w:sz w:val="21"/>
        </w:rPr>
        <w:t xml:space="preserve"> </w:t>
      </w:r>
      <w:r w:rsidRPr="005E6081">
        <w:rPr>
          <w:rFonts w:ascii="Segoe UI"/>
          <w:i/>
          <w:sz w:val="21"/>
        </w:rPr>
        <w:t>Development</w:t>
      </w:r>
      <w:r w:rsidRPr="005E6081">
        <w:rPr>
          <w:rFonts w:ascii="Segoe UI"/>
          <w:i/>
          <w:spacing w:val="-11"/>
          <w:sz w:val="21"/>
        </w:rPr>
        <w:t xml:space="preserve"> </w:t>
      </w:r>
      <w:r w:rsidRPr="005E6081">
        <w:rPr>
          <w:rFonts w:ascii="Segoe UI"/>
          <w:i/>
          <w:sz w:val="21"/>
        </w:rPr>
        <w:t>Programme</w:t>
      </w:r>
      <w:r w:rsidRPr="005E6081">
        <w:rPr>
          <w:rFonts w:ascii="Segoe UI"/>
          <w:i/>
          <w:spacing w:val="-6"/>
          <w:sz w:val="21"/>
        </w:rPr>
        <w:t xml:space="preserve"> </w:t>
      </w:r>
      <w:r w:rsidRPr="005E6081">
        <w:rPr>
          <w:rFonts w:ascii="Segoe UI"/>
          <w:i/>
          <w:sz w:val="21"/>
        </w:rPr>
        <w:t>Regional</w:t>
      </w:r>
      <w:r w:rsidRPr="005E6081">
        <w:rPr>
          <w:rFonts w:ascii="Segoe UI"/>
          <w:i/>
          <w:spacing w:val="-8"/>
          <w:sz w:val="21"/>
        </w:rPr>
        <w:t xml:space="preserve"> </w:t>
      </w:r>
      <w:r w:rsidRPr="005E6081">
        <w:rPr>
          <w:rFonts w:ascii="Segoe UI"/>
          <w:i/>
          <w:sz w:val="21"/>
        </w:rPr>
        <w:t>Hub</w:t>
      </w:r>
      <w:r w:rsidRPr="005E6081">
        <w:rPr>
          <w:rFonts w:ascii="Segoe UI"/>
          <w:i/>
          <w:spacing w:val="-9"/>
          <w:sz w:val="21"/>
        </w:rPr>
        <w:t xml:space="preserve"> </w:t>
      </w:r>
      <w:r w:rsidRPr="005E6081">
        <w:rPr>
          <w:rFonts w:ascii="Segoe UI"/>
          <w:i/>
          <w:sz w:val="21"/>
        </w:rPr>
        <w:t>for Latin America and the Caribbean (UNDP RH</w:t>
      </w:r>
      <w:r w:rsidRPr="005E6081">
        <w:rPr>
          <w:rFonts w:ascii="Segoe UI"/>
          <w:i/>
          <w:spacing w:val="-5"/>
          <w:sz w:val="21"/>
        </w:rPr>
        <w:t xml:space="preserve"> </w:t>
      </w:r>
      <w:r w:rsidRPr="005E6081">
        <w:rPr>
          <w:rFonts w:ascii="Segoe UI"/>
          <w:i/>
          <w:sz w:val="21"/>
        </w:rPr>
        <w:t>LAC)</w:t>
      </w:r>
      <w:r w:rsidRPr="005E6081">
        <w:rPr>
          <w:rFonts w:ascii="Segoe UI"/>
          <w:sz w:val="21"/>
        </w:rPr>
        <w:t>.</w:t>
      </w:r>
    </w:p>
    <w:p w14:paraId="6B766FA2" w14:textId="77777777" w:rsidR="00E136A1" w:rsidRPr="005E6081" w:rsidRDefault="00E136A1" w:rsidP="00E136A1">
      <w:pPr>
        <w:spacing w:before="5" w:line="237" w:lineRule="auto"/>
        <w:ind w:left="500" w:right="1434"/>
        <w:jc w:val="both"/>
        <w:rPr>
          <w:rFonts w:ascii="Segoe UI" w:hAnsi="Segoe UI"/>
          <w:sz w:val="21"/>
        </w:rPr>
      </w:pPr>
      <w:r w:rsidRPr="005E6081">
        <w:rPr>
          <w:rFonts w:ascii="Segoe UI" w:hAnsi="Segoe UI"/>
          <w:sz w:val="21"/>
        </w:rPr>
        <w:t xml:space="preserve">The first project is titled </w:t>
      </w:r>
      <w:r w:rsidRPr="005E6081">
        <w:rPr>
          <w:rFonts w:ascii="Segoe UI" w:hAnsi="Segoe UI"/>
          <w:b/>
          <w:i/>
          <w:sz w:val="21"/>
        </w:rPr>
        <w:t xml:space="preserve">Reducing Deforestation from Commodity Production </w:t>
      </w:r>
      <w:r w:rsidRPr="005E6081">
        <w:rPr>
          <w:rFonts w:ascii="Segoe UI" w:hAnsi="Segoe UI"/>
          <w:i/>
          <w:sz w:val="21"/>
        </w:rPr>
        <w:t>(PIMS #5664- Atlas award</w:t>
      </w:r>
      <w:r w:rsidRPr="005E6081">
        <w:rPr>
          <w:rFonts w:ascii="Segoe UI" w:hAnsi="Segoe UI"/>
          <w:i/>
          <w:spacing w:val="-8"/>
          <w:sz w:val="21"/>
        </w:rPr>
        <w:t xml:space="preserve"> </w:t>
      </w:r>
      <w:r w:rsidRPr="005E6081">
        <w:rPr>
          <w:rFonts w:ascii="Segoe UI" w:hAnsi="Segoe UI"/>
          <w:i/>
          <w:sz w:val="21"/>
        </w:rPr>
        <w:t>00098209)</w:t>
      </w:r>
      <w:r w:rsidRPr="005E6081">
        <w:rPr>
          <w:rFonts w:ascii="Segoe UI" w:hAnsi="Segoe UI"/>
          <w:i/>
          <w:spacing w:val="-7"/>
          <w:sz w:val="21"/>
        </w:rPr>
        <w:t xml:space="preserve"> </w:t>
      </w:r>
      <w:r w:rsidRPr="005E6081">
        <w:rPr>
          <w:rFonts w:ascii="Segoe UI" w:hAnsi="Segoe UI"/>
          <w:i/>
          <w:sz w:val="21"/>
        </w:rPr>
        <w:t>–</w:t>
      </w:r>
      <w:r w:rsidRPr="005E6081">
        <w:rPr>
          <w:rFonts w:ascii="Segoe UI" w:hAnsi="Segoe UI"/>
          <w:i/>
          <w:spacing w:val="-7"/>
          <w:sz w:val="21"/>
        </w:rPr>
        <w:t xml:space="preserve"> </w:t>
      </w:r>
      <w:r w:rsidRPr="005E6081">
        <w:rPr>
          <w:rFonts w:ascii="Segoe UI" w:hAnsi="Segoe UI"/>
          <w:sz w:val="21"/>
        </w:rPr>
        <w:t>a</w:t>
      </w:r>
      <w:r w:rsidRPr="005E6081">
        <w:rPr>
          <w:rFonts w:ascii="Segoe UI" w:hAnsi="Segoe UI"/>
          <w:spacing w:val="-7"/>
          <w:sz w:val="21"/>
        </w:rPr>
        <w:t xml:space="preserve"> </w:t>
      </w:r>
      <w:r w:rsidRPr="005E6081">
        <w:rPr>
          <w:rFonts w:ascii="Segoe UI" w:hAnsi="Segoe UI"/>
          <w:sz w:val="21"/>
        </w:rPr>
        <w:t>global</w:t>
      </w:r>
      <w:r w:rsidRPr="005E6081">
        <w:rPr>
          <w:rFonts w:ascii="Segoe UI" w:hAnsi="Segoe UI"/>
          <w:spacing w:val="-7"/>
          <w:sz w:val="21"/>
        </w:rPr>
        <w:t xml:space="preserve"> </w:t>
      </w:r>
      <w:r w:rsidRPr="005E6081">
        <w:rPr>
          <w:rFonts w:ascii="Segoe UI" w:hAnsi="Segoe UI"/>
          <w:sz w:val="21"/>
        </w:rPr>
        <w:t>project</w:t>
      </w:r>
      <w:r w:rsidRPr="005E6081">
        <w:rPr>
          <w:rFonts w:ascii="Segoe UI" w:hAnsi="Segoe UI"/>
          <w:spacing w:val="-9"/>
          <w:sz w:val="21"/>
        </w:rPr>
        <w:t xml:space="preserve"> </w:t>
      </w:r>
      <w:r w:rsidRPr="005E6081">
        <w:rPr>
          <w:rFonts w:ascii="Segoe UI" w:hAnsi="Segoe UI"/>
          <w:sz w:val="21"/>
        </w:rPr>
        <w:t>working</w:t>
      </w:r>
      <w:r w:rsidRPr="005E6081">
        <w:rPr>
          <w:rFonts w:ascii="Segoe UI" w:hAnsi="Segoe UI"/>
          <w:spacing w:val="-7"/>
          <w:sz w:val="21"/>
        </w:rPr>
        <w:t xml:space="preserve"> </w:t>
      </w:r>
      <w:r w:rsidRPr="005E6081">
        <w:rPr>
          <w:rFonts w:ascii="Segoe UI" w:hAnsi="Segoe UI"/>
          <w:sz w:val="21"/>
        </w:rPr>
        <w:t>in</w:t>
      </w:r>
      <w:r w:rsidRPr="005E6081">
        <w:rPr>
          <w:rFonts w:ascii="Segoe UI" w:hAnsi="Segoe UI"/>
          <w:spacing w:val="-7"/>
          <w:sz w:val="21"/>
        </w:rPr>
        <w:t xml:space="preserve"> </w:t>
      </w:r>
      <w:r w:rsidRPr="005E6081">
        <w:rPr>
          <w:rFonts w:ascii="Segoe UI" w:hAnsi="Segoe UI"/>
          <w:sz w:val="21"/>
        </w:rPr>
        <w:t>Indonesia,</w:t>
      </w:r>
      <w:r w:rsidRPr="005E6081">
        <w:rPr>
          <w:rFonts w:ascii="Segoe UI" w:hAnsi="Segoe UI"/>
          <w:spacing w:val="-7"/>
          <w:sz w:val="21"/>
        </w:rPr>
        <w:t xml:space="preserve"> </w:t>
      </w:r>
      <w:r w:rsidRPr="005E6081">
        <w:rPr>
          <w:rFonts w:ascii="Segoe UI" w:hAnsi="Segoe UI"/>
          <w:sz w:val="21"/>
        </w:rPr>
        <w:t>Liberia</w:t>
      </w:r>
      <w:r w:rsidRPr="005E6081">
        <w:rPr>
          <w:rFonts w:ascii="Segoe UI" w:hAnsi="Segoe UI"/>
          <w:spacing w:val="-9"/>
          <w:sz w:val="21"/>
        </w:rPr>
        <w:t xml:space="preserve"> </w:t>
      </w:r>
      <w:r w:rsidRPr="005E6081">
        <w:rPr>
          <w:rFonts w:ascii="Segoe UI" w:hAnsi="Segoe UI"/>
          <w:sz w:val="21"/>
        </w:rPr>
        <w:t>and</w:t>
      </w:r>
      <w:r w:rsidRPr="005E6081">
        <w:rPr>
          <w:rFonts w:ascii="Segoe UI" w:hAnsi="Segoe UI"/>
          <w:spacing w:val="-7"/>
          <w:sz w:val="21"/>
        </w:rPr>
        <w:t xml:space="preserve"> </w:t>
      </w:r>
      <w:r w:rsidRPr="005E6081">
        <w:rPr>
          <w:rFonts w:ascii="Segoe UI" w:hAnsi="Segoe UI"/>
          <w:sz w:val="21"/>
        </w:rPr>
        <w:t>Paraguay.</w:t>
      </w:r>
      <w:r w:rsidRPr="005E6081">
        <w:rPr>
          <w:rFonts w:ascii="Segoe UI" w:hAnsi="Segoe UI"/>
          <w:spacing w:val="-6"/>
          <w:sz w:val="21"/>
        </w:rPr>
        <w:t xml:space="preserve"> </w:t>
      </w:r>
      <w:r w:rsidRPr="005E6081">
        <w:rPr>
          <w:rFonts w:ascii="Segoe UI" w:hAnsi="Segoe UI"/>
          <w:sz w:val="21"/>
        </w:rPr>
        <w:t>The</w:t>
      </w:r>
      <w:r w:rsidRPr="005E6081">
        <w:rPr>
          <w:rFonts w:ascii="Segoe UI" w:hAnsi="Segoe UI"/>
          <w:spacing w:val="-7"/>
          <w:sz w:val="21"/>
        </w:rPr>
        <w:t xml:space="preserve"> </w:t>
      </w:r>
      <w:r w:rsidRPr="005E6081">
        <w:rPr>
          <w:rFonts w:ascii="Segoe UI" w:hAnsi="Segoe UI"/>
          <w:sz w:val="21"/>
        </w:rPr>
        <w:t>project</w:t>
      </w:r>
      <w:r w:rsidRPr="005E6081">
        <w:rPr>
          <w:rFonts w:ascii="Segoe UI" w:hAnsi="Segoe UI"/>
          <w:spacing w:val="-7"/>
          <w:sz w:val="21"/>
        </w:rPr>
        <w:t xml:space="preserve"> </w:t>
      </w:r>
      <w:r w:rsidRPr="005E6081">
        <w:rPr>
          <w:rFonts w:ascii="Segoe UI" w:hAnsi="Segoe UI"/>
          <w:sz w:val="21"/>
        </w:rPr>
        <w:t>started</w:t>
      </w:r>
      <w:r w:rsidRPr="005E6081">
        <w:rPr>
          <w:rFonts w:ascii="Segoe UI" w:hAnsi="Segoe UI"/>
          <w:spacing w:val="-9"/>
          <w:sz w:val="21"/>
        </w:rPr>
        <w:t xml:space="preserve"> </w:t>
      </w:r>
      <w:r w:rsidRPr="005E6081">
        <w:rPr>
          <w:rFonts w:ascii="Segoe UI" w:hAnsi="Segoe UI"/>
          <w:sz w:val="21"/>
        </w:rPr>
        <w:t xml:space="preserve">on the </w:t>
      </w:r>
      <w:r w:rsidRPr="005E6081">
        <w:rPr>
          <w:rFonts w:ascii="Segoe UI" w:hAnsi="Segoe UI"/>
          <w:i/>
          <w:sz w:val="21"/>
        </w:rPr>
        <w:t>15</w:t>
      </w:r>
      <w:r w:rsidRPr="005E6081">
        <w:rPr>
          <w:rFonts w:ascii="Segoe UI" w:hAnsi="Segoe UI"/>
          <w:i/>
          <w:position w:val="8"/>
          <w:sz w:val="14"/>
        </w:rPr>
        <w:t xml:space="preserve">th </w:t>
      </w:r>
      <w:r w:rsidRPr="005E6081">
        <w:rPr>
          <w:rFonts w:ascii="Segoe UI" w:hAnsi="Segoe UI"/>
          <w:i/>
          <w:sz w:val="21"/>
        </w:rPr>
        <w:t xml:space="preserve">of June 2017 </w:t>
      </w:r>
      <w:r w:rsidRPr="005E6081">
        <w:rPr>
          <w:rFonts w:ascii="Segoe UI" w:hAnsi="Segoe UI"/>
          <w:sz w:val="21"/>
        </w:rPr>
        <w:t xml:space="preserve">(with the Paraguay portion starting on the </w:t>
      </w:r>
      <w:r w:rsidRPr="005E6081">
        <w:rPr>
          <w:rFonts w:ascii="Segoe UI" w:hAnsi="Segoe UI"/>
          <w:i/>
          <w:sz w:val="21"/>
        </w:rPr>
        <w:t>3</w:t>
      </w:r>
      <w:r w:rsidRPr="005E6081">
        <w:rPr>
          <w:rFonts w:ascii="Segoe UI" w:hAnsi="Segoe UI"/>
          <w:i/>
          <w:position w:val="8"/>
          <w:sz w:val="14"/>
        </w:rPr>
        <w:t xml:space="preserve">rd </w:t>
      </w:r>
      <w:r w:rsidRPr="005E6081">
        <w:rPr>
          <w:rFonts w:ascii="Segoe UI" w:hAnsi="Segoe UI"/>
          <w:i/>
          <w:sz w:val="21"/>
        </w:rPr>
        <w:t>of July</w:t>
      </w:r>
      <w:r w:rsidRPr="005E6081">
        <w:rPr>
          <w:rFonts w:ascii="Segoe UI" w:hAnsi="Segoe UI"/>
          <w:i/>
          <w:spacing w:val="24"/>
          <w:sz w:val="21"/>
        </w:rPr>
        <w:t xml:space="preserve"> </w:t>
      </w:r>
      <w:r w:rsidRPr="005E6081">
        <w:rPr>
          <w:rFonts w:ascii="Segoe UI" w:hAnsi="Segoe UI"/>
          <w:i/>
          <w:sz w:val="21"/>
        </w:rPr>
        <w:t>2017</w:t>
      </w:r>
      <w:r w:rsidRPr="005E6081">
        <w:rPr>
          <w:rFonts w:ascii="Segoe UI" w:hAnsi="Segoe UI"/>
          <w:sz w:val="21"/>
        </w:rPr>
        <w:t>).</w:t>
      </w:r>
    </w:p>
    <w:p w14:paraId="39A58839" w14:textId="77777777" w:rsidR="00E136A1" w:rsidRPr="005E6081" w:rsidRDefault="00E136A1" w:rsidP="00E136A1">
      <w:pPr>
        <w:spacing w:before="5" w:line="235" w:lineRule="auto"/>
        <w:ind w:left="500" w:right="1434"/>
        <w:jc w:val="both"/>
        <w:rPr>
          <w:rFonts w:ascii="Segoe UI" w:hAnsi="Segoe UI"/>
          <w:sz w:val="21"/>
        </w:rPr>
      </w:pPr>
      <w:r w:rsidRPr="005E6081">
        <w:rPr>
          <w:rFonts w:ascii="Segoe UI" w:hAnsi="Segoe UI"/>
          <w:sz w:val="21"/>
        </w:rPr>
        <w:t xml:space="preserve">The second project is titled </w:t>
      </w:r>
      <w:r w:rsidRPr="005E6081">
        <w:rPr>
          <w:rFonts w:ascii="Segoe UI" w:hAnsi="Segoe UI"/>
          <w:b/>
          <w:i/>
          <w:sz w:val="21"/>
        </w:rPr>
        <w:t xml:space="preserve">Adaptive Management and Learning for the Commodities IAP </w:t>
      </w:r>
      <w:r w:rsidRPr="005E6081">
        <w:rPr>
          <w:rFonts w:ascii="Segoe UI" w:hAnsi="Segoe UI"/>
          <w:sz w:val="21"/>
        </w:rPr>
        <w:t>(</w:t>
      </w:r>
      <w:r w:rsidRPr="005E6081">
        <w:rPr>
          <w:rFonts w:ascii="Segoe UI" w:hAnsi="Segoe UI"/>
          <w:i/>
          <w:sz w:val="21"/>
        </w:rPr>
        <w:t>PIMS #5665- Atlas award 00097946</w:t>
      </w:r>
      <w:r w:rsidRPr="005E6081">
        <w:rPr>
          <w:rFonts w:ascii="Segoe UI" w:hAnsi="Segoe UI"/>
          <w:sz w:val="21"/>
        </w:rPr>
        <w:t xml:space="preserve">) –which is also a global project. It started on the </w:t>
      </w:r>
      <w:r w:rsidRPr="005E6081">
        <w:rPr>
          <w:rFonts w:ascii="Segoe UI" w:hAnsi="Segoe UI"/>
          <w:i/>
          <w:sz w:val="21"/>
        </w:rPr>
        <w:t>3</w:t>
      </w:r>
      <w:r w:rsidRPr="005E6081">
        <w:rPr>
          <w:rFonts w:ascii="Segoe UI" w:hAnsi="Segoe UI"/>
          <w:i/>
          <w:position w:val="8"/>
          <w:sz w:val="14"/>
        </w:rPr>
        <w:t xml:space="preserve">rd </w:t>
      </w:r>
      <w:r w:rsidRPr="005E6081">
        <w:rPr>
          <w:rFonts w:ascii="Segoe UI" w:hAnsi="Segoe UI"/>
          <w:i/>
          <w:sz w:val="21"/>
        </w:rPr>
        <w:t>of March 2017</w:t>
      </w:r>
      <w:r w:rsidRPr="005E6081">
        <w:rPr>
          <w:rFonts w:ascii="Segoe UI" w:hAnsi="Segoe UI"/>
          <w:sz w:val="21"/>
        </w:rPr>
        <w:t>.</w:t>
      </w:r>
    </w:p>
    <w:p w14:paraId="1E67BB9D" w14:textId="77777777" w:rsidR="00E136A1" w:rsidRPr="005E6081" w:rsidRDefault="00E136A1" w:rsidP="00E136A1">
      <w:pPr>
        <w:ind w:left="500" w:right="1439"/>
        <w:jc w:val="both"/>
        <w:rPr>
          <w:rFonts w:ascii="Segoe UI"/>
          <w:sz w:val="21"/>
        </w:rPr>
      </w:pPr>
      <w:r w:rsidRPr="005E6081">
        <w:rPr>
          <w:rFonts w:ascii="Segoe UI"/>
          <w:sz w:val="21"/>
        </w:rPr>
        <w:t>Both projects are now in their 4</w:t>
      </w:r>
      <w:r w:rsidRPr="005E6081">
        <w:rPr>
          <w:rFonts w:ascii="Segoe UI"/>
          <w:position w:val="8"/>
          <w:sz w:val="14"/>
        </w:rPr>
        <w:t xml:space="preserve">th </w:t>
      </w:r>
      <w:r w:rsidRPr="005E6081">
        <w:rPr>
          <w:rFonts w:ascii="Segoe UI"/>
          <w:sz w:val="21"/>
        </w:rPr>
        <w:t>year of implementation and will end respectively on 14 June 2022 and 31 March 2022.</w:t>
      </w:r>
    </w:p>
    <w:p w14:paraId="0C9545C3" w14:textId="77777777" w:rsidR="00E136A1" w:rsidRPr="005E6081" w:rsidRDefault="00E136A1" w:rsidP="00E136A1">
      <w:pPr>
        <w:ind w:left="500" w:right="1433"/>
        <w:jc w:val="both"/>
        <w:rPr>
          <w:rFonts w:ascii="Segoe UI" w:hAnsi="Segoe UI"/>
          <w:sz w:val="21"/>
        </w:rPr>
      </w:pPr>
      <w:r w:rsidRPr="005E6081">
        <w:rPr>
          <w:rFonts w:ascii="Segoe UI" w:hAnsi="Segoe UI"/>
          <w:sz w:val="21"/>
        </w:rPr>
        <w:t xml:space="preserve">Separate TEs will be conducted for each project, though with an understanding of the broader GGP context. In both cases, the TE process must follow the guidance outlined in the document </w:t>
      </w:r>
      <w:r w:rsidRPr="005E6081">
        <w:rPr>
          <w:rFonts w:ascii="Segoe UI" w:hAnsi="Segoe UI"/>
          <w:sz w:val="21"/>
          <w:u w:val="single" w:color="0000FF"/>
        </w:rPr>
        <w:t>‘Guidance</w:t>
      </w:r>
      <w:r w:rsidRPr="005E6081">
        <w:rPr>
          <w:rFonts w:ascii="Segoe UI" w:hAnsi="Segoe UI"/>
          <w:sz w:val="21"/>
        </w:rPr>
        <w:t xml:space="preserve"> </w:t>
      </w:r>
      <w:r w:rsidRPr="005E6081">
        <w:rPr>
          <w:rFonts w:ascii="Segoe UI" w:hAnsi="Segoe UI"/>
          <w:sz w:val="21"/>
          <w:u w:val="single" w:color="0000FF"/>
        </w:rPr>
        <w:t>for Conducting Terminal Evaluations of UNDP-Supported, GEF-Financed Projects’</w:t>
      </w:r>
      <w:r w:rsidRPr="005E6081">
        <w:rPr>
          <w:rFonts w:ascii="Segoe UI" w:hAnsi="Segoe UI"/>
          <w:sz w:val="21"/>
        </w:rPr>
        <w:t>.</w:t>
      </w:r>
    </w:p>
    <w:bookmarkEnd w:id="106"/>
    <w:p w14:paraId="55A20781" w14:textId="77777777" w:rsidR="00E136A1" w:rsidRPr="005E6081" w:rsidRDefault="00E136A1" w:rsidP="00E136A1">
      <w:pPr>
        <w:pStyle w:val="BodyText"/>
        <w:rPr>
          <w:rFonts w:ascii="Segoe UI"/>
          <w:sz w:val="26"/>
        </w:rPr>
      </w:pPr>
    </w:p>
    <w:p w14:paraId="4406CC82" w14:textId="77777777" w:rsidR="00E136A1" w:rsidRPr="005E6081" w:rsidRDefault="00E136A1" w:rsidP="00E136A1">
      <w:pPr>
        <w:rPr>
          <w:sz w:val="30"/>
        </w:rPr>
      </w:pPr>
      <w:r w:rsidRPr="005E6081">
        <w:t>PROJECT BACKGROUND AND</w:t>
      </w:r>
      <w:r w:rsidRPr="005E6081">
        <w:rPr>
          <w:spacing w:val="2"/>
        </w:rPr>
        <w:t xml:space="preserve"> </w:t>
      </w:r>
      <w:r w:rsidRPr="005E6081">
        <w:t>CONTEXT</w:t>
      </w:r>
    </w:p>
    <w:p w14:paraId="53E07F9A" w14:textId="77777777" w:rsidR="00E136A1" w:rsidRPr="005E6081" w:rsidRDefault="00E136A1" w:rsidP="00E136A1">
      <w:pPr>
        <w:spacing w:before="267"/>
        <w:ind w:left="500" w:right="1433"/>
        <w:jc w:val="both"/>
        <w:rPr>
          <w:rFonts w:ascii="Segoe UI" w:hAnsi="Segoe UI"/>
          <w:sz w:val="21"/>
        </w:rPr>
      </w:pPr>
      <w:r w:rsidRPr="005E6081">
        <w:rPr>
          <w:rFonts w:ascii="Segoe UI" w:hAnsi="Segoe UI"/>
          <w:sz w:val="21"/>
        </w:rPr>
        <w:t xml:space="preserve">The </w:t>
      </w:r>
      <w:r w:rsidRPr="005E6081">
        <w:rPr>
          <w:rFonts w:ascii="Segoe UI" w:hAnsi="Segoe UI"/>
          <w:b/>
          <w:sz w:val="21"/>
          <w:u w:val="single" w:color="0000FF"/>
        </w:rPr>
        <w:t>Good Growth Partnership (GGP)</w:t>
      </w:r>
      <w:r w:rsidRPr="005E6081">
        <w:rPr>
          <w:rFonts w:ascii="Segoe UI" w:hAnsi="Segoe UI"/>
          <w:b/>
          <w:sz w:val="21"/>
        </w:rPr>
        <w:t xml:space="preserve"> </w:t>
      </w:r>
      <w:r w:rsidRPr="005E6081">
        <w:rPr>
          <w:rFonts w:ascii="Segoe UI" w:hAnsi="Segoe UI"/>
          <w:sz w:val="21"/>
        </w:rPr>
        <w:t>is a GEF-financed integrated approach pilot (IAP) programme, “</w:t>
      </w:r>
      <w:r w:rsidRPr="005E6081">
        <w:rPr>
          <w:rFonts w:ascii="Segoe UI" w:hAnsi="Segoe UI"/>
          <w:i/>
          <w:sz w:val="21"/>
        </w:rPr>
        <w:t xml:space="preserve">Taking Deforestation out of Commodity Supply Chains” </w:t>
      </w:r>
      <w:r w:rsidRPr="005E6081">
        <w:rPr>
          <w:rFonts w:ascii="Segoe UI" w:hAnsi="Segoe UI"/>
          <w:sz w:val="21"/>
        </w:rPr>
        <w:t xml:space="preserve">(also  referred  to  as  </w:t>
      </w:r>
      <w:r w:rsidRPr="005E6081">
        <w:rPr>
          <w:rFonts w:ascii="Segoe UI" w:hAnsi="Segoe UI"/>
          <w:i/>
          <w:sz w:val="21"/>
        </w:rPr>
        <w:t xml:space="preserve">“the  Commodities  IAP”) </w:t>
      </w:r>
      <w:r w:rsidRPr="005E6081">
        <w:rPr>
          <w:rFonts w:ascii="Segoe UI" w:hAnsi="Segoe UI"/>
          <w:sz w:val="21"/>
        </w:rPr>
        <w:t>aiming to reduce the global impacts of agricultural commodities on greenhouse gas (GHG) emissions and biodiversity by meeting the growing demand of palm oil, soy and beef through supply that does not lead to deforestation and related GHG</w:t>
      </w:r>
      <w:r w:rsidRPr="005E6081">
        <w:rPr>
          <w:rFonts w:ascii="Segoe UI" w:hAnsi="Segoe UI"/>
          <w:spacing w:val="-7"/>
          <w:sz w:val="21"/>
        </w:rPr>
        <w:t xml:space="preserve"> </w:t>
      </w:r>
      <w:r w:rsidRPr="005E6081">
        <w:rPr>
          <w:rFonts w:ascii="Segoe UI" w:hAnsi="Segoe UI"/>
          <w:sz w:val="21"/>
        </w:rPr>
        <w:t>emissions.</w:t>
      </w:r>
    </w:p>
    <w:p w14:paraId="668C11C2" w14:textId="77777777" w:rsidR="00E136A1" w:rsidRPr="005E6081" w:rsidRDefault="00E136A1" w:rsidP="00E136A1">
      <w:pPr>
        <w:ind w:left="500" w:right="1434"/>
        <w:jc w:val="both"/>
        <w:rPr>
          <w:rFonts w:ascii="Segoe UI"/>
          <w:sz w:val="21"/>
        </w:rPr>
      </w:pPr>
      <w:r w:rsidRPr="005E6081">
        <w:rPr>
          <w:rFonts w:ascii="Segoe UI"/>
          <w:sz w:val="21"/>
        </w:rPr>
        <w:t xml:space="preserve">It consists of 5 </w:t>
      </w:r>
      <w:r w:rsidRPr="005E6081">
        <w:rPr>
          <w:rFonts w:ascii="Segoe UI"/>
          <w:i/>
          <w:sz w:val="21"/>
        </w:rPr>
        <w:t xml:space="preserve">child projects </w:t>
      </w:r>
      <w:r w:rsidRPr="005E6081">
        <w:rPr>
          <w:rFonts w:ascii="Segoe UI"/>
          <w:sz w:val="21"/>
        </w:rPr>
        <w:t>working across production, financing, and demand in Brazil, Indonesia, Liberia, and Paraguay (integrated supply chain approach). Working with a full range of stakeholders, from small-scale producers to national governments and global corporations, the GGP promotes a holistic approach to sustainability that encompasses entire commodity supply chains and looks at where</w:t>
      </w:r>
      <w:r w:rsidRPr="005E6081">
        <w:rPr>
          <w:rFonts w:ascii="Segoe UI"/>
          <w:spacing w:val="-11"/>
          <w:sz w:val="21"/>
        </w:rPr>
        <w:t xml:space="preserve"> </w:t>
      </w:r>
      <w:r w:rsidRPr="005E6081">
        <w:rPr>
          <w:rFonts w:ascii="Segoe UI"/>
          <w:sz w:val="21"/>
        </w:rPr>
        <w:t>the</w:t>
      </w:r>
      <w:r w:rsidRPr="005E6081">
        <w:rPr>
          <w:rFonts w:ascii="Segoe UI"/>
          <w:spacing w:val="-10"/>
          <w:sz w:val="21"/>
        </w:rPr>
        <w:t xml:space="preserve"> </w:t>
      </w:r>
      <w:r w:rsidRPr="005E6081">
        <w:rPr>
          <w:rFonts w:ascii="Segoe UI"/>
          <w:sz w:val="21"/>
        </w:rPr>
        <w:t>layers</w:t>
      </w:r>
      <w:r w:rsidRPr="005E6081">
        <w:rPr>
          <w:rFonts w:ascii="Segoe UI"/>
          <w:spacing w:val="-13"/>
          <w:sz w:val="21"/>
        </w:rPr>
        <w:t xml:space="preserve"> </w:t>
      </w:r>
      <w:r w:rsidRPr="005E6081">
        <w:rPr>
          <w:rFonts w:ascii="Segoe UI"/>
          <w:sz w:val="21"/>
        </w:rPr>
        <w:t>of</w:t>
      </w:r>
      <w:r w:rsidRPr="005E6081">
        <w:rPr>
          <w:rFonts w:ascii="Segoe UI"/>
          <w:spacing w:val="-9"/>
          <w:sz w:val="21"/>
        </w:rPr>
        <w:t xml:space="preserve"> </w:t>
      </w:r>
      <w:r w:rsidRPr="005E6081">
        <w:rPr>
          <w:rFonts w:ascii="Segoe UI"/>
          <w:sz w:val="21"/>
        </w:rPr>
        <w:t>the</w:t>
      </w:r>
      <w:r w:rsidRPr="005E6081">
        <w:rPr>
          <w:rFonts w:ascii="Segoe UI"/>
          <w:spacing w:val="-10"/>
          <w:sz w:val="21"/>
        </w:rPr>
        <w:t xml:space="preserve"> </w:t>
      </w:r>
      <w:r w:rsidRPr="005E6081">
        <w:rPr>
          <w:rFonts w:ascii="Segoe UI"/>
          <w:sz w:val="21"/>
        </w:rPr>
        <w:t>supply</w:t>
      </w:r>
      <w:r w:rsidRPr="005E6081">
        <w:rPr>
          <w:rFonts w:ascii="Segoe UI"/>
          <w:spacing w:val="-9"/>
          <w:sz w:val="21"/>
        </w:rPr>
        <w:t xml:space="preserve"> </w:t>
      </w:r>
      <w:r w:rsidRPr="005E6081">
        <w:rPr>
          <w:rFonts w:ascii="Segoe UI"/>
          <w:sz w:val="21"/>
        </w:rPr>
        <w:t>chain</w:t>
      </w:r>
      <w:r w:rsidRPr="005E6081">
        <w:rPr>
          <w:rFonts w:ascii="Segoe UI"/>
          <w:spacing w:val="-10"/>
          <w:sz w:val="21"/>
        </w:rPr>
        <w:t xml:space="preserve"> </w:t>
      </w:r>
      <w:r w:rsidRPr="005E6081">
        <w:rPr>
          <w:rFonts w:ascii="Segoe UI"/>
          <w:sz w:val="21"/>
        </w:rPr>
        <w:t>integrate</w:t>
      </w:r>
      <w:r w:rsidRPr="005E6081">
        <w:rPr>
          <w:rFonts w:ascii="Segoe UI"/>
          <w:spacing w:val="-10"/>
          <w:sz w:val="21"/>
        </w:rPr>
        <w:t xml:space="preserve"> </w:t>
      </w:r>
      <w:r w:rsidRPr="005E6081">
        <w:rPr>
          <w:rFonts w:ascii="Segoe UI"/>
          <w:sz w:val="21"/>
        </w:rPr>
        <w:t>and</w:t>
      </w:r>
      <w:r w:rsidRPr="005E6081">
        <w:rPr>
          <w:rFonts w:ascii="Segoe UI"/>
          <w:spacing w:val="-10"/>
          <w:sz w:val="21"/>
        </w:rPr>
        <w:t xml:space="preserve"> </w:t>
      </w:r>
      <w:r w:rsidRPr="005E6081">
        <w:rPr>
          <w:rFonts w:ascii="Segoe UI"/>
          <w:sz w:val="21"/>
        </w:rPr>
        <w:t>overlap</w:t>
      </w:r>
      <w:r w:rsidRPr="005E6081">
        <w:rPr>
          <w:rFonts w:ascii="Segoe UI"/>
          <w:spacing w:val="-9"/>
          <w:sz w:val="21"/>
        </w:rPr>
        <w:t xml:space="preserve"> </w:t>
      </w:r>
      <w:r w:rsidRPr="005E6081">
        <w:rPr>
          <w:rFonts w:ascii="Segoe UI"/>
          <w:sz w:val="21"/>
        </w:rPr>
        <w:t>to</w:t>
      </w:r>
      <w:r w:rsidRPr="005E6081">
        <w:rPr>
          <w:rFonts w:ascii="Segoe UI"/>
          <w:spacing w:val="-9"/>
          <w:sz w:val="21"/>
        </w:rPr>
        <w:t xml:space="preserve"> </w:t>
      </w:r>
      <w:r w:rsidRPr="005E6081">
        <w:rPr>
          <w:rFonts w:ascii="Segoe UI"/>
          <w:sz w:val="21"/>
        </w:rPr>
        <w:t>enhance</w:t>
      </w:r>
      <w:r w:rsidRPr="005E6081">
        <w:rPr>
          <w:rFonts w:ascii="Segoe UI"/>
          <w:spacing w:val="-10"/>
          <w:sz w:val="21"/>
        </w:rPr>
        <w:t xml:space="preserve"> </w:t>
      </w:r>
      <w:r w:rsidRPr="005E6081">
        <w:rPr>
          <w:rFonts w:ascii="Segoe UI"/>
          <w:sz w:val="21"/>
        </w:rPr>
        <w:t>financial</w:t>
      </w:r>
      <w:r w:rsidRPr="005E6081">
        <w:rPr>
          <w:rFonts w:ascii="Segoe UI"/>
          <w:spacing w:val="-13"/>
          <w:sz w:val="21"/>
        </w:rPr>
        <w:t xml:space="preserve"> </w:t>
      </w:r>
      <w:r w:rsidRPr="005E6081">
        <w:rPr>
          <w:rFonts w:ascii="Segoe UI"/>
          <w:sz w:val="21"/>
        </w:rPr>
        <w:t>incentives</w:t>
      </w:r>
      <w:r w:rsidRPr="005E6081">
        <w:rPr>
          <w:rFonts w:ascii="Segoe UI"/>
          <w:spacing w:val="-11"/>
          <w:sz w:val="21"/>
        </w:rPr>
        <w:t xml:space="preserve"> </w:t>
      </w:r>
      <w:r w:rsidRPr="005E6081">
        <w:rPr>
          <w:rFonts w:ascii="Segoe UI"/>
          <w:sz w:val="21"/>
        </w:rPr>
        <w:t>and</w:t>
      </w:r>
      <w:r w:rsidRPr="005E6081">
        <w:rPr>
          <w:rFonts w:ascii="Segoe UI"/>
          <w:spacing w:val="-10"/>
          <w:sz w:val="21"/>
        </w:rPr>
        <w:t xml:space="preserve"> </w:t>
      </w:r>
      <w:r w:rsidRPr="005E6081">
        <w:rPr>
          <w:rFonts w:ascii="Segoe UI"/>
          <w:sz w:val="21"/>
        </w:rPr>
        <w:t>demand for</w:t>
      </w:r>
      <w:r w:rsidRPr="005E6081">
        <w:rPr>
          <w:rFonts w:ascii="Segoe UI"/>
          <w:spacing w:val="-12"/>
          <w:sz w:val="21"/>
        </w:rPr>
        <w:t xml:space="preserve"> </w:t>
      </w:r>
      <w:r w:rsidRPr="005E6081">
        <w:rPr>
          <w:rFonts w:ascii="Segoe UI"/>
          <w:sz w:val="21"/>
        </w:rPr>
        <w:t>sustainably</w:t>
      </w:r>
      <w:r w:rsidRPr="005E6081">
        <w:rPr>
          <w:rFonts w:ascii="Segoe UI"/>
          <w:spacing w:val="-15"/>
          <w:sz w:val="21"/>
        </w:rPr>
        <w:t xml:space="preserve"> </w:t>
      </w:r>
      <w:r w:rsidRPr="005E6081">
        <w:rPr>
          <w:rFonts w:ascii="Segoe UI"/>
          <w:sz w:val="21"/>
        </w:rPr>
        <w:lastRenderedPageBreak/>
        <w:t>produced</w:t>
      </w:r>
      <w:r w:rsidRPr="005E6081">
        <w:rPr>
          <w:rFonts w:ascii="Segoe UI"/>
          <w:spacing w:val="-14"/>
          <w:sz w:val="21"/>
        </w:rPr>
        <w:t xml:space="preserve"> </w:t>
      </w:r>
      <w:r w:rsidRPr="005E6081">
        <w:rPr>
          <w:rFonts w:ascii="Segoe UI"/>
          <w:sz w:val="21"/>
        </w:rPr>
        <w:t>agricultural</w:t>
      </w:r>
      <w:r w:rsidRPr="005E6081">
        <w:rPr>
          <w:rFonts w:ascii="Segoe UI"/>
          <w:spacing w:val="-13"/>
          <w:sz w:val="21"/>
        </w:rPr>
        <w:t xml:space="preserve"> </w:t>
      </w:r>
      <w:r w:rsidRPr="005E6081">
        <w:rPr>
          <w:rFonts w:ascii="Segoe UI"/>
          <w:sz w:val="21"/>
        </w:rPr>
        <w:t>commodities.</w:t>
      </w:r>
      <w:r w:rsidRPr="005E6081">
        <w:rPr>
          <w:rFonts w:ascii="Segoe UI"/>
          <w:spacing w:val="-2"/>
          <w:sz w:val="21"/>
        </w:rPr>
        <w:t xml:space="preserve"> </w:t>
      </w:r>
      <w:r w:rsidRPr="005E6081">
        <w:rPr>
          <w:rFonts w:ascii="Segoe UI"/>
          <w:sz w:val="21"/>
        </w:rPr>
        <w:t>By</w:t>
      </w:r>
      <w:r w:rsidRPr="005E6081">
        <w:rPr>
          <w:rFonts w:ascii="Segoe UI"/>
          <w:spacing w:val="-14"/>
          <w:sz w:val="21"/>
        </w:rPr>
        <w:t xml:space="preserve"> </w:t>
      </w:r>
      <w:r w:rsidRPr="005E6081">
        <w:rPr>
          <w:rFonts w:ascii="Segoe UI"/>
          <w:sz w:val="21"/>
        </w:rPr>
        <w:t>combining</w:t>
      </w:r>
      <w:r w:rsidRPr="005E6081">
        <w:rPr>
          <w:rFonts w:ascii="Segoe UI"/>
          <w:spacing w:val="-13"/>
          <w:sz w:val="21"/>
        </w:rPr>
        <w:t xml:space="preserve"> </w:t>
      </w:r>
      <w:r w:rsidRPr="005E6081">
        <w:rPr>
          <w:rFonts w:ascii="Segoe UI"/>
          <w:sz w:val="21"/>
        </w:rPr>
        <w:t>forces,</w:t>
      </w:r>
      <w:r w:rsidRPr="005E6081">
        <w:rPr>
          <w:rFonts w:ascii="Segoe UI"/>
          <w:spacing w:val="-12"/>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Good</w:t>
      </w:r>
      <w:r w:rsidRPr="005E6081">
        <w:rPr>
          <w:rFonts w:ascii="Segoe UI"/>
          <w:spacing w:val="-14"/>
          <w:sz w:val="21"/>
        </w:rPr>
        <w:t xml:space="preserve"> </w:t>
      </w:r>
      <w:r w:rsidRPr="005E6081">
        <w:rPr>
          <w:rFonts w:ascii="Segoe UI"/>
          <w:sz w:val="21"/>
        </w:rPr>
        <w:t>Growth</w:t>
      </w:r>
      <w:r w:rsidRPr="005E6081">
        <w:rPr>
          <w:rFonts w:ascii="Segoe UI"/>
          <w:spacing w:val="-15"/>
          <w:sz w:val="21"/>
        </w:rPr>
        <w:t xml:space="preserve"> </w:t>
      </w:r>
      <w:r w:rsidRPr="005E6081">
        <w:rPr>
          <w:rFonts w:ascii="Segoe UI"/>
          <w:sz w:val="21"/>
        </w:rPr>
        <w:t>Partnership aims to provide a model of wide-scale systemic reform that capitalizes on the strengths of each partner.</w:t>
      </w:r>
    </w:p>
    <w:p w14:paraId="26921F03" w14:textId="77777777" w:rsidR="00E136A1" w:rsidRPr="005E6081" w:rsidRDefault="00E136A1" w:rsidP="00E136A1">
      <w:pPr>
        <w:pStyle w:val="BodyText"/>
        <w:rPr>
          <w:rFonts w:ascii="Segoe UI"/>
          <w:sz w:val="21"/>
        </w:rPr>
      </w:pPr>
    </w:p>
    <w:p w14:paraId="4EBC8045" w14:textId="77777777" w:rsidR="00E136A1" w:rsidRPr="005E6081" w:rsidRDefault="00E136A1" w:rsidP="00E136A1">
      <w:pPr>
        <w:ind w:left="500" w:right="1434"/>
        <w:jc w:val="both"/>
        <w:rPr>
          <w:rFonts w:ascii="Segoe UI" w:hAnsi="Segoe UI"/>
          <w:sz w:val="21"/>
        </w:rPr>
      </w:pPr>
      <w:r w:rsidRPr="005E6081">
        <w:rPr>
          <w:rFonts w:ascii="Segoe UI" w:hAnsi="Segoe UI"/>
          <w:sz w:val="21"/>
        </w:rPr>
        <w:t>The two child projects "Reducing Deforestation from Commodity Production” (Production) and “Adaptive Management and Learning for the Commodities IAP” (A&amp;L) – both led by the UNDP Green Commodities Programme (UNDP GCP) within RH LAC – are key parts of the GGP.</w:t>
      </w:r>
    </w:p>
    <w:p w14:paraId="3091AA2A" w14:textId="77777777" w:rsidR="00E136A1" w:rsidRPr="005E6081" w:rsidRDefault="00E136A1" w:rsidP="00E136A1">
      <w:pPr>
        <w:pStyle w:val="BodyText"/>
        <w:spacing w:before="1"/>
        <w:rPr>
          <w:rFonts w:ascii="Segoe UI"/>
          <w:sz w:val="21"/>
        </w:rPr>
      </w:pPr>
    </w:p>
    <w:p w14:paraId="5F39D197" w14:textId="77777777" w:rsidR="00E136A1" w:rsidRPr="005E6081" w:rsidRDefault="00E136A1" w:rsidP="00E136A1">
      <w:pPr>
        <w:spacing w:before="79"/>
        <w:ind w:left="500" w:right="1433"/>
        <w:jc w:val="both"/>
        <w:rPr>
          <w:rFonts w:ascii="Segoe UI" w:hAnsi="Segoe UI"/>
          <w:sz w:val="21"/>
        </w:rPr>
      </w:pPr>
      <w:r w:rsidRPr="005E6081">
        <w:rPr>
          <w:rFonts w:ascii="Segoe UI"/>
          <w:sz w:val="21"/>
        </w:rPr>
        <w:t>The</w:t>
      </w:r>
      <w:r w:rsidRPr="005E6081">
        <w:rPr>
          <w:rFonts w:ascii="Segoe UI"/>
          <w:spacing w:val="-1"/>
          <w:sz w:val="21"/>
        </w:rPr>
        <w:t xml:space="preserve"> </w:t>
      </w:r>
      <w:r w:rsidRPr="005E6081">
        <w:rPr>
          <w:rFonts w:ascii="Segoe UI"/>
          <w:b/>
          <w:sz w:val="21"/>
        </w:rPr>
        <w:t>Production</w:t>
      </w:r>
      <w:r w:rsidRPr="005E6081">
        <w:rPr>
          <w:rFonts w:ascii="Segoe UI"/>
          <w:b/>
          <w:spacing w:val="-5"/>
          <w:sz w:val="21"/>
        </w:rPr>
        <w:t xml:space="preserve"> </w:t>
      </w:r>
      <w:r w:rsidRPr="005E6081">
        <w:rPr>
          <w:rFonts w:ascii="Segoe UI"/>
          <w:sz w:val="21"/>
        </w:rPr>
        <w:t>child</w:t>
      </w:r>
      <w:r w:rsidRPr="005E6081">
        <w:rPr>
          <w:rFonts w:ascii="Segoe UI"/>
          <w:spacing w:val="-6"/>
          <w:sz w:val="21"/>
        </w:rPr>
        <w:t xml:space="preserve"> </w:t>
      </w:r>
      <w:r w:rsidRPr="005E6081">
        <w:rPr>
          <w:rFonts w:ascii="Segoe UI"/>
          <w:sz w:val="21"/>
        </w:rPr>
        <w:t>project</w:t>
      </w:r>
      <w:r w:rsidRPr="005E6081">
        <w:rPr>
          <w:rFonts w:ascii="Segoe UI"/>
          <w:spacing w:val="-5"/>
          <w:sz w:val="21"/>
        </w:rPr>
        <w:t xml:space="preserve"> </w:t>
      </w:r>
      <w:r w:rsidRPr="005E6081">
        <w:rPr>
          <w:rFonts w:ascii="Segoe UI"/>
          <w:sz w:val="21"/>
        </w:rPr>
        <w:t>seeks</w:t>
      </w:r>
      <w:r w:rsidRPr="005E6081">
        <w:rPr>
          <w:rFonts w:ascii="Segoe UI"/>
          <w:spacing w:val="-6"/>
          <w:sz w:val="21"/>
        </w:rPr>
        <w:t xml:space="preserve"> </w:t>
      </w:r>
      <w:r w:rsidRPr="005E6081">
        <w:rPr>
          <w:rFonts w:ascii="Segoe UI"/>
          <w:sz w:val="21"/>
        </w:rPr>
        <w:t>to</w:t>
      </w:r>
      <w:r w:rsidRPr="005E6081">
        <w:rPr>
          <w:rFonts w:ascii="Segoe UI"/>
          <w:spacing w:val="-4"/>
          <w:sz w:val="21"/>
        </w:rPr>
        <w:t xml:space="preserve"> </w:t>
      </w:r>
      <w:r w:rsidRPr="005E6081">
        <w:rPr>
          <w:rFonts w:ascii="Segoe UI"/>
          <w:sz w:val="21"/>
        </w:rPr>
        <w:t>turn</w:t>
      </w:r>
      <w:r w:rsidRPr="005E6081">
        <w:rPr>
          <w:rFonts w:ascii="Segoe UI"/>
          <w:spacing w:val="-6"/>
          <w:sz w:val="21"/>
        </w:rPr>
        <w:t xml:space="preserve"> </w:t>
      </w:r>
      <w:r w:rsidRPr="005E6081">
        <w:rPr>
          <w:rFonts w:ascii="Segoe UI"/>
          <w:sz w:val="21"/>
        </w:rPr>
        <w:t>the</w:t>
      </w:r>
      <w:r w:rsidRPr="005E6081">
        <w:rPr>
          <w:rFonts w:ascii="Segoe UI"/>
          <w:spacing w:val="-6"/>
          <w:sz w:val="21"/>
        </w:rPr>
        <w:t xml:space="preserve"> </w:t>
      </w:r>
      <w:r w:rsidRPr="005E6081">
        <w:rPr>
          <w:rFonts w:ascii="Segoe UI"/>
          <w:sz w:val="21"/>
        </w:rPr>
        <w:t>sustainable</w:t>
      </w:r>
      <w:r w:rsidRPr="005E6081">
        <w:rPr>
          <w:rFonts w:ascii="Segoe UI"/>
          <w:spacing w:val="-6"/>
          <w:sz w:val="21"/>
        </w:rPr>
        <w:t xml:space="preserve"> </w:t>
      </w:r>
      <w:r w:rsidRPr="005E6081">
        <w:rPr>
          <w:rFonts w:ascii="Segoe UI"/>
          <w:sz w:val="21"/>
        </w:rPr>
        <w:t>production</w:t>
      </w:r>
      <w:r w:rsidRPr="005E6081">
        <w:rPr>
          <w:rFonts w:ascii="Segoe UI"/>
          <w:spacing w:val="-6"/>
          <w:sz w:val="21"/>
        </w:rPr>
        <w:t xml:space="preserve"> </w:t>
      </w:r>
      <w:r w:rsidRPr="005E6081">
        <w:rPr>
          <w:rFonts w:ascii="Segoe UI"/>
          <w:sz w:val="21"/>
        </w:rPr>
        <w:t>of</w:t>
      </w:r>
      <w:r w:rsidRPr="005E6081">
        <w:rPr>
          <w:rFonts w:ascii="Segoe UI"/>
          <w:spacing w:val="-5"/>
          <w:sz w:val="21"/>
        </w:rPr>
        <w:t xml:space="preserve"> </w:t>
      </w:r>
      <w:r w:rsidRPr="005E6081">
        <w:rPr>
          <w:rFonts w:ascii="Segoe UI"/>
          <w:sz w:val="21"/>
        </w:rPr>
        <w:t>key</w:t>
      </w:r>
      <w:r w:rsidRPr="005E6081">
        <w:rPr>
          <w:rFonts w:ascii="Segoe UI"/>
          <w:spacing w:val="-7"/>
          <w:sz w:val="21"/>
        </w:rPr>
        <w:t xml:space="preserve"> </w:t>
      </w:r>
      <w:r w:rsidRPr="005E6081">
        <w:rPr>
          <w:rFonts w:ascii="Segoe UI"/>
          <w:sz w:val="21"/>
        </w:rPr>
        <w:t>commodities</w:t>
      </w:r>
      <w:r w:rsidRPr="005E6081">
        <w:rPr>
          <w:rFonts w:ascii="Segoe UI"/>
          <w:spacing w:val="-9"/>
          <w:sz w:val="21"/>
        </w:rPr>
        <w:t xml:space="preserve"> </w:t>
      </w:r>
      <w:r w:rsidRPr="005E6081">
        <w:rPr>
          <w:rFonts w:ascii="Segoe UI"/>
          <w:sz w:val="21"/>
        </w:rPr>
        <w:t>from</w:t>
      </w:r>
      <w:r w:rsidRPr="005E6081">
        <w:rPr>
          <w:rFonts w:ascii="Segoe UI"/>
          <w:spacing w:val="-6"/>
          <w:sz w:val="21"/>
        </w:rPr>
        <w:t xml:space="preserve"> </w:t>
      </w:r>
      <w:r w:rsidRPr="005E6081">
        <w:rPr>
          <w:rFonts w:ascii="Segoe UI"/>
          <w:sz w:val="21"/>
        </w:rPr>
        <w:t>niche and</w:t>
      </w:r>
      <w:r w:rsidRPr="005E6081">
        <w:rPr>
          <w:rFonts w:ascii="Segoe UI"/>
          <w:spacing w:val="8"/>
          <w:sz w:val="21"/>
        </w:rPr>
        <w:t xml:space="preserve"> </w:t>
      </w:r>
      <w:r w:rsidRPr="005E6081">
        <w:rPr>
          <w:rFonts w:ascii="Segoe UI"/>
          <w:sz w:val="21"/>
        </w:rPr>
        <w:t>specialized</w:t>
      </w:r>
      <w:r w:rsidRPr="005E6081">
        <w:rPr>
          <w:rFonts w:ascii="Segoe UI"/>
          <w:spacing w:val="8"/>
          <w:sz w:val="21"/>
        </w:rPr>
        <w:t xml:space="preserve"> </w:t>
      </w:r>
      <w:r w:rsidRPr="005E6081">
        <w:rPr>
          <w:rFonts w:ascii="Segoe UI"/>
          <w:sz w:val="21"/>
        </w:rPr>
        <w:t>operations</w:t>
      </w:r>
      <w:r w:rsidRPr="005E6081">
        <w:rPr>
          <w:rFonts w:ascii="Segoe UI"/>
          <w:spacing w:val="10"/>
          <w:sz w:val="21"/>
        </w:rPr>
        <w:t xml:space="preserve"> </w:t>
      </w:r>
      <w:r w:rsidRPr="005E6081">
        <w:rPr>
          <w:rFonts w:ascii="Segoe UI"/>
          <w:sz w:val="21"/>
        </w:rPr>
        <w:t>to</w:t>
      </w:r>
      <w:r w:rsidRPr="005E6081">
        <w:rPr>
          <w:rFonts w:ascii="Segoe UI"/>
          <w:spacing w:val="9"/>
          <w:sz w:val="21"/>
        </w:rPr>
        <w:t xml:space="preserve"> </w:t>
      </w:r>
      <w:r w:rsidRPr="005E6081">
        <w:rPr>
          <w:rFonts w:ascii="Segoe UI"/>
          <w:sz w:val="21"/>
        </w:rPr>
        <w:t>the</w:t>
      </w:r>
      <w:r w:rsidRPr="005E6081">
        <w:rPr>
          <w:rFonts w:ascii="Segoe UI"/>
          <w:spacing w:val="9"/>
          <w:sz w:val="21"/>
        </w:rPr>
        <w:t xml:space="preserve"> </w:t>
      </w:r>
      <w:r w:rsidRPr="005E6081">
        <w:rPr>
          <w:rFonts w:ascii="Segoe UI"/>
          <w:sz w:val="21"/>
        </w:rPr>
        <w:t>norm</w:t>
      </w:r>
      <w:r w:rsidRPr="005E6081">
        <w:rPr>
          <w:rFonts w:ascii="Segoe UI"/>
          <w:spacing w:val="9"/>
          <w:sz w:val="21"/>
        </w:rPr>
        <w:t xml:space="preserve"> </w:t>
      </w:r>
      <w:r w:rsidRPr="005E6081">
        <w:rPr>
          <w:rFonts w:ascii="Segoe UI"/>
          <w:sz w:val="21"/>
        </w:rPr>
        <w:t>in</w:t>
      </w:r>
      <w:r w:rsidRPr="005E6081">
        <w:rPr>
          <w:rFonts w:ascii="Segoe UI"/>
          <w:spacing w:val="11"/>
          <w:sz w:val="21"/>
        </w:rPr>
        <w:t xml:space="preserve"> </w:t>
      </w:r>
      <w:r w:rsidRPr="005E6081">
        <w:rPr>
          <w:rFonts w:ascii="Segoe UI"/>
          <w:sz w:val="21"/>
        </w:rPr>
        <w:t>each</w:t>
      </w:r>
      <w:r w:rsidRPr="005E6081">
        <w:rPr>
          <w:rFonts w:ascii="Segoe UI"/>
          <w:spacing w:val="8"/>
          <w:sz w:val="21"/>
        </w:rPr>
        <w:t xml:space="preserve"> </w:t>
      </w:r>
      <w:r w:rsidRPr="005E6081">
        <w:rPr>
          <w:rFonts w:ascii="Segoe UI"/>
          <w:sz w:val="21"/>
        </w:rPr>
        <w:t>commodity</w:t>
      </w:r>
      <w:r w:rsidRPr="005E6081">
        <w:rPr>
          <w:rFonts w:ascii="Segoe UI"/>
          <w:spacing w:val="8"/>
          <w:sz w:val="21"/>
        </w:rPr>
        <w:t xml:space="preserve"> </w:t>
      </w:r>
      <w:r w:rsidRPr="005E6081">
        <w:rPr>
          <w:rFonts w:ascii="Segoe UI"/>
          <w:sz w:val="21"/>
        </w:rPr>
        <w:t>sector.</w:t>
      </w:r>
      <w:r w:rsidRPr="005E6081">
        <w:rPr>
          <w:rFonts w:ascii="Segoe UI"/>
          <w:spacing w:val="14"/>
          <w:sz w:val="21"/>
        </w:rPr>
        <w:t xml:space="preserve"> </w:t>
      </w:r>
      <w:r w:rsidRPr="005E6081">
        <w:rPr>
          <w:rFonts w:ascii="Segoe UI"/>
          <w:sz w:val="21"/>
        </w:rPr>
        <w:t>It</w:t>
      </w:r>
      <w:r w:rsidRPr="005E6081">
        <w:rPr>
          <w:rFonts w:ascii="Segoe UI"/>
          <w:spacing w:val="9"/>
          <w:sz w:val="21"/>
        </w:rPr>
        <w:t xml:space="preserve"> </w:t>
      </w:r>
      <w:r w:rsidRPr="005E6081">
        <w:rPr>
          <w:rFonts w:ascii="Segoe UI"/>
          <w:sz w:val="21"/>
        </w:rPr>
        <w:t>works</w:t>
      </w:r>
      <w:r w:rsidRPr="005E6081">
        <w:rPr>
          <w:rFonts w:ascii="Segoe UI"/>
          <w:spacing w:val="8"/>
          <w:sz w:val="21"/>
        </w:rPr>
        <w:t xml:space="preserve"> </w:t>
      </w:r>
      <w:r w:rsidRPr="005E6081">
        <w:rPr>
          <w:rFonts w:ascii="Segoe UI"/>
          <w:sz w:val="21"/>
        </w:rPr>
        <w:t>to</w:t>
      </w:r>
      <w:r w:rsidRPr="005E6081">
        <w:rPr>
          <w:rFonts w:ascii="Segoe UI"/>
          <w:spacing w:val="10"/>
          <w:sz w:val="21"/>
        </w:rPr>
        <w:t xml:space="preserve"> </w:t>
      </w:r>
      <w:r w:rsidRPr="005E6081">
        <w:rPr>
          <w:rFonts w:ascii="Segoe UI"/>
          <w:sz w:val="21"/>
        </w:rPr>
        <w:t>improve</w:t>
      </w:r>
      <w:r w:rsidRPr="005E6081">
        <w:rPr>
          <w:rFonts w:ascii="Segoe UI"/>
          <w:spacing w:val="10"/>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 xml:space="preserve">enabling </w:t>
      </w:r>
      <w:r w:rsidRPr="005E6081">
        <w:rPr>
          <w:rFonts w:ascii="Segoe UI" w:hAnsi="Segoe UI"/>
          <w:sz w:val="21"/>
        </w:rPr>
        <w:t>environment for sustainable production practices for oil palm in Indonesia and Liberia, and beef in Paraguay – while conserving forests and safeguarding the rights of smallholder farmers and forest- dependent communities.</w:t>
      </w:r>
    </w:p>
    <w:p w14:paraId="482A80DF" w14:textId="77777777" w:rsidR="00E136A1" w:rsidRPr="005E6081" w:rsidRDefault="00E136A1" w:rsidP="00E136A1">
      <w:pPr>
        <w:pStyle w:val="BodyText"/>
        <w:spacing w:before="1"/>
        <w:rPr>
          <w:rFonts w:ascii="Segoe UI"/>
          <w:sz w:val="21"/>
        </w:rPr>
      </w:pPr>
    </w:p>
    <w:p w14:paraId="219EBDE2" w14:textId="77777777" w:rsidR="00E136A1" w:rsidRPr="005E6081" w:rsidRDefault="00E136A1" w:rsidP="00E136A1">
      <w:pPr>
        <w:ind w:left="500" w:right="1436"/>
        <w:jc w:val="both"/>
        <w:rPr>
          <w:rFonts w:ascii="Segoe UI"/>
          <w:sz w:val="21"/>
        </w:rPr>
      </w:pPr>
      <w:r w:rsidRPr="005E6081">
        <w:rPr>
          <w:rFonts w:ascii="Segoe UI"/>
          <w:b/>
          <w:sz w:val="21"/>
        </w:rPr>
        <w:t xml:space="preserve">Component 1 </w:t>
      </w:r>
      <w:r w:rsidRPr="005E6081">
        <w:rPr>
          <w:rFonts w:ascii="Segoe UI"/>
          <w:sz w:val="21"/>
        </w:rPr>
        <w:t>of the project is on dialogue platforms, action plans, and regulatory reform (focusing on enabling conditions for sustainable production and land-use related policies).</w:t>
      </w:r>
    </w:p>
    <w:p w14:paraId="61E75CE5" w14:textId="77777777" w:rsidR="00E136A1" w:rsidRPr="005E6081" w:rsidRDefault="00E136A1" w:rsidP="00E136A1">
      <w:pPr>
        <w:ind w:left="500" w:right="1433"/>
        <w:jc w:val="both"/>
        <w:rPr>
          <w:rFonts w:ascii="Segoe UI"/>
          <w:sz w:val="21"/>
        </w:rPr>
      </w:pPr>
      <w:r w:rsidRPr="005E6081">
        <w:rPr>
          <w:rFonts w:ascii="Segoe UI"/>
          <w:b/>
          <w:sz w:val="21"/>
        </w:rPr>
        <w:t xml:space="preserve">Component 2 </w:t>
      </w:r>
      <w:r w:rsidRPr="005E6081">
        <w:rPr>
          <w:rFonts w:ascii="Segoe UI"/>
          <w:sz w:val="21"/>
        </w:rPr>
        <w:t xml:space="preserve">covers farmer extension services and trainings on good agricultural practices (GAPs). </w:t>
      </w:r>
      <w:r w:rsidRPr="005E6081">
        <w:rPr>
          <w:rFonts w:ascii="Segoe UI"/>
          <w:b/>
          <w:sz w:val="21"/>
        </w:rPr>
        <w:t xml:space="preserve">Component 3 </w:t>
      </w:r>
      <w:r w:rsidRPr="005E6081">
        <w:rPr>
          <w:rFonts w:ascii="Segoe UI"/>
          <w:sz w:val="21"/>
        </w:rPr>
        <w:t>is on improved land-use planning, zoning, and set-asides, resulting in increased legal protections and reduced carbon emissions.</w:t>
      </w:r>
    </w:p>
    <w:p w14:paraId="03E39636" w14:textId="77777777" w:rsidR="00E136A1" w:rsidRPr="005E6081" w:rsidRDefault="00E136A1" w:rsidP="00E136A1">
      <w:pPr>
        <w:ind w:left="500" w:right="1436"/>
        <w:jc w:val="both"/>
        <w:rPr>
          <w:rFonts w:ascii="Segoe UI"/>
          <w:sz w:val="21"/>
        </w:rPr>
      </w:pPr>
      <w:r w:rsidRPr="005E6081">
        <w:rPr>
          <w:rFonts w:ascii="Segoe UI"/>
          <w:b/>
          <w:sz w:val="21"/>
        </w:rPr>
        <w:t xml:space="preserve">Component 4 </w:t>
      </w:r>
      <w:r w:rsidRPr="005E6081">
        <w:rPr>
          <w:rFonts w:ascii="Segoe UI"/>
          <w:sz w:val="21"/>
        </w:rPr>
        <w:t>is on knowledge management, including increased knowledge of effective strategies and</w:t>
      </w:r>
      <w:r w:rsidRPr="005E6081">
        <w:rPr>
          <w:rFonts w:ascii="Segoe UI"/>
          <w:spacing w:val="-9"/>
          <w:sz w:val="21"/>
        </w:rPr>
        <w:t xml:space="preserve"> </w:t>
      </w:r>
      <w:r w:rsidRPr="005E6081">
        <w:rPr>
          <w:rFonts w:ascii="Segoe UI"/>
          <w:sz w:val="21"/>
        </w:rPr>
        <w:t>tools</w:t>
      </w:r>
      <w:r w:rsidRPr="005E6081">
        <w:rPr>
          <w:rFonts w:ascii="Segoe UI"/>
          <w:spacing w:val="-8"/>
          <w:sz w:val="21"/>
        </w:rPr>
        <w:t xml:space="preserve"> </w:t>
      </w:r>
      <w:r w:rsidRPr="005E6081">
        <w:rPr>
          <w:rFonts w:ascii="Segoe UI"/>
          <w:sz w:val="21"/>
        </w:rPr>
        <w:t>for</w:t>
      </w:r>
      <w:r w:rsidRPr="005E6081">
        <w:rPr>
          <w:rFonts w:ascii="Segoe UI"/>
          <w:spacing w:val="-7"/>
          <w:sz w:val="21"/>
        </w:rPr>
        <w:t xml:space="preserve"> </w:t>
      </w:r>
      <w:r w:rsidRPr="005E6081">
        <w:rPr>
          <w:rFonts w:ascii="Segoe UI"/>
          <w:sz w:val="21"/>
        </w:rPr>
        <w:t>improving</w:t>
      </w:r>
      <w:r w:rsidRPr="005E6081">
        <w:rPr>
          <w:rFonts w:ascii="Segoe UI"/>
          <w:spacing w:val="-9"/>
          <w:sz w:val="21"/>
        </w:rPr>
        <w:t xml:space="preserve"> </w:t>
      </w:r>
      <w:r w:rsidRPr="005E6081">
        <w:rPr>
          <w:rFonts w:ascii="Segoe UI"/>
          <w:sz w:val="21"/>
        </w:rPr>
        <w:t>production</w:t>
      </w:r>
      <w:r w:rsidRPr="005E6081">
        <w:rPr>
          <w:rFonts w:ascii="Segoe UI"/>
          <w:spacing w:val="-9"/>
          <w:sz w:val="21"/>
        </w:rPr>
        <w:t xml:space="preserve"> </w:t>
      </w:r>
      <w:r w:rsidRPr="005E6081">
        <w:rPr>
          <w:rFonts w:ascii="Segoe UI"/>
          <w:sz w:val="21"/>
        </w:rPr>
        <w:t>of</w:t>
      </w:r>
      <w:r w:rsidRPr="005E6081">
        <w:rPr>
          <w:rFonts w:ascii="Segoe UI"/>
          <w:spacing w:val="-8"/>
          <w:sz w:val="21"/>
        </w:rPr>
        <w:t xml:space="preserve"> </w:t>
      </w:r>
      <w:r w:rsidRPr="005E6081">
        <w:rPr>
          <w:rFonts w:ascii="Segoe UI"/>
          <w:sz w:val="21"/>
        </w:rPr>
        <w:t>commodities</w:t>
      </w:r>
      <w:r w:rsidRPr="005E6081">
        <w:rPr>
          <w:rFonts w:ascii="Segoe UI"/>
          <w:spacing w:val="-8"/>
          <w:sz w:val="21"/>
        </w:rPr>
        <w:t xml:space="preserve"> </w:t>
      </w:r>
      <w:r w:rsidRPr="005E6081">
        <w:rPr>
          <w:rFonts w:ascii="Segoe UI"/>
          <w:sz w:val="21"/>
        </w:rPr>
        <w:t>in</w:t>
      </w:r>
      <w:r w:rsidRPr="005E6081">
        <w:rPr>
          <w:rFonts w:ascii="Segoe UI"/>
          <w:spacing w:val="-9"/>
          <w:sz w:val="21"/>
        </w:rPr>
        <w:t xml:space="preserve"> </w:t>
      </w:r>
      <w:r w:rsidRPr="005E6081">
        <w:rPr>
          <w:rFonts w:ascii="Segoe UI"/>
          <w:sz w:val="21"/>
        </w:rPr>
        <w:t>ways</w:t>
      </w:r>
      <w:r w:rsidRPr="005E6081">
        <w:rPr>
          <w:rFonts w:ascii="Segoe UI"/>
          <w:spacing w:val="-10"/>
          <w:sz w:val="21"/>
        </w:rPr>
        <w:t xml:space="preserve"> </w:t>
      </w:r>
      <w:r w:rsidRPr="005E6081">
        <w:rPr>
          <w:rFonts w:ascii="Segoe UI"/>
          <w:sz w:val="21"/>
        </w:rPr>
        <w:t>that</w:t>
      </w:r>
      <w:r w:rsidRPr="005E6081">
        <w:rPr>
          <w:rFonts w:ascii="Segoe UI"/>
          <w:spacing w:val="-9"/>
          <w:sz w:val="21"/>
        </w:rPr>
        <w:t xml:space="preserve"> </w:t>
      </w:r>
      <w:r w:rsidRPr="005E6081">
        <w:rPr>
          <w:rFonts w:ascii="Segoe UI"/>
          <w:sz w:val="21"/>
        </w:rPr>
        <w:t>do</w:t>
      </w:r>
      <w:r w:rsidRPr="005E6081">
        <w:rPr>
          <w:rFonts w:ascii="Segoe UI"/>
          <w:spacing w:val="-6"/>
          <w:sz w:val="21"/>
        </w:rPr>
        <w:t xml:space="preserve"> </w:t>
      </w:r>
      <w:r w:rsidRPr="005E6081">
        <w:rPr>
          <w:rFonts w:ascii="Segoe UI"/>
          <w:sz w:val="21"/>
        </w:rPr>
        <w:t>not</w:t>
      </w:r>
      <w:r w:rsidRPr="005E6081">
        <w:rPr>
          <w:rFonts w:ascii="Segoe UI"/>
          <w:spacing w:val="-7"/>
          <w:sz w:val="21"/>
        </w:rPr>
        <w:t xml:space="preserve"> </w:t>
      </w:r>
      <w:r w:rsidRPr="005E6081">
        <w:rPr>
          <w:rFonts w:ascii="Segoe UI"/>
          <w:sz w:val="21"/>
        </w:rPr>
        <w:t>involve</w:t>
      </w:r>
      <w:r w:rsidRPr="005E6081">
        <w:rPr>
          <w:rFonts w:ascii="Segoe UI"/>
          <w:spacing w:val="-10"/>
          <w:sz w:val="21"/>
        </w:rPr>
        <w:t xml:space="preserve"> </w:t>
      </w:r>
      <w:r w:rsidRPr="005E6081">
        <w:rPr>
          <w:rFonts w:ascii="Segoe UI"/>
          <w:sz w:val="21"/>
        </w:rPr>
        <w:t>conversion</w:t>
      </w:r>
      <w:r w:rsidRPr="005E6081">
        <w:rPr>
          <w:rFonts w:ascii="Segoe UI"/>
          <w:spacing w:val="-9"/>
          <w:sz w:val="21"/>
        </w:rPr>
        <w:t xml:space="preserve"> </w:t>
      </w:r>
      <w:r w:rsidRPr="005E6081">
        <w:rPr>
          <w:rFonts w:ascii="Segoe UI"/>
          <w:sz w:val="21"/>
        </w:rPr>
        <w:t>of</w:t>
      </w:r>
      <w:r w:rsidRPr="005E6081">
        <w:rPr>
          <w:rFonts w:ascii="Segoe UI"/>
          <w:spacing w:val="-9"/>
          <w:sz w:val="21"/>
        </w:rPr>
        <w:t xml:space="preserve"> </w:t>
      </w:r>
      <w:r w:rsidRPr="005E6081">
        <w:rPr>
          <w:rFonts w:ascii="Segoe UI"/>
          <w:sz w:val="21"/>
        </w:rPr>
        <w:t>forested land, and uptake and replication of lessons</w:t>
      </w:r>
      <w:r w:rsidRPr="005E6081">
        <w:rPr>
          <w:rFonts w:ascii="Segoe UI"/>
          <w:spacing w:val="-8"/>
          <w:sz w:val="21"/>
        </w:rPr>
        <w:t xml:space="preserve"> </w:t>
      </w:r>
      <w:r w:rsidRPr="005E6081">
        <w:rPr>
          <w:rFonts w:ascii="Segoe UI"/>
          <w:sz w:val="21"/>
        </w:rPr>
        <w:t>learned.</w:t>
      </w:r>
    </w:p>
    <w:p w14:paraId="4D064100" w14:textId="77777777" w:rsidR="00E136A1" w:rsidRPr="0095678C" w:rsidRDefault="00E136A1" w:rsidP="00E136A1">
      <w:pPr>
        <w:pStyle w:val="BodyText"/>
        <w:rPr>
          <w:rFonts w:ascii="Segoe UI"/>
          <w:sz w:val="21"/>
        </w:rPr>
      </w:pPr>
    </w:p>
    <w:p w14:paraId="03F87D5D" w14:textId="77777777" w:rsidR="00E136A1" w:rsidRPr="005E6081" w:rsidRDefault="00E136A1" w:rsidP="00E136A1">
      <w:pPr>
        <w:ind w:left="500" w:right="1434"/>
        <w:jc w:val="both"/>
        <w:rPr>
          <w:rFonts w:ascii="Segoe UI"/>
          <w:sz w:val="21"/>
        </w:rPr>
      </w:pPr>
      <w:r w:rsidRPr="005E6081">
        <w:rPr>
          <w:rFonts w:ascii="Segoe UI"/>
          <w:sz w:val="21"/>
        </w:rPr>
        <w:t>The</w:t>
      </w:r>
      <w:r w:rsidRPr="005E6081">
        <w:rPr>
          <w:rFonts w:ascii="Segoe UI"/>
          <w:spacing w:val="-4"/>
          <w:sz w:val="21"/>
        </w:rPr>
        <w:t xml:space="preserve"> </w:t>
      </w:r>
      <w:r w:rsidRPr="005E6081">
        <w:rPr>
          <w:rFonts w:ascii="Segoe UI"/>
          <w:sz w:val="21"/>
        </w:rPr>
        <w:t>full</w:t>
      </w:r>
      <w:r w:rsidRPr="005E6081">
        <w:rPr>
          <w:rFonts w:ascii="Segoe UI"/>
          <w:spacing w:val="-5"/>
          <w:sz w:val="21"/>
        </w:rPr>
        <w:t xml:space="preserve"> </w:t>
      </w:r>
      <w:r w:rsidRPr="005E6081">
        <w:rPr>
          <w:rFonts w:ascii="Segoe UI"/>
          <w:sz w:val="21"/>
        </w:rPr>
        <w:t>range</w:t>
      </w:r>
      <w:r w:rsidRPr="005E6081">
        <w:rPr>
          <w:rFonts w:ascii="Segoe UI"/>
          <w:spacing w:val="-4"/>
          <w:sz w:val="21"/>
        </w:rPr>
        <w:t xml:space="preserve"> </w:t>
      </w:r>
      <w:r w:rsidRPr="005E6081">
        <w:rPr>
          <w:rFonts w:ascii="Segoe UI"/>
          <w:sz w:val="21"/>
        </w:rPr>
        <w:t>of</w:t>
      </w:r>
      <w:r w:rsidRPr="005E6081">
        <w:rPr>
          <w:rFonts w:ascii="Segoe UI"/>
          <w:spacing w:val="-5"/>
          <w:sz w:val="21"/>
        </w:rPr>
        <w:t xml:space="preserve"> </w:t>
      </w:r>
      <w:r w:rsidRPr="005E6081">
        <w:rPr>
          <w:rFonts w:ascii="Segoe UI"/>
          <w:sz w:val="21"/>
        </w:rPr>
        <w:t>outcomes</w:t>
      </w:r>
      <w:r w:rsidRPr="005E6081">
        <w:rPr>
          <w:rFonts w:ascii="Segoe UI"/>
          <w:spacing w:val="-4"/>
          <w:sz w:val="21"/>
        </w:rPr>
        <w:t xml:space="preserve"> </w:t>
      </w:r>
      <w:r w:rsidRPr="005E6081">
        <w:rPr>
          <w:rFonts w:ascii="Segoe UI"/>
          <w:sz w:val="21"/>
        </w:rPr>
        <w:t>and</w:t>
      </w:r>
      <w:r w:rsidRPr="005E6081">
        <w:rPr>
          <w:rFonts w:ascii="Segoe UI"/>
          <w:spacing w:val="-6"/>
          <w:sz w:val="21"/>
        </w:rPr>
        <w:t xml:space="preserve"> </w:t>
      </w:r>
      <w:r w:rsidRPr="005E6081">
        <w:rPr>
          <w:rFonts w:ascii="Segoe UI"/>
          <w:sz w:val="21"/>
        </w:rPr>
        <w:t>targets</w:t>
      </w:r>
      <w:r w:rsidRPr="005E6081">
        <w:rPr>
          <w:rFonts w:ascii="Segoe UI"/>
          <w:spacing w:val="-4"/>
          <w:sz w:val="21"/>
        </w:rPr>
        <w:t xml:space="preserve"> </w:t>
      </w:r>
      <w:r w:rsidRPr="005E6081">
        <w:rPr>
          <w:rFonts w:ascii="Segoe UI"/>
          <w:sz w:val="21"/>
        </w:rPr>
        <w:t>under</w:t>
      </w:r>
      <w:r w:rsidRPr="005E6081">
        <w:rPr>
          <w:rFonts w:ascii="Segoe UI"/>
          <w:spacing w:val="-3"/>
          <w:sz w:val="21"/>
        </w:rPr>
        <w:t xml:space="preserve"> </w:t>
      </w:r>
      <w:r w:rsidRPr="005E6081">
        <w:rPr>
          <w:rFonts w:ascii="Segoe UI"/>
          <w:sz w:val="21"/>
        </w:rPr>
        <w:t>each</w:t>
      </w:r>
      <w:r w:rsidRPr="005E6081">
        <w:rPr>
          <w:rFonts w:ascii="Segoe UI"/>
          <w:spacing w:val="-5"/>
          <w:sz w:val="21"/>
        </w:rPr>
        <w:t xml:space="preserve"> </w:t>
      </w:r>
      <w:r w:rsidRPr="005E6081">
        <w:rPr>
          <w:rFonts w:ascii="Segoe UI"/>
          <w:sz w:val="21"/>
        </w:rPr>
        <w:t>component</w:t>
      </w:r>
      <w:r w:rsidRPr="005E6081">
        <w:rPr>
          <w:rFonts w:ascii="Segoe UI"/>
          <w:spacing w:val="-6"/>
          <w:sz w:val="21"/>
        </w:rPr>
        <w:t xml:space="preserve"> </w:t>
      </w:r>
      <w:r w:rsidRPr="005E6081">
        <w:rPr>
          <w:rFonts w:ascii="Segoe UI"/>
          <w:sz w:val="21"/>
        </w:rPr>
        <w:t>can</w:t>
      </w:r>
      <w:r w:rsidRPr="005E6081">
        <w:rPr>
          <w:rFonts w:ascii="Segoe UI"/>
          <w:spacing w:val="-3"/>
          <w:sz w:val="21"/>
        </w:rPr>
        <w:t xml:space="preserve"> </w:t>
      </w:r>
      <w:r w:rsidRPr="005E6081">
        <w:rPr>
          <w:rFonts w:ascii="Segoe UI"/>
          <w:sz w:val="21"/>
        </w:rPr>
        <w:t>be</w:t>
      </w:r>
      <w:r w:rsidRPr="005E6081">
        <w:rPr>
          <w:rFonts w:ascii="Segoe UI"/>
          <w:spacing w:val="-5"/>
          <w:sz w:val="21"/>
        </w:rPr>
        <w:t xml:space="preserve"> </w:t>
      </w:r>
      <w:r w:rsidRPr="005E6081">
        <w:rPr>
          <w:rFonts w:ascii="Segoe UI"/>
          <w:sz w:val="21"/>
        </w:rPr>
        <w:t>consulted</w:t>
      </w:r>
      <w:r w:rsidRPr="005E6081">
        <w:rPr>
          <w:rFonts w:ascii="Segoe UI"/>
          <w:spacing w:val="-3"/>
          <w:sz w:val="21"/>
        </w:rPr>
        <w:t xml:space="preserve"> </w:t>
      </w:r>
      <w:r w:rsidRPr="005E6081">
        <w:rPr>
          <w:rFonts w:ascii="Segoe UI"/>
          <w:sz w:val="21"/>
        </w:rPr>
        <w:t>in</w:t>
      </w:r>
      <w:r w:rsidRPr="005E6081">
        <w:rPr>
          <w:rFonts w:ascii="Segoe UI"/>
          <w:spacing w:val="-3"/>
          <w:sz w:val="21"/>
        </w:rPr>
        <w:t xml:space="preserve"> </w:t>
      </w:r>
      <w:r w:rsidRPr="005E6081">
        <w:rPr>
          <w:rFonts w:ascii="Segoe UI"/>
          <w:sz w:val="21"/>
        </w:rPr>
        <w:t>the</w:t>
      </w:r>
      <w:r w:rsidRPr="005E6081">
        <w:rPr>
          <w:rFonts w:ascii="Segoe UI"/>
          <w:spacing w:val="-3"/>
          <w:sz w:val="21"/>
        </w:rPr>
        <w:t xml:space="preserve"> </w:t>
      </w:r>
      <w:r w:rsidRPr="005E6081">
        <w:rPr>
          <w:rFonts w:ascii="Segoe UI"/>
          <w:sz w:val="21"/>
        </w:rPr>
        <w:t>project</w:t>
      </w:r>
      <w:r w:rsidRPr="005E6081">
        <w:rPr>
          <w:rFonts w:ascii="Segoe UI"/>
          <w:spacing w:val="-3"/>
          <w:sz w:val="21"/>
        </w:rPr>
        <w:t xml:space="preserve"> </w:t>
      </w:r>
      <w:r w:rsidRPr="005E6081">
        <w:rPr>
          <w:rFonts w:ascii="Segoe UI"/>
          <w:sz w:val="21"/>
        </w:rPr>
        <w:t>logical framework in Annex A. They are aligned with outcomes 1 and 3 of the UNDP Country Programme for Indonesia</w:t>
      </w:r>
      <w:r w:rsidRPr="005E6081">
        <w:rPr>
          <w:rFonts w:ascii="Segoe UI"/>
          <w:spacing w:val="-9"/>
          <w:sz w:val="21"/>
        </w:rPr>
        <w:t xml:space="preserve"> </w:t>
      </w:r>
      <w:r w:rsidRPr="005E6081">
        <w:rPr>
          <w:rFonts w:ascii="Segoe UI"/>
          <w:sz w:val="21"/>
        </w:rPr>
        <w:t>2016-2020,</w:t>
      </w:r>
      <w:r w:rsidRPr="005E6081">
        <w:rPr>
          <w:rFonts w:ascii="Segoe UI"/>
          <w:spacing w:val="-10"/>
          <w:sz w:val="21"/>
        </w:rPr>
        <w:t xml:space="preserve"> </w:t>
      </w:r>
      <w:r w:rsidRPr="005E6081">
        <w:rPr>
          <w:rFonts w:ascii="Segoe UI"/>
          <w:sz w:val="21"/>
        </w:rPr>
        <w:t>outcome</w:t>
      </w:r>
      <w:r w:rsidRPr="005E6081">
        <w:rPr>
          <w:rFonts w:ascii="Segoe UI"/>
          <w:spacing w:val="-10"/>
          <w:sz w:val="21"/>
        </w:rPr>
        <w:t xml:space="preserve"> </w:t>
      </w:r>
      <w:r w:rsidRPr="005E6081">
        <w:rPr>
          <w:rFonts w:ascii="Segoe UI"/>
          <w:sz w:val="21"/>
        </w:rPr>
        <w:t>2</w:t>
      </w:r>
      <w:r w:rsidRPr="005E6081">
        <w:rPr>
          <w:rFonts w:ascii="Segoe UI"/>
          <w:spacing w:val="-9"/>
          <w:sz w:val="21"/>
        </w:rPr>
        <w:t xml:space="preserve"> </w:t>
      </w:r>
      <w:r w:rsidRPr="005E6081">
        <w:rPr>
          <w:rFonts w:ascii="Segoe UI"/>
          <w:sz w:val="21"/>
        </w:rPr>
        <w:t>of</w:t>
      </w:r>
      <w:r w:rsidRPr="005E6081">
        <w:rPr>
          <w:rFonts w:ascii="Segoe UI"/>
          <w:spacing w:val="-9"/>
          <w:sz w:val="21"/>
        </w:rPr>
        <w:t xml:space="preserve"> </w:t>
      </w:r>
      <w:r w:rsidRPr="005E6081">
        <w:rPr>
          <w:rFonts w:ascii="Segoe UI"/>
          <w:sz w:val="21"/>
        </w:rPr>
        <w:t>the</w:t>
      </w:r>
      <w:r w:rsidRPr="005E6081">
        <w:rPr>
          <w:rFonts w:ascii="Segoe UI"/>
          <w:spacing w:val="-8"/>
          <w:sz w:val="21"/>
        </w:rPr>
        <w:t xml:space="preserve"> </w:t>
      </w:r>
      <w:r w:rsidRPr="005E6081">
        <w:rPr>
          <w:rFonts w:ascii="Segoe UI"/>
          <w:sz w:val="21"/>
        </w:rPr>
        <w:t>UNDAF</w:t>
      </w:r>
      <w:r w:rsidRPr="005E6081">
        <w:rPr>
          <w:rFonts w:ascii="Segoe UI"/>
          <w:spacing w:val="-10"/>
          <w:sz w:val="21"/>
        </w:rPr>
        <w:t xml:space="preserve"> </w:t>
      </w:r>
      <w:r w:rsidRPr="005E6081">
        <w:rPr>
          <w:rFonts w:ascii="Segoe UI"/>
          <w:sz w:val="21"/>
        </w:rPr>
        <w:t>and</w:t>
      </w:r>
      <w:r w:rsidRPr="005E6081">
        <w:rPr>
          <w:rFonts w:ascii="Segoe UI"/>
          <w:spacing w:val="-9"/>
          <w:sz w:val="21"/>
        </w:rPr>
        <w:t xml:space="preserve"> </w:t>
      </w:r>
      <w:r w:rsidRPr="005E6081">
        <w:rPr>
          <w:rFonts w:ascii="Segoe UI"/>
          <w:sz w:val="21"/>
        </w:rPr>
        <w:t>UNDP</w:t>
      </w:r>
      <w:r w:rsidRPr="005E6081">
        <w:rPr>
          <w:rFonts w:ascii="Segoe UI"/>
          <w:spacing w:val="-13"/>
          <w:sz w:val="21"/>
        </w:rPr>
        <w:t xml:space="preserve"> </w:t>
      </w:r>
      <w:r w:rsidRPr="005E6081">
        <w:rPr>
          <w:rFonts w:ascii="Segoe UI"/>
          <w:sz w:val="21"/>
        </w:rPr>
        <w:t>Country</w:t>
      </w:r>
      <w:r w:rsidRPr="005E6081">
        <w:rPr>
          <w:rFonts w:ascii="Segoe UI"/>
          <w:spacing w:val="-9"/>
          <w:sz w:val="21"/>
        </w:rPr>
        <w:t xml:space="preserve"> </w:t>
      </w:r>
      <w:r w:rsidRPr="005E6081">
        <w:rPr>
          <w:rFonts w:ascii="Segoe UI"/>
          <w:sz w:val="21"/>
        </w:rPr>
        <w:t>Programme</w:t>
      </w:r>
      <w:r w:rsidRPr="005E6081">
        <w:rPr>
          <w:rFonts w:ascii="Segoe UI"/>
          <w:spacing w:val="-8"/>
          <w:sz w:val="21"/>
        </w:rPr>
        <w:t xml:space="preserve"> </w:t>
      </w:r>
      <w:r w:rsidRPr="005E6081">
        <w:rPr>
          <w:rFonts w:ascii="Segoe UI"/>
          <w:sz w:val="21"/>
        </w:rPr>
        <w:t>for</w:t>
      </w:r>
      <w:r w:rsidRPr="005E6081">
        <w:rPr>
          <w:rFonts w:ascii="Segoe UI"/>
          <w:spacing w:val="-9"/>
          <w:sz w:val="21"/>
        </w:rPr>
        <w:t xml:space="preserve"> </w:t>
      </w:r>
      <w:r w:rsidRPr="005E6081">
        <w:rPr>
          <w:rFonts w:ascii="Segoe UI"/>
          <w:sz w:val="21"/>
        </w:rPr>
        <w:t>Liberia</w:t>
      </w:r>
      <w:r w:rsidRPr="005E6081">
        <w:rPr>
          <w:rFonts w:ascii="Segoe UI"/>
          <w:spacing w:val="-9"/>
          <w:sz w:val="21"/>
        </w:rPr>
        <w:t xml:space="preserve"> </w:t>
      </w:r>
      <w:r w:rsidRPr="005E6081">
        <w:rPr>
          <w:rFonts w:ascii="Segoe UI"/>
          <w:sz w:val="21"/>
        </w:rPr>
        <w:t>2013-2017, and results 2.1 and 3.2 of the Paraguay UNDAF 2015-2019 (MANUD). The overall programme and project objectives are also aligned with output 1.3 of the UNDP Strategic Plan</w:t>
      </w:r>
      <w:r w:rsidRPr="005E6081">
        <w:rPr>
          <w:rFonts w:ascii="Segoe UI"/>
          <w:spacing w:val="-25"/>
          <w:sz w:val="21"/>
        </w:rPr>
        <w:t xml:space="preserve"> </w:t>
      </w:r>
      <w:r w:rsidRPr="005E6081">
        <w:rPr>
          <w:rFonts w:ascii="Segoe UI"/>
          <w:sz w:val="21"/>
        </w:rPr>
        <w:t>2014-2017.</w:t>
      </w:r>
    </w:p>
    <w:p w14:paraId="6EEDFC86" w14:textId="77777777" w:rsidR="00E136A1" w:rsidRPr="005E6081" w:rsidRDefault="00E136A1" w:rsidP="00E136A1">
      <w:pPr>
        <w:ind w:left="500" w:right="1439"/>
        <w:jc w:val="both"/>
        <w:rPr>
          <w:rFonts w:ascii="Segoe UI"/>
          <w:sz w:val="21"/>
        </w:rPr>
      </w:pPr>
      <w:r w:rsidRPr="005E6081">
        <w:rPr>
          <w:rFonts w:ascii="Segoe UI"/>
          <w:sz w:val="21"/>
        </w:rPr>
        <w:t>As</w:t>
      </w:r>
      <w:r w:rsidRPr="005E6081">
        <w:rPr>
          <w:rFonts w:ascii="Segoe UI"/>
          <w:spacing w:val="-14"/>
          <w:sz w:val="21"/>
        </w:rPr>
        <w:t xml:space="preserve"> </w:t>
      </w:r>
      <w:r w:rsidRPr="005E6081">
        <w:rPr>
          <w:rFonts w:ascii="Segoe UI"/>
          <w:sz w:val="21"/>
        </w:rPr>
        <w:t>a</w:t>
      </w:r>
      <w:r w:rsidRPr="005E6081">
        <w:rPr>
          <w:rFonts w:ascii="Segoe UI"/>
          <w:spacing w:val="-12"/>
          <w:sz w:val="21"/>
        </w:rPr>
        <w:t xml:space="preserve"> </w:t>
      </w:r>
      <w:r w:rsidRPr="005E6081">
        <w:rPr>
          <w:rFonts w:ascii="Segoe UI"/>
          <w:sz w:val="21"/>
        </w:rPr>
        <w:t>GEN2</w:t>
      </w:r>
      <w:r w:rsidRPr="005E6081">
        <w:rPr>
          <w:rFonts w:ascii="Segoe UI"/>
          <w:spacing w:val="-16"/>
          <w:sz w:val="21"/>
        </w:rPr>
        <w:t xml:space="preserve"> </w:t>
      </w:r>
      <w:r w:rsidRPr="005E6081">
        <w:rPr>
          <w:rFonts w:ascii="Segoe UI"/>
          <w:sz w:val="21"/>
        </w:rPr>
        <w:t>project,</w:t>
      </w:r>
      <w:r w:rsidRPr="005E6081">
        <w:rPr>
          <w:rFonts w:ascii="Segoe UI"/>
          <w:spacing w:val="-12"/>
          <w:sz w:val="21"/>
        </w:rPr>
        <w:t xml:space="preserve"> </w:t>
      </w:r>
      <w:r w:rsidRPr="005E6081">
        <w:rPr>
          <w:rFonts w:ascii="Segoe UI"/>
          <w:sz w:val="21"/>
        </w:rPr>
        <w:t>gender</w:t>
      </w:r>
      <w:r w:rsidRPr="005E6081">
        <w:rPr>
          <w:rFonts w:ascii="Segoe UI"/>
          <w:spacing w:val="-15"/>
          <w:sz w:val="21"/>
        </w:rPr>
        <w:t xml:space="preserve"> </w:t>
      </w:r>
      <w:r w:rsidRPr="005E6081">
        <w:rPr>
          <w:rFonts w:ascii="Segoe UI"/>
          <w:sz w:val="21"/>
        </w:rPr>
        <w:t>equality</w:t>
      </w:r>
      <w:r w:rsidRPr="005E6081">
        <w:rPr>
          <w:rFonts w:ascii="Segoe UI"/>
          <w:spacing w:val="-11"/>
          <w:sz w:val="21"/>
        </w:rPr>
        <w:t xml:space="preserve"> </w:t>
      </w:r>
      <w:r w:rsidRPr="005E6081">
        <w:rPr>
          <w:rFonts w:ascii="Segoe UI"/>
          <w:sz w:val="21"/>
        </w:rPr>
        <w:t>is</w:t>
      </w:r>
      <w:r w:rsidRPr="005E6081">
        <w:rPr>
          <w:rFonts w:ascii="Segoe UI"/>
          <w:spacing w:val="-14"/>
          <w:sz w:val="21"/>
        </w:rPr>
        <w:t xml:space="preserve"> </w:t>
      </w:r>
      <w:r w:rsidRPr="005E6081">
        <w:rPr>
          <w:rFonts w:ascii="Segoe UI"/>
          <w:sz w:val="21"/>
        </w:rPr>
        <w:t>a</w:t>
      </w:r>
      <w:r w:rsidRPr="005E6081">
        <w:rPr>
          <w:rFonts w:ascii="Segoe UI"/>
          <w:spacing w:val="-12"/>
          <w:sz w:val="21"/>
        </w:rPr>
        <w:t xml:space="preserve"> </w:t>
      </w:r>
      <w:r w:rsidRPr="005E6081">
        <w:rPr>
          <w:rFonts w:ascii="Segoe UI"/>
          <w:sz w:val="21"/>
        </w:rPr>
        <w:t>significant</w:t>
      </w:r>
      <w:r w:rsidRPr="005E6081">
        <w:rPr>
          <w:rFonts w:ascii="Segoe UI"/>
          <w:spacing w:val="-15"/>
          <w:sz w:val="21"/>
        </w:rPr>
        <w:t xml:space="preserve"> </w:t>
      </w:r>
      <w:r w:rsidRPr="005E6081">
        <w:rPr>
          <w:rFonts w:ascii="Segoe UI"/>
          <w:sz w:val="21"/>
        </w:rPr>
        <w:t>objective</w:t>
      </w:r>
      <w:r w:rsidRPr="005E6081">
        <w:rPr>
          <w:rFonts w:ascii="Segoe UI"/>
          <w:spacing w:val="-15"/>
          <w:sz w:val="21"/>
        </w:rPr>
        <w:t xml:space="preserve"> </w:t>
      </w:r>
      <w:r w:rsidRPr="005E6081">
        <w:rPr>
          <w:rFonts w:ascii="Segoe UI"/>
          <w:sz w:val="21"/>
        </w:rPr>
        <w:t>of</w:t>
      </w:r>
      <w:r w:rsidRPr="005E6081">
        <w:rPr>
          <w:rFonts w:ascii="Segoe UI"/>
          <w:spacing w:val="-13"/>
          <w:sz w:val="21"/>
        </w:rPr>
        <w:t xml:space="preserve"> </w:t>
      </w:r>
      <w:r w:rsidRPr="005E6081">
        <w:rPr>
          <w:rFonts w:ascii="Segoe UI"/>
          <w:sz w:val="21"/>
        </w:rPr>
        <w:t>the</w:t>
      </w:r>
      <w:r w:rsidRPr="005E6081">
        <w:rPr>
          <w:rFonts w:ascii="Segoe UI"/>
          <w:spacing w:val="-12"/>
          <w:sz w:val="21"/>
        </w:rPr>
        <w:t xml:space="preserve"> </w:t>
      </w:r>
      <w:r w:rsidRPr="005E6081">
        <w:rPr>
          <w:rFonts w:ascii="Segoe UI"/>
          <w:sz w:val="21"/>
        </w:rPr>
        <w:t>project,</w:t>
      </w:r>
      <w:r w:rsidRPr="005E6081">
        <w:rPr>
          <w:rFonts w:ascii="Segoe UI"/>
          <w:spacing w:val="-13"/>
          <w:sz w:val="21"/>
        </w:rPr>
        <w:t xml:space="preserve"> </w:t>
      </w:r>
      <w:r w:rsidRPr="005E6081">
        <w:rPr>
          <w:rFonts w:ascii="Segoe UI"/>
          <w:sz w:val="21"/>
        </w:rPr>
        <w:t>and</w:t>
      </w:r>
      <w:r w:rsidRPr="005E6081">
        <w:rPr>
          <w:rFonts w:ascii="Segoe UI"/>
          <w:spacing w:val="-12"/>
          <w:sz w:val="21"/>
        </w:rPr>
        <w:t xml:space="preserve"> </w:t>
      </w:r>
      <w:r w:rsidRPr="005E6081">
        <w:rPr>
          <w:rFonts w:ascii="Segoe UI"/>
          <w:sz w:val="21"/>
        </w:rPr>
        <w:t>gender</w:t>
      </w:r>
      <w:r w:rsidRPr="005E6081">
        <w:rPr>
          <w:rFonts w:ascii="Segoe UI"/>
          <w:spacing w:val="-12"/>
          <w:sz w:val="21"/>
        </w:rPr>
        <w:t xml:space="preserve"> </w:t>
      </w:r>
      <w:r w:rsidRPr="005E6081">
        <w:rPr>
          <w:rFonts w:ascii="Segoe UI"/>
          <w:sz w:val="21"/>
        </w:rPr>
        <w:t>is</w:t>
      </w:r>
      <w:r w:rsidRPr="005E6081">
        <w:rPr>
          <w:rFonts w:ascii="Segoe UI"/>
          <w:spacing w:val="-14"/>
          <w:sz w:val="21"/>
        </w:rPr>
        <w:t xml:space="preserve"> </w:t>
      </w:r>
      <w:r w:rsidRPr="005E6081">
        <w:rPr>
          <w:rFonts w:ascii="Segoe UI"/>
          <w:sz w:val="21"/>
        </w:rPr>
        <w:t>mainstreamed across all activities in</w:t>
      </w:r>
      <w:r w:rsidRPr="005E6081">
        <w:rPr>
          <w:rFonts w:ascii="Segoe UI"/>
          <w:spacing w:val="-7"/>
          <w:sz w:val="21"/>
        </w:rPr>
        <w:t xml:space="preserve"> </w:t>
      </w:r>
      <w:r w:rsidRPr="005E6081">
        <w:rPr>
          <w:rFonts w:ascii="Segoe UI"/>
          <w:sz w:val="21"/>
        </w:rPr>
        <w:t>implementation.</w:t>
      </w:r>
    </w:p>
    <w:p w14:paraId="3AFD932C" w14:textId="77777777" w:rsidR="00E136A1" w:rsidRPr="005E6081" w:rsidRDefault="00E136A1" w:rsidP="00E136A1">
      <w:pPr>
        <w:pStyle w:val="BodyText"/>
        <w:spacing w:before="13"/>
        <w:rPr>
          <w:rFonts w:ascii="Segoe UI"/>
        </w:rPr>
      </w:pPr>
    </w:p>
    <w:p w14:paraId="2D03C771" w14:textId="77777777" w:rsidR="00E136A1" w:rsidRPr="005E6081" w:rsidRDefault="00E136A1" w:rsidP="00E136A1">
      <w:pPr>
        <w:spacing w:line="279" w:lineRule="exact"/>
        <w:ind w:left="500"/>
        <w:jc w:val="both"/>
        <w:rPr>
          <w:rFonts w:ascii="Segoe UI"/>
          <w:sz w:val="21"/>
        </w:rPr>
      </w:pPr>
      <w:r w:rsidRPr="005E6081">
        <w:rPr>
          <w:rFonts w:ascii="Segoe UI"/>
          <w:sz w:val="21"/>
        </w:rPr>
        <w:t>The Production project is organized into two UNDP project documents:</w:t>
      </w:r>
    </w:p>
    <w:p w14:paraId="05070655" w14:textId="77777777" w:rsidR="00E136A1" w:rsidRPr="005E6081" w:rsidRDefault="00E136A1" w:rsidP="00D80344">
      <w:pPr>
        <w:pStyle w:val="ListParagraph"/>
        <w:numPr>
          <w:ilvl w:val="1"/>
          <w:numId w:val="43"/>
        </w:numPr>
        <w:tabs>
          <w:tab w:val="left" w:pos="1580"/>
          <w:tab w:val="left" w:pos="1581"/>
        </w:tabs>
        <w:spacing w:before="0" w:line="279" w:lineRule="exact"/>
        <w:ind w:hanging="721"/>
        <w:jc w:val="both"/>
        <w:rPr>
          <w:rFonts w:ascii="Segoe UI"/>
          <w:sz w:val="21"/>
        </w:rPr>
      </w:pPr>
      <w:r w:rsidRPr="005E6081">
        <w:rPr>
          <w:rFonts w:ascii="Segoe UI"/>
          <w:sz w:val="21"/>
        </w:rPr>
        <w:t>Indonesia, Liberia and Global</w:t>
      </w:r>
      <w:r w:rsidRPr="005E6081">
        <w:rPr>
          <w:rFonts w:ascii="Segoe UI"/>
          <w:spacing w:val="-1"/>
          <w:sz w:val="21"/>
        </w:rPr>
        <w:t xml:space="preserve"> </w:t>
      </w:r>
      <w:r w:rsidRPr="005E6081">
        <w:rPr>
          <w:rFonts w:ascii="Segoe UI"/>
          <w:sz w:val="21"/>
        </w:rPr>
        <w:t>support;</w:t>
      </w:r>
    </w:p>
    <w:p w14:paraId="798A9AE8" w14:textId="77777777" w:rsidR="00E136A1" w:rsidRPr="005E6081" w:rsidRDefault="00E136A1" w:rsidP="00D80344">
      <w:pPr>
        <w:pStyle w:val="ListParagraph"/>
        <w:numPr>
          <w:ilvl w:val="1"/>
          <w:numId w:val="43"/>
        </w:numPr>
        <w:tabs>
          <w:tab w:val="left" w:pos="1581"/>
        </w:tabs>
        <w:spacing w:before="1" w:line="279" w:lineRule="exact"/>
        <w:ind w:hanging="721"/>
        <w:jc w:val="both"/>
        <w:rPr>
          <w:rFonts w:ascii="Segoe UI"/>
          <w:sz w:val="21"/>
        </w:rPr>
      </w:pPr>
      <w:r w:rsidRPr="005E6081">
        <w:rPr>
          <w:rFonts w:ascii="Segoe UI"/>
          <w:sz w:val="21"/>
        </w:rPr>
        <w:t>Paraguay.</w:t>
      </w:r>
    </w:p>
    <w:p w14:paraId="5565A0AE" w14:textId="77777777" w:rsidR="00E136A1" w:rsidRPr="005E6081" w:rsidRDefault="00E136A1" w:rsidP="00E136A1">
      <w:pPr>
        <w:spacing w:line="279" w:lineRule="exact"/>
        <w:ind w:left="500"/>
        <w:jc w:val="both"/>
        <w:rPr>
          <w:rFonts w:ascii="Segoe UI" w:hAnsi="Segoe UI"/>
          <w:sz w:val="21"/>
        </w:rPr>
      </w:pPr>
      <w:r w:rsidRPr="005E6081">
        <w:rPr>
          <w:rFonts w:ascii="Segoe UI" w:hAnsi="Segoe UI"/>
          <w:sz w:val="21"/>
        </w:rPr>
        <w:t>In both cases, the project is implemented following UNDP’s direct implementation modality (DIM),</w:t>
      </w:r>
    </w:p>
    <w:p w14:paraId="36D20A5A" w14:textId="77777777" w:rsidR="00E136A1" w:rsidRPr="005E6081" w:rsidRDefault="00E136A1" w:rsidP="00E136A1">
      <w:pPr>
        <w:spacing w:before="2" w:line="279" w:lineRule="exact"/>
        <w:ind w:left="500"/>
        <w:jc w:val="both"/>
        <w:rPr>
          <w:rFonts w:ascii="Segoe UI"/>
          <w:sz w:val="21"/>
        </w:rPr>
      </w:pPr>
      <w:r w:rsidRPr="005E6081">
        <w:rPr>
          <w:rFonts w:ascii="Segoe UI"/>
          <w:sz w:val="21"/>
        </w:rPr>
        <w:lastRenderedPageBreak/>
        <w:t>with the following governance and management arrangements:</w:t>
      </w:r>
    </w:p>
    <w:p w14:paraId="32E4020D" w14:textId="77777777" w:rsidR="00E136A1" w:rsidRPr="005E6081" w:rsidRDefault="00E136A1" w:rsidP="00D80344">
      <w:pPr>
        <w:pStyle w:val="ListParagraph"/>
        <w:numPr>
          <w:ilvl w:val="0"/>
          <w:numId w:val="44"/>
        </w:numPr>
        <w:tabs>
          <w:tab w:val="left" w:pos="1580"/>
          <w:tab w:val="left" w:pos="1581"/>
        </w:tabs>
        <w:spacing w:before="0"/>
        <w:ind w:right="1434"/>
        <w:jc w:val="both"/>
        <w:rPr>
          <w:rFonts w:ascii="Segoe UI" w:hAnsi="Segoe UI"/>
          <w:sz w:val="21"/>
        </w:rPr>
      </w:pPr>
      <w:r w:rsidRPr="005E6081">
        <w:rPr>
          <w:rFonts w:ascii="Segoe UI" w:hAnsi="Segoe UI"/>
          <w:sz w:val="21"/>
        </w:rPr>
        <w:t>For Indonesia, Liberia and Global support – the Implementing Partner is the Regional Hub for Latin America and the Caribbean (RH LAC – which is thus responsible and accountable for managing the project (including M&amp;E), achieving project outcomes, and for the effective use of UNDP resources. The Country Offices of Indonesia and Liberia are executing the Indonesia and Liberia components of the</w:t>
      </w:r>
      <w:r w:rsidRPr="005E6081">
        <w:rPr>
          <w:rFonts w:ascii="Segoe UI" w:hAnsi="Segoe UI"/>
          <w:spacing w:val="-13"/>
          <w:sz w:val="21"/>
        </w:rPr>
        <w:t xml:space="preserve"> </w:t>
      </w:r>
      <w:r w:rsidRPr="005E6081">
        <w:rPr>
          <w:rFonts w:ascii="Segoe UI" w:hAnsi="Segoe UI"/>
          <w:sz w:val="21"/>
        </w:rPr>
        <w:t>project.</w:t>
      </w:r>
    </w:p>
    <w:p w14:paraId="702F8104" w14:textId="77777777" w:rsidR="00E136A1" w:rsidRPr="005E6081" w:rsidRDefault="00E136A1" w:rsidP="00D80344">
      <w:pPr>
        <w:pStyle w:val="ListParagraph"/>
        <w:numPr>
          <w:ilvl w:val="0"/>
          <w:numId w:val="44"/>
        </w:numPr>
        <w:tabs>
          <w:tab w:val="left" w:pos="1581"/>
        </w:tabs>
        <w:spacing w:before="0"/>
        <w:ind w:hanging="721"/>
        <w:jc w:val="both"/>
        <w:rPr>
          <w:rFonts w:ascii="Segoe UI"/>
          <w:sz w:val="21"/>
        </w:rPr>
      </w:pPr>
      <w:r w:rsidRPr="005E6081">
        <w:rPr>
          <w:rFonts w:ascii="Segoe UI"/>
          <w:sz w:val="21"/>
        </w:rPr>
        <w:t>For Paraguay, the Implementing Partner is the UNDP Paraguay Country</w:t>
      </w:r>
      <w:r w:rsidRPr="005E6081">
        <w:rPr>
          <w:rFonts w:ascii="Segoe UI"/>
          <w:spacing w:val="-6"/>
          <w:sz w:val="21"/>
        </w:rPr>
        <w:t xml:space="preserve"> </w:t>
      </w:r>
      <w:r w:rsidRPr="005E6081">
        <w:rPr>
          <w:rFonts w:ascii="Segoe UI"/>
          <w:sz w:val="21"/>
        </w:rPr>
        <w:t>Office.</w:t>
      </w:r>
    </w:p>
    <w:p w14:paraId="69755D8D" w14:textId="77777777" w:rsidR="00E136A1" w:rsidRPr="005E6081" w:rsidRDefault="00E136A1" w:rsidP="00E136A1">
      <w:pPr>
        <w:pStyle w:val="BodyText"/>
        <w:rPr>
          <w:rFonts w:ascii="Segoe UI"/>
          <w:sz w:val="21"/>
        </w:rPr>
      </w:pPr>
    </w:p>
    <w:p w14:paraId="5692E807" w14:textId="77777777" w:rsidR="00E136A1" w:rsidRPr="005E6081" w:rsidRDefault="00E136A1" w:rsidP="00E136A1">
      <w:pPr>
        <w:ind w:left="500" w:right="1433"/>
        <w:jc w:val="both"/>
        <w:rPr>
          <w:rFonts w:ascii="Segoe UI" w:hAnsi="Segoe UI"/>
          <w:sz w:val="21"/>
        </w:rPr>
      </w:pPr>
      <w:r w:rsidRPr="005E6081">
        <w:rPr>
          <w:rFonts w:ascii="Segoe UI" w:hAnsi="Segoe UI"/>
          <w:sz w:val="21"/>
        </w:rPr>
        <w:t>The Indonesia portion of the project has been executed by UNDP Indonesia, in partnership with the Ministry of Agriculture, the Ministry of Environment and Forestry and the Coordinating Ministry for Economic Affairs, and with Conservation International (CI) and WWF Indonesia acting as responsible parties for the landscape-level work in the South Tapanuli (North Sumatra) and Sintang (West Kalimantan – then taken over by UNDP Indonesia) districts</w:t>
      </w:r>
      <w:r w:rsidRPr="005E6081">
        <w:rPr>
          <w:rFonts w:ascii="Segoe UI" w:hAnsi="Segoe UI"/>
          <w:spacing w:val="-8"/>
          <w:sz w:val="21"/>
        </w:rPr>
        <w:t xml:space="preserve"> </w:t>
      </w:r>
      <w:r w:rsidRPr="005E6081">
        <w:rPr>
          <w:rFonts w:ascii="Segoe UI" w:hAnsi="Segoe UI"/>
          <w:sz w:val="21"/>
        </w:rPr>
        <w:t>respectively.</w:t>
      </w:r>
    </w:p>
    <w:p w14:paraId="5CDC2D68" w14:textId="77777777" w:rsidR="00E136A1" w:rsidRPr="005E6081" w:rsidRDefault="00E136A1" w:rsidP="00E136A1">
      <w:pPr>
        <w:spacing w:before="1"/>
        <w:ind w:left="500" w:right="1434"/>
        <w:jc w:val="both"/>
        <w:rPr>
          <w:rFonts w:ascii="Segoe UI"/>
          <w:sz w:val="21"/>
        </w:rPr>
      </w:pPr>
      <w:r w:rsidRPr="005E6081">
        <w:rPr>
          <w:rFonts w:ascii="Segoe UI"/>
          <w:sz w:val="21"/>
        </w:rPr>
        <w:t>The</w:t>
      </w:r>
      <w:r w:rsidRPr="005E6081">
        <w:rPr>
          <w:rFonts w:ascii="Segoe UI"/>
          <w:spacing w:val="-6"/>
          <w:sz w:val="21"/>
        </w:rPr>
        <w:t xml:space="preserve"> </w:t>
      </w:r>
      <w:r w:rsidRPr="005E6081">
        <w:rPr>
          <w:rFonts w:ascii="Segoe UI"/>
          <w:sz w:val="21"/>
        </w:rPr>
        <w:t>Liberia</w:t>
      </w:r>
      <w:r w:rsidRPr="005E6081">
        <w:rPr>
          <w:rFonts w:ascii="Segoe UI"/>
          <w:spacing w:val="-5"/>
          <w:sz w:val="21"/>
        </w:rPr>
        <w:t xml:space="preserve"> </w:t>
      </w:r>
      <w:r w:rsidRPr="005E6081">
        <w:rPr>
          <w:rFonts w:ascii="Segoe UI"/>
          <w:sz w:val="21"/>
        </w:rPr>
        <w:t>portion</w:t>
      </w:r>
      <w:r w:rsidRPr="005E6081">
        <w:rPr>
          <w:rFonts w:ascii="Segoe UI"/>
          <w:spacing w:val="-5"/>
          <w:sz w:val="21"/>
        </w:rPr>
        <w:t xml:space="preserve"> </w:t>
      </w:r>
      <w:r w:rsidRPr="005E6081">
        <w:rPr>
          <w:rFonts w:ascii="Segoe UI"/>
          <w:sz w:val="21"/>
        </w:rPr>
        <w:t>of</w:t>
      </w:r>
      <w:r w:rsidRPr="005E6081">
        <w:rPr>
          <w:rFonts w:ascii="Segoe UI"/>
          <w:spacing w:val="-5"/>
          <w:sz w:val="21"/>
        </w:rPr>
        <w:t xml:space="preserve"> </w:t>
      </w:r>
      <w:r w:rsidRPr="005E6081">
        <w:rPr>
          <w:rFonts w:ascii="Segoe UI"/>
          <w:sz w:val="21"/>
        </w:rPr>
        <w:t>the</w:t>
      </w:r>
      <w:r w:rsidRPr="005E6081">
        <w:rPr>
          <w:rFonts w:ascii="Segoe UI"/>
          <w:spacing w:val="-8"/>
          <w:sz w:val="21"/>
        </w:rPr>
        <w:t xml:space="preserve"> </w:t>
      </w:r>
      <w:r w:rsidRPr="005E6081">
        <w:rPr>
          <w:rFonts w:ascii="Segoe UI"/>
          <w:sz w:val="21"/>
        </w:rPr>
        <w:t>project</w:t>
      </w:r>
      <w:r w:rsidRPr="005E6081">
        <w:rPr>
          <w:rFonts w:ascii="Segoe UI"/>
          <w:spacing w:val="-5"/>
          <w:sz w:val="21"/>
        </w:rPr>
        <w:t xml:space="preserve"> </w:t>
      </w:r>
      <w:r w:rsidRPr="005E6081">
        <w:rPr>
          <w:rFonts w:ascii="Segoe UI"/>
          <w:sz w:val="21"/>
        </w:rPr>
        <w:t>has</w:t>
      </w:r>
      <w:r w:rsidRPr="005E6081">
        <w:rPr>
          <w:rFonts w:ascii="Segoe UI"/>
          <w:spacing w:val="-7"/>
          <w:sz w:val="21"/>
        </w:rPr>
        <w:t xml:space="preserve"> </w:t>
      </w:r>
      <w:r w:rsidRPr="005E6081">
        <w:rPr>
          <w:rFonts w:ascii="Segoe UI"/>
          <w:sz w:val="21"/>
        </w:rPr>
        <w:t>been</w:t>
      </w:r>
      <w:r w:rsidRPr="005E6081">
        <w:rPr>
          <w:rFonts w:ascii="Segoe UI"/>
          <w:spacing w:val="-4"/>
          <w:sz w:val="21"/>
        </w:rPr>
        <w:t xml:space="preserve"> </w:t>
      </w:r>
      <w:r w:rsidRPr="005E6081">
        <w:rPr>
          <w:rFonts w:ascii="Segoe UI"/>
          <w:sz w:val="21"/>
        </w:rPr>
        <w:t>executed</w:t>
      </w:r>
      <w:r w:rsidRPr="005E6081">
        <w:rPr>
          <w:rFonts w:ascii="Segoe UI"/>
          <w:spacing w:val="-7"/>
          <w:sz w:val="21"/>
        </w:rPr>
        <w:t xml:space="preserve"> </w:t>
      </w:r>
      <w:r w:rsidRPr="005E6081">
        <w:rPr>
          <w:rFonts w:ascii="Segoe UI"/>
          <w:sz w:val="21"/>
        </w:rPr>
        <w:t>by</w:t>
      </w:r>
      <w:r w:rsidRPr="005E6081">
        <w:rPr>
          <w:rFonts w:ascii="Segoe UI"/>
          <w:spacing w:val="-5"/>
          <w:sz w:val="21"/>
        </w:rPr>
        <w:t xml:space="preserve"> </w:t>
      </w:r>
      <w:r w:rsidRPr="005E6081">
        <w:rPr>
          <w:rFonts w:ascii="Segoe UI"/>
          <w:sz w:val="21"/>
        </w:rPr>
        <w:t>UNDP</w:t>
      </w:r>
      <w:r w:rsidRPr="005E6081">
        <w:rPr>
          <w:rFonts w:ascii="Segoe UI"/>
          <w:spacing w:val="-6"/>
          <w:sz w:val="21"/>
        </w:rPr>
        <w:t xml:space="preserve"> </w:t>
      </w:r>
      <w:r w:rsidRPr="005E6081">
        <w:rPr>
          <w:rFonts w:ascii="Segoe UI"/>
          <w:sz w:val="21"/>
        </w:rPr>
        <w:t>Liberia,</w:t>
      </w:r>
      <w:r w:rsidRPr="005E6081">
        <w:rPr>
          <w:rFonts w:ascii="Segoe UI"/>
          <w:spacing w:val="-5"/>
          <w:sz w:val="21"/>
        </w:rPr>
        <w:t xml:space="preserve"> </w:t>
      </w:r>
      <w:r w:rsidRPr="005E6081">
        <w:rPr>
          <w:rFonts w:ascii="Segoe UI"/>
          <w:sz w:val="21"/>
        </w:rPr>
        <w:t>in</w:t>
      </w:r>
      <w:r w:rsidRPr="005E6081">
        <w:rPr>
          <w:rFonts w:ascii="Segoe UI"/>
          <w:spacing w:val="-8"/>
          <w:sz w:val="21"/>
        </w:rPr>
        <w:t xml:space="preserve"> </w:t>
      </w:r>
      <w:r w:rsidRPr="005E6081">
        <w:rPr>
          <w:rFonts w:ascii="Segoe UI"/>
          <w:sz w:val="21"/>
        </w:rPr>
        <w:t>partnership</w:t>
      </w:r>
      <w:r w:rsidRPr="005E6081">
        <w:rPr>
          <w:rFonts w:ascii="Segoe UI"/>
          <w:spacing w:val="-5"/>
          <w:sz w:val="21"/>
        </w:rPr>
        <w:t xml:space="preserve"> </w:t>
      </w:r>
      <w:r w:rsidRPr="005E6081">
        <w:rPr>
          <w:rFonts w:ascii="Segoe UI"/>
          <w:sz w:val="21"/>
        </w:rPr>
        <w:t>with</w:t>
      </w:r>
      <w:r w:rsidRPr="005E6081">
        <w:rPr>
          <w:rFonts w:ascii="Segoe UI"/>
          <w:spacing w:val="-4"/>
          <w:sz w:val="21"/>
        </w:rPr>
        <w:t xml:space="preserve"> </w:t>
      </w:r>
      <w:r w:rsidRPr="005E6081">
        <w:rPr>
          <w:rFonts w:ascii="Segoe UI"/>
          <w:sz w:val="21"/>
        </w:rPr>
        <w:t>the</w:t>
      </w:r>
      <w:r w:rsidRPr="005E6081">
        <w:rPr>
          <w:rFonts w:ascii="Segoe UI"/>
          <w:spacing w:val="-6"/>
          <w:sz w:val="21"/>
        </w:rPr>
        <w:t xml:space="preserve"> </w:t>
      </w:r>
      <w:r w:rsidRPr="005E6081">
        <w:rPr>
          <w:rFonts w:ascii="Segoe UI"/>
          <w:sz w:val="21"/>
        </w:rPr>
        <w:t>Ministry of</w:t>
      </w:r>
      <w:r w:rsidRPr="005E6081">
        <w:rPr>
          <w:rFonts w:ascii="Segoe UI"/>
          <w:spacing w:val="-6"/>
          <w:sz w:val="21"/>
        </w:rPr>
        <w:t xml:space="preserve"> </w:t>
      </w:r>
      <w:r w:rsidRPr="005E6081">
        <w:rPr>
          <w:rFonts w:ascii="Segoe UI"/>
          <w:sz w:val="21"/>
        </w:rPr>
        <w:t>Agriculture,</w:t>
      </w:r>
      <w:r w:rsidRPr="005E6081">
        <w:rPr>
          <w:rFonts w:ascii="Segoe UI"/>
          <w:spacing w:val="-4"/>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Forest</w:t>
      </w:r>
      <w:r w:rsidRPr="005E6081">
        <w:rPr>
          <w:rFonts w:ascii="Segoe UI"/>
          <w:spacing w:val="-6"/>
          <w:sz w:val="21"/>
        </w:rPr>
        <w:t xml:space="preserve"> </w:t>
      </w:r>
      <w:r w:rsidRPr="005E6081">
        <w:rPr>
          <w:rFonts w:ascii="Segoe UI"/>
          <w:sz w:val="21"/>
        </w:rPr>
        <w:t>Development</w:t>
      </w:r>
      <w:r w:rsidRPr="005E6081">
        <w:rPr>
          <w:rFonts w:ascii="Segoe UI"/>
          <w:spacing w:val="-4"/>
          <w:sz w:val="21"/>
        </w:rPr>
        <w:t xml:space="preserve"> </w:t>
      </w:r>
      <w:r w:rsidRPr="005E6081">
        <w:rPr>
          <w:rFonts w:ascii="Segoe UI"/>
          <w:sz w:val="21"/>
        </w:rPr>
        <w:t>Authority,</w:t>
      </w:r>
      <w:r w:rsidRPr="005E6081">
        <w:rPr>
          <w:rFonts w:ascii="Segoe UI"/>
          <w:spacing w:val="-4"/>
          <w:sz w:val="21"/>
        </w:rPr>
        <w:t xml:space="preserve"> </w:t>
      </w:r>
      <w:r w:rsidRPr="005E6081">
        <w:rPr>
          <w:rFonts w:ascii="Segoe UI"/>
          <w:sz w:val="21"/>
        </w:rPr>
        <w:t>and</w:t>
      </w:r>
      <w:r w:rsidRPr="005E6081">
        <w:rPr>
          <w:rFonts w:ascii="Segoe UI"/>
          <w:spacing w:val="-3"/>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Environmental</w:t>
      </w:r>
      <w:r w:rsidRPr="005E6081">
        <w:rPr>
          <w:rFonts w:ascii="Segoe UI"/>
          <w:spacing w:val="-4"/>
          <w:sz w:val="21"/>
        </w:rPr>
        <w:t xml:space="preserve"> </w:t>
      </w:r>
      <w:r w:rsidRPr="005E6081">
        <w:rPr>
          <w:rFonts w:ascii="Segoe UI"/>
          <w:sz w:val="21"/>
        </w:rPr>
        <w:t>Protection</w:t>
      </w:r>
      <w:r w:rsidRPr="005E6081">
        <w:rPr>
          <w:rFonts w:ascii="Segoe UI"/>
          <w:spacing w:val="-4"/>
          <w:sz w:val="21"/>
        </w:rPr>
        <w:t xml:space="preserve"> </w:t>
      </w:r>
      <w:r w:rsidRPr="005E6081">
        <w:rPr>
          <w:rFonts w:ascii="Segoe UI"/>
          <w:sz w:val="21"/>
        </w:rPr>
        <w:t>Agency,</w:t>
      </w:r>
      <w:r w:rsidRPr="005E6081">
        <w:rPr>
          <w:rFonts w:ascii="Segoe UI"/>
          <w:spacing w:val="-4"/>
          <w:sz w:val="21"/>
        </w:rPr>
        <w:t xml:space="preserve"> </w:t>
      </w:r>
      <w:r w:rsidRPr="005E6081">
        <w:rPr>
          <w:rFonts w:ascii="Segoe UI"/>
          <w:sz w:val="21"/>
        </w:rPr>
        <w:t>and</w:t>
      </w:r>
      <w:r w:rsidRPr="005E6081">
        <w:rPr>
          <w:rFonts w:ascii="Segoe UI"/>
          <w:spacing w:val="-3"/>
          <w:sz w:val="21"/>
        </w:rPr>
        <w:t xml:space="preserve"> </w:t>
      </w:r>
      <w:r w:rsidRPr="005E6081">
        <w:rPr>
          <w:rFonts w:ascii="Segoe UI"/>
          <w:sz w:val="21"/>
        </w:rPr>
        <w:t>with CI</w:t>
      </w:r>
      <w:r w:rsidRPr="005E6081">
        <w:rPr>
          <w:rFonts w:ascii="Segoe UI"/>
          <w:spacing w:val="-6"/>
          <w:sz w:val="21"/>
        </w:rPr>
        <w:t xml:space="preserve"> </w:t>
      </w:r>
      <w:r w:rsidRPr="005E6081">
        <w:rPr>
          <w:rFonts w:ascii="Segoe UI"/>
          <w:sz w:val="21"/>
        </w:rPr>
        <w:t>acting</w:t>
      </w:r>
      <w:r w:rsidRPr="005E6081">
        <w:rPr>
          <w:rFonts w:ascii="Segoe UI"/>
          <w:spacing w:val="-5"/>
          <w:sz w:val="21"/>
        </w:rPr>
        <w:t xml:space="preserve"> </w:t>
      </w:r>
      <w:r w:rsidRPr="005E6081">
        <w:rPr>
          <w:rFonts w:ascii="Segoe UI"/>
          <w:sz w:val="21"/>
        </w:rPr>
        <w:t>as</w:t>
      </w:r>
      <w:r w:rsidRPr="005E6081">
        <w:rPr>
          <w:rFonts w:ascii="Segoe UI"/>
          <w:spacing w:val="-6"/>
          <w:sz w:val="21"/>
        </w:rPr>
        <w:t xml:space="preserve"> </w:t>
      </w:r>
      <w:r w:rsidRPr="005E6081">
        <w:rPr>
          <w:rFonts w:ascii="Segoe UI"/>
          <w:sz w:val="21"/>
        </w:rPr>
        <w:t>responsible</w:t>
      </w:r>
      <w:r w:rsidRPr="005E6081">
        <w:rPr>
          <w:rFonts w:ascii="Segoe UI"/>
          <w:spacing w:val="-6"/>
          <w:sz w:val="21"/>
        </w:rPr>
        <w:t xml:space="preserve"> </w:t>
      </w:r>
      <w:r w:rsidRPr="005E6081">
        <w:rPr>
          <w:rFonts w:ascii="Segoe UI"/>
          <w:sz w:val="21"/>
        </w:rPr>
        <w:t>party</w:t>
      </w:r>
      <w:r w:rsidRPr="005E6081">
        <w:rPr>
          <w:rFonts w:ascii="Segoe UI"/>
          <w:spacing w:val="-5"/>
          <w:sz w:val="21"/>
        </w:rPr>
        <w:t xml:space="preserve"> </w:t>
      </w:r>
      <w:r w:rsidRPr="005E6081">
        <w:rPr>
          <w:rFonts w:ascii="Segoe UI"/>
          <w:sz w:val="21"/>
        </w:rPr>
        <w:t>for</w:t>
      </w:r>
      <w:r w:rsidRPr="005E6081">
        <w:rPr>
          <w:rFonts w:ascii="Segoe UI"/>
          <w:spacing w:val="-5"/>
          <w:sz w:val="21"/>
        </w:rPr>
        <w:t xml:space="preserve"> </w:t>
      </w:r>
      <w:r w:rsidRPr="005E6081">
        <w:rPr>
          <w:rFonts w:ascii="Segoe UI"/>
          <w:sz w:val="21"/>
        </w:rPr>
        <w:t>landscape-level</w:t>
      </w:r>
      <w:r w:rsidRPr="005E6081">
        <w:rPr>
          <w:rFonts w:ascii="Segoe UI"/>
          <w:spacing w:val="-7"/>
          <w:sz w:val="21"/>
        </w:rPr>
        <w:t xml:space="preserve"> </w:t>
      </w:r>
      <w:r w:rsidRPr="005E6081">
        <w:rPr>
          <w:rFonts w:ascii="Segoe UI"/>
          <w:sz w:val="21"/>
        </w:rPr>
        <w:t>work</w:t>
      </w:r>
      <w:r w:rsidRPr="005E6081">
        <w:rPr>
          <w:rFonts w:ascii="Segoe UI"/>
          <w:spacing w:val="-3"/>
          <w:sz w:val="21"/>
        </w:rPr>
        <w:t xml:space="preserve"> </w:t>
      </w:r>
      <w:r w:rsidRPr="005E6081">
        <w:rPr>
          <w:rFonts w:ascii="Segoe UI"/>
          <w:sz w:val="21"/>
        </w:rPr>
        <w:t>in</w:t>
      </w:r>
      <w:r w:rsidRPr="005E6081">
        <w:rPr>
          <w:rFonts w:ascii="Segoe UI"/>
          <w:spacing w:val="-6"/>
          <w:sz w:val="21"/>
        </w:rPr>
        <w:t xml:space="preserve"> </w:t>
      </w:r>
      <w:r w:rsidRPr="005E6081">
        <w:rPr>
          <w:rFonts w:ascii="Segoe UI"/>
          <w:sz w:val="21"/>
        </w:rPr>
        <w:t>the</w:t>
      </w:r>
      <w:r w:rsidRPr="005E6081">
        <w:rPr>
          <w:rFonts w:ascii="Segoe UI"/>
          <w:spacing w:val="-6"/>
          <w:sz w:val="21"/>
        </w:rPr>
        <w:t xml:space="preserve"> </w:t>
      </w:r>
      <w:r w:rsidRPr="005E6081">
        <w:rPr>
          <w:rFonts w:ascii="Segoe UI"/>
          <w:sz w:val="21"/>
        </w:rPr>
        <w:t>North-West</w:t>
      </w:r>
      <w:r w:rsidRPr="005E6081">
        <w:rPr>
          <w:rFonts w:ascii="Segoe UI"/>
          <w:spacing w:val="-3"/>
          <w:sz w:val="21"/>
        </w:rPr>
        <w:t xml:space="preserve"> </w:t>
      </w:r>
      <w:r w:rsidRPr="005E6081">
        <w:rPr>
          <w:rFonts w:ascii="Segoe UI"/>
          <w:sz w:val="21"/>
        </w:rPr>
        <w:t>Liberian/MANCO</w:t>
      </w:r>
      <w:r w:rsidRPr="005E6081">
        <w:rPr>
          <w:rFonts w:ascii="Segoe UI"/>
          <w:spacing w:val="-5"/>
          <w:sz w:val="21"/>
        </w:rPr>
        <w:t xml:space="preserve"> </w:t>
      </w:r>
      <w:r w:rsidRPr="005E6081">
        <w:rPr>
          <w:rFonts w:ascii="Segoe UI"/>
          <w:sz w:val="21"/>
        </w:rPr>
        <w:t>landscape (across the counties of Grand Cape Mount, Bomi, Gbarpolu, and</w:t>
      </w:r>
      <w:r w:rsidRPr="005E6081">
        <w:rPr>
          <w:rFonts w:ascii="Segoe UI"/>
          <w:spacing w:val="-11"/>
          <w:sz w:val="21"/>
        </w:rPr>
        <w:t xml:space="preserve"> </w:t>
      </w:r>
      <w:r w:rsidRPr="005E6081">
        <w:rPr>
          <w:rFonts w:ascii="Segoe UI"/>
          <w:sz w:val="21"/>
        </w:rPr>
        <w:t>Bong).</w:t>
      </w:r>
    </w:p>
    <w:p w14:paraId="05C6D8F5" w14:textId="77777777" w:rsidR="00E136A1" w:rsidRPr="005E6081" w:rsidRDefault="00E136A1" w:rsidP="00E136A1">
      <w:pPr>
        <w:ind w:left="500" w:right="1435"/>
        <w:jc w:val="both"/>
        <w:rPr>
          <w:rFonts w:ascii="Segoe UI"/>
          <w:sz w:val="21"/>
        </w:rPr>
      </w:pPr>
      <w:r w:rsidRPr="005E6081">
        <w:rPr>
          <w:rFonts w:ascii="Segoe UI"/>
          <w:sz w:val="21"/>
        </w:rPr>
        <w:t>The</w:t>
      </w:r>
      <w:r w:rsidRPr="005E6081">
        <w:rPr>
          <w:rFonts w:ascii="Segoe UI"/>
          <w:spacing w:val="-8"/>
          <w:sz w:val="21"/>
        </w:rPr>
        <w:t xml:space="preserve"> </w:t>
      </w:r>
      <w:r w:rsidRPr="005E6081">
        <w:rPr>
          <w:rFonts w:ascii="Segoe UI"/>
          <w:sz w:val="21"/>
        </w:rPr>
        <w:t>Paraguay</w:t>
      </w:r>
      <w:r w:rsidRPr="005E6081">
        <w:rPr>
          <w:rFonts w:ascii="Segoe UI"/>
          <w:spacing w:val="-8"/>
          <w:sz w:val="21"/>
        </w:rPr>
        <w:t xml:space="preserve"> </w:t>
      </w:r>
      <w:r w:rsidRPr="005E6081">
        <w:rPr>
          <w:rFonts w:ascii="Segoe UI"/>
          <w:sz w:val="21"/>
        </w:rPr>
        <w:t>portion</w:t>
      </w:r>
      <w:r w:rsidRPr="005E6081">
        <w:rPr>
          <w:rFonts w:ascii="Segoe UI"/>
          <w:spacing w:val="-8"/>
          <w:sz w:val="21"/>
        </w:rPr>
        <w:t xml:space="preserve"> </w:t>
      </w:r>
      <w:r w:rsidRPr="005E6081">
        <w:rPr>
          <w:rFonts w:ascii="Segoe UI"/>
          <w:sz w:val="21"/>
        </w:rPr>
        <w:t>of</w:t>
      </w:r>
      <w:r w:rsidRPr="005E6081">
        <w:rPr>
          <w:rFonts w:ascii="Segoe UI"/>
          <w:spacing w:val="-8"/>
          <w:sz w:val="21"/>
        </w:rPr>
        <w:t xml:space="preserve"> </w:t>
      </w:r>
      <w:r w:rsidRPr="005E6081">
        <w:rPr>
          <w:rFonts w:ascii="Segoe UI"/>
          <w:sz w:val="21"/>
        </w:rPr>
        <w:t>the</w:t>
      </w:r>
      <w:r w:rsidRPr="005E6081">
        <w:rPr>
          <w:rFonts w:ascii="Segoe UI"/>
          <w:spacing w:val="-8"/>
          <w:sz w:val="21"/>
        </w:rPr>
        <w:t xml:space="preserve"> </w:t>
      </w:r>
      <w:r w:rsidRPr="005E6081">
        <w:rPr>
          <w:rFonts w:ascii="Segoe UI"/>
          <w:sz w:val="21"/>
        </w:rPr>
        <w:t>project</w:t>
      </w:r>
      <w:r w:rsidRPr="005E6081">
        <w:rPr>
          <w:rFonts w:ascii="Segoe UI"/>
          <w:spacing w:val="-7"/>
          <w:sz w:val="21"/>
        </w:rPr>
        <w:t xml:space="preserve"> </w:t>
      </w:r>
      <w:r w:rsidRPr="005E6081">
        <w:rPr>
          <w:rFonts w:ascii="Segoe UI"/>
          <w:sz w:val="21"/>
        </w:rPr>
        <w:t>has</w:t>
      </w:r>
      <w:r w:rsidRPr="005E6081">
        <w:rPr>
          <w:rFonts w:ascii="Segoe UI"/>
          <w:spacing w:val="-9"/>
          <w:sz w:val="21"/>
        </w:rPr>
        <w:t xml:space="preserve"> </w:t>
      </w:r>
      <w:r w:rsidRPr="005E6081">
        <w:rPr>
          <w:rFonts w:ascii="Segoe UI"/>
          <w:sz w:val="21"/>
        </w:rPr>
        <w:t>been</w:t>
      </w:r>
      <w:r w:rsidRPr="005E6081">
        <w:rPr>
          <w:rFonts w:ascii="Segoe UI"/>
          <w:spacing w:val="-8"/>
          <w:sz w:val="21"/>
        </w:rPr>
        <w:t xml:space="preserve"> </w:t>
      </w:r>
      <w:r w:rsidRPr="005E6081">
        <w:rPr>
          <w:rFonts w:ascii="Segoe UI"/>
          <w:sz w:val="21"/>
        </w:rPr>
        <w:t>implemented</w:t>
      </w:r>
      <w:r w:rsidRPr="005E6081">
        <w:rPr>
          <w:rFonts w:ascii="Segoe UI"/>
          <w:spacing w:val="-10"/>
          <w:sz w:val="21"/>
        </w:rPr>
        <w:t xml:space="preserve"> </w:t>
      </w:r>
      <w:r w:rsidRPr="005E6081">
        <w:rPr>
          <w:rFonts w:ascii="Segoe UI"/>
          <w:sz w:val="21"/>
        </w:rPr>
        <w:t>by</w:t>
      </w:r>
      <w:r w:rsidRPr="005E6081">
        <w:rPr>
          <w:rFonts w:ascii="Segoe UI"/>
          <w:spacing w:val="-7"/>
          <w:sz w:val="21"/>
        </w:rPr>
        <w:t xml:space="preserve"> </w:t>
      </w:r>
      <w:r w:rsidRPr="005E6081">
        <w:rPr>
          <w:rFonts w:ascii="Segoe UI"/>
          <w:sz w:val="21"/>
        </w:rPr>
        <w:t>UNDP</w:t>
      </w:r>
      <w:r w:rsidRPr="005E6081">
        <w:rPr>
          <w:rFonts w:ascii="Segoe UI"/>
          <w:spacing w:val="-9"/>
          <w:sz w:val="21"/>
        </w:rPr>
        <w:t xml:space="preserve"> </w:t>
      </w:r>
      <w:r w:rsidRPr="005E6081">
        <w:rPr>
          <w:rFonts w:ascii="Segoe UI"/>
          <w:sz w:val="21"/>
        </w:rPr>
        <w:t>Paraguay</w:t>
      </w:r>
      <w:r w:rsidRPr="005E6081">
        <w:rPr>
          <w:rFonts w:ascii="Segoe UI"/>
          <w:spacing w:val="-7"/>
          <w:sz w:val="21"/>
        </w:rPr>
        <w:t xml:space="preserve"> </w:t>
      </w:r>
      <w:r w:rsidRPr="005E6081">
        <w:rPr>
          <w:rFonts w:ascii="Segoe UI"/>
          <w:sz w:val="21"/>
        </w:rPr>
        <w:t>in</w:t>
      </w:r>
      <w:r w:rsidRPr="005E6081">
        <w:rPr>
          <w:rFonts w:ascii="Segoe UI"/>
          <w:spacing w:val="-8"/>
          <w:sz w:val="21"/>
        </w:rPr>
        <w:t xml:space="preserve"> </w:t>
      </w:r>
      <w:r w:rsidRPr="005E6081">
        <w:rPr>
          <w:rFonts w:ascii="Segoe UI"/>
          <w:sz w:val="21"/>
        </w:rPr>
        <w:t>partnership</w:t>
      </w:r>
      <w:r w:rsidRPr="005E6081">
        <w:rPr>
          <w:rFonts w:ascii="Segoe UI"/>
          <w:spacing w:val="-8"/>
          <w:sz w:val="21"/>
        </w:rPr>
        <w:t xml:space="preserve"> </w:t>
      </w:r>
      <w:r w:rsidRPr="005E6081">
        <w:rPr>
          <w:rFonts w:ascii="Segoe UI"/>
          <w:sz w:val="21"/>
        </w:rPr>
        <w:t>with</w:t>
      </w:r>
      <w:r w:rsidRPr="005E6081">
        <w:rPr>
          <w:rFonts w:ascii="Segoe UI"/>
          <w:spacing w:val="-8"/>
          <w:sz w:val="21"/>
        </w:rPr>
        <w:t xml:space="preserve"> </w:t>
      </w:r>
      <w:r w:rsidRPr="005E6081">
        <w:rPr>
          <w:rFonts w:ascii="Segoe UI"/>
          <w:sz w:val="21"/>
        </w:rPr>
        <w:t>the Ministry of Environment and Sustainable</w:t>
      </w:r>
      <w:r w:rsidRPr="005E6081">
        <w:rPr>
          <w:rFonts w:ascii="Segoe UI"/>
          <w:spacing w:val="-6"/>
          <w:sz w:val="21"/>
        </w:rPr>
        <w:t xml:space="preserve"> </w:t>
      </w:r>
      <w:r w:rsidRPr="005E6081">
        <w:rPr>
          <w:rFonts w:ascii="Segoe UI"/>
          <w:sz w:val="21"/>
        </w:rPr>
        <w:t>Development.</w:t>
      </w:r>
    </w:p>
    <w:p w14:paraId="387DF13E" w14:textId="77777777" w:rsidR="00E136A1" w:rsidRPr="005E6081" w:rsidRDefault="00E136A1" w:rsidP="00E136A1">
      <w:pPr>
        <w:spacing w:before="79"/>
        <w:ind w:left="500" w:right="1433"/>
        <w:jc w:val="both"/>
        <w:rPr>
          <w:rFonts w:ascii="Segoe UI"/>
          <w:sz w:val="21"/>
        </w:rPr>
      </w:pPr>
      <w:r w:rsidRPr="005E6081">
        <w:rPr>
          <w:rFonts w:ascii="Segoe UI"/>
          <w:sz w:val="21"/>
        </w:rPr>
        <w:t>Key stakeholders include government entities, CSOs (including local and international NGOs, cooperatives,</w:t>
      </w:r>
      <w:r w:rsidRPr="005E6081">
        <w:rPr>
          <w:rFonts w:ascii="Segoe UI"/>
          <w:spacing w:val="-11"/>
          <w:sz w:val="21"/>
        </w:rPr>
        <w:t xml:space="preserve"> </w:t>
      </w:r>
      <w:r w:rsidRPr="005E6081">
        <w:rPr>
          <w:rFonts w:ascii="Segoe UI"/>
          <w:sz w:val="21"/>
        </w:rPr>
        <w:t>farmer</w:t>
      </w:r>
      <w:r w:rsidRPr="005E6081">
        <w:rPr>
          <w:rFonts w:ascii="Segoe UI"/>
          <w:spacing w:val="-7"/>
          <w:sz w:val="21"/>
        </w:rPr>
        <w:t xml:space="preserve"> </w:t>
      </w:r>
      <w:r w:rsidRPr="005E6081">
        <w:rPr>
          <w:rFonts w:ascii="Segoe UI"/>
          <w:sz w:val="21"/>
        </w:rPr>
        <w:t>and</w:t>
      </w:r>
      <w:r w:rsidRPr="005E6081">
        <w:rPr>
          <w:rFonts w:ascii="Segoe UI"/>
          <w:spacing w:val="-8"/>
          <w:sz w:val="21"/>
        </w:rPr>
        <w:t xml:space="preserve"> </w:t>
      </w:r>
      <w:r w:rsidRPr="005E6081">
        <w:rPr>
          <w:rFonts w:ascii="Segoe UI"/>
          <w:sz w:val="21"/>
        </w:rPr>
        <w:t>community</w:t>
      </w:r>
      <w:r w:rsidRPr="005E6081">
        <w:rPr>
          <w:rFonts w:ascii="Segoe UI"/>
          <w:spacing w:val="-6"/>
          <w:sz w:val="21"/>
        </w:rPr>
        <w:t xml:space="preserve"> </w:t>
      </w:r>
      <w:r w:rsidRPr="005E6081">
        <w:rPr>
          <w:rFonts w:ascii="Segoe UI"/>
          <w:sz w:val="21"/>
        </w:rPr>
        <w:t>associations,</w:t>
      </w:r>
      <w:r w:rsidRPr="005E6081">
        <w:rPr>
          <w:rFonts w:ascii="Segoe UI"/>
          <w:spacing w:val="-9"/>
          <w:sz w:val="21"/>
        </w:rPr>
        <w:t xml:space="preserve"> </w:t>
      </w:r>
      <w:r w:rsidRPr="005E6081">
        <w:rPr>
          <w:rFonts w:ascii="Segoe UI"/>
          <w:sz w:val="21"/>
        </w:rPr>
        <w:t>and</w:t>
      </w:r>
      <w:r w:rsidRPr="005E6081">
        <w:rPr>
          <w:rFonts w:ascii="Segoe UI"/>
          <w:spacing w:val="-8"/>
          <w:sz w:val="21"/>
        </w:rPr>
        <w:t xml:space="preserve"> </w:t>
      </w:r>
      <w:r w:rsidRPr="005E6081">
        <w:rPr>
          <w:rFonts w:ascii="Segoe UI"/>
          <w:sz w:val="21"/>
        </w:rPr>
        <w:t>other</w:t>
      </w:r>
      <w:r w:rsidRPr="005E6081">
        <w:rPr>
          <w:rFonts w:ascii="Segoe UI"/>
          <w:spacing w:val="-10"/>
          <w:sz w:val="21"/>
        </w:rPr>
        <w:t xml:space="preserve"> </w:t>
      </w:r>
      <w:r w:rsidRPr="005E6081">
        <w:rPr>
          <w:rFonts w:ascii="Segoe UI"/>
          <w:sz w:val="21"/>
        </w:rPr>
        <w:t>representatives</w:t>
      </w:r>
      <w:r w:rsidRPr="005E6081">
        <w:rPr>
          <w:rFonts w:ascii="Segoe UI"/>
          <w:spacing w:val="-10"/>
          <w:sz w:val="21"/>
        </w:rPr>
        <w:t xml:space="preserve"> </w:t>
      </w:r>
      <w:r w:rsidRPr="005E6081">
        <w:rPr>
          <w:rFonts w:ascii="Segoe UI"/>
          <w:sz w:val="21"/>
        </w:rPr>
        <w:t>of</w:t>
      </w:r>
      <w:r w:rsidRPr="005E6081">
        <w:rPr>
          <w:rFonts w:ascii="Segoe UI"/>
          <w:spacing w:val="-10"/>
          <w:sz w:val="21"/>
        </w:rPr>
        <w:t xml:space="preserve"> </w:t>
      </w:r>
      <w:r w:rsidRPr="005E6081">
        <w:rPr>
          <w:rFonts w:ascii="Segoe UI"/>
          <w:sz w:val="21"/>
        </w:rPr>
        <w:t>local</w:t>
      </w:r>
      <w:r w:rsidRPr="005E6081">
        <w:rPr>
          <w:rFonts w:ascii="Segoe UI"/>
          <w:spacing w:val="-9"/>
          <w:sz w:val="21"/>
        </w:rPr>
        <w:t xml:space="preserve"> </w:t>
      </w:r>
      <w:r w:rsidRPr="005E6081">
        <w:rPr>
          <w:rFonts w:ascii="Segoe UI"/>
          <w:sz w:val="21"/>
        </w:rPr>
        <w:t>communities</w:t>
      </w:r>
      <w:r w:rsidRPr="005E6081">
        <w:rPr>
          <w:rFonts w:ascii="Segoe UI"/>
          <w:spacing w:val="-10"/>
          <w:sz w:val="21"/>
        </w:rPr>
        <w:t xml:space="preserve"> </w:t>
      </w:r>
      <w:r w:rsidRPr="005E6081">
        <w:rPr>
          <w:rFonts w:ascii="Segoe UI"/>
          <w:sz w:val="21"/>
        </w:rPr>
        <w:t>and indigenous</w:t>
      </w:r>
      <w:r w:rsidRPr="005E6081">
        <w:rPr>
          <w:rFonts w:ascii="Segoe UI"/>
          <w:spacing w:val="-16"/>
          <w:sz w:val="21"/>
        </w:rPr>
        <w:t xml:space="preserve"> </w:t>
      </w:r>
      <w:r w:rsidRPr="005E6081">
        <w:rPr>
          <w:rFonts w:ascii="Segoe UI"/>
          <w:sz w:val="21"/>
        </w:rPr>
        <w:t>people),</w:t>
      </w:r>
      <w:r w:rsidRPr="005E6081">
        <w:rPr>
          <w:rFonts w:ascii="Segoe UI"/>
          <w:spacing w:val="-16"/>
          <w:sz w:val="21"/>
        </w:rPr>
        <w:t xml:space="preserve"> </w:t>
      </w:r>
      <w:r w:rsidRPr="005E6081">
        <w:rPr>
          <w:rFonts w:ascii="Segoe UI"/>
          <w:sz w:val="21"/>
        </w:rPr>
        <w:t>private</w:t>
      </w:r>
      <w:r w:rsidRPr="005E6081">
        <w:rPr>
          <w:rFonts w:ascii="Segoe UI"/>
          <w:spacing w:val="-13"/>
          <w:sz w:val="21"/>
        </w:rPr>
        <w:t xml:space="preserve"> </w:t>
      </w:r>
      <w:r w:rsidRPr="005E6081">
        <w:rPr>
          <w:rFonts w:ascii="Segoe UI"/>
          <w:sz w:val="21"/>
        </w:rPr>
        <w:t>sector</w:t>
      </w:r>
      <w:r w:rsidRPr="005E6081">
        <w:rPr>
          <w:rFonts w:ascii="Segoe UI"/>
          <w:spacing w:val="-13"/>
          <w:sz w:val="21"/>
        </w:rPr>
        <w:t xml:space="preserve"> </w:t>
      </w:r>
      <w:r w:rsidRPr="005E6081">
        <w:rPr>
          <w:rFonts w:ascii="Segoe UI"/>
          <w:sz w:val="21"/>
        </w:rPr>
        <w:t>entities,</w:t>
      </w:r>
      <w:r w:rsidRPr="005E6081">
        <w:rPr>
          <w:rFonts w:ascii="Segoe UI"/>
          <w:spacing w:val="-14"/>
          <w:sz w:val="21"/>
        </w:rPr>
        <w:t xml:space="preserve"> </w:t>
      </w:r>
      <w:r w:rsidRPr="005E6081">
        <w:rPr>
          <w:rFonts w:ascii="Segoe UI"/>
          <w:sz w:val="21"/>
        </w:rPr>
        <w:t>and</w:t>
      </w:r>
      <w:r w:rsidRPr="005E6081">
        <w:rPr>
          <w:rFonts w:ascii="Segoe UI"/>
          <w:spacing w:val="-15"/>
          <w:sz w:val="21"/>
        </w:rPr>
        <w:t xml:space="preserve"> </w:t>
      </w:r>
      <w:r w:rsidRPr="005E6081">
        <w:rPr>
          <w:rFonts w:ascii="Segoe UI"/>
          <w:sz w:val="21"/>
        </w:rPr>
        <w:t>academic</w:t>
      </w:r>
      <w:r w:rsidRPr="005E6081">
        <w:rPr>
          <w:rFonts w:ascii="Segoe UI"/>
          <w:spacing w:val="-14"/>
          <w:sz w:val="21"/>
        </w:rPr>
        <w:t xml:space="preserve"> </w:t>
      </w:r>
      <w:r w:rsidRPr="005E6081">
        <w:rPr>
          <w:rFonts w:ascii="Segoe UI"/>
          <w:sz w:val="21"/>
        </w:rPr>
        <w:t>institutions</w:t>
      </w:r>
      <w:r w:rsidRPr="005E6081">
        <w:rPr>
          <w:rFonts w:ascii="Segoe UI"/>
          <w:spacing w:val="-14"/>
          <w:sz w:val="21"/>
        </w:rPr>
        <w:t xml:space="preserve"> </w:t>
      </w:r>
      <w:r w:rsidRPr="005E6081">
        <w:rPr>
          <w:rFonts w:ascii="Segoe UI"/>
          <w:sz w:val="21"/>
        </w:rPr>
        <w:t>in</w:t>
      </w:r>
      <w:r w:rsidRPr="005E6081">
        <w:rPr>
          <w:rFonts w:ascii="Segoe UI"/>
          <w:spacing w:val="-13"/>
          <w:sz w:val="21"/>
        </w:rPr>
        <w:t xml:space="preserve"> </w:t>
      </w:r>
      <w:r w:rsidRPr="005E6081">
        <w:rPr>
          <w:rFonts w:ascii="Segoe UI"/>
          <w:sz w:val="21"/>
        </w:rPr>
        <w:t>all</w:t>
      </w:r>
      <w:r w:rsidRPr="005E6081">
        <w:rPr>
          <w:rFonts w:ascii="Segoe UI"/>
          <w:spacing w:val="-14"/>
          <w:sz w:val="21"/>
        </w:rPr>
        <w:t xml:space="preserve"> </w:t>
      </w:r>
      <w:r w:rsidRPr="005E6081">
        <w:rPr>
          <w:rFonts w:ascii="Segoe UI"/>
          <w:sz w:val="21"/>
        </w:rPr>
        <w:t>3</w:t>
      </w:r>
      <w:r w:rsidRPr="005E6081">
        <w:rPr>
          <w:rFonts w:ascii="Segoe UI"/>
          <w:spacing w:val="-17"/>
          <w:sz w:val="21"/>
        </w:rPr>
        <w:t xml:space="preserve"> </w:t>
      </w:r>
      <w:r w:rsidRPr="005E6081">
        <w:rPr>
          <w:rFonts w:ascii="Segoe UI"/>
          <w:sz w:val="21"/>
        </w:rPr>
        <w:t>countries</w:t>
      </w:r>
      <w:r w:rsidRPr="005E6081">
        <w:rPr>
          <w:rFonts w:ascii="Segoe UI"/>
          <w:spacing w:val="-17"/>
          <w:sz w:val="21"/>
        </w:rPr>
        <w:t xml:space="preserve"> </w:t>
      </w:r>
      <w:r w:rsidRPr="005E6081">
        <w:rPr>
          <w:rFonts w:ascii="Segoe UI"/>
          <w:sz w:val="21"/>
        </w:rPr>
        <w:t>and</w:t>
      </w:r>
      <w:r w:rsidRPr="005E6081">
        <w:rPr>
          <w:rFonts w:ascii="Segoe UI"/>
          <w:spacing w:val="-13"/>
          <w:sz w:val="21"/>
        </w:rPr>
        <w:t xml:space="preserve"> </w:t>
      </w:r>
      <w:r w:rsidRPr="005E6081">
        <w:rPr>
          <w:rFonts w:ascii="Segoe UI"/>
          <w:sz w:val="21"/>
        </w:rPr>
        <w:t>at</w:t>
      </w:r>
      <w:r w:rsidRPr="005E6081">
        <w:rPr>
          <w:rFonts w:ascii="Segoe UI"/>
          <w:spacing w:val="-12"/>
          <w:sz w:val="21"/>
        </w:rPr>
        <w:t xml:space="preserve"> </w:t>
      </w:r>
      <w:r w:rsidRPr="005E6081">
        <w:rPr>
          <w:rFonts w:ascii="Segoe UI"/>
          <w:sz w:val="21"/>
        </w:rPr>
        <w:t>the</w:t>
      </w:r>
      <w:r w:rsidRPr="005E6081">
        <w:rPr>
          <w:rFonts w:ascii="Segoe UI"/>
          <w:spacing w:val="-15"/>
          <w:sz w:val="21"/>
        </w:rPr>
        <w:t xml:space="preserve"> </w:t>
      </w:r>
      <w:r w:rsidRPr="005E6081">
        <w:rPr>
          <w:rFonts w:ascii="Segoe UI"/>
          <w:sz w:val="21"/>
        </w:rPr>
        <w:t>global level.</w:t>
      </w:r>
    </w:p>
    <w:p w14:paraId="529CA0E1" w14:textId="77777777" w:rsidR="00E136A1" w:rsidRPr="005E6081" w:rsidRDefault="00E136A1" w:rsidP="00E136A1">
      <w:pPr>
        <w:pStyle w:val="BodyText"/>
        <w:spacing w:before="9"/>
        <w:rPr>
          <w:rFonts w:ascii="Segoe UI"/>
        </w:rPr>
      </w:pPr>
    </w:p>
    <w:p w14:paraId="5DD4AAE8" w14:textId="77777777" w:rsidR="00E136A1" w:rsidRPr="005E6081" w:rsidRDefault="00E136A1" w:rsidP="00E136A1">
      <w:pPr>
        <w:ind w:left="500" w:right="1434"/>
        <w:jc w:val="both"/>
        <w:rPr>
          <w:rFonts w:ascii="Segoe UI" w:hAnsi="Segoe UI"/>
          <w:sz w:val="21"/>
        </w:rPr>
      </w:pPr>
      <w:r w:rsidRPr="005E6081">
        <w:rPr>
          <w:rFonts w:ascii="Segoe UI" w:hAnsi="Segoe UI"/>
          <w:sz w:val="21"/>
        </w:rPr>
        <w:t>The Production project is now in its 4</w:t>
      </w:r>
      <w:r w:rsidRPr="005E6081">
        <w:rPr>
          <w:rFonts w:ascii="Segoe UI" w:hAnsi="Segoe UI"/>
          <w:position w:val="8"/>
          <w:sz w:val="14"/>
        </w:rPr>
        <w:t xml:space="preserve">th </w:t>
      </w:r>
      <w:r w:rsidRPr="005E6081">
        <w:rPr>
          <w:rFonts w:ascii="Segoe UI" w:hAnsi="Segoe UI"/>
          <w:sz w:val="21"/>
        </w:rPr>
        <w:t>year of implementation, and project activities are expected to end</w:t>
      </w:r>
      <w:r w:rsidRPr="005E6081">
        <w:rPr>
          <w:rFonts w:ascii="Segoe UI" w:hAnsi="Segoe UI"/>
          <w:spacing w:val="-7"/>
          <w:sz w:val="21"/>
        </w:rPr>
        <w:t xml:space="preserve"> </w:t>
      </w:r>
      <w:r w:rsidRPr="005E6081">
        <w:rPr>
          <w:rFonts w:ascii="Segoe UI" w:hAnsi="Segoe UI"/>
          <w:sz w:val="21"/>
        </w:rPr>
        <w:t>in</w:t>
      </w:r>
      <w:r w:rsidRPr="005E6081">
        <w:rPr>
          <w:rFonts w:ascii="Segoe UI" w:hAnsi="Segoe UI"/>
          <w:spacing w:val="-6"/>
          <w:sz w:val="21"/>
        </w:rPr>
        <w:t xml:space="preserve"> </w:t>
      </w:r>
      <w:r w:rsidRPr="005E6081">
        <w:rPr>
          <w:rFonts w:ascii="Segoe UI" w:hAnsi="Segoe UI"/>
          <w:sz w:val="21"/>
        </w:rPr>
        <w:t>the</w:t>
      </w:r>
      <w:r w:rsidRPr="005E6081">
        <w:rPr>
          <w:rFonts w:ascii="Segoe UI" w:hAnsi="Segoe UI"/>
          <w:spacing w:val="-4"/>
          <w:sz w:val="21"/>
        </w:rPr>
        <w:t xml:space="preserve"> </w:t>
      </w:r>
      <w:r w:rsidRPr="005E6081">
        <w:rPr>
          <w:rFonts w:ascii="Segoe UI" w:hAnsi="Segoe UI"/>
          <w:sz w:val="21"/>
        </w:rPr>
        <w:t>second</w:t>
      </w:r>
      <w:r w:rsidRPr="005E6081">
        <w:rPr>
          <w:rFonts w:ascii="Segoe UI" w:hAnsi="Segoe UI"/>
          <w:spacing w:val="-5"/>
          <w:sz w:val="21"/>
        </w:rPr>
        <w:t xml:space="preserve"> </w:t>
      </w:r>
      <w:r w:rsidRPr="005E6081">
        <w:rPr>
          <w:rFonts w:ascii="Segoe UI" w:hAnsi="Segoe UI"/>
          <w:sz w:val="21"/>
        </w:rPr>
        <w:t>half</w:t>
      </w:r>
      <w:r w:rsidRPr="005E6081">
        <w:rPr>
          <w:rFonts w:ascii="Segoe UI" w:hAnsi="Segoe UI"/>
          <w:spacing w:val="-5"/>
          <w:sz w:val="21"/>
        </w:rPr>
        <w:t xml:space="preserve"> </w:t>
      </w:r>
      <w:r w:rsidRPr="005E6081">
        <w:rPr>
          <w:rFonts w:ascii="Segoe UI" w:hAnsi="Segoe UI"/>
          <w:sz w:val="21"/>
        </w:rPr>
        <w:t>of</w:t>
      </w:r>
      <w:r w:rsidRPr="005E6081">
        <w:rPr>
          <w:rFonts w:ascii="Segoe UI" w:hAnsi="Segoe UI"/>
          <w:spacing w:val="-5"/>
          <w:sz w:val="21"/>
        </w:rPr>
        <w:t xml:space="preserve"> </w:t>
      </w:r>
      <w:r w:rsidRPr="005E6081">
        <w:rPr>
          <w:rFonts w:ascii="Segoe UI" w:hAnsi="Segoe UI"/>
          <w:sz w:val="21"/>
        </w:rPr>
        <w:t>2021.</w:t>
      </w:r>
      <w:r w:rsidRPr="005E6081">
        <w:rPr>
          <w:rFonts w:ascii="Segoe UI" w:hAnsi="Segoe UI"/>
          <w:spacing w:val="-4"/>
          <w:sz w:val="21"/>
        </w:rPr>
        <w:t xml:space="preserve"> </w:t>
      </w:r>
      <w:r w:rsidRPr="005E6081">
        <w:rPr>
          <w:rFonts w:ascii="Segoe UI" w:hAnsi="Segoe UI"/>
          <w:sz w:val="21"/>
        </w:rPr>
        <w:t>COVID-19</w:t>
      </w:r>
      <w:r w:rsidRPr="005E6081">
        <w:rPr>
          <w:rFonts w:ascii="Segoe UI" w:hAnsi="Segoe UI"/>
          <w:spacing w:val="-5"/>
          <w:sz w:val="21"/>
        </w:rPr>
        <w:t xml:space="preserve"> </w:t>
      </w:r>
      <w:r w:rsidRPr="005E6081">
        <w:rPr>
          <w:rFonts w:ascii="Segoe UI" w:hAnsi="Segoe UI"/>
          <w:sz w:val="21"/>
        </w:rPr>
        <w:t>has</w:t>
      </w:r>
      <w:r w:rsidRPr="005E6081">
        <w:rPr>
          <w:rFonts w:ascii="Segoe UI" w:hAnsi="Segoe UI"/>
          <w:spacing w:val="-6"/>
          <w:sz w:val="21"/>
        </w:rPr>
        <w:t xml:space="preserve"> </w:t>
      </w:r>
      <w:r w:rsidRPr="005E6081">
        <w:rPr>
          <w:rFonts w:ascii="Segoe UI" w:hAnsi="Segoe UI"/>
          <w:sz w:val="21"/>
        </w:rPr>
        <w:t>posed</w:t>
      </w:r>
      <w:r w:rsidRPr="005E6081">
        <w:rPr>
          <w:rFonts w:ascii="Segoe UI" w:hAnsi="Segoe UI"/>
          <w:spacing w:val="-8"/>
          <w:sz w:val="21"/>
        </w:rPr>
        <w:t xml:space="preserve"> </w:t>
      </w:r>
      <w:r w:rsidRPr="005E6081">
        <w:rPr>
          <w:rFonts w:ascii="Segoe UI" w:hAnsi="Segoe UI"/>
          <w:sz w:val="21"/>
        </w:rPr>
        <w:t>significant</w:t>
      </w:r>
      <w:r w:rsidRPr="005E6081">
        <w:rPr>
          <w:rFonts w:ascii="Segoe UI" w:hAnsi="Segoe UI"/>
          <w:spacing w:val="-6"/>
          <w:sz w:val="21"/>
        </w:rPr>
        <w:t xml:space="preserve"> </w:t>
      </w:r>
      <w:r w:rsidRPr="005E6081">
        <w:rPr>
          <w:rFonts w:ascii="Segoe UI" w:hAnsi="Segoe UI"/>
          <w:sz w:val="21"/>
        </w:rPr>
        <w:t>challenges</w:t>
      </w:r>
      <w:r w:rsidRPr="005E6081">
        <w:rPr>
          <w:rFonts w:ascii="Segoe UI" w:hAnsi="Segoe UI"/>
          <w:spacing w:val="-7"/>
          <w:sz w:val="21"/>
        </w:rPr>
        <w:t xml:space="preserve"> </w:t>
      </w:r>
      <w:r w:rsidRPr="005E6081">
        <w:rPr>
          <w:rFonts w:ascii="Segoe UI" w:hAnsi="Segoe UI"/>
          <w:sz w:val="21"/>
        </w:rPr>
        <w:t>to</w:t>
      </w:r>
      <w:r w:rsidRPr="005E6081">
        <w:rPr>
          <w:rFonts w:ascii="Segoe UI" w:hAnsi="Segoe UI"/>
          <w:spacing w:val="-6"/>
          <w:sz w:val="21"/>
        </w:rPr>
        <w:t xml:space="preserve"> </w:t>
      </w:r>
      <w:r w:rsidRPr="005E6081">
        <w:rPr>
          <w:rFonts w:ascii="Segoe UI" w:hAnsi="Segoe UI"/>
          <w:sz w:val="21"/>
        </w:rPr>
        <w:t>project</w:t>
      </w:r>
      <w:r w:rsidRPr="005E6081">
        <w:rPr>
          <w:rFonts w:ascii="Segoe UI" w:hAnsi="Segoe UI"/>
          <w:spacing w:val="-6"/>
          <w:sz w:val="21"/>
        </w:rPr>
        <w:t xml:space="preserve"> </w:t>
      </w:r>
      <w:r w:rsidRPr="005E6081">
        <w:rPr>
          <w:rFonts w:ascii="Segoe UI" w:hAnsi="Segoe UI"/>
          <w:sz w:val="21"/>
        </w:rPr>
        <w:t>implementation; this applies to all countries and project components, with reduced access to the field and limited opportunities for face-to-face interaction. This has impacted the work of all Platforms and dialogue forums, as well as the delivery of trainings and workshops. In many cases, activities were successfully delivered through digital means – though in some occurrences, limited access to telecommunication technologies and reduced internet coverage have resulted in delays in project implementation. Furthermore, the COVID-19 pandemic has impacted significantly the policymaking agenda (and consequence budget allocation decisions) of all three project countries, where the response to the pandemic has been prioritized over other items. This has posed significant challenges to the policy work being conducted under the Production</w:t>
      </w:r>
      <w:r w:rsidRPr="005E6081">
        <w:rPr>
          <w:rFonts w:ascii="Segoe UI" w:hAnsi="Segoe UI"/>
          <w:spacing w:val="-6"/>
          <w:sz w:val="21"/>
        </w:rPr>
        <w:t xml:space="preserve"> </w:t>
      </w:r>
      <w:r w:rsidRPr="005E6081">
        <w:rPr>
          <w:rFonts w:ascii="Segoe UI" w:hAnsi="Segoe UI"/>
          <w:sz w:val="21"/>
        </w:rPr>
        <w:t>project.</w:t>
      </w:r>
    </w:p>
    <w:p w14:paraId="42AD77F3" w14:textId="77777777" w:rsidR="00E136A1" w:rsidRPr="005E6081" w:rsidRDefault="00E136A1" w:rsidP="00E136A1">
      <w:pPr>
        <w:pStyle w:val="BodyText"/>
        <w:spacing w:before="12"/>
        <w:rPr>
          <w:rFonts w:ascii="Segoe UI"/>
        </w:rPr>
      </w:pPr>
    </w:p>
    <w:p w14:paraId="13DF6DD0" w14:textId="77777777" w:rsidR="00E136A1" w:rsidRPr="005E6081" w:rsidRDefault="00E136A1" w:rsidP="00E136A1">
      <w:pPr>
        <w:spacing w:before="1"/>
        <w:ind w:left="500" w:right="1435"/>
        <w:jc w:val="both"/>
        <w:rPr>
          <w:rFonts w:ascii="Segoe UI"/>
          <w:b/>
          <w:bCs/>
          <w:sz w:val="21"/>
        </w:rPr>
      </w:pPr>
      <w:r w:rsidRPr="005E6081">
        <w:rPr>
          <w:rFonts w:ascii="Segoe UI"/>
          <w:b/>
          <w:bCs/>
          <w:sz w:val="21"/>
        </w:rPr>
        <w:t>The</w:t>
      </w:r>
      <w:r w:rsidRPr="005E6081">
        <w:rPr>
          <w:rFonts w:ascii="Segoe UI"/>
          <w:b/>
          <w:bCs/>
          <w:spacing w:val="-10"/>
          <w:sz w:val="21"/>
        </w:rPr>
        <w:t xml:space="preserve"> </w:t>
      </w:r>
      <w:r w:rsidRPr="005E6081">
        <w:rPr>
          <w:rFonts w:ascii="Segoe UI"/>
          <w:b/>
          <w:bCs/>
          <w:sz w:val="21"/>
        </w:rPr>
        <w:t>total</w:t>
      </w:r>
      <w:r w:rsidRPr="005E6081">
        <w:rPr>
          <w:rFonts w:ascii="Segoe UI"/>
          <w:b/>
          <w:bCs/>
          <w:spacing w:val="-9"/>
          <w:sz w:val="21"/>
        </w:rPr>
        <w:t xml:space="preserve"> </w:t>
      </w:r>
      <w:r w:rsidRPr="005E6081">
        <w:rPr>
          <w:rFonts w:ascii="Segoe UI"/>
          <w:b/>
          <w:bCs/>
          <w:sz w:val="21"/>
        </w:rPr>
        <w:t>Production</w:t>
      </w:r>
      <w:r w:rsidRPr="005E6081">
        <w:rPr>
          <w:rFonts w:ascii="Segoe UI"/>
          <w:b/>
          <w:bCs/>
          <w:spacing w:val="-9"/>
          <w:sz w:val="21"/>
        </w:rPr>
        <w:t xml:space="preserve"> </w:t>
      </w:r>
      <w:r w:rsidRPr="005E6081">
        <w:rPr>
          <w:rFonts w:ascii="Segoe UI"/>
          <w:b/>
          <w:bCs/>
          <w:sz w:val="21"/>
        </w:rPr>
        <w:t>project</w:t>
      </w:r>
      <w:r w:rsidRPr="005E6081">
        <w:rPr>
          <w:rFonts w:ascii="Segoe UI"/>
          <w:b/>
          <w:bCs/>
          <w:spacing w:val="-7"/>
          <w:sz w:val="21"/>
        </w:rPr>
        <w:t xml:space="preserve"> </w:t>
      </w:r>
      <w:r w:rsidRPr="005E6081">
        <w:rPr>
          <w:rFonts w:ascii="Segoe UI"/>
          <w:b/>
          <w:bCs/>
          <w:sz w:val="21"/>
        </w:rPr>
        <w:t>budget</w:t>
      </w:r>
      <w:r w:rsidRPr="005E6081">
        <w:rPr>
          <w:rFonts w:ascii="Segoe UI"/>
          <w:b/>
          <w:bCs/>
          <w:spacing w:val="-8"/>
          <w:sz w:val="21"/>
        </w:rPr>
        <w:t xml:space="preserve"> </w:t>
      </w:r>
      <w:r w:rsidRPr="005E6081">
        <w:rPr>
          <w:rFonts w:ascii="Segoe UI"/>
          <w:b/>
          <w:bCs/>
          <w:sz w:val="21"/>
        </w:rPr>
        <w:t>is</w:t>
      </w:r>
      <w:r w:rsidRPr="005E6081">
        <w:rPr>
          <w:rFonts w:ascii="Segoe UI"/>
          <w:b/>
          <w:bCs/>
          <w:spacing w:val="-10"/>
          <w:sz w:val="21"/>
        </w:rPr>
        <w:t xml:space="preserve"> </w:t>
      </w:r>
      <w:r w:rsidRPr="005E6081">
        <w:rPr>
          <w:rFonts w:ascii="Segoe UI"/>
          <w:b/>
          <w:bCs/>
          <w:sz w:val="21"/>
        </w:rPr>
        <w:t>of</w:t>
      </w:r>
      <w:r w:rsidRPr="005E6081">
        <w:rPr>
          <w:rFonts w:ascii="Segoe UI"/>
          <w:b/>
          <w:bCs/>
          <w:spacing w:val="-7"/>
          <w:sz w:val="21"/>
        </w:rPr>
        <w:t xml:space="preserve"> </w:t>
      </w:r>
      <w:r w:rsidRPr="005E6081">
        <w:rPr>
          <w:rFonts w:ascii="Segoe UI"/>
          <w:b/>
          <w:bCs/>
          <w:sz w:val="21"/>
        </w:rPr>
        <w:t>USD</w:t>
      </w:r>
      <w:r w:rsidRPr="005E6081">
        <w:rPr>
          <w:rFonts w:ascii="Segoe UI"/>
          <w:b/>
          <w:bCs/>
          <w:spacing w:val="-2"/>
          <w:sz w:val="21"/>
        </w:rPr>
        <w:t xml:space="preserve"> </w:t>
      </w:r>
      <w:r w:rsidRPr="005E6081">
        <w:rPr>
          <w:rFonts w:ascii="Segoe UI"/>
          <w:b/>
          <w:bCs/>
          <w:sz w:val="21"/>
        </w:rPr>
        <w:t>14,584,403</w:t>
      </w:r>
      <w:r w:rsidRPr="005E6081">
        <w:rPr>
          <w:rFonts w:ascii="Segoe UI"/>
          <w:b/>
          <w:bCs/>
          <w:spacing w:val="-9"/>
          <w:sz w:val="21"/>
        </w:rPr>
        <w:t xml:space="preserve"> </w:t>
      </w:r>
      <w:r w:rsidRPr="005E6081">
        <w:rPr>
          <w:rFonts w:ascii="Segoe UI"/>
          <w:b/>
          <w:bCs/>
          <w:sz w:val="21"/>
        </w:rPr>
        <w:t>(GEF</w:t>
      </w:r>
      <w:r w:rsidRPr="005E6081">
        <w:rPr>
          <w:rFonts w:ascii="Segoe UI"/>
          <w:b/>
          <w:bCs/>
          <w:spacing w:val="-10"/>
          <w:sz w:val="21"/>
        </w:rPr>
        <w:t xml:space="preserve"> </w:t>
      </w:r>
      <w:r w:rsidRPr="005E6081">
        <w:rPr>
          <w:rFonts w:ascii="Segoe UI"/>
          <w:b/>
          <w:bCs/>
          <w:sz w:val="21"/>
        </w:rPr>
        <w:t>funding),</w:t>
      </w:r>
      <w:r w:rsidRPr="005E6081">
        <w:rPr>
          <w:rFonts w:ascii="Segoe UI"/>
          <w:b/>
          <w:bCs/>
          <w:spacing w:val="-9"/>
          <w:sz w:val="21"/>
        </w:rPr>
        <w:t xml:space="preserve"> </w:t>
      </w:r>
      <w:r w:rsidRPr="005E6081">
        <w:rPr>
          <w:rFonts w:ascii="Segoe UI"/>
          <w:b/>
          <w:bCs/>
          <w:sz w:val="21"/>
        </w:rPr>
        <w:t>with</w:t>
      </w:r>
      <w:r w:rsidRPr="005E6081">
        <w:rPr>
          <w:rFonts w:ascii="Segoe UI"/>
          <w:b/>
          <w:bCs/>
          <w:spacing w:val="-8"/>
          <w:sz w:val="21"/>
        </w:rPr>
        <w:t xml:space="preserve"> </w:t>
      </w:r>
      <w:r w:rsidRPr="005E6081">
        <w:rPr>
          <w:rFonts w:ascii="Segoe UI"/>
          <w:b/>
          <w:bCs/>
          <w:sz w:val="21"/>
        </w:rPr>
        <w:t>planned</w:t>
      </w:r>
      <w:r w:rsidRPr="005E6081">
        <w:rPr>
          <w:rFonts w:ascii="Segoe UI"/>
          <w:b/>
          <w:bCs/>
          <w:spacing w:val="-9"/>
          <w:sz w:val="21"/>
        </w:rPr>
        <w:t xml:space="preserve"> </w:t>
      </w:r>
      <w:r w:rsidRPr="005E6081">
        <w:rPr>
          <w:rFonts w:ascii="Segoe UI"/>
          <w:b/>
          <w:bCs/>
          <w:sz w:val="21"/>
        </w:rPr>
        <w:t>co-financing</w:t>
      </w:r>
      <w:r w:rsidRPr="005E6081">
        <w:rPr>
          <w:rFonts w:ascii="Segoe UI"/>
          <w:b/>
          <w:bCs/>
          <w:spacing w:val="-8"/>
          <w:sz w:val="21"/>
        </w:rPr>
        <w:t xml:space="preserve"> </w:t>
      </w:r>
      <w:r w:rsidRPr="005E6081">
        <w:rPr>
          <w:rFonts w:ascii="Segoe UI"/>
          <w:b/>
          <w:bCs/>
          <w:sz w:val="21"/>
        </w:rPr>
        <w:t>for additional USD 164,916,118. The project is expected to close on 14 June</w:t>
      </w:r>
      <w:r w:rsidRPr="005E6081">
        <w:rPr>
          <w:rFonts w:ascii="Segoe UI"/>
          <w:b/>
          <w:bCs/>
          <w:spacing w:val="-16"/>
          <w:sz w:val="21"/>
        </w:rPr>
        <w:t xml:space="preserve"> </w:t>
      </w:r>
      <w:r w:rsidRPr="005E6081">
        <w:rPr>
          <w:rFonts w:ascii="Segoe UI"/>
          <w:b/>
          <w:bCs/>
          <w:sz w:val="21"/>
        </w:rPr>
        <w:t>2022.</w:t>
      </w:r>
    </w:p>
    <w:p w14:paraId="7D847171" w14:textId="77777777" w:rsidR="00E136A1" w:rsidRPr="005E6081" w:rsidRDefault="00E136A1" w:rsidP="00E136A1">
      <w:pPr>
        <w:pStyle w:val="BodyText"/>
        <w:spacing w:before="2"/>
        <w:rPr>
          <w:rFonts w:ascii="Segoe UI"/>
          <w:sz w:val="21"/>
        </w:rPr>
      </w:pPr>
    </w:p>
    <w:p w14:paraId="5D00F4AF" w14:textId="77777777" w:rsidR="00E136A1" w:rsidRPr="005E6081" w:rsidRDefault="00E136A1" w:rsidP="00E136A1">
      <w:pPr>
        <w:ind w:left="500" w:right="1432"/>
        <w:jc w:val="both"/>
        <w:rPr>
          <w:rFonts w:ascii="Segoe UI" w:hAnsi="Segoe UI"/>
          <w:sz w:val="21"/>
        </w:rPr>
      </w:pPr>
      <w:r w:rsidRPr="005E6081">
        <w:rPr>
          <w:rFonts w:ascii="Segoe UI" w:hAnsi="Segoe UI"/>
          <w:sz w:val="21"/>
        </w:rPr>
        <w:t>The</w:t>
      </w:r>
      <w:r w:rsidRPr="005E6081">
        <w:rPr>
          <w:rFonts w:ascii="Segoe UI" w:hAnsi="Segoe UI"/>
          <w:spacing w:val="-8"/>
          <w:sz w:val="21"/>
        </w:rPr>
        <w:t xml:space="preserve"> </w:t>
      </w:r>
      <w:r w:rsidRPr="005E6081">
        <w:rPr>
          <w:rFonts w:ascii="Segoe UI" w:hAnsi="Segoe UI"/>
          <w:b/>
          <w:sz w:val="21"/>
        </w:rPr>
        <w:t>A&amp;L</w:t>
      </w:r>
      <w:r w:rsidRPr="005E6081">
        <w:rPr>
          <w:rFonts w:ascii="Segoe UI" w:hAnsi="Segoe UI"/>
          <w:b/>
          <w:spacing w:val="-11"/>
          <w:sz w:val="21"/>
        </w:rPr>
        <w:t xml:space="preserve"> </w:t>
      </w:r>
      <w:r w:rsidRPr="005E6081">
        <w:rPr>
          <w:rFonts w:ascii="Segoe UI" w:hAnsi="Segoe UI"/>
          <w:sz w:val="21"/>
        </w:rPr>
        <w:t>project</w:t>
      </w:r>
      <w:r w:rsidRPr="005E6081">
        <w:rPr>
          <w:rFonts w:ascii="Segoe UI" w:hAnsi="Segoe UI"/>
          <w:spacing w:val="-11"/>
          <w:sz w:val="21"/>
        </w:rPr>
        <w:t xml:space="preserve"> </w:t>
      </w:r>
      <w:r w:rsidRPr="005E6081">
        <w:rPr>
          <w:rFonts w:ascii="Segoe UI" w:hAnsi="Segoe UI"/>
          <w:sz w:val="21"/>
        </w:rPr>
        <w:t>allows</w:t>
      </w:r>
      <w:r w:rsidRPr="005E6081">
        <w:rPr>
          <w:rFonts w:ascii="Segoe UI" w:hAnsi="Segoe UI"/>
          <w:spacing w:val="-12"/>
          <w:sz w:val="21"/>
        </w:rPr>
        <w:t xml:space="preserve"> </w:t>
      </w:r>
      <w:r w:rsidRPr="005E6081">
        <w:rPr>
          <w:rFonts w:ascii="Segoe UI" w:hAnsi="Segoe UI"/>
          <w:sz w:val="21"/>
        </w:rPr>
        <w:t>for</w:t>
      </w:r>
      <w:r w:rsidRPr="005E6081">
        <w:rPr>
          <w:rFonts w:ascii="Segoe UI" w:hAnsi="Segoe UI"/>
          <w:spacing w:val="-9"/>
          <w:sz w:val="21"/>
        </w:rPr>
        <w:t xml:space="preserve"> </w:t>
      </w:r>
      <w:r w:rsidRPr="005E6081">
        <w:rPr>
          <w:rFonts w:ascii="Segoe UI" w:hAnsi="Segoe UI"/>
          <w:sz w:val="21"/>
        </w:rPr>
        <w:t>coordination</w:t>
      </w:r>
      <w:r w:rsidRPr="005E6081">
        <w:rPr>
          <w:rFonts w:ascii="Segoe UI" w:hAnsi="Segoe UI"/>
          <w:spacing w:val="-11"/>
          <w:sz w:val="21"/>
        </w:rPr>
        <w:t xml:space="preserve"> </w:t>
      </w:r>
      <w:r w:rsidRPr="005E6081">
        <w:rPr>
          <w:rFonts w:ascii="Segoe UI" w:hAnsi="Segoe UI"/>
          <w:sz w:val="21"/>
        </w:rPr>
        <w:t>and</w:t>
      </w:r>
      <w:r w:rsidRPr="005E6081">
        <w:rPr>
          <w:rFonts w:ascii="Segoe UI" w:hAnsi="Segoe UI"/>
          <w:spacing w:val="-7"/>
          <w:sz w:val="21"/>
        </w:rPr>
        <w:t xml:space="preserve"> </w:t>
      </w:r>
      <w:r w:rsidRPr="005E6081">
        <w:rPr>
          <w:rFonts w:ascii="Segoe UI" w:hAnsi="Segoe UI"/>
          <w:sz w:val="21"/>
        </w:rPr>
        <w:t>integration</w:t>
      </w:r>
      <w:r w:rsidRPr="005E6081">
        <w:rPr>
          <w:rFonts w:ascii="Segoe UI" w:hAnsi="Segoe UI"/>
          <w:spacing w:val="-11"/>
          <w:sz w:val="21"/>
        </w:rPr>
        <w:t xml:space="preserve"> </w:t>
      </w:r>
      <w:r w:rsidRPr="005E6081">
        <w:rPr>
          <w:rFonts w:ascii="Segoe UI" w:hAnsi="Segoe UI"/>
          <w:sz w:val="21"/>
        </w:rPr>
        <w:t>of</w:t>
      </w:r>
      <w:r w:rsidRPr="005E6081">
        <w:rPr>
          <w:rFonts w:ascii="Segoe UI" w:hAnsi="Segoe UI"/>
          <w:spacing w:val="-10"/>
          <w:sz w:val="21"/>
        </w:rPr>
        <w:t xml:space="preserve"> </w:t>
      </w:r>
      <w:r w:rsidRPr="005E6081">
        <w:rPr>
          <w:rFonts w:ascii="Segoe UI" w:hAnsi="Segoe UI"/>
          <w:sz w:val="21"/>
        </w:rPr>
        <w:t>the</w:t>
      </w:r>
      <w:r w:rsidRPr="005E6081">
        <w:rPr>
          <w:rFonts w:ascii="Segoe UI" w:hAnsi="Segoe UI"/>
          <w:spacing w:val="-9"/>
          <w:sz w:val="21"/>
        </w:rPr>
        <w:t xml:space="preserve"> </w:t>
      </w:r>
      <w:r w:rsidRPr="005E6081">
        <w:rPr>
          <w:rFonts w:ascii="Segoe UI" w:hAnsi="Segoe UI"/>
          <w:sz w:val="21"/>
        </w:rPr>
        <w:t>partnership</w:t>
      </w:r>
      <w:r w:rsidRPr="005E6081">
        <w:rPr>
          <w:rFonts w:ascii="Segoe UI" w:hAnsi="Segoe UI"/>
          <w:spacing w:val="-6"/>
          <w:sz w:val="21"/>
        </w:rPr>
        <w:t xml:space="preserve"> </w:t>
      </w:r>
      <w:r w:rsidRPr="005E6081">
        <w:rPr>
          <w:rFonts w:ascii="Segoe UI" w:hAnsi="Segoe UI"/>
          <w:sz w:val="21"/>
        </w:rPr>
        <w:t>–</w:t>
      </w:r>
      <w:r w:rsidRPr="005E6081">
        <w:rPr>
          <w:rFonts w:ascii="Segoe UI" w:hAnsi="Segoe UI"/>
          <w:spacing w:val="-11"/>
          <w:sz w:val="21"/>
        </w:rPr>
        <w:t xml:space="preserve"> </w:t>
      </w:r>
      <w:r w:rsidRPr="005E6081">
        <w:rPr>
          <w:rFonts w:ascii="Segoe UI" w:hAnsi="Segoe UI"/>
          <w:sz w:val="21"/>
        </w:rPr>
        <w:t>which</w:t>
      </w:r>
      <w:r w:rsidRPr="005E6081">
        <w:rPr>
          <w:rFonts w:ascii="Segoe UI" w:hAnsi="Segoe UI"/>
          <w:spacing w:val="-8"/>
          <w:sz w:val="21"/>
        </w:rPr>
        <w:t xml:space="preserve"> </w:t>
      </w:r>
      <w:r w:rsidRPr="005E6081">
        <w:rPr>
          <w:rFonts w:ascii="Segoe UI" w:hAnsi="Segoe UI"/>
          <w:sz w:val="21"/>
        </w:rPr>
        <w:t>is</w:t>
      </w:r>
      <w:r w:rsidRPr="005E6081">
        <w:rPr>
          <w:rFonts w:ascii="Segoe UI" w:hAnsi="Segoe UI"/>
          <w:spacing w:val="-9"/>
          <w:sz w:val="21"/>
        </w:rPr>
        <w:t xml:space="preserve"> </w:t>
      </w:r>
      <w:r w:rsidRPr="005E6081">
        <w:rPr>
          <w:rFonts w:ascii="Segoe UI" w:hAnsi="Segoe UI"/>
          <w:sz w:val="21"/>
        </w:rPr>
        <w:t>led</w:t>
      </w:r>
      <w:r w:rsidRPr="005E6081">
        <w:rPr>
          <w:rFonts w:ascii="Segoe UI" w:hAnsi="Segoe UI"/>
          <w:spacing w:val="-7"/>
          <w:sz w:val="21"/>
        </w:rPr>
        <w:t xml:space="preserve"> </w:t>
      </w:r>
      <w:r w:rsidRPr="005E6081">
        <w:rPr>
          <w:rFonts w:ascii="Segoe UI" w:hAnsi="Segoe UI"/>
          <w:sz w:val="21"/>
        </w:rPr>
        <w:t>by</w:t>
      </w:r>
      <w:r w:rsidRPr="005E6081">
        <w:rPr>
          <w:rFonts w:ascii="Segoe UI" w:hAnsi="Segoe UI"/>
          <w:spacing w:val="-8"/>
          <w:sz w:val="21"/>
        </w:rPr>
        <w:t xml:space="preserve"> </w:t>
      </w:r>
      <w:r w:rsidRPr="005E6081">
        <w:rPr>
          <w:rFonts w:ascii="Segoe UI" w:hAnsi="Segoe UI"/>
          <w:sz w:val="21"/>
        </w:rPr>
        <w:t>the</w:t>
      </w:r>
      <w:r w:rsidRPr="005E6081">
        <w:rPr>
          <w:rFonts w:ascii="Segoe UI" w:hAnsi="Segoe UI"/>
          <w:spacing w:val="-8"/>
          <w:sz w:val="21"/>
        </w:rPr>
        <w:t xml:space="preserve"> </w:t>
      </w:r>
      <w:r w:rsidRPr="005E6081">
        <w:rPr>
          <w:rFonts w:ascii="Segoe UI" w:hAnsi="Segoe UI"/>
          <w:sz w:val="21"/>
        </w:rPr>
        <w:t>UNDP GCP within the UNDP RH LAC. This child project is instrumental in ensuring that the programme is viewed as a cohesive whole and that it has a clear</w:t>
      </w:r>
      <w:r w:rsidRPr="005E6081">
        <w:rPr>
          <w:rFonts w:ascii="Segoe UI" w:hAnsi="Segoe UI"/>
          <w:spacing w:val="-8"/>
          <w:sz w:val="21"/>
        </w:rPr>
        <w:t xml:space="preserve"> </w:t>
      </w:r>
      <w:r w:rsidRPr="005E6081">
        <w:rPr>
          <w:rFonts w:ascii="Segoe UI" w:hAnsi="Segoe UI"/>
          <w:sz w:val="21"/>
        </w:rPr>
        <w:t>identity.</w:t>
      </w:r>
    </w:p>
    <w:p w14:paraId="08B7C880" w14:textId="77777777" w:rsidR="00E136A1" w:rsidRPr="005E6081" w:rsidRDefault="00E136A1" w:rsidP="00E136A1">
      <w:pPr>
        <w:pStyle w:val="BodyText"/>
        <w:spacing w:before="12"/>
        <w:rPr>
          <w:rFonts w:ascii="Segoe UI"/>
        </w:rPr>
      </w:pPr>
    </w:p>
    <w:p w14:paraId="0D9391B2" w14:textId="77777777" w:rsidR="00E136A1" w:rsidRPr="005E6081" w:rsidRDefault="00E136A1" w:rsidP="00E136A1">
      <w:pPr>
        <w:ind w:left="500" w:right="1432"/>
        <w:jc w:val="both"/>
        <w:rPr>
          <w:rFonts w:ascii="Segoe UI"/>
          <w:sz w:val="21"/>
        </w:rPr>
      </w:pPr>
      <w:r w:rsidRPr="005E6081">
        <w:rPr>
          <w:rFonts w:ascii="Segoe UI"/>
          <w:b/>
          <w:sz w:val="21"/>
        </w:rPr>
        <w:t xml:space="preserve">Component 1 </w:t>
      </w:r>
      <w:r w:rsidRPr="005E6081">
        <w:rPr>
          <w:rFonts w:ascii="Segoe UI"/>
          <w:sz w:val="21"/>
        </w:rPr>
        <w:t>of the A&amp;L project, implemented by UNDP Regional Hub for LAC, is coordinating the management of the GGP programme, leading to logical technical sequencing, programme-level monitoring and evaluation, and overall resilience. This includes leading Secretariat meetings, supporting the creation of integrated intervention plans, and capturing and disseminating effective adaptive management practices across the programme.</w:t>
      </w:r>
    </w:p>
    <w:p w14:paraId="7149202B" w14:textId="77777777" w:rsidR="00E136A1" w:rsidRPr="005E6081" w:rsidRDefault="00E136A1" w:rsidP="00E136A1">
      <w:pPr>
        <w:ind w:left="500" w:right="1434"/>
        <w:jc w:val="both"/>
        <w:rPr>
          <w:rFonts w:ascii="Segoe UI" w:hAnsi="Segoe UI"/>
          <w:sz w:val="21"/>
        </w:rPr>
      </w:pPr>
      <w:r w:rsidRPr="005E6081">
        <w:rPr>
          <w:rFonts w:ascii="Segoe UI" w:hAnsi="Segoe UI"/>
          <w:sz w:val="21"/>
        </w:rPr>
        <w:t xml:space="preserve">Through </w:t>
      </w:r>
      <w:r w:rsidRPr="005E6081">
        <w:rPr>
          <w:rFonts w:ascii="Segoe UI" w:hAnsi="Segoe UI"/>
          <w:b/>
          <w:sz w:val="21"/>
        </w:rPr>
        <w:t>Component 2</w:t>
      </w:r>
      <w:r w:rsidRPr="005E6081">
        <w:rPr>
          <w:rFonts w:ascii="Segoe UI" w:hAnsi="Segoe UI"/>
          <w:sz w:val="21"/>
        </w:rPr>
        <w:t>, implemented by WWF US and executed by ISEAL Alliance, the project contributes</w:t>
      </w:r>
      <w:r w:rsidRPr="005E6081">
        <w:rPr>
          <w:rFonts w:ascii="Segoe UI" w:hAnsi="Segoe UI"/>
          <w:spacing w:val="-15"/>
          <w:sz w:val="21"/>
        </w:rPr>
        <w:t xml:space="preserve"> </w:t>
      </w:r>
      <w:r w:rsidRPr="005E6081">
        <w:rPr>
          <w:rFonts w:ascii="Segoe UI" w:hAnsi="Segoe UI"/>
          <w:sz w:val="21"/>
        </w:rPr>
        <w:t>to</w:t>
      </w:r>
      <w:r w:rsidRPr="005E6081">
        <w:rPr>
          <w:rFonts w:ascii="Segoe UI" w:hAnsi="Segoe UI"/>
          <w:spacing w:val="-12"/>
          <w:sz w:val="21"/>
        </w:rPr>
        <w:t xml:space="preserve"> </w:t>
      </w:r>
      <w:r w:rsidRPr="005E6081">
        <w:rPr>
          <w:rFonts w:ascii="Segoe UI" w:hAnsi="Segoe UI"/>
          <w:sz w:val="21"/>
        </w:rPr>
        <w:t>developing</w:t>
      </w:r>
      <w:r w:rsidRPr="005E6081">
        <w:rPr>
          <w:rFonts w:ascii="Segoe UI" w:hAnsi="Segoe UI"/>
          <w:spacing w:val="-13"/>
          <w:sz w:val="21"/>
        </w:rPr>
        <w:t xml:space="preserve"> </w:t>
      </w:r>
      <w:r w:rsidRPr="005E6081">
        <w:rPr>
          <w:rFonts w:ascii="Segoe UI" w:hAnsi="Segoe UI"/>
          <w:sz w:val="21"/>
        </w:rPr>
        <w:t>a</w:t>
      </w:r>
      <w:r w:rsidRPr="005E6081">
        <w:rPr>
          <w:rFonts w:ascii="Segoe UI" w:hAnsi="Segoe UI"/>
          <w:spacing w:val="-10"/>
          <w:sz w:val="21"/>
        </w:rPr>
        <w:t xml:space="preserve"> </w:t>
      </w:r>
      <w:r w:rsidRPr="005E6081">
        <w:rPr>
          <w:rFonts w:ascii="Segoe UI" w:hAnsi="Segoe UI"/>
          <w:sz w:val="21"/>
        </w:rPr>
        <w:t>robust</w:t>
      </w:r>
      <w:r w:rsidRPr="005E6081">
        <w:rPr>
          <w:rFonts w:ascii="Segoe UI" w:hAnsi="Segoe UI"/>
          <w:spacing w:val="-13"/>
          <w:sz w:val="21"/>
        </w:rPr>
        <w:t xml:space="preserve"> </w:t>
      </w:r>
      <w:r w:rsidRPr="005E6081">
        <w:rPr>
          <w:rFonts w:ascii="Segoe UI" w:hAnsi="Segoe UI"/>
          <w:sz w:val="21"/>
        </w:rPr>
        <w:t>and</w:t>
      </w:r>
      <w:r w:rsidRPr="005E6081">
        <w:rPr>
          <w:rFonts w:ascii="Segoe UI" w:hAnsi="Segoe UI"/>
          <w:spacing w:val="-13"/>
          <w:sz w:val="21"/>
        </w:rPr>
        <w:t xml:space="preserve"> </w:t>
      </w:r>
      <w:r w:rsidRPr="005E6081">
        <w:rPr>
          <w:rFonts w:ascii="Segoe UI" w:hAnsi="Segoe UI"/>
          <w:sz w:val="21"/>
        </w:rPr>
        <w:t>policy-relevant</w:t>
      </w:r>
      <w:r w:rsidRPr="005E6081">
        <w:rPr>
          <w:rFonts w:ascii="Segoe UI" w:hAnsi="Segoe UI"/>
          <w:spacing w:val="-10"/>
          <w:sz w:val="21"/>
        </w:rPr>
        <w:t xml:space="preserve"> </w:t>
      </w:r>
      <w:r w:rsidRPr="005E6081">
        <w:rPr>
          <w:rFonts w:ascii="Segoe UI" w:hAnsi="Segoe UI"/>
          <w:sz w:val="21"/>
        </w:rPr>
        <w:t>evidence</w:t>
      </w:r>
      <w:r w:rsidRPr="005E6081">
        <w:rPr>
          <w:rFonts w:ascii="Segoe UI" w:hAnsi="Segoe UI"/>
          <w:spacing w:val="-14"/>
          <w:sz w:val="21"/>
        </w:rPr>
        <w:t xml:space="preserve"> </w:t>
      </w:r>
      <w:r w:rsidRPr="005E6081">
        <w:rPr>
          <w:rFonts w:ascii="Segoe UI" w:hAnsi="Segoe UI"/>
          <w:sz w:val="21"/>
        </w:rPr>
        <w:t>base</w:t>
      </w:r>
      <w:r w:rsidRPr="005E6081">
        <w:rPr>
          <w:rFonts w:ascii="Segoe UI" w:hAnsi="Segoe UI"/>
          <w:spacing w:val="-14"/>
          <w:sz w:val="21"/>
        </w:rPr>
        <w:t xml:space="preserve"> </w:t>
      </w:r>
      <w:r w:rsidRPr="005E6081">
        <w:rPr>
          <w:rFonts w:ascii="Segoe UI" w:hAnsi="Segoe UI"/>
          <w:sz w:val="21"/>
        </w:rPr>
        <w:t>on</w:t>
      </w:r>
      <w:r w:rsidRPr="005E6081">
        <w:rPr>
          <w:rFonts w:ascii="Segoe UI" w:hAnsi="Segoe UI"/>
          <w:spacing w:val="-11"/>
          <w:sz w:val="21"/>
        </w:rPr>
        <w:t xml:space="preserve"> </w:t>
      </w:r>
      <w:r w:rsidRPr="005E6081">
        <w:rPr>
          <w:rFonts w:ascii="Segoe UI" w:hAnsi="Segoe UI"/>
          <w:sz w:val="21"/>
        </w:rPr>
        <w:t>the</w:t>
      </w:r>
      <w:r w:rsidRPr="005E6081">
        <w:rPr>
          <w:rFonts w:ascii="Segoe UI" w:hAnsi="Segoe UI"/>
          <w:spacing w:val="-14"/>
          <w:sz w:val="21"/>
        </w:rPr>
        <w:t xml:space="preserve"> </w:t>
      </w:r>
      <w:r w:rsidRPr="005E6081">
        <w:rPr>
          <w:rFonts w:ascii="Segoe UI" w:hAnsi="Segoe UI"/>
          <w:sz w:val="21"/>
        </w:rPr>
        <w:t>effectiveness</w:t>
      </w:r>
      <w:r w:rsidRPr="005E6081">
        <w:rPr>
          <w:rFonts w:ascii="Segoe UI" w:hAnsi="Segoe UI"/>
          <w:spacing w:val="-12"/>
          <w:sz w:val="21"/>
        </w:rPr>
        <w:t xml:space="preserve"> </w:t>
      </w:r>
      <w:r w:rsidRPr="005E6081">
        <w:rPr>
          <w:rFonts w:ascii="Segoe UI" w:hAnsi="Segoe UI"/>
          <w:sz w:val="21"/>
        </w:rPr>
        <w:t>and</w:t>
      </w:r>
      <w:r w:rsidRPr="005E6081">
        <w:rPr>
          <w:rFonts w:ascii="Segoe UI" w:hAnsi="Segoe UI"/>
          <w:spacing w:val="-13"/>
          <w:sz w:val="21"/>
        </w:rPr>
        <w:t xml:space="preserve"> </w:t>
      </w:r>
      <w:r w:rsidRPr="005E6081">
        <w:rPr>
          <w:rFonts w:ascii="Segoe UI" w:hAnsi="Segoe UI"/>
          <w:sz w:val="21"/>
        </w:rPr>
        <w:t>impacts of voluntary sustainability standards (VSS) and VSS-like mechanisms being used to implement deforestation-free and sustainable production and sourcing initiatives. The establishment of a Global Impact Platform (re-branded as “Evidensia”) will fill in key gaps to the evidence base and synthesize and communicate evidence in decision-relevant</w:t>
      </w:r>
      <w:r w:rsidRPr="005E6081">
        <w:rPr>
          <w:rFonts w:ascii="Segoe UI" w:hAnsi="Segoe UI"/>
          <w:spacing w:val="-6"/>
          <w:sz w:val="21"/>
        </w:rPr>
        <w:t xml:space="preserve"> </w:t>
      </w:r>
      <w:r w:rsidRPr="005E6081">
        <w:rPr>
          <w:rFonts w:ascii="Segoe UI" w:hAnsi="Segoe UI"/>
          <w:sz w:val="21"/>
        </w:rPr>
        <w:t>terms.</w:t>
      </w:r>
    </w:p>
    <w:p w14:paraId="1D640EE7" w14:textId="77777777" w:rsidR="00E136A1" w:rsidRPr="005E6081" w:rsidRDefault="00E136A1" w:rsidP="00E136A1">
      <w:pPr>
        <w:ind w:left="500" w:right="1433"/>
        <w:jc w:val="both"/>
        <w:rPr>
          <w:rFonts w:ascii="Segoe UI" w:hAnsi="Segoe UI"/>
          <w:sz w:val="21"/>
        </w:rPr>
      </w:pPr>
      <w:r w:rsidRPr="005E6081">
        <w:rPr>
          <w:rFonts w:ascii="Segoe UI" w:hAnsi="Segoe UI"/>
          <w:b/>
          <w:sz w:val="21"/>
        </w:rPr>
        <w:t>Component 3</w:t>
      </w:r>
      <w:r w:rsidRPr="005E6081">
        <w:rPr>
          <w:rFonts w:ascii="Segoe UI" w:hAnsi="Segoe UI"/>
          <w:sz w:val="21"/>
        </w:rPr>
        <w:t>, also implemented by UNDP Regional Hub for LAC, is on knowledge management, partnership</w:t>
      </w:r>
      <w:r w:rsidRPr="005E6081">
        <w:rPr>
          <w:rFonts w:ascii="Segoe UI" w:hAnsi="Segoe UI"/>
          <w:spacing w:val="-4"/>
          <w:sz w:val="21"/>
        </w:rPr>
        <w:t xml:space="preserve"> </w:t>
      </w:r>
      <w:r w:rsidRPr="005E6081">
        <w:rPr>
          <w:rFonts w:ascii="Segoe UI" w:hAnsi="Segoe UI"/>
          <w:sz w:val="21"/>
        </w:rPr>
        <w:t>development</w:t>
      </w:r>
      <w:r w:rsidRPr="005E6081">
        <w:rPr>
          <w:rFonts w:ascii="Segoe UI" w:hAnsi="Segoe UI"/>
          <w:spacing w:val="-6"/>
          <w:sz w:val="21"/>
        </w:rPr>
        <w:t xml:space="preserve"> </w:t>
      </w:r>
      <w:r w:rsidRPr="005E6081">
        <w:rPr>
          <w:rFonts w:ascii="Segoe UI" w:hAnsi="Segoe UI"/>
          <w:sz w:val="21"/>
        </w:rPr>
        <w:t>and</w:t>
      </w:r>
      <w:r w:rsidRPr="005E6081">
        <w:rPr>
          <w:rFonts w:ascii="Segoe UI" w:hAnsi="Segoe UI"/>
          <w:spacing w:val="-7"/>
          <w:sz w:val="21"/>
        </w:rPr>
        <w:t xml:space="preserve"> </w:t>
      </w:r>
      <w:r w:rsidRPr="005E6081">
        <w:rPr>
          <w:rFonts w:ascii="Segoe UI" w:hAnsi="Segoe UI"/>
          <w:sz w:val="21"/>
        </w:rPr>
        <w:t>communications</w:t>
      </w:r>
      <w:r w:rsidRPr="005E6081">
        <w:rPr>
          <w:rFonts w:ascii="Segoe UI" w:hAnsi="Segoe UI"/>
          <w:spacing w:val="-3"/>
          <w:sz w:val="21"/>
        </w:rPr>
        <w:t xml:space="preserve"> </w:t>
      </w:r>
      <w:r w:rsidRPr="005E6081">
        <w:rPr>
          <w:rFonts w:ascii="Segoe UI" w:hAnsi="Segoe UI"/>
          <w:sz w:val="21"/>
        </w:rPr>
        <w:t>aimed</w:t>
      </w:r>
      <w:r w:rsidRPr="005E6081">
        <w:rPr>
          <w:rFonts w:ascii="Segoe UI" w:hAnsi="Segoe UI"/>
          <w:spacing w:val="-3"/>
          <w:sz w:val="21"/>
        </w:rPr>
        <w:t xml:space="preserve"> </w:t>
      </w:r>
      <w:r w:rsidRPr="005E6081">
        <w:rPr>
          <w:rFonts w:ascii="Segoe UI" w:hAnsi="Segoe UI"/>
          <w:sz w:val="21"/>
        </w:rPr>
        <w:t>at</w:t>
      </w:r>
      <w:r w:rsidRPr="005E6081">
        <w:rPr>
          <w:rFonts w:ascii="Segoe UI" w:hAnsi="Segoe UI"/>
          <w:spacing w:val="-4"/>
          <w:sz w:val="21"/>
        </w:rPr>
        <w:t xml:space="preserve"> </w:t>
      </w:r>
      <w:r w:rsidRPr="005E6081">
        <w:rPr>
          <w:rFonts w:ascii="Segoe UI" w:hAnsi="Segoe UI"/>
          <w:sz w:val="21"/>
        </w:rPr>
        <w:t>maximizing</w:t>
      </w:r>
      <w:r w:rsidRPr="005E6081">
        <w:rPr>
          <w:rFonts w:ascii="Segoe UI" w:hAnsi="Segoe UI"/>
          <w:spacing w:val="-3"/>
          <w:sz w:val="21"/>
        </w:rPr>
        <w:t xml:space="preserve"> </w:t>
      </w:r>
      <w:r w:rsidRPr="005E6081">
        <w:rPr>
          <w:rFonts w:ascii="Segoe UI" w:hAnsi="Segoe UI"/>
          <w:sz w:val="21"/>
        </w:rPr>
        <w:t>learning,</w:t>
      </w:r>
      <w:r w:rsidRPr="005E6081">
        <w:rPr>
          <w:rFonts w:ascii="Segoe UI" w:hAnsi="Segoe UI"/>
          <w:spacing w:val="-5"/>
          <w:sz w:val="21"/>
        </w:rPr>
        <w:t xml:space="preserve"> </w:t>
      </w:r>
      <w:r w:rsidRPr="005E6081">
        <w:rPr>
          <w:rFonts w:ascii="Segoe UI" w:hAnsi="Segoe UI"/>
          <w:sz w:val="21"/>
        </w:rPr>
        <w:t>fostering</w:t>
      </w:r>
      <w:r w:rsidRPr="005E6081">
        <w:rPr>
          <w:rFonts w:ascii="Segoe UI" w:hAnsi="Segoe UI"/>
          <w:spacing w:val="-3"/>
          <w:sz w:val="21"/>
        </w:rPr>
        <w:t xml:space="preserve"> </w:t>
      </w:r>
      <w:r w:rsidRPr="005E6081">
        <w:rPr>
          <w:rFonts w:ascii="Segoe UI" w:hAnsi="Segoe UI"/>
          <w:sz w:val="21"/>
        </w:rPr>
        <w:t>synergies</w:t>
      </w:r>
      <w:r w:rsidRPr="005E6081">
        <w:rPr>
          <w:rFonts w:ascii="Segoe UI" w:hAnsi="Segoe UI"/>
          <w:spacing w:val="-5"/>
          <w:sz w:val="21"/>
        </w:rPr>
        <w:t xml:space="preserve"> </w:t>
      </w:r>
      <w:r w:rsidRPr="005E6081">
        <w:rPr>
          <w:rFonts w:ascii="Segoe UI" w:hAnsi="Segoe UI"/>
          <w:sz w:val="21"/>
        </w:rPr>
        <w:t>and promoting replication and upscaling of actions to address deforestation in commodity supply chains. This includes supporting an active community of practice – the Green Commodities Community – through</w:t>
      </w:r>
      <w:r w:rsidRPr="005E6081">
        <w:rPr>
          <w:rFonts w:ascii="Segoe UI" w:hAnsi="Segoe UI"/>
          <w:spacing w:val="-11"/>
          <w:sz w:val="21"/>
        </w:rPr>
        <w:t xml:space="preserve"> </w:t>
      </w:r>
      <w:r w:rsidRPr="005E6081">
        <w:rPr>
          <w:rFonts w:ascii="Segoe UI" w:hAnsi="Segoe UI"/>
          <w:sz w:val="21"/>
        </w:rPr>
        <w:t>which</w:t>
      </w:r>
      <w:r w:rsidRPr="005E6081">
        <w:rPr>
          <w:rFonts w:ascii="Segoe UI" w:hAnsi="Segoe UI"/>
          <w:spacing w:val="-10"/>
          <w:sz w:val="21"/>
        </w:rPr>
        <w:t xml:space="preserve"> </w:t>
      </w:r>
      <w:r w:rsidRPr="005E6081">
        <w:rPr>
          <w:rFonts w:ascii="Segoe UI" w:hAnsi="Segoe UI"/>
          <w:sz w:val="21"/>
        </w:rPr>
        <w:t>practitioners</w:t>
      </w:r>
      <w:r w:rsidRPr="005E6081">
        <w:rPr>
          <w:rFonts w:ascii="Segoe UI" w:hAnsi="Segoe UI"/>
          <w:spacing w:val="-9"/>
          <w:sz w:val="21"/>
        </w:rPr>
        <w:t xml:space="preserve"> </w:t>
      </w:r>
      <w:r w:rsidRPr="005E6081">
        <w:rPr>
          <w:rFonts w:ascii="Segoe UI" w:hAnsi="Segoe UI"/>
          <w:sz w:val="21"/>
        </w:rPr>
        <w:t>from</w:t>
      </w:r>
      <w:r w:rsidRPr="005E6081">
        <w:rPr>
          <w:rFonts w:ascii="Segoe UI" w:hAnsi="Segoe UI"/>
          <w:spacing w:val="-6"/>
          <w:sz w:val="21"/>
        </w:rPr>
        <w:t xml:space="preserve"> </w:t>
      </w:r>
      <w:r w:rsidRPr="005E6081">
        <w:rPr>
          <w:rFonts w:ascii="Segoe UI" w:hAnsi="Segoe UI"/>
          <w:sz w:val="21"/>
        </w:rPr>
        <w:t>the</w:t>
      </w:r>
      <w:r w:rsidRPr="005E6081">
        <w:rPr>
          <w:rFonts w:ascii="Segoe UI" w:hAnsi="Segoe UI"/>
          <w:spacing w:val="-8"/>
          <w:sz w:val="21"/>
        </w:rPr>
        <w:t xml:space="preserve"> </w:t>
      </w:r>
      <w:r w:rsidRPr="005E6081">
        <w:rPr>
          <w:rFonts w:ascii="Segoe UI" w:hAnsi="Segoe UI"/>
          <w:sz w:val="21"/>
        </w:rPr>
        <w:t>GGP</w:t>
      </w:r>
      <w:r w:rsidRPr="005E6081">
        <w:rPr>
          <w:rFonts w:ascii="Segoe UI" w:hAnsi="Segoe UI"/>
          <w:spacing w:val="-11"/>
          <w:sz w:val="21"/>
        </w:rPr>
        <w:t xml:space="preserve"> </w:t>
      </w:r>
      <w:r w:rsidRPr="005E6081">
        <w:rPr>
          <w:rFonts w:ascii="Segoe UI" w:hAnsi="Segoe UI"/>
          <w:sz w:val="21"/>
        </w:rPr>
        <w:t>child</w:t>
      </w:r>
      <w:r w:rsidRPr="005E6081">
        <w:rPr>
          <w:rFonts w:ascii="Segoe UI" w:hAnsi="Segoe UI"/>
          <w:spacing w:val="-11"/>
          <w:sz w:val="21"/>
        </w:rPr>
        <w:t xml:space="preserve"> </w:t>
      </w:r>
      <w:r w:rsidRPr="005E6081">
        <w:rPr>
          <w:rFonts w:ascii="Segoe UI" w:hAnsi="Segoe UI"/>
          <w:sz w:val="21"/>
        </w:rPr>
        <w:t>projects,</w:t>
      </w:r>
      <w:r w:rsidRPr="005E6081">
        <w:rPr>
          <w:rFonts w:ascii="Segoe UI" w:hAnsi="Segoe UI"/>
          <w:spacing w:val="-10"/>
          <w:sz w:val="21"/>
        </w:rPr>
        <w:t xml:space="preserve"> </w:t>
      </w:r>
      <w:r w:rsidRPr="005E6081">
        <w:rPr>
          <w:rFonts w:ascii="Segoe UI" w:hAnsi="Segoe UI"/>
          <w:sz w:val="21"/>
        </w:rPr>
        <w:t>countries,</w:t>
      </w:r>
      <w:r w:rsidRPr="005E6081">
        <w:rPr>
          <w:rFonts w:ascii="Segoe UI" w:hAnsi="Segoe UI"/>
          <w:spacing w:val="-10"/>
          <w:sz w:val="21"/>
        </w:rPr>
        <w:t xml:space="preserve"> </w:t>
      </w:r>
      <w:r w:rsidRPr="005E6081">
        <w:rPr>
          <w:rFonts w:ascii="Segoe UI" w:hAnsi="Segoe UI"/>
          <w:sz w:val="21"/>
        </w:rPr>
        <w:t>and</w:t>
      </w:r>
      <w:r w:rsidRPr="005E6081">
        <w:rPr>
          <w:rFonts w:ascii="Segoe UI" w:hAnsi="Segoe UI"/>
          <w:spacing w:val="-10"/>
          <w:sz w:val="21"/>
        </w:rPr>
        <w:t xml:space="preserve"> </w:t>
      </w:r>
      <w:r w:rsidRPr="005E6081">
        <w:rPr>
          <w:rFonts w:ascii="Segoe UI" w:hAnsi="Segoe UI"/>
          <w:sz w:val="21"/>
        </w:rPr>
        <w:t>partners</w:t>
      </w:r>
      <w:r w:rsidRPr="005E6081">
        <w:rPr>
          <w:rFonts w:ascii="Segoe UI" w:hAnsi="Segoe UI"/>
          <w:spacing w:val="-8"/>
          <w:sz w:val="21"/>
        </w:rPr>
        <w:t xml:space="preserve"> </w:t>
      </w:r>
      <w:r w:rsidRPr="005E6081">
        <w:rPr>
          <w:rFonts w:ascii="Segoe UI" w:hAnsi="Segoe UI"/>
          <w:sz w:val="21"/>
        </w:rPr>
        <w:t>as</w:t>
      </w:r>
      <w:r w:rsidRPr="005E6081">
        <w:rPr>
          <w:rFonts w:ascii="Segoe UI" w:hAnsi="Segoe UI"/>
          <w:spacing w:val="-11"/>
          <w:sz w:val="21"/>
        </w:rPr>
        <w:t xml:space="preserve"> </w:t>
      </w:r>
      <w:r w:rsidRPr="005E6081">
        <w:rPr>
          <w:rFonts w:ascii="Segoe UI" w:hAnsi="Segoe UI"/>
          <w:sz w:val="21"/>
        </w:rPr>
        <w:t>well</w:t>
      </w:r>
      <w:r w:rsidRPr="005E6081">
        <w:rPr>
          <w:rFonts w:ascii="Segoe UI" w:hAnsi="Segoe UI"/>
          <w:spacing w:val="-8"/>
          <w:sz w:val="21"/>
        </w:rPr>
        <w:t xml:space="preserve"> </w:t>
      </w:r>
      <w:r w:rsidRPr="005E6081">
        <w:rPr>
          <w:rFonts w:ascii="Segoe UI" w:hAnsi="Segoe UI"/>
          <w:sz w:val="21"/>
        </w:rPr>
        <w:t>as</w:t>
      </w:r>
      <w:r w:rsidRPr="005E6081">
        <w:rPr>
          <w:rFonts w:ascii="Segoe UI" w:hAnsi="Segoe UI"/>
          <w:spacing w:val="-11"/>
          <w:sz w:val="21"/>
        </w:rPr>
        <w:t xml:space="preserve"> </w:t>
      </w:r>
      <w:r w:rsidRPr="005E6081">
        <w:rPr>
          <w:rFonts w:ascii="Segoe UI" w:hAnsi="Segoe UI"/>
          <w:sz w:val="21"/>
        </w:rPr>
        <w:t>the</w:t>
      </w:r>
      <w:r w:rsidRPr="005E6081">
        <w:rPr>
          <w:rFonts w:ascii="Segoe UI" w:hAnsi="Segoe UI"/>
          <w:spacing w:val="-10"/>
          <w:sz w:val="21"/>
        </w:rPr>
        <w:t xml:space="preserve"> </w:t>
      </w:r>
      <w:r w:rsidRPr="005E6081">
        <w:rPr>
          <w:rFonts w:ascii="Segoe UI" w:hAnsi="Segoe UI"/>
          <w:sz w:val="21"/>
        </w:rPr>
        <w:t>broader sustainable commodities community share knowledge and learn from each</w:t>
      </w:r>
      <w:r w:rsidRPr="005E6081">
        <w:rPr>
          <w:rFonts w:ascii="Segoe UI" w:hAnsi="Segoe UI"/>
          <w:spacing w:val="-15"/>
          <w:sz w:val="21"/>
        </w:rPr>
        <w:t xml:space="preserve"> </w:t>
      </w:r>
      <w:r w:rsidRPr="005E6081">
        <w:rPr>
          <w:rFonts w:ascii="Segoe UI" w:hAnsi="Segoe UI"/>
          <w:sz w:val="21"/>
        </w:rPr>
        <w:t>other.</w:t>
      </w:r>
    </w:p>
    <w:p w14:paraId="229C825F" w14:textId="77777777" w:rsidR="00E136A1" w:rsidRPr="005E6081" w:rsidRDefault="00E136A1" w:rsidP="00E136A1">
      <w:pPr>
        <w:pStyle w:val="BodyText"/>
        <w:spacing w:before="3"/>
        <w:rPr>
          <w:rFonts w:ascii="Segoe UI"/>
          <w:sz w:val="21"/>
        </w:rPr>
      </w:pPr>
    </w:p>
    <w:p w14:paraId="694230CE" w14:textId="77777777" w:rsidR="00E136A1" w:rsidRPr="005E6081" w:rsidRDefault="00E136A1" w:rsidP="00E136A1">
      <w:pPr>
        <w:spacing w:before="79"/>
        <w:ind w:left="500" w:right="1432"/>
        <w:jc w:val="both"/>
        <w:rPr>
          <w:rFonts w:ascii="Segoe UI"/>
          <w:sz w:val="21"/>
        </w:rPr>
      </w:pPr>
      <w:r w:rsidRPr="005E6081">
        <w:rPr>
          <w:rFonts w:ascii="Segoe UI"/>
          <w:sz w:val="21"/>
        </w:rPr>
        <w:t>COVID-19 has had a limited impact on the A&amp;L project activities, except for the organization of the 2</w:t>
      </w:r>
      <w:r w:rsidRPr="005E6081">
        <w:rPr>
          <w:rFonts w:ascii="Segoe UI"/>
          <w:position w:val="8"/>
          <w:sz w:val="14"/>
        </w:rPr>
        <w:t xml:space="preserve">nd </w:t>
      </w:r>
      <w:r w:rsidRPr="005E6081">
        <w:rPr>
          <w:rFonts w:ascii="Segoe UI"/>
          <w:sz w:val="21"/>
        </w:rPr>
        <w:t>Good Growth Conference, which will be delivered virtually in the first half of 2021, and the level of collaboration between the Partners which slightly decreased due to competing priorities and adaptations needed in project implementation. Most of the activities initially planned in-person were adapted to virtual formats.</w:t>
      </w:r>
    </w:p>
    <w:p w14:paraId="2B5734D1" w14:textId="77777777" w:rsidR="00E136A1" w:rsidRPr="005E6081" w:rsidRDefault="00E136A1" w:rsidP="00E136A1">
      <w:pPr>
        <w:pStyle w:val="BodyText"/>
        <w:rPr>
          <w:rFonts w:ascii="Segoe UI"/>
          <w:sz w:val="21"/>
        </w:rPr>
      </w:pPr>
    </w:p>
    <w:p w14:paraId="4B91F191" w14:textId="77777777" w:rsidR="00E136A1" w:rsidRPr="005E6081" w:rsidRDefault="00E136A1" w:rsidP="00E136A1">
      <w:pPr>
        <w:ind w:left="500" w:right="1434"/>
        <w:jc w:val="both"/>
        <w:rPr>
          <w:rFonts w:ascii="Segoe UI"/>
          <w:b/>
          <w:bCs/>
          <w:sz w:val="21"/>
        </w:rPr>
      </w:pPr>
      <w:r w:rsidRPr="005E6081">
        <w:rPr>
          <w:rFonts w:ascii="Segoe UI"/>
          <w:b/>
          <w:bCs/>
          <w:sz w:val="21"/>
        </w:rPr>
        <w:t>The total A&amp;L project budget is of USD 2,749,124, with planned co-financing for additional USD 6,496,204. The project will be closing on 31 March 2022.</w:t>
      </w:r>
    </w:p>
    <w:p w14:paraId="38ED37FE" w14:textId="77777777" w:rsidR="00E136A1" w:rsidRPr="005E6081" w:rsidRDefault="00E136A1" w:rsidP="00E136A1">
      <w:pPr>
        <w:pStyle w:val="BodyText"/>
        <w:spacing w:before="13"/>
        <w:rPr>
          <w:rFonts w:ascii="Segoe UI"/>
        </w:rPr>
      </w:pPr>
    </w:p>
    <w:p w14:paraId="7F89EFD3" w14:textId="77777777" w:rsidR="00E136A1" w:rsidRPr="005E6081" w:rsidRDefault="00E136A1" w:rsidP="00E136A1">
      <w:pPr>
        <w:ind w:left="500" w:right="1433"/>
        <w:jc w:val="both"/>
        <w:rPr>
          <w:rFonts w:ascii="Segoe UI" w:hAnsi="Segoe UI"/>
          <w:sz w:val="21"/>
        </w:rPr>
      </w:pPr>
      <w:r w:rsidRPr="005E6081">
        <w:rPr>
          <w:rFonts w:ascii="Segoe UI" w:hAnsi="Segoe UI"/>
          <w:sz w:val="21"/>
        </w:rPr>
        <w:t>The   other   three   child   projects   of   the   GGP   are    “Demand”,    “Transactions”,    and    “Brazil”.</w:t>
      </w:r>
      <w:r w:rsidRPr="005E6081">
        <w:rPr>
          <w:rFonts w:ascii="Segoe UI" w:hAnsi="Segoe UI"/>
          <w:spacing w:val="-2"/>
          <w:sz w:val="21"/>
        </w:rPr>
        <w:t xml:space="preserve"> </w:t>
      </w:r>
      <w:r w:rsidRPr="005E6081">
        <w:rPr>
          <w:rFonts w:ascii="Segoe UI" w:hAnsi="Segoe UI"/>
          <w:sz w:val="21"/>
        </w:rPr>
        <w:t>The</w:t>
      </w:r>
      <w:r w:rsidRPr="005E6081">
        <w:rPr>
          <w:rFonts w:ascii="Segoe UI" w:hAnsi="Segoe UI"/>
          <w:spacing w:val="-1"/>
          <w:sz w:val="21"/>
        </w:rPr>
        <w:t xml:space="preserve"> </w:t>
      </w:r>
      <w:r w:rsidRPr="005E6081">
        <w:rPr>
          <w:rFonts w:ascii="Segoe UI" w:hAnsi="Segoe UI"/>
          <w:b/>
          <w:sz w:val="21"/>
        </w:rPr>
        <w:t>Demand</w:t>
      </w:r>
      <w:r w:rsidRPr="005E6081">
        <w:rPr>
          <w:rFonts w:ascii="Segoe UI" w:hAnsi="Segoe UI"/>
          <w:b/>
          <w:spacing w:val="1"/>
          <w:sz w:val="21"/>
        </w:rPr>
        <w:t xml:space="preserve"> </w:t>
      </w:r>
      <w:r w:rsidRPr="005E6081">
        <w:rPr>
          <w:rFonts w:ascii="Segoe UI" w:hAnsi="Segoe UI"/>
          <w:sz w:val="21"/>
        </w:rPr>
        <w:t>project,</w:t>
      </w:r>
      <w:r w:rsidRPr="005E6081">
        <w:rPr>
          <w:rFonts w:ascii="Segoe UI" w:hAnsi="Segoe UI"/>
          <w:spacing w:val="-6"/>
          <w:sz w:val="21"/>
        </w:rPr>
        <w:t xml:space="preserve"> </w:t>
      </w:r>
      <w:r w:rsidRPr="005E6081">
        <w:rPr>
          <w:rFonts w:ascii="Segoe UI" w:hAnsi="Segoe UI"/>
          <w:sz w:val="21"/>
        </w:rPr>
        <w:t>led</w:t>
      </w:r>
      <w:r w:rsidRPr="005E6081">
        <w:rPr>
          <w:rFonts w:ascii="Segoe UI" w:hAnsi="Segoe UI"/>
          <w:spacing w:val="-8"/>
          <w:sz w:val="21"/>
        </w:rPr>
        <w:t xml:space="preserve"> </w:t>
      </w:r>
      <w:r w:rsidRPr="005E6081">
        <w:rPr>
          <w:rFonts w:ascii="Segoe UI" w:hAnsi="Segoe UI"/>
          <w:sz w:val="21"/>
        </w:rPr>
        <w:t>globally</w:t>
      </w:r>
      <w:r w:rsidRPr="005E6081">
        <w:rPr>
          <w:rFonts w:ascii="Segoe UI" w:hAnsi="Segoe UI"/>
          <w:spacing w:val="-7"/>
          <w:sz w:val="21"/>
        </w:rPr>
        <w:t xml:space="preserve"> </w:t>
      </w:r>
      <w:r w:rsidRPr="005E6081">
        <w:rPr>
          <w:rFonts w:ascii="Segoe UI" w:hAnsi="Segoe UI"/>
          <w:sz w:val="21"/>
        </w:rPr>
        <w:t>by</w:t>
      </w:r>
      <w:r w:rsidRPr="005E6081">
        <w:rPr>
          <w:rFonts w:ascii="Segoe UI" w:hAnsi="Segoe UI"/>
          <w:spacing w:val="-5"/>
          <w:sz w:val="21"/>
        </w:rPr>
        <w:t xml:space="preserve"> </w:t>
      </w:r>
      <w:r w:rsidRPr="005E6081">
        <w:rPr>
          <w:rFonts w:ascii="Segoe UI" w:hAnsi="Segoe UI"/>
          <w:sz w:val="21"/>
        </w:rPr>
        <w:t>WWF</w:t>
      </w:r>
      <w:r w:rsidRPr="005E6081">
        <w:rPr>
          <w:rFonts w:ascii="Segoe UI" w:hAnsi="Segoe UI"/>
          <w:spacing w:val="-7"/>
          <w:sz w:val="21"/>
        </w:rPr>
        <w:t xml:space="preserve"> </w:t>
      </w:r>
      <w:r w:rsidRPr="005E6081">
        <w:rPr>
          <w:rFonts w:ascii="Segoe UI" w:hAnsi="Segoe UI"/>
          <w:sz w:val="21"/>
        </w:rPr>
        <w:t>US,</w:t>
      </w:r>
      <w:r w:rsidRPr="005E6081">
        <w:rPr>
          <w:rFonts w:ascii="Segoe UI" w:hAnsi="Segoe UI"/>
          <w:spacing w:val="-6"/>
          <w:sz w:val="21"/>
        </w:rPr>
        <w:t xml:space="preserve"> </w:t>
      </w:r>
      <w:r w:rsidRPr="005E6081">
        <w:rPr>
          <w:rFonts w:ascii="Segoe UI" w:hAnsi="Segoe UI"/>
          <w:sz w:val="21"/>
        </w:rPr>
        <w:t>helps</w:t>
      </w:r>
      <w:r w:rsidRPr="005E6081">
        <w:rPr>
          <w:rFonts w:ascii="Segoe UI" w:hAnsi="Segoe UI"/>
          <w:spacing w:val="-4"/>
          <w:sz w:val="21"/>
        </w:rPr>
        <w:t xml:space="preserve"> </w:t>
      </w:r>
      <w:r w:rsidRPr="005E6081">
        <w:rPr>
          <w:rFonts w:ascii="Segoe UI" w:hAnsi="Segoe UI"/>
          <w:sz w:val="21"/>
        </w:rPr>
        <w:t>raise</w:t>
      </w:r>
      <w:r w:rsidRPr="005E6081">
        <w:rPr>
          <w:rFonts w:ascii="Segoe UI" w:hAnsi="Segoe UI"/>
          <w:spacing w:val="-5"/>
          <w:sz w:val="21"/>
        </w:rPr>
        <w:t xml:space="preserve"> </w:t>
      </w:r>
      <w:r w:rsidRPr="005E6081">
        <w:rPr>
          <w:rFonts w:ascii="Segoe UI" w:hAnsi="Segoe UI"/>
          <w:sz w:val="21"/>
        </w:rPr>
        <w:t>awareness</w:t>
      </w:r>
      <w:r w:rsidRPr="005E6081">
        <w:rPr>
          <w:rFonts w:ascii="Segoe UI" w:hAnsi="Segoe UI"/>
          <w:spacing w:val="-10"/>
          <w:sz w:val="21"/>
        </w:rPr>
        <w:t xml:space="preserve"> </w:t>
      </w:r>
      <w:r w:rsidRPr="005E6081">
        <w:rPr>
          <w:rFonts w:ascii="Segoe UI" w:hAnsi="Segoe UI"/>
          <w:sz w:val="21"/>
        </w:rPr>
        <w:t>and</w:t>
      </w:r>
      <w:r w:rsidRPr="005E6081">
        <w:rPr>
          <w:rFonts w:ascii="Segoe UI" w:hAnsi="Segoe UI"/>
          <w:spacing w:val="-5"/>
          <w:sz w:val="21"/>
        </w:rPr>
        <w:t xml:space="preserve"> </w:t>
      </w:r>
      <w:r w:rsidRPr="005E6081">
        <w:rPr>
          <w:rFonts w:ascii="Segoe UI" w:hAnsi="Segoe UI"/>
          <w:sz w:val="21"/>
        </w:rPr>
        <w:t>strengthen</w:t>
      </w:r>
      <w:r w:rsidRPr="005E6081">
        <w:rPr>
          <w:rFonts w:ascii="Segoe UI" w:hAnsi="Segoe UI"/>
          <w:spacing w:val="-6"/>
          <w:sz w:val="21"/>
        </w:rPr>
        <w:t xml:space="preserve"> </w:t>
      </w:r>
      <w:r w:rsidRPr="005E6081">
        <w:rPr>
          <w:rFonts w:ascii="Segoe UI" w:hAnsi="Segoe UI"/>
          <w:sz w:val="21"/>
        </w:rPr>
        <w:t xml:space="preserve">demand for sustainably produced beef, palm oil and </w:t>
      </w:r>
      <w:r w:rsidRPr="005E6081">
        <w:rPr>
          <w:rFonts w:ascii="Segoe UI" w:hAnsi="Segoe UI"/>
          <w:spacing w:val="-2"/>
          <w:sz w:val="21"/>
        </w:rPr>
        <w:t xml:space="preserve">soy </w:t>
      </w:r>
      <w:r w:rsidRPr="005E6081">
        <w:rPr>
          <w:rFonts w:ascii="Segoe UI" w:hAnsi="Segoe UI"/>
          <w:sz w:val="21"/>
        </w:rPr>
        <w:t xml:space="preserve">among consumers, policymakers, companies and investors. Under the </w:t>
      </w:r>
      <w:r w:rsidRPr="005E6081">
        <w:rPr>
          <w:rFonts w:ascii="Segoe UI" w:hAnsi="Segoe UI"/>
          <w:b/>
          <w:sz w:val="21"/>
        </w:rPr>
        <w:t xml:space="preserve">Transactions </w:t>
      </w:r>
      <w:r w:rsidRPr="005E6081">
        <w:rPr>
          <w:rFonts w:ascii="Segoe UI" w:hAnsi="Segoe UI"/>
          <w:sz w:val="21"/>
        </w:rPr>
        <w:t xml:space="preserve">project, the UN Environment’s Finance Initiative (UNEP FI) and the International Finance Corporation (IFC) work closely with banks and related institutions to help make sustainable financing more accessible for businesses, farmers and producers who require additional capital to invest in more environmentally sound practices. The </w:t>
      </w:r>
      <w:r w:rsidRPr="005E6081">
        <w:rPr>
          <w:rFonts w:ascii="Segoe UI" w:hAnsi="Segoe UI"/>
          <w:b/>
          <w:sz w:val="21"/>
        </w:rPr>
        <w:t xml:space="preserve">Brazil </w:t>
      </w:r>
      <w:r w:rsidRPr="005E6081">
        <w:rPr>
          <w:rFonts w:ascii="Segoe UI" w:hAnsi="Segoe UI"/>
          <w:sz w:val="21"/>
        </w:rPr>
        <w:t>project, led by Conservation International,</w:t>
      </w:r>
      <w:r w:rsidRPr="005E6081">
        <w:rPr>
          <w:rFonts w:ascii="Segoe UI" w:hAnsi="Segoe UI"/>
          <w:spacing w:val="-10"/>
          <w:sz w:val="21"/>
        </w:rPr>
        <w:t xml:space="preserve"> </w:t>
      </w:r>
      <w:r w:rsidRPr="005E6081">
        <w:rPr>
          <w:rFonts w:ascii="Segoe UI" w:hAnsi="Segoe UI"/>
          <w:sz w:val="21"/>
        </w:rPr>
        <w:t>combines</w:t>
      </w:r>
      <w:r w:rsidRPr="005E6081">
        <w:rPr>
          <w:rFonts w:ascii="Segoe UI" w:hAnsi="Segoe UI"/>
          <w:spacing w:val="-7"/>
          <w:sz w:val="21"/>
        </w:rPr>
        <w:t xml:space="preserve"> </w:t>
      </w:r>
      <w:r w:rsidRPr="005E6081">
        <w:rPr>
          <w:rFonts w:ascii="Segoe UI" w:hAnsi="Segoe UI"/>
          <w:sz w:val="21"/>
        </w:rPr>
        <w:t>the</w:t>
      </w:r>
      <w:r w:rsidRPr="005E6081">
        <w:rPr>
          <w:rFonts w:ascii="Segoe UI" w:hAnsi="Segoe UI"/>
          <w:spacing w:val="-6"/>
          <w:sz w:val="21"/>
        </w:rPr>
        <w:t xml:space="preserve"> </w:t>
      </w:r>
      <w:r w:rsidRPr="005E6081">
        <w:rPr>
          <w:rFonts w:ascii="Segoe UI" w:hAnsi="Segoe UI"/>
          <w:sz w:val="21"/>
        </w:rPr>
        <w:t>production,</w:t>
      </w:r>
      <w:r w:rsidRPr="005E6081">
        <w:rPr>
          <w:rFonts w:ascii="Segoe UI" w:hAnsi="Segoe UI"/>
          <w:spacing w:val="-9"/>
          <w:sz w:val="21"/>
        </w:rPr>
        <w:t xml:space="preserve"> </w:t>
      </w:r>
      <w:r w:rsidRPr="005E6081">
        <w:rPr>
          <w:rFonts w:ascii="Segoe UI" w:hAnsi="Segoe UI"/>
          <w:sz w:val="21"/>
        </w:rPr>
        <w:t>demand,</w:t>
      </w:r>
      <w:r w:rsidRPr="005E6081">
        <w:rPr>
          <w:rFonts w:ascii="Segoe UI" w:hAnsi="Segoe UI"/>
          <w:spacing w:val="-9"/>
          <w:sz w:val="21"/>
        </w:rPr>
        <w:t xml:space="preserve"> </w:t>
      </w:r>
      <w:r w:rsidRPr="005E6081">
        <w:rPr>
          <w:rFonts w:ascii="Segoe UI" w:hAnsi="Segoe UI"/>
          <w:sz w:val="21"/>
        </w:rPr>
        <w:t>and</w:t>
      </w:r>
      <w:r w:rsidRPr="005E6081">
        <w:rPr>
          <w:rFonts w:ascii="Segoe UI" w:hAnsi="Segoe UI"/>
          <w:spacing w:val="-6"/>
          <w:sz w:val="21"/>
        </w:rPr>
        <w:t xml:space="preserve"> </w:t>
      </w:r>
      <w:r w:rsidRPr="005E6081">
        <w:rPr>
          <w:rFonts w:ascii="Segoe UI" w:hAnsi="Segoe UI"/>
          <w:sz w:val="21"/>
        </w:rPr>
        <w:t>transactions</w:t>
      </w:r>
      <w:r w:rsidRPr="005E6081">
        <w:rPr>
          <w:rFonts w:ascii="Segoe UI" w:hAnsi="Segoe UI"/>
          <w:spacing w:val="-7"/>
          <w:sz w:val="21"/>
        </w:rPr>
        <w:t xml:space="preserve"> </w:t>
      </w:r>
      <w:r w:rsidRPr="005E6081">
        <w:rPr>
          <w:rFonts w:ascii="Segoe UI" w:hAnsi="Segoe UI"/>
          <w:sz w:val="21"/>
        </w:rPr>
        <w:t>streams</w:t>
      </w:r>
      <w:r w:rsidRPr="005E6081">
        <w:rPr>
          <w:rFonts w:ascii="Segoe UI" w:hAnsi="Segoe UI"/>
          <w:spacing w:val="-7"/>
          <w:sz w:val="21"/>
        </w:rPr>
        <w:t xml:space="preserve"> </w:t>
      </w:r>
      <w:r w:rsidRPr="005E6081">
        <w:rPr>
          <w:rFonts w:ascii="Segoe UI" w:hAnsi="Segoe UI"/>
          <w:sz w:val="21"/>
        </w:rPr>
        <w:t>into</w:t>
      </w:r>
      <w:r w:rsidRPr="005E6081">
        <w:rPr>
          <w:rFonts w:ascii="Segoe UI" w:hAnsi="Segoe UI"/>
          <w:spacing w:val="-6"/>
          <w:sz w:val="21"/>
        </w:rPr>
        <w:t xml:space="preserve"> </w:t>
      </w:r>
      <w:r w:rsidRPr="005E6081">
        <w:rPr>
          <w:rFonts w:ascii="Segoe UI" w:hAnsi="Segoe UI"/>
          <w:sz w:val="21"/>
        </w:rPr>
        <w:t>a</w:t>
      </w:r>
      <w:r w:rsidRPr="005E6081">
        <w:rPr>
          <w:rFonts w:ascii="Segoe UI" w:hAnsi="Segoe UI"/>
          <w:spacing w:val="-6"/>
          <w:sz w:val="21"/>
        </w:rPr>
        <w:t xml:space="preserve"> </w:t>
      </w:r>
      <w:r w:rsidRPr="005E6081">
        <w:rPr>
          <w:rFonts w:ascii="Segoe UI" w:hAnsi="Segoe UI"/>
          <w:sz w:val="21"/>
        </w:rPr>
        <w:t>single</w:t>
      </w:r>
      <w:r w:rsidRPr="005E6081">
        <w:rPr>
          <w:rFonts w:ascii="Segoe UI" w:hAnsi="Segoe UI"/>
          <w:spacing w:val="-9"/>
          <w:sz w:val="21"/>
        </w:rPr>
        <w:t xml:space="preserve"> </w:t>
      </w:r>
      <w:r w:rsidRPr="005E6081">
        <w:rPr>
          <w:rFonts w:ascii="Segoe UI" w:hAnsi="Segoe UI"/>
          <w:sz w:val="21"/>
        </w:rPr>
        <w:t>project</w:t>
      </w:r>
      <w:r w:rsidRPr="005E6081">
        <w:rPr>
          <w:rFonts w:ascii="Segoe UI" w:hAnsi="Segoe UI"/>
          <w:spacing w:val="-7"/>
          <w:sz w:val="21"/>
        </w:rPr>
        <w:t xml:space="preserve"> </w:t>
      </w:r>
      <w:r w:rsidRPr="005E6081">
        <w:rPr>
          <w:rFonts w:ascii="Segoe UI" w:hAnsi="Segoe UI"/>
          <w:sz w:val="21"/>
        </w:rPr>
        <w:t>in</w:t>
      </w:r>
      <w:r w:rsidRPr="005E6081">
        <w:rPr>
          <w:rFonts w:ascii="Segoe UI" w:hAnsi="Segoe UI"/>
          <w:spacing w:val="-5"/>
          <w:sz w:val="21"/>
        </w:rPr>
        <w:t xml:space="preserve"> </w:t>
      </w:r>
      <w:r w:rsidRPr="005E6081">
        <w:rPr>
          <w:rFonts w:ascii="Segoe UI" w:hAnsi="Segoe UI"/>
          <w:sz w:val="21"/>
        </w:rPr>
        <w:t>that country, including national work with a landscape focus of the MATOPIBA</w:t>
      </w:r>
      <w:r w:rsidRPr="005E6081">
        <w:rPr>
          <w:rFonts w:ascii="Segoe UI" w:hAnsi="Segoe UI"/>
          <w:spacing w:val="-16"/>
          <w:sz w:val="21"/>
        </w:rPr>
        <w:t xml:space="preserve"> </w:t>
      </w:r>
      <w:r w:rsidRPr="005E6081">
        <w:rPr>
          <w:rFonts w:ascii="Segoe UI" w:hAnsi="Segoe UI"/>
          <w:sz w:val="21"/>
        </w:rPr>
        <w:t>region.</w:t>
      </w:r>
    </w:p>
    <w:p w14:paraId="69C268B6" w14:textId="77777777" w:rsidR="00E136A1" w:rsidRPr="005E6081" w:rsidRDefault="00E136A1" w:rsidP="00E136A1">
      <w:pPr>
        <w:pStyle w:val="BodyText"/>
        <w:spacing w:before="9"/>
        <w:rPr>
          <w:rFonts w:ascii="Segoe UI"/>
          <w:sz w:val="34"/>
        </w:rPr>
      </w:pPr>
    </w:p>
    <w:p w14:paraId="62380015" w14:textId="77777777" w:rsidR="00E136A1" w:rsidRPr="005E6081" w:rsidRDefault="00E136A1" w:rsidP="00E136A1">
      <w:r w:rsidRPr="005E6081">
        <w:t>TE</w:t>
      </w:r>
      <w:r w:rsidRPr="005E6081">
        <w:rPr>
          <w:spacing w:val="-1"/>
        </w:rPr>
        <w:t xml:space="preserve"> </w:t>
      </w:r>
      <w:r w:rsidRPr="005E6081">
        <w:t>PURPOSE</w:t>
      </w:r>
    </w:p>
    <w:p w14:paraId="19680A09" w14:textId="77777777" w:rsidR="00E136A1" w:rsidRPr="005E6081" w:rsidRDefault="00E136A1" w:rsidP="00E136A1">
      <w:pPr>
        <w:spacing w:before="229"/>
        <w:ind w:left="500" w:right="1434"/>
        <w:jc w:val="both"/>
        <w:rPr>
          <w:rFonts w:ascii="Segoe UI"/>
          <w:sz w:val="21"/>
        </w:rPr>
      </w:pPr>
      <w:r w:rsidRPr="005E6081">
        <w:rPr>
          <w:rFonts w:ascii="Segoe UI"/>
          <w:sz w:val="21"/>
        </w:rPr>
        <w:t>Separate</w:t>
      </w:r>
      <w:r w:rsidRPr="005E6081">
        <w:rPr>
          <w:rFonts w:ascii="Segoe UI"/>
          <w:spacing w:val="-9"/>
          <w:sz w:val="21"/>
        </w:rPr>
        <w:t xml:space="preserve"> </w:t>
      </w:r>
      <w:r w:rsidRPr="005E6081">
        <w:rPr>
          <w:rFonts w:ascii="Segoe UI"/>
          <w:sz w:val="21"/>
        </w:rPr>
        <w:t>TEs</w:t>
      </w:r>
      <w:r w:rsidRPr="005E6081">
        <w:rPr>
          <w:rFonts w:ascii="Segoe UI"/>
          <w:spacing w:val="-9"/>
          <w:sz w:val="21"/>
        </w:rPr>
        <w:t xml:space="preserve"> </w:t>
      </w:r>
      <w:r w:rsidRPr="005E6081">
        <w:rPr>
          <w:rFonts w:ascii="Segoe UI"/>
          <w:sz w:val="21"/>
        </w:rPr>
        <w:t>will</w:t>
      </w:r>
      <w:r w:rsidRPr="005E6081">
        <w:rPr>
          <w:rFonts w:ascii="Segoe UI"/>
          <w:spacing w:val="-7"/>
          <w:sz w:val="21"/>
        </w:rPr>
        <w:t xml:space="preserve"> </w:t>
      </w:r>
      <w:r w:rsidRPr="005E6081">
        <w:rPr>
          <w:rFonts w:ascii="Segoe UI"/>
          <w:sz w:val="21"/>
        </w:rPr>
        <w:t>be</w:t>
      </w:r>
      <w:r w:rsidRPr="005E6081">
        <w:rPr>
          <w:rFonts w:ascii="Segoe UI"/>
          <w:spacing w:val="-7"/>
          <w:sz w:val="21"/>
        </w:rPr>
        <w:t xml:space="preserve"> </w:t>
      </w:r>
      <w:r w:rsidRPr="005E6081">
        <w:rPr>
          <w:rFonts w:ascii="Segoe UI"/>
          <w:sz w:val="21"/>
        </w:rPr>
        <w:t>conducted</w:t>
      </w:r>
      <w:r w:rsidRPr="005E6081">
        <w:rPr>
          <w:rFonts w:ascii="Segoe UI"/>
          <w:spacing w:val="-8"/>
          <w:sz w:val="21"/>
        </w:rPr>
        <w:t xml:space="preserve"> </w:t>
      </w:r>
      <w:r w:rsidRPr="005E6081">
        <w:rPr>
          <w:rFonts w:ascii="Segoe UI"/>
          <w:sz w:val="21"/>
        </w:rPr>
        <w:t>for</w:t>
      </w:r>
      <w:r w:rsidRPr="005E6081">
        <w:rPr>
          <w:rFonts w:ascii="Segoe UI"/>
          <w:spacing w:val="-8"/>
          <w:sz w:val="21"/>
        </w:rPr>
        <w:t xml:space="preserve"> </w:t>
      </w:r>
      <w:r w:rsidRPr="005E6081">
        <w:rPr>
          <w:rFonts w:ascii="Segoe UI"/>
          <w:sz w:val="21"/>
        </w:rPr>
        <w:t>the</w:t>
      </w:r>
      <w:r w:rsidRPr="005E6081">
        <w:rPr>
          <w:rFonts w:ascii="Segoe UI"/>
          <w:spacing w:val="-8"/>
          <w:sz w:val="21"/>
        </w:rPr>
        <w:t xml:space="preserve"> </w:t>
      </w:r>
      <w:r w:rsidRPr="005E6081">
        <w:rPr>
          <w:rFonts w:ascii="Segoe UI"/>
          <w:sz w:val="21"/>
        </w:rPr>
        <w:t>Production</w:t>
      </w:r>
      <w:r w:rsidRPr="005E6081">
        <w:rPr>
          <w:rFonts w:ascii="Segoe UI"/>
          <w:spacing w:val="-8"/>
          <w:sz w:val="21"/>
        </w:rPr>
        <w:t xml:space="preserve"> </w:t>
      </w:r>
      <w:r w:rsidRPr="005E6081">
        <w:rPr>
          <w:rFonts w:ascii="Segoe UI"/>
          <w:sz w:val="21"/>
        </w:rPr>
        <w:t>and</w:t>
      </w:r>
      <w:r w:rsidRPr="005E6081">
        <w:rPr>
          <w:rFonts w:ascii="Segoe UI"/>
          <w:spacing w:val="-6"/>
          <w:sz w:val="21"/>
        </w:rPr>
        <w:t xml:space="preserve"> </w:t>
      </w:r>
      <w:r w:rsidRPr="005E6081">
        <w:rPr>
          <w:rFonts w:ascii="Segoe UI"/>
          <w:sz w:val="21"/>
        </w:rPr>
        <w:t>A&amp;L</w:t>
      </w:r>
      <w:r w:rsidRPr="005E6081">
        <w:rPr>
          <w:rFonts w:ascii="Segoe UI"/>
          <w:spacing w:val="-9"/>
          <w:sz w:val="21"/>
        </w:rPr>
        <w:t xml:space="preserve"> </w:t>
      </w:r>
      <w:r w:rsidRPr="005E6081">
        <w:rPr>
          <w:rFonts w:ascii="Segoe UI"/>
          <w:sz w:val="21"/>
        </w:rPr>
        <w:t>projects,</w:t>
      </w:r>
      <w:r w:rsidRPr="005E6081">
        <w:rPr>
          <w:rFonts w:ascii="Segoe UI"/>
          <w:spacing w:val="-9"/>
          <w:sz w:val="21"/>
        </w:rPr>
        <w:t xml:space="preserve"> </w:t>
      </w:r>
      <w:r w:rsidRPr="005E6081">
        <w:rPr>
          <w:rFonts w:ascii="Segoe UI"/>
          <w:sz w:val="21"/>
        </w:rPr>
        <w:t>though</w:t>
      </w:r>
      <w:r w:rsidRPr="005E6081">
        <w:rPr>
          <w:rFonts w:ascii="Segoe UI"/>
          <w:spacing w:val="-8"/>
          <w:sz w:val="21"/>
        </w:rPr>
        <w:t xml:space="preserve"> </w:t>
      </w:r>
      <w:r w:rsidRPr="005E6081">
        <w:rPr>
          <w:rFonts w:ascii="Segoe UI"/>
          <w:sz w:val="21"/>
        </w:rPr>
        <w:t>with</w:t>
      </w:r>
      <w:r w:rsidRPr="005E6081">
        <w:rPr>
          <w:rFonts w:ascii="Segoe UI"/>
          <w:spacing w:val="-8"/>
          <w:sz w:val="21"/>
        </w:rPr>
        <w:t xml:space="preserve"> </w:t>
      </w:r>
      <w:r w:rsidRPr="005E6081">
        <w:rPr>
          <w:rFonts w:ascii="Segoe UI"/>
          <w:sz w:val="21"/>
        </w:rPr>
        <w:t>an</w:t>
      </w:r>
      <w:r w:rsidRPr="005E6081">
        <w:rPr>
          <w:rFonts w:ascii="Segoe UI"/>
          <w:spacing w:val="-7"/>
          <w:sz w:val="21"/>
        </w:rPr>
        <w:t xml:space="preserve"> </w:t>
      </w:r>
      <w:r w:rsidRPr="005E6081">
        <w:rPr>
          <w:rFonts w:ascii="Segoe UI"/>
          <w:sz w:val="21"/>
        </w:rPr>
        <w:t>understanding</w:t>
      </w:r>
      <w:r w:rsidRPr="005E6081">
        <w:rPr>
          <w:rFonts w:ascii="Segoe UI"/>
          <w:spacing w:val="-8"/>
          <w:sz w:val="21"/>
        </w:rPr>
        <w:t xml:space="preserve"> </w:t>
      </w:r>
      <w:r w:rsidRPr="005E6081">
        <w:rPr>
          <w:rFonts w:ascii="Segoe UI"/>
          <w:sz w:val="21"/>
        </w:rPr>
        <w:t>of the</w:t>
      </w:r>
      <w:r w:rsidRPr="005E6081">
        <w:rPr>
          <w:rFonts w:ascii="Segoe UI"/>
          <w:spacing w:val="-6"/>
          <w:sz w:val="21"/>
        </w:rPr>
        <w:t xml:space="preserve"> </w:t>
      </w:r>
      <w:r w:rsidRPr="005E6081">
        <w:rPr>
          <w:rFonts w:ascii="Segoe UI"/>
          <w:sz w:val="21"/>
        </w:rPr>
        <w:t>broader</w:t>
      </w:r>
      <w:r w:rsidRPr="005E6081">
        <w:rPr>
          <w:rFonts w:ascii="Segoe UI"/>
          <w:spacing w:val="-2"/>
          <w:sz w:val="21"/>
        </w:rPr>
        <w:t xml:space="preserve"> </w:t>
      </w:r>
      <w:r w:rsidRPr="005E6081">
        <w:rPr>
          <w:rFonts w:ascii="Segoe UI"/>
          <w:sz w:val="21"/>
        </w:rPr>
        <w:t>GGP</w:t>
      </w:r>
      <w:r w:rsidRPr="005E6081">
        <w:rPr>
          <w:rFonts w:ascii="Segoe UI"/>
          <w:spacing w:val="-4"/>
          <w:sz w:val="21"/>
        </w:rPr>
        <w:t xml:space="preserve"> </w:t>
      </w:r>
      <w:r w:rsidRPr="005E6081">
        <w:rPr>
          <w:rFonts w:ascii="Segoe UI"/>
          <w:sz w:val="21"/>
        </w:rPr>
        <w:t>context.</w:t>
      </w:r>
      <w:r w:rsidRPr="005E6081">
        <w:rPr>
          <w:rFonts w:ascii="Segoe UI"/>
          <w:spacing w:val="-6"/>
          <w:sz w:val="21"/>
        </w:rPr>
        <w:t xml:space="preserve"> </w:t>
      </w:r>
      <w:r w:rsidRPr="005E6081">
        <w:rPr>
          <w:rFonts w:ascii="Segoe UI"/>
          <w:sz w:val="21"/>
        </w:rPr>
        <w:t>For</w:t>
      </w:r>
      <w:r w:rsidRPr="005E6081">
        <w:rPr>
          <w:rFonts w:ascii="Segoe UI"/>
          <w:spacing w:val="-2"/>
          <w:sz w:val="21"/>
        </w:rPr>
        <w:t xml:space="preserve"> </w:t>
      </w:r>
      <w:r w:rsidRPr="005E6081">
        <w:rPr>
          <w:rFonts w:ascii="Segoe UI"/>
          <w:sz w:val="21"/>
        </w:rPr>
        <w:t>each</w:t>
      </w:r>
      <w:r w:rsidRPr="005E6081">
        <w:rPr>
          <w:rFonts w:ascii="Segoe UI"/>
          <w:spacing w:val="-5"/>
          <w:sz w:val="21"/>
        </w:rPr>
        <w:t xml:space="preserve"> </w:t>
      </w:r>
      <w:r w:rsidRPr="005E6081">
        <w:rPr>
          <w:rFonts w:ascii="Segoe UI"/>
          <w:sz w:val="21"/>
        </w:rPr>
        <w:t>project,</w:t>
      </w:r>
      <w:r w:rsidRPr="005E6081">
        <w:rPr>
          <w:rFonts w:ascii="Segoe UI"/>
          <w:spacing w:val="-6"/>
          <w:sz w:val="21"/>
        </w:rPr>
        <w:t xml:space="preserve"> </w:t>
      </w:r>
      <w:bookmarkStart w:id="107" w:name="_Hlk75873614"/>
      <w:r w:rsidRPr="005E6081">
        <w:rPr>
          <w:rFonts w:ascii="Segoe UI"/>
          <w:sz w:val="21"/>
        </w:rPr>
        <w:t>the</w:t>
      </w:r>
      <w:r w:rsidRPr="005E6081">
        <w:rPr>
          <w:rFonts w:ascii="Segoe UI"/>
          <w:spacing w:val="-2"/>
          <w:sz w:val="21"/>
        </w:rPr>
        <w:t xml:space="preserve"> </w:t>
      </w:r>
      <w:r w:rsidRPr="005E6081">
        <w:rPr>
          <w:rFonts w:ascii="Segoe UI"/>
          <w:sz w:val="21"/>
        </w:rPr>
        <w:t>TE</w:t>
      </w:r>
      <w:r w:rsidRPr="005E6081">
        <w:rPr>
          <w:rFonts w:ascii="Segoe UI"/>
          <w:spacing w:val="-4"/>
          <w:sz w:val="21"/>
        </w:rPr>
        <w:t xml:space="preserve"> </w:t>
      </w:r>
      <w:r w:rsidRPr="005E6081">
        <w:rPr>
          <w:rFonts w:ascii="Segoe UI"/>
          <w:sz w:val="21"/>
        </w:rPr>
        <w:t>report</w:t>
      </w:r>
      <w:r w:rsidRPr="005E6081">
        <w:rPr>
          <w:rFonts w:ascii="Segoe UI"/>
          <w:spacing w:val="-5"/>
          <w:sz w:val="21"/>
        </w:rPr>
        <w:t xml:space="preserve"> </w:t>
      </w:r>
      <w:r w:rsidRPr="005E6081">
        <w:rPr>
          <w:rFonts w:ascii="Segoe UI"/>
          <w:sz w:val="21"/>
        </w:rPr>
        <w:t>will</w:t>
      </w:r>
      <w:r w:rsidRPr="005E6081">
        <w:rPr>
          <w:rFonts w:ascii="Segoe UI"/>
          <w:spacing w:val="-4"/>
          <w:sz w:val="21"/>
        </w:rPr>
        <w:t xml:space="preserve"> </w:t>
      </w:r>
      <w:r w:rsidRPr="005E6081">
        <w:rPr>
          <w:rFonts w:ascii="Segoe UI"/>
          <w:sz w:val="21"/>
        </w:rPr>
        <w:t>assess</w:t>
      </w:r>
      <w:r w:rsidRPr="005E6081">
        <w:rPr>
          <w:rFonts w:ascii="Segoe UI"/>
          <w:spacing w:val="-4"/>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achievement</w:t>
      </w:r>
      <w:r w:rsidRPr="005E6081">
        <w:rPr>
          <w:rFonts w:ascii="Segoe UI"/>
          <w:spacing w:val="-5"/>
          <w:sz w:val="21"/>
        </w:rPr>
        <w:t xml:space="preserve"> </w:t>
      </w:r>
      <w:r w:rsidRPr="005E6081">
        <w:rPr>
          <w:rFonts w:ascii="Segoe UI"/>
          <w:sz w:val="21"/>
        </w:rPr>
        <w:t>of</w:t>
      </w:r>
      <w:r w:rsidRPr="005E6081">
        <w:rPr>
          <w:rFonts w:ascii="Segoe UI"/>
          <w:spacing w:val="-4"/>
          <w:sz w:val="21"/>
        </w:rPr>
        <w:t xml:space="preserve"> </w:t>
      </w:r>
      <w:r w:rsidRPr="005E6081">
        <w:rPr>
          <w:rFonts w:ascii="Segoe UI"/>
          <w:sz w:val="21"/>
        </w:rPr>
        <w:t>project</w:t>
      </w:r>
      <w:r w:rsidRPr="005E6081">
        <w:rPr>
          <w:rFonts w:ascii="Segoe UI"/>
          <w:spacing w:val="-5"/>
          <w:sz w:val="21"/>
        </w:rPr>
        <w:t xml:space="preserve"> </w:t>
      </w:r>
      <w:r w:rsidRPr="005E6081">
        <w:rPr>
          <w:rFonts w:ascii="Segoe UI"/>
          <w:sz w:val="21"/>
        </w:rPr>
        <w:t>results against what was expected to be achieved and draw lessons that can both improve the sustainability of benefits from this project and aid in the overall enhancement of UNDP programming, through informing future project design and implementation. The TE report promotes accountability and transparency, and assesses the extent of project accomplishments, including through adaptation to the outbreak of the COVID-19</w:t>
      </w:r>
      <w:r w:rsidRPr="005E6081">
        <w:rPr>
          <w:rFonts w:ascii="Segoe UI"/>
          <w:spacing w:val="-11"/>
          <w:sz w:val="21"/>
        </w:rPr>
        <w:t xml:space="preserve"> </w:t>
      </w:r>
      <w:r w:rsidRPr="005E6081">
        <w:rPr>
          <w:rFonts w:ascii="Segoe UI"/>
          <w:sz w:val="21"/>
        </w:rPr>
        <w:t>pandemic.</w:t>
      </w:r>
    </w:p>
    <w:bookmarkEnd w:id="107"/>
    <w:p w14:paraId="4755BE08" w14:textId="77777777" w:rsidR="00E136A1" w:rsidRPr="005E6081" w:rsidRDefault="00E136A1" w:rsidP="00E136A1">
      <w:pPr>
        <w:spacing w:before="1"/>
        <w:ind w:left="500" w:right="1432"/>
        <w:jc w:val="both"/>
        <w:rPr>
          <w:rFonts w:ascii="Segoe UI"/>
          <w:sz w:val="21"/>
        </w:rPr>
      </w:pPr>
      <w:r w:rsidRPr="005E6081">
        <w:rPr>
          <w:rFonts w:ascii="Segoe UI"/>
          <w:sz w:val="21"/>
        </w:rPr>
        <w:t>For</w:t>
      </w:r>
      <w:r w:rsidRPr="005E6081">
        <w:rPr>
          <w:rFonts w:ascii="Segoe UI"/>
          <w:spacing w:val="-10"/>
          <w:sz w:val="21"/>
        </w:rPr>
        <w:t xml:space="preserve"> </w:t>
      </w:r>
      <w:r w:rsidRPr="005E6081">
        <w:rPr>
          <w:rFonts w:ascii="Segoe UI"/>
          <w:sz w:val="21"/>
        </w:rPr>
        <w:t>each</w:t>
      </w:r>
      <w:r w:rsidRPr="005E6081">
        <w:rPr>
          <w:rFonts w:ascii="Segoe UI"/>
          <w:spacing w:val="-13"/>
          <w:sz w:val="21"/>
        </w:rPr>
        <w:t xml:space="preserve"> </w:t>
      </w:r>
      <w:r w:rsidRPr="005E6081">
        <w:rPr>
          <w:rFonts w:ascii="Segoe UI"/>
          <w:sz w:val="21"/>
        </w:rPr>
        <w:t>of</w:t>
      </w:r>
      <w:r w:rsidRPr="005E6081">
        <w:rPr>
          <w:rFonts w:ascii="Segoe UI"/>
          <w:spacing w:val="-13"/>
          <w:sz w:val="21"/>
        </w:rPr>
        <w:t xml:space="preserve"> </w:t>
      </w:r>
      <w:r w:rsidRPr="005E6081">
        <w:rPr>
          <w:rFonts w:ascii="Segoe UI"/>
          <w:sz w:val="21"/>
        </w:rPr>
        <w:t>the</w:t>
      </w:r>
      <w:r w:rsidRPr="005E6081">
        <w:rPr>
          <w:rFonts w:ascii="Segoe UI"/>
          <w:spacing w:val="-14"/>
          <w:sz w:val="21"/>
        </w:rPr>
        <w:t xml:space="preserve"> </w:t>
      </w:r>
      <w:r w:rsidRPr="005E6081">
        <w:rPr>
          <w:rFonts w:ascii="Segoe UI"/>
          <w:sz w:val="21"/>
        </w:rPr>
        <w:t>two</w:t>
      </w:r>
      <w:r w:rsidRPr="005E6081">
        <w:rPr>
          <w:rFonts w:ascii="Segoe UI"/>
          <w:spacing w:val="-9"/>
          <w:sz w:val="21"/>
        </w:rPr>
        <w:t xml:space="preserve"> </w:t>
      </w:r>
      <w:r w:rsidRPr="005E6081">
        <w:rPr>
          <w:rFonts w:ascii="Segoe UI"/>
          <w:sz w:val="21"/>
        </w:rPr>
        <w:t>TEs,</w:t>
      </w:r>
      <w:r w:rsidRPr="005E6081">
        <w:rPr>
          <w:rFonts w:ascii="Segoe UI"/>
          <w:spacing w:val="-11"/>
          <w:sz w:val="21"/>
        </w:rPr>
        <w:t xml:space="preserve"> </w:t>
      </w:r>
      <w:r w:rsidRPr="005E6081">
        <w:rPr>
          <w:rFonts w:ascii="Segoe UI"/>
          <w:sz w:val="21"/>
        </w:rPr>
        <w:t>a</w:t>
      </w:r>
      <w:r w:rsidRPr="005E6081">
        <w:rPr>
          <w:rFonts w:ascii="Segoe UI"/>
          <w:spacing w:val="-14"/>
          <w:sz w:val="21"/>
        </w:rPr>
        <w:t xml:space="preserve"> </w:t>
      </w:r>
      <w:r w:rsidRPr="005E6081">
        <w:rPr>
          <w:rFonts w:ascii="Segoe UI"/>
          <w:sz w:val="21"/>
        </w:rPr>
        <w:t>management</w:t>
      </w:r>
      <w:r w:rsidRPr="005E6081">
        <w:rPr>
          <w:rFonts w:ascii="Segoe UI"/>
          <w:spacing w:val="-13"/>
          <w:sz w:val="21"/>
        </w:rPr>
        <w:t xml:space="preserve"> </w:t>
      </w:r>
      <w:r w:rsidRPr="005E6081">
        <w:rPr>
          <w:rFonts w:ascii="Segoe UI"/>
          <w:sz w:val="21"/>
        </w:rPr>
        <w:t>response</w:t>
      </w:r>
      <w:r w:rsidRPr="005E6081">
        <w:rPr>
          <w:rFonts w:ascii="Segoe UI"/>
          <w:spacing w:val="-13"/>
          <w:sz w:val="21"/>
        </w:rPr>
        <w:t xml:space="preserve"> </w:t>
      </w:r>
      <w:r w:rsidRPr="005E6081">
        <w:rPr>
          <w:rFonts w:ascii="Segoe UI"/>
          <w:sz w:val="21"/>
        </w:rPr>
        <w:t>will</w:t>
      </w:r>
      <w:r w:rsidRPr="005E6081">
        <w:rPr>
          <w:rFonts w:ascii="Segoe UI"/>
          <w:spacing w:val="-12"/>
          <w:sz w:val="21"/>
        </w:rPr>
        <w:t xml:space="preserve"> </w:t>
      </w:r>
      <w:r w:rsidRPr="005E6081">
        <w:rPr>
          <w:rFonts w:ascii="Segoe UI"/>
          <w:sz w:val="21"/>
        </w:rPr>
        <w:t>be</w:t>
      </w:r>
      <w:r w:rsidRPr="005E6081">
        <w:rPr>
          <w:rFonts w:ascii="Segoe UI"/>
          <w:spacing w:val="-13"/>
          <w:sz w:val="21"/>
        </w:rPr>
        <w:t xml:space="preserve"> </w:t>
      </w:r>
      <w:r w:rsidRPr="005E6081">
        <w:rPr>
          <w:rFonts w:ascii="Segoe UI"/>
          <w:sz w:val="21"/>
        </w:rPr>
        <w:t>prepared</w:t>
      </w:r>
      <w:r w:rsidRPr="005E6081">
        <w:rPr>
          <w:rFonts w:ascii="Segoe UI"/>
          <w:spacing w:val="-13"/>
          <w:sz w:val="21"/>
        </w:rPr>
        <w:t xml:space="preserve"> </w:t>
      </w:r>
      <w:r w:rsidRPr="005E6081">
        <w:rPr>
          <w:rFonts w:ascii="Segoe UI"/>
          <w:sz w:val="21"/>
        </w:rPr>
        <w:t>by</w:t>
      </w:r>
      <w:r w:rsidRPr="005E6081">
        <w:rPr>
          <w:rFonts w:ascii="Segoe UI"/>
          <w:spacing w:val="-11"/>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commissioning</w:t>
      </w:r>
      <w:r w:rsidRPr="005E6081">
        <w:rPr>
          <w:rFonts w:ascii="Segoe UI"/>
          <w:spacing w:val="-13"/>
          <w:sz w:val="21"/>
        </w:rPr>
        <w:t xml:space="preserve"> </w:t>
      </w:r>
      <w:r w:rsidRPr="005E6081">
        <w:rPr>
          <w:rFonts w:ascii="Segoe UI"/>
          <w:sz w:val="21"/>
        </w:rPr>
        <w:t>unit,</w:t>
      </w:r>
      <w:r w:rsidRPr="005E6081">
        <w:rPr>
          <w:rFonts w:ascii="Segoe UI"/>
          <w:spacing w:val="-13"/>
          <w:sz w:val="21"/>
        </w:rPr>
        <w:t xml:space="preserve"> </w:t>
      </w:r>
      <w:r w:rsidRPr="005E6081">
        <w:rPr>
          <w:rFonts w:ascii="Segoe UI"/>
          <w:sz w:val="21"/>
        </w:rPr>
        <w:t>detailing whether</w:t>
      </w:r>
      <w:r w:rsidRPr="005E6081">
        <w:rPr>
          <w:rFonts w:ascii="Segoe UI"/>
          <w:spacing w:val="-15"/>
          <w:sz w:val="21"/>
        </w:rPr>
        <w:t xml:space="preserve"> </w:t>
      </w:r>
      <w:r w:rsidRPr="005E6081">
        <w:rPr>
          <w:rFonts w:ascii="Segoe UI"/>
          <w:sz w:val="21"/>
        </w:rPr>
        <w:t>the</w:t>
      </w:r>
      <w:r w:rsidRPr="005E6081">
        <w:rPr>
          <w:rFonts w:ascii="Segoe UI"/>
          <w:spacing w:val="-15"/>
          <w:sz w:val="21"/>
        </w:rPr>
        <w:t xml:space="preserve"> </w:t>
      </w:r>
      <w:r w:rsidRPr="005E6081">
        <w:rPr>
          <w:rFonts w:ascii="Segoe UI"/>
          <w:sz w:val="21"/>
        </w:rPr>
        <w:t>Project</w:t>
      </w:r>
      <w:r w:rsidRPr="005E6081">
        <w:rPr>
          <w:rFonts w:ascii="Segoe UI"/>
          <w:spacing w:val="-15"/>
          <w:sz w:val="21"/>
        </w:rPr>
        <w:t xml:space="preserve"> </w:t>
      </w:r>
      <w:r w:rsidRPr="005E6081">
        <w:rPr>
          <w:rFonts w:ascii="Segoe UI"/>
          <w:sz w:val="21"/>
        </w:rPr>
        <w:t>Team</w:t>
      </w:r>
      <w:r w:rsidRPr="005E6081">
        <w:rPr>
          <w:rFonts w:ascii="Segoe UI"/>
          <w:spacing w:val="-14"/>
          <w:sz w:val="21"/>
        </w:rPr>
        <w:t xml:space="preserve"> </w:t>
      </w:r>
      <w:r w:rsidRPr="005E6081">
        <w:rPr>
          <w:rFonts w:ascii="Segoe UI"/>
          <w:sz w:val="21"/>
        </w:rPr>
        <w:t>and</w:t>
      </w:r>
      <w:r w:rsidRPr="005E6081">
        <w:rPr>
          <w:rFonts w:ascii="Segoe UI"/>
          <w:spacing w:val="-15"/>
          <w:sz w:val="21"/>
        </w:rPr>
        <w:t xml:space="preserve"> </w:t>
      </w:r>
      <w:r w:rsidRPr="005E6081">
        <w:rPr>
          <w:rFonts w:ascii="Segoe UI"/>
          <w:sz w:val="21"/>
        </w:rPr>
        <w:t>stakeholders</w:t>
      </w:r>
      <w:r w:rsidRPr="005E6081">
        <w:rPr>
          <w:rFonts w:ascii="Segoe UI"/>
          <w:spacing w:val="-17"/>
          <w:sz w:val="21"/>
        </w:rPr>
        <w:t xml:space="preserve"> </w:t>
      </w:r>
      <w:r w:rsidRPr="005E6081">
        <w:rPr>
          <w:rFonts w:ascii="Segoe UI"/>
          <w:sz w:val="21"/>
        </w:rPr>
        <w:t>fully</w:t>
      </w:r>
      <w:r w:rsidRPr="005E6081">
        <w:rPr>
          <w:rFonts w:ascii="Segoe UI"/>
          <w:spacing w:val="-15"/>
          <w:sz w:val="21"/>
        </w:rPr>
        <w:t xml:space="preserve"> </w:t>
      </w:r>
      <w:r w:rsidRPr="005E6081">
        <w:rPr>
          <w:rFonts w:ascii="Segoe UI"/>
          <w:sz w:val="21"/>
        </w:rPr>
        <w:t>accept,</w:t>
      </w:r>
      <w:r w:rsidRPr="005E6081">
        <w:rPr>
          <w:rFonts w:ascii="Segoe UI"/>
          <w:spacing w:val="-15"/>
          <w:sz w:val="21"/>
        </w:rPr>
        <w:t xml:space="preserve"> </w:t>
      </w:r>
      <w:r w:rsidRPr="005E6081">
        <w:rPr>
          <w:rFonts w:ascii="Segoe UI"/>
          <w:sz w:val="21"/>
        </w:rPr>
        <w:t>partially</w:t>
      </w:r>
      <w:r w:rsidRPr="005E6081">
        <w:rPr>
          <w:rFonts w:ascii="Segoe UI"/>
          <w:spacing w:val="-15"/>
          <w:sz w:val="21"/>
        </w:rPr>
        <w:t xml:space="preserve"> </w:t>
      </w:r>
      <w:r w:rsidRPr="005E6081">
        <w:rPr>
          <w:rFonts w:ascii="Segoe UI"/>
          <w:sz w:val="21"/>
        </w:rPr>
        <w:t>accept</w:t>
      </w:r>
      <w:r w:rsidRPr="005E6081">
        <w:rPr>
          <w:rFonts w:ascii="Segoe UI"/>
          <w:spacing w:val="-17"/>
          <w:sz w:val="21"/>
        </w:rPr>
        <w:t xml:space="preserve"> </w:t>
      </w:r>
      <w:r w:rsidRPr="005E6081">
        <w:rPr>
          <w:rFonts w:ascii="Segoe UI"/>
          <w:sz w:val="21"/>
        </w:rPr>
        <w:t>or</w:t>
      </w:r>
      <w:r w:rsidRPr="005E6081">
        <w:rPr>
          <w:rFonts w:ascii="Segoe UI"/>
          <w:spacing w:val="-17"/>
          <w:sz w:val="21"/>
        </w:rPr>
        <w:t xml:space="preserve"> </w:t>
      </w:r>
      <w:r w:rsidRPr="005E6081">
        <w:rPr>
          <w:rFonts w:ascii="Segoe UI"/>
          <w:sz w:val="21"/>
        </w:rPr>
        <w:t>reject</w:t>
      </w:r>
      <w:r w:rsidRPr="005E6081">
        <w:rPr>
          <w:rFonts w:ascii="Segoe UI"/>
          <w:spacing w:val="-15"/>
          <w:sz w:val="21"/>
        </w:rPr>
        <w:t xml:space="preserve"> </w:t>
      </w:r>
      <w:r w:rsidRPr="005E6081">
        <w:rPr>
          <w:rFonts w:ascii="Segoe UI"/>
          <w:sz w:val="21"/>
        </w:rPr>
        <w:t>the</w:t>
      </w:r>
      <w:r w:rsidRPr="005E6081">
        <w:rPr>
          <w:rFonts w:ascii="Segoe UI"/>
          <w:spacing w:val="-16"/>
          <w:sz w:val="21"/>
        </w:rPr>
        <w:t xml:space="preserve"> </w:t>
      </w:r>
      <w:r w:rsidRPr="005E6081">
        <w:rPr>
          <w:rFonts w:ascii="Segoe UI"/>
          <w:sz w:val="21"/>
        </w:rPr>
        <w:t>recommendations (including justification for the acceptance/rejection). For all recommendations which are fully or partially accepted, key follow-up actions will be developed and</w:t>
      </w:r>
      <w:r w:rsidRPr="005E6081">
        <w:rPr>
          <w:rFonts w:ascii="Segoe UI"/>
          <w:spacing w:val="-13"/>
          <w:sz w:val="21"/>
        </w:rPr>
        <w:t xml:space="preserve"> </w:t>
      </w:r>
      <w:r w:rsidRPr="005E6081">
        <w:rPr>
          <w:rFonts w:ascii="Segoe UI"/>
          <w:sz w:val="21"/>
        </w:rPr>
        <w:t>monitored.</w:t>
      </w:r>
    </w:p>
    <w:p w14:paraId="3F680CAD" w14:textId="77777777" w:rsidR="00E136A1" w:rsidRPr="005E6081" w:rsidRDefault="00E136A1" w:rsidP="00E136A1">
      <w:r w:rsidRPr="005E6081">
        <w:t>TE APPROACH &amp;</w:t>
      </w:r>
      <w:r w:rsidRPr="005E6081">
        <w:rPr>
          <w:spacing w:val="-1"/>
        </w:rPr>
        <w:t xml:space="preserve"> </w:t>
      </w:r>
      <w:r w:rsidRPr="005E6081">
        <w:t>METHODOLOGY</w:t>
      </w:r>
    </w:p>
    <w:p w14:paraId="15BB2589" w14:textId="77777777" w:rsidR="00E136A1" w:rsidRPr="005E6081" w:rsidRDefault="00E136A1" w:rsidP="00E136A1">
      <w:pPr>
        <w:spacing w:before="228"/>
        <w:ind w:left="500"/>
        <w:jc w:val="both"/>
        <w:rPr>
          <w:rFonts w:ascii="Segoe UI"/>
          <w:sz w:val="21"/>
        </w:rPr>
      </w:pPr>
      <w:r w:rsidRPr="005E6081">
        <w:rPr>
          <w:rFonts w:ascii="Segoe UI"/>
          <w:sz w:val="21"/>
        </w:rPr>
        <w:t>The TE reports must provide evidence-based information that is credible, reliable and useful.</w:t>
      </w:r>
    </w:p>
    <w:p w14:paraId="479BC6B2" w14:textId="77777777" w:rsidR="00E136A1" w:rsidRPr="005E6081" w:rsidRDefault="00E136A1" w:rsidP="00E136A1">
      <w:pPr>
        <w:pStyle w:val="BodyText"/>
        <w:spacing w:before="1"/>
        <w:rPr>
          <w:rFonts w:ascii="Segoe UI"/>
          <w:sz w:val="21"/>
        </w:rPr>
      </w:pPr>
    </w:p>
    <w:p w14:paraId="3E2270E8" w14:textId="77777777" w:rsidR="00E136A1" w:rsidRPr="005E6081" w:rsidRDefault="00E136A1" w:rsidP="00E136A1">
      <w:pPr>
        <w:ind w:left="500" w:right="1433"/>
        <w:jc w:val="both"/>
        <w:rPr>
          <w:rFonts w:ascii="Segoe UI"/>
          <w:sz w:val="21"/>
        </w:rPr>
      </w:pPr>
      <w:r w:rsidRPr="005E6081">
        <w:rPr>
          <w:rFonts w:ascii="Segoe UI"/>
          <w:sz w:val="21"/>
        </w:rPr>
        <w:t>For each of the two projects, the TE team will review all relevant sources of information including documents prepared during the preparation phase (i.e. PIF, UNDP Initiation Plan, UNDP Social and Environmental Screening Procedure/SESP) the Project Document, project reports including annual PIRs,</w:t>
      </w:r>
      <w:r w:rsidRPr="005E6081">
        <w:rPr>
          <w:rFonts w:ascii="Segoe UI"/>
          <w:spacing w:val="-7"/>
          <w:sz w:val="21"/>
        </w:rPr>
        <w:t xml:space="preserve"> </w:t>
      </w:r>
      <w:r w:rsidRPr="005E6081">
        <w:rPr>
          <w:rFonts w:ascii="Segoe UI"/>
          <w:sz w:val="21"/>
        </w:rPr>
        <w:t>project</w:t>
      </w:r>
      <w:r w:rsidRPr="005E6081">
        <w:rPr>
          <w:rFonts w:ascii="Segoe UI"/>
          <w:spacing w:val="-7"/>
          <w:sz w:val="21"/>
        </w:rPr>
        <w:t xml:space="preserve"> </w:t>
      </w:r>
      <w:r w:rsidRPr="005E6081">
        <w:rPr>
          <w:rFonts w:ascii="Segoe UI"/>
          <w:sz w:val="21"/>
        </w:rPr>
        <w:t>budget</w:t>
      </w:r>
      <w:r w:rsidRPr="005E6081">
        <w:rPr>
          <w:rFonts w:ascii="Segoe UI"/>
          <w:spacing w:val="-8"/>
          <w:sz w:val="21"/>
        </w:rPr>
        <w:t xml:space="preserve"> </w:t>
      </w:r>
      <w:r w:rsidRPr="005E6081">
        <w:rPr>
          <w:rFonts w:ascii="Segoe UI"/>
          <w:sz w:val="21"/>
        </w:rPr>
        <w:t>revisions,</w:t>
      </w:r>
      <w:r w:rsidRPr="005E6081">
        <w:rPr>
          <w:rFonts w:ascii="Segoe UI"/>
          <w:spacing w:val="-8"/>
          <w:sz w:val="21"/>
        </w:rPr>
        <w:t xml:space="preserve"> </w:t>
      </w:r>
      <w:r w:rsidRPr="005E6081">
        <w:rPr>
          <w:rFonts w:ascii="Segoe UI"/>
          <w:sz w:val="21"/>
        </w:rPr>
        <w:t>lesson</w:t>
      </w:r>
      <w:r w:rsidRPr="005E6081">
        <w:rPr>
          <w:rFonts w:ascii="Segoe UI"/>
          <w:spacing w:val="-6"/>
          <w:sz w:val="21"/>
        </w:rPr>
        <w:t xml:space="preserve"> </w:t>
      </w:r>
      <w:r w:rsidRPr="005E6081">
        <w:rPr>
          <w:rFonts w:ascii="Segoe UI"/>
          <w:sz w:val="21"/>
        </w:rPr>
        <w:t>learned</w:t>
      </w:r>
      <w:r w:rsidRPr="005E6081">
        <w:rPr>
          <w:rFonts w:ascii="Segoe UI"/>
          <w:spacing w:val="-9"/>
          <w:sz w:val="21"/>
        </w:rPr>
        <w:t xml:space="preserve"> </w:t>
      </w:r>
      <w:r w:rsidRPr="005E6081">
        <w:rPr>
          <w:rFonts w:ascii="Segoe UI"/>
          <w:sz w:val="21"/>
        </w:rPr>
        <w:t>reports,</w:t>
      </w:r>
      <w:r w:rsidRPr="005E6081">
        <w:rPr>
          <w:rFonts w:ascii="Segoe UI"/>
          <w:spacing w:val="-6"/>
          <w:sz w:val="21"/>
        </w:rPr>
        <w:t xml:space="preserve"> </w:t>
      </w:r>
      <w:r w:rsidRPr="005E6081">
        <w:rPr>
          <w:rFonts w:ascii="Segoe UI"/>
          <w:sz w:val="21"/>
        </w:rPr>
        <w:t>national</w:t>
      </w:r>
      <w:r w:rsidRPr="005E6081">
        <w:rPr>
          <w:rFonts w:ascii="Segoe UI"/>
          <w:spacing w:val="-7"/>
          <w:sz w:val="21"/>
        </w:rPr>
        <w:t xml:space="preserve"> </w:t>
      </w:r>
      <w:r w:rsidRPr="005E6081">
        <w:rPr>
          <w:rFonts w:ascii="Segoe UI"/>
          <w:sz w:val="21"/>
        </w:rPr>
        <w:t>strategic</w:t>
      </w:r>
      <w:r w:rsidRPr="005E6081">
        <w:rPr>
          <w:rFonts w:ascii="Segoe UI"/>
          <w:spacing w:val="-6"/>
          <w:sz w:val="21"/>
        </w:rPr>
        <w:t xml:space="preserve"> </w:t>
      </w:r>
      <w:r w:rsidRPr="005E6081">
        <w:rPr>
          <w:rFonts w:ascii="Segoe UI"/>
          <w:sz w:val="21"/>
        </w:rPr>
        <w:t>and</w:t>
      </w:r>
      <w:r w:rsidRPr="005E6081">
        <w:rPr>
          <w:rFonts w:ascii="Segoe UI"/>
          <w:spacing w:val="-7"/>
          <w:sz w:val="21"/>
        </w:rPr>
        <w:t xml:space="preserve"> </w:t>
      </w:r>
      <w:r w:rsidRPr="005E6081">
        <w:rPr>
          <w:rFonts w:ascii="Segoe UI"/>
          <w:sz w:val="21"/>
        </w:rPr>
        <w:t>legal</w:t>
      </w:r>
      <w:r w:rsidRPr="005E6081">
        <w:rPr>
          <w:rFonts w:ascii="Segoe UI"/>
          <w:spacing w:val="-8"/>
          <w:sz w:val="21"/>
        </w:rPr>
        <w:t xml:space="preserve"> </w:t>
      </w:r>
      <w:r w:rsidRPr="005E6081">
        <w:rPr>
          <w:rFonts w:ascii="Segoe UI"/>
          <w:sz w:val="21"/>
        </w:rPr>
        <w:t>documents,</w:t>
      </w:r>
      <w:r w:rsidRPr="005E6081">
        <w:rPr>
          <w:rFonts w:ascii="Segoe UI"/>
          <w:spacing w:val="-7"/>
          <w:sz w:val="21"/>
        </w:rPr>
        <w:t xml:space="preserve"> </w:t>
      </w:r>
      <w:r w:rsidRPr="005E6081">
        <w:rPr>
          <w:rFonts w:ascii="Segoe UI"/>
          <w:sz w:val="21"/>
        </w:rPr>
        <w:t>and</w:t>
      </w:r>
      <w:r w:rsidRPr="005E6081">
        <w:rPr>
          <w:rFonts w:ascii="Segoe UI"/>
          <w:spacing w:val="-7"/>
          <w:sz w:val="21"/>
        </w:rPr>
        <w:t xml:space="preserve"> </w:t>
      </w:r>
      <w:r w:rsidRPr="005E6081">
        <w:rPr>
          <w:rFonts w:ascii="Segoe UI"/>
          <w:sz w:val="21"/>
        </w:rPr>
        <w:t>any other</w:t>
      </w:r>
      <w:r w:rsidRPr="005E6081">
        <w:rPr>
          <w:rFonts w:ascii="Segoe UI"/>
          <w:spacing w:val="-6"/>
          <w:sz w:val="21"/>
        </w:rPr>
        <w:t xml:space="preserve"> </w:t>
      </w:r>
      <w:r w:rsidRPr="005E6081">
        <w:rPr>
          <w:rFonts w:ascii="Segoe UI"/>
          <w:sz w:val="21"/>
        </w:rPr>
        <w:t>materials</w:t>
      </w:r>
      <w:r w:rsidRPr="005E6081">
        <w:rPr>
          <w:rFonts w:ascii="Segoe UI"/>
          <w:spacing w:val="-7"/>
          <w:sz w:val="21"/>
        </w:rPr>
        <w:t xml:space="preserve"> </w:t>
      </w:r>
      <w:r w:rsidRPr="005E6081">
        <w:rPr>
          <w:rFonts w:ascii="Segoe UI"/>
          <w:sz w:val="21"/>
        </w:rPr>
        <w:t>that</w:t>
      </w:r>
      <w:r w:rsidRPr="005E6081">
        <w:rPr>
          <w:rFonts w:ascii="Segoe UI"/>
          <w:spacing w:val="-5"/>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team</w:t>
      </w:r>
      <w:r w:rsidRPr="005E6081">
        <w:rPr>
          <w:rFonts w:ascii="Segoe UI"/>
          <w:spacing w:val="-5"/>
          <w:sz w:val="21"/>
        </w:rPr>
        <w:t xml:space="preserve"> </w:t>
      </w:r>
      <w:r w:rsidRPr="005E6081">
        <w:rPr>
          <w:rFonts w:ascii="Segoe UI"/>
          <w:sz w:val="21"/>
        </w:rPr>
        <w:t>considers</w:t>
      </w:r>
      <w:r w:rsidRPr="005E6081">
        <w:rPr>
          <w:rFonts w:ascii="Segoe UI"/>
          <w:spacing w:val="-7"/>
          <w:sz w:val="21"/>
        </w:rPr>
        <w:t xml:space="preserve"> </w:t>
      </w:r>
      <w:r w:rsidRPr="005E6081">
        <w:rPr>
          <w:rFonts w:ascii="Segoe UI"/>
          <w:sz w:val="21"/>
        </w:rPr>
        <w:t>useful</w:t>
      </w:r>
      <w:r w:rsidRPr="005E6081">
        <w:rPr>
          <w:rFonts w:ascii="Segoe UI"/>
          <w:spacing w:val="-7"/>
          <w:sz w:val="21"/>
        </w:rPr>
        <w:t xml:space="preserve"> </w:t>
      </w:r>
      <w:r w:rsidRPr="005E6081">
        <w:rPr>
          <w:rFonts w:ascii="Segoe UI"/>
          <w:sz w:val="21"/>
        </w:rPr>
        <w:t>for</w:t>
      </w:r>
      <w:r w:rsidRPr="005E6081">
        <w:rPr>
          <w:rFonts w:ascii="Segoe UI"/>
          <w:spacing w:val="-5"/>
          <w:sz w:val="21"/>
        </w:rPr>
        <w:t xml:space="preserve"> </w:t>
      </w:r>
      <w:r w:rsidRPr="005E6081">
        <w:rPr>
          <w:rFonts w:ascii="Segoe UI"/>
          <w:sz w:val="21"/>
        </w:rPr>
        <w:t>this</w:t>
      </w:r>
      <w:r w:rsidRPr="005E6081">
        <w:rPr>
          <w:rFonts w:ascii="Segoe UI"/>
          <w:spacing w:val="-5"/>
          <w:sz w:val="21"/>
        </w:rPr>
        <w:t xml:space="preserve"> </w:t>
      </w:r>
      <w:r w:rsidRPr="005E6081">
        <w:rPr>
          <w:rFonts w:ascii="Segoe UI"/>
          <w:sz w:val="21"/>
        </w:rPr>
        <w:t>evidence-based</w:t>
      </w:r>
      <w:r w:rsidRPr="005E6081">
        <w:rPr>
          <w:rFonts w:ascii="Segoe UI"/>
          <w:spacing w:val="-6"/>
          <w:sz w:val="21"/>
        </w:rPr>
        <w:t xml:space="preserve"> </w:t>
      </w:r>
      <w:r w:rsidRPr="005E6081">
        <w:rPr>
          <w:rFonts w:ascii="Segoe UI"/>
          <w:sz w:val="21"/>
        </w:rPr>
        <w:t>evaluations.</w:t>
      </w:r>
      <w:r w:rsidRPr="005E6081">
        <w:rPr>
          <w:rFonts w:ascii="Segoe UI"/>
          <w:spacing w:val="-6"/>
          <w:sz w:val="21"/>
        </w:rPr>
        <w:t xml:space="preserve"> </w:t>
      </w:r>
      <w:r w:rsidRPr="005E6081">
        <w:rPr>
          <w:rFonts w:ascii="Segoe UI"/>
          <w:sz w:val="21"/>
        </w:rPr>
        <w:t>For</w:t>
      </w:r>
      <w:r w:rsidRPr="005E6081">
        <w:rPr>
          <w:rFonts w:ascii="Segoe UI"/>
          <w:spacing w:val="-5"/>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Production project,</w:t>
      </w:r>
      <w:r w:rsidRPr="005E6081">
        <w:rPr>
          <w:rFonts w:ascii="Segoe UI"/>
          <w:spacing w:val="-1"/>
          <w:sz w:val="21"/>
        </w:rPr>
        <w:t xml:space="preserve"> </w:t>
      </w:r>
      <w:r w:rsidRPr="005E6081">
        <w:rPr>
          <w:rFonts w:ascii="Segoe UI"/>
          <w:sz w:val="21"/>
        </w:rPr>
        <w:t>the</w:t>
      </w:r>
      <w:r w:rsidRPr="005E6081">
        <w:rPr>
          <w:rFonts w:ascii="Segoe UI"/>
          <w:spacing w:val="-3"/>
          <w:sz w:val="21"/>
        </w:rPr>
        <w:t xml:space="preserve"> </w:t>
      </w:r>
      <w:r w:rsidRPr="005E6081">
        <w:rPr>
          <w:rFonts w:ascii="Segoe UI"/>
          <w:sz w:val="21"/>
        </w:rPr>
        <w:t>TE</w:t>
      </w:r>
      <w:r w:rsidRPr="005E6081">
        <w:rPr>
          <w:rFonts w:ascii="Segoe UI"/>
          <w:spacing w:val="-3"/>
          <w:sz w:val="21"/>
        </w:rPr>
        <w:t xml:space="preserve"> </w:t>
      </w:r>
      <w:r w:rsidRPr="005E6081">
        <w:rPr>
          <w:rFonts w:ascii="Segoe UI"/>
          <w:sz w:val="21"/>
        </w:rPr>
        <w:t>team</w:t>
      </w:r>
      <w:r w:rsidRPr="005E6081">
        <w:rPr>
          <w:rFonts w:ascii="Segoe UI"/>
          <w:spacing w:val="-2"/>
          <w:sz w:val="21"/>
        </w:rPr>
        <w:t xml:space="preserve"> </w:t>
      </w:r>
      <w:r w:rsidRPr="005E6081">
        <w:rPr>
          <w:rFonts w:ascii="Segoe UI"/>
          <w:sz w:val="21"/>
        </w:rPr>
        <w:t>will</w:t>
      </w:r>
      <w:r w:rsidRPr="005E6081">
        <w:rPr>
          <w:rFonts w:ascii="Segoe UI"/>
          <w:spacing w:val="-5"/>
          <w:sz w:val="21"/>
        </w:rPr>
        <w:t xml:space="preserve"> </w:t>
      </w:r>
      <w:r w:rsidRPr="005E6081">
        <w:rPr>
          <w:rFonts w:ascii="Segoe UI"/>
          <w:sz w:val="21"/>
        </w:rPr>
        <w:t>review</w:t>
      </w:r>
      <w:r w:rsidRPr="005E6081">
        <w:rPr>
          <w:rFonts w:ascii="Segoe UI"/>
          <w:spacing w:val="-3"/>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baseline</w:t>
      </w:r>
      <w:r w:rsidRPr="005E6081">
        <w:rPr>
          <w:rFonts w:ascii="Segoe UI"/>
          <w:spacing w:val="-4"/>
          <w:sz w:val="21"/>
        </w:rPr>
        <w:t xml:space="preserve"> </w:t>
      </w:r>
      <w:r w:rsidRPr="005E6081">
        <w:rPr>
          <w:rFonts w:ascii="Segoe UI"/>
          <w:sz w:val="21"/>
        </w:rPr>
        <w:t>and</w:t>
      </w:r>
      <w:r w:rsidRPr="005E6081">
        <w:rPr>
          <w:rFonts w:ascii="Segoe UI"/>
          <w:spacing w:val="-2"/>
          <w:sz w:val="21"/>
        </w:rPr>
        <w:t xml:space="preserve"> </w:t>
      </w:r>
      <w:r w:rsidRPr="005E6081">
        <w:rPr>
          <w:rFonts w:ascii="Segoe UI"/>
          <w:sz w:val="21"/>
        </w:rPr>
        <w:t>midterm GEF</w:t>
      </w:r>
      <w:r w:rsidRPr="005E6081">
        <w:rPr>
          <w:rFonts w:ascii="Segoe UI"/>
          <w:spacing w:val="-4"/>
          <w:sz w:val="21"/>
        </w:rPr>
        <w:t xml:space="preserve"> </w:t>
      </w:r>
      <w:r w:rsidRPr="005E6081">
        <w:rPr>
          <w:rFonts w:ascii="Segoe UI"/>
          <w:sz w:val="21"/>
        </w:rPr>
        <w:t>focal</w:t>
      </w:r>
      <w:r w:rsidRPr="005E6081">
        <w:rPr>
          <w:rFonts w:ascii="Segoe UI"/>
          <w:spacing w:val="-1"/>
          <w:sz w:val="21"/>
        </w:rPr>
        <w:t xml:space="preserve"> </w:t>
      </w:r>
      <w:r w:rsidRPr="005E6081">
        <w:rPr>
          <w:rFonts w:ascii="Segoe UI"/>
          <w:sz w:val="21"/>
        </w:rPr>
        <w:t>area</w:t>
      </w:r>
      <w:r w:rsidRPr="005E6081">
        <w:rPr>
          <w:rFonts w:ascii="Segoe UI"/>
          <w:spacing w:val="-3"/>
          <w:sz w:val="21"/>
        </w:rPr>
        <w:t xml:space="preserve"> </w:t>
      </w:r>
      <w:r w:rsidRPr="005E6081">
        <w:rPr>
          <w:rFonts w:ascii="Segoe UI"/>
          <w:sz w:val="21"/>
        </w:rPr>
        <w:t>Core</w:t>
      </w:r>
      <w:r w:rsidRPr="005E6081">
        <w:rPr>
          <w:rFonts w:ascii="Segoe UI"/>
          <w:spacing w:val="-1"/>
          <w:sz w:val="21"/>
        </w:rPr>
        <w:t xml:space="preserve"> </w:t>
      </w:r>
      <w:r w:rsidRPr="005E6081">
        <w:rPr>
          <w:rFonts w:ascii="Segoe UI"/>
          <w:sz w:val="21"/>
        </w:rPr>
        <w:t>Indicators</w:t>
      </w:r>
      <w:r w:rsidRPr="005E6081">
        <w:rPr>
          <w:rFonts w:ascii="Segoe UI"/>
          <w:spacing w:val="-4"/>
          <w:sz w:val="21"/>
        </w:rPr>
        <w:t xml:space="preserve"> </w:t>
      </w:r>
      <w:r w:rsidRPr="005E6081">
        <w:rPr>
          <w:rFonts w:ascii="Segoe UI"/>
          <w:sz w:val="21"/>
        </w:rPr>
        <w:t>submitted</w:t>
      </w:r>
      <w:r w:rsidRPr="005E6081">
        <w:rPr>
          <w:rFonts w:ascii="Segoe UI"/>
          <w:spacing w:val="-3"/>
          <w:sz w:val="21"/>
        </w:rPr>
        <w:t xml:space="preserve"> </w:t>
      </w:r>
      <w:r w:rsidRPr="005E6081">
        <w:rPr>
          <w:rFonts w:ascii="Segoe UI"/>
          <w:sz w:val="21"/>
        </w:rPr>
        <w:t>to the GEF at the CEO endorsement and midterm stages and the terminal Core Indicators that must be completed before the TE field mission begins.</w:t>
      </w:r>
    </w:p>
    <w:p w14:paraId="4A5250BE" w14:textId="77777777" w:rsidR="00E136A1" w:rsidRPr="005E6081" w:rsidRDefault="00E136A1" w:rsidP="00E136A1">
      <w:pPr>
        <w:pStyle w:val="BodyText"/>
        <w:spacing w:before="13"/>
        <w:rPr>
          <w:rFonts w:ascii="Segoe UI"/>
        </w:rPr>
      </w:pPr>
    </w:p>
    <w:p w14:paraId="52F06868" w14:textId="77777777" w:rsidR="00E136A1" w:rsidRPr="005E6081" w:rsidRDefault="00E136A1" w:rsidP="00E136A1">
      <w:pPr>
        <w:spacing w:before="79"/>
        <w:ind w:left="500" w:right="1433"/>
        <w:jc w:val="both"/>
        <w:rPr>
          <w:rFonts w:ascii="Segoe UI" w:hAnsi="Segoe UI"/>
          <w:sz w:val="21"/>
        </w:rPr>
      </w:pPr>
      <w:r w:rsidRPr="005E6081">
        <w:rPr>
          <w:rFonts w:ascii="Segoe UI"/>
          <w:sz w:val="21"/>
        </w:rPr>
        <w:t xml:space="preserve">For each of the two projects, the TE team is expected to follow a participatory and consultative approach ensuring close engagement with the Project Team, government counterparts (including the </w:t>
      </w:r>
      <w:r w:rsidRPr="005E6081">
        <w:rPr>
          <w:rFonts w:ascii="Segoe UI" w:hAnsi="Segoe UI"/>
          <w:sz w:val="21"/>
        </w:rPr>
        <w:t>GEF Operational Focal Point in the Production countries), Implementing Partners and Responsible Parties,</w:t>
      </w:r>
      <w:r w:rsidRPr="005E6081">
        <w:rPr>
          <w:rFonts w:ascii="Segoe UI" w:hAnsi="Segoe UI"/>
          <w:spacing w:val="-11"/>
          <w:sz w:val="21"/>
        </w:rPr>
        <w:t xml:space="preserve"> </w:t>
      </w:r>
      <w:r w:rsidRPr="005E6081">
        <w:rPr>
          <w:rFonts w:ascii="Segoe UI" w:hAnsi="Segoe UI"/>
          <w:sz w:val="21"/>
        </w:rPr>
        <w:t>the</w:t>
      </w:r>
      <w:r w:rsidRPr="005E6081">
        <w:rPr>
          <w:rFonts w:ascii="Segoe UI" w:hAnsi="Segoe UI"/>
          <w:spacing w:val="-11"/>
          <w:sz w:val="21"/>
        </w:rPr>
        <w:t xml:space="preserve"> </w:t>
      </w:r>
      <w:r w:rsidRPr="005E6081">
        <w:rPr>
          <w:rFonts w:ascii="Segoe UI" w:hAnsi="Segoe UI"/>
          <w:sz w:val="21"/>
        </w:rPr>
        <w:t>UNDP</w:t>
      </w:r>
      <w:r w:rsidRPr="005E6081">
        <w:rPr>
          <w:rFonts w:ascii="Segoe UI" w:hAnsi="Segoe UI"/>
          <w:spacing w:val="-13"/>
          <w:sz w:val="21"/>
        </w:rPr>
        <w:t xml:space="preserve"> </w:t>
      </w:r>
      <w:r w:rsidRPr="005E6081">
        <w:rPr>
          <w:rFonts w:ascii="Segoe UI" w:hAnsi="Segoe UI"/>
          <w:sz w:val="21"/>
        </w:rPr>
        <w:t>Country</w:t>
      </w:r>
      <w:r w:rsidRPr="005E6081">
        <w:rPr>
          <w:rFonts w:ascii="Segoe UI" w:hAnsi="Segoe UI"/>
          <w:spacing w:val="-13"/>
          <w:sz w:val="21"/>
        </w:rPr>
        <w:t xml:space="preserve"> </w:t>
      </w:r>
      <w:r w:rsidRPr="005E6081">
        <w:rPr>
          <w:rFonts w:ascii="Segoe UI" w:hAnsi="Segoe UI"/>
          <w:sz w:val="21"/>
        </w:rPr>
        <w:t>Offices,</w:t>
      </w:r>
      <w:r w:rsidRPr="005E6081">
        <w:rPr>
          <w:rFonts w:ascii="Segoe UI" w:hAnsi="Segoe UI"/>
          <w:spacing w:val="-10"/>
          <w:sz w:val="21"/>
        </w:rPr>
        <w:t xml:space="preserve"> </w:t>
      </w:r>
      <w:r w:rsidRPr="005E6081">
        <w:rPr>
          <w:rFonts w:ascii="Segoe UI" w:hAnsi="Segoe UI"/>
          <w:sz w:val="21"/>
        </w:rPr>
        <w:t>the</w:t>
      </w:r>
      <w:r w:rsidRPr="005E6081">
        <w:rPr>
          <w:rFonts w:ascii="Segoe UI" w:hAnsi="Segoe UI"/>
          <w:spacing w:val="-10"/>
          <w:sz w:val="21"/>
        </w:rPr>
        <w:t xml:space="preserve"> </w:t>
      </w:r>
      <w:r w:rsidRPr="005E6081">
        <w:rPr>
          <w:rFonts w:ascii="Segoe UI" w:hAnsi="Segoe UI"/>
          <w:sz w:val="21"/>
        </w:rPr>
        <w:t>UNDP-GEF</w:t>
      </w:r>
      <w:r w:rsidRPr="005E6081">
        <w:rPr>
          <w:rFonts w:ascii="Segoe UI" w:hAnsi="Segoe UI"/>
          <w:spacing w:val="-12"/>
          <w:sz w:val="21"/>
        </w:rPr>
        <w:t xml:space="preserve"> </w:t>
      </w:r>
      <w:r w:rsidRPr="005E6081">
        <w:rPr>
          <w:rFonts w:ascii="Segoe UI" w:hAnsi="Segoe UI"/>
          <w:sz w:val="21"/>
        </w:rPr>
        <w:t>Regional</w:t>
      </w:r>
      <w:r w:rsidRPr="005E6081">
        <w:rPr>
          <w:rFonts w:ascii="Segoe UI" w:hAnsi="Segoe UI"/>
          <w:spacing w:val="-11"/>
          <w:sz w:val="21"/>
        </w:rPr>
        <w:t xml:space="preserve"> </w:t>
      </w:r>
      <w:r w:rsidRPr="005E6081">
        <w:rPr>
          <w:rFonts w:ascii="Segoe UI" w:hAnsi="Segoe UI"/>
          <w:sz w:val="21"/>
        </w:rPr>
        <w:t>Technical</w:t>
      </w:r>
      <w:r w:rsidRPr="005E6081">
        <w:rPr>
          <w:rFonts w:ascii="Segoe UI" w:hAnsi="Segoe UI"/>
          <w:spacing w:val="-13"/>
          <w:sz w:val="21"/>
        </w:rPr>
        <w:t xml:space="preserve"> </w:t>
      </w:r>
      <w:r w:rsidRPr="005E6081">
        <w:rPr>
          <w:rFonts w:ascii="Segoe UI" w:hAnsi="Segoe UI"/>
          <w:sz w:val="21"/>
        </w:rPr>
        <w:t>Advisors,</w:t>
      </w:r>
      <w:r w:rsidRPr="005E6081">
        <w:rPr>
          <w:rFonts w:ascii="Segoe UI" w:hAnsi="Segoe UI"/>
          <w:spacing w:val="-14"/>
          <w:sz w:val="21"/>
        </w:rPr>
        <w:t xml:space="preserve"> </w:t>
      </w:r>
      <w:r w:rsidRPr="005E6081">
        <w:rPr>
          <w:rFonts w:ascii="Segoe UI" w:hAnsi="Segoe UI"/>
          <w:sz w:val="21"/>
        </w:rPr>
        <w:t>direct</w:t>
      </w:r>
      <w:r w:rsidRPr="005E6081">
        <w:rPr>
          <w:rFonts w:ascii="Segoe UI" w:hAnsi="Segoe UI"/>
          <w:spacing w:val="-10"/>
          <w:sz w:val="21"/>
        </w:rPr>
        <w:t xml:space="preserve"> </w:t>
      </w:r>
      <w:r w:rsidRPr="005E6081">
        <w:rPr>
          <w:rFonts w:ascii="Segoe UI" w:hAnsi="Segoe UI"/>
          <w:sz w:val="21"/>
        </w:rPr>
        <w:t>beneficiaries,</w:t>
      </w:r>
      <w:r w:rsidRPr="005E6081">
        <w:rPr>
          <w:rFonts w:ascii="Segoe UI" w:hAnsi="Segoe UI"/>
          <w:spacing w:val="-11"/>
          <w:sz w:val="21"/>
        </w:rPr>
        <w:t xml:space="preserve"> </w:t>
      </w:r>
      <w:r w:rsidRPr="005E6081">
        <w:rPr>
          <w:rFonts w:ascii="Segoe UI" w:hAnsi="Segoe UI"/>
          <w:sz w:val="21"/>
        </w:rPr>
        <w:t>the GEF Secretariat’s Focal Point for GGP and other key</w:t>
      </w:r>
      <w:r w:rsidRPr="005E6081">
        <w:rPr>
          <w:rFonts w:ascii="Segoe UI" w:hAnsi="Segoe UI"/>
          <w:spacing w:val="-4"/>
          <w:sz w:val="21"/>
        </w:rPr>
        <w:t xml:space="preserve"> </w:t>
      </w:r>
      <w:r w:rsidRPr="005E6081">
        <w:rPr>
          <w:rFonts w:ascii="Segoe UI" w:hAnsi="Segoe UI"/>
          <w:sz w:val="21"/>
        </w:rPr>
        <w:t>stakeholders.</w:t>
      </w:r>
    </w:p>
    <w:p w14:paraId="6BE24062" w14:textId="77777777" w:rsidR="00E136A1" w:rsidRPr="005E6081" w:rsidRDefault="00E136A1" w:rsidP="00E136A1">
      <w:pPr>
        <w:pStyle w:val="BodyText"/>
        <w:spacing w:before="1"/>
        <w:rPr>
          <w:rFonts w:ascii="Segoe UI"/>
          <w:sz w:val="21"/>
        </w:rPr>
      </w:pPr>
    </w:p>
    <w:p w14:paraId="61CCF14D" w14:textId="77777777" w:rsidR="00E136A1" w:rsidRPr="005E6081" w:rsidRDefault="00E136A1" w:rsidP="00E136A1">
      <w:pPr>
        <w:ind w:left="500" w:right="1433"/>
        <w:jc w:val="both"/>
        <w:rPr>
          <w:rFonts w:ascii="Segoe UI"/>
          <w:sz w:val="21"/>
        </w:rPr>
      </w:pPr>
      <w:r w:rsidRPr="005E6081">
        <w:rPr>
          <w:rFonts w:ascii="Segoe UI"/>
          <w:sz w:val="21"/>
        </w:rPr>
        <w:t>Engagement of stakeholders is vital to successful TEs. Stakeholder involvement should include interviews with stakeholders who have project responsibilities, including but not limited to the following.</w:t>
      </w:r>
    </w:p>
    <w:p w14:paraId="0E520100" w14:textId="77777777" w:rsidR="00E136A1" w:rsidRPr="005E6081" w:rsidRDefault="00E136A1" w:rsidP="00E136A1">
      <w:pPr>
        <w:ind w:left="500" w:right="1433"/>
        <w:jc w:val="both"/>
        <w:rPr>
          <w:rFonts w:ascii="Segoe UI"/>
          <w:sz w:val="21"/>
        </w:rPr>
      </w:pPr>
      <w:r w:rsidRPr="005E6081">
        <w:rPr>
          <w:rFonts w:ascii="Segoe UI"/>
          <w:sz w:val="21"/>
        </w:rPr>
        <w:t>For</w:t>
      </w:r>
      <w:r w:rsidRPr="005E6081">
        <w:rPr>
          <w:rFonts w:ascii="Segoe UI"/>
          <w:spacing w:val="-8"/>
          <w:sz w:val="21"/>
        </w:rPr>
        <w:t xml:space="preserve"> </w:t>
      </w:r>
      <w:r w:rsidRPr="005E6081">
        <w:rPr>
          <w:rFonts w:ascii="Segoe UI"/>
          <w:sz w:val="21"/>
        </w:rPr>
        <w:t>the</w:t>
      </w:r>
      <w:r w:rsidRPr="005E6081">
        <w:rPr>
          <w:rFonts w:ascii="Segoe UI"/>
          <w:spacing w:val="-9"/>
          <w:sz w:val="21"/>
        </w:rPr>
        <w:t xml:space="preserve"> </w:t>
      </w:r>
      <w:r w:rsidRPr="005E6081">
        <w:rPr>
          <w:rFonts w:ascii="Segoe UI"/>
          <w:sz w:val="21"/>
        </w:rPr>
        <w:t>Production</w:t>
      </w:r>
      <w:r w:rsidRPr="005E6081">
        <w:rPr>
          <w:rFonts w:ascii="Segoe UI"/>
          <w:spacing w:val="-8"/>
          <w:sz w:val="21"/>
        </w:rPr>
        <w:t xml:space="preserve"> </w:t>
      </w:r>
      <w:r w:rsidRPr="005E6081">
        <w:rPr>
          <w:rFonts w:ascii="Segoe UI"/>
          <w:sz w:val="21"/>
        </w:rPr>
        <w:t>project:</w:t>
      </w:r>
      <w:r w:rsidRPr="005E6081">
        <w:rPr>
          <w:rFonts w:ascii="Segoe UI"/>
          <w:spacing w:val="-8"/>
          <w:sz w:val="21"/>
        </w:rPr>
        <w:t xml:space="preserve"> </w:t>
      </w:r>
      <w:r w:rsidRPr="005E6081">
        <w:rPr>
          <w:rFonts w:ascii="Segoe UI"/>
          <w:sz w:val="21"/>
        </w:rPr>
        <w:t>representatives</w:t>
      </w:r>
      <w:r w:rsidRPr="005E6081">
        <w:rPr>
          <w:rFonts w:ascii="Segoe UI"/>
          <w:spacing w:val="-12"/>
          <w:sz w:val="21"/>
        </w:rPr>
        <w:t xml:space="preserve"> </w:t>
      </w:r>
      <w:r w:rsidRPr="005E6081">
        <w:rPr>
          <w:rFonts w:ascii="Segoe UI"/>
          <w:sz w:val="21"/>
        </w:rPr>
        <w:t>of</w:t>
      </w:r>
      <w:r w:rsidRPr="005E6081">
        <w:rPr>
          <w:rFonts w:ascii="Segoe UI"/>
          <w:spacing w:val="-8"/>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global</w:t>
      </w:r>
      <w:r w:rsidRPr="005E6081">
        <w:rPr>
          <w:rFonts w:ascii="Segoe UI"/>
          <w:spacing w:val="-9"/>
          <w:sz w:val="21"/>
        </w:rPr>
        <w:t xml:space="preserve"> </w:t>
      </w:r>
      <w:r w:rsidRPr="005E6081">
        <w:rPr>
          <w:rFonts w:ascii="Segoe UI"/>
          <w:sz w:val="21"/>
        </w:rPr>
        <w:t>project</w:t>
      </w:r>
      <w:r w:rsidRPr="005E6081">
        <w:rPr>
          <w:rFonts w:ascii="Segoe UI"/>
          <w:spacing w:val="-8"/>
          <w:sz w:val="21"/>
        </w:rPr>
        <w:t xml:space="preserve"> </w:t>
      </w:r>
      <w:r w:rsidRPr="005E6081">
        <w:rPr>
          <w:rFonts w:ascii="Segoe UI"/>
          <w:sz w:val="21"/>
        </w:rPr>
        <w:t>team</w:t>
      </w:r>
      <w:r w:rsidRPr="005E6081">
        <w:rPr>
          <w:rFonts w:ascii="Segoe UI"/>
          <w:spacing w:val="-10"/>
          <w:sz w:val="21"/>
        </w:rPr>
        <w:t xml:space="preserve"> </w:t>
      </w:r>
      <w:r w:rsidRPr="005E6081">
        <w:rPr>
          <w:rFonts w:ascii="Segoe UI"/>
          <w:sz w:val="21"/>
        </w:rPr>
        <w:t>at</w:t>
      </w:r>
      <w:r w:rsidRPr="005E6081">
        <w:rPr>
          <w:rFonts w:ascii="Segoe UI"/>
          <w:spacing w:val="-7"/>
          <w:sz w:val="21"/>
        </w:rPr>
        <w:t xml:space="preserve"> </w:t>
      </w:r>
      <w:r w:rsidRPr="005E6081">
        <w:rPr>
          <w:rFonts w:ascii="Segoe UI"/>
          <w:sz w:val="21"/>
        </w:rPr>
        <w:t>the</w:t>
      </w:r>
      <w:r w:rsidRPr="005E6081">
        <w:rPr>
          <w:rFonts w:ascii="Segoe UI"/>
          <w:spacing w:val="-8"/>
          <w:sz w:val="21"/>
        </w:rPr>
        <w:t xml:space="preserve"> </w:t>
      </w:r>
      <w:r w:rsidRPr="005E6081">
        <w:rPr>
          <w:rFonts w:ascii="Segoe UI"/>
          <w:sz w:val="21"/>
        </w:rPr>
        <w:t>Regional</w:t>
      </w:r>
      <w:r w:rsidRPr="005E6081">
        <w:rPr>
          <w:rFonts w:ascii="Segoe UI"/>
          <w:spacing w:val="-11"/>
          <w:sz w:val="21"/>
        </w:rPr>
        <w:t xml:space="preserve"> </w:t>
      </w:r>
      <w:r w:rsidRPr="005E6081">
        <w:rPr>
          <w:rFonts w:ascii="Segoe UI"/>
          <w:sz w:val="21"/>
        </w:rPr>
        <w:t>Hub</w:t>
      </w:r>
      <w:r w:rsidRPr="005E6081">
        <w:rPr>
          <w:rFonts w:ascii="Segoe UI"/>
          <w:spacing w:val="-8"/>
          <w:sz w:val="21"/>
        </w:rPr>
        <w:t xml:space="preserve"> </w:t>
      </w:r>
      <w:r w:rsidRPr="005E6081">
        <w:rPr>
          <w:rFonts w:ascii="Segoe UI"/>
          <w:sz w:val="21"/>
        </w:rPr>
        <w:t>for</w:t>
      </w:r>
      <w:r w:rsidRPr="005E6081">
        <w:rPr>
          <w:rFonts w:ascii="Segoe UI"/>
          <w:spacing w:val="-8"/>
          <w:sz w:val="21"/>
        </w:rPr>
        <w:t xml:space="preserve"> </w:t>
      </w:r>
      <w:r w:rsidRPr="005E6081">
        <w:rPr>
          <w:rFonts w:ascii="Segoe UI"/>
          <w:sz w:val="21"/>
        </w:rPr>
        <w:t>LAC,</w:t>
      </w:r>
      <w:r w:rsidRPr="005E6081">
        <w:rPr>
          <w:rFonts w:ascii="Segoe UI"/>
          <w:spacing w:val="-9"/>
          <w:sz w:val="21"/>
        </w:rPr>
        <w:t xml:space="preserve"> </w:t>
      </w:r>
      <w:r w:rsidRPr="005E6081">
        <w:rPr>
          <w:rFonts w:ascii="Segoe UI"/>
          <w:sz w:val="21"/>
        </w:rPr>
        <w:t>the UNDP Country Offices in Liberia, Indonesia and Paraguay and the GGP project teams in each of these countries, CI HQ, CI Liberia, CI Indonesia, WWF Indonesia, senior officials and task team/component leaders, key experts and consultants in the relevant subject areas, Project Board, project beneficiaries, academia, local government and</w:t>
      </w:r>
      <w:r w:rsidRPr="005E6081">
        <w:rPr>
          <w:rFonts w:ascii="Segoe UI"/>
          <w:spacing w:val="-2"/>
          <w:sz w:val="21"/>
        </w:rPr>
        <w:t xml:space="preserve"> </w:t>
      </w:r>
      <w:r w:rsidRPr="005E6081">
        <w:rPr>
          <w:rFonts w:ascii="Segoe UI"/>
          <w:sz w:val="21"/>
        </w:rPr>
        <w:t>CSOs.</w:t>
      </w:r>
    </w:p>
    <w:p w14:paraId="7AFD114C" w14:textId="77777777" w:rsidR="00E136A1" w:rsidRPr="005E6081" w:rsidRDefault="00E136A1" w:rsidP="00E136A1">
      <w:pPr>
        <w:ind w:left="500" w:right="1433"/>
        <w:jc w:val="both"/>
        <w:rPr>
          <w:rFonts w:ascii="Segoe UI"/>
          <w:sz w:val="21"/>
        </w:rPr>
      </w:pPr>
      <w:r w:rsidRPr="005E6081">
        <w:rPr>
          <w:rFonts w:ascii="Segoe UI"/>
          <w:sz w:val="21"/>
        </w:rPr>
        <w:t>For</w:t>
      </w:r>
      <w:r w:rsidRPr="005E6081">
        <w:rPr>
          <w:rFonts w:ascii="Segoe UI"/>
          <w:spacing w:val="-3"/>
          <w:sz w:val="21"/>
        </w:rPr>
        <w:t xml:space="preserve"> </w:t>
      </w:r>
      <w:r w:rsidRPr="005E6081">
        <w:rPr>
          <w:rFonts w:ascii="Segoe UI"/>
          <w:sz w:val="21"/>
        </w:rPr>
        <w:t>the</w:t>
      </w:r>
      <w:r w:rsidRPr="005E6081">
        <w:rPr>
          <w:rFonts w:ascii="Segoe UI"/>
          <w:spacing w:val="-6"/>
          <w:sz w:val="21"/>
        </w:rPr>
        <w:t xml:space="preserve"> </w:t>
      </w:r>
      <w:r w:rsidRPr="005E6081">
        <w:rPr>
          <w:rFonts w:ascii="Segoe UI"/>
          <w:sz w:val="21"/>
        </w:rPr>
        <w:t>A&amp;L</w:t>
      </w:r>
      <w:r w:rsidRPr="005E6081">
        <w:rPr>
          <w:rFonts w:ascii="Segoe UI"/>
          <w:spacing w:val="-5"/>
          <w:sz w:val="21"/>
        </w:rPr>
        <w:t xml:space="preserve"> </w:t>
      </w:r>
      <w:r w:rsidRPr="005E6081">
        <w:rPr>
          <w:rFonts w:ascii="Segoe UI"/>
          <w:sz w:val="21"/>
        </w:rPr>
        <w:t>project:</w:t>
      </w:r>
      <w:r w:rsidRPr="005E6081">
        <w:rPr>
          <w:rFonts w:ascii="Segoe UI"/>
          <w:spacing w:val="-3"/>
          <w:sz w:val="21"/>
        </w:rPr>
        <w:t xml:space="preserve"> </w:t>
      </w:r>
      <w:r w:rsidRPr="005E6081">
        <w:rPr>
          <w:rFonts w:ascii="Segoe UI"/>
          <w:sz w:val="21"/>
        </w:rPr>
        <w:t>representatives</w:t>
      </w:r>
      <w:r w:rsidRPr="005E6081">
        <w:rPr>
          <w:rFonts w:ascii="Segoe UI"/>
          <w:spacing w:val="-7"/>
          <w:sz w:val="21"/>
        </w:rPr>
        <w:t xml:space="preserve"> </w:t>
      </w:r>
      <w:r w:rsidRPr="005E6081">
        <w:rPr>
          <w:rFonts w:ascii="Segoe UI"/>
          <w:sz w:val="21"/>
        </w:rPr>
        <w:t>of</w:t>
      </w:r>
      <w:r w:rsidRPr="005E6081">
        <w:rPr>
          <w:rFonts w:ascii="Segoe UI"/>
          <w:spacing w:val="-5"/>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global</w:t>
      </w:r>
      <w:r w:rsidRPr="005E6081">
        <w:rPr>
          <w:rFonts w:ascii="Segoe UI"/>
          <w:spacing w:val="-5"/>
          <w:sz w:val="21"/>
        </w:rPr>
        <w:t xml:space="preserve"> </w:t>
      </w:r>
      <w:r w:rsidRPr="005E6081">
        <w:rPr>
          <w:rFonts w:ascii="Segoe UI"/>
          <w:sz w:val="21"/>
        </w:rPr>
        <w:t>project</w:t>
      </w:r>
      <w:r w:rsidRPr="005E6081">
        <w:rPr>
          <w:rFonts w:ascii="Segoe UI"/>
          <w:spacing w:val="-3"/>
          <w:sz w:val="21"/>
        </w:rPr>
        <w:t xml:space="preserve"> </w:t>
      </w:r>
      <w:r w:rsidRPr="005E6081">
        <w:rPr>
          <w:rFonts w:ascii="Segoe UI"/>
          <w:sz w:val="21"/>
        </w:rPr>
        <w:t>team</w:t>
      </w:r>
      <w:r w:rsidRPr="005E6081">
        <w:rPr>
          <w:rFonts w:ascii="Segoe UI"/>
          <w:spacing w:val="-3"/>
          <w:sz w:val="21"/>
        </w:rPr>
        <w:t xml:space="preserve"> </w:t>
      </w:r>
      <w:r w:rsidRPr="005E6081">
        <w:rPr>
          <w:rFonts w:ascii="Segoe UI"/>
          <w:sz w:val="21"/>
        </w:rPr>
        <w:t>at</w:t>
      </w:r>
      <w:r w:rsidRPr="005E6081">
        <w:rPr>
          <w:rFonts w:ascii="Segoe UI"/>
          <w:spacing w:val="-3"/>
          <w:sz w:val="21"/>
        </w:rPr>
        <w:t xml:space="preserve"> </w:t>
      </w:r>
      <w:r w:rsidRPr="005E6081">
        <w:rPr>
          <w:rFonts w:ascii="Segoe UI"/>
          <w:sz w:val="21"/>
        </w:rPr>
        <w:t>the</w:t>
      </w:r>
      <w:r w:rsidRPr="005E6081">
        <w:rPr>
          <w:rFonts w:ascii="Segoe UI"/>
          <w:spacing w:val="-5"/>
          <w:sz w:val="21"/>
        </w:rPr>
        <w:t xml:space="preserve"> </w:t>
      </w:r>
      <w:r w:rsidRPr="005E6081">
        <w:rPr>
          <w:rFonts w:ascii="Segoe UI"/>
          <w:sz w:val="21"/>
        </w:rPr>
        <w:t>Regional</w:t>
      </w:r>
      <w:r w:rsidRPr="005E6081">
        <w:rPr>
          <w:rFonts w:ascii="Segoe UI"/>
          <w:spacing w:val="-7"/>
          <w:sz w:val="21"/>
        </w:rPr>
        <w:t xml:space="preserve"> </w:t>
      </w:r>
      <w:r w:rsidRPr="005E6081">
        <w:rPr>
          <w:rFonts w:ascii="Segoe UI"/>
          <w:sz w:val="21"/>
        </w:rPr>
        <w:t>Hub</w:t>
      </w:r>
      <w:r w:rsidRPr="005E6081">
        <w:rPr>
          <w:rFonts w:ascii="Segoe UI"/>
          <w:spacing w:val="-5"/>
          <w:sz w:val="21"/>
        </w:rPr>
        <w:t xml:space="preserve"> </w:t>
      </w:r>
      <w:r w:rsidRPr="005E6081">
        <w:rPr>
          <w:rFonts w:ascii="Segoe UI"/>
          <w:sz w:val="21"/>
        </w:rPr>
        <w:t>for</w:t>
      </w:r>
      <w:r w:rsidRPr="005E6081">
        <w:rPr>
          <w:rFonts w:ascii="Segoe UI"/>
          <w:spacing w:val="-4"/>
          <w:sz w:val="21"/>
        </w:rPr>
        <w:t xml:space="preserve"> </w:t>
      </w:r>
      <w:r w:rsidRPr="005E6081">
        <w:rPr>
          <w:rFonts w:ascii="Segoe UI"/>
          <w:sz w:val="21"/>
        </w:rPr>
        <w:t>LAC, WWF</w:t>
      </w:r>
      <w:r w:rsidRPr="005E6081">
        <w:rPr>
          <w:rFonts w:ascii="Segoe UI"/>
          <w:spacing w:val="-4"/>
          <w:sz w:val="21"/>
        </w:rPr>
        <w:t xml:space="preserve"> </w:t>
      </w:r>
      <w:r w:rsidRPr="005E6081">
        <w:rPr>
          <w:rFonts w:ascii="Segoe UI"/>
          <w:sz w:val="21"/>
        </w:rPr>
        <w:t>US, CI HQ, CI Brazil, UNEP FI, IFC, the ISEAL Alliance, members of the Green Commodities Community (GCC), senior officials and task team/component leaders, key experts and consultants in the relevant subject areas, Project Board, and, if relevant, project beneficiaries, academia, local government and CSOs.</w:t>
      </w:r>
    </w:p>
    <w:p w14:paraId="598D8891" w14:textId="77777777" w:rsidR="00E136A1" w:rsidRPr="005E6081" w:rsidRDefault="00E136A1" w:rsidP="00E136A1">
      <w:pPr>
        <w:pStyle w:val="BodyText"/>
        <w:rPr>
          <w:rFonts w:ascii="Segoe UI"/>
          <w:sz w:val="21"/>
        </w:rPr>
      </w:pPr>
    </w:p>
    <w:p w14:paraId="25BD1B89" w14:textId="77777777" w:rsidR="00E136A1" w:rsidRPr="005E6081" w:rsidRDefault="00E136A1" w:rsidP="00E136A1">
      <w:pPr>
        <w:ind w:left="500" w:right="1434"/>
        <w:jc w:val="both"/>
        <w:rPr>
          <w:rFonts w:ascii="Segoe UI"/>
          <w:sz w:val="21"/>
        </w:rPr>
      </w:pPr>
      <w:r w:rsidRPr="005E6081">
        <w:rPr>
          <w:rFonts w:ascii="Segoe UI"/>
          <w:sz w:val="21"/>
        </w:rPr>
        <w:t>Additionally, for the Production project, the TE team is expected to conduct field missions to the following project sites: in Indonesia, the districts of South Tapanuli (North Sumatra), Pelalawan (Riau) and Sintang (West Kalimantan); in Liberia, the MANCO/North-West Liberian landscape; and in Paraguay, relevant project sites in the Chaco region.</w:t>
      </w:r>
    </w:p>
    <w:p w14:paraId="62D63015" w14:textId="77777777" w:rsidR="00E136A1" w:rsidRPr="005E6081" w:rsidRDefault="00E136A1" w:rsidP="00E136A1">
      <w:pPr>
        <w:pStyle w:val="BodyText"/>
        <w:rPr>
          <w:rFonts w:ascii="Segoe UI"/>
          <w:sz w:val="21"/>
        </w:rPr>
      </w:pPr>
    </w:p>
    <w:p w14:paraId="4DFF8340" w14:textId="77777777" w:rsidR="00E136A1" w:rsidRPr="005E6081" w:rsidRDefault="00E136A1" w:rsidP="00E136A1">
      <w:pPr>
        <w:ind w:left="500" w:right="1434"/>
        <w:jc w:val="both"/>
        <w:rPr>
          <w:rFonts w:ascii="Segoe UI"/>
          <w:sz w:val="21"/>
        </w:rPr>
      </w:pPr>
      <w:r w:rsidRPr="005E6081">
        <w:rPr>
          <w:rFonts w:ascii="Segoe UI"/>
          <w:sz w:val="21"/>
        </w:rPr>
        <w:t>No field mission is required for the A&amp;L project. However, it would be extremely beneficial for the Team Leader (or another relevant member of the team) to attend virtually the Good Growth Conference</w:t>
      </w:r>
      <w:r w:rsidRPr="005E6081">
        <w:rPr>
          <w:rFonts w:ascii="Segoe UI"/>
          <w:spacing w:val="-10"/>
          <w:sz w:val="21"/>
        </w:rPr>
        <w:t xml:space="preserve"> </w:t>
      </w:r>
      <w:r w:rsidRPr="005E6081">
        <w:rPr>
          <w:rFonts w:ascii="Segoe UI"/>
          <w:sz w:val="21"/>
        </w:rPr>
        <w:t>scheduled</w:t>
      </w:r>
      <w:r w:rsidRPr="005E6081">
        <w:rPr>
          <w:rFonts w:ascii="Segoe UI"/>
          <w:spacing w:val="-11"/>
          <w:sz w:val="21"/>
        </w:rPr>
        <w:t xml:space="preserve"> </w:t>
      </w:r>
      <w:r w:rsidRPr="005E6081">
        <w:rPr>
          <w:rFonts w:ascii="Segoe UI"/>
          <w:sz w:val="21"/>
        </w:rPr>
        <w:t>for</w:t>
      </w:r>
      <w:r w:rsidRPr="005E6081">
        <w:rPr>
          <w:rFonts w:ascii="Segoe UI"/>
          <w:spacing w:val="-12"/>
          <w:sz w:val="21"/>
        </w:rPr>
        <w:t xml:space="preserve"> </w:t>
      </w:r>
      <w:r w:rsidRPr="005E6081">
        <w:rPr>
          <w:rFonts w:ascii="Segoe UI"/>
          <w:sz w:val="21"/>
        </w:rPr>
        <w:t>May</w:t>
      </w:r>
      <w:r w:rsidRPr="005E6081">
        <w:rPr>
          <w:rFonts w:ascii="Segoe UI"/>
          <w:spacing w:val="-8"/>
          <w:sz w:val="21"/>
        </w:rPr>
        <w:t xml:space="preserve"> </w:t>
      </w:r>
      <w:r w:rsidRPr="005E6081">
        <w:rPr>
          <w:rFonts w:ascii="Segoe UI"/>
          <w:sz w:val="21"/>
        </w:rPr>
        <w:t>24</w:t>
      </w:r>
      <w:r w:rsidRPr="005E6081">
        <w:rPr>
          <w:rFonts w:ascii="Segoe UI"/>
          <w:position w:val="8"/>
          <w:sz w:val="14"/>
        </w:rPr>
        <w:t>th</w:t>
      </w:r>
      <w:r w:rsidRPr="005E6081">
        <w:rPr>
          <w:rFonts w:ascii="Segoe UI"/>
          <w:spacing w:val="11"/>
          <w:position w:val="8"/>
          <w:sz w:val="14"/>
        </w:rPr>
        <w:t xml:space="preserve"> </w:t>
      </w:r>
      <w:r w:rsidRPr="005E6081">
        <w:rPr>
          <w:rFonts w:ascii="Segoe UI"/>
          <w:sz w:val="21"/>
        </w:rPr>
        <w:t>-</w:t>
      </w:r>
      <w:r w:rsidRPr="005E6081">
        <w:rPr>
          <w:rFonts w:ascii="Segoe UI"/>
          <w:spacing w:val="-12"/>
          <w:sz w:val="21"/>
        </w:rPr>
        <w:t xml:space="preserve"> </w:t>
      </w:r>
      <w:r w:rsidRPr="005E6081">
        <w:rPr>
          <w:rFonts w:ascii="Segoe UI"/>
          <w:sz w:val="21"/>
        </w:rPr>
        <w:t>28</w:t>
      </w:r>
      <w:r w:rsidRPr="005E6081">
        <w:rPr>
          <w:rFonts w:ascii="Segoe UI"/>
          <w:position w:val="8"/>
          <w:sz w:val="14"/>
        </w:rPr>
        <w:t>th</w:t>
      </w:r>
      <w:r w:rsidRPr="005E6081">
        <w:rPr>
          <w:rFonts w:ascii="Segoe UI"/>
          <w:spacing w:val="11"/>
          <w:position w:val="8"/>
          <w:sz w:val="14"/>
        </w:rPr>
        <w:t xml:space="preserve"> </w:t>
      </w:r>
      <w:r w:rsidRPr="005E6081">
        <w:rPr>
          <w:rFonts w:ascii="Segoe UI"/>
          <w:sz w:val="21"/>
        </w:rPr>
        <w:t>2021,</w:t>
      </w:r>
      <w:r w:rsidRPr="005E6081">
        <w:rPr>
          <w:rFonts w:ascii="Segoe UI"/>
          <w:spacing w:val="-9"/>
          <w:sz w:val="21"/>
        </w:rPr>
        <w:t xml:space="preserve"> </w:t>
      </w:r>
      <w:r w:rsidRPr="005E6081">
        <w:rPr>
          <w:rFonts w:ascii="Segoe UI"/>
          <w:sz w:val="21"/>
        </w:rPr>
        <w:t>if</w:t>
      </w:r>
      <w:r w:rsidRPr="005E6081">
        <w:rPr>
          <w:rFonts w:ascii="Segoe UI"/>
          <w:spacing w:val="-10"/>
          <w:sz w:val="21"/>
        </w:rPr>
        <w:t xml:space="preserve"> </w:t>
      </w:r>
      <w:r w:rsidRPr="005E6081">
        <w:rPr>
          <w:rFonts w:ascii="Segoe UI"/>
          <w:sz w:val="21"/>
        </w:rPr>
        <w:t>possible.</w:t>
      </w:r>
      <w:r w:rsidRPr="005E6081">
        <w:rPr>
          <w:rFonts w:ascii="Segoe UI"/>
          <w:spacing w:val="-10"/>
          <w:sz w:val="21"/>
        </w:rPr>
        <w:t xml:space="preserve"> </w:t>
      </w:r>
      <w:r w:rsidRPr="005E6081">
        <w:rPr>
          <w:rFonts w:ascii="Segoe UI"/>
          <w:sz w:val="21"/>
        </w:rPr>
        <w:t>That</w:t>
      </w:r>
      <w:r w:rsidRPr="005E6081">
        <w:rPr>
          <w:rFonts w:ascii="Segoe UI"/>
          <w:spacing w:val="-10"/>
          <w:sz w:val="21"/>
        </w:rPr>
        <w:t xml:space="preserve"> </w:t>
      </w:r>
      <w:r w:rsidRPr="005E6081">
        <w:rPr>
          <w:rFonts w:ascii="Segoe UI"/>
          <w:sz w:val="21"/>
        </w:rPr>
        <w:t>will</w:t>
      </w:r>
      <w:r w:rsidRPr="005E6081">
        <w:rPr>
          <w:rFonts w:ascii="Segoe UI"/>
          <w:spacing w:val="-12"/>
          <w:sz w:val="21"/>
        </w:rPr>
        <w:t xml:space="preserve"> </w:t>
      </w:r>
      <w:r w:rsidRPr="005E6081">
        <w:rPr>
          <w:rFonts w:ascii="Segoe UI"/>
          <w:sz w:val="21"/>
        </w:rPr>
        <w:t>allow</w:t>
      </w:r>
      <w:r w:rsidRPr="005E6081">
        <w:rPr>
          <w:rFonts w:ascii="Segoe UI"/>
          <w:spacing w:val="-8"/>
          <w:sz w:val="21"/>
        </w:rPr>
        <w:t xml:space="preserve"> </w:t>
      </w:r>
      <w:r w:rsidRPr="005E6081">
        <w:rPr>
          <w:rFonts w:ascii="Segoe UI"/>
          <w:sz w:val="21"/>
        </w:rPr>
        <w:t>the</w:t>
      </w:r>
      <w:r w:rsidRPr="005E6081">
        <w:rPr>
          <w:rFonts w:ascii="Segoe UI"/>
          <w:spacing w:val="-10"/>
          <w:sz w:val="21"/>
        </w:rPr>
        <w:t xml:space="preserve"> </w:t>
      </w:r>
      <w:r w:rsidRPr="005E6081">
        <w:rPr>
          <w:rFonts w:ascii="Segoe UI"/>
          <w:sz w:val="21"/>
        </w:rPr>
        <w:t>team</w:t>
      </w:r>
      <w:r w:rsidRPr="005E6081">
        <w:rPr>
          <w:rFonts w:ascii="Segoe UI"/>
          <w:spacing w:val="-10"/>
          <w:sz w:val="21"/>
        </w:rPr>
        <w:t xml:space="preserve"> </w:t>
      </w:r>
      <w:r w:rsidRPr="005E6081">
        <w:rPr>
          <w:rFonts w:ascii="Segoe UI"/>
          <w:sz w:val="21"/>
        </w:rPr>
        <w:t>member</w:t>
      </w:r>
      <w:r w:rsidRPr="005E6081">
        <w:rPr>
          <w:rFonts w:ascii="Segoe UI"/>
          <w:spacing w:val="-10"/>
          <w:sz w:val="21"/>
        </w:rPr>
        <w:t xml:space="preserve"> </w:t>
      </w:r>
      <w:r w:rsidRPr="005E6081">
        <w:rPr>
          <w:rFonts w:ascii="Segoe UI"/>
          <w:sz w:val="21"/>
        </w:rPr>
        <w:t>to</w:t>
      </w:r>
      <w:r w:rsidRPr="005E6081">
        <w:rPr>
          <w:rFonts w:ascii="Segoe UI"/>
          <w:spacing w:val="-10"/>
          <w:sz w:val="21"/>
        </w:rPr>
        <w:t xml:space="preserve"> </w:t>
      </w:r>
      <w:r w:rsidRPr="005E6081">
        <w:rPr>
          <w:rFonts w:ascii="Segoe UI"/>
          <w:sz w:val="21"/>
        </w:rPr>
        <w:t>get</w:t>
      </w:r>
      <w:r w:rsidRPr="005E6081">
        <w:rPr>
          <w:rFonts w:ascii="Segoe UI"/>
          <w:spacing w:val="-10"/>
          <w:sz w:val="21"/>
        </w:rPr>
        <w:t xml:space="preserve"> </w:t>
      </w:r>
      <w:r w:rsidRPr="005E6081">
        <w:rPr>
          <w:rFonts w:ascii="Segoe UI"/>
          <w:sz w:val="21"/>
        </w:rPr>
        <w:t>well acquainted up-front with the concepts, approaches and concrete work involved in these projects,</w:t>
      </w:r>
      <w:r w:rsidRPr="005E6081">
        <w:rPr>
          <w:rFonts w:ascii="Segoe UI"/>
          <w:spacing w:val="-41"/>
          <w:sz w:val="21"/>
        </w:rPr>
        <w:t xml:space="preserve"> </w:t>
      </w:r>
      <w:r w:rsidRPr="005E6081">
        <w:rPr>
          <w:rFonts w:ascii="Segoe UI"/>
          <w:sz w:val="21"/>
        </w:rPr>
        <w:t>and already allow for contacts with many of the relevant</w:t>
      </w:r>
      <w:r w:rsidRPr="005E6081">
        <w:rPr>
          <w:rFonts w:ascii="Segoe UI"/>
          <w:spacing w:val="-11"/>
          <w:sz w:val="21"/>
        </w:rPr>
        <w:t xml:space="preserve"> </w:t>
      </w:r>
      <w:r w:rsidRPr="005E6081">
        <w:rPr>
          <w:rFonts w:ascii="Segoe UI"/>
          <w:sz w:val="21"/>
        </w:rPr>
        <w:t>stakeholders.</w:t>
      </w:r>
    </w:p>
    <w:p w14:paraId="5E5AFE1F" w14:textId="77777777" w:rsidR="00E136A1" w:rsidRPr="005E6081" w:rsidRDefault="00E136A1" w:rsidP="00E136A1">
      <w:pPr>
        <w:pStyle w:val="BodyText"/>
        <w:spacing w:before="9"/>
        <w:rPr>
          <w:rFonts w:ascii="Segoe UI"/>
        </w:rPr>
      </w:pPr>
    </w:p>
    <w:p w14:paraId="63D3DD3A" w14:textId="77777777" w:rsidR="00E136A1" w:rsidRPr="005E6081" w:rsidRDefault="00E136A1" w:rsidP="00E136A1">
      <w:pPr>
        <w:ind w:left="500" w:right="1437"/>
        <w:jc w:val="both"/>
        <w:rPr>
          <w:rFonts w:ascii="Segoe UI"/>
          <w:sz w:val="21"/>
        </w:rPr>
      </w:pPr>
      <w:r w:rsidRPr="005E6081">
        <w:rPr>
          <w:rFonts w:ascii="Segoe UI"/>
          <w:sz w:val="21"/>
        </w:rPr>
        <w:t>The</w:t>
      </w:r>
      <w:r w:rsidRPr="005E6081">
        <w:rPr>
          <w:rFonts w:ascii="Segoe UI"/>
          <w:spacing w:val="-4"/>
          <w:sz w:val="21"/>
        </w:rPr>
        <w:t xml:space="preserve"> </w:t>
      </w:r>
      <w:r w:rsidRPr="005E6081">
        <w:rPr>
          <w:rFonts w:ascii="Segoe UI"/>
          <w:sz w:val="21"/>
        </w:rPr>
        <w:t>TE</w:t>
      </w:r>
      <w:r w:rsidRPr="005E6081">
        <w:rPr>
          <w:rFonts w:ascii="Segoe UI"/>
          <w:spacing w:val="-5"/>
          <w:sz w:val="21"/>
        </w:rPr>
        <w:t xml:space="preserve"> </w:t>
      </w:r>
      <w:r w:rsidRPr="005E6081">
        <w:rPr>
          <w:rFonts w:ascii="Segoe UI"/>
          <w:sz w:val="21"/>
        </w:rPr>
        <w:t>team</w:t>
      </w:r>
      <w:r w:rsidRPr="005E6081">
        <w:rPr>
          <w:rFonts w:ascii="Segoe UI"/>
          <w:spacing w:val="-5"/>
          <w:sz w:val="21"/>
        </w:rPr>
        <w:t xml:space="preserve"> </w:t>
      </w:r>
      <w:r w:rsidRPr="005E6081">
        <w:rPr>
          <w:rFonts w:ascii="Segoe UI"/>
          <w:sz w:val="21"/>
        </w:rPr>
        <w:t>should</w:t>
      </w:r>
      <w:r w:rsidRPr="005E6081">
        <w:rPr>
          <w:rFonts w:ascii="Segoe UI"/>
          <w:spacing w:val="-6"/>
          <w:sz w:val="21"/>
        </w:rPr>
        <w:t xml:space="preserve"> </w:t>
      </w:r>
      <w:r w:rsidRPr="005E6081">
        <w:rPr>
          <w:rFonts w:ascii="Segoe UI"/>
          <w:sz w:val="21"/>
        </w:rPr>
        <w:t>spend</w:t>
      </w:r>
      <w:r w:rsidRPr="005E6081">
        <w:rPr>
          <w:rFonts w:ascii="Segoe UI"/>
          <w:spacing w:val="-6"/>
          <w:sz w:val="21"/>
        </w:rPr>
        <w:t xml:space="preserve"> </w:t>
      </w:r>
      <w:r w:rsidRPr="005E6081">
        <w:rPr>
          <w:rFonts w:ascii="Segoe UI"/>
          <w:sz w:val="21"/>
        </w:rPr>
        <w:t>enough</w:t>
      </w:r>
      <w:r w:rsidRPr="005E6081">
        <w:rPr>
          <w:rFonts w:ascii="Segoe UI"/>
          <w:spacing w:val="-4"/>
          <w:sz w:val="21"/>
        </w:rPr>
        <w:t xml:space="preserve"> </w:t>
      </w:r>
      <w:r w:rsidRPr="005E6081">
        <w:rPr>
          <w:rFonts w:ascii="Segoe UI"/>
          <w:sz w:val="21"/>
        </w:rPr>
        <w:t>time</w:t>
      </w:r>
      <w:r w:rsidRPr="005E6081">
        <w:rPr>
          <w:rFonts w:ascii="Segoe UI"/>
          <w:spacing w:val="-4"/>
          <w:sz w:val="21"/>
        </w:rPr>
        <w:t xml:space="preserve"> </w:t>
      </w:r>
      <w:r w:rsidRPr="005E6081">
        <w:rPr>
          <w:rFonts w:ascii="Segoe UI"/>
          <w:sz w:val="21"/>
        </w:rPr>
        <w:t>to</w:t>
      </w:r>
      <w:r w:rsidRPr="005E6081">
        <w:rPr>
          <w:rFonts w:ascii="Segoe UI"/>
          <w:spacing w:val="-5"/>
          <w:sz w:val="21"/>
        </w:rPr>
        <w:t xml:space="preserve"> </w:t>
      </w:r>
      <w:r w:rsidRPr="005E6081">
        <w:rPr>
          <w:rFonts w:ascii="Segoe UI"/>
          <w:sz w:val="21"/>
        </w:rPr>
        <w:t>get</w:t>
      </w:r>
      <w:r w:rsidRPr="005E6081">
        <w:rPr>
          <w:rFonts w:ascii="Segoe UI"/>
          <w:spacing w:val="-6"/>
          <w:sz w:val="21"/>
        </w:rPr>
        <w:t xml:space="preserve"> </w:t>
      </w:r>
      <w:r w:rsidRPr="005E6081">
        <w:rPr>
          <w:rFonts w:ascii="Segoe UI"/>
          <w:sz w:val="21"/>
        </w:rPr>
        <w:t>acquainted</w:t>
      </w:r>
      <w:r w:rsidRPr="005E6081">
        <w:rPr>
          <w:rFonts w:ascii="Segoe UI"/>
          <w:spacing w:val="-8"/>
          <w:sz w:val="21"/>
        </w:rPr>
        <w:t xml:space="preserve"> </w:t>
      </w:r>
      <w:r w:rsidRPr="005E6081">
        <w:rPr>
          <w:rFonts w:ascii="Segoe UI"/>
          <w:sz w:val="21"/>
        </w:rPr>
        <w:t>with</w:t>
      </w:r>
      <w:r w:rsidRPr="005E6081">
        <w:rPr>
          <w:rFonts w:ascii="Segoe UI"/>
          <w:spacing w:val="-4"/>
          <w:sz w:val="21"/>
        </w:rPr>
        <w:t xml:space="preserve"> </w:t>
      </w:r>
      <w:r w:rsidRPr="005E6081">
        <w:rPr>
          <w:rFonts w:ascii="Segoe UI"/>
          <w:sz w:val="21"/>
        </w:rPr>
        <w:t>the</w:t>
      </w:r>
      <w:r w:rsidRPr="005E6081">
        <w:rPr>
          <w:rFonts w:ascii="Segoe UI"/>
          <w:spacing w:val="-4"/>
          <w:sz w:val="21"/>
        </w:rPr>
        <w:t xml:space="preserve"> </w:t>
      </w:r>
      <w:r w:rsidRPr="005E6081">
        <w:rPr>
          <w:rFonts w:ascii="Segoe UI"/>
          <w:sz w:val="21"/>
        </w:rPr>
        <w:t>evolution</w:t>
      </w:r>
      <w:r w:rsidRPr="005E6081">
        <w:rPr>
          <w:rFonts w:ascii="Segoe UI"/>
          <w:spacing w:val="-6"/>
          <w:sz w:val="21"/>
        </w:rPr>
        <w:t xml:space="preserve"> </w:t>
      </w:r>
      <w:r w:rsidRPr="005E6081">
        <w:rPr>
          <w:rFonts w:ascii="Segoe UI"/>
          <w:sz w:val="21"/>
        </w:rPr>
        <w:t>of</w:t>
      </w:r>
      <w:r w:rsidRPr="005E6081">
        <w:rPr>
          <w:rFonts w:ascii="Segoe UI"/>
          <w:spacing w:val="-5"/>
          <w:sz w:val="21"/>
        </w:rPr>
        <w:t xml:space="preserve"> </w:t>
      </w:r>
      <w:r w:rsidRPr="005E6081">
        <w:rPr>
          <w:rFonts w:ascii="Segoe UI"/>
          <w:sz w:val="21"/>
        </w:rPr>
        <w:t>the</w:t>
      </w:r>
      <w:r w:rsidRPr="005E6081">
        <w:rPr>
          <w:rFonts w:ascii="Segoe UI"/>
          <w:spacing w:val="-6"/>
          <w:sz w:val="21"/>
        </w:rPr>
        <w:t xml:space="preserve"> </w:t>
      </w:r>
      <w:r w:rsidRPr="005E6081">
        <w:rPr>
          <w:rFonts w:ascii="Segoe UI"/>
          <w:sz w:val="21"/>
        </w:rPr>
        <w:t>political</w:t>
      </w:r>
      <w:r w:rsidRPr="005E6081">
        <w:rPr>
          <w:rFonts w:ascii="Segoe UI"/>
          <w:spacing w:val="-4"/>
          <w:sz w:val="21"/>
        </w:rPr>
        <w:t xml:space="preserve"> </w:t>
      </w:r>
      <w:r w:rsidRPr="005E6081">
        <w:rPr>
          <w:rFonts w:ascii="Segoe UI"/>
          <w:sz w:val="21"/>
        </w:rPr>
        <w:t xml:space="preserve">economy in the </w:t>
      </w:r>
      <w:r w:rsidRPr="005E6081">
        <w:rPr>
          <w:rFonts w:ascii="Segoe UI"/>
          <w:b/>
          <w:bCs/>
          <w:sz w:val="21"/>
        </w:rPr>
        <w:t>four countries, and</w:t>
      </w:r>
      <w:r w:rsidRPr="005E6081">
        <w:rPr>
          <w:rFonts w:ascii="Segoe UI"/>
          <w:sz w:val="21"/>
        </w:rPr>
        <w:t xml:space="preserve"> remain mindful of it in the recommendations they</w:t>
      </w:r>
      <w:r w:rsidRPr="005E6081">
        <w:rPr>
          <w:rFonts w:ascii="Segoe UI"/>
          <w:spacing w:val="-19"/>
          <w:sz w:val="21"/>
        </w:rPr>
        <w:t xml:space="preserve"> </w:t>
      </w:r>
      <w:r w:rsidRPr="005E6081">
        <w:rPr>
          <w:rFonts w:ascii="Segoe UI"/>
          <w:sz w:val="21"/>
        </w:rPr>
        <w:t>produce.</w:t>
      </w:r>
    </w:p>
    <w:p w14:paraId="51DADE79" w14:textId="77777777" w:rsidR="00E136A1" w:rsidRPr="005E6081" w:rsidRDefault="00E136A1" w:rsidP="00E136A1">
      <w:pPr>
        <w:pStyle w:val="BodyText"/>
        <w:spacing w:before="13"/>
        <w:rPr>
          <w:rFonts w:ascii="Segoe UI"/>
        </w:rPr>
      </w:pPr>
    </w:p>
    <w:p w14:paraId="5495B115" w14:textId="77777777" w:rsidR="00E136A1" w:rsidRPr="005E6081" w:rsidRDefault="00E136A1" w:rsidP="00E136A1">
      <w:pPr>
        <w:ind w:left="500" w:right="1435"/>
        <w:jc w:val="both"/>
        <w:rPr>
          <w:rFonts w:ascii="Segoe UI" w:hAnsi="Segoe UI"/>
          <w:sz w:val="21"/>
        </w:rPr>
      </w:pPr>
      <w:r w:rsidRPr="005E6081">
        <w:rPr>
          <w:rFonts w:ascii="Segoe UI" w:hAnsi="Segoe UI"/>
          <w:sz w:val="21"/>
        </w:rPr>
        <w:lastRenderedPageBreak/>
        <w:t>The specific design and methodology for the TEs should emerge from consultations between the TE team</w:t>
      </w:r>
      <w:r w:rsidRPr="005E6081">
        <w:rPr>
          <w:rFonts w:ascii="Segoe UI" w:hAnsi="Segoe UI"/>
          <w:spacing w:val="-3"/>
          <w:sz w:val="21"/>
        </w:rPr>
        <w:t xml:space="preserve"> </w:t>
      </w:r>
      <w:r w:rsidRPr="005E6081">
        <w:rPr>
          <w:rFonts w:ascii="Segoe UI" w:hAnsi="Segoe UI"/>
          <w:sz w:val="21"/>
        </w:rPr>
        <w:t>and</w:t>
      </w:r>
      <w:r w:rsidRPr="005E6081">
        <w:rPr>
          <w:rFonts w:ascii="Segoe UI" w:hAnsi="Segoe UI"/>
          <w:spacing w:val="-3"/>
          <w:sz w:val="21"/>
        </w:rPr>
        <w:t xml:space="preserve"> </w:t>
      </w:r>
      <w:r w:rsidRPr="005E6081">
        <w:rPr>
          <w:rFonts w:ascii="Segoe UI" w:hAnsi="Segoe UI"/>
          <w:sz w:val="21"/>
        </w:rPr>
        <w:t>the</w:t>
      </w:r>
      <w:r w:rsidRPr="005E6081">
        <w:rPr>
          <w:rFonts w:ascii="Segoe UI" w:hAnsi="Segoe UI"/>
          <w:spacing w:val="-4"/>
          <w:sz w:val="21"/>
        </w:rPr>
        <w:t xml:space="preserve"> </w:t>
      </w:r>
      <w:r w:rsidRPr="005E6081">
        <w:rPr>
          <w:rFonts w:ascii="Segoe UI" w:hAnsi="Segoe UI"/>
          <w:sz w:val="21"/>
        </w:rPr>
        <w:t>above-mentioned</w:t>
      </w:r>
      <w:r w:rsidRPr="005E6081">
        <w:rPr>
          <w:rFonts w:ascii="Segoe UI" w:hAnsi="Segoe UI"/>
          <w:spacing w:val="-3"/>
          <w:sz w:val="21"/>
        </w:rPr>
        <w:t xml:space="preserve"> </w:t>
      </w:r>
      <w:r w:rsidRPr="005E6081">
        <w:rPr>
          <w:rFonts w:ascii="Segoe UI" w:hAnsi="Segoe UI"/>
          <w:sz w:val="21"/>
        </w:rPr>
        <w:t>parties</w:t>
      </w:r>
      <w:r w:rsidRPr="005E6081">
        <w:rPr>
          <w:rFonts w:ascii="Segoe UI" w:hAnsi="Segoe UI"/>
          <w:spacing w:val="-4"/>
          <w:sz w:val="21"/>
        </w:rPr>
        <w:t xml:space="preserve"> </w:t>
      </w:r>
      <w:r w:rsidRPr="005E6081">
        <w:rPr>
          <w:rFonts w:ascii="Segoe UI" w:hAnsi="Segoe UI"/>
          <w:sz w:val="21"/>
        </w:rPr>
        <w:t>regarding</w:t>
      </w:r>
      <w:r w:rsidRPr="005E6081">
        <w:rPr>
          <w:rFonts w:ascii="Segoe UI" w:hAnsi="Segoe UI"/>
          <w:spacing w:val="-6"/>
          <w:sz w:val="21"/>
        </w:rPr>
        <w:t xml:space="preserve"> </w:t>
      </w:r>
      <w:r w:rsidRPr="005E6081">
        <w:rPr>
          <w:rFonts w:ascii="Segoe UI" w:hAnsi="Segoe UI"/>
          <w:sz w:val="21"/>
        </w:rPr>
        <w:t>what</w:t>
      </w:r>
      <w:r w:rsidRPr="005E6081">
        <w:rPr>
          <w:rFonts w:ascii="Segoe UI" w:hAnsi="Segoe UI"/>
          <w:spacing w:val="-3"/>
          <w:sz w:val="21"/>
        </w:rPr>
        <w:t xml:space="preserve"> </w:t>
      </w:r>
      <w:r w:rsidRPr="005E6081">
        <w:rPr>
          <w:rFonts w:ascii="Segoe UI" w:hAnsi="Segoe UI"/>
          <w:sz w:val="21"/>
        </w:rPr>
        <w:t>is</w:t>
      </w:r>
      <w:r w:rsidRPr="005E6081">
        <w:rPr>
          <w:rFonts w:ascii="Segoe UI" w:hAnsi="Segoe UI"/>
          <w:spacing w:val="-4"/>
          <w:sz w:val="21"/>
        </w:rPr>
        <w:t xml:space="preserve"> </w:t>
      </w:r>
      <w:r w:rsidRPr="005E6081">
        <w:rPr>
          <w:rFonts w:ascii="Segoe UI" w:hAnsi="Segoe UI"/>
          <w:sz w:val="21"/>
        </w:rPr>
        <w:t>appropriate</w:t>
      </w:r>
      <w:r w:rsidRPr="005E6081">
        <w:rPr>
          <w:rFonts w:ascii="Segoe UI" w:hAnsi="Segoe UI"/>
          <w:spacing w:val="-3"/>
          <w:sz w:val="21"/>
        </w:rPr>
        <w:t xml:space="preserve"> </w:t>
      </w:r>
      <w:r w:rsidRPr="005E6081">
        <w:rPr>
          <w:rFonts w:ascii="Segoe UI" w:hAnsi="Segoe UI"/>
          <w:sz w:val="21"/>
        </w:rPr>
        <w:t>and</w:t>
      </w:r>
      <w:r w:rsidRPr="005E6081">
        <w:rPr>
          <w:rFonts w:ascii="Segoe UI" w:hAnsi="Segoe UI"/>
          <w:spacing w:val="-3"/>
          <w:sz w:val="21"/>
        </w:rPr>
        <w:t xml:space="preserve"> </w:t>
      </w:r>
      <w:r w:rsidRPr="005E6081">
        <w:rPr>
          <w:rFonts w:ascii="Segoe UI" w:hAnsi="Segoe UI"/>
          <w:sz w:val="21"/>
        </w:rPr>
        <w:t>feasible</w:t>
      </w:r>
      <w:r w:rsidRPr="005E6081">
        <w:rPr>
          <w:rFonts w:ascii="Segoe UI" w:hAnsi="Segoe UI"/>
          <w:spacing w:val="-4"/>
          <w:sz w:val="21"/>
        </w:rPr>
        <w:t xml:space="preserve"> </w:t>
      </w:r>
      <w:r w:rsidRPr="005E6081">
        <w:rPr>
          <w:rFonts w:ascii="Segoe UI" w:hAnsi="Segoe UI"/>
          <w:sz w:val="21"/>
        </w:rPr>
        <w:t>for</w:t>
      </w:r>
      <w:r w:rsidRPr="005E6081">
        <w:rPr>
          <w:rFonts w:ascii="Segoe UI" w:hAnsi="Segoe UI"/>
          <w:spacing w:val="-3"/>
          <w:sz w:val="21"/>
        </w:rPr>
        <w:t xml:space="preserve"> </w:t>
      </w:r>
      <w:r w:rsidRPr="005E6081">
        <w:rPr>
          <w:rFonts w:ascii="Segoe UI" w:hAnsi="Segoe UI"/>
          <w:sz w:val="21"/>
        </w:rPr>
        <w:t>meeting</w:t>
      </w:r>
      <w:r w:rsidRPr="005E6081">
        <w:rPr>
          <w:rFonts w:ascii="Segoe UI" w:hAnsi="Segoe UI"/>
          <w:spacing w:val="-2"/>
          <w:sz w:val="21"/>
        </w:rPr>
        <w:t xml:space="preserve"> </w:t>
      </w:r>
      <w:r w:rsidRPr="005E6081">
        <w:rPr>
          <w:rFonts w:ascii="Segoe UI" w:hAnsi="Segoe UI"/>
          <w:sz w:val="21"/>
        </w:rPr>
        <w:t>the</w:t>
      </w:r>
      <w:r w:rsidRPr="005E6081">
        <w:rPr>
          <w:rFonts w:ascii="Segoe UI" w:hAnsi="Segoe UI"/>
          <w:spacing w:val="-4"/>
          <w:sz w:val="21"/>
        </w:rPr>
        <w:t xml:space="preserve"> </w:t>
      </w:r>
      <w:r w:rsidRPr="005E6081">
        <w:rPr>
          <w:rFonts w:ascii="Segoe UI" w:hAnsi="Segoe UI"/>
          <w:sz w:val="21"/>
        </w:rPr>
        <w:t>TE purpose</w:t>
      </w:r>
      <w:r w:rsidRPr="005E6081">
        <w:rPr>
          <w:rFonts w:ascii="Segoe UI" w:hAnsi="Segoe UI"/>
          <w:spacing w:val="-6"/>
          <w:sz w:val="21"/>
        </w:rPr>
        <w:t xml:space="preserve"> </w:t>
      </w:r>
      <w:r w:rsidRPr="005E6081">
        <w:rPr>
          <w:rFonts w:ascii="Segoe UI" w:hAnsi="Segoe UI"/>
          <w:sz w:val="21"/>
        </w:rPr>
        <w:t>and</w:t>
      </w:r>
      <w:r w:rsidRPr="005E6081">
        <w:rPr>
          <w:rFonts w:ascii="Segoe UI" w:hAnsi="Segoe UI"/>
          <w:spacing w:val="-6"/>
          <w:sz w:val="21"/>
        </w:rPr>
        <w:t xml:space="preserve"> </w:t>
      </w:r>
      <w:r w:rsidRPr="005E6081">
        <w:rPr>
          <w:rFonts w:ascii="Segoe UI" w:hAnsi="Segoe UI"/>
          <w:sz w:val="21"/>
        </w:rPr>
        <w:t>objectives</w:t>
      </w:r>
      <w:r w:rsidRPr="005E6081">
        <w:rPr>
          <w:rFonts w:ascii="Segoe UI" w:hAnsi="Segoe UI"/>
          <w:spacing w:val="-7"/>
          <w:sz w:val="21"/>
        </w:rPr>
        <w:t xml:space="preserve"> </w:t>
      </w:r>
      <w:r w:rsidRPr="005E6081">
        <w:rPr>
          <w:rFonts w:ascii="Segoe UI" w:hAnsi="Segoe UI"/>
          <w:sz w:val="21"/>
        </w:rPr>
        <w:t>and</w:t>
      </w:r>
      <w:r w:rsidRPr="005E6081">
        <w:rPr>
          <w:rFonts w:ascii="Segoe UI" w:hAnsi="Segoe UI"/>
          <w:spacing w:val="-6"/>
          <w:sz w:val="21"/>
        </w:rPr>
        <w:t xml:space="preserve"> </w:t>
      </w:r>
      <w:r w:rsidRPr="005E6081">
        <w:rPr>
          <w:rFonts w:ascii="Segoe UI" w:hAnsi="Segoe UI"/>
          <w:sz w:val="21"/>
        </w:rPr>
        <w:t>answering</w:t>
      </w:r>
      <w:r w:rsidRPr="005E6081">
        <w:rPr>
          <w:rFonts w:ascii="Segoe UI" w:hAnsi="Segoe UI"/>
          <w:spacing w:val="-6"/>
          <w:sz w:val="21"/>
        </w:rPr>
        <w:t xml:space="preserve"> </w:t>
      </w:r>
      <w:r w:rsidRPr="005E6081">
        <w:rPr>
          <w:rFonts w:ascii="Segoe UI" w:hAnsi="Segoe UI"/>
          <w:sz w:val="21"/>
        </w:rPr>
        <w:t>the</w:t>
      </w:r>
      <w:r w:rsidRPr="005E6081">
        <w:rPr>
          <w:rFonts w:ascii="Segoe UI" w:hAnsi="Segoe UI"/>
          <w:spacing w:val="-6"/>
          <w:sz w:val="21"/>
        </w:rPr>
        <w:t xml:space="preserve"> </w:t>
      </w:r>
      <w:r w:rsidRPr="005E6081">
        <w:rPr>
          <w:rFonts w:ascii="Segoe UI" w:hAnsi="Segoe UI"/>
          <w:sz w:val="21"/>
        </w:rPr>
        <w:t>evaluation</w:t>
      </w:r>
      <w:r w:rsidRPr="005E6081">
        <w:rPr>
          <w:rFonts w:ascii="Segoe UI" w:hAnsi="Segoe UI"/>
          <w:spacing w:val="-6"/>
          <w:sz w:val="21"/>
        </w:rPr>
        <w:t xml:space="preserve"> </w:t>
      </w:r>
      <w:r w:rsidRPr="005E6081">
        <w:rPr>
          <w:rFonts w:ascii="Segoe UI" w:hAnsi="Segoe UI"/>
          <w:sz w:val="21"/>
        </w:rPr>
        <w:t>questions,</w:t>
      </w:r>
      <w:r w:rsidRPr="005E6081">
        <w:rPr>
          <w:rFonts w:ascii="Segoe UI" w:hAnsi="Segoe UI"/>
          <w:spacing w:val="-7"/>
          <w:sz w:val="21"/>
        </w:rPr>
        <w:t xml:space="preserve"> </w:t>
      </w:r>
      <w:r w:rsidRPr="005E6081">
        <w:rPr>
          <w:rFonts w:ascii="Segoe UI" w:hAnsi="Segoe UI"/>
          <w:sz w:val="21"/>
        </w:rPr>
        <w:t>given</w:t>
      </w:r>
      <w:r w:rsidRPr="005E6081">
        <w:rPr>
          <w:rFonts w:ascii="Segoe UI" w:hAnsi="Segoe UI"/>
          <w:spacing w:val="-6"/>
          <w:sz w:val="21"/>
        </w:rPr>
        <w:t xml:space="preserve"> </w:t>
      </w:r>
      <w:r w:rsidRPr="005E6081">
        <w:rPr>
          <w:rFonts w:ascii="Segoe UI" w:hAnsi="Segoe UI"/>
          <w:sz w:val="21"/>
        </w:rPr>
        <w:t>limitations</w:t>
      </w:r>
      <w:r w:rsidRPr="005E6081">
        <w:rPr>
          <w:rFonts w:ascii="Segoe UI" w:hAnsi="Segoe UI"/>
          <w:spacing w:val="-6"/>
          <w:sz w:val="21"/>
        </w:rPr>
        <w:t xml:space="preserve"> </w:t>
      </w:r>
      <w:r w:rsidRPr="005E6081">
        <w:rPr>
          <w:rFonts w:ascii="Segoe UI" w:hAnsi="Segoe UI"/>
          <w:sz w:val="21"/>
        </w:rPr>
        <w:t>of</w:t>
      </w:r>
      <w:r w:rsidRPr="005E6081">
        <w:rPr>
          <w:rFonts w:ascii="Segoe UI" w:hAnsi="Segoe UI"/>
          <w:spacing w:val="-5"/>
          <w:sz w:val="21"/>
        </w:rPr>
        <w:t xml:space="preserve"> </w:t>
      </w:r>
      <w:r w:rsidRPr="005E6081">
        <w:rPr>
          <w:rFonts w:ascii="Segoe UI" w:hAnsi="Segoe UI"/>
          <w:sz w:val="21"/>
        </w:rPr>
        <w:t>budget,</w:t>
      </w:r>
      <w:r w:rsidRPr="005E6081">
        <w:rPr>
          <w:rFonts w:ascii="Segoe UI" w:hAnsi="Segoe UI"/>
          <w:spacing w:val="-6"/>
          <w:sz w:val="21"/>
        </w:rPr>
        <w:t xml:space="preserve"> </w:t>
      </w:r>
      <w:r w:rsidRPr="005E6081">
        <w:rPr>
          <w:rFonts w:ascii="Segoe UI" w:hAnsi="Segoe UI"/>
          <w:sz w:val="21"/>
        </w:rPr>
        <w:t>time</w:t>
      </w:r>
      <w:r w:rsidRPr="005E6081">
        <w:rPr>
          <w:rFonts w:ascii="Segoe UI" w:hAnsi="Segoe UI"/>
          <w:spacing w:val="-6"/>
          <w:sz w:val="21"/>
        </w:rPr>
        <w:t xml:space="preserve"> </w:t>
      </w:r>
      <w:r w:rsidRPr="005E6081">
        <w:rPr>
          <w:rFonts w:ascii="Segoe UI" w:hAnsi="Segoe UI"/>
          <w:sz w:val="21"/>
        </w:rPr>
        <w:t>and data. The TE team must, however, use gender-responsive methodologies and tools and ensure that gender equality and women’s empowerment, as well as other cross-cutting issues and SDGs are incorporated into the TE</w:t>
      </w:r>
      <w:r w:rsidRPr="005E6081">
        <w:rPr>
          <w:rFonts w:ascii="Segoe UI" w:hAnsi="Segoe UI"/>
          <w:spacing w:val="-2"/>
          <w:sz w:val="21"/>
        </w:rPr>
        <w:t xml:space="preserve"> </w:t>
      </w:r>
      <w:r w:rsidRPr="005E6081">
        <w:rPr>
          <w:rFonts w:ascii="Segoe UI" w:hAnsi="Segoe UI"/>
          <w:sz w:val="21"/>
        </w:rPr>
        <w:t>report.</w:t>
      </w:r>
    </w:p>
    <w:p w14:paraId="0DB74667" w14:textId="77777777" w:rsidR="00E136A1" w:rsidRPr="005E6081" w:rsidRDefault="00E136A1" w:rsidP="00E136A1">
      <w:pPr>
        <w:pStyle w:val="BodyText"/>
        <w:spacing w:before="1"/>
        <w:rPr>
          <w:rFonts w:ascii="Segoe UI"/>
          <w:sz w:val="21"/>
        </w:rPr>
      </w:pPr>
    </w:p>
    <w:p w14:paraId="4B1493BE" w14:textId="77777777" w:rsidR="00E136A1" w:rsidRPr="005E6081" w:rsidRDefault="00E136A1" w:rsidP="00E136A1">
      <w:pPr>
        <w:ind w:left="500" w:right="1435"/>
        <w:jc w:val="both"/>
        <w:rPr>
          <w:rFonts w:ascii="Segoe UI"/>
          <w:sz w:val="21"/>
        </w:rPr>
      </w:pPr>
      <w:r w:rsidRPr="005E6081">
        <w:rPr>
          <w:rFonts w:ascii="Segoe UI"/>
          <w:sz w:val="21"/>
        </w:rPr>
        <w:t>The</w:t>
      </w:r>
      <w:r w:rsidRPr="005E6081">
        <w:rPr>
          <w:rFonts w:ascii="Segoe UI"/>
          <w:spacing w:val="-6"/>
          <w:sz w:val="21"/>
        </w:rPr>
        <w:t xml:space="preserve"> </w:t>
      </w:r>
      <w:r w:rsidRPr="005E6081">
        <w:rPr>
          <w:rFonts w:ascii="Segoe UI"/>
          <w:sz w:val="21"/>
        </w:rPr>
        <w:t>final</w:t>
      </w:r>
      <w:r w:rsidRPr="005E6081">
        <w:rPr>
          <w:rFonts w:ascii="Segoe UI"/>
          <w:spacing w:val="-7"/>
          <w:sz w:val="21"/>
        </w:rPr>
        <w:t xml:space="preserve"> </w:t>
      </w:r>
      <w:r w:rsidRPr="005E6081">
        <w:rPr>
          <w:rFonts w:ascii="Segoe UI"/>
          <w:sz w:val="21"/>
        </w:rPr>
        <w:t>methodological</w:t>
      </w:r>
      <w:r w:rsidRPr="005E6081">
        <w:rPr>
          <w:rFonts w:ascii="Segoe UI"/>
          <w:spacing w:val="-6"/>
          <w:sz w:val="21"/>
        </w:rPr>
        <w:t xml:space="preserve"> </w:t>
      </w:r>
      <w:r w:rsidRPr="005E6081">
        <w:rPr>
          <w:rFonts w:ascii="Segoe UI"/>
          <w:sz w:val="21"/>
        </w:rPr>
        <w:t>approach</w:t>
      </w:r>
      <w:r w:rsidRPr="005E6081">
        <w:rPr>
          <w:rFonts w:ascii="Segoe UI"/>
          <w:spacing w:val="-6"/>
          <w:sz w:val="21"/>
        </w:rPr>
        <w:t xml:space="preserve"> </w:t>
      </w:r>
      <w:r w:rsidRPr="005E6081">
        <w:rPr>
          <w:rFonts w:ascii="Segoe UI"/>
          <w:sz w:val="21"/>
        </w:rPr>
        <w:t>including</w:t>
      </w:r>
      <w:r w:rsidRPr="005E6081">
        <w:rPr>
          <w:rFonts w:ascii="Segoe UI"/>
          <w:spacing w:val="-6"/>
          <w:sz w:val="21"/>
        </w:rPr>
        <w:t xml:space="preserve"> </w:t>
      </w:r>
      <w:r w:rsidRPr="005E6081">
        <w:rPr>
          <w:rFonts w:ascii="Segoe UI"/>
          <w:sz w:val="21"/>
        </w:rPr>
        <w:t>interview</w:t>
      </w:r>
      <w:r w:rsidRPr="005E6081">
        <w:rPr>
          <w:rFonts w:ascii="Segoe UI"/>
          <w:spacing w:val="-6"/>
          <w:sz w:val="21"/>
        </w:rPr>
        <w:t xml:space="preserve"> </w:t>
      </w:r>
      <w:r w:rsidRPr="005E6081">
        <w:rPr>
          <w:rFonts w:ascii="Segoe UI"/>
          <w:sz w:val="21"/>
        </w:rPr>
        <w:t>schedule,</w:t>
      </w:r>
      <w:r w:rsidRPr="005E6081">
        <w:rPr>
          <w:rFonts w:ascii="Segoe UI"/>
          <w:spacing w:val="-6"/>
          <w:sz w:val="21"/>
        </w:rPr>
        <w:t xml:space="preserve"> </w:t>
      </w:r>
      <w:r w:rsidRPr="005E6081">
        <w:rPr>
          <w:rFonts w:ascii="Segoe UI"/>
          <w:sz w:val="21"/>
        </w:rPr>
        <w:t>field</w:t>
      </w:r>
      <w:r w:rsidRPr="005E6081">
        <w:rPr>
          <w:rFonts w:ascii="Segoe UI"/>
          <w:spacing w:val="-6"/>
          <w:sz w:val="21"/>
        </w:rPr>
        <w:t xml:space="preserve"> </w:t>
      </w:r>
      <w:r w:rsidRPr="005E6081">
        <w:rPr>
          <w:rFonts w:ascii="Segoe UI"/>
          <w:sz w:val="21"/>
        </w:rPr>
        <w:t>visits</w:t>
      </w:r>
      <w:r w:rsidRPr="005E6081">
        <w:rPr>
          <w:rFonts w:ascii="Segoe UI"/>
          <w:spacing w:val="-7"/>
          <w:sz w:val="21"/>
        </w:rPr>
        <w:t xml:space="preserve"> </w:t>
      </w:r>
      <w:r w:rsidRPr="005E6081">
        <w:rPr>
          <w:rFonts w:ascii="Segoe UI"/>
          <w:sz w:val="21"/>
        </w:rPr>
        <w:t>and</w:t>
      </w:r>
      <w:r w:rsidRPr="005E6081">
        <w:rPr>
          <w:rFonts w:ascii="Segoe UI"/>
          <w:spacing w:val="-8"/>
          <w:sz w:val="21"/>
        </w:rPr>
        <w:t xml:space="preserve"> </w:t>
      </w:r>
      <w:r w:rsidRPr="005E6081">
        <w:rPr>
          <w:rFonts w:ascii="Segoe UI"/>
          <w:sz w:val="21"/>
        </w:rPr>
        <w:t>data</w:t>
      </w:r>
      <w:r w:rsidRPr="005E6081">
        <w:rPr>
          <w:rFonts w:ascii="Segoe UI"/>
          <w:spacing w:val="-6"/>
          <w:sz w:val="21"/>
        </w:rPr>
        <w:t xml:space="preserve"> </w:t>
      </w:r>
      <w:r w:rsidRPr="005E6081">
        <w:rPr>
          <w:rFonts w:ascii="Segoe UI"/>
          <w:sz w:val="21"/>
        </w:rPr>
        <w:t>to</w:t>
      </w:r>
      <w:r w:rsidRPr="005E6081">
        <w:rPr>
          <w:rFonts w:ascii="Segoe UI"/>
          <w:spacing w:val="-7"/>
          <w:sz w:val="21"/>
        </w:rPr>
        <w:t xml:space="preserve"> </w:t>
      </w:r>
      <w:r w:rsidRPr="005E6081">
        <w:rPr>
          <w:rFonts w:ascii="Segoe UI"/>
          <w:sz w:val="21"/>
        </w:rPr>
        <w:t>be</w:t>
      </w:r>
      <w:r w:rsidRPr="005E6081">
        <w:rPr>
          <w:rFonts w:ascii="Segoe UI"/>
          <w:spacing w:val="-5"/>
          <w:sz w:val="21"/>
        </w:rPr>
        <w:t xml:space="preserve"> </w:t>
      </w:r>
      <w:r w:rsidRPr="005E6081">
        <w:rPr>
          <w:rFonts w:ascii="Segoe UI"/>
          <w:sz w:val="21"/>
        </w:rPr>
        <w:t>used</w:t>
      </w:r>
      <w:r w:rsidRPr="005E6081">
        <w:rPr>
          <w:rFonts w:ascii="Segoe UI"/>
          <w:spacing w:val="-6"/>
          <w:sz w:val="21"/>
        </w:rPr>
        <w:t xml:space="preserve"> </w:t>
      </w:r>
      <w:r w:rsidRPr="005E6081">
        <w:rPr>
          <w:rFonts w:ascii="Segoe UI"/>
          <w:sz w:val="21"/>
        </w:rPr>
        <w:t>in</w:t>
      </w:r>
      <w:r w:rsidRPr="005E6081">
        <w:rPr>
          <w:rFonts w:ascii="Segoe UI"/>
          <w:spacing w:val="-6"/>
          <w:sz w:val="21"/>
        </w:rPr>
        <w:t xml:space="preserve"> </w:t>
      </w:r>
      <w:r w:rsidRPr="005E6081">
        <w:rPr>
          <w:rFonts w:ascii="Segoe UI"/>
          <w:sz w:val="21"/>
        </w:rPr>
        <w:t>the evaluation must be clearly outlined in the TE Inception Report and be fully discussed and agreed between UNDP, stakeholders and the TE</w:t>
      </w:r>
      <w:r w:rsidRPr="005E6081">
        <w:rPr>
          <w:rFonts w:ascii="Segoe UI"/>
          <w:spacing w:val="-5"/>
          <w:sz w:val="21"/>
        </w:rPr>
        <w:t xml:space="preserve"> </w:t>
      </w:r>
      <w:r w:rsidRPr="005E6081">
        <w:rPr>
          <w:rFonts w:ascii="Segoe UI"/>
          <w:sz w:val="21"/>
        </w:rPr>
        <w:t>team.</w:t>
      </w:r>
    </w:p>
    <w:p w14:paraId="6F74ADF2" w14:textId="77777777" w:rsidR="00E136A1" w:rsidRPr="005E6081" w:rsidRDefault="00E136A1" w:rsidP="00E136A1">
      <w:pPr>
        <w:pStyle w:val="BodyText"/>
        <w:spacing w:before="12"/>
        <w:rPr>
          <w:rFonts w:ascii="Segoe UI"/>
        </w:rPr>
      </w:pPr>
    </w:p>
    <w:p w14:paraId="6A421984" w14:textId="77777777" w:rsidR="00E136A1" w:rsidRPr="005E6081" w:rsidRDefault="00E136A1" w:rsidP="00E136A1">
      <w:pPr>
        <w:ind w:left="500" w:right="1437"/>
        <w:jc w:val="both"/>
        <w:rPr>
          <w:rFonts w:ascii="Segoe UI"/>
          <w:sz w:val="21"/>
        </w:rPr>
      </w:pPr>
      <w:r w:rsidRPr="005E6081">
        <w:rPr>
          <w:rFonts w:ascii="Segoe UI"/>
          <w:sz w:val="21"/>
        </w:rPr>
        <w:t>The final report must describe the full TE approach taken and the rationale for the approach making explicit the underlying assumptions, challenges, strengths and weaknesses about the methods and approach of the evaluation.</w:t>
      </w:r>
    </w:p>
    <w:p w14:paraId="04D9DFDB" w14:textId="77777777" w:rsidR="00E136A1" w:rsidRPr="005E6081" w:rsidRDefault="00E136A1" w:rsidP="00E136A1">
      <w:pPr>
        <w:spacing w:before="101"/>
        <w:ind w:left="500" w:right="1436"/>
        <w:jc w:val="both"/>
        <w:rPr>
          <w:rFonts w:ascii="Segoe UI"/>
          <w:i/>
          <w:sz w:val="21"/>
        </w:rPr>
      </w:pPr>
      <w:r w:rsidRPr="005E6081">
        <w:rPr>
          <w:rFonts w:ascii="Segoe UI"/>
          <w:i/>
          <w:sz w:val="21"/>
        </w:rPr>
        <w:t>As of 11 March 2020, the World Health Organization (WHO) declared COVID-19 a global pandemic as the new coronavirus rapidly spread to all regions of the world. Travel to the project countries may be restricted</w:t>
      </w:r>
      <w:r w:rsidRPr="005E6081">
        <w:rPr>
          <w:rFonts w:ascii="Segoe UI"/>
          <w:i/>
          <w:spacing w:val="-10"/>
          <w:sz w:val="21"/>
        </w:rPr>
        <w:t xml:space="preserve"> </w:t>
      </w:r>
      <w:r w:rsidRPr="005E6081">
        <w:rPr>
          <w:rFonts w:ascii="Segoe UI"/>
          <w:i/>
          <w:sz w:val="21"/>
        </w:rPr>
        <w:t>and</w:t>
      </w:r>
      <w:r w:rsidRPr="005E6081">
        <w:rPr>
          <w:rFonts w:ascii="Segoe UI"/>
          <w:i/>
          <w:spacing w:val="-8"/>
          <w:sz w:val="21"/>
        </w:rPr>
        <w:t xml:space="preserve"> </w:t>
      </w:r>
      <w:r w:rsidRPr="005E6081">
        <w:rPr>
          <w:rFonts w:ascii="Segoe UI"/>
          <w:i/>
          <w:sz w:val="21"/>
        </w:rPr>
        <w:t>travel</w:t>
      </w:r>
      <w:r w:rsidRPr="005E6081">
        <w:rPr>
          <w:rFonts w:ascii="Segoe UI"/>
          <w:i/>
          <w:spacing w:val="-7"/>
          <w:sz w:val="21"/>
        </w:rPr>
        <w:t xml:space="preserve"> </w:t>
      </w:r>
      <w:r w:rsidRPr="005E6081">
        <w:rPr>
          <w:rFonts w:ascii="Segoe UI"/>
          <w:i/>
          <w:sz w:val="21"/>
        </w:rPr>
        <w:t>in</w:t>
      </w:r>
      <w:r w:rsidRPr="005E6081">
        <w:rPr>
          <w:rFonts w:ascii="Segoe UI"/>
          <w:i/>
          <w:spacing w:val="-9"/>
          <w:sz w:val="21"/>
        </w:rPr>
        <w:t xml:space="preserve"> </w:t>
      </w:r>
      <w:r w:rsidRPr="005E6081">
        <w:rPr>
          <w:rFonts w:ascii="Segoe UI"/>
          <w:i/>
          <w:sz w:val="21"/>
        </w:rPr>
        <w:t>the</w:t>
      </w:r>
      <w:r w:rsidRPr="005E6081">
        <w:rPr>
          <w:rFonts w:ascii="Segoe UI"/>
          <w:i/>
          <w:spacing w:val="-10"/>
          <w:sz w:val="21"/>
        </w:rPr>
        <w:t xml:space="preserve"> </w:t>
      </w:r>
      <w:r w:rsidRPr="005E6081">
        <w:rPr>
          <w:rFonts w:ascii="Segoe UI"/>
          <w:i/>
          <w:sz w:val="21"/>
        </w:rPr>
        <w:t>countries</w:t>
      </w:r>
      <w:r w:rsidRPr="005E6081">
        <w:rPr>
          <w:rFonts w:ascii="Segoe UI"/>
          <w:i/>
          <w:spacing w:val="-8"/>
          <w:sz w:val="21"/>
        </w:rPr>
        <w:t xml:space="preserve"> </w:t>
      </w:r>
      <w:r w:rsidRPr="005E6081">
        <w:rPr>
          <w:rFonts w:ascii="Segoe UI"/>
          <w:i/>
          <w:sz w:val="21"/>
        </w:rPr>
        <w:t>is</w:t>
      </w:r>
      <w:r w:rsidRPr="005E6081">
        <w:rPr>
          <w:rFonts w:ascii="Segoe UI"/>
          <w:i/>
          <w:spacing w:val="-7"/>
          <w:sz w:val="21"/>
        </w:rPr>
        <w:t xml:space="preserve"> </w:t>
      </w:r>
      <w:r w:rsidRPr="005E6081">
        <w:rPr>
          <w:rFonts w:ascii="Segoe UI"/>
          <w:i/>
          <w:sz w:val="21"/>
        </w:rPr>
        <w:t>also</w:t>
      </w:r>
      <w:r w:rsidRPr="005E6081">
        <w:rPr>
          <w:rFonts w:ascii="Segoe UI"/>
          <w:i/>
          <w:spacing w:val="-9"/>
          <w:sz w:val="21"/>
        </w:rPr>
        <w:t xml:space="preserve"> </w:t>
      </w:r>
      <w:r w:rsidRPr="005E6081">
        <w:rPr>
          <w:rFonts w:ascii="Segoe UI"/>
          <w:i/>
          <w:sz w:val="21"/>
        </w:rPr>
        <w:t>restricted.</w:t>
      </w:r>
      <w:r w:rsidRPr="005E6081">
        <w:rPr>
          <w:rFonts w:ascii="Segoe UI"/>
          <w:i/>
          <w:spacing w:val="-11"/>
          <w:sz w:val="21"/>
        </w:rPr>
        <w:t xml:space="preserve"> </w:t>
      </w:r>
      <w:r w:rsidRPr="005E6081">
        <w:rPr>
          <w:rFonts w:ascii="Segoe UI"/>
          <w:i/>
          <w:sz w:val="21"/>
        </w:rPr>
        <w:t>If</w:t>
      </w:r>
      <w:r w:rsidRPr="005E6081">
        <w:rPr>
          <w:rFonts w:ascii="Segoe UI"/>
          <w:i/>
          <w:spacing w:val="-9"/>
          <w:sz w:val="21"/>
        </w:rPr>
        <w:t xml:space="preserve"> </w:t>
      </w:r>
      <w:r w:rsidRPr="005E6081">
        <w:rPr>
          <w:rFonts w:ascii="Segoe UI"/>
          <w:i/>
          <w:sz w:val="21"/>
        </w:rPr>
        <w:t>it</w:t>
      </w:r>
      <w:r w:rsidRPr="005E6081">
        <w:rPr>
          <w:rFonts w:ascii="Segoe UI"/>
          <w:i/>
          <w:spacing w:val="-8"/>
          <w:sz w:val="21"/>
        </w:rPr>
        <w:t xml:space="preserve"> </w:t>
      </w:r>
      <w:r w:rsidRPr="005E6081">
        <w:rPr>
          <w:rFonts w:ascii="Segoe UI"/>
          <w:i/>
          <w:sz w:val="21"/>
        </w:rPr>
        <w:t>is</w:t>
      </w:r>
      <w:r w:rsidRPr="005E6081">
        <w:rPr>
          <w:rFonts w:ascii="Segoe UI"/>
          <w:i/>
          <w:spacing w:val="-8"/>
          <w:sz w:val="21"/>
        </w:rPr>
        <w:t xml:space="preserve"> </w:t>
      </w:r>
      <w:r w:rsidRPr="005E6081">
        <w:rPr>
          <w:rFonts w:ascii="Segoe UI"/>
          <w:i/>
          <w:sz w:val="21"/>
        </w:rPr>
        <w:t>not</w:t>
      </w:r>
      <w:r w:rsidRPr="005E6081">
        <w:rPr>
          <w:rFonts w:ascii="Segoe UI"/>
          <w:i/>
          <w:spacing w:val="-10"/>
          <w:sz w:val="21"/>
        </w:rPr>
        <w:t xml:space="preserve"> </w:t>
      </w:r>
      <w:r w:rsidRPr="005E6081">
        <w:rPr>
          <w:rFonts w:ascii="Segoe UI"/>
          <w:i/>
          <w:sz w:val="21"/>
        </w:rPr>
        <w:t>possible</w:t>
      </w:r>
      <w:r w:rsidRPr="005E6081">
        <w:rPr>
          <w:rFonts w:ascii="Segoe UI"/>
          <w:i/>
          <w:spacing w:val="-7"/>
          <w:sz w:val="21"/>
        </w:rPr>
        <w:t xml:space="preserve"> </w:t>
      </w:r>
      <w:r w:rsidRPr="005E6081">
        <w:rPr>
          <w:rFonts w:ascii="Segoe UI"/>
          <w:i/>
          <w:sz w:val="21"/>
        </w:rPr>
        <w:t>to</w:t>
      </w:r>
      <w:r w:rsidRPr="005E6081">
        <w:rPr>
          <w:rFonts w:ascii="Segoe UI"/>
          <w:i/>
          <w:spacing w:val="-9"/>
          <w:sz w:val="21"/>
        </w:rPr>
        <w:t xml:space="preserve"> </w:t>
      </w:r>
      <w:r w:rsidRPr="005E6081">
        <w:rPr>
          <w:rFonts w:ascii="Segoe UI"/>
          <w:i/>
          <w:sz w:val="21"/>
        </w:rPr>
        <w:t>travel</w:t>
      </w:r>
      <w:r w:rsidRPr="005E6081">
        <w:rPr>
          <w:rFonts w:ascii="Segoe UI"/>
          <w:i/>
          <w:spacing w:val="-10"/>
          <w:sz w:val="21"/>
        </w:rPr>
        <w:t xml:space="preserve"> </w:t>
      </w:r>
      <w:r w:rsidRPr="005E6081">
        <w:rPr>
          <w:rFonts w:ascii="Segoe UI"/>
          <w:i/>
          <w:sz w:val="21"/>
        </w:rPr>
        <w:t>to</w:t>
      </w:r>
      <w:r w:rsidRPr="005E6081">
        <w:rPr>
          <w:rFonts w:ascii="Segoe UI"/>
          <w:i/>
          <w:spacing w:val="-9"/>
          <w:sz w:val="21"/>
        </w:rPr>
        <w:t xml:space="preserve"> </w:t>
      </w:r>
      <w:r w:rsidRPr="005E6081">
        <w:rPr>
          <w:rFonts w:ascii="Segoe UI"/>
          <w:i/>
          <w:sz w:val="21"/>
        </w:rPr>
        <w:t>or</w:t>
      </w:r>
      <w:r w:rsidRPr="005E6081">
        <w:rPr>
          <w:rFonts w:ascii="Segoe UI"/>
          <w:i/>
          <w:spacing w:val="-9"/>
          <w:sz w:val="21"/>
        </w:rPr>
        <w:t xml:space="preserve"> </w:t>
      </w:r>
      <w:r w:rsidRPr="005E6081">
        <w:rPr>
          <w:rFonts w:ascii="Segoe UI"/>
          <w:i/>
          <w:sz w:val="21"/>
        </w:rPr>
        <w:t>within</w:t>
      </w:r>
      <w:r w:rsidRPr="005E6081">
        <w:rPr>
          <w:rFonts w:ascii="Segoe UI"/>
          <w:i/>
          <w:spacing w:val="-10"/>
          <w:sz w:val="21"/>
        </w:rPr>
        <w:t xml:space="preserve"> </w:t>
      </w:r>
      <w:r w:rsidRPr="005E6081">
        <w:rPr>
          <w:rFonts w:ascii="Segoe UI"/>
          <w:i/>
          <w:sz w:val="21"/>
        </w:rPr>
        <w:t>the</w:t>
      </w:r>
      <w:r w:rsidRPr="005E6081">
        <w:rPr>
          <w:rFonts w:ascii="Segoe UI"/>
          <w:i/>
          <w:spacing w:val="-8"/>
          <w:sz w:val="21"/>
        </w:rPr>
        <w:t xml:space="preserve"> </w:t>
      </w:r>
      <w:r w:rsidRPr="005E6081">
        <w:rPr>
          <w:rFonts w:ascii="Segoe UI"/>
          <w:i/>
          <w:sz w:val="21"/>
        </w:rPr>
        <w:t>country for the TE mission then the TE team should develop a methodology that takes this into account the conduct of the TE virtually and remotely, including the use of remote interview methods and extended desk reviews, data analysis, surveys and evaluation questionnaires. This should be detailed in the TE Inception Report and agreed with the Commissioning</w:t>
      </w:r>
      <w:r w:rsidRPr="005E6081">
        <w:rPr>
          <w:rFonts w:ascii="Segoe UI"/>
          <w:i/>
          <w:spacing w:val="-10"/>
          <w:sz w:val="21"/>
        </w:rPr>
        <w:t xml:space="preserve"> </w:t>
      </w:r>
      <w:r w:rsidRPr="005E6081">
        <w:rPr>
          <w:rFonts w:ascii="Segoe UI"/>
          <w:i/>
          <w:sz w:val="21"/>
        </w:rPr>
        <w:t>Unit.</w:t>
      </w:r>
    </w:p>
    <w:p w14:paraId="356D948C" w14:textId="77777777" w:rsidR="00E136A1" w:rsidRPr="005E6081" w:rsidRDefault="00E136A1" w:rsidP="00E136A1">
      <w:pPr>
        <w:pStyle w:val="BodyText"/>
        <w:rPr>
          <w:rFonts w:ascii="Segoe UI"/>
          <w:i/>
          <w:sz w:val="21"/>
        </w:rPr>
      </w:pPr>
    </w:p>
    <w:p w14:paraId="47E89D58" w14:textId="77777777" w:rsidR="00E136A1" w:rsidRPr="005E6081" w:rsidRDefault="00E136A1" w:rsidP="00E136A1">
      <w:pPr>
        <w:ind w:left="500" w:right="1439"/>
        <w:jc w:val="both"/>
        <w:rPr>
          <w:rFonts w:ascii="Segoe UI"/>
          <w:i/>
          <w:sz w:val="21"/>
        </w:rPr>
      </w:pPr>
      <w:r w:rsidRPr="005E6081">
        <w:rPr>
          <w:rFonts w:ascii="Segoe UI"/>
          <w:i/>
          <w:sz w:val="21"/>
        </w:rPr>
        <w:t>If all or part of the TE is to be carried out virtually then consideration should be taken for stakeholder availability, ability or willingness to be interviewed remotely. In addition, their accessibility to the internet/computer may be an issue as many government and national counterparts may be working from home. These limitations must be reflected in the final TE report.</w:t>
      </w:r>
    </w:p>
    <w:p w14:paraId="41E914AE" w14:textId="77777777" w:rsidR="00E136A1" w:rsidRPr="005E6081" w:rsidRDefault="00E136A1" w:rsidP="00E136A1">
      <w:pPr>
        <w:pStyle w:val="BodyText"/>
        <w:spacing w:before="1"/>
        <w:rPr>
          <w:rFonts w:ascii="Segoe UI"/>
          <w:i/>
          <w:sz w:val="21"/>
        </w:rPr>
      </w:pPr>
    </w:p>
    <w:p w14:paraId="25CB3DA4" w14:textId="77777777" w:rsidR="00E136A1" w:rsidRPr="005E6081" w:rsidRDefault="00E136A1" w:rsidP="00E136A1">
      <w:pPr>
        <w:ind w:left="500" w:right="1432"/>
        <w:jc w:val="both"/>
        <w:rPr>
          <w:rFonts w:ascii="Segoe UI" w:hAnsi="Segoe UI"/>
          <w:i/>
          <w:sz w:val="21"/>
        </w:rPr>
      </w:pPr>
      <w:r w:rsidRPr="005E6081">
        <w:rPr>
          <w:rFonts w:ascii="Segoe UI" w:hAnsi="Segoe UI"/>
          <w:i/>
          <w:sz w:val="21"/>
        </w:rPr>
        <w:t>If a data collection/field mission is not possible then remote interviews may be undertaken through telephone or online (skype, zoom etc.). International consultants can work remotely with national evaluator support in the field if it is safe for them to operate and travel. No stakeholders, consultants or UNDP staff should be put in harm’s way and safety is the key priority.</w:t>
      </w:r>
    </w:p>
    <w:p w14:paraId="01087BAC" w14:textId="77777777" w:rsidR="00E136A1" w:rsidRPr="005E6081" w:rsidRDefault="00E136A1" w:rsidP="00E136A1">
      <w:pPr>
        <w:pStyle w:val="BodyText"/>
        <w:rPr>
          <w:rFonts w:ascii="Segoe UI"/>
          <w:i/>
          <w:sz w:val="21"/>
        </w:rPr>
      </w:pPr>
    </w:p>
    <w:p w14:paraId="3D7D26B6" w14:textId="77777777" w:rsidR="00E136A1" w:rsidRPr="005E6081" w:rsidRDefault="00E136A1" w:rsidP="00E136A1">
      <w:pPr>
        <w:ind w:left="500" w:right="1436"/>
        <w:jc w:val="both"/>
        <w:rPr>
          <w:rFonts w:ascii="Segoe UI"/>
          <w:i/>
          <w:sz w:val="21"/>
        </w:rPr>
      </w:pPr>
      <w:r w:rsidRPr="005E6081">
        <w:rPr>
          <w:rFonts w:ascii="Segoe UI"/>
          <w:i/>
          <w:sz w:val="21"/>
        </w:rPr>
        <w:t>A short validation mission may be considered if it is confirmed to be safe for staff, consultants, stakeholders and if such a mission is possible within the TE schedule. Equally, qualified and</w:t>
      </w:r>
      <w:r w:rsidRPr="005E6081">
        <w:rPr>
          <w:rFonts w:ascii="Segoe UI"/>
          <w:i/>
          <w:spacing w:val="-41"/>
          <w:sz w:val="21"/>
        </w:rPr>
        <w:t xml:space="preserve"> </w:t>
      </w:r>
      <w:r w:rsidRPr="005E6081">
        <w:rPr>
          <w:rFonts w:ascii="Segoe UI"/>
          <w:i/>
          <w:sz w:val="21"/>
        </w:rPr>
        <w:t>independent national consultants can be hired to undertake the TE and interviews in country as long as it is safe to do</w:t>
      </w:r>
      <w:r w:rsidRPr="005E6081">
        <w:rPr>
          <w:rFonts w:ascii="Segoe UI"/>
          <w:i/>
          <w:spacing w:val="-1"/>
          <w:sz w:val="21"/>
        </w:rPr>
        <w:t xml:space="preserve"> </w:t>
      </w:r>
      <w:r w:rsidRPr="005E6081">
        <w:rPr>
          <w:rFonts w:ascii="Segoe UI"/>
          <w:i/>
          <w:sz w:val="21"/>
        </w:rPr>
        <w:t>so.</w:t>
      </w:r>
    </w:p>
    <w:p w14:paraId="0542FAED" w14:textId="77777777" w:rsidR="00E136A1" w:rsidRPr="005E6081" w:rsidRDefault="00E136A1" w:rsidP="00E136A1">
      <w:r w:rsidRPr="005E6081">
        <w:lastRenderedPageBreak/>
        <w:t>DETAILED SCOPE OF THE</w:t>
      </w:r>
      <w:r w:rsidRPr="005E6081">
        <w:rPr>
          <w:spacing w:val="-2"/>
        </w:rPr>
        <w:t xml:space="preserve"> </w:t>
      </w:r>
      <w:r w:rsidRPr="005E6081">
        <w:t>TE</w:t>
      </w:r>
    </w:p>
    <w:p w14:paraId="75A0F6C3" w14:textId="77777777" w:rsidR="00E136A1" w:rsidRPr="005E6081" w:rsidRDefault="00E136A1" w:rsidP="00E136A1">
      <w:pPr>
        <w:spacing w:before="186"/>
        <w:ind w:left="500" w:right="1433"/>
        <w:jc w:val="both"/>
        <w:rPr>
          <w:rFonts w:ascii="Segoe UI" w:hAnsi="Segoe UI"/>
          <w:sz w:val="21"/>
        </w:rPr>
      </w:pPr>
      <w:bookmarkStart w:id="108" w:name="_Hlk75876073"/>
      <w:r w:rsidRPr="005E6081">
        <w:rPr>
          <w:rFonts w:ascii="Segoe UI" w:hAnsi="Segoe UI"/>
          <w:sz w:val="21"/>
        </w:rPr>
        <w:t>For</w:t>
      </w:r>
      <w:r w:rsidRPr="005E6081">
        <w:rPr>
          <w:rFonts w:ascii="Segoe UI" w:hAnsi="Segoe UI"/>
          <w:spacing w:val="-6"/>
          <w:sz w:val="21"/>
        </w:rPr>
        <w:t xml:space="preserve"> </w:t>
      </w:r>
      <w:r w:rsidRPr="005E6081">
        <w:rPr>
          <w:rFonts w:ascii="Segoe UI" w:hAnsi="Segoe UI"/>
          <w:sz w:val="21"/>
        </w:rPr>
        <w:t>each</w:t>
      </w:r>
      <w:r w:rsidRPr="005E6081">
        <w:rPr>
          <w:rFonts w:ascii="Segoe UI" w:hAnsi="Segoe UI"/>
          <w:spacing w:val="-8"/>
          <w:sz w:val="21"/>
        </w:rPr>
        <w:t xml:space="preserve"> </w:t>
      </w:r>
      <w:r w:rsidRPr="005E6081">
        <w:rPr>
          <w:rFonts w:ascii="Segoe UI" w:hAnsi="Segoe UI"/>
          <w:sz w:val="21"/>
        </w:rPr>
        <w:t>of</w:t>
      </w:r>
      <w:r w:rsidRPr="005E6081">
        <w:rPr>
          <w:rFonts w:ascii="Segoe UI" w:hAnsi="Segoe UI"/>
          <w:spacing w:val="-5"/>
          <w:sz w:val="21"/>
        </w:rPr>
        <w:t xml:space="preserve"> </w:t>
      </w:r>
      <w:r w:rsidRPr="005E6081">
        <w:rPr>
          <w:rFonts w:ascii="Segoe UI" w:hAnsi="Segoe UI"/>
          <w:sz w:val="21"/>
        </w:rPr>
        <w:t>the</w:t>
      </w:r>
      <w:r w:rsidRPr="005E6081">
        <w:rPr>
          <w:rFonts w:ascii="Segoe UI" w:hAnsi="Segoe UI"/>
          <w:spacing w:val="-6"/>
          <w:sz w:val="21"/>
        </w:rPr>
        <w:t xml:space="preserve"> </w:t>
      </w:r>
      <w:r w:rsidRPr="005E6081">
        <w:rPr>
          <w:rFonts w:ascii="Segoe UI" w:hAnsi="Segoe UI"/>
          <w:sz w:val="21"/>
        </w:rPr>
        <w:t>two</w:t>
      </w:r>
      <w:r w:rsidRPr="005E6081">
        <w:rPr>
          <w:rFonts w:ascii="Segoe UI" w:hAnsi="Segoe UI"/>
          <w:spacing w:val="-7"/>
          <w:sz w:val="21"/>
        </w:rPr>
        <w:t xml:space="preserve"> </w:t>
      </w:r>
      <w:r w:rsidRPr="005E6081">
        <w:rPr>
          <w:rFonts w:ascii="Segoe UI" w:hAnsi="Segoe UI"/>
          <w:sz w:val="21"/>
        </w:rPr>
        <w:t>projects,</w:t>
      </w:r>
      <w:r w:rsidRPr="005E6081">
        <w:rPr>
          <w:rFonts w:ascii="Segoe UI" w:hAnsi="Segoe UI"/>
          <w:spacing w:val="-7"/>
          <w:sz w:val="21"/>
        </w:rPr>
        <w:t xml:space="preserve"> </w:t>
      </w:r>
      <w:r w:rsidRPr="005E6081">
        <w:rPr>
          <w:rFonts w:ascii="Segoe UI" w:hAnsi="Segoe UI"/>
          <w:sz w:val="21"/>
        </w:rPr>
        <w:t>the</w:t>
      </w:r>
      <w:r w:rsidRPr="005E6081">
        <w:rPr>
          <w:rFonts w:ascii="Segoe UI" w:hAnsi="Segoe UI"/>
          <w:spacing w:val="-6"/>
          <w:sz w:val="21"/>
        </w:rPr>
        <w:t xml:space="preserve"> </w:t>
      </w:r>
      <w:r w:rsidRPr="005E6081">
        <w:rPr>
          <w:rFonts w:ascii="Segoe UI" w:hAnsi="Segoe UI"/>
          <w:sz w:val="21"/>
        </w:rPr>
        <w:t>TE</w:t>
      </w:r>
      <w:r w:rsidRPr="005E6081">
        <w:rPr>
          <w:rFonts w:ascii="Segoe UI" w:hAnsi="Segoe UI"/>
          <w:spacing w:val="-8"/>
          <w:sz w:val="21"/>
        </w:rPr>
        <w:t xml:space="preserve"> </w:t>
      </w:r>
      <w:r w:rsidRPr="005E6081">
        <w:rPr>
          <w:rFonts w:ascii="Segoe UI" w:hAnsi="Segoe UI"/>
          <w:sz w:val="21"/>
        </w:rPr>
        <w:t>will</w:t>
      </w:r>
      <w:r w:rsidRPr="005E6081">
        <w:rPr>
          <w:rFonts w:ascii="Segoe UI" w:hAnsi="Segoe UI"/>
          <w:spacing w:val="-6"/>
          <w:sz w:val="21"/>
        </w:rPr>
        <w:t xml:space="preserve"> </w:t>
      </w:r>
      <w:r w:rsidRPr="005E6081">
        <w:rPr>
          <w:rFonts w:ascii="Segoe UI" w:hAnsi="Segoe UI"/>
          <w:sz w:val="21"/>
        </w:rPr>
        <w:t>assess</w:t>
      </w:r>
      <w:r w:rsidRPr="005E6081">
        <w:rPr>
          <w:rFonts w:ascii="Segoe UI" w:hAnsi="Segoe UI"/>
          <w:spacing w:val="-7"/>
          <w:sz w:val="21"/>
        </w:rPr>
        <w:t xml:space="preserve"> </w:t>
      </w:r>
      <w:r w:rsidRPr="005E6081">
        <w:rPr>
          <w:rFonts w:ascii="Segoe UI" w:hAnsi="Segoe UI"/>
          <w:sz w:val="21"/>
        </w:rPr>
        <w:t>project</w:t>
      </w:r>
      <w:r w:rsidRPr="005E6081">
        <w:rPr>
          <w:rFonts w:ascii="Segoe UI" w:hAnsi="Segoe UI"/>
          <w:spacing w:val="-6"/>
          <w:sz w:val="21"/>
        </w:rPr>
        <w:t xml:space="preserve"> </w:t>
      </w:r>
      <w:r w:rsidRPr="005E6081">
        <w:rPr>
          <w:rFonts w:ascii="Segoe UI" w:hAnsi="Segoe UI"/>
          <w:sz w:val="21"/>
        </w:rPr>
        <w:t>performance</w:t>
      </w:r>
      <w:r w:rsidRPr="005E6081">
        <w:rPr>
          <w:rFonts w:ascii="Segoe UI" w:hAnsi="Segoe UI"/>
          <w:spacing w:val="-6"/>
          <w:sz w:val="21"/>
        </w:rPr>
        <w:t xml:space="preserve"> </w:t>
      </w:r>
      <w:r w:rsidRPr="005E6081">
        <w:rPr>
          <w:rFonts w:ascii="Segoe UI" w:hAnsi="Segoe UI"/>
          <w:sz w:val="21"/>
        </w:rPr>
        <w:t>against</w:t>
      </w:r>
      <w:r w:rsidRPr="005E6081">
        <w:rPr>
          <w:rFonts w:ascii="Segoe UI" w:hAnsi="Segoe UI"/>
          <w:spacing w:val="-6"/>
          <w:sz w:val="21"/>
        </w:rPr>
        <w:t xml:space="preserve"> </w:t>
      </w:r>
      <w:r w:rsidRPr="005E6081">
        <w:rPr>
          <w:rFonts w:ascii="Segoe UI" w:hAnsi="Segoe UI"/>
          <w:sz w:val="21"/>
        </w:rPr>
        <w:t>expectations</w:t>
      </w:r>
      <w:r w:rsidRPr="005E6081">
        <w:rPr>
          <w:rFonts w:ascii="Segoe UI" w:hAnsi="Segoe UI"/>
          <w:spacing w:val="-5"/>
          <w:sz w:val="21"/>
        </w:rPr>
        <w:t xml:space="preserve"> </w:t>
      </w:r>
      <w:r w:rsidRPr="005E6081">
        <w:rPr>
          <w:rFonts w:ascii="Segoe UI" w:hAnsi="Segoe UI"/>
          <w:sz w:val="21"/>
        </w:rPr>
        <w:t>set</w:t>
      </w:r>
      <w:r w:rsidRPr="005E6081">
        <w:rPr>
          <w:rFonts w:ascii="Segoe UI" w:hAnsi="Segoe UI"/>
          <w:spacing w:val="-8"/>
          <w:sz w:val="21"/>
        </w:rPr>
        <w:t xml:space="preserve"> </w:t>
      </w:r>
      <w:r w:rsidRPr="005E6081">
        <w:rPr>
          <w:rFonts w:ascii="Segoe UI" w:hAnsi="Segoe UI"/>
          <w:sz w:val="21"/>
        </w:rPr>
        <w:t>out</w:t>
      </w:r>
      <w:r w:rsidRPr="005E6081">
        <w:rPr>
          <w:rFonts w:ascii="Segoe UI" w:hAnsi="Segoe UI"/>
          <w:spacing w:val="-6"/>
          <w:sz w:val="21"/>
        </w:rPr>
        <w:t xml:space="preserve"> </w:t>
      </w:r>
      <w:r w:rsidRPr="005E6081">
        <w:rPr>
          <w:rFonts w:ascii="Segoe UI" w:hAnsi="Segoe UI"/>
          <w:sz w:val="21"/>
        </w:rPr>
        <w:t>in</w:t>
      </w:r>
      <w:r w:rsidRPr="005E6081">
        <w:rPr>
          <w:rFonts w:ascii="Segoe UI" w:hAnsi="Segoe UI"/>
          <w:spacing w:val="-6"/>
          <w:sz w:val="21"/>
        </w:rPr>
        <w:t xml:space="preserve"> </w:t>
      </w:r>
      <w:r w:rsidRPr="005E6081">
        <w:rPr>
          <w:rFonts w:ascii="Segoe UI" w:hAnsi="Segoe UI"/>
          <w:sz w:val="21"/>
        </w:rPr>
        <w:t xml:space="preserve">the project’s Logical Framework/Results Framework (see ToR Annex A). The TEs will assess results according to the criteria outlined in the </w:t>
      </w:r>
      <w:r w:rsidRPr="005E6081">
        <w:rPr>
          <w:rFonts w:ascii="Segoe UI" w:hAnsi="Segoe UI"/>
          <w:sz w:val="21"/>
          <w:u w:val="single" w:color="0000FF"/>
        </w:rPr>
        <w:t>Guidance for TEs of UNDP-supported GEF-financed Projects</w:t>
      </w:r>
      <w:r w:rsidRPr="005E6081">
        <w:rPr>
          <w:rFonts w:ascii="Segoe UI" w:hAnsi="Segoe UI"/>
          <w:sz w:val="21"/>
        </w:rPr>
        <w:t>. The Findings section of the TE reports will cover the topics listed</w:t>
      </w:r>
      <w:r w:rsidRPr="005E6081">
        <w:rPr>
          <w:rFonts w:ascii="Segoe UI" w:hAnsi="Segoe UI"/>
          <w:spacing w:val="-13"/>
          <w:sz w:val="21"/>
        </w:rPr>
        <w:t xml:space="preserve"> </w:t>
      </w:r>
      <w:r w:rsidRPr="005E6081">
        <w:rPr>
          <w:rFonts w:ascii="Segoe UI" w:hAnsi="Segoe UI"/>
          <w:sz w:val="21"/>
        </w:rPr>
        <w:t>below.</w:t>
      </w:r>
    </w:p>
    <w:p w14:paraId="3B279E89" w14:textId="77777777" w:rsidR="00E136A1" w:rsidRPr="005E6081" w:rsidRDefault="00E136A1" w:rsidP="00E136A1">
      <w:pPr>
        <w:pStyle w:val="BodyText"/>
        <w:rPr>
          <w:rFonts w:ascii="Segoe UI"/>
          <w:sz w:val="21"/>
        </w:rPr>
      </w:pPr>
    </w:p>
    <w:p w14:paraId="79F9C5CF" w14:textId="77777777" w:rsidR="00E136A1" w:rsidRPr="005E6081" w:rsidRDefault="00E136A1" w:rsidP="00E136A1">
      <w:pPr>
        <w:ind w:left="500"/>
        <w:jc w:val="both"/>
        <w:rPr>
          <w:rFonts w:ascii="Segoe UI" w:hAnsi="Segoe UI"/>
          <w:sz w:val="21"/>
        </w:rPr>
      </w:pPr>
      <w:r w:rsidRPr="005E6081">
        <w:rPr>
          <w:rFonts w:ascii="Segoe UI" w:hAnsi="Segoe UI"/>
          <w:sz w:val="21"/>
        </w:rPr>
        <w:t>A full outline of the TE reports’ content is provided in ToR Annex C.</w:t>
      </w:r>
    </w:p>
    <w:p w14:paraId="7E268072" w14:textId="77777777" w:rsidR="00E136A1" w:rsidRPr="005E6081" w:rsidRDefault="00E136A1" w:rsidP="00E136A1">
      <w:pPr>
        <w:pStyle w:val="BodyText"/>
        <w:spacing w:before="11"/>
        <w:rPr>
          <w:rFonts w:ascii="Segoe UI"/>
        </w:rPr>
      </w:pPr>
    </w:p>
    <w:p w14:paraId="261A8522" w14:textId="77777777" w:rsidR="00E136A1" w:rsidRPr="005E6081" w:rsidRDefault="00E136A1" w:rsidP="00E136A1">
      <w:pPr>
        <w:spacing w:before="1"/>
        <w:ind w:left="500"/>
        <w:jc w:val="both"/>
        <w:rPr>
          <w:rFonts w:ascii="Segoe UI" w:hAnsi="Segoe UI"/>
          <w:sz w:val="21"/>
        </w:rPr>
      </w:pPr>
      <w:bookmarkStart w:id="109" w:name="_Hlk75876425"/>
      <w:r w:rsidRPr="005E6081">
        <w:rPr>
          <w:rFonts w:ascii="Segoe UI" w:hAnsi="Segoe UI"/>
          <w:sz w:val="21"/>
        </w:rPr>
        <w:t>The asterisk “(*)” indicates criteria for which a rating is required</w:t>
      </w:r>
      <w:bookmarkEnd w:id="109"/>
      <w:r w:rsidRPr="005E6081">
        <w:rPr>
          <w:rFonts w:ascii="Segoe UI" w:hAnsi="Segoe UI"/>
          <w:sz w:val="21"/>
        </w:rPr>
        <w:t>.</w:t>
      </w:r>
    </w:p>
    <w:p w14:paraId="62723C98" w14:textId="77777777" w:rsidR="00E136A1" w:rsidRPr="005E6081" w:rsidRDefault="00E136A1" w:rsidP="00E136A1">
      <w:pPr>
        <w:pStyle w:val="BodyText"/>
        <w:rPr>
          <w:rFonts w:ascii="Segoe UI"/>
          <w:sz w:val="21"/>
        </w:rPr>
      </w:pPr>
    </w:p>
    <w:p w14:paraId="538B8BDA" w14:textId="77777777" w:rsidR="00E136A1" w:rsidRPr="005E6081" w:rsidRDefault="00E136A1" w:rsidP="00E136A1">
      <w:pPr>
        <w:ind w:left="500"/>
        <w:rPr>
          <w:rFonts w:ascii="Segoe UI"/>
          <w:sz w:val="21"/>
        </w:rPr>
      </w:pPr>
      <w:r w:rsidRPr="005E6081">
        <w:rPr>
          <w:rFonts w:ascii="Segoe UI"/>
          <w:sz w:val="21"/>
        </w:rPr>
        <w:t>Findings</w:t>
      </w:r>
    </w:p>
    <w:p w14:paraId="2B8114F8" w14:textId="77777777" w:rsidR="00E136A1" w:rsidRPr="005E6081" w:rsidRDefault="00E136A1" w:rsidP="00D80344">
      <w:pPr>
        <w:pStyle w:val="ListParagraph"/>
        <w:numPr>
          <w:ilvl w:val="1"/>
          <w:numId w:val="43"/>
        </w:numPr>
        <w:tabs>
          <w:tab w:val="left" w:pos="860"/>
          <w:tab w:val="left" w:pos="861"/>
        </w:tabs>
        <w:spacing w:before="242"/>
        <w:ind w:left="860" w:hanging="361"/>
        <w:rPr>
          <w:rFonts w:ascii="Segoe UI"/>
          <w:sz w:val="21"/>
        </w:rPr>
      </w:pPr>
      <w:r w:rsidRPr="005E6081">
        <w:rPr>
          <w:rFonts w:ascii="Segoe UI"/>
          <w:sz w:val="21"/>
          <w:u w:val="single"/>
        </w:rPr>
        <w:t>Project</w:t>
      </w:r>
      <w:r w:rsidRPr="005E6081">
        <w:rPr>
          <w:rFonts w:ascii="Segoe UI"/>
          <w:spacing w:val="-3"/>
          <w:sz w:val="21"/>
          <w:u w:val="single"/>
        </w:rPr>
        <w:t xml:space="preserve"> </w:t>
      </w:r>
      <w:r w:rsidRPr="005E6081">
        <w:rPr>
          <w:rFonts w:ascii="Segoe UI"/>
          <w:sz w:val="21"/>
          <w:u w:val="single"/>
        </w:rPr>
        <w:t>Design/Formulation</w:t>
      </w:r>
    </w:p>
    <w:p w14:paraId="120E41B8" w14:textId="77777777" w:rsidR="00E136A1" w:rsidRPr="005E6081" w:rsidRDefault="00E136A1" w:rsidP="00D80344">
      <w:pPr>
        <w:pStyle w:val="ListParagraph"/>
        <w:numPr>
          <w:ilvl w:val="0"/>
          <w:numId w:val="45"/>
        </w:numPr>
        <w:tabs>
          <w:tab w:val="left" w:pos="860"/>
          <w:tab w:val="left" w:pos="861"/>
        </w:tabs>
        <w:spacing w:before="184"/>
        <w:ind w:hanging="361"/>
        <w:rPr>
          <w:rFonts w:ascii="Segoe UI" w:hAnsi="Segoe UI"/>
          <w:sz w:val="21"/>
        </w:rPr>
      </w:pPr>
      <w:r w:rsidRPr="005E6081">
        <w:rPr>
          <w:rFonts w:ascii="Segoe UI" w:hAnsi="Segoe UI"/>
          <w:sz w:val="21"/>
        </w:rPr>
        <w:t>National priorities and country</w:t>
      </w:r>
      <w:r w:rsidRPr="005E6081">
        <w:rPr>
          <w:rFonts w:ascii="Segoe UI" w:hAnsi="Segoe UI"/>
          <w:spacing w:val="-6"/>
          <w:sz w:val="21"/>
        </w:rPr>
        <w:t xml:space="preserve"> </w:t>
      </w:r>
      <w:r w:rsidRPr="005E6081">
        <w:rPr>
          <w:rFonts w:ascii="Segoe UI" w:hAnsi="Segoe UI"/>
          <w:sz w:val="21"/>
        </w:rPr>
        <w:t>drivenness</w:t>
      </w:r>
    </w:p>
    <w:p w14:paraId="47FBD83B" w14:textId="77777777" w:rsidR="00E136A1" w:rsidRPr="005E6081" w:rsidRDefault="00E136A1" w:rsidP="00D80344">
      <w:pPr>
        <w:pStyle w:val="ListParagraph"/>
        <w:numPr>
          <w:ilvl w:val="0"/>
          <w:numId w:val="45"/>
        </w:numPr>
        <w:tabs>
          <w:tab w:val="left" w:pos="860"/>
          <w:tab w:val="left" w:pos="861"/>
        </w:tabs>
        <w:spacing w:before="23"/>
        <w:ind w:hanging="361"/>
        <w:rPr>
          <w:rFonts w:ascii="Segoe UI" w:hAnsi="Segoe UI"/>
          <w:sz w:val="21"/>
        </w:rPr>
      </w:pPr>
      <w:r w:rsidRPr="005E6081">
        <w:rPr>
          <w:rFonts w:ascii="Segoe UI" w:hAnsi="Segoe UI"/>
          <w:sz w:val="21"/>
        </w:rPr>
        <w:t>Theory of</w:t>
      </w:r>
      <w:r w:rsidRPr="005E6081">
        <w:rPr>
          <w:rFonts w:ascii="Segoe UI" w:hAnsi="Segoe UI"/>
          <w:spacing w:val="-4"/>
          <w:sz w:val="21"/>
        </w:rPr>
        <w:t xml:space="preserve"> </w:t>
      </w:r>
      <w:r w:rsidRPr="005E6081">
        <w:rPr>
          <w:rFonts w:ascii="Segoe UI" w:hAnsi="Segoe UI"/>
          <w:sz w:val="21"/>
        </w:rPr>
        <w:t>Change</w:t>
      </w:r>
    </w:p>
    <w:p w14:paraId="23A3259A" w14:textId="77777777" w:rsidR="00E136A1" w:rsidRPr="005E6081" w:rsidRDefault="00E136A1" w:rsidP="00D80344">
      <w:pPr>
        <w:pStyle w:val="ListParagraph"/>
        <w:numPr>
          <w:ilvl w:val="0"/>
          <w:numId w:val="45"/>
        </w:numPr>
        <w:tabs>
          <w:tab w:val="left" w:pos="860"/>
          <w:tab w:val="left" w:pos="861"/>
        </w:tabs>
        <w:spacing w:before="23"/>
        <w:ind w:hanging="361"/>
        <w:rPr>
          <w:rFonts w:ascii="Segoe UI" w:hAnsi="Segoe UI"/>
          <w:sz w:val="21"/>
        </w:rPr>
      </w:pPr>
      <w:r w:rsidRPr="005E6081">
        <w:rPr>
          <w:rFonts w:ascii="Segoe UI" w:hAnsi="Segoe UI"/>
          <w:sz w:val="21"/>
        </w:rPr>
        <w:t>Gender equality and women’s</w:t>
      </w:r>
      <w:r w:rsidRPr="005E6081">
        <w:rPr>
          <w:rFonts w:ascii="Segoe UI" w:hAnsi="Segoe UI"/>
          <w:spacing w:val="-5"/>
          <w:sz w:val="21"/>
        </w:rPr>
        <w:t xml:space="preserve"> </w:t>
      </w:r>
      <w:r w:rsidRPr="005E6081">
        <w:rPr>
          <w:rFonts w:ascii="Segoe UI" w:hAnsi="Segoe UI"/>
          <w:sz w:val="21"/>
        </w:rPr>
        <w:t>empowerment</w:t>
      </w:r>
    </w:p>
    <w:p w14:paraId="44E65A70" w14:textId="77777777" w:rsidR="00E136A1" w:rsidRPr="005E6081" w:rsidRDefault="00E136A1" w:rsidP="00D80344">
      <w:pPr>
        <w:pStyle w:val="ListParagraph"/>
        <w:numPr>
          <w:ilvl w:val="0"/>
          <w:numId w:val="45"/>
        </w:numPr>
        <w:tabs>
          <w:tab w:val="left" w:pos="860"/>
          <w:tab w:val="left" w:pos="861"/>
        </w:tabs>
        <w:spacing w:before="21"/>
        <w:ind w:hanging="361"/>
        <w:rPr>
          <w:rFonts w:ascii="Segoe UI" w:hAnsi="Segoe UI"/>
          <w:sz w:val="21"/>
        </w:rPr>
      </w:pPr>
      <w:r w:rsidRPr="005E6081">
        <w:rPr>
          <w:rFonts w:ascii="Segoe UI" w:hAnsi="Segoe UI"/>
          <w:sz w:val="21"/>
        </w:rPr>
        <w:t>Social and Environmental</w:t>
      </w:r>
      <w:r w:rsidRPr="005E6081">
        <w:rPr>
          <w:rFonts w:ascii="Segoe UI" w:hAnsi="Segoe UI"/>
          <w:spacing w:val="-6"/>
          <w:sz w:val="21"/>
        </w:rPr>
        <w:t xml:space="preserve"> </w:t>
      </w:r>
      <w:r w:rsidRPr="005E6081">
        <w:rPr>
          <w:rFonts w:ascii="Segoe UI" w:hAnsi="Segoe UI"/>
          <w:sz w:val="21"/>
        </w:rPr>
        <w:t>Safeguards</w:t>
      </w:r>
    </w:p>
    <w:p w14:paraId="54285E31" w14:textId="77777777" w:rsidR="00E136A1" w:rsidRPr="005E6081" w:rsidRDefault="00E136A1" w:rsidP="00D80344">
      <w:pPr>
        <w:pStyle w:val="ListParagraph"/>
        <w:numPr>
          <w:ilvl w:val="0"/>
          <w:numId w:val="45"/>
        </w:numPr>
        <w:tabs>
          <w:tab w:val="left" w:pos="860"/>
          <w:tab w:val="left" w:pos="861"/>
        </w:tabs>
        <w:spacing w:before="23"/>
        <w:ind w:hanging="361"/>
        <w:rPr>
          <w:rFonts w:ascii="Segoe UI" w:hAnsi="Segoe UI"/>
          <w:sz w:val="21"/>
        </w:rPr>
      </w:pPr>
      <w:r w:rsidRPr="005E6081">
        <w:rPr>
          <w:rFonts w:ascii="Segoe UI" w:hAnsi="Segoe UI"/>
          <w:sz w:val="21"/>
        </w:rPr>
        <w:t>Analysis of Results Framework: project logic and strategy,</w:t>
      </w:r>
      <w:r w:rsidRPr="005E6081">
        <w:rPr>
          <w:rFonts w:ascii="Segoe UI" w:hAnsi="Segoe UI"/>
          <w:spacing w:val="-5"/>
          <w:sz w:val="21"/>
        </w:rPr>
        <w:t xml:space="preserve"> </w:t>
      </w:r>
      <w:r w:rsidRPr="005E6081">
        <w:rPr>
          <w:rFonts w:ascii="Segoe UI" w:hAnsi="Segoe UI"/>
          <w:sz w:val="21"/>
        </w:rPr>
        <w:t>indicators</w:t>
      </w:r>
    </w:p>
    <w:p w14:paraId="2BB26009" w14:textId="77777777" w:rsidR="00E136A1" w:rsidRPr="005E6081" w:rsidRDefault="00E136A1" w:rsidP="00D80344">
      <w:pPr>
        <w:pStyle w:val="ListParagraph"/>
        <w:numPr>
          <w:ilvl w:val="0"/>
          <w:numId w:val="45"/>
        </w:numPr>
        <w:tabs>
          <w:tab w:val="left" w:pos="860"/>
          <w:tab w:val="left" w:pos="861"/>
        </w:tabs>
        <w:spacing w:before="21"/>
        <w:ind w:hanging="361"/>
        <w:rPr>
          <w:rFonts w:ascii="Segoe UI" w:hAnsi="Segoe UI"/>
          <w:sz w:val="21"/>
        </w:rPr>
      </w:pPr>
      <w:r w:rsidRPr="005E6081">
        <w:rPr>
          <w:rFonts w:ascii="Segoe UI" w:hAnsi="Segoe UI"/>
          <w:sz w:val="21"/>
        </w:rPr>
        <w:t>Assumptions and</w:t>
      </w:r>
      <w:r w:rsidRPr="005E6081">
        <w:rPr>
          <w:rFonts w:ascii="Segoe UI" w:hAnsi="Segoe UI"/>
          <w:spacing w:val="-4"/>
          <w:sz w:val="21"/>
        </w:rPr>
        <w:t xml:space="preserve"> </w:t>
      </w:r>
      <w:r w:rsidRPr="005E6081">
        <w:rPr>
          <w:rFonts w:ascii="Segoe UI" w:hAnsi="Segoe UI"/>
          <w:sz w:val="21"/>
        </w:rPr>
        <w:t>Risks</w:t>
      </w:r>
    </w:p>
    <w:p w14:paraId="751AF1C3" w14:textId="77777777" w:rsidR="00E136A1" w:rsidRPr="005E6081" w:rsidRDefault="00E136A1" w:rsidP="00D80344">
      <w:pPr>
        <w:pStyle w:val="ListParagraph"/>
        <w:numPr>
          <w:ilvl w:val="0"/>
          <w:numId w:val="45"/>
        </w:numPr>
        <w:tabs>
          <w:tab w:val="left" w:pos="860"/>
          <w:tab w:val="left" w:pos="861"/>
        </w:tabs>
        <w:spacing w:before="20"/>
        <w:ind w:hanging="361"/>
        <w:rPr>
          <w:rFonts w:ascii="Segoe UI" w:hAnsi="Segoe UI"/>
          <w:sz w:val="21"/>
        </w:rPr>
      </w:pPr>
      <w:r w:rsidRPr="005E6081">
        <w:rPr>
          <w:rFonts w:ascii="Segoe UI" w:hAnsi="Segoe UI"/>
          <w:sz w:val="21"/>
        </w:rPr>
        <w:t>Lessons from other relevant projects (e.g. same focal area) incorporated into project</w:t>
      </w:r>
      <w:r w:rsidRPr="005E6081">
        <w:rPr>
          <w:rFonts w:ascii="Segoe UI" w:hAnsi="Segoe UI"/>
          <w:spacing w:val="-16"/>
          <w:sz w:val="21"/>
        </w:rPr>
        <w:t xml:space="preserve"> </w:t>
      </w:r>
      <w:r w:rsidRPr="005E6081">
        <w:rPr>
          <w:rFonts w:ascii="Segoe UI" w:hAnsi="Segoe UI"/>
          <w:sz w:val="21"/>
        </w:rPr>
        <w:t>design</w:t>
      </w:r>
    </w:p>
    <w:p w14:paraId="25B9C465" w14:textId="77777777" w:rsidR="00E136A1" w:rsidRPr="005E6081" w:rsidRDefault="00E136A1" w:rsidP="00D80344">
      <w:pPr>
        <w:pStyle w:val="ListParagraph"/>
        <w:numPr>
          <w:ilvl w:val="0"/>
          <w:numId w:val="45"/>
        </w:numPr>
        <w:tabs>
          <w:tab w:val="left" w:pos="860"/>
          <w:tab w:val="left" w:pos="861"/>
        </w:tabs>
        <w:spacing w:before="79"/>
        <w:ind w:hanging="361"/>
        <w:rPr>
          <w:rFonts w:ascii="Segoe UI" w:hAnsi="Segoe UI"/>
          <w:sz w:val="21"/>
        </w:rPr>
      </w:pPr>
      <w:bookmarkStart w:id="110" w:name="_Hlk75876113"/>
      <w:bookmarkEnd w:id="108"/>
      <w:r w:rsidRPr="005E6081">
        <w:rPr>
          <w:rFonts w:ascii="Segoe UI" w:hAnsi="Segoe UI"/>
          <w:sz w:val="21"/>
        </w:rPr>
        <w:t>Planned stakeholder participation</w:t>
      </w:r>
    </w:p>
    <w:p w14:paraId="62B02896" w14:textId="77777777" w:rsidR="00E136A1" w:rsidRPr="005E6081" w:rsidRDefault="00E136A1" w:rsidP="00D80344">
      <w:pPr>
        <w:pStyle w:val="ListParagraph"/>
        <w:numPr>
          <w:ilvl w:val="0"/>
          <w:numId w:val="45"/>
        </w:numPr>
        <w:tabs>
          <w:tab w:val="left" w:pos="860"/>
          <w:tab w:val="left" w:pos="861"/>
        </w:tabs>
        <w:spacing w:before="2"/>
        <w:ind w:hanging="361"/>
        <w:rPr>
          <w:rFonts w:ascii="Segoe UI" w:hAnsi="Segoe UI"/>
          <w:sz w:val="21"/>
        </w:rPr>
      </w:pPr>
      <w:r w:rsidRPr="005E6081">
        <w:rPr>
          <w:rFonts w:ascii="Segoe UI" w:hAnsi="Segoe UI"/>
          <w:sz w:val="21"/>
        </w:rPr>
        <w:t>Linkages between project and other interventions within the</w:t>
      </w:r>
      <w:r w:rsidRPr="005E6081">
        <w:rPr>
          <w:rFonts w:ascii="Segoe UI" w:hAnsi="Segoe UI"/>
          <w:spacing w:val="-9"/>
          <w:sz w:val="21"/>
        </w:rPr>
        <w:t xml:space="preserve"> </w:t>
      </w:r>
      <w:r w:rsidRPr="005E6081">
        <w:rPr>
          <w:rFonts w:ascii="Segoe UI" w:hAnsi="Segoe UI"/>
          <w:sz w:val="21"/>
        </w:rPr>
        <w:t>sector</w:t>
      </w:r>
    </w:p>
    <w:p w14:paraId="1B11F0CA" w14:textId="77777777" w:rsidR="00E136A1" w:rsidRPr="005E6081" w:rsidRDefault="00E136A1" w:rsidP="00D80344">
      <w:pPr>
        <w:pStyle w:val="ListParagraph"/>
        <w:numPr>
          <w:ilvl w:val="0"/>
          <w:numId w:val="45"/>
        </w:numPr>
        <w:tabs>
          <w:tab w:val="left" w:pos="860"/>
          <w:tab w:val="left" w:pos="861"/>
        </w:tabs>
        <w:spacing w:before="23"/>
        <w:ind w:hanging="361"/>
        <w:rPr>
          <w:rFonts w:ascii="Segoe UI" w:hAnsi="Segoe UI"/>
          <w:sz w:val="21"/>
        </w:rPr>
      </w:pPr>
      <w:r w:rsidRPr="005E6081">
        <w:rPr>
          <w:rFonts w:ascii="Segoe UI" w:hAnsi="Segoe UI"/>
          <w:sz w:val="21"/>
        </w:rPr>
        <w:t>Management</w:t>
      </w:r>
      <w:r w:rsidRPr="005E6081">
        <w:rPr>
          <w:rFonts w:ascii="Segoe UI" w:hAnsi="Segoe UI"/>
          <w:spacing w:val="-3"/>
          <w:sz w:val="21"/>
        </w:rPr>
        <w:t xml:space="preserve"> </w:t>
      </w:r>
      <w:r w:rsidRPr="005E6081">
        <w:rPr>
          <w:rFonts w:ascii="Segoe UI" w:hAnsi="Segoe UI"/>
          <w:sz w:val="21"/>
        </w:rPr>
        <w:t>arrangements</w:t>
      </w:r>
    </w:p>
    <w:p w14:paraId="1A4F373F" w14:textId="77777777" w:rsidR="00E136A1" w:rsidRPr="005E6081" w:rsidRDefault="00E136A1" w:rsidP="00E136A1">
      <w:pPr>
        <w:pStyle w:val="BodyText"/>
        <w:spacing w:before="10"/>
        <w:rPr>
          <w:rFonts w:ascii="Segoe UI"/>
          <w:sz w:val="28"/>
        </w:rPr>
      </w:pPr>
    </w:p>
    <w:p w14:paraId="6C0738C3" w14:textId="77777777" w:rsidR="00E136A1" w:rsidRPr="005E6081" w:rsidRDefault="00E136A1" w:rsidP="00D80344">
      <w:pPr>
        <w:pStyle w:val="ListParagraph"/>
        <w:numPr>
          <w:ilvl w:val="1"/>
          <w:numId w:val="43"/>
        </w:numPr>
        <w:tabs>
          <w:tab w:val="left" w:pos="860"/>
          <w:tab w:val="left" w:pos="861"/>
        </w:tabs>
        <w:spacing w:before="0"/>
        <w:ind w:left="860" w:hanging="361"/>
        <w:rPr>
          <w:rFonts w:ascii="Segoe UI"/>
          <w:sz w:val="21"/>
        </w:rPr>
      </w:pPr>
      <w:r w:rsidRPr="005E6081">
        <w:rPr>
          <w:rFonts w:ascii="Segoe UI"/>
          <w:sz w:val="21"/>
          <w:u w:val="single"/>
        </w:rPr>
        <w:t>Project Implementation</w:t>
      </w:r>
    </w:p>
    <w:p w14:paraId="6C19789D" w14:textId="77777777" w:rsidR="00E136A1" w:rsidRPr="005E6081" w:rsidRDefault="00E136A1" w:rsidP="00E136A1">
      <w:pPr>
        <w:pStyle w:val="BodyText"/>
        <w:spacing w:before="9"/>
        <w:rPr>
          <w:rFonts w:ascii="Segoe UI"/>
          <w:sz w:val="25"/>
        </w:rPr>
      </w:pPr>
    </w:p>
    <w:p w14:paraId="28350EE8" w14:textId="77777777" w:rsidR="00E136A1" w:rsidRPr="005E6081" w:rsidRDefault="00E136A1" w:rsidP="00D80344">
      <w:pPr>
        <w:pStyle w:val="ListParagraph"/>
        <w:numPr>
          <w:ilvl w:val="0"/>
          <w:numId w:val="45"/>
        </w:numPr>
        <w:tabs>
          <w:tab w:val="left" w:pos="860"/>
          <w:tab w:val="left" w:pos="861"/>
        </w:tabs>
        <w:spacing w:before="102"/>
        <w:ind w:hanging="361"/>
        <w:rPr>
          <w:rFonts w:ascii="Segoe UI" w:hAnsi="Segoe UI"/>
          <w:sz w:val="21"/>
        </w:rPr>
      </w:pPr>
      <w:r w:rsidRPr="005E6081">
        <w:rPr>
          <w:rFonts w:ascii="Segoe UI" w:hAnsi="Segoe UI"/>
          <w:sz w:val="21"/>
        </w:rPr>
        <w:t>Adaptive</w:t>
      </w:r>
      <w:r w:rsidRPr="005E6081">
        <w:rPr>
          <w:rFonts w:ascii="Segoe UI" w:hAnsi="Segoe UI"/>
          <w:spacing w:val="-13"/>
          <w:sz w:val="21"/>
        </w:rPr>
        <w:t xml:space="preserve"> </w:t>
      </w:r>
      <w:r w:rsidRPr="005E6081">
        <w:rPr>
          <w:rFonts w:ascii="Segoe UI" w:hAnsi="Segoe UI"/>
          <w:sz w:val="21"/>
        </w:rPr>
        <w:t>management</w:t>
      </w:r>
      <w:r w:rsidRPr="005E6081">
        <w:rPr>
          <w:rFonts w:ascii="Segoe UI" w:hAnsi="Segoe UI"/>
          <w:spacing w:val="-12"/>
          <w:sz w:val="21"/>
        </w:rPr>
        <w:t xml:space="preserve"> </w:t>
      </w:r>
      <w:r w:rsidRPr="005E6081">
        <w:rPr>
          <w:rFonts w:ascii="Segoe UI" w:hAnsi="Segoe UI"/>
          <w:sz w:val="21"/>
        </w:rPr>
        <w:t>(changes</w:t>
      </w:r>
      <w:r w:rsidRPr="005E6081">
        <w:rPr>
          <w:rFonts w:ascii="Segoe UI" w:hAnsi="Segoe UI"/>
          <w:spacing w:val="-14"/>
          <w:sz w:val="21"/>
        </w:rPr>
        <w:t xml:space="preserve"> </w:t>
      </w:r>
      <w:r w:rsidRPr="005E6081">
        <w:rPr>
          <w:rFonts w:ascii="Segoe UI" w:hAnsi="Segoe UI"/>
          <w:sz w:val="21"/>
        </w:rPr>
        <w:t>to</w:t>
      </w:r>
      <w:r w:rsidRPr="005E6081">
        <w:rPr>
          <w:rFonts w:ascii="Segoe UI" w:hAnsi="Segoe UI"/>
          <w:spacing w:val="-11"/>
          <w:sz w:val="21"/>
        </w:rPr>
        <w:t xml:space="preserve"> </w:t>
      </w:r>
      <w:r w:rsidRPr="005E6081">
        <w:rPr>
          <w:rFonts w:ascii="Segoe UI" w:hAnsi="Segoe UI"/>
          <w:sz w:val="21"/>
        </w:rPr>
        <w:t>the</w:t>
      </w:r>
      <w:r w:rsidRPr="005E6081">
        <w:rPr>
          <w:rFonts w:ascii="Segoe UI" w:hAnsi="Segoe UI"/>
          <w:spacing w:val="-13"/>
          <w:sz w:val="21"/>
        </w:rPr>
        <w:t xml:space="preserve"> </w:t>
      </w:r>
      <w:r w:rsidRPr="005E6081">
        <w:rPr>
          <w:rFonts w:ascii="Segoe UI" w:hAnsi="Segoe UI"/>
          <w:sz w:val="21"/>
        </w:rPr>
        <w:t>project</w:t>
      </w:r>
      <w:r w:rsidRPr="005E6081">
        <w:rPr>
          <w:rFonts w:ascii="Segoe UI" w:hAnsi="Segoe UI"/>
          <w:spacing w:val="-12"/>
          <w:sz w:val="21"/>
        </w:rPr>
        <w:t xml:space="preserve"> </w:t>
      </w:r>
      <w:r w:rsidRPr="005E6081">
        <w:rPr>
          <w:rFonts w:ascii="Segoe UI" w:hAnsi="Segoe UI"/>
          <w:sz w:val="21"/>
        </w:rPr>
        <w:t>design</w:t>
      </w:r>
      <w:r w:rsidRPr="005E6081">
        <w:rPr>
          <w:rFonts w:ascii="Segoe UI" w:hAnsi="Segoe UI"/>
          <w:spacing w:val="-13"/>
          <w:sz w:val="21"/>
        </w:rPr>
        <w:t xml:space="preserve"> </w:t>
      </w:r>
      <w:r w:rsidRPr="005E6081">
        <w:rPr>
          <w:rFonts w:ascii="Segoe UI" w:hAnsi="Segoe UI"/>
          <w:sz w:val="21"/>
        </w:rPr>
        <w:t>and</w:t>
      </w:r>
      <w:r w:rsidRPr="005E6081">
        <w:rPr>
          <w:rFonts w:ascii="Segoe UI" w:hAnsi="Segoe UI"/>
          <w:spacing w:val="-12"/>
          <w:sz w:val="21"/>
        </w:rPr>
        <w:t xml:space="preserve"> </w:t>
      </w:r>
      <w:r w:rsidRPr="005E6081">
        <w:rPr>
          <w:rFonts w:ascii="Segoe UI" w:hAnsi="Segoe UI"/>
          <w:sz w:val="21"/>
        </w:rPr>
        <w:t>project</w:t>
      </w:r>
      <w:r w:rsidRPr="005E6081">
        <w:rPr>
          <w:rFonts w:ascii="Segoe UI" w:hAnsi="Segoe UI"/>
          <w:spacing w:val="-13"/>
          <w:sz w:val="21"/>
        </w:rPr>
        <w:t xml:space="preserve"> </w:t>
      </w:r>
      <w:r w:rsidRPr="005E6081">
        <w:rPr>
          <w:rFonts w:ascii="Segoe UI" w:hAnsi="Segoe UI"/>
          <w:sz w:val="21"/>
        </w:rPr>
        <w:t>outputs</w:t>
      </w:r>
      <w:r w:rsidRPr="005E6081">
        <w:rPr>
          <w:rFonts w:ascii="Segoe UI" w:hAnsi="Segoe UI"/>
          <w:spacing w:val="-13"/>
          <w:sz w:val="21"/>
        </w:rPr>
        <w:t xml:space="preserve"> </w:t>
      </w:r>
      <w:r w:rsidRPr="005E6081">
        <w:rPr>
          <w:rFonts w:ascii="Segoe UI" w:hAnsi="Segoe UI"/>
          <w:sz w:val="21"/>
        </w:rPr>
        <w:t>during</w:t>
      </w:r>
      <w:r w:rsidRPr="005E6081">
        <w:rPr>
          <w:rFonts w:ascii="Segoe UI" w:hAnsi="Segoe UI"/>
          <w:spacing w:val="-12"/>
          <w:sz w:val="21"/>
        </w:rPr>
        <w:t xml:space="preserve"> </w:t>
      </w:r>
      <w:r w:rsidRPr="005E6081">
        <w:rPr>
          <w:rFonts w:ascii="Segoe UI" w:hAnsi="Segoe UI"/>
          <w:sz w:val="21"/>
        </w:rPr>
        <w:t>implementation)</w:t>
      </w:r>
    </w:p>
    <w:p w14:paraId="1689951A" w14:textId="77777777" w:rsidR="00E136A1" w:rsidRPr="005E6081" w:rsidRDefault="00E136A1" w:rsidP="00D80344">
      <w:pPr>
        <w:pStyle w:val="ListParagraph"/>
        <w:numPr>
          <w:ilvl w:val="0"/>
          <w:numId w:val="45"/>
        </w:numPr>
        <w:tabs>
          <w:tab w:val="left" w:pos="860"/>
          <w:tab w:val="left" w:pos="861"/>
        </w:tabs>
        <w:spacing w:before="21"/>
        <w:ind w:hanging="361"/>
        <w:rPr>
          <w:rFonts w:ascii="Segoe UI" w:hAnsi="Segoe UI"/>
          <w:sz w:val="21"/>
        </w:rPr>
      </w:pPr>
      <w:r w:rsidRPr="005E6081">
        <w:rPr>
          <w:rFonts w:ascii="Segoe UI" w:hAnsi="Segoe UI"/>
          <w:sz w:val="21"/>
        </w:rPr>
        <w:t>Actual stakeholder participation and partnership</w:t>
      </w:r>
      <w:r w:rsidRPr="005E6081">
        <w:rPr>
          <w:rFonts w:ascii="Segoe UI" w:hAnsi="Segoe UI"/>
          <w:spacing w:val="-6"/>
          <w:sz w:val="21"/>
        </w:rPr>
        <w:t xml:space="preserve"> </w:t>
      </w:r>
      <w:r w:rsidRPr="005E6081">
        <w:rPr>
          <w:rFonts w:ascii="Segoe UI" w:hAnsi="Segoe UI"/>
          <w:sz w:val="21"/>
        </w:rPr>
        <w:t>arrangements</w:t>
      </w:r>
    </w:p>
    <w:p w14:paraId="3729D07A" w14:textId="77777777" w:rsidR="00E136A1" w:rsidRPr="005E6081" w:rsidRDefault="00E136A1" w:rsidP="00D80344">
      <w:pPr>
        <w:pStyle w:val="ListParagraph"/>
        <w:numPr>
          <w:ilvl w:val="0"/>
          <w:numId w:val="45"/>
        </w:numPr>
        <w:tabs>
          <w:tab w:val="left" w:pos="860"/>
          <w:tab w:val="left" w:pos="861"/>
        </w:tabs>
        <w:spacing w:before="23"/>
        <w:ind w:hanging="361"/>
        <w:rPr>
          <w:rFonts w:ascii="Segoe UI" w:hAnsi="Segoe UI"/>
          <w:sz w:val="21"/>
        </w:rPr>
      </w:pPr>
      <w:r w:rsidRPr="005E6081">
        <w:rPr>
          <w:rFonts w:ascii="Segoe UI" w:hAnsi="Segoe UI"/>
          <w:sz w:val="21"/>
        </w:rPr>
        <w:t>Project Finance and</w:t>
      </w:r>
      <w:r w:rsidRPr="005E6081">
        <w:rPr>
          <w:rFonts w:ascii="Segoe UI" w:hAnsi="Segoe UI"/>
          <w:spacing w:val="-5"/>
          <w:sz w:val="21"/>
        </w:rPr>
        <w:t xml:space="preserve"> </w:t>
      </w:r>
      <w:r w:rsidRPr="005E6081">
        <w:rPr>
          <w:rFonts w:ascii="Segoe UI" w:hAnsi="Segoe UI"/>
          <w:sz w:val="21"/>
        </w:rPr>
        <w:t>Co-finance</w:t>
      </w:r>
    </w:p>
    <w:p w14:paraId="5A2F9D7A" w14:textId="77777777" w:rsidR="00E136A1" w:rsidRPr="005E6081" w:rsidRDefault="00E136A1" w:rsidP="00D80344">
      <w:pPr>
        <w:pStyle w:val="ListParagraph"/>
        <w:numPr>
          <w:ilvl w:val="0"/>
          <w:numId w:val="45"/>
        </w:numPr>
        <w:tabs>
          <w:tab w:val="left" w:pos="860"/>
          <w:tab w:val="left" w:pos="861"/>
        </w:tabs>
        <w:spacing w:before="20" w:line="259" w:lineRule="auto"/>
        <w:ind w:right="1437"/>
        <w:rPr>
          <w:rFonts w:ascii="Segoe UI" w:hAnsi="Segoe UI"/>
          <w:sz w:val="21"/>
        </w:rPr>
      </w:pPr>
      <w:r w:rsidRPr="005E6081">
        <w:rPr>
          <w:rFonts w:ascii="Segoe UI" w:hAnsi="Segoe UI"/>
          <w:sz w:val="21"/>
        </w:rPr>
        <w:t>Monitoring &amp; Evaluation: design at entry (*), implementation (*), and overall assessment of M&amp;E (*)</w:t>
      </w:r>
    </w:p>
    <w:p w14:paraId="6FB94442" w14:textId="77777777" w:rsidR="00E136A1" w:rsidRPr="005E6081" w:rsidRDefault="00E136A1" w:rsidP="00D80344">
      <w:pPr>
        <w:pStyle w:val="ListParagraph"/>
        <w:numPr>
          <w:ilvl w:val="0"/>
          <w:numId w:val="45"/>
        </w:numPr>
        <w:tabs>
          <w:tab w:val="left" w:pos="860"/>
          <w:tab w:val="left" w:pos="861"/>
          <w:tab w:val="left" w:pos="2451"/>
          <w:tab w:val="left" w:pos="3432"/>
          <w:tab w:val="left" w:pos="4420"/>
          <w:tab w:val="left" w:pos="4931"/>
          <w:tab w:val="left" w:pos="5574"/>
          <w:tab w:val="left" w:pos="6764"/>
          <w:tab w:val="left" w:pos="7745"/>
          <w:tab w:val="left" w:pos="8299"/>
          <w:tab w:val="left" w:pos="9210"/>
        </w:tabs>
        <w:spacing w:before="2" w:line="256" w:lineRule="auto"/>
        <w:ind w:right="1439"/>
        <w:rPr>
          <w:rFonts w:ascii="Segoe UI" w:hAnsi="Segoe UI"/>
          <w:sz w:val="21"/>
        </w:rPr>
      </w:pPr>
      <w:r w:rsidRPr="005E6081">
        <w:rPr>
          <w:rFonts w:ascii="Segoe UI" w:hAnsi="Segoe UI"/>
          <w:sz w:val="21"/>
        </w:rPr>
        <w:t>Implementing</w:t>
      </w:r>
      <w:r w:rsidRPr="005E6081">
        <w:rPr>
          <w:rFonts w:ascii="Segoe UI" w:hAnsi="Segoe UI"/>
          <w:sz w:val="21"/>
        </w:rPr>
        <w:tab/>
        <w:t>Agency</w:t>
      </w:r>
      <w:r w:rsidRPr="005E6081">
        <w:rPr>
          <w:rFonts w:ascii="Segoe UI" w:hAnsi="Segoe UI"/>
          <w:sz w:val="21"/>
        </w:rPr>
        <w:tab/>
        <w:t>(UNDP)</w:t>
      </w:r>
      <w:r w:rsidRPr="005E6081">
        <w:rPr>
          <w:rFonts w:ascii="Segoe UI" w:hAnsi="Segoe UI"/>
          <w:sz w:val="21"/>
        </w:rPr>
        <w:tab/>
        <w:t>(*)</w:t>
      </w:r>
      <w:r w:rsidRPr="005E6081">
        <w:rPr>
          <w:rFonts w:ascii="Segoe UI" w:hAnsi="Segoe UI"/>
          <w:sz w:val="21"/>
        </w:rPr>
        <w:tab/>
        <w:t>and</w:t>
      </w:r>
      <w:r w:rsidRPr="005E6081">
        <w:rPr>
          <w:rFonts w:ascii="Segoe UI" w:hAnsi="Segoe UI"/>
          <w:sz w:val="21"/>
        </w:rPr>
        <w:tab/>
        <w:t>Executing</w:t>
      </w:r>
      <w:r w:rsidRPr="005E6081">
        <w:rPr>
          <w:rFonts w:ascii="Segoe UI" w:hAnsi="Segoe UI"/>
          <w:sz w:val="21"/>
        </w:rPr>
        <w:tab/>
        <w:t>Agency</w:t>
      </w:r>
      <w:r w:rsidRPr="005E6081">
        <w:rPr>
          <w:rFonts w:ascii="Segoe UI" w:hAnsi="Segoe UI"/>
          <w:sz w:val="21"/>
        </w:rPr>
        <w:tab/>
        <w:t>(*),</w:t>
      </w:r>
      <w:r w:rsidRPr="005E6081">
        <w:rPr>
          <w:rFonts w:ascii="Segoe UI" w:hAnsi="Segoe UI"/>
          <w:sz w:val="21"/>
        </w:rPr>
        <w:tab/>
        <w:t>overall</w:t>
      </w:r>
      <w:r w:rsidRPr="005E6081">
        <w:rPr>
          <w:rFonts w:ascii="Segoe UI" w:hAnsi="Segoe UI"/>
          <w:sz w:val="21"/>
        </w:rPr>
        <w:tab/>
      </w:r>
      <w:r w:rsidRPr="005E6081">
        <w:rPr>
          <w:rFonts w:ascii="Segoe UI" w:hAnsi="Segoe UI"/>
          <w:spacing w:val="-4"/>
          <w:sz w:val="21"/>
        </w:rPr>
        <w:t xml:space="preserve">project </w:t>
      </w:r>
      <w:r w:rsidRPr="005E6081">
        <w:rPr>
          <w:rFonts w:ascii="Segoe UI" w:hAnsi="Segoe UI"/>
          <w:sz w:val="21"/>
        </w:rPr>
        <w:t>oversight/implementation and execution</w:t>
      </w:r>
      <w:r w:rsidRPr="005E6081">
        <w:rPr>
          <w:rFonts w:ascii="Segoe UI" w:hAnsi="Segoe UI"/>
          <w:spacing w:val="-7"/>
          <w:sz w:val="21"/>
        </w:rPr>
        <w:t xml:space="preserve"> </w:t>
      </w:r>
      <w:r w:rsidRPr="005E6081">
        <w:rPr>
          <w:rFonts w:ascii="Segoe UI" w:hAnsi="Segoe UI"/>
          <w:sz w:val="21"/>
        </w:rPr>
        <w:t>(*)</w:t>
      </w:r>
    </w:p>
    <w:p w14:paraId="317C8A3E" w14:textId="77777777" w:rsidR="00E136A1" w:rsidRPr="005E6081" w:rsidRDefault="00E136A1" w:rsidP="00D80344">
      <w:pPr>
        <w:pStyle w:val="ListParagraph"/>
        <w:numPr>
          <w:ilvl w:val="0"/>
          <w:numId w:val="45"/>
        </w:numPr>
        <w:tabs>
          <w:tab w:val="left" w:pos="860"/>
          <w:tab w:val="left" w:pos="861"/>
        </w:tabs>
        <w:spacing w:before="5"/>
        <w:ind w:hanging="361"/>
        <w:rPr>
          <w:rFonts w:ascii="Segoe UI" w:hAnsi="Segoe UI"/>
          <w:sz w:val="21"/>
        </w:rPr>
      </w:pPr>
      <w:r w:rsidRPr="005E6081">
        <w:rPr>
          <w:rFonts w:ascii="Segoe UI" w:hAnsi="Segoe UI"/>
          <w:sz w:val="21"/>
        </w:rPr>
        <w:t>Risk Management, including Social and Environmental</w:t>
      </w:r>
      <w:r w:rsidRPr="005E6081">
        <w:rPr>
          <w:rFonts w:ascii="Segoe UI" w:hAnsi="Segoe UI"/>
          <w:spacing w:val="-4"/>
          <w:sz w:val="21"/>
        </w:rPr>
        <w:t xml:space="preserve"> </w:t>
      </w:r>
      <w:r w:rsidRPr="005E6081">
        <w:rPr>
          <w:rFonts w:ascii="Segoe UI" w:hAnsi="Segoe UI"/>
          <w:sz w:val="21"/>
        </w:rPr>
        <w:t>Standards</w:t>
      </w:r>
    </w:p>
    <w:p w14:paraId="11D04684" w14:textId="77777777" w:rsidR="00E136A1" w:rsidRPr="005E6081" w:rsidRDefault="00E136A1" w:rsidP="00E136A1">
      <w:pPr>
        <w:pStyle w:val="BodyText"/>
        <w:spacing w:before="2"/>
        <w:rPr>
          <w:rFonts w:ascii="Segoe UI"/>
          <w:sz w:val="33"/>
        </w:rPr>
      </w:pPr>
    </w:p>
    <w:p w14:paraId="7E2DEF32" w14:textId="77777777" w:rsidR="00E136A1" w:rsidRPr="005E6081" w:rsidRDefault="00E136A1" w:rsidP="00D80344">
      <w:pPr>
        <w:pStyle w:val="ListParagraph"/>
        <w:numPr>
          <w:ilvl w:val="1"/>
          <w:numId w:val="43"/>
        </w:numPr>
        <w:tabs>
          <w:tab w:val="left" w:pos="861"/>
        </w:tabs>
        <w:spacing w:before="0"/>
        <w:ind w:left="860" w:hanging="361"/>
        <w:rPr>
          <w:rFonts w:ascii="Segoe UI"/>
          <w:sz w:val="21"/>
        </w:rPr>
      </w:pPr>
      <w:r w:rsidRPr="005E6081">
        <w:rPr>
          <w:rFonts w:ascii="Segoe UI"/>
          <w:sz w:val="21"/>
          <w:u w:val="single"/>
        </w:rPr>
        <w:t>Project</w:t>
      </w:r>
      <w:r w:rsidRPr="005E6081">
        <w:rPr>
          <w:rFonts w:ascii="Segoe UI"/>
          <w:spacing w:val="-2"/>
          <w:sz w:val="21"/>
          <w:u w:val="single"/>
        </w:rPr>
        <w:t xml:space="preserve"> </w:t>
      </w:r>
      <w:r w:rsidRPr="005E6081">
        <w:rPr>
          <w:rFonts w:ascii="Segoe UI"/>
          <w:sz w:val="21"/>
          <w:u w:val="single"/>
        </w:rPr>
        <w:t>Results</w:t>
      </w:r>
    </w:p>
    <w:p w14:paraId="433E48AD" w14:textId="77777777" w:rsidR="00E136A1" w:rsidRPr="005E6081" w:rsidRDefault="00E136A1" w:rsidP="00E136A1">
      <w:pPr>
        <w:pStyle w:val="BodyText"/>
        <w:spacing w:before="5"/>
        <w:rPr>
          <w:rFonts w:ascii="Segoe UI"/>
          <w:sz w:val="21"/>
        </w:rPr>
      </w:pPr>
    </w:p>
    <w:p w14:paraId="4776E3E6" w14:textId="77777777" w:rsidR="00E136A1" w:rsidRPr="005E6081" w:rsidRDefault="00E136A1" w:rsidP="00D80344">
      <w:pPr>
        <w:pStyle w:val="ListParagraph"/>
        <w:numPr>
          <w:ilvl w:val="0"/>
          <w:numId w:val="45"/>
        </w:numPr>
        <w:tabs>
          <w:tab w:val="left" w:pos="860"/>
          <w:tab w:val="left" w:pos="861"/>
        </w:tabs>
        <w:spacing w:before="101" w:line="256" w:lineRule="auto"/>
        <w:ind w:right="1442"/>
        <w:rPr>
          <w:rFonts w:ascii="Segoe UI" w:hAnsi="Segoe UI"/>
          <w:sz w:val="21"/>
        </w:rPr>
      </w:pPr>
      <w:r w:rsidRPr="005E6081">
        <w:rPr>
          <w:rFonts w:ascii="Segoe UI" w:hAnsi="Segoe UI"/>
          <w:sz w:val="21"/>
        </w:rPr>
        <w:t xml:space="preserve">Assess the achievement of outcomes against indicators by reporting on the level of </w:t>
      </w:r>
      <w:r w:rsidRPr="005E6081">
        <w:rPr>
          <w:rFonts w:ascii="Segoe UI" w:hAnsi="Segoe UI"/>
          <w:sz w:val="21"/>
        </w:rPr>
        <w:lastRenderedPageBreak/>
        <w:t>progress for each objective and outcome indicator at the time of the TE and noting final</w:t>
      </w:r>
      <w:r w:rsidRPr="005E6081">
        <w:rPr>
          <w:rFonts w:ascii="Segoe UI" w:hAnsi="Segoe UI"/>
          <w:spacing w:val="-17"/>
          <w:sz w:val="21"/>
        </w:rPr>
        <w:t xml:space="preserve"> </w:t>
      </w:r>
      <w:r w:rsidRPr="005E6081">
        <w:rPr>
          <w:rFonts w:ascii="Segoe UI" w:hAnsi="Segoe UI"/>
          <w:sz w:val="21"/>
        </w:rPr>
        <w:t>achievements</w:t>
      </w:r>
    </w:p>
    <w:p w14:paraId="3711BA3C" w14:textId="77777777" w:rsidR="00E136A1" w:rsidRPr="005E6081" w:rsidRDefault="00E136A1" w:rsidP="00D80344">
      <w:pPr>
        <w:pStyle w:val="ListParagraph"/>
        <w:numPr>
          <w:ilvl w:val="0"/>
          <w:numId w:val="45"/>
        </w:numPr>
        <w:tabs>
          <w:tab w:val="left" w:pos="860"/>
          <w:tab w:val="left" w:pos="861"/>
        </w:tabs>
        <w:spacing w:before="5"/>
        <w:ind w:hanging="361"/>
        <w:rPr>
          <w:rFonts w:ascii="Segoe UI" w:hAnsi="Segoe UI"/>
          <w:sz w:val="21"/>
        </w:rPr>
      </w:pPr>
      <w:r w:rsidRPr="005E6081">
        <w:rPr>
          <w:rFonts w:ascii="Segoe UI" w:hAnsi="Segoe UI"/>
          <w:sz w:val="21"/>
        </w:rPr>
        <w:t>Relevance (*), Effectiveness (*), Efficiency (*) and overall project outcome</w:t>
      </w:r>
      <w:r w:rsidRPr="005E6081">
        <w:rPr>
          <w:rFonts w:ascii="Segoe UI" w:hAnsi="Segoe UI"/>
          <w:spacing w:val="-10"/>
          <w:sz w:val="21"/>
        </w:rPr>
        <w:t xml:space="preserve"> </w:t>
      </w:r>
      <w:r w:rsidRPr="005E6081">
        <w:rPr>
          <w:rFonts w:ascii="Segoe UI" w:hAnsi="Segoe UI"/>
          <w:sz w:val="21"/>
        </w:rPr>
        <w:t>(*)</w:t>
      </w:r>
    </w:p>
    <w:p w14:paraId="3E2254CE" w14:textId="77777777" w:rsidR="00E136A1" w:rsidRPr="005E6081" w:rsidRDefault="00E136A1" w:rsidP="00D80344">
      <w:pPr>
        <w:pStyle w:val="ListParagraph"/>
        <w:numPr>
          <w:ilvl w:val="0"/>
          <w:numId w:val="45"/>
        </w:numPr>
        <w:tabs>
          <w:tab w:val="left" w:pos="860"/>
          <w:tab w:val="left" w:pos="861"/>
        </w:tabs>
        <w:spacing w:before="20" w:line="259" w:lineRule="auto"/>
        <w:ind w:right="1439"/>
        <w:rPr>
          <w:rFonts w:ascii="Segoe UI" w:hAnsi="Segoe UI"/>
          <w:sz w:val="21"/>
        </w:rPr>
      </w:pPr>
      <w:r w:rsidRPr="005E6081">
        <w:rPr>
          <w:rFonts w:ascii="Segoe UI" w:hAnsi="Segoe UI"/>
          <w:sz w:val="21"/>
        </w:rPr>
        <w:t>Sustainability: financial (*)</w:t>
      </w:r>
      <w:r w:rsidRPr="005E6081">
        <w:rPr>
          <w:sz w:val="21"/>
        </w:rPr>
        <w:t xml:space="preserve">, </w:t>
      </w:r>
      <w:r w:rsidRPr="005E6081">
        <w:rPr>
          <w:rFonts w:ascii="Segoe UI" w:hAnsi="Segoe UI"/>
          <w:sz w:val="21"/>
        </w:rPr>
        <w:t>socio-political (*), institutional framework and governance (*), environmental (*), overall likelihood of sustainability</w:t>
      </w:r>
      <w:r w:rsidRPr="005E6081">
        <w:rPr>
          <w:rFonts w:ascii="Segoe UI" w:hAnsi="Segoe UI"/>
          <w:spacing w:val="-7"/>
          <w:sz w:val="21"/>
        </w:rPr>
        <w:t xml:space="preserve"> </w:t>
      </w:r>
      <w:r w:rsidRPr="005E6081">
        <w:rPr>
          <w:rFonts w:ascii="Segoe UI" w:hAnsi="Segoe UI"/>
          <w:sz w:val="21"/>
        </w:rPr>
        <w:t>(*)</w:t>
      </w:r>
    </w:p>
    <w:p w14:paraId="461C47D7" w14:textId="77777777" w:rsidR="00E136A1" w:rsidRPr="005E6081" w:rsidRDefault="00E136A1" w:rsidP="00D80344">
      <w:pPr>
        <w:pStyle w:val="ListParagraph"/>
        <w:numPr>
          <w:ilvl w:val="0"/>
          <w:numId w:val="45"/>
        </w:numPr>
        <w:tabs>
          <w:tab w:val="left" w:pos="860"/>
          <w:tab w:val="left" w:pos="861"/>
        </w:tabs>
        <w:spacing w:before="2"/>
        <w:ind w:hanging="361"/>
        <w:rPr>
          <w:rFonts w:ascii="Segoe UI" w:hAnsi="Segoe UI"/>
          <w:sz w:val="21"/>
        </w:rPr>
      </w:pPr>
      <w:r w:rsidRPr="005E6081">
        <w:rPr>
          <w:rFonts w:ascii="Segoe UI" w:hAnsi="Segoe UI"/>
          <w:sz w:val="21"/>
        </w:rPr>
        <w:t>Country</w:t>
      </w:r>
      <w:r w:rsidRPr="005E6081">
        <w:rPr>
          <w:rFonts w:ascii="Segoe UI" w:hAnsi="Segoe UI"/>
          <w:spacing w:val="-3"/>
          <w:sz w:val="21"/>
        </w:rPr>
        <w:t xml:space="preserve"> </w:t>
      </w:r>
      <w:r w:rsidRPr="005E6081">
        <w:rPr>
          <w:rFonts w:ascii="Segoe UI" w:hAnsi="Segoe UI"/>
          <w:sz w:val="21"/>
        </w:rPr>
        <w:t>ownership</w:t>
      </w:r>
    </w:p>
    <w:p w14:paraId="45FCD740" w14:textId="77777777" w:rsidR="00E136A1" w:rsidRPr="005E6081" w:rsidRDefault="00E136A1" w:rsidP="00D80344">
      <w:pPr>
        <w:pStyle w:val="ListParagraph"/>
        <w:numPr>
          <w:ilvl w:val="0"/>
          <w:numId w:val="45"/>
        </w:numPr>
        <w:tabs>
          <w:tab w:val="left" w:pos="860"/>
          <w:tab w:val="left" w:pos="861"/>
        </w:tabs>
        <w:spacing w:before="21"/>
        <w:ind w:hanging="361"/>
        <w:rPr>
          <w:rFonts w:ascii="Segoe UI" w:hAnsi="Segoe UI"/>
          <w:sz w:val="21"/>
        </w:rPr>
      </w:pPr>
      <w:r w:rsidRPr="005E6081">
        <w:rPr>
          <w:rFonts w:ascii="Segoe UI" w:hAnsi="Segoe UI"/>
          <w:sz w:val="21"/>
        </w:rPr>
        <w:t>Gender equality and women’s</w:t>
      </w:r>
      <w:r w:rsidRPr="005E6081">
        <w:rPr>
          <w:rFonts w:ascii="Segoe UI" w:hAnsi="Segoe UI"/>
          <w:spacing w:val="-5"/>
          <w:sz w:val="21"/>
        </w:rPr>
        <w:t xml:space="preserve"> </w:t>
      </w:r>
      <w:r w:rsidRPr="005E6081">
        <w:rPr>
          <w:rFonts w:ascii="Segoe UI" w:hAnsi="Segoe UI"/>
          <w:sz w:val="21"/>
        </w:rPr>
        <w:t>empowerment</w:t>
      </w:r>
    </w:p>
    <w:p w14:paraId="0FDA8B6B" w14:textId="77777777" w:rsidR="00E136A1" w:rsidRPr="005E6081" w:rsidRDefault="00E136A1" w:rsidP="00D80344">
      <w:pPr>
        <w:pStyle w:val="ListParagraph"/>
        <w:numPr>
          <w:ilvl w:val="0"/>
          <w:numId w:val="45"/>
        </w:numPr>
        <w:tabs>
          <w:tab w:val="left" w:pos="861"/>
        </w:tabs>
        <w:spacing w:before="23" w:line="259" w:lineRule="auto"/>
        <w:ind w:right="1434"/>
        <w:rPr>
          <w:rFonts w:ascii="Segoe UI" w:hAnsi="Segoe UI"/>
          <w:sz w:val="21"/>
        </w:rPr>
      </w:pPr>
      <w:r w:rsidRPr="005E6081">
        <w:rPr>
          <w:rFonts w:ascii="Segoe UI" w:hAnsi="Segoe UI"/>
          <w:sz w:val="21"/>
        </w:rPr>
        <w:t>Cross-cutting issues (poverty alleviation, improved governance, climate change mitigation and adaptation, disaster prevention and recovery, human rights, capacity development, South-South cooperation, knowledge management, volunteerism, etc., as</w:t>
      </w:r>
      <w:r w:rsidRPr="005E6081">
        <w:rPr>
          <w:rFonts w:ascii="Segoe UI" w:hAnsi="Segoe UI"/>
          <w:spacing w:val="-14"/>
          <w:sz w:val="21"/>
        </w:rPr>
        <w:t xml:space="preserve"> </w:t>
      </w:r>
      <w:r w:rsidRPr="005E6081">
        <w:rPr>
          <w:rFonts w:ascii="Segoe UI" w:hAnsi="Segoe UI"/>
          <w:sz w:val="21"/>
        </w:rPr>
        <w:t>relevant)</w:t>
      </w:r>
    </w:p>
    <w:p w14:paraId="4E234131" w14:textId="77777777" w:rsidR="00E136A1" w:rsidRPr="005E6081" w:rsidRDefault="00E136A1" w:rsidP="00D80344">
      <w:pPr>
        <w:pStyle w:val="ListParagraph"/>
        <w:numPr>
          <w:ilvl w:val="0"/>
          <w:numId w:val="45"/>
        </w:numPr>
        <w:tabs>
          <w:tab w:val="left" w:pos="861"/>
        </w:tabs>
        <w:spacing w:before="0" w:line="277" w:lineRule="exact"/>
        <w:ind w:hanging="361"/>
        <w:rPr>
          <w:rFonts w:ascii="Segoe UI" w:hAnsi="Segoe UI"/>
          <w:sz w:val="21"/>
        </w:rPr>
      </w:pPr>
      <w:r w:rsidRPr="005E6081">
        <w:rPr>
          <w:rFonts w:ascii="Segoe UI" w:hAnsi="Segoe UI"/>
          <w:sz w:val="21"/>
        </w:rPr>
        <w:t>GEF</w:t>
      </w:r>
      <w:r w:rsidRPr="005E6081">
        <w:rPr>
          <w:rFonts w:ascii="Segoe UI" w:hAnsi="Segoe UI"/>
          <w:spacing w:val="-3"/>
          <w:sz w:val="21"/>
        </w:rPr>
        <w:t xml:space="preserve"> </w:t>
      </w:r>
      <w:r w:rsidRPr="005E6081">
        <w:rPr>
          <w:rFonts w:ascii="Segoe UI" w:hAnsi="Segoe UI"/>
          <w:sz w:val="21"/>
        </w:rPr>
        <w:t>Additionality</w:t>
      </w:r>
    </w:p>
    <w:p w14:paraId="3988CCEB" w14:textId="77777777" w:rsidR="00E136A1" w:rsidRPr="005E6081" w:rsidRDefault="00E136A1" w:rsidP="00D80344">
      <w:pPr>
        <w:pStyle w:val="ListParagraph"/>
        <w:numPr>
          <w:ilvl w:val="0"/>
          <w:numId w:val="45"/>
        </w:numPr>
        <w:tabs>
          <w:tab w:val="left" w:pos="861"/>
        </w:tabs>
        <w:spacing w:before="23"/>
        <w:ind w:hanging="361"/>
        <w:rPr>
          <w:rFonts w:ascii="Segoe UI" w:hAnsi="Segoe UI"/>
          <w:sz w:val="21"/>
        </w:rPr>
      </w:pPr>
      <w:r w:rsidRPr="005E6081">
        <w:rPr>
          <w:rFonts w:ascii="Segoe UI" w:hAnsi="Segoe UI"/>
          <w:sz w:val="21"/>
        </w:rPr>
        <w:t>Catalytic Role / Replication</w:t>
      </w:r>
      <w:r w:rsidRPr="005E6081">
        <w:rPr>
          <w:rFonts w:ascii="Segoe UI" w:hAnsi="Segoe UI"/>
          <w:spacing w:val="-4"/>
          <w:sz w:val="21"/>
        </w:rPr>
        <w:t xml:space="preserve"> </w:t>
      </w:r>
      <w:r w:rsidRPr="005E6081">
        <w:rPr>
          <w:rFonts w:ascii="Segoe UI" w:hAnsi="Segoe UI"/>
          <w:sz w:val="21"/>
        </w:rPr>
        <w:t>Effect</w:t>
      </w:r>
    </w:p>
    <w:p w14:paraId="502A1E39" w14:textId="77777777" w:rsidR="00E136A1" w:rsidRPr="005E6081" w:rsidRDefault="00E136A1" w:rsidP="00D80344">
      <w:pPr>
        <w:pStyle w:val="ListParagraph"/>
        <w:numPr>
          <w:ilvl w:val="0"/>
          <w:numId w:val="45"/>
        </w:numPr>
        <w:tabs>
          <w:tab w:val="left" w:pos="861"/>
        </w:tabs>
        <w:spacing w:before="23"/>
        <w:ind w:hanging="361"/>
        <w:rPr>
          <w:rFonts w:ascii="Segoe UI" w:hAnsi="Segoe UI"/>
          <w:sz w:val="21"/>
        </w:rPr>
      </w:pPr>
      <w:r w:rsidRPr="005E6081">
        <w:rPr>
          <w:rFonts w:ascii="Segoe UI" w:hAnsi="Segoe UI"/>
          <w:sz w:val="21"/>
        </w:rPr>
        <w:t>Progress to</w:t>
      </w:r>
      <w:r w:rsidRPr="005E6081">
        <w:rPr>
          <w:rFonts w:ascii="Segoe UI" w:hAnsi="Segoe UI"/>
          <w:spacing w:val="-1"/>
          <w:sz w:val="21"/>
        </w:rPr>
        <w:t xml:space="preserve"> </w:t>
      </w:r>
      <w:r w:rsidRPr="005E6081">
        <w:rPr>
          <w:rFonts w:ascii="Segoe UI" w:hAnsi="Segoe UI"/>
          <w:sz w:val="21"/>
        </w:rPr>
        <w:t>impact</w:t>
      </w:r>
    </w:p>
    <w:bookmarkEnd w:id="110"/>
    <w:p w14:paraId="7AD65C27" w14:textId="77777777" w:rsidR="00E136A1" w:rsidRPr="005E6081" w:rsidRDefault="00E136A1" w:rsidP="00E136A1">
      <w:pPr>
        <w:pStyle w:val="BodyText"/>
        <w:spacing w:before="8"/>
        <w:rPr>
          <w:rFonts w:ascii="Segoe UI"/>
          <w:sz w:val="28"/>
        </w:rPr>
      </w:pPr>
    </w:p>
    <w:p w14:paraId="0C9A3025" w14:textId="77777777" w:rsidR="00E136A1" w:rsidRPr="005E6081" w:rsidRDefault="00E136A1" w:rsidP="00E136A1">
      <w:pPr>
        <w:ind w:left="500"/>
        <w:rPr>
          <w:rFonts w:ascii="Segoe UI"/>
          <w:sz w:val="21"/>
        </w:rPr>
      </w:pPr>
      <w:r w:rsidRPr="005E6081">
        <w:rPr>
          <w:rFonts w:ascii="Segoe UI"/>
          <w:sz w:val="21"/>
          <w:u w:val="single"/>
        </w:rPr>
        <w:t>Main Findings, Conclusions, Recommendations and Lessons Learned</w:t>
      </w:r>
    </w:p>
    <w:p w14:paraId="1235A52E" w14:textId="77777777" w:rsidR="00E136A1" w:rsidRPr="005E6081" w:rsidRDefault="00E136A1" w:rsidP="00E136A1">
      <w:pPr>
        <w:pStyle w:val="BodyText"/>
        <w:rPr>
          <w:rFonts w:ascii="Segoe UI"/>
        </w:rPr>
      </w:pPr>
    </w:p>
    <w:p w14:paraId="2F0E8FDB" w14:textId="77777777" w:rsidR="00E136A1" w:rsidRPr="005E6081" w:rsidRDefault="00E136A1" w:rsidP="00D80344">
      <w:pPr>
        <w:pStyle w:val="ListParagraph"/>
        <w:numPr>
          <w:ilvl w:val="0"/>
          <w:numId w:val="45"/>
        </w:numPr>
        <w:tabs>
          <w:tab w:val="left" w:pos="861"/>
        </w:tabs>
        <w:spacing w:before="101" w:line="256" w:lineRule="auto"/>
        <w:ind w:right="1441"/>
        <w:rPr>
          <w:rFonts w:ascii="Segoe UI" w:hAnsi="Segoe UI"/>
          <w:sz w:val="21"/>
        </w:rPr>
      </w:pPr>
      <w:r w:rsidRPr="005E6081">
        <w:rPr>
          <w:rFonts w:ascii="Segoe UI" w:hAnsi="Segoe UI"/>
          <w:sz w:val="21"/>
        </w:rPr>
        <w:t>The TE team will include a summary of the main findings of the TE report. Findings should be presented as statements of fact that are based on analysis of the</w:t>
      </w:r>
      <w:r w:rsidRPr="005E6081">
        <w:rPr>
          <w:rFonts w:ascii="Segoe UI" w:hAnsi="Segoe UI"/>
          <w:spacing w:val="-12"/>
          <w:sz w:val="21"/>
        </w:rPr>
        <w:t xml:space="preserve"> </w:t>
      </w:r>
      <w:r w:rsidRPr="005E6081">
        <w:rPr>
          <w:rFonts w:ascii="Segoe UI" w:hAnsi="Segoe UI"/>
          <w:sz w:val="21"/>
        </w:rPr>
        <w:t>data.</w:t>
      </w:r>
    </w:p>
    <w:p w14:paraId="5CB19C99" w14:textId="77777777" w:rsidR="00E136A1" w:rsidRPr="005E6081" w:rsidRDefault="00E136A1" w:rsidP="00D80344">
      <w:pPr>
        <w:pStyle w:val="ListParagraph"/>
        <w:numPr>
          <w:ilvl w:val="0"/>
          <w:numId w:val="45"/>
        </w:numPr>
        <w:tabs>
          <w:tab w:val="left" w:pos="861"/>
        </w:tabs>
        <w:spacing w:before="5" w:line="259" w:lineRule="auto"/>
        <w:ind w:right="1436"/>
        <w:rPr>
          <w:rFonts w:ascii="Segoe UI" w:hAnsi="Segoe UI"/>
          <w:sz w:val="21"/>
        </w:rPr>
      </w:pPr>
      <w:r w:rsidRPr="005E6081">
        <w:rPr>
          <w:rFonts w:ascii="Segoe UI" w:hAnsi="Segoe UI"/>
          <w:sz w:val="21"/>
        </w:rPr>
        <w:t>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project,</w:t>
      </w:r>
      <w:r w:rsidRPr="005E6081">
        <w:rPr>
          <w:rFonts w:ascii="Segoe UI" w:hAnsi="Segoe UI"/>
          <w:spacing w:val="-5"/>
          <w:sz w:val="21"/>
        </w:rPr>
        <w:t xml:space="preserve"> </w:t>
      </w:r>
      <w:r w:rsidRPr="005E6081">
        <w:rPr>
          <w:rFonts w:ascii="Segoe UI" w:hAnsi="Segoe UI"/>
          <w:sz w:val="21"/>
        </w:rPr>
        <w:t>respond</w:t>
      </w:r>
      <w:r w:rsidRPr="005E6081">
        <w:rPr>
          <w:rFonts w:ascii="Segoe UI" w:hAnsi="Segoe UI"/>
          <w:spacing w:val="-3"/>
          <w:sz w:val="21"/>
        </w:rPr>
        <w:t xml:space="preserve"> </w:t>
      </w:r>
      <w:r w:rsidRPr="005E6081">
        <w:rPr>
          <w:rFonts w:ascii="Segoe UI" w:hAnsi="Segoe UI"/>
          <w:sz w:val="21"/>
        </w:rPr>
        <w:t>to</w:t>
      </w:r>
      <w:r w:rsidRPr="005E6081">
        <w:rPr>
          <w:rFonts w:ascii="Segoe UI" w:hAnsi="Segoe UI"/>
          <w:spacing w:val="-3"/>
          <w:sz w:val="21"/>
        </w:rPr>
        <w:t xml:space="preserve"> </w:t>
      </w:r>
      <w:r w:rsidRPr="005E6081">
        <w:rPr>
          <w:rFonts w:ascii="Segoe UI" w:hAnsi="Segoe UI"/>
          <w:sz w:val="21"/>
        </w:rPr>
        <w:t>key</w:t>
      </w:r>
      <w:r w:rsidRPr="005E6081">
        <w:rPr>
          <w:rFonts w:ascii="Segoe UI" w:hAnsi="Segoe UI"/>
          <w:spacing w:val="-3"/>
          <w:sz w:val="21"/>
        </w:rPr>
        <w:t xml:space="preserve"> </w:t>
      </w:r>
      <w:r w:rsidRPr="005E6081">
        <w:rPr>
          <w:rFonts w:ascii="Segoe UI" w:hAnsi="Segoe UI"/>
          <w:sz w:val="21"/>
        </w:rPr>
        <w:t>evaluation</w:t>
      </w:r>
      <w:r w:rsidRPr="005E6081">
        <w:rPr>
          <w:rFonts w:ascii="Segoe UI" w:hAnsi="Segoe UI"/>
          <w:spacing w:val="-3"/>
          <w:sz w:val="21"/>
        </w:rPr>
        <w:t xml:space="preserve"> </w:t>
      </w:r>
      <w:r w:rsidRPr="005E6081">
        <w:rPr>
          <w:rFonts w:ascii="Segoe UI" w:hAnsi="Segoe UI"/>
          <w:sz w:val="21"/>
        </w:rPr>
        <w:t>questions</w:t>
      </w:r>
      <w:r w:rsidRPr="005E6081">
        <w:rPr>
          <w:rFonts w:ascii="Segoe UI" w:hAnsi="Segoe UI"/>
          <w:spacing w:val="-4"/>
          <w:sz w:val="21"/>
        </w:rPr>
        <w:t xml:space="preserve"> </w:t>
      </w:r>
      <w:r w:rsidRPr="005E6081">
        <w:rPr>
          <w:rFonts w:ascii="Segoe UI" w:hAnsi="Segoe UI"/>
          <w:sz w:val="21"/>
        </w:rPr>
        <w:t>and</w:t>
      </w:r>
      <w:r w:rsidRPr="005E6081">
        <w:rPr>
          <w:rFonts w:ascii="Segoe UI" w:hAnsi="Segoe UI"/>
          <w:spacing w:val="-3"/>
          <w:sz w:val="21"/>
        </w:rPr>
        <w:t xml:space="preserve"> </w:t>
      </w:r>
      <w:r w:rsidRPr="005E6081">
        <w:rPr>
          <w:rFonts w:ascii="Segoe UI" w:hAnsi="Segoe UI"/>
          <w:sz w:val="21"/>
        </w:rPr>
        <w:t>provide</w:t>
      </w:r>
      <w:r w:rsidRPr="005E6081">
        <w:rPr>
          <w:rFonts w:ascii="Segoe UI" w:hAnsi="Segoe UI"/>
          <w:spacing w:val="-3"/>
          <w:sz w:val="21"/>
        </w:rPr>
        <w:t xml:space="preserve"> </w:t>
      </w:r>
      <w:r w:rsidRPr="005E6081">
        <w:rPr>
          <w:rFonts w:ascii="Segoe UI" w:hAnsi="Segoe UI"/>
          <w:sz w:val="21"/>
        </w:rPr>
        <w:t>insights</w:t>
      </w:r>
      <w:r w:rsidRPr="005E6081">
        <w:rPr>
          <w:rFonts w:ascii="Segoe UI" w:hAnsi="Segoe UI"/>
          <w:spacing w:val="-5"/>
          <w:sz w:val="21"/>
        </w:rPr>
        <w:t xml:space="preserve"> </w:t>
      </w:r>
      <w:r w:rsidRPr="005E6081">
        <w:rPr>
          <w:rFonts w:ascii="Segoe UI" w:hAnsi="Segoe UI"/>
          <w:sz w:val="21"/>
        </w:rPr>
        <w:t>into</w:t>
      </w:r>
      <w:r w:rsidRPr="005E6081">
        <w:rPr>
          <w:rFonts w:ascii="Segoe UI" w:hAnsi="Segoe UI"/>
          <w:spacing w:val="-3"/>
          <w:sz w:val="21"/>
        </w:rPr>
        <w:t xml:space="preserve"> </w:t>
      </w:r>
      <w:r w:rsidRPr="005E6081">
        <w:rPr>
          <w:rFonts w:ascii="Segoe UI" w:hAnsi="Segoe UI"/>
          <w:sz w:val="21"/>
        </w:rPr>
        <w:t>the</w:t>
      </w:r>
      <w:r w:rsidRPr="005E6081">
        <w:rPr>
          <w:rFonts w:ascii="Segoe UI" w:hAnsi="Segoe UI"/>
          <w:spacing w:val="-3"/>
          <w:sz w:val="21"/>
        </w:rPr>
        <w:t xml:space="preserve"> </w:t>
      </w:r>
      <w:r w:rsidRPr="005E6081">
        <w:rPr>
          <w:rFonts w:ascii="Segoe UI" w:hAnsi="Segoe UI"/>
          <w:sz w:val="21"/>
        </w:rPr>
        <w:t>identification</w:t>
      </w:r>
      <w:r w:rsidRPr="005E6081">
        <w:rPr>
          <w:rFonts w:ascii="Segoe UI" w:hAnsi="Segoe UI"/>
          <w:spacing w:val="-7"/>
          <w:sz w:val="21"/>
        </w:rPr>
        <w:t xml:space="preserve"> </w:t>
      </w:r>
      <w:r w:rsidRPr="005E6081">
        <w:rPr>
          <w:rFonts w:ascii="Segoe UI" w:hAnsi="Segoe UI"/>
          <w:sz w:val="21"/>
        </w:rPr>
        <w:t>of</w:t>
      </w:r>
      <w:r w:rsidRPr="005E6081">
        <w:rPr>
          <w:rFonts w:ascii="Segoe UI" w:hAnsi="Segoe UI"/>
          <w:spacing w:val="-5"/>
          <w:sz w:val="21"/>
        </w:rPr>
        <w:t xml:space="preserve"> </w:t>
      </w:r>
      <w:r w:rsidRPr="005E6081">
        <w:rPr>
          <w:rFonts w:ascii="Segoe UI" w:hAnsi="Segoe UI"/>
          <w:sz w:val="21"/>
        </w:rPr>
        <w:t>and/or solutions to important problems or issues pertinent to project beneficiaries, UNDP and the GEF, including issues in relation to gender equality and women’s</w:t>
      </w:r>
      <w:r w:rsidRPr="005E6081">
        <w:rPr>
          <w:rFonts w:ascii="Segoe UI" w:hAnsi="Segoe UI"/>
          <w:spacing w:val="-9"/>
          <w:sz w:val="21"/>
        </w:rPr>
        <w:t xml:space="preserve"> </w:t>
      </w:r>
      <w:r w:rsidRPr="005E6081">
        <w:rPr>
          <w:rFonts w:ascii="Segoe UI" w:hAnsi="Segoe UI"/>
          <w:sz w:val="21"/>
        </w:rPr>
        <w:t>empowerment.</w:t>
      </w:r>
    </w:p>
    <w:p w14:paraId="24D183D5" w14:textId="77777777" w:rsidR="00E136A1" w:rsidRPr="005E6081" w:rsidRDefault="00E136A1" w:rsidP="00D80344">
      <w:pPr>
        <w:pStyle w:val="ListParagraph"/>
        <w:numPr>
          <w:ilvl w:val="0"/>
          <w:numId w:val="45"/>
        </w:numPr>
        <w:tabs>
          <w:tab w:val="left" w:pos="861"/>
        </w:tabs>
        <w:spacing w:before="81" w:line="259" w:lineRule="auto"/>
        <w:ind w:right="1434"/>
        <w:rPr>
          <w:rFonts w:ascii="Segoe UI" w:hAnsi="Segoe UI"/>
          <w:sz w:val="21"/>
        </w:rPr>
      </w:pPr>
      <w:r w:rsidRPr="005E6081">
        <w:rPr>
          <w:rFonts w:ascii="Segoe UI" w:hAnsi="Segoe UI"/>
          <w:sz w:val="21"/>
        </w:rPr>
        <w:t>Recommendations should provide concrete, practical, feasible and targeted recommendations directed</w:t>
      </w:r>
      <w:r w:rsidRPr="005E6081">
        <w:rPr>
          <w:rFonts w:ascii="Segoe UI" w:hAnsi="Segoe UI"/>
          <w:spacing w:val="-9"/>
          <w:sz w:val="21"/>
        </w:rPr>
        <w:t xml:space="preserve"> </w:t>
      </w:r>
      <w:r w:rsidRPr="005E6081">
        <w:rPr>
          <w:rFonts w:ascii="Segoe UI" w:hAnsi="Segoe UI"/>
          <w:sz w:val="21"/>
        </w:rPr>
        <w:t>to</w:t>
      </w:r>
      <w:r w:rsidRPr="005E6081">
        <w:rPr>
          <w:rFonts w:ascii="Segoe UI" w:hAnsi="Segoe UI"/>
          <w:spacing w:val="-8"/>
          <w:sz w:val="21"/>
        </w:rPr>
        <w:t xml:space="preserve"> </w:t>
      </w:r>
      <w:r w:rsidRPr="005E6081">
        <w:rPr>
          <w:rFonts w:ascii="Segoe UI" w:hAnsi="Segoe UI"/>
          <w:sz w:val="21"/>
        </w:rPr>
        <w:t>the</w:t>
      </w:r>
      <w:r w:rsidRPr="005E6081">
        <w:rPr>
          <w:rFonts w:ascii="Segoe UI" w:hAnsi="Segoe UI"/>
          <w:spacing w:val="-9"/>
          <w:sz w:val="21"/>
        </w:rPr>
        <w:t xml:space="preserve"> </w:t>
      </w:r>
      <w:r w:rsidRPr="005E6081">
        <w:rPr>
          <w:rFonts w:ascii="Segoe UI" w:hAnsi="Segoe UI"/>
          <w:sz w:val="21"/>
        </w:rPr>
        <w:t>intended</w:t>
      </w:r>
      <w:r w:rsidRPr="005E6081">
        <w:rPr>
          <w:rFonts w:ascii="Segoe UI" w:hAnsi="Segoe UI"/>
          <w:spacing w:val="-8"/>
          <w:sz w:val="21"/>
        </w:rPr>
        <w:t xml:space="preserve"> </w:t>
      </w:r>
      <w:r w:rsidRPr="005E6081">
        <w:rPr>
          <w:rFonts w:ascii="Segoe UI" w:hAnsi="Segoe UI"/>
          <w:sz w:val="21"/>
        </w:rPr>
        <w:t>users</w:t>
      </w:r>
      <w:r w:rsidRPr="005E6081">
        <w:rPr>
          <w:rFonts w:ascii="Segoe UI" w:hAnsi="Segoe UI"/>
          <w:spacing w:val="-9"/>
          <w:sz w:val="21"/>
        </w:rPr>
        <w:t xml:space="preserve"> </w:t>
      </w:r>
      <w:r w:rsidRPr="005E6081">
        <w:rPr>
          <w:rFonts w:ascii="Segoe UI" w:hAnsi="Segoe UI"/>
          <w:sz w:val="21"/>
        </w:rPr>
        <w:t>of</w:t>
      </w:r>
      <w:r w:rsidRPr="005E6081">
        <w:rPr>
          <w:rFonts w:ascii="Segoe UI" w:hAnsi="Segoe UI"/>
          <w:spacing w:val="-8"/>
          <w:sz w:val="21"/>
        </w:rPr>
        <w:t xml:space="preserve"> </w:t>
      </w:r>
      <w:r w:rsidRPr="005E6081">
        <w:rPr>
          <w:rFonts w:ascii="Segoe UI" w:hAnsi="Segoe UI"/>
          <w:sz w:val="21"/>
        </w:rPr>
        <w:t>the</w:t>
      </w:r>
      <w:r w:rsidRPr="005E6081">
        <w:rPr>
          <w:rFonts w:ascii="Segoe UI" w:hAnsi="Segoe UI"/>
          <w:spacing w:val="-9"/>
          <w:sz w:val="21"/>
        </w:rPr>
        <w:t xml:space="preserve"> </w:t>
      </w:r>
      <w:r w:rsidRPr="005E6081">
        <w:rPr>
          <w:rFonts w:ascii="Segoe UI" w:hAnsi="Segoe UI"/>
          <w:sz w:val="21"/>
        </w:rPr>
        <w:t>evaluation</w:t>
      </w:r>
      <w:r w:rsidRPr="005E6081">
        <w:rPr>
          <w:rFonts w:ascii="Segoe UI" w:hAnsi="Segoe UI"/>
          <w:spacing w:val="-8"/>
          <w:sz w:val="21"/>
        </w:rPr>
        <w:t xml:space="preserve"> </w:t>
      </w:r>
      <w:r w:rsidRPr="005E6081">
        <w:rPr>
          <w:rFonts w:ascii="Segoe UI" w:hAnsi="Segoe UI"/>
          <w:sz w:val="21"/>
        </w:rPr>
        <w:t>about</w:t>
      </w:r>
      <w:r w:rsidRPr="005E6081">
        <w:rPr>
          <w:rFonts w:ascii="Segoe UI" w:hAnsi="Segoe UI"/>
          <w:spacing w:val="-8"/>
          <w:sz w:val="21"/>
        </w:rPr>
        <w:t xml:space="preserve"> </w:t>
      </w:r>
      <w:r w:rsidRPr="005E6081">
        <w:rPr>
          <w:rFonts w:ascii="Segoe UI" w:hAnsi="Segoe UI"/>
          <w:sz w:val="21"/>
        </w:rPr>
        <w:t>what</w:t>
      </w:r>
      <w:r w:rsidRPr="005E6081">
        <w:rPr>
          <w:rFonts w:ascii="Segoe UI" w:hAnsi="Segoe UI"/>
          <w:spacing w:val="-8"/>
          <w:sz w:val="21"/>
        </w:rPr>
        <w:t xml:space="preserve"> </w:t>
      </w:r>
      <w:r w:rsidRPr="005E6081">
        <w:rPr>
          <w:rFonts w:ascii="Segoe UI" w:hAnsi="Segoe UI"/>
          <w:sz w:val="21"/>
        </w:rPr>
        <w:t>actions</w:t>
      </w:r>
      <w:r w:rsidRPr="005E6081">
        <w:rPr>
          <w:rFonts w:ascii="Segoe UI" w:hAnsi="Segoe UI"/>
          <w:spacing w:val="-9"/>
          <w:sz w:val="21"/>
        </w:rPr>
        <w:t xml:space="preserve"> </w:t>
      </w:r>
      <w:r w:rsidRPr="005E6081">
        <w:rPr>
          <w:rFonts w:ascii="Segoe UI" w:hAnsi="Segoe UI"/>
          <w:sz w:val="21"/>
        </w:rPr>
        <w:t>to</w:t>
      </w:r>
      <w:r w:rsidRPr="005E6081">
        <w:rPr>
          <w:rFonts w:ascii="Segoe UI" w:hAnsi="Segoe UI"/>
          <w:spacing w:val="-9"/>
          <w:sz w:val="21"/>
        </w:rPr>
        <w:t xml:space="preserve"> </w:t>
      </w:r>
      <w:r w:rsidRPr="005E6081">
        <w:rPr>
          <w:rFonts w:ascii="Segoe UI" w:hAnsi="Segoe UI"/>
          <w:sz w:val="21"/>
        </w:rPr>
        <w:t>take</w:t>
      </w:r>
      <w:r w:rsidRPr="005E6081">
        <w:rPr>
          <w:rFonts w:ascii="Segoe UI" w:hAnsi="Segoe UI"/>
          <w:spacing w:val="-8"/>
          <w:sz w:val="21"/>
        </w:rPr>
        <w:t xml:space="preserve"> </w:t>
      </w:r>
      <w:r w:rsidRPr="005E6081">
        <w:rPr>
          <w:rFonts w:ascii="Segoe UI" w:hAnsi="Segoe UI"/>
          <w:sz w:val="21"/>
        </w:rPr>
        <w:t>and</w:t>
      </w:r>
      <w:r w:rsidRPr="005E6081">
        <w:rPr>
          <w:rFonts w:ascii="Segoe UI" w:hAnsi="Segoe UI"/>
          <w:spacing w:val="-8"/>
          <w:sz w:val="21"/>
        </w:rPr>
        <w:t xml:space="preserve"> </w:t>
      </w:r>
      <w:r w:rsidRPr="005E6081">
        <w:rPr>
          <w:rFonts w:ascii="Segoe UI" w:hAnsi="Segoe UI"/>
          <w:sz w:val="21"/>
        </w:rPr>
        <w:t>decisions</w:t>
      </w:r>
      <w:r w:rsidRPr="005E6081">
        <w:rPr>
          <w:rFonts w:ascii="Segoe UI" w:hAnsi="Segoe UI"/>
          <w:spacing w:val="-9"/>
          <w:sz w:val="21"/>
        </w:rPr>
        <w:t xml:space="preserve"> </w:t>
      </w:r>
      <w:r w:rsidRPr="005E6081">
        <w:rPr>
          <w:rFonts w:ascii="Segoe UI" w:hAnsi="Segoe UI"/>
          <w:sz w:val="21"/>
        </w:rPr>
        <w:t>to</w:t>
      </w:r>
      <w:r w:rsidRPr="005E6081">
        <w:rPr>
          <w:rFonts w:ascii="Segoe UI" w:hAnsi="Segoe UI"/>
          <w:spacing w:val="-8"/>
          <w:sz w:val="21"/>
        </w:rPr>
        <w:t xml:space="preserve"> </w:t>
      </w:r>
      <w:r w:rsidRPr="005E6081">
        <w:rPr>
          <w:rFonts w:ascii="Segoe UI" w:hAnsi="Segoe UI"/>
          <w:sz w:val="21"/>
        </w:rPr>
        <w:t>make. The</w:t>
      </w:r>
      <w:r w:rsidRPr="005E6081">
        <w:rPr>
          <w:rFonts w:ascii="Segoe UI" w:hAnsi="Segoe UI"/>
          <w:spacing w:val="-7"/>
          <w:sz w:val="21"/>
        </w:rPr>
        <w:t xml:space="preserve"> </w:t>
      </w:r>
      <w:r w:rsidRPr="005E6081">
        <w:rPr>
          <w:rFonts w:ascii="Segoe UI" w:hAnsi="Segoe UI"/>
          <w:sz w:val="21"/>
        </w:rPr>
        <w:t>recommendations</w:t>
      </w:r>
      <w:r w:rsidRPr="005E6081">
        <w:rPr>
          <w:rFonts w:ascii="Segoe UI" w:hAnsi="Segoe UI"/>
          <w:spacing w:val="-7"/>
          <w:sz w:val="21"/>
        </w:rPr>
        <w:t xml:space="preserve"> </w:t>
      </w:r>
      <w:r w:rsidRPr="005E6081">
        <w:rPr>
          <w:rFonts w:ascii="Segoe UI" w:hAnsi="Segoe UI"/>
          <w:sz w:val="21"/>
        </w:rPr>
        <w:t>should</w:t>
      </w:r>
      <w:r w:rsidRPr="005E6081">
        <w:rPr>
          <w:rFonts w:ascii="Segoe UI" w:hAnsi="Segoe UI"/>
          <w:spacing w:val="-6"/>
          <w:sz w:val="21"/>
        </w:rPr>
        <w:t xml:space="preserve"> </w:t>
      </w:r>
      <w:r w:rsidRPr="005E6081">
        <w:rPr>
          <w:rFonts w:ascii="Segoe UI" w:hAnsi="Segoe UI"/>
          <w:sz w:val="21"/>
        </w:rPr>
        <w:t>be</w:t>
      </w:r>
      <w:r w:rsidRPr="005E6081">
        <w:rPr>
          <w:rFonts w:ascii="Segoe UI" w:hAnsi="Segoe UI"/>
          <w:spacing w:val="-7"/>
          <w:sz w:val="21"/>
        </w:rPr>
        <w:t xml:space="preserve"> </w:t>
      </w:r>
      <w:r w:rsidRPr="005E6081">
        <w:rPr>
          <w:rFonts w:ascii="Segoe UI" w:hAnsi="Segoe UI"/>
          <w:sz w:val="21"/>
        </w:rPr>
        <w:t>specifically</w:t>
      </w:r>
      <w:r w:rsidRPr="005E6081">
        <w:rPr>
          <w:rFonts w:ascii="Segoe UI" w:hAnsi="Segoe UI"/>
          <w:spacing w:val="-5"/>
          <w:sz w:val="21"/>
        </w:rPr>
        <w:t xml:space="preserve"> </w:t>
      </w:r>
      <w:r w:rsidRPr="005E6081">
        <w:rPr>
          <w:rFonts w:ascii="Segoe UI" w:hAnsi="Segoe UI"/>
          <w:sz w:val="21"/>
        </w:rPr>
        <w:t>supported</w:t>
      </w:r>
      <w:r w:rsidRPr="005E6081">
        <w:rPr>
          <w:rFonts w:ascii="Segoe UI" w:hAnsi="Segoe UI"/>
          <w:spacing w:val="-7"/>
          <w:sz w:val="21"/>
        </w:rPr>
        <w:t xml:space="preserve"> </w:t>
      </w:r>
      <w:r w:rsidRPr="005E6081">
        <w:rPr>
          <w:rFonts w:ascii="Segoe UI" w:hAnsi="Segoe UI"/>
          <w:sz w:val="21"/>
        </w:rPr>
        <w:t>by</w:t>
      </w:r>
      <w:r w:rsidRPr="005E6081">
        <w:rPr>
          <w:rFonts w:ascii="Segoe UI" w:hAnsi="Segoe UI"/>
          <w:spacing w:val="-6"/>
          <w:sz w:val="21"/>
        </w:rPr>
        <w:t xml:space="preserve"> </w:t>
      </w:r>
      <w:r w:rsidRPr="005E6081">
        <w:rPr>
          <w:rFonts w:ascii="Segoe UI" w:hAnsi="Segoe UI"/>
          <w:sz w:val="21"/>
        </w:rPr>
        <w:t>the</w:t>
      </w:r>
      <w:r w:rsidRPr="005E6081">
        <w:rPr>
          <w:rFonts w:ascii="Segoe UI" w:hAnsi="Segoe UI"/>
          <w:spacing w:val="-6"/>
          <w:sz w:val="21"/>
        </w:rPr>
        <w:t xml:space="preserve"> </w:t>
      </w:r>
      <w:r w:rsidRPr="005E6081">
        <w:rPr>
          <w:rFonts w:ascii="Segoe UI" w:hAnsi="Segoe UI"/>
          <w:sz w:val="21"/>
        </w:rPr>
        <w:t>evidence</w:t>
      </w:r>
      <w:r w:rsidRPr="005E6081">
        <w:rPr>
          <w:rFonts w:ascii="Segoe UI" w:hAnsi="Segoe UI"/>
          <w:spacing w:val="-7"/>
          <w:sz w:val="21"/>
        </w:rPr>
        <w:t xml:space="preserve"> </w:t>
      </w:r>
      <w:r w:rsidRPr="005E6081">
        <w:rPr>
          <w:rFonts w:ascii="Segoe UI" w:hAnsi="Segoe UI"/>
          <w:sz w:val="21"/>
        </w:rPr>
        <w:t>and</w:t>
      </w:r>
      <w:r w:rsidRPr="005E6081">
        <w:rPr>
          <w:rFonts w:ascii="Segoe UI" w:hAnsi="Segoe UI"/>
          <w:spacing w:val="-6"/>
          <w:sz w:val="21"/>
        </w:rPr>
        <w:t xml:space="preserve"> </w:t>
      </w:r>
      <w:r w:rsidRPr="005E6081">
        <w:rPr>
          <w:rFonts w:ascii="Segoe UI" w:hAnsi="Segoe UI"/>
          <w:sz w:val="21"/>
        </w:rPr>
        <w:t>linked</w:t>
      </w:r>
      <w:r w:rsidRPr="005E6081">
        <w:rPr>
          <w:rFonts w:ascii="Segoe UI" w:hAnsi="Segoe UI"/>
          <w:spacing w:val="-6"/>
          <w:sz w:val="21"/>
        </w:rPr>
        <w:t xml:space="preserve"> </w:t>
      </w:r>
      <w:r w:rsidRPr="005E6081">
        <w:rPr>
          <w:rFonts w:ascii="Segoe UI" w:hAnsi="Segoe UI"/>
          <w:sz w:val="21"/>
        </w:rPr>
        <w:t>to</w:t>
      </w:r>
      <w:r w:rsidRPr="005E6081">
        <w:rPr>
          <w:rFonts w:ascii="Segoe UI" w:hAnsi="Segoe UI"/>
          <w:spacing w:val="-6"/>
          <w:sz w:val="21"/>
        </w:rPr>
        <w:t xml:space="preserve"> </w:t>
      </w:r>
      <w:r w:rsidRPr="005E6081">
        <w:rPr>
          <w:rFonts w:ascii="Segoe UI" w:hAnsi="Segoe UI"/>
          <w:sz w:val="21"/>
        </w:rPr>
        <w:t>the</w:t>
      </w:r>
      <w:r w:rsidRPr="005E6081">
        <w:rPr>
          <w:rFonts w:ascii="Segoe UI" w:hAnsi="Segoe UI"/>
          <w:spacing w:val="-8"/>
          <w:sz w:val="21"/>
        </w:rPr>
        <w:t xml:space="preserve"> </w:t>
      </w:r>
      <w:r w:rsidRPr="005E6081">
        <w:rPr>
          <w:rFonts w:ascii="Segoe UI" w:hAnsi="Segoe UI"/>
          <w:sz w:val="21"/>
        </w:rPr>
        <w:t>findings and conclusions around key questions addressed by the</w:t>
      </w:r>
      <w:r w:rsidRPr="005E6081">
        <w:rPr>
          <w:rFonts w:ascii="Segoe UI" w:hAnsi="Segoe UI"/>
          <w:spacing w:val="-11"/>
          <w:sz w:val="21"/>
        </w:rPr>
        <w:t xml:space="preserve"> </w:t>
      </w:r>
      <w:r w:rsidRPr="005E6081">
        <w:rPr>
          <w:rFonts w:ascii="Segoe UI" w:hAnsi="Segoe UI"/>
          <w:sz w:val="21"/>
        </w:rPr>
        <w:t>evaluation.</w:t>
      </w:r>
    </w:p>
    <w:p w14:paraId="14BB4B96" w14:textId="77777777" w:rsidR="00E136A1" w:rsidRPr="005E6081" w:rsidRDefault="00E136A1" w:rsidP="00D80344">
      <w:pPr>
        <w:pStyle w:val="ListParagraph"/>
        <w:numPr>
          <w:ilvl w:val="0"/>
          <w:numId w:val="45"/>
        </w:numPr>
        <w:tabs>
          <w:tab w:val="left" w:pos="861"/>
        </w:tabs>
        <w:spacing w:before="0" w:line="259" w:lineRule="auto"/>
        <w:ind w:right="1434"/>
        <w:rPr>
          <w:rFonts w:ascii="Segoe UI" w:hAnsi="Segoe UI"/>
          <w:sz w:val="21"/>
        </w:rPr>
      </w:pPr>
      <w:r w:rsidRPr="005E6081">
        <w:rPr>
          <w:rFonts w:ascii="Segoe UI" w:hAnsi="Segoe UI"/>
          <w:sz w:val="21"/>
        </w:rPr>
        <w:t>The TE report should also include lessons that can be taken from the evaluation, including best and worst practices in addressing issues relating to relevance, performance and success that can provide knowledge gained from the particular circumstance (programmatic and evaluation methods used, partnerships, financial leveraging, etc.) that are applicable to other GEF and UNDP interventions. When possible, the TE team should include examples of good practices in project design and</w:t>
      </w:r>
      <w:r w:rsidRPr="005E6081">
        <w:rPr>
          <w:rFonts w:ascii="Segoe UI" w:hAnsi="Segoe UI"/>
          <w:spacing w:val="-3"/>
          <w:sz w:val="21"/>
        </w:rPr>
        <w:t xml:space="preserve"> </w:t>
      </w:r>
      <w:r w:rsidRPr="005E6081">
        <w:rPr>
          <w:rFonts w:ascii="Segoe UI" w:hAnsi="Segoe UI"/>
          <w:sz w:val="21"/>
        </w:rPr>
        <w:t>implementation.</w:t>
      </w:r>
    </w:p>
    <w:p w14:paraId="704F7EB9" w14:textId="77777777" w:rsidR="00E136A1" w:rsidRPr="005E6081" w:rsidRDefault="00E136A1" w:rsidP="00D80344">
      <w:pPr>
        <w:pStyle w:val="ListParagraph"/>
        <w:numPr>
          <w:ilvl w:val="0"/>
          <w:numId w:val="45"/>
        </w:numPr>
        <w:tabs>
          <w:tab w:val="left" w:pos="861"/>
        </w:tabs>
        <w:spacing w:before="0" w:line="256" w:lineRule="auto"/>
        <w:ind w:right="1441"/>
        <w:rPr>
          <w:rFonts w:ascii="Segoe UI" w:hAnsi="Segoe UI"/>
          <w:sz w:val="21"/>
        </w:rPr>
      </w:pPr>
      <w:r w:rsidRPr="005E6081">
        <w:rPr>
          <w:rFonts w:ascii="Segoe UI" w:hAnsi="Segoe UI"/>
          <w:sz w:val="21"/>
        </w:rPr>
        <w:t>It is important for the conclusions, recommendations and lessons learned of the TE report to include results related to gender equality and empowerment of</w:t>
      </w:r>
      <w:r w:rsidRPr="005E6081">
        <w:rPr>
          <w:rFonts w:ascii="Segoe UI" w:hAnsi="Segoe UI"/>
          <w:spacing w:val="-11"/>
          <w:sz w:val="21"/>
        </w:rPr>
        <w:t xml:space="preserve"> </w:t>
      </w:r>
      <w:r w:rsidRPr="005E6081">
        <w:rPr>
          <w:rFonts w:ascii="Segoe UI" w:hAnsi="Segoe UI"/>
          <w:sz w:val="21"/>
        </w:rPr>
        <w:t>women.</w:t>
      </w:r>
    </w:p>
    <w:p w14:paraId="34BD791E" w14:textId="77777777" w:rsidR="00E136A1" w:rsidRPr="005E6081" w:rsidRDefault="00E136A1" w:rsidP="00E136A1">
      <w:pPr>
        <w:spacing w:before="162"/>
        <w:ind w:left="500"/>
        <w:jc w:val="both"/>
        <w:rPr>
          <w:rFonts w:ascii="Segoe UI"/>
          <w:sz w:val="21"/>
        </w:rPr>
      </w:pPr>
      <w:bookmarkStart w:id="111" w:name="_Hlk75876152"/>
      <w:r w:rsidRPr="005E6081">
        <w:rPr>
          <w:rFonts w:ascii="Segoe UI"/>
          <w:sz w:val="21"/>
        </w:rPr>
        <w:t>The TE reports will include an Evaluation Ratings Table, as shown below:</w:t>
      </w:r>
    </w:p>
    <w:p w14:paraId="63DC3BC1" w14:textId="77777777" w:rsidR="00E136A1" w:rsidRPr="005E6081" w:rsidRDefault="00E136A1" w:rsidP="00E136A1">
      <w:pPr>
        <w:pStyle w:val="BodyText"/>
        <w:spacing w:before="12"/>
        <w:rPr>
          <w:rFonts w:ascii="Segoe UI"/>
        </w:rPr>
      </w:pPr>
    </w:p>
    <w:p w14:paraId="12ED3C60" w14:textId="77777777" w:rsidR="00E136A1" w:rsidRPr="005E6081" w:rsidRDefault="00E136A1" w:rsidP="00E136A1">
      <w:pPr>
        <w:spacing w:before="1"/>
        <w:ind w:left="912" w:right="1494"/>
        <w:jc w:val="center"/>
        <w:rPr>
          <w:rFonts w:ascii="Segoe UI"/>
          <w:b/>
          <w:i/>
          <w:sz w:val="20"/>
        </w:rPr>
      </w:pPr>
      <w:r w:rsidRPr="005E6081">
        <w:rPr>
          <w:rFonts w:ascii="Segoe UI"/>
          <w:b/>
          <w:sz w:val="20"/>
        </w:rPr>
        <w:t xml:space="preserve">ToR Table 2: Evaluation Ratings Table for </w:t>
      </w:r>
      <w:r w:rsidRPr="005E6081">
        <w:rPr>
          <w:rFonts w:ascii="Segoe UI"/>
          <w:b/>
          <w:i/>
          <w:sz w:val="20"/>
        </w:rPr>
        <w:t>Reducing Deforestation from Commodity Production</w:t>
      </w:r>
    </w:p>
    <w:p w14:paraId="3231D983" w14:textId="77777777" w:rsidR="00E136A1" w:rsidRPr="005E6081" w:rsidRDefault="00E136A1" w:rsidP="00E136A1">
      <w:pPr>
        <w:ind w:left="912" w:right="1491"/>
        <w:jc w:val="center"/>
        <w:rPr>
          <w:rFonts w:ascii="Segoe UI"/>
          <w:b/>
          <w:i/>
          <w:sz w:val="20"/>
        </w:rPr>
      </w:pPr>
      <w:r w:rsidRPr="005E6081">
        <w:rPr>
          <w:rFonts w:ascii="Segoe UI"/>
          <w:b/>
          <w:sz w:val="20"/>
        </w:rPr>
        <w:t xml:space="preserve">and </w:t>
      </w:r>
      <w:r w:rsidRPr="005E6081">
        <w:rPr>
          <w:rFonts w:ascii="Segoe UI"/>
          <w:b/>
          <w:i/>
          <w:sz w:val="20"/>
        </w:rPr>
        <w:t>Adaptive Management and Learning for the Commodities IAP</w:t>
      </w:r>
    </w:p>
    <w:p w14:paraId="3D7237A1" w14:textId="77777777" w:rsidR="00E136A1" w:rsidRPr="005E6081" w:rsidRDefault="00E136A1" w:rsidP="00E136A1">
      <w:pPr>
        <w:pStyle w:val="BodyText"/>
        <w:spacing w:after="1"/>
        <w:rPr>
          <w:rFonts w:ascii="Segoe UI"/>
          <w:b/>
          <w:i/>
        </w:rPr>
      </w:pPr>
    </w:p>
    <w:tbl>
      <w:tblPr>
        <w:tblStyle w:val="TableNormal22"/>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56"/>
        <w:gridCol w:w="1796"/>
      </w:tblGrid>
      <w:tr w:rsidR="00E136A1" w:rsidRPr="005E6081" w14:paraId="073D0AA3" w14:textId="77777777" w:rsidTr="00062DAE">
        <w:trPr>
          <w:trHeight w:val="419"/>
        </w:trPr>
        <w:tc>
          <w:tcPr>
            <w:tcW w:w="7556" w:type="dxa"/>
            <w:shd w:val="clear" w:color="auto" w:fill="404040"/>
          </w:tcPr>
          <w:p w14:paraId="61CCE870" w14:textId="77777777" w:rsidR="00E136A1" w:rsidRPr="005E6081" w:rsidRDefault="00E136A1" w:rsidP="00062DAE">
            <w:pPr>
              <w:pStyle w:val="TableParagraph"/>
              <w:spacing w:before="1"/>
              <w:ind w:left="448"/>
              <w:rPr>
                <w:rFonts w:ascii="Segoe UI"/>
                <w:sz w:val="21"/>
              </w:rPr>
            </w:pPr>
            <w:r w:rsidRPr="005E6081">
              <w:rPr>
                <w:rFonts w:ascii="Segoe UI"/>
                <w:sz w:val="21"/>
              </w:rPr>
              <w:t>Monitoring &amp; Evaluation (M&amp;E)</w:t>
            </w:r>
          </w:p>
        </w:tc>
        <w:tc>
          <w:tcPr>
            <w:tcW w:w="1796" w:type="dxa"/>
            <w:shd w:val="clear" w:color="auto" w:fill="404040"/>
          </w:tcPr>
          <w:p w14:paraId="0CFDFF6F" w14:textId="77777777" w:rsidR="00E136A1" w:rsidRPr="005E6081" w:rsidRDefault="00E136A1" w:rsidP="00062DAE">
            <w:pPr>
              <w:pStyle w:val="TableParagraph"/>
              <w:spacing w:before="5"/>
              <w:ind w:left="108"/>
              <w:rPr>
                <w:rFonts w:ascii="Segoe UI"/>
                <w:sz w:val="15"/>
              </w:rPr>
            </w:pPr>
            <w:r w:rsidRPr="005E6081">
              <w:rPr>
                <w:rFonts w:ascii="Segoe UI"/>
                <w:sz w:val="21"/>
              </w:rPr>
              <w:t>Rating</w:t>
            </w:r>
            <w:r w:rsidRPr="005E6081">
              <w:rPr>
                <w:rFonts w:ascii="Segoe UI"/>
                <w:position w:val="8"/>
                <w:sz w:val="15"/>
              </w:rPr>
              <w:t>5</w:t>
            </w:r>
          </w:p>
        </w:tc>
      </w:tr>
      <w:tr w:rsidR="00E136A1" w:rsidRPr="005E6081" w14:paraId="5AA7CFDC" w14:textId="77777777" w:rsidTr="00062DAE">
        <w:trPr>
          <w:trHeight w:val="277"/>
        </w:trPr>
        <w:tc>
          <w:tcPr>
            <w:tcW w:w="7556" w:type="dxa"/>
          </w:tcPr>
          <w:p w14:paraId="4BCDC35D"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M&amp;E design at entry</w:t>
            </w:r>
          </w:p>
        </w:tc>
        <w:tc>
          <w:tcPr>
            <w:tcW w:w="1796" w:type="dxa"/>
          </w:tcPr>
          <w:p w14:paraId="2FCCB0CF" w14:textId="77777777" w:rsidR="00E136A1" w:rsidRPr="005E6081" w:rsidRDefault="00E136A1" w:rsidP="00062DAE">
            <w:pPr>
              <w:pStyle w:val="TableParagraph"/>
              <w:rPr>
                <w:rFonts w:ascii="Times New Roman"/>
                <w:sz w:val="20"/>
              </w:rPr>
            </w:pPr>
          </w:p>
        </w:tc>
      </w:tr>
      <w:tr w:rsidR="00E136A1" w:rsidRPr="005E6081" w14:paraId="76B98906" w14:textId="77777777" w:rsidTr="00062DAE">
        <w:trPr>
          <w:trHeight w:val="280"/>
        </w:trPr>
        <w:tc>
          <w:tcPr>
            <w:tcW w:w="7556" w:type="dxa"/>
          </w:tcPr>
          <w:p w14:paraId="72DE22E1" w14:textId="77777777" w:rsidR="00E136A1" w:rsidRPr="005E6081" w:rsidRDefault="00E136A1" w:rsidP="00062DAE">
            <w:pPr>
              <w:pStyle w:val="TableParagraph"/>
              <w:spacing w:before="1" w:line="259" w:lineRule="exact"/>
              <w:ind w:left="448"/>
              <w:rPr>
                <w:rFonts w:ascii="Segoe UI"/>
                <w:sz w:val="21"/>
              </w:rPr>
            </w:pPr>
            <w:r w:rsidRPr="005E6081">
              <w:rPr>
                <w:rFonts w:ascii="Segoe UI"/>
                <w:sz w:val="21"/>
              </w:rPr>
              <w:t>M&amp;E Plan Implementation</w:t>
            </w:r>
          </w:p>
        </w:tc>
        <w:tc>
          <w:tcPr>
            <w:tcW w:w="1796" w:type="dxa"/>
          </w:tcPr>
          <w:p w14:paraId="4EED0A86" w14:textId="77777777" w:rsidR="00E136A1" w:rsidRPr="005E6081" w:rsidRDefault="00E136A1" w:rsidP="00062DAE">
            <w:pPr>
              <w:pStyle w:val="TableParagraph"/>
              <w:rPr>
                <w:rFonts w:ascii="Times New Roman"/>
                <w:sz w:val="20"/>
              </w:rPr>
            </w:pPr>
          </w:p>
        </w:tc>
      </w:tr>
      <w:tr w:rsidR="00E136A1" w:rsidRPr="005E6081" w14:paraId="308A61AA" w14:textId="77777777" w:rsidTr="00062DAE">
        <w:trPr>
          <w:trHeight w:val="278"/>
        </w:trPr>
        <w:tc>
          <w:tcPr>
            <w:tcW w:w="7556" w:type="dxa"/>
            <w:shd w:val="clear" w:color="auto" w:fill="DDD9C3"/>
          </w:tcPr>
          <w:p w14:paraId="46CA9CEC"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Overall Quality of M&amp;E</w:t>
            </w:r>
          </w:p>
        </w:tc>
        <w:tc>
          <w:tcPr>
            <w:tcW w:w="1796" w:type="dxa"/>
            <w:shd w:val="clear" w:color="auto" w:fill="DDD9C3"/>
          </w:tcPr>
          <w:p w14:paraId="65F2D962" w14:textId="77777777" w:rsidR="00E136A1" w:rsidRPr="005E6081" w:rsidRDefault="00E136A1" w:rsidP="00062DAE">
            <w:pPr>
              <w:pStyle w:val="TableParagraph"/>
              <w:rPr>
                <w:rFonts w:ascii="Times New Roman"/>
                <w:sz w:val="20"/>
              </w:rPr>
            </w:pPr>
          </w:p>
        </w:tc>
      </w:tr>
      <w:tr w:rsidR="00E136A1" w:rsidRPr="005E6081" w14:paraId="139DD487" w14:textId="77777777" w:rsidTr="00062DAE">
        <w:trPr>
          <w:trHeight w:val="419"/>
        </w:trPr>
        <w:tc>
          <w:tcPr>
            <w:tcW w:w="7556" w:type="dxa"/>
            <w:shd w:val="clear" w:color="auto" w:fill="404040"/>
          </w:tcPr>
          <w:p w14:paraId="47D18129" w14:textId="77777777" w:rsidR="00E136A1" w:rsidRPr="005E6081" w:rsidRDefault="00E136A1" w:rsidP="00062DAE">
            <w:pPr>
              <w:pStyle w:val="TableParagraph"/>
              <w:spacing w:before="3"/>
              <w:ind w:left="448"/>
              <w:rPr>
                <w:rFonts w:ascii="Segoe UI"/>
                <w:sz w:val="21"/>
              </w:rPr>
            </w:pPr>
            <w:r w:rsidRPr="005E6081">
              <w:rPr>
                <w:rFonts w:ascii="Segoe UI"/>
                <w:sz w:val="21"/>
              </w:rPr>
              <w:t>Implementation &amp; Execution</w:t>
            </w:r>
          </w:p>
        </w:tc>
        <w:tc>
          <w:tcPr>
            <w:tcW w:w="1796" w:type="dxa"/>
            <w:shd w:val="clear" w:color="auto" w:fill="404040"/>
          </w:tcPr>
          <w:p w14:paraId="4B54E9E5" w14:textId="77777777" w:rsidR="00E136A1" w:rsidRPr="005E6081" w:rsidRDefault="00E136A1" w:rsidP="00062DAE">
            <w:pPr>
              <w:pStyle w:val="TableParagraph"/>
              <w:spacing w:before="1"/>
              <w:ind w:left="108"/>
              <w:rPr>
                <w:rFonts w:ascii="Segoe UI"/>
                <w:sz w:val="21"/>
              </w:rPr>
            </w:pPr>
            <w:r w:rsidRPr="005E6081">
              <w:rPr>
                <w:rFonts w:ascii="Segoe UI"/>
                <w:sz w:val="21"/>
              </w:rPr>
              <w:t>Rating</w:t>
            </w:r>
          </w:p>
        </w:tc>
      </w:tr>
      <w:tr w:rsidR="00E136A1" w:rsidRPr="005E6081" w14:paraId="1F4357ED" w14:textId="77777777" w:rsidTr="00062DAE">
        <w:trPr>
          <w:trHeight w:val="280"/>
        </w:trPr>
        <w:tc>
          <w:tcPr>
            <w:tcW w:w="7556" w:type="dxa"/>
          </w:tcPr>
          <w:p w14:paraId="28EF0CD2" w14:textId="77777777" w:rsidR="00E136A1" w:rsidRPr="005E6081" w:rsidRDefault="00E136A1" w:rsidP="00062DAE">
            <w:pPr>
              <w:pStyle w:val="TableParagraph"/>
              <w:spacing w:line="261" w:lineRule="exact"/>
              <w:ind w:left="467"/>
              <w:rPr>
                <w:rFonts w:ascii="Segoe UI"/>
                <w:sz w:val="21"/>
              </w:rPr>
            </w:pPr>
            <w:r w:rsidRPr="005E6081">
              <w:rPr>
                <w:rFonts w:ascii="Segoe UI"/>
                <w:sz w:val="21"/>
              </w:rPr>
              <w:t>Quality of UNDP Implementation/Oversight</w:t>
            </w:r>
          </w:p>
        </w:tc>
        <w:tc>
          <w:tcPr>
            <w:tcW w:w="1796" w:type="dxa"/>
          </w:tcPr>
          <w:p w14:paraId="75CB9C98" w14:textId="77777777" w:rsidR="00E136A1" w:rsidRPr="005E6081" w:rsidRDefault="00E136A1" w:rsidP="00062DAE">
            <w:pPr>
              <w:pStyle w:val="TableParagraph"/>
              <w:rPr>
                <w:rFonts w:ascii="Times New Roman"/>
                <w:sz w:val="20"/>
              </w:rPr>
            </w:pPr>
          </w:p>
        </w:tc>
      </w:tr>
      <w:tr w:rsidR="00E136A1" w:rsidRPr="005E6081" w14:paraId="1C47E272" w14:textId="77777777" w:rsidTr="00062DAE">
        <w:trPr>
          <w:trHeight w:val="278"/>
        </w:trPr>
        <w:tc>
          <w:tcPr>
            <w:tcW w:w="7556" w:type="dxa"/>
          </w:tcPr>
          <w:p w14:paraId="7590D75E" w14:textId="77777777" w:rsidR="00E136A1" w:rsidRPr="005E6081" w:rsidRDefault="00E136A1" w:rsidP="00062DAE">
            <w:pPr>
              <w:pStyle w:val="TableParagraph"/>
              <w:spacing w:line="258" w:lineRule="exact"/>
              <w:ind w:left="467"/>
              <w:rPr>
                <w:rFonts w:ascii="Segoe UI"/>
                <w:sz w:val="21"/>
              </w:rPr>
            </w:pPr>
            <w:r w:rsidRPr="005E6081">
              <w:rPr>
                <w:rFonts w:ascii="Segoe UI"/>
                <w:sz w:val="21"/>
              </w:rPr>
              <w:t>Quality of Implementing Partner Execution</w:t>
            </w:r>
          </w:p>
        </w:tc>
        <w:tc>
          <w:tcPr>
            <w:tcW w:w="1796" w:type="dxa"/>
          </w:tcPr>
          <w:p w14:paraId="50A31ACC" w14:textId="77777777" w:rsidR="00E136A1" w:rsidRPr="005E6081" w:rsidRDefault="00E136A1" w:rsidP="00062DAE">
            <w:pPr>
              <w:pStyle w:val="TableParagraph"/>
              <w:rPr>
                <w:rFonts w:ascii="Times New Roman"/>
                <w:sz w:val="20"/>
              </w:rPr>
            </w:pPr>
          </w:p>
        </w:tc>
      </w:tr>
      <w:tr w:rsidR="00E136A1" w:rsidRPr="005E6081" w14:paraId="22263584" w14:textId="77777777" w:rsidTr="00062DAE">
        <w:trPr>
          <w:trHeight w:val="280"/>
        </w:trPr>
        <w:tc>
          <w:tcPr>
            <w:tcW w:w="7556" w:type="dxa"/>
            <w:shd w:val="clear" w:color="auto" w:fill="DDD9C3"/>
          </w:tcPr>
          <w:p w14:paraId="0CC6FD31" w14:textId="77777777" w:rsidR="00E136A1" w:rsidRPr="005E6081" w:rsidRDefault="00E136A1" w:rsidP="00062DAE">
            <w:pPr>
              <w:pStyle w:val="TableParagraph"/>
              <w:spacing w:line="260" w:lineRule="exact"/>
              <w:ind w:left="467"/>
              <w:rPr>
                <w:rFonts w:ascii="Segoe UI"/>
                <w:sz w:val="21"/>
              </w:rPr>
            </w:pPr>
            <w:r w:rsidRPr="005E6081">
              <w:rPr>
                <w:rFonts w:ascii="Segoe UI"/>
                <w:sz w:val="21"/>
              </w:rPr>
              <w:t>Overall quality of Implementation/Execution</w:t>
            </w:r>
          </w:p>
        </w:tc>
        <w:tc>
          <w:tcPr>
            <w:tcW w:w="1796" w:type="dxa"/>
            <w:shd w:val="clear" w:color="auto" w:fill="DDD9C3"/>
          </w:tcPr>
          <w:p w14:paraId="48EC091B" w14:textId="77777777" w:rsidR="00E136A1" w:rsidRPr="005E6081" w:rsidRDefault="00E136A1" w:rsidP="00062DAE">
            <w:pPr>
              <w:pStyle w:val="TableParagraph"/>
              <w:rPr>
                <w:rFonts w:ascii="Times New Roman"/>
                <w:sz w:val="20"/>
              </w:rPr>
            </w:pPr>
          </w:p>
        </w:tc>
      </w:tr>
      <w:tr w:rsidR="00E136A1" w:rsidRPr="005E6081" w14:paraId="1F492E3F" w14:textId="77777777" w:rsidTr="00062DAE">
        <w:trPr>
          <w:trHeight w:val="419"/>
        </w:trPr>
        <w:tc>
          <w:tcPr>
            <w:tcW w:w="7556" w:type="dxa"/>
            <w:shd w:val="clear" w:color="auto" w:fill="404040"/>
          </w:tcPr>
          <w:p w14:paraId="2EDFC13A" w14:textId="77777777" w:rsidR="00E136A1" w:rsidRPr="005E6081" w:rsidRDefault="00E136A1" w:rsidP="00062DAE">
            <w:pPr>
              <w:pStyle w:val="TableParagraph"/>
              <w:spacing w:before="1"/>
              <w:ind w:left="448"/>
              <w:rPr>
                <w:rFonts w:ascii="Segoe UI"/>
                <w:sz w:val="21"/>
              </w:rPr>
            </w:pPr>
            <w:r w:rsidRPr="005E6081">
              <w:rPr>
                <w:rFonts w:ascii="Segoe UI"/>
                <w:sz w:val="21"/>
              </w:rPr>
              <w:t>Assessment of Outcomes</w:t>
            </w:r>
          </w:p>
        </w:tc>
        <w:tc>
          <w:tcPr>
            <w:tcW w:w="1796" w:type="dxa"/>
            <w:shd w:val="clear" w:color="auto" w:fill="404040"/>
          </w:tcPr>
          <w:p w14:paraId="5904915B" w14:textId="77777777" w:rsidR="00E136A1" w:rsidRPr="005E6081" w:rsidRDefault="00E136A1" w:rsidP="00062DAE">
            <w:pPr>
              <w:pStyle w:val="TableParagraph"/>
              <w:spacing w:line="278" w:lineRule="exact"/>
              <w:ind w:left="108"/>
              <w:rPr>
                <w:rFonts w:ascii="Segoe UI"/>
                <w:sz w:val="21"/>
              </w:rPr>
            </w:pPr>
            <w:r w:rsidRPr="005E6081">
              <w:rPr>
                <w:rFonts w:ascii="Segoe UI"/>
                <w:sz w:val="21"/>
              </w:rPr>
              <w:t>Rating</w:t>
            </w:r>
          </w:p>
        </w:tc>
      </w:tr>
      <w:tr w:rsidR="00E136A1" w:rsidRPr="005E6081" w14:paraId="2B32E8DB" w14:textId="77777777" w:rsidTr="00062DAE">
        <w:trPr>
          <w:trHeight w:val="277"/>
        </w:trPr>
        <w:tc>
          <w:tcPr>
            <w:tcW w:w="7556" w:type="dxa"/>
          </w:tcPr>
          <w:p w14:paraId="557FE6BA"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Relevance</w:t>
            </w:r>
          </w:p>
        </w:tc>
        <w:tc>
          <w:tcPr>
            <w:tcW w:w="1796" w:type="dxa"/>
          </w:tcPr>
          <w:p w14:paraId="26C33E1F" w14:textId="77777777" w:rsidR="00E136A1" w:rsidRPr="005E6081" w:rsidRDefault="00E136A1" w:rsidP="00062DAE">
            <w:pPr>
              <w:pStyle w:val="TableParagraph"/>
              <w:rPr>
                <w:rFonts w:ascii="Times New Roman"/>
                <w:sz w:val="20"/>
              </w:rPr>
            </w:pPr>
          </w:p>
        </w:tc>
      </w:tr>
      <w:tr w:rsidR="00E136A1" w:rsidRPr="005E6081" w14:paraId="1B3488AB" w14:textId="77777777" w:rsidTr="00062DAE">
        <w:trPr>
          <w:trHeight w:val="280"/>
        </w:trPr>
        <w:tc>
          <w:tcPr>
            <w:tcW w:w="7556" w:type="dxa"/>
          </w:tcPr>
          <w:p w14:paraId="5B1BD8DF" w14:textId="77777777" w:rsidR="00E136A1" w:rsidRPr="005E6081" w:rsidRDefault="00E136A1" w:rsidP="00062DAE">
            <w:pPr>
              <w:pStyle w:val="TableParagraph"/>
              <w:spacing w:line="260" w:lineRule="exact"/>
              <w:ind w:left="448"/>
              <w:rPr>
                <w:rFonts w:ascii="Segoe UI"/>
                <w:sz w:val="21"/>
              </w:rPr>
            </w:pPr>
            <w:r w:rsidRPr="005E6081">
              <w:rPr>
                <w:rFonts w:ascii="Segoe UI"/>
                <w:sz w:val="21"/>
              </w:rPr>
              <w:t>Effectiveness</w:t>
            </w:r>
          </w:p>
        </w:tc>
        <w:tc>
          <w:tcPr>
            <w:tcW w:w="1796" w:type="dxa"/>
          </w:tcPr>
          <w:p w14:paraId="565BCF82" w14:textId="77777777" w:rsidR="00E136A1" w:rsidRPr="005E6081" w:rsidRDefault="00E136A1" w:rsidP="00062DAE">
            <w:pPr>
              <w:pStyle w:val="TableParagraph"/>
              <w:rPr>
                <w:rFonts w:ascii="Times New Roman"/>
                <w:sz w:val="20"/>
              </w:rPr>
            </w:pPr>
          </w:p>
        </w:tc>
      </w:tr>
      <w:tr w:rsidR="00E136A1" w:rsidRPr="005E6081" w14:paraId="74E6AD8D" w14:textId="77777777" w:rsidTr="00062DAE">
        <w:trPr>
          <w:trHeight w:val="277"/>
        </w:trPr>
        <w:tc>
          <w:tcPr>
            <w:tcW w:w="7556" w:type="dxa"/>
          </w:tcPr>
          <w:p w14:paraId="496BC4D0"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Efficiency</w:t>
            </w:r>
          </w:p>
        </w:tc>
        <w:tc>
          <w:tcPr>
            <w:tcW w:w="1796" w:type="dxa"/>
          </w:tcPr>
          <w:p w14:paraId="466A3E59" w14:textId="77777777" w:rsidR="00E136A1" w:rsidRPr="005E6081" w:rsidRDefault="00E136A1" w:rsidP="00062DAE">
            <w:pPr>
              <w:pStyle w:val="TableParagraph"/>
              <w:rPr>
                <w:rFonts w:ascii="Times New Roman"/>
                <w:sz w:val="20"/>
              </w:rPr>
            </w:pPr>
          </w:p>
        </w:tc>
      </w:tr>
      <w:tr w:rsidR="00E136A1" w:rsidRPr="005E6081" w14:paraId="18000304" w14:textId="77777777" w:rsidTr="00062DAE">
        <w:trPr>
          <w:trHeight w:val="280"/>
        </w:trPr>
        <w:tc>
          <w:tcPr>
            <w:tcW w:w="7556" w:type="dxa"/>
            <w:shd w:val="clear" w:color="auto" w:fill="DDD9C3"/>
          </w:tcPr>
          <w:p w14:paraId="509CF687" w14:textId="77777777" w:rsidR="00E136A1" w:rsidRPr="005E6081" w:rsidRDefault="00E136A1" w:rsidP="00062DAE">
            <w:pPr>
              <w:pStyle w:val="TableParagraph"/>
              <w:spacing w:line="260" w:lineRule="exact"/>
              <w:ind w:left="448"/>
              <w:rPr>
                <w:rFonts w:ascii="Segoe UI"/>
                <w:sz w:val="21"/>
              </w:rPr>
            </w:pPr>
            <w:r w:rsidRPr="005E6081">
              <w:rPr>
                <w:rFonts w:ascii="Segoe UI"/>
                <w:sz w:val="21"/>
              </w:rPr>
              <w:t>Overall Project Outcome Rating</w:t>
            </w:r>
          </w:p>
        </w:tc>
        <w:tc>
          <w:tcPr>
            <w:tcW w:w="1796" w:type="dxa"/>
            <w:shd w:val="clear" w:color="auto" w:fill="DDD9C3"/>
          </w:tcPr>
          <w:p w14:paraId="30AA8012" w14:textId="77777777" w:rsidR="00E136A1" w:rsidRPr="005E6081" w:rsidRDefault="00E136A1" w:rsidP="00062DAE">
            <w:pPr>
              <w:pStyle w:val="TableParagraph"/>
              <w:rPr>
                <w:rFonts w:ascii="Times New Roman"/>
                <w:sz w:val="20"/>
              </w:rPr>
            </w:pPr>
          </w:p>
        </w:tc>
      </w:tr>
      <w:tr w:rsidR="00E136A1" w:rsidRPr="005E6081" w14:paraId="7B891825" w14:textId="77777777" w:rsidTr="00062DAE">
        <w:trPr>
          <w:trHeight w:val="419"/>
        </w:trPr>
        <w:tc>
          <w:tcPr>
            <w:tcW w:w="7556" w:type="dxa"/>
            <w:shd w:val="clear" w:color="auto" w:fill="404040"/>
          </w:tcPr>
          <w:p w14:paraId="53806713" w14:textId="77777777" w:rsidR="00E136A1" w:rsidRPr="005E6081" w:rsidRDefault="00E136A1" w:rsidP="00062DAE">
            <w:pPr>
              <w:pStyle w:val="TableParagraph"/>
              <w:spacing w:before="1"/>
              <w:ind w:left="448"/>
              <w:rPr>
                <w:rFonts w:ascii="Segoe UI"/>
                <w:sz w:val="21"/>
              </w:rPr>
            </w:pPr>
            <w:r w:rsidRPr="005E6081">
              <w:rPr>
                <w:rFonts w:ascii="Segoe UI"/>
                <w:sz w:val="21"/>
              </w:rPr>
              <w:t>Sustainability</w:t>
            </w:r>
          </w:p>
        </w:tc>
        <w:tc>
          <w:tcPr>
            <w:tcW w:w="1796" w:type="dxa"/>
            <w:shd w:val="clear" w:color="auto" w:fill="404040"/>
          </w:tcPr>
          <w:p w14:paraId="7FFF2DB3" w14:textId="77777777" w:rsidR="00E136A1" w:rsidRPr="005E6081" w:rsidRDefault="00E136A1" w:rsidP="00062DAE">
            <w:pPr>
              <w:pStyle w:val="TableParagraph"/>
              <w:spacing w:line="278" w:lineRule="exact"/>
              <w:ind w:left="108"/>
              <w:rPr>
                <w:rFonts w:ascii="Segoe UI"/>
                <w:sz w:val="21"/>
              </w:rPr>
            </w:pPr>
            <w:r w:rsidRPr="005E6081">
              <w:rPr>
                <w:rFonts w:ascii="Segoe UI"/>
                <w:sz w:val="21"/>
              </w:rPr>
              <w:t>Rating</w:t>
            </w:r>
          </w:p>
        </w:tc>
      </w:tr>
      <w:tr w:rsidR="00E136A1" w:rsidRPr="005E6081" w14:paraId="1D6F842D" w14:textId="77777777" w:rsidTr="00062DAE">
        <w:trPr>
          <w:trHeight w:val="278"/>
        </w:trPr>
        <w:tc>
          <w:tcPr>
            <w:tcW w:w="7556" w:type="dxa"/>
          </w:tcPr>
          <w:p w14:paraId="557047D7"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Financial resources</w:t>
            </w:r>
          </w:p>
        </w:tc>
        <w:tc>
          <w:tcPr>
            <w:tcW w:w="1796" w:type="dxa"/>
          </w:tcPr>
          <w:p w14:paraId="4F80DB72" w14:textId="77777777" w:rsidR="00E136A1" w:rsidRPr="005E6081" w:rsidRDefault="00E136A1" w:rsidP="00062DAE">
            <w:pPr>
              <w:pStyle w:val="TableParagraph"/>
              <w:rPr>
                <w:rFonts w:ascii="Times New Roman"/>
                <w:sz w:val="20"/>
              </w:rPr>
            </w:pPr>
          </w:p>
        </w:tc>
      </w:tr>
      <w:tr w:rsidR="00E136A1" w:rsidRPr="005E6081" w14:paraId="241D3AE4" w14:textId="77777777" w:rsidTr="00062DAE">
        <w:trPr>
          <w:trHeight w:val="280"/>
        </w:trPr>
        <w:tc>
          <w:tcPr>
            <w:tcW w:w="7556" w:type="dxa"/>
          </w:tcPr>
          <w:p w14:paraId="5A2E6B11" w14:textId="77777777" w:rsidR="00E136A1" w:rsidRPr="005E6081" w:rsidRDefault="00E136A1" w:rsidP="00062DAE">
            <w:pPr>
              <w:pStyle w:val="TableParagraph"/>
              <w:spacing w:line="261" w:lineRule="exact"/>
              <w:ind w:left="448"/>
              <w:rPr>
                <w:rFonts w:ascii="Segoe UI"/>
                <w:sz w:val="21"/>
              </w:rPr>
            </w:pPr>
            <w:r w:rsidRPr="005E6081">
              <w:rPr>
                <w:rFonts w:ascii="Segoe UI"/>
                <w:sz w:val="21"/>
              </w:rPr>
              <w:t>Socio-political/economic</w:t>
            </w:r>
          </w:p>
        </w:tc>
        <w:tc>
          <w:tcPr>
            <w:tcW w:w="1796" w:type="dxa"/>
          </w:tcPr>
          <w:p w14:paraId="41CE5846" w14:textId="77777777" w:rsidR="00E136A1" w:rsidRPr="005E6081" w:rsidRDefault="00E136A1" w:rsidP="00062DAE">
            <w:pPr>
              <w:pStyle w:val="TableParagraph"/>
              <w:rPr>
                <w:rFonts w:ascii="Times New Roman"/>
                <w:sz w:val="20"/>
              </w:rPr>
            </w:pPr>
          </w:p>
        </w:tc>
      </w:tr>
      <w:tr w:rsidR="00E136A1" w:rsidRPr="005E6081" w14:paraId="017778CD" w14:textId="77777777" w:rsidTr="00062DAE">
        <w:trPr>
          <w:trHeight w:val="278"/>
        </w:trPr>
        <w:tc>
          <w:tcPr>
            <w:tcW w:w="7556" w:type="dxa"/>
          </w:tcPr>
          <w:p w14:paraId="1068FEEB"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Institutional framework and governance</w:t>
            </w:r>
          </w:p>
        </w:tc>
        <w:tc>
          <w:tcPr>
            <w:tcW w:w="1796" w:type="dxa"/>
          </w:tcPr>
          <w:p w14:paraId="270838CB" w14:textId="77777777" w:rsidR="00E136A1" w:rsidRPr="005E6081" w:rsidRDefault="00E136A1" w:rsidP="00062DAE">
            <w:pPr>
              <w:pStyle w:val="TableParagraph"/>
              <w:rPr>
                <w:rFonts w:ascii="Times New Roman"/>
                <w:sz w:val="20"/>
              </w:rPr>
            </w:pPr>
          </w:p>
        </w:tc>
      </w:tr>
      <w:tr w:rsidR="00E136A1" w:rsidRPr="005E6081" w14:paraId="67E4B76F" w14:textId="77777777" w:rsidTr="00062DAE">
        <w:trPr>
          <w:trHeight w:val="280"/>
        </w:trPr>
        <w:tc>
          <w:tcPr>
            <w:tcW w:w="7556" w:type="dxa"/>
          </w:tcPr>
          <w:p w14:paraId="5F61F4A9" w14:textId="77777777" w:rsidR="00E136A1" w:rsidRPr="005E6081" w:rsidRDefault="00E136A1" w:rsidP="00062DAE">
            <w:pPr>
              <w:pStyle w:val="TableParagraph"/>
              <w:spacing w:line="260" w:lineRule="exact"/>
              <w:ind w:left="448"/>
              <w:rPr>
                <w:rFonts w:ascii="Segoe UI"/>
                <w:sz w:val="21"/>
              </w:rPr>
            </w:pPr>
            <w:r w:rsidRPr="005E6081">
              <w:rPr>
                <w:rFonts w:ascii="Segoe UI"/>
                <w:sz w:val="21"/>
              </w:rPr>
              <w:t>Environmental</w:t>
            </w:r>
          </w:p>
        </w:tc>
        <w:tc>
          <w:tcPr>
            <w:tcW w:w="1796" w:type="dxa"/>
          </w:tcPr>
          <w:p w14:paraId="4BF3ED55" w14:textId="77777777" w:rsidR="00E136A1" w:rsidRPr="005E6081" w:rsidRDefault="00E136A1" w:rsidP="00062DAE">
            <w:pPr>
              <w:pStyle w:val="TableParagraph"/>
              <w:rPr>
                <w:rFonts w:ascii="Times New Roman"/>
                <w:sz w:val="20"/>
              </w:rPr>
            </w:pPr>
          </w:p>
        </w:tc>
      </w:tr>
      <w:tr w:rsidR="00E136A1" w:rsidRPr="005E6081" w14:paraId="4F48AF14" w14:textId="77777777" w:rsidTr="00062DAE">
        <w:trPr>
          <w:trHeight w:val="278"/>
        </w:trPr>
        <w:tc>
          <w:tcPr>
            <w:tcW w:w="7556" w:type="dxa"/>
            <w:shd w:val="clear" w:color="auto" w:fill="DDD9C3"/>
          </w:tcPr>
          <w:p w14:paraId="4C5E0A32" w14:textId="77777777" w:rsidR="00E136A1" w:rsidRPr="005E6081" w:rsidRDefault="00E136A1" w:rsidP="00062DAE">
            <w:pPr>
              <w:pStyle w:val="TableParagraph"/>
              <w:spacing w:line="258" w:lineRule="exact"/>
              <w:ind w:left="448"/>
              <w:rPr>
                <w:rFonts w:ascii="Segoe UI"/>
                <w:sz w:val="21"/>
              </w:rPr>
            </w:pPr>
            <w:r w:rsidRPr="005E6081">
              <w:rPr>
                <w:rFonts w:ascii="Segoe UI"/>
                <w:sz w:val="21"/>
              </w:rPr>
              <w:t>Overall Likelihood of Sustainability</w:t>
            </w:r>
          </w:p>
        </w:tc>
        <w:tc>
          <w:tcPr>
            <w:tcW w:w="1796" w:type="dxa"/>
            <w:shd w:val="clear" w:color="auto" w:fill="DDD9C3"/>
          </w:tcPr>
          <w:p w14:paraId="4EB9F715" w14:textId="77777777" w:rsidR="00E136A1" w:rsidRPr="005E6081" w:rsidRDefault="00E136A1" w:rsidP="00062DAE">
            <w:pPr>
              <w:pStyle w:val="TableParagraph"/>
              <w:rPr>
                <w:rFonts w:ascii="Times New Roman"/>
                <w:sz w:val="20"/>
              </w:rPr>
            </w:pPr>
          </w:p>
        </w:tc>
      </w:tr>
    </w:tbl>
    <w:p w14:paraId="327172ED" w14:textId="77777777" w:rsidR="00E136A1" w:rsidRPr="005E6081" w:rsidRDefault="00E136A1" w:rsidP="00E136A1">
      <w:pPr>
        <w:pStyle w:val="BodyText"/>
        <w:rPr>
          <w:rFonts w:ascii="Segoe UI"/>
          <w:b/>
          <w:i/>
        </w:rPr>
      </w:pPr>
    </w:p>
    <w:p w14:paraId="4552ADB6" w14:textId="5F435E1E" w:rsidR="00E136A1" w:rsidRPr="005E6081" w:rsidRDefault="00011C41" w:rsidP="00E136A1">
      <w:pPr>
        <w:pStyle w:val="BodyText"/>
        <w:spacing w:before="7"/>
        <w:rPr>
          <w:rFonts w:ascii="Segoe UI"/>
          <w:b/>
          <w:i/>
          <w:sz w:val="22"/>
        </w:rPr>
      </w:pPr>
      <w:r>
        <w:rPr>
          <w:noProof/>
        </w:rPr>
        <mc:AlternateContent>
          <mc:Choice Requires="wps">
            <w:drawing>
              <wp:anchor distT="0" distB="0" distL="0" distR="0" simplePos="0" relativeHeight="251660800" behindDoc="1" locked="0" layoutInCell="1" allowOverlap="1" wp14:anchorId="52D84B80" wp14:editId="34BD5A71">
                <wp:simplePos x="0" y="0"/>
                <wp:positionH relativeFrom="page">
                  <wp:posOffset>914400</wp:posOffset>
                </wp:positionH>
                <wp:positionV relativeFrom="paragraph">
                  <wp:posOffset>215265</wp:posOffset>
                </wp:positionV>
                <wp:extent cx="1828800" cy="6350"/>
                <wp:effectExtent l="0" t="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E041B" id="Rectangle 20" o:spid="_x0000_s1026" style="position:absolute;margin-left:1in;margin-top:16.95pt;width:2in;height:.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" fillcolor="black" stroked="f">
                <w10:wrap type="topAndBottom" anchorx="page"/>
              </v:rect>
            </w:pict>
          </mc:Fallback>
        </mc:AlternateContent>
      </w:r>
    </w:p>
    <w:p w14:paraId="0FDF0120" w14:textId="77777777" w:rsidR="00E136A1" w:rsidRPr="005E6081" w:rsidRDefault="00E136A1" w:rsidP="00E136A1">
      <w:pPr>
        <w:spacing w:before="52"/>
        <w:ind w:left="500"/>
        <w:jc w:val="both"/>
        <w:rPr>
          <w:rFonts w:ascii="Segoe UI"/>
          <w:sz w:val="20"/>
        </w:rPr>
      </w:pPr>
      <w:r w:rsidRPr="005E6081">
        <w:rPr>
          <w:position w:val="7"/>
          <w:sz w:val="13"/>
        </w:rPr>
        <w:t xml:space="preserve">5 </w:t>
      </w:r>
      <w:r w:rsidRPr="005E6081">
        <w:rPr>
          <w:rFonts w:ascii="Segoe UI"/>
          <w:sz w:val="20"/>
        </w:rPr>
        <w:t>Outcomes, Effectiveness, Efficiency, M&amp;E, I&amp;E Execution, Relevance are rated on a 6-point rating scale: 6</w:t>
      </w:r>
    </w:p>
    <w:p w14:paraId="793AF293" w14:textId="77777777" w:rsidR="00E136A1" w:rsidRPr="005E6081" w:rsidRDefault="00E136A1" w:rsidP="00E136A1">
      <w:pPr>
        <w:spacing w:before="1"/>
        <w:ind w:left="500" w:right="1437"/>
        <w:jc w:val="both"/>
        <w:rPr>
          <w:rFonts w:ascii="Segoe UI"/>
          <w:sz w:val="20"/>
        </w:rPr>
      </w:pPr>
      <w:r w:rsidRPr="005E6081">
        <w:rPr>
          <w:rFonts w:ascii="Segoe UI"/>
          <w:sz w:val="20"/>
        </w:rPr>
        <w:t>= Highly Satisfactory (HS), 5 = Satisfactory (S), 4 = Moderately Satisfactory (MS), 3 = Moderately Unsatisfactory (MU), 2 = Unsatisfactory (U), 1 = Highly Unsatisfactory (HU). Sustainability is rated on a 4- point scale: 4 = Likely (L), 3 = Moderately Likely (ML), 2 = Moderately Unlikely (MU), 1 = Unlikely (U)</w:t>
      </w:r>
    </w:p>
    <w:bookmarkEnd w:id="111"/>
    <w:p w14:paraId="6578FC51" w14:textId="77777777" w:rsidR="00E136A1" w:rsidRPr="005E6081" w:rsidRDefault="00E136A1" w:rsidP="00E136A1">
      <w:r w:rsidRPr="005E6081">
        <w:t>TIMEFRAME</w:t>
      </w:r>
    </w:p>
    <w:p w14:paraId="6D74A6A2" w14:textId="77777777" w:rsidR="00E136A1" w:rsidRPr="005E6081" w:rsidRDefault="00E136A1" w:rsidP="00E136A1">
      <w:pPr>
        <w:spacing w:before="188" w:line="237" w:lineRule="auto"/>
        <w:ind w:left="500" w:right="1433"/>
        <w:jc w:val="both"/>
        <w:rPr>
          <w:rFonts w:ascii="Segoe UI"/>
          <w:sz w:val="21"/>
        </w:rPr>
      </w:pPr>
      <w:r w:rsidRPr="005E6081">
        <w:rPr>
          <w:rFonts w:ascii="Segoe UI"/>
          <w:sz w:val="21"/>
        </w:rPr>
        <w:t>The</w:t>
      </w:r>
      <w:r w:rsidRPr="005E6081">
        <w:rPr>
          <w:rFonts w:ascii="Segoe UI"/>
          <w:spacing w:val="-13"/>
          <w:sz w:val="21"/>
        </w:rPr>
        <w:t xml:space="preserve"> </w:t>
      </w:r>
      <w:r w:rsidRPr="005E6081">
        <w:rPr>
          <w:rFonts w:ascii="Segoe UI"/>
          <w:sz w:val="21"/>
        </w:rPr>
        <w:t>total</w:t>
      </w:r>
      <w:r w:rsidRPr="005E6081">
        <w:rPr>
          <w:rFonts w:ascii="Segoe UI"/>
          <w:spacing w:val="-14"/>
          <w:sz w:val="21"/>
        </w:rPr>
        <w:t xml:space="preserve"> </w:t>
      </w:r>
      <w:r w:rsidRPr="005E6081">
        <w:rPr>
          <w:rFonts w:ascii="Segoe UI"/>
          <w:sz w:val="21"/>
        </w:rPr>
        <w:t>duration</w:t>
      </w:r>
      <w:r w:rsidRPr="005E6081">
        <w:rPr>
          <w:rFonts w:ascii="Segoe UI"/>
          <w:spacing w:val="-13"/>
          <w:sz w:val="21"/>
        </w:rPr>
        <w:t xml:space="preserve"> </w:t>
      </w:r>
      <w:r w:rsidRPr="005E6081">
        <w:rPr>
          <w:rFonts w:ascii="Segoe UI"/>
          <w:sz w:val="21"/>
        </w:rPr>
        <w:t>of</w:t>
      </w:r>
      <w:r w:rsidRPr="005E6081">
        <w:rPr>
          <w:rFonts w:ascii="Segoe UI"/>
          <w:spacing w:val="-10"/>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TEs</w:t>
      </w:r>
      <w:r w:rsidRPr="005E6081">
        <w:rPr>
          <w:rFonts w:ascii="Segoe UI"/>
          <w:spacing w:val="-14"/>
          <w:sz w:val="21"/>
        </w:rPr>
        <w:t xml:space="preserve"> </w:t>
      </w:r>
      <w:r w:rsidRPr="005E6081">
        <w:rPr>
          <w:rFonts w:ascii="Segoe UI"/>
          <w:sz w:val="21"/>
        </w:rPr>
        <w:t>will</w:t>
      </w:r>
      <w:r w:rsidRPr="005E6081">
        <w:rPr>
          <w:rFonts w:ascii="Segoe UI"/>
          <w:spacing w:val="-12"/>
          <w:sz w:val="21"/>
        </w:rPr>
        <w:t xml:space="preserve"> </w:t>
      </w:r>
      <w:r w:rsidRPr="005E6081">
        <w:rPr>
          <w:rFonts w:ascii="Segoe UI"/>
          <w:sz w:val="21"/>
        </w:rPr>
        <w:t>be</w:t>
      </w:r>
      <w:r w:rsidRPr="005E6081">
        <w:rPr>
          <w:rFonts w:ascii="Segoe UI"/>
          <w:spacing w:val="-13"/>
          <w:sz w:val="21"/>
        </w:rPr>
        <w:t xml:space="preserve"> </w:t>
      </w:r>
      <w:r w:rsidRPr="005E6081">
        <w:rPr>
          <w:rFonts w:ascii="Segoe UI"/>
          <w:sz w:val="21"/>
        </w:rPr>
        <w:t>approximately</w:t>
      </w:r>
      <w:r w:rsidRPr="005E6081">
        <w:rPr>
          <w:rFonts w:ascii="Segoe UI"/>
          <w:spacing w:val="-10"/>
          <w:sz w:val="21"/>
        </w:rPr>
        <w:t xml:space="preserve"> </w:t>
      </w:r>
      <w:r w:rsidRPr="005E6081">
        <w:rPr>
          <w:rFonts w:ascii="Segoe UI"/>
          <w:b/>
          <w:i/>
          <w:sz w:val="21"/>
        </w:rPr>
        <w:t>80</w:t>
      </w:r>
      <w:r w:rsidRPr="005E6081">
        <w:rPr>
          <w:rFonts w:ascii="Segoe UI"/>
          <w:b/>
          <w:i/>
          <w:spacing w:val="-10"/>
          <w:sz w:val="21"/>
        </w:rPr>
        <w:t xml:space="preserve"> </w:t>
      </w:r>
      <w:r w:rsidRPr="005E6081">
        <w:rPr>
          <w:rFonts w:ascii="Segoe UI"/>
          <w:b/>
          <w:i/>
          <w:sz w:val="21"/>
        </w:rPr>
        <w:t>worker</w:t>
      </w:r>
      <w:r w:rsidRPr="005E6081">
        <w:rPr>
          <w:rFonts w:ascii="Segoe UI"/>
          <w:b/>
          <w:i/>
          <w:spacing w:val="-12"/>
          <w:sz w:val="21"/>
        </w:rPr>
        <w:t xml:space="preserve"> </w:t>
      </w:r>
      <w:r w:rsidRPr="005E6081">
        <w:rPr>
          <w:rFonts w:ascii="Segoe UI"/>
          <w:b/>
          <w:i/>
          <w:sz w:val="21"/>
        </w:rPr>
        <w:t>days</w:t>
      </w:r>
      <w:r w:rsidRPr="005E6081">
        <w:rPr>
          <w:rFonts w:ascii="Segoe UI"/>
          <w:b/>
          <w:i/>
          <w:spacing w:val="-13"/>
          <w:sz w:val="21"/>
        </w:rPr>
        <w:t xml:space="preserve"> </w:t>
      </w:r>
      <w:r w:rsidRPr="005E6081">
        <w:rPr>
          <w:rFonts w:ascii="Segoe UI"/>
          <w:sz w:val="21"/>
        </w:rPr>
        <w:t>(60</w:t>
      </w:r>
      <w:r w:rsidRPr="005E6081">
        <w:rPr>
          <w:rFonts w:ascii="Segoe UI"/>
          <w:spacing w:val="-14"/>
          <w:sz w:val="21"/>
        </w:rPr>
        <w:t xml:space="preserve"> </w:t>
      </w:r>
      <w:r w:rsidRPr="005E6081">
        <w:rPr>
          <w:rFonts w:ascii="Segoe UI"/>
          <w:sz w:val="21"/>
        </w:rPr>
        <w:t>days</w:t>
      </w:r>
      <w:r w:rsidRPr="005E6081">
        <w:rPr>
          <w:rFonts w:ascii="Segoe UI"/>
          <w:spacing w:val="-14"/>
          <w:sz w:val="21"/>
        </w:rPr>
        <w:t xml:space="preserve"> </w:t>
      </w:r>
      <w:r w:rsidRPr="005E6081">
        <w:rPr>
          <w:rFonts w:ascii="Segoe UI"/>
          <w:sz w:val="21"/>
        </w:rPr>
        <w:t>for</w:t>
      </w:r>
      <w:r w:rsidRPr="005E6081">
        <w:rPr>
          <w:rFonts w:ascii="Segoe UI"/>
          <w:spacing w:val="-10"/>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Production</w:t>
      </w:r>
      <w:r w:rsidRPr="005E6081">
        <w:rPr>
          <w:rFonts w:ascii="Segoe UI"/>
          <w:spacing w:val="-13"/>
          <w:sz w:val="21"/>
        </w:rPr>
        <w:t xml:space="preserve"> </w:t>
      </w:r>
      <w:r w:rsidRPr="005E6081">
        <w:rPr>
          <w:rFonts w:ascii="Segoe UI"/>
          <w:sz w:val="21"/>
        </w:rPr>
        <w:t xml:space="preserve">project, and 20 days for the A&amp;L project) over a time period of </w:t>
      </w:r>
      <w:r w:rsidRPr="005E6081">
        <w:rPr>
          <w:rFonts w:ascii="Segoe UI"/>
          <w:b/>
          <w:i/>
          <w:sz w:val="21"/>
        </w:rPr>
        <w:t xml:space="preserve">41 weeks </w:t>
      </w:r>
      <w:r w:rsidRPr="005E6081">
        <w:rPr>
          <w:rFonts w:ascii="Segoe UI"/>
          <w:sz w:val="21"/>
        </w:rPr>
        <w:t xml:space="preserve">starting on </w:t>
      </w:r>
      <w:r w:rsidRPr="005E6081">
        <w:rPr>
          <w:rFonts w:ascii="Segoe UI"/>
          <w:b/>
          <w:i/>
          <w:sz w:val="21"/>
        </w:rPr>
        <w:t>June 1</w:t>
      </w:r>
      <w:r w:rsidRPr="005E6081">
        <w:rPr>
          <w:rFonts w:ascii="Segoe UI"/>
          <w:b/>
          <w:i/>
          <w:position w:val="8"/>
          <w:sz w:val="14"/>
        </w:rPr>
        <w:t xml:space="preserve">st </w:t>
      </w:r>
      <w:r w:rsidRPr="005E6081">
        <w:rPr>
          <w:rFonts w:ascii="Segoe UI"/>
          <w:b/>
          <w:i/>
          <w:sz w:val="21"/>
        </w:rPr>
        <w:t>2021</w:t>
      </w:r>
      <w:r w:rsidRPr="005E6081">
        <w:rPr>
          <w:rFonts w:ascii="Segoe UI"/>
          <w:sz w:val="21"/>
        </w:rPr>
        <w:t>. The tentative TE timeframes are as</w:t>
      </w:r>
      <w:r w:rsidRPr="005E6081">
        <w:rPr>
          <w:rFonts w:ascii="Segoe UI"/>
          <w:spacing w:val="-7"/>
          <w:sz w:val="21"/>
        </w:rPr>
        <w:t xml:space="preserve"> </w:t>
      </w:r>
      <w:r w:rsidRPr="005E6081">
        <w:rPr>
          <w:rFonts w:ascii="Segoe UI"/>
          <w:sz w:val="21"/>
        </w:rPr>
        <w:t>follows.</w:t>
      </w:r>
    </w:p>
    <w:p w14:paraId="2F2994AE" w14:textId="77777777" w:rsidR="00E136A1" w:rsidRPr="005E6081" w:rsidRDefault="00E136A1" w:rsidP="00E136A1">
      <w:pPr>
        <w:pStyle w:val="BodyText"/>
        <w:spacing w:before="3"/>
        <w:rPr>
          <w:rFonts w:ascii="Segoe UI"/>
          <w:sz w:val="21"/>
        </w:rPr>
      </w:pPr>
    </w:p>
    <w:p w14:paraId="6939AC8D" w14:textId="77777777" w:rsidR="00E136A1" w:rsidRPr="005E6081" w:rsidRDefault="00E136A1" w:rsidP="00E136A1">
      <w:pPr>
        <w:ind w:left="500"/>
        <w:jc w:val="both"/>
        <w:rPr>
          <w:rFonts w:ascii="Segoe UI"/>
          <w:sz w:val="21"/>
        </w:rPr>
      </w:pPr>
      <w:r w:rsidRPr="005E6081">
        <w:rPr>
          <w:rFonts w:ascii="Segoe UI"/>
          <w:sz w:val="21"/>
        </w:rPr>
        <w:t>Timeframe applicable to both</w:t>
      </w:r>
      <w:r w:rsidRPr="005E6081">
        <w:rPr>
          <w:rFonts w:ascii="Segoe UI"/>
          <w:spacing w:val="-12"/>
          <w:sz w:val="21"/>
        </w:rPr>
        <w:t xml:space="preserve"> </w:t>
      </w:r>
      <w:r w:rsidRPr="005E6081">
        <w:rPr>
          <w:rFonts w:ascii="Segoe UI"/>
          <w:sz w:val="21"/>
        </w:rPr>
        <w:t>projects.</w:t>
      </w:r>
    </w:p>
    <w:tbl>
      <w:tblPr>
        <w:tblStyle w:val="TableNormal22"/>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841"/>
      </w:tblGrid>
      <w:tr w:rsidR="00E136A1" w:rsidRPr="005E6081" w14:paraId="3A740CB0" w14:textId="77777777" w:rsidTr="00062DAE">
        <w:trPr>
          <w:trHeight w:val="280"/>
        </w:trPr>
        <w:tc>
          <w:tcPr>
            <w:tcW w:w="2516" w:type="dxa"/>
            <w:shd w:val="clear" w:color="auto" w:fill="404040"/>
          </w:tcPr>
          <w:p w14:paraId="649D9927" w14:textId="77777777" w:rsidR="00E136A1" w:rsidRPr="005E6081" w:rsidRDefault="00E136A1" w:rsidP="00062DAE">
            <w:pPr>
              <w:pStyle w:val="TableParagraph"/>
              <w:spacing w:line="260" w:lineRule="exact"/>
              <w:ind w:left="107"/>
              <w:rPr>
                <w:rFonts w:ascii="Segoe UI"/>
                <w:sz w:val="21"/>
              </w:rPr>
            </w:pPr>
            <w:r w:rsidRPr="005E6081">
              <w:rPr>
                <w:rFonts w:ascii="Segoe UI"/>
                <w:sz w:val="21"/>
              </w:rPr>
              <w:t>Timeframe</w:t>
            </w:r>
          </w:p>
        </w:tc>
        <w:tc>
          <w:tcPr>
            <w:tcW w:w="6841" w:type="dxa"/>
            <w:shd w:val="clear" w:color="auto" w:fill="404040"/>
          </w:tcPr>
          <w:p w14:paraId="0D0957A5" w14:textId="77777777" w:rsidR="00E136A1" w:rsidRPr="005E6081" w:rsidRDefault="00E136A1" w:rsidP="00062DAE">
            <w:pPr>
              <w:pStyle w:val="TableParagraph"/>
              <w:spacing w:line="260" w:lineRule="exact"/>
              <w:ind w:left="107"/>
              <w:rPr>
                <w:rFonts w:ascii="Segoe UI"/>
                <w:sz w:val="21"/>
              </w:rPr>
            </w:pPr>
            <w:r w:rsidRPr="005E6081">
              <w:rPr>
                <w:rFonts w:ascii="Segoe UI"/>
                <w:sz w:val="21"/>
              </w:rPr>
              <w:t>Activity</w:t>
            </w:r>
          </w:p>
        </w:tc>
      </w:tr>
      <w:tr w:rsidR="00E136A1" w:rsidRPr="005E6081" w14:paraId="5133D93F" w14:textId="77777777" w:rsidTr="00062DAE">
        <w:trPr>
          <w:trHeight w:val="277"/>
        </w:trPr>
        <w:tc>
          <w:tcPr>
            <w:tcW w:w="2516" w:type="dxa"/>
          </w:tcPr>
          <w:p w14:paraId="11179B2D" w14:textId="77777777" w:rsidR="00E136A1" w:rsidRPr="005E6081" w:rsidRDefault="00E136A1" w:rsidP="00062DAE">
            <w:pPr>
              <w:pStyle w:val="TableParagraph"/>
              <w:spacing w:line="258" w:lineRule="exact"/>
              <w:ind w:left="107"/>
              <w:rPr>
                <w:rFonts w:ascii="Segoe UI"/>
                <w:i/>
                <w:sz w:val="21"/>
              </w:rPr>
            </w:pPr>
            <w:r w:rsidRPr="005E6081">
              <w:rPr>
                <w:rFonts w:ascii="Segoe UI"/>
                <w:i/>
                <w:sz w:val="21"/>
                <w:shd w:val="clear" w:color="auto" w:fill="D2D2D2"/>
              </w:rPr>
              <w:lastRenderedPageBreak/>
              <w:t>March 17</w:t>
            </w:r>
            <w:r w:rsidRPr="005E6081">
              <w:rPr>
                <w:rFonts w:ascii="Segoe UI"/>
                <w:i/>
                <w:position w:val="8"/>
                <w:sz w:val="14"/>
                <w:shd w:val="clear" w:color="auto" w:fill="D2D2D2"/>
              </w:rPr>
              <w:t xml:space="preserve">th </w:t>
            </w:r>
            <w:r w:rsidRPr="005E6081">
              <w:rPr>
                <w:rFonts w:ascii="Segoe UI"/>
                <w:i/>
                <w:sz w:val="21"/>
                <w:shd w:val="clear" w:color="auto" w:fill="D2D2D2"/>
              </w:rPr>
              <w:t>2021</w:t>
            </w:r>
          </w:p>
        </w:tc>
        <w:tc>
          <w:tcPr>
            <w:tcW w:w="6841" w:type="dxa"/>
          </w:tcPr>
          <w:p w14:paraId="51A8BBA7" w14:textId="77777777" w:rsidR="00E136A1" w:rsidRPr="005E6081" w:rsidRDefault="00E136A1" w:rsidP="00062DAE">
            <w:pPr>
              <w:pStyle w:val="TableParagraph"/>
              <w:spacing w:line="258" w:lineRule="exact"/>
              <w:ind w:left="107"/>
              <w:rPr>
                <w:rFonts w:ascii="Segoe UI"/>
                <w:sz w:val="21"/>
              </w:rPr>
            </w:pPr>
            <w:r w:rsidRPr="005E6081">
              <w:rPr>
                <w:rFonts w:ascii="Segoe UI"/>
                <w:sz w:val="21"/>
              </w:rPr>
              <w:t>Application closes</w:t>
            </w:r>
          </w:p>
        </w:tc>
      </w:tr>
      <w:tr w:rsidR="00E136A1" w:rsidRPr="005E6081" w14:paraId="33349380" w14:textId="77777777" w:rsidTr="00062DAE">
        <w:trPr>
          <w:trHeight w:val="280"/>
        </w:trPr>
        <w:tc>
          <w:tcPr>
            <w:tcW w:w="2516" w:type="dxa"/>
          </w:tcPr>
          <w:p w14:paraId="4D222F16" w14:textId="77777777" w:rsidR="00E136A1" w:rsidRPr="005E6081" w:rsidRDefault="00E136A1" w:rsidP="00062DAE">
            <w:pPr>
              <w:pStyle w:val="TableParagraph"/>
              <w:spacing w:line="260" w:lineRule="exact"/>
              <w:ind w:left="107"/>
              <w:rPr>
                <w:rFonts w:ascii="Segoe UI"/>
                <w:i/>
                <w:sz w:val="21"/>
              </w:rPr>
            </w:pPr>
            <w:r w:rsidRPr="005E6081">
              <w:rPr>
                <w:rFonts w:ascii="Segoe UI"/>
                <w:i/>
                <w:sz w:val="21"/>
                <w:shd w:val="clear" w:color="auto" w:fill="D2D2D2"/>
              </w:rPr>
              <w:t>May 20</w:t>
            </w:r>
            <w:r w:rsidRPr="005E6081">
              <w:rPr>
                <w:rFonts w:ascii="Segoe UI"/>
                <w:i/>
                <w:position w:val="8"/>
                <w:sz w:val="14"/>
                <w:shd w:val="clear" w:color="auto" w:fill="D2D2D2"/>
              </w:rPr>
              <w:t xml:space="preserve">th </w:t>
            </w:r>
            <w:r w:rsidRPr="005E6081">
              <w:rPr>
                <w:rFonts w:ascii="Segoe UI"/>
                <w:i/>
                <w:sz w:val="21"/>
                <w:shd w:val="clear" w:color="auto" w:fill="D2D2D2"/>
              </w:rPr>
              <w:t>2021</w:t>
            </w:r>
          </w:p>
        </w:tc>
        <w:tc>
          <w:tcPr>
            <w:tcW w:w="6841" w:type="dxa"/>
          </w:tcPr>
          <w:p w14:paraId="337539BB" w14:textId="77777777" w:rsidR="00E136A1" w:rsidRPr="005E6081" w:rsidRDefault="00E136A1" w:rsidP="00062DAE">
            <w:pPr>
              <w:pStyle w:val="TableParagraph"/>
              <w:spacing w:line="260" w:lineRule="exact"/>
              <w:ind w:left="107"/>
              <w:rPr>
                <w:rFonts w:ascii="Segoe UI"/>
                <w:sz w:val="21"/>
              </w:rPr>
            </w:pPr>
            <w:r w:rsidRPr="005E6081">
              <w:rPr>
                <w:rFonts w:ascii="Segoe UI"/>
                <w:sz w:val="21"/>
              </w:rPr>
              <w:t>Selection of TE team</w:t>
            </w:r>
          </w:p>
        </w:tc>
      </w:tr>
      <w:tr w:rsidR="00E136A1" w:rsidRPr="005E6081" w14:paraId="198F8006" w14:textId="77777777" w:rsidTr="00062DAE">
        <w:trPr>
          <w:trHeight w:val="558"/>
        </w:trPr>
        <w:tc>
          <w:tcPr>
            <w:tcW w:w="2516" w:type="dxa"/>
          </w:tcPr>
          <w:p w14:paraId="030B63CE" w14:textId="77777777" w:rsidR="00E136A1" w:rsidRPr="005E6081" w:rsidRDefault="00E136A1" w:rsidP="00062DAE">
            <w:pPr>
              <w:pStyle w:val="TableParagraph"/>
              <w:spacing w:line="278" w:lineRule="exact"/>
              <w:ind w:left="107"/>
              <w:rPr>
                <w:rFonts w:ascii="Segoe UI" w:hAnsi="Segoe UI"/>
                <w:i/>
                <w:sz w:val="21"/>
              </w:rPr>
            </w:pPr>
            <w:r w:rsidRPr="005E6081">
              <w:rPr>
                <w:rFonts w:ascii="Segoe UI" w:hAnsi="Segoe UI"/>
                <w:i/>
                <w:sz w:val="21"/>
                <w:shd w:val="clear" w:color="auto" w:fill="D2D2D2"/>
              </w:rPr>
              <w:t>June 1</w:t>
            </w:r>
            <w:r w:rsidRPr="005E6081">
              <w:rPr>
                <w:rFonts w:ascii="Segoe UI" w:hAnsi="Segoe UI"/>
                <w:i/>
                <w:position w:val="8"/>
                <w:sz w:val="14"/>
                <w:shd w:val="clear" w:color="auto" w:fill="D2D2D2"/>
              </w:rPr>
              <w:t xml:space="preserve">st </w:t>
            </w:r>
            <w:r w:rsidRPr="005E6081">
              <w:rPr>
                <w:rFonts w:ascii="Segoe UI" w:hAnsi="Segoe UI"/>
                <w:i/>
                <w:sz w:val="21"/>
                <w:shd w:val="clear" w:color="auto" w:fill="D2D2D2"/>
              </w:rPr>
              <w:t>– October 31</w:t>
            </w:r>
            <w:r w:rsidRPr="005E6081">
              <w:rPr>
                <w:rFonts w:ascii="Segoe UI" w:hAnsi="Segoe UI"/>
                <w:i/>
                <w:position w:val="8"/>
                <w:sz w:val="14"/>
                <w:shd w:val="clear" w:color="auto" w:fill="D2D2D2"/>
              </w:rPr>
              <w:t>s</w:t>
            </w:r>
            <w:r w:rsidRPr="005E6081">
              <w:rPr>
                <w:rFonts w:ascii="Segoe UI" w:hAnsi="Segoe UI"/>
                <w:i/>
                <w:position w:val="8"/>
                <w:sz w:val="14"/>
              </w:rPr>
              <w:t xml:space="preserve">t </w:t>
            </w:r>
            <w:r w:rsidRPr="005E6081">
              <w:rPr>
                <w:rFonts w:ascii="Segoe UI" w:hAnsi="Segoe UI"/>
                <w:i/>
                <w:sz w:val="21"/>
                <w:shd w:val="clear" w:color="auto" w:fill="D2D2D2"/>
              </w:rPr>
              <w:t>2021</w:t>
            </w:r>
          </w:p>
        </w:tc>
        <w:tc>
          <w:tcPr>
            <w:tcW w:w="6841" w:type="dxa"/>
          </w:tcPr>
          <w:p w14:paraId="67008231"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Preparation period for TE team (handover of documentation)</w:t>
            </w:r>
          </w:p>
        </w:tc>
      </w:tr>
    </w:tbl>
    <w:p w14:paraId="312F3814" w14:textId="77777777" w:rsidR="00E136A1" w:rsidRPr="005E6081" w:rsidRDefault="00E136A1" w:rsidP="00E136A1">
      <w:pPr>
        <w:pStyle w:val="BodyText"/>
        <w:spacing w:before="11"/>
        <w:rPr>
          <w:rFonts w:ascii="Segoe UI"/>
        </w:rPr>
      </w:pPr>
    </w:p>
    <w:p w14:paraId="7B871F32" w14:textId="77777777" w:rsidR="00E136A1" w:rsidRPr="005E6081" w:rsidRDefault="00E136A1" w:rsidP="00E136A1">
      <w:pPr>
        <w:spacing w:before="1" w:after="2"/>
        <w:ind w:left="500"/>
        <w:jc w:val="both"/>
        <w:rPr>
          <w:rFonts w:ascii="Segoe UI"/>
          <w:sz w:val="21"/>
        </w:rPr>
      </w:pPr>
      <w:r w:rsidRPr="005E6081">
        <w:rPr>
          <w:rFonts w:ascii="Segoe UI"/>
          <w:sz w:val="21"/>
        </w:rPr>
        <w:t>For the Production project.</w:t>
      </w:r>
    </w:p>
    <w:tbl>
      <w:tblPr>
        <w:tblStyle w:val="TableNormal22"/>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841"/>
      </w:tblGrid>
      <w:tr w:rsidR="00E136A1" w:rsidRPr="005E6081" w14:paraId="0733488A" w14:textId="77777777" w:rsidTr="00062DAE">
        <w:trPr>
          <w:trHeight w:val="278"/>
        </w:trPr>
        <w:tc>
          <w:tcPr>
            <w:tcW w:w="2516" w:type="dxa"/>
            <w:shd w:val="clear" w:color="auto" w:fill="404040"/>
          </w:tcPr>
          <w:p w14:paraId="09C4A965" w14:textId="77777777" w:rsidR="00E136A1" w:rsidRPr="005E6081" w:rsidRDefault="00E136A1" w:rsidP="00062DAE">
            <w:pPr>
              <w:pStyle w:val="TableParagraph"/>
              <w:spacing w:line="258" w:lineRule="exact"/>
              <w:ind w:left="107"/>
              <w:rPr>
                <w:rFonts w:ascii="Segoe UI"/>
                <w:sz w:val="21"/>
              </w:rPr>
            </w:pPr>
            <w:r w:rsidRPr="005E6081">
              <w:rPr>
                <w:rFonts w:ascii="Segoe UI"/>
                <w:sz w:val="21"/>
              </w:rPr>
              <w:t>Timeframe</w:t>
            </w:r>
          </w:p>
        </w:tc>
        <w:tc>
          <w:tcPr>
            <w:tcW w:w="6841" w:type="dxa"/>
            <w:shd w:val="clear" w:color="auto" w:fill="404040"/>
          </w:tcPr>
          <w:p w14:paraId="58A32E47" w14:textId="77777777" w:rsidR="00E136A1" w:rsidRPr="005E6081" w:rsidRDefault="00E136A1" w:rsidP="00062DAE">
            <w:pPr>
              <w:pStyle w:val="TableParagraph"/>
              <w:spacing w:line="258" w:lineRule="exact"/>
              <w:ind w:left="107"/>
              <w:rPr>
                <w:rFonts w:ascii="Segoe UI"/>
                <w:sz w:val="21"/>
              </w:rPr>
            </w:pPr>
            <w:r w:rsidRPr="005E6081">
              <w:rPr>
                <w:rFonts w:ascii="Segoe UI"/>
                <w:sz w:val="21"/>
              </w:rPr>
              <w:t>Activity</w:t>
            </w:r>
          </w:p>
        </w:tc>
      </w:tr>
      <w:tr w:rsidR="00E136A1" w:rsidRPr="005E6081" w14:paraId="39353656" w14:textId="77777777" w:rsidTr="00062DAE">
        <w:trPr>
          <w:trHeight w:val="558"/>
        </w:trPr>
        <w:tc>
          <w:tcPr>
            <w:tcW w:w="2516" w:type="dxa"/>
          </w:tcPr>
          <w:p w14:paraId="55729B71" w14:textId="77777777" w:rsidR="00E136A1" w:rsidRPr="005E6081" w:rsidRDefault="00E136A1" w:rsidP="00062DAE">
            <w:pPr>
              <w:pStyle w:val="TableParagraph"/>
              <w:spacing w:line="280" w:lineRule="exact"/>
              <w:ind w:left="107"/>
              <w:rPr>
                <w:rFonts w:ascii="Segoe UI"/>
                <w:i/>
                <w:sz w:val="21"/>
              </w:rPr>
            </w:pPr>
            <w:r w:rsidRPr="005E6081">
              <w:rPr>
                <w:rFonts w:ascii="Segoe UI"/>
                <w:i/>
                <w:sz w:val="21"/>
                <w:shd w:val="clear" w:color="auto" w:fill="D2D2D2"/>
              </w:rPr>
              <w:t>July 1</w:t>
            </w:r>
            <w:r w:rsidRPr="005E6081">
              <w:rPr>
                <w:rFonts w:ascii="Segoe UI"/>
                <w:i/>
                <w:position w:val="8"/>
                <w:sz w:val="14"/>
                <w:shd w:val="clear" w:color="auto" w:fill="D2D2D2"/>
              </w:rPr>
              <w:t xml:space="preserve">st </w:t>
            </w:r>
            <w:r w:rsidRPr="005E6081">
              <w:rPr>
                <w:rFonts w:ascii="Segoe UI"/>
                <w:i/>
                <w:sz w:val="21"/>
                <w:shd w:val="clear" w:color="auto" w:fill="D2D2D2"/>
              </w:rPr>
              <w:t>to 31</w:t>
            </w:r>
            <w:r w:rsidRPr="005E6081">
              <w:rPr>
                <w:rFonts w:ascii="Segoe UI"/>
                <w:i/>
                <w:position w:val="8"/>
                <w:sz w:val="14"/>
                <w:shd w:val="clear" w:color="auto" w:fill="D2D2D2"/>
              </w:rPr>
              <w:t xml:space="preserve">st </w:t>
            </w:r>
            <w:r w:rsidRPr="005E6081">
              <w:rPr>
                <w:rFonts w:ascii="Segoe UI"/>
                <w:i/>
                <w:sz w:val="21"/>
                <w:shd w:val="clear" w:color="auto" w:fill="D2D2D2"/>
              </w:rPr>
              <w:t>2021 (11</w:t>
            </w:r>
            <w:r w:rsidRPr="005E6081">
              <w:rPr>
                <w:rFonts w:ascii="Segoe UI"/>
                <w:i/>
                <w:sz w:val="21"/>
              </w:rPr>
              <w:t xml:space="preserve"> </w:t>
            </w:r>
            <w:r w:rsidRPr="005E6081">
              <w:rPr>
                <w:rFonts w:ascii="Segoe UI"/>
                <w:i/>
                <w:sz w:val="21"/>
                <w:shd w:val="clear" w:color="auto" w:fill="D2D2D2"/>
              </w:rPr>
              <w:t>days)</w:t>
            </w:r>
          </w:p>
        </w:tc>
        <w:tc>
          <w:tcPr>
            <w:tcW w:w="6841" w:type="dxa"/>
          </w:tcPr>
          <w:p w14:paraId="28C21891"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Document review and preparation of TE Inception Report</w:t>
            </w:r>
          </w:p>
        </w:tc>
      </w:tr>
      <w:tr w:rsidR="00E136A1" w:rsidRPr="005E6081" w14:paraId="4F27DD3D" w14:textId="77777777" w:rsidTr="00062DAE">
        <w:trPr>
          <w:trHeight w:val="557"/>
        </w:trPr>
        <w:tc>
          <w:tcPr>
            <w:tcW w:w="2516" w:type="dxa"/>
          </w:tcPr>
          <w:p w14:paraId="49725BE8" w14:textId="77777777" w:rsidR="00E136A1" w:rsidRPr="005E6081" w:rsidRDefault="00E136A1" w:rsidP="00062DAE">
            <w:pPr>
              <w:pStyle w:val="TableParagraph"/>
              <w:spacing w:line="277" w:lineRule="exact"/>
              <w:ind w:left="107"/>
              <w:rPr>
                <w:rFonts w:ascii="Segoe UI"/>
                <w:i/>
                <w:sz w:val="21"/>
              </w:rPr>
            </w:pPr>
            <w:r w:rsidRPr="005E6081">
              <w:rPr>
                <w:rFonts w:ascii="Segoe UI"/>
                <w:i/>
                <w:sz w:val="21"/>
                <w:shd w:val="clear" w:color="auto" w:fill="D2D2D2"/>
              </w:rPr>
              <w:t xml:space="preserve"> By August 31</w:t>
            </w:r>
            <w:r w:rsidRPr="005E6081">
              <w:rPr>
                <w:rFonts w:ascii="Segoe UI"/>
                <w:i/>
                <w:position w:val="8"/>
                <w:sz w:val="14"/>
                <w:shd w:val="clear" w:color="auto" w:fill="D2D2D2"/>
              </w:rPr>
              <w:t xml:space="preserve">st </w:t>
            </w:r>
            <w:r w:rsidRPr="005E6081">
              <w:rPr>
                <w:rFonts w:ascii="Segoe UI"/>
                <w:i/>
                <w:sz w:val="21"/>
                <w:shd w:val="clear" w:color="auto" w:fill="D2D2D2"/>
              </w:rPr>
              <w:t>2021 (2</w:t>
            </w:r>
          </w:p>
          <w:p w14:paraId="433CA4E1" w14:textId="77777777" w:rsidR="00E136A1" w:rsidRPr="005E6081" w:rsidRDefault="00E136A1" w:rsidP="00062DAE">
            <w:pPr>
              <w:pStyle w:val="TableParagraph"/>
              <w:spacing w:before="1" w:line="259" w:lineRule="exact"/>
              <w:ind w:left="107"/>
              <w:rPr>
                <w:rFonts w:ascii="Segoe UI"/>
                <w:i/>
                <w:sz w:val="21"/>
              </w:rPr>
            </w:pPr>
            <w:r w:rsidRPr="005E6081">
              <w:rPr>
                <w:rFonts w:ascii="Segoe UI"/>
                <w:i/>
                <w:sz w:val="21"/>
                <w:shd w:val="clear" w:color="auto" w:fill="D2D2D2"/>
              </w:rPr>
              <w:t>days)</w:t>
            </w:r>
          </w:p>
        </w:tc>
        <w:tc>
          <w:tcPr>
            <w:tcW w:w="6841" w:type="dxa"/>
          </w:tcPr>
          <w:p w14:paraId="088E1E2A" w14:textId="77777777" w:rsidR="00E136A1" w:rsidRPr="005E6081" w:rsidRDefault="00E136A1" w:rsidP="00062DAE">
            <w:pPr>
              <w:pStyle w:val="TableParagraph"/>
              <w:spacing w:line="277" w:lineRule="exact"/>
              <w:ind w:left="107"/>
              <w:rPr>
                <w:rFonts w:ascii="Segoe UI"/>
                <w:sz w:val="21"/>
              </w:rPr>
            </w:pPr>
            <w:r w:rsidRPr="005E6081">
              <w:rPr>
                <w:rFonts w:ascii="Segoe UI"/>
                <w:sz w:val="21"/>
              </w:rPr>
              <w:t>Finalization and Validation of TE Inception Report</w:t>
            </w:r>
          </w:p>
        </w:tc>
      </w:tr>
      <w:tr w:rsidR="00E136A1" w:rsidRPr="005E6081" w14:paraId="19CC3EFF" w14:textId="77777777" w:rsidTr="00062DAE">
        <w:trPr>
          <w:trHeight w:val="558"/>
        </w:trPr>
        <w:tc>
          <w:tcPr>
            <w:tcW w:w="2516" w:type="dxa"/>
          </w:tcPr>
          <w:p w14:paraId="475F5EE7" w14:textId="77777777" w:rsidR="00E136A1" w:rsidRPr="005E6081" w:rsidRDefault="00E136A1" w:rsidP="00062DAE">
            <w:pPr>
              <w:pStyle w:val="TableParagraph"/>
              <w:spacing w:line="280" w:lineRule="exact"/>
              <w:ind w:left="107" w:right="148"/>
              <w:rPr>
                <w:rFonts w:ascii="Segoe UI"/>
                <w:i/>
                <w:sz w:val="21"/>
              </w:rPr>
            </w:pPr>
            <w:r w:rsidRPr="005E6081">
              <w:rPr>
                <w:rFonts w:ascii="Segoe UI"/>
                <w:i/>
                <w:sz w:val="21"/>
                <w:shd w:val="clear" w:color="auto" w:fill="D2D2D2"/>
              </w:rPr>
              <w:t>September 1</w:t>
            </w:r>
            <w:r w:rsidRPr="005E6081">
              <w:rPr>
                <w:rFonts w:ascii="Segoe UI"/>
                <w:i/>
                <w:position w:val="8"/>
                <w:sz w:val="14"/>
                <w:shd w:val="clear" w:color="auto" w:fill="D2D2D2"/>
              </w:rPr>
              <w:t xml:space="preserve">st </w:t>
            </w:r>
            <w:r w:rsidRPr="005E6081">
              <w:rPr>
                <w:rFonts w:ascii="Segoe UI"/>
                <w:i/>
                <w:sz w:val="21"/>
                <w:shd w:val="clear" w:color="auto" w:fill="D2D2D2"/>
              </w:rPr>
              <w:t>to</w:t>
            </w:r>
            <w:r w:rsidRPr="005E6081">
              <w:rPr>
                <w:rFonts w:ascii="Segoe UI"/>
                <w:i/>
                <w:sz w:val="21"/>
              </w:rPr>
              <w:t xml:space="preserve"> </w:t>
            </w:r>
            <w:r w:rsidRPr="005E6081">
              <w:rPr>
                <w:rFonts w:ascii="Segoe UI"/>
                <w:i/>
                <w:sz w:val="21"/>
                <w:shd w:val="clear" w:color="auto" w:fill="D2D2D2"/>
              </w:rPr>
              <w:t>November 15</w:t>
            </w:r>
            <w:r w:rsidRPr="005E6081">
              <w:rPr>
                <w:rFonts w:ascii="Segoe UI"/>
                <w:i/>
                <w:position w:val="8"/>
                <w:sz w:val="14"/>
                <w:shd w:val="clear" w:color="auto" w:fill="D2D2D2"/>
              </w:rPr>
              <w:t xml:space="preserve">th </w:t>
            </w:r>
            <w:r w:rsidRPr="005E6081">
              <w:rPr>
                <w:rFonts w:ascii="Segoe UI"/>
                <w:i/>
                <w:sz w:val="21"/>
                <w:shd w:val="clear" w:color="auto" w:fill="D2D2D2"/>
              </w:rPr>
              <w:t>(34 days)</w:t>
            </w:r>
          </w:p>
        </w:tc>
        <w:tc>
          <w:tcPr>
            <w:tcW w:w="6841" w:type="dxa"/>
          </w:tcPr>
          <w:p w14:paraId="30C8936B"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TE mission: stakeholder meetings, interviews, field visits, etc.</w:t>
            </w:r>
          </w:p>
        </w:tc>
      </w:tr>
      <w:tr w:rsidR="00E136A1" w:rsidRPr="005E6081" w14:paraId="62220F28" w14:textId="77777777" w:rsidTr="00062DAE">
        <w:trPr>
          <w:trHeight w:val="557"/>
        </w:trPr>
        <w:tc>
          <w:tcPr>
            <w:tcW w:w="2516" w:type="dxa"/>
          </w:tcPr>
          <w:p w14:paraId="4B998F48" w14:textId="77777777" w:rsidR="00E136A1" w:rsidRPr="005E6081" w:rsidRDefault="00E136A1" w:rsidP="00062DAE">
            <w:pPr>
              <w:pStyle w:val="TableParagraph"/>
              <w:spacing w:line="277" w:lineRule="exact"/>
              <w:ind w:left="107"/>
              <w:rPr>
                <w:rFonts w:ascii="Segoe UI"/>
                <w:i/>
                <w:sz w:val="21"/>
              </w:rPr>
            </w:pPr>
            <w:r w:rsidRPr="005E6081">
              <w:rPr>
                <w:rFonts w:ascii="Segoe UI"/>
                <w:i/>
                <w:sz w:val="21"/>
                <w:shd w:val="clear" w:color="auto" w:fill="D2D2D2"/>
              </w:rPr>
              <w:t>By December 10</w:t>
            </w:r>
            <w:r w:rsidRPr="005E6081">
              <w:rPr>
                <w:rFonts w:ascii="Segoe UI"/>
                <w:i/>
                <w:position w:val="8"/>
                <w:sz w:val="14"/>
                <w:shd w:val="clear" w:color="auto" w:fill="D2D2D2"/>
              </w:rPr>
              <w:t xml:space="preserve">th </w:t>
            </w:r>
            <w:r w:rsidRPr="005E6081">
              <w:rPr>
                <w:rFonts w:ascii="Segoe UI"/>
                <w:i/>
                <w:sz w:val="21"/>
                <w:shd w:val="clear" w:color="auto" w:fill="D2D2D2"/>
              </w:rPr>
              <w:t>(1 day)</w:t>
            </w:r>
          </w:p>
        </w:tc>
        <w:tc>
          <w:tcPr>
            <w:tcW w:w="6841" w:type="dxa"/>
          </w:tcPr>
          <w:p w14:paraId="5D1AA468" w14:textId="77777777" w:rsidR="00E136A1" w:rsidRPr="005E6081" w:rsidRDefault="00E136A1" w:rsidP="00062DAE">
            <w:pPr>
              <w:pStyle w:val="TableParagraph"/>
              <w:spacing w:line="278" w:lineRule="exact"/>
              <w:ind w:left="107" w:right="105"/>
              <w:rPr>
                <w:rFonts w:ascii="Segoe UI"/>
                <w:sz w:val="21"/>
              </w:rPr>
            </w:pPr>
            <w:r w:rsidRPr="005E6081">
              <w:rPr>
                <w:rFonts w:ascii="Segoe UI"/>
                <w:sz w:val="21"/>
              </w:rPr>
              <w:t>Mission wrap-up meeting &amp; presentation of initial findings; earliest end of TE mission</w:t>
            </w:r>
          </w:p>
        </w:tc>
      </w:tr>
      <w:tr w:rsidR="00E136A1" w:rsidRPr="005E6081" w14:paraId="3FA0C4EF" w14:textId="77777777" w:rsidTr="00062DAE">
        <w:trPr>
          <w:trHeight w:val="559"/>
        </w:trPr>
        <w:tc>
          <w:tcPr>
            <w:tcW w:w="2516" w:type="dxa"/>
          </w:tcPr>
          <w:p w14:paraId="4FAC6884" w14:textId="77777777" w:rsidR="00E136A1" w:rsidRPr="005E6081" w:rsidRDefault="00E136A1" w:rsidP="00062DAE">
            <w:pPr>
              <w:pStyle w:val="TableParagraph"/>
              <w:spacing w:line="278" w:lineRule="exact"/>
              <w:ind w:left="107" w:right="148"/>
              <w:rPr>
                <w:rFonts w:ascii="Segoe UI"/>
                <w:i/>
                <w:sz w:val="21"/>
              </w:rPr>
            </w:pPr>
            <w:r w:rsidRPr="005E6081">
              <w:rPr>
                <w:rFonts w:ascii="Segoe UI"/>
                <w:i/>
                <w:sz w:val="21"/>
                <w:shd w:val="clear" w:color="auto" w:fill="D2D2D2"/>
              </w:rPr>
              <w:t>Dec 11</w:t>
            </w:r>
            <w:r w:rsidRPr="005E6081">
              <w:rPr>
                <w:rFonts w:ascii="Segoe UI"/>
                <w:i/>
                <w:position w:val="8"/>
                <w:sz w:val="14"/>
                <w:shd w:val="clear" w:color="auto" w:fill="D2D2D2"/>
              </w:rPr>
              <w:t xml:space="preserve">th </w:t>
            </w:r>
            <w:r w:rsidRPr="005E6081">
              <w:rPr>
                <w:rFonts w:ascii="Segoe UI"/>
                <w:i/>
                <w:sz w:val="21"/>
                <w:shd w:val="clear" w:color="auto" w:fill="D2D2D2"/>
              </w:rPr>
              <w:t>- January 7</w:t>
            </w:r>
            <w:r w:rsidRPr="005E6081">
              <w:rPr>
                <w:rFonts w:ascii="Segoe UI"/>
                <w:i/>
                <w:position w:val="8"/>
                <w:sz w:val="14"/>
                <w:shd w:val="clear" w:color="auto" w:fill="D2D2D2"/>
              </w:rPr>
              <w:t>th</w:t>
            </w:r>
            <w:r w:rsidRPr="005E6081">
              <w:rPr>
                <w:rFonts w:ascii="Segoe UI"/>
                <w:i/>
                <w:position w:val="8"/>
                <w:sz w:val="14"/>
              </w:rPr>
              <w:t xml:space="preserve"> </w:t>
            </w:r>
            <w:r w:rsidRPr="005E6081">
              <w:rPr>
                <w:rFonts w:ascii="Segoe UI"/>
                <w:i/>
                <w:sz w:val="21"/>
                <w:shd w:val="clear" w:color="auto" w:fill="D2D2D2"/>
              </w:rPr>
              <w:t>2022 (10 days)</w:t>
            </w:r>
          </w:p>
        </w:tc>
        <w:tc>
          <w:tcPr>
            <w:tcW w:w="6841" w:type="dxa"/>
          </w:tcPr>
          <w:p w14:paraId="24327AE1"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Preparation of draft TE report</w:t>
            </w:r>
          </w:p>
        </w:tc>
      </w:tr>
      <w:tr w:rsidR="00E136A1" w:rsidRPr="005E6081" w14:paraId="042D2A90" w14:textId="77777777" w:rsidTr="00062DAE">
        <w:trPr>
          <w:trHeight w:val="558"/>
        </w:trPr>
        <w:tc>
          <w:tcPr>
            <w:tcW w:w="2516" w:type="dxa"/>
          </w:tcPr>
          <w:p w14:paraId="15AFCB56" w14:textId="77777777" w:rsidR="00E136A1" w:rsidRPr="005E6081" w:rsidRDefault="00E136A1" w:rsidP="00062DAE">
            <w:pPr>
              <w:pStyle w:val="TableParagraph"/>
              <w:spacing w:line="278" w:lineRule="exact"/>
              <w:ind w:left="107"/>
              <w:rPr>
                <w:rFonts w:ascii="Segoe UI"/>
                <w:i/>
                <w:sz w:val="21"/>
              </w:rPr>
            </w:pPr>
            <w:r w:rsidRPr="005E6081">
              <w:rPr>
                <w:rFonts w:ascii="Segoe UI"/>
                <w:i/>
                <w:sz w:val="21"/>
                <w:shd w:val="clear" w:color="auto" w:fill="D2D2D2"/>
              </w:rPr>
              <w:t>Between January 7</w:t>
            </w:r>
            <w:r w:rsidRPr="005E6081">
              <w:rPr>
                <w:rFonts w:ascii="Segoe UI"/>
                <w:i/>
                <w:position w:val="8"/>
                <w:sz w:val="14"/>
                <w:shd w:val="clear" w:color="auto" w:fill="D2D2D2"/>
              </w:rPr>
              <w:t xml:space="preserve">th </w:t>
            </w:r>
            <w:r w:rsidRPr="005E6081">
              <w:rPr>
                <w:rFonts w:ascii="Segoe UI"/>
                <w:i/>
                <w:sz w:val="21"/>
                <w:shd w:val="clear" w:color="auto" w:fill="D2D2D2"/>
              </w:rPr>
              <w:t>and</w:t>
            </w:r>
            <w:r w:rsidRPr="005E6081">
              <w:rPr>
                <w:rFonts w:ascii="Segoe UI"/>
                <w:i/>
                <w:sz w:val="21"/>
              </w:rPr>
              <w:t xml:space="preserve"> </w:t>
            </w:r>
            <w:r w:rsidRPr="005E6081">
              <w:rPr>
                <w:rFonts w:ascii="Segoe UI"/>
                <w:i/>
                <w:sz w:val="21"/>
                <w:shd w:val="clear" w:color="auto" w:fill="D2D2D2"/>
              </w:rPr>
              <w:t>January 28</w:t>
            </w:r>
            <w:r w:rsidRPr="005E6081">
              <w:rPr>
                <w:rFonts w:ascii="Segoe UI"/>
                <w:i/>
                <w:position w:val="8"/>
                <w:sz w:val="14"/>
                <w:shd w:val="clear" w:color="auto" w:fill="D2D2D2"/>
              </w:rPr>
              <w:t xml:space="preserve">th </w:t>
            </w:r>
            <w:r w:rsidRPr="005E6081">
              <w:rPr>
                <w:rFonts w:ascii="Segoe UI"/>
                <w:i/>
                <w:sz w:val="21"/>
                <w:shd w:val="clear" w:color="auto" w:fill="D2D2D2"/>
              </w:rPr>
              <w:t>2022</w:t>
            </w:r>
          </w:p>
        </w:tc>
        <w:tc>
          <w:tcPr>
            <w:tcW w:w="6841" w:type="dxa"/>
          </w:tcPr>
          <w:p w14:paraId="141852CC"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Circulation of draft TE report for comments</w:t>
            </w:r>
          </w:p>
        </w:tc>
      </w:tr>
      <w:tr w:rsidR="00E136A1" w:rsidRPr="005E6081" w14:paraId="232E8287" w14:textId="77777777" w:rsidTr="00062DAE">
        <w:trPr>
          <w:trHeight w:val="558"/>
        </w:trPr>
        <w:tc>
          <w:tcPr>
            <w:tcW w:w="2516" w:type="dxa"/>
          </w:tcPr>
          <w:p w14:paraId="53C6909B" w14:textId="77777777" w:rsidR="00E136A1" w:rsidRPr="005E6081" w:rsidRDefault="00E136A1" w:rsidP="00062DAE">
            <w:pPr>
              <w:pStyle w:val="TableParagraph"/>
              <w:spacing w:line="278" w:lineRule="exact"/>
              <w:ind w:left="107" w:right="148"/>
              <w:rPr>
                <w:rFonts w:ascii="Segoe UI"/>
                <w:i/>
                <w:sz w:val="21"/>
              </w:rPr>
            </w:pPr>
            <w:r w:rsidRPr="005E6081">
              <w:rPr>
                <w:rFonts w:ascii="Segoe UI"/>
                <w:i/>
                <w:sz w:val="21"/>
                <w:shd w:val="clear" w:color="auto" w:fill="D2D2D2"/>
              </w:rPr>
              <w:t>February 15</w:t>
            </w:r>
            <w:r w:rsidRPr="005E6081">
              <w:rPr>
                <w:rFonts w:ascii="Segoe UI"/>
                <w:i/>
                <w:position w:val="8"/>
                <w:sz w:val="14"/>
                <w:shd w:val="clear" w:color="auto" w:fill="D2D2D2"/>
              </w:rPr>
              <w:t xml:space="preserve">th </w:t>
            </w:r>
            <w:r w:rsidRPr="005E6081">
              <w:rPr>
                <w:rFonts w:ascii="Segoe UI"/>
                <w:i/>
                <w:sz w:val="21"/>
                <w:shd w:val="clear" w:color="auto" w:fill="D2D2D2"/>
              </w:rPr>
              <w:t>2022 (2</w:t>
            </w:r>
            <w:r w:rsidRPr="005E6081">
              <w:rPr>
                <w:rFonts w:ascii="Segoe UI"/>
                <w:i/>
                <w:sz w:val="21"/>
              </w:rPr>
              <w:t xml:space="preserve"> </w:t>
            </w:r>
            <w:r w:rsidRPr="005E6081">
              <w:rPr>
                <w:rFonts w:ascii="Segoe UI"/>
                <w:i/>
                <w:sz w:val="21"/>
                <w:shd w:val="clear" w:color="auto" w:fill="D2D2D2"/>
              </w:rPr>
              <w:t>days)</w:t>
            </w:r>
          </w:p>
        </w:tc>
        <w:tc>
          <w:tcPr>
            <w:tcW w:w="6841" w:type="dxa"/>
          </w:tcPr>
          <w:p w14:paraId="03A6704A" w14:textId="77777777" w:rsidR="00E136A1" w:rsidRPr="005E6081" w:rsidRDefault="00E136A1" w:rsidP="00062DAE">
            <w:pPr>
              <w:pStyle w:val="TableParagraph"/>
              <w:spacing w:line="278" w:lineRule="exact"/>
              <w:ind w:left="107" w:right="815"/>
              <w:rPr>
                <w:rFonts w:ascii="Segoe UI"/>
                <w:sz w:val="21"/>
              </w:rPr>
            </w:pPr>
            <w:r w:rsidRPr="005E6081">
              <w:rPr>
                <w:rFonts w:ascii="Segoe UI"/>
                <w:sz w:val="21"/>
              </w:rPr>
              <w:t>Incorporation of comments on draft TE report into Audit Trail &amp; finalization of TE report</w:t>
            </w:r>
          </w:p>
        </w:tc>
      </w:tr>
      <w:tr w:rsidR="00E136A1" w:rsidRPr="005E6081" w14:paraId="66FFA57F" w14:textId="77777777" w:rsidTr="00062DAE">
        <w:trPr>
          <w:trHeight w:val="558"/>
        </w:trPr>
        <w:tc>
          <w:tcPr>
            <w:tcW w:w="2516" w:type="dxa"/>
          </w:tcPr>
          <w:p w14:paraId="4A523EFF" w14:textId="77777777" w:rsidR="00E136A1" w:rsidRPr="005E6081" w:rsidRDefault="00E136A1" w:rsidP="00062DAE">
            <w:pPr>
              <w:pStyle w:val="TableParagraph"/>
              <w:spacing w:line="278" w:lineRule="exact"/>
              <w:ind w:left="107"/>
              <w:rPr>
                <w:rFonts w:ascii="Segoe UI" w:hAnsi="Segoe UI"/>
                <w:i/>
                <w:sz w:val="21"/>
              </w:rPr>
            </w:pPr>
            <w:r w:rsidRPr="005E6081">
              <w:rPr>
                <w:rFonts w:ascii="Segoe UI" w:hAnsi="Segoe UI"/>
                <w:i/>
                <w:sz w:val="21"/>
                <w:shd w:val="clear" w:color="auto" w:fill="D2D2D2"/>
              </w:rPr>
              <w:t>January 7</w:t>
            </w:r>
            <w:r w:rsidRPr="005E6081">
              <w:rPr>
                <w:rFonts w:ascii="Segoe UI" w:hAnsi="Segoe UI"/>
                <w:i/>
                <w:position w:val="8"/>
                <w:sz w:val="14"/>
                <w:shd w:val="clear" w:color="auto" w:fill="D2D2D2"/>
              </w:rPr>
              <w:t xml:space="preserve">th </w:t>
            </w:r>
            <w:r w:rsidRPr="005E6081">
              <w:rPr>
                <w:rFonts w:ascii="Segoe UI" w:hAnsi="Segoe UI"/>
                <w:i/>
                <w:sz w:val="21"/>
                <w:shd w:val="clear" w:color="auto" w:fill="D2D2D2"/>
              </w:rPr>
              <w:t>– March 14</w:t>
            </w:r>
            <w:r w:rsidRPr="005E6081">
              <w:rPr>
                <w:rFonts w:ascii="Segoe UI" w:hAnsi="Segoe UI"/>
                <w:i/>
                <w:position w:val="8"/>
                <w:sz w:val="14"/>
                <w:shd w:val="clear" w:color="auto" w:fill="D2D2D2"/>
              </w:rPr>
              <w:t>th</w:t>
            </w:r>
            <w:r w:rsidRPr="005E6081">
              <w:rPr>
                <w:rFonts w:ascii="Segoe UI" w:hAnsi="Segoe UI"/>
                <w:i/>
                <w:position w:val="8"/>
                <w:sz w:val="14"/>
              </w:rPr>
              <w:t xml:space="preserve"> </w:t>
            </w:r>
            <w:r w:rsidRPr="005E6081">
              <w:rPr>
                <w:rFonts w:ascii="Segoe UI" w:hAnsi="Segoe UI"/>
                <w:i/>
                <w:sz w:val="21"/>
                <w:shd w:val="clear" w:color="auto" w:fill="D2D2D2"/>
              </w:rPr>
              <w:t>2022)</w:t>
            </w:r>
          </w:p>
        </w:tc>
        <w:tc>
          <w:tcPr>
            <w:tcW w:w="6841" w:type="dxa"/>
          </w:tcPr>
          <w:p w14:paraId="5047A131"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Preparation and Issuance of Management Response</w:t>
            </w:r>
          </w:p>
        </w:tc>
      </w:tr>
      <w:tr w:rsidR="00E136A1" w:rsidRPr="005E6081" w14:paraId="28698C24" w14:textId="77777777" w:rsidTr="00062DAE">
        <w:trPr>
          <w:trHeight w:val="278"/>
        </w:trPr>
        <w:tc>
          <w:tcPr>
            <w:tcW w:w="2516" w:type="dxa"/>
          </w:tcPr>
          <w:p w14:paraId="787CEB06" w14:textId="77777777" w:rsidR="00E136A1" w:rsidRPr="005E6081" w:rsidRDefault="00E136A1" w:rsidP="00062DAE">
            <w:pPr>
              <w:pStyle w:val="TableParagraph"/>
              <w:spacing w:line="258" w:lineRule="exact"/>
              <w:ind w:left="107"/>
              <w:rPr>
                <w:rFonts w:ascii="Segoe UI"/>
                <w:i/>
                <w:sz w:val="21"/>
              </w:rPr>
            </w:pPr>
            <w:r w:rsidRPr="005E6081">
              <w:rPr>
                <w:rFonts w:ascii="Segoe UI"/>
                <w:i/>
                <w:sz w:val="21"/>
                <w:shd w:val="clear" w:color="auto" w:fill="D2D2D2"/>
              </w:rPr>
              <w:t>March 14</w:t>
            </w:r>
            <w:r w:rsidRPr="005E6081">
              <w:rPr>
                <w:rFonts w:ascii="Segoe UI"/>
                <w:i/>
                <w:position w:val="8"/>
                <w:sz w:val="14"/>
                <w:shd w:val="clear" w:color="auto" w:fill="D2D2D2"/>
              </w:rPr>
              <w:t xml:space="preserve">th </w:t>
            </w:r>
            <w:r w:rsidRPr="005E6081">
              <w:rPr>
                <w:rFonts w:ascii="Segoe UI"/>
                <w:i/>
                <w:sz w:val="21"/>
                <w:shd w:val="clear" w:color="auto" w:fill="D2D2D2"/>
              </w:rPr>
              <w:t>2022</w:t>
            </w:r>
          </w:p>
        </w:tc>
        <w:tc>
          <w:tcPr>
            <w:tcW w:w="6841" w:type="dxa"/>
          </w:tcPr>
          <w:p w14:paraId="6B5148FA" w14:textId="77777777" w:rsidR="00E136A1" w:rsidRPr="005E6081" w:rsidRDefault="00E136A1" w:rsidP="00062DAE">
            <w:pPr>
              <w:pStyle w:val="TableParagraph"/>
              <w:spacing w:line="258" w:lineRule="exact"/>
              <w:ind w:left="107"/>
              <w:rPr>
                <w:rFonts w:ascii="Segoe UI"/>
                <w:sz w:val="21"/>
              </w:rPr>
            </w:pPr>
            <w:r w:rsidRPr="005E6081">
              <w:rPr>
                <w:rFonts w:ascii="Segoe UI"/>
                <w:sz w:val="21"/>
              </w:rPr>
              <w:t>Expected date of full TE completion</w:t>
            </w:r>
          </w:p>
        </w:tc>
      </w:tr>
    </w:tbl>
    <w:p w14:paraId="74321B84" w14:textId="77777777" w:rsidR="00E136A1" w:rsidRPr="005E6081" w:rsidRDefault="00E136A1" w:rsidP="00E136A1">
      <w:pPr>
        <w:pStyle w:val="BodyText"/>
        <w:rPr>
          <w:rFonts w:ascii="Segoe UI"/>
          <w:sz w:val="21"/>
        </w:rPr>
      </w:pPr>
    </w:p>
    <w:p w14:paraId="41567A02" w14:textId="2E279350" w:rsidR="00E136A1" w:rsidRPr="005E6081" w:rsidRDefault="00011C41" w:rsidP="00E136A1">
      <w:pPr>
        <w:spacing w:line="477" w:lineRule="auto"/>
        <w:ind w:left="500" w:right="4465"/>
        <w:rPr>
          <w:rFonts w:ascii="Segoe UI"/>
          <w:sz w:val="21"/>
        </w:rPr>
      </w:pPr>
      <w:r>
        <w:rPr>
          <w:noProof/>
        </w:rPr>
        <mc:AlternateContent>
          <mc:Choice Requires="wps">
            <w:drawing>
              <wp:anchor distT="0" distB="0" distL="114300" distR="114300" simplePos="0" relativeHeight="251661824" behindDoc="0" locked="0" layoutInCell="1" allowOverlap="1" wp14:anchorId="1D6EF220" wp14:editId="4654615A">
                <wp:simplePos x="0" y="0"/>
                <wp:positionH relativeFrom="page">
                  <wp:posOffset>914400</wp:posOffset>
                </wp:positionH>
                <wp:positionV relativeFrom="paragraph">
                  <wp:posOffset>532765</wp:posOffset>
                </wp:positionV>
                <wp:extent cx="5951220" cy="14573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57325"/>
                        </a:xfrm>
                        <a:prstGeom prst="rect">
                          <a:avLst/>
                        </a:prstGeom>
                        <a:noFill/>
                        <a:ln>
                          <a:noFill/>
                        </a:ln>
                      </wps:spPr>
                      <wps:txbx>
                        <w:txbxContent>
                          <w:tbl>
                            <w:tblPr>
                              <w:tblStyle w:val="TableNormal2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841"/>
                            </w:tblGrid>
                            <w:tr w:rsidR="00E136A1" w14:paraId="68A6079A" w14:textId="77777777">
                              <w:trPr>
                                <w:trHeight w:val="278"/>
                              </w:trPr>
                              <w:tc>
                                <w:tcPr>
                                  <w:tcW w:w="2516" w:type="dxa"/>
                                  <w:shd w:val="clear" w:color="auto" w:fill="404040"/>
                                </w:tcPr>
                                <w:p w14:paraId="5B3402E1" w14:textId="77777777" w:rsidR="00E136A1" w:rsidRDefault="00E136A1">
                                  <w:pPr>
                                    <w:pStyle w:val="TableParagraph"/>
                                    <w:spacing w:line="259" w:lineRule="exact"/>
                                    <w:ind w:left="107"/>
                                    <w:rPr>
                                      <w:rFonts w:ascii="Segoe UI"/>
                                      <w:sz w:val="21"/>
                                    </w:rPr>
                                  </w:pPr>
                                  <w:r>
                                    <w:rPr>
                                      <w:rFonts w:ascii="Segoe UI"/>
                                      <w:color w:val="FFFFFF"/>
                                      <w:sz w:val="21"/>
                                    </w:rPr>
                                    <w:t>Timeframe</w:t>
                                  </w:r>
                                </w:p>
                              </w:tc>
                              <w:tc>
                                <w:tcPr>
                                  <w:tcW w:w="6841" w:type="dxa"/>
                                  <w:shd w:val="clear" w:color="auto" w:fill="404040"/>
                                </w:tcPr>
                                <w:p w14:paraId="755F6B58" w14:textId="77777777" w:rsidR="00E136A1" w:rsidRDefault="00E136A1">
                                  <w:pPr>
                                    <w:pStyle w:val="TableParagraph"/>
                                    <w:spacing w:line="259" w:lineRule="exact"/>
                                    <w:ind w:left="107"/>
                                    <w:rPr>
                                      <w:rFonts w:ascii="Segoe UI"/>
                                      <w:sz w:val="21"/>
                                    </w:rPr>
                                  </w:pPr>
                                  <w:r>
                                    <w:rPr>
                                      <w:rFonts w:ascii="Segoe UI"/>
                                      <w:color w:val="FFFFFF"/>
                                      <w:sz w:val="21"/>
                                    </w:rPr>
                                    <w:t>Activity</w:t>
                                  </w:r>
                                </w:p>
                              </w:tc>
                            </w:tr>
                            <w:tr w:rsidR="00E136A1" w14:paraId="3DFB16C3" w14:textId="77777777">
                              <w:trPr>
                                <w:trHeight w:val="558"/>
                              </w:trPr>
                              <w:tc>
                                <w:tcPr>
                                  <w:tcW w:w="2516" w:type="dxa"/>
                                </w:tcPr>
                                <w:p w14:paraId="447E89DE" w14:textId="77777777" w:rsidR="00E136A1" w:rsidRDefault="00E136A1">
                                  <w:pPr>
                                    <w:pStyle w:val="TableParagraph"/>
                                    <w:spacing w:line="278" w:lineRule="exact"/>
                                    <w:ind w:left="107" w:right="148"/>
                                    <w:rPr>
                                      <w:rFonts w:ascii="Segoe UI"/>
                                      <w:i/>
                                      <w:sz w:val="21"/>
                                    </w:rPr>
                                  </w:pPr>
                                  <w:r>
                                    <w:rPr>
                                      <w:rFonts w:ascii="Segoe UI"/>
                                      <w:i/>
                                      <w:sz w:val="21"/>
                                      <w:shd w:val="clear" w:color="auto" w:fill="D2D2D2"/>
                                    </w:rPr>
                                    <w:t>By June 15</w:t>
                                  </w:r>
                                  <w:r>
                                    <w:rPr>
                                      <w:rFonts w:ascii="Segoe UI"/>
                                      <w:i/>
                                      <w:position w:val="8"/>
                                      <w:sz w:val="14"/>
                                      <w:shd w:val="clear" w:color="auto" w:fill="D2D2D2"/>
                                    </w:rPr>
                                    <w:t xml:space="preserve">th </w:t>
                                  </w:r>
                                  <w:r>
                                    <w:rPr>
                                      <w:rFonts w:ascii="Segoe UI"/>
                                      <w:i/>
                                      <w:sz w:val="21"/>
                                      <w:shd w:val="clear" w:color="auto" w:fill="D2D2D2"/>
                                    </w:rPr>
                                    <w:t>2021 (5</w:t>
                                  </w:r>
                                  <w:r>
                                    <w:rPr>
                                      <w:rFonts w:ascii="Segoe UI"/>
                                      <w:i/>
                                      <w:sz w:val="21"/>
                                    </w:rPr>
                                    <w:t xml:space="preserve"> </w:t>
                                  </w:r>
                                  <w:r>
                                    <w:rPr>
                                      <w:rFonts w:ascii="Segoe UI"/>
                                      <w:i/>
                                      <w:sz w:val="21"/>
                                      <w:shd w:val="clear" w:color="auto" w:fill="D2D2D2"/>
                                    </w:rPr>
                                    <w:t>days)</w:t>
                                  </w:r>
                                </w:p>
                              </w:tc>
                              <w:tc>
                                <w:tcPr>
                                  <w:tcW w:w="6841" w:type="dxa"/>
                                </w:tcPr>
                                <w:p w14:paraId="457BEB34" w14:textId="77777777" w:rsidR="00E136A1" w:rsidRDefault="00E136A1">
                                  <w:pPr>
                                    <w:pStyle w:val="TableParagraph"/>
                                    <w:spacing w:before="1"/>
                                    <w:ind w:left="107"/>
                                    <w:rPr>
                                      <w:rFonts w:ascii="Segoe UI"/>
                                      <w:sz w:val="21"/>
                                    </w:rPr>
                                  </w:pPr>
                                  <w:r>
                                    <w:rPr>
                                      <w:rFonts w:ascii="Segoe UI"/>
                                      <w:sz w:val="21"/>
                                    </w:rPr>
                                    <w:t>Document review and preparation of TE Inception Report</w:t>
                                  </w:r>
                                </w:p>
                              </w:tc>
                            </w:tr>
                            <w:tr w:rsidR="00E136A1" w14:paraId="43D6F9C1" w14:textId="77777777">
                              <w:trPr>
                                <w:trHeight w:val="280"/>
                              </w:trPr>
                              <w:tc>
                                <w:tcPr>
                                  <w:tcW w:w="2516" w:type="dxa"/>
                                </w:tcPr>
                                <w:p w14:paraId="64A50DC1" w14:textId="77777777" w:rsidR="00E136A1" w:rsidRDefault="00E136A1">
                                  <w:pPr>
                                    <w:pStyle w:val="TableParagraph"/>
                                    <w:spacing w:line="260" w:lineRule="exact"/>
                                    <w:ind w:left="107"/>
                                    <w:rPr>
                                      <w:rFonts w:ascii="Segoe UI"/>
                                      <w:i/>
                                      <w:sz w:val="21"/>
                                    </w:rPr>
                                  </w:pPr>
                                  <w:r>
                                    <w:rPr>
                                      <w:rFonts w:ascii="Segoe UI"/>
                                      <w:i/>
                                      <w:sz w:val="21"/>
                                      <w:shd w:val="clear" w:color="auto" w:fill="D2D2D2"/>
                                    </w:rPr>
                                    <w:t>By June 30</w:t>
                                  </w:r>
                                  <w:r>
                                    <w:rPr>
                                      <w:rFonts w:ascii="Segoe UI"/>
                                      <w:i/>
                                      <w:position w:val="8"/>
                                      <w:sz w:val="14"/>
                                      <w:shd w:val="clear" w:color="auto" w:fill="D2D2D2"/>
                                    </w:rPr>
                                    <w:t xml:space="preserve">th </w:t>
                                  </w:r>
                                  <w:r>
                                    <w:rPr>
                                      <w:rFonts w:ascii="Segoe UI"/>
                                      <w:i/>
                                      <w:sz w:val="21"/>
                                      <w:shd w:val="clear" w:color="auto" w:fill="D2D2D2"/>
                                    </w:rPr>
                                    <w:t>2021 (1 day)</w:t>
                                  </w:r>
                                </w:p>
                              </w:tc>
                              <w:tc>
                                <w:tcPr>
                                  <w:tcW w:w="6841" w:type="dxa"/>
                                </w:tcPr>
                                <w:p w14:paraId="2B0D99EE" w14:textId="77777777" w:rsidR="00E136A1" w:rsidRDefault="00E136A1">
                                  <w:pPr>
                                    <w:pStyle w:val="TableParagraph"/>
                                    <w:spacing w:line="260" w:lineRule="exact"/>
                                    <w:ind w:left="107"/>
                                    <w:rPr>
                                      <w:rFonts w:ascii="Segoe UI"/>
                                      <w:sz w:val="21"/>
                                    </w:rPr>
                                  </w:pPr>
                                  <w:r>
                                    <w:rPr>
                                      <w:rFonts w:ascii="Segoe UI"/>
                                      <w:sz w:val="21"/>
                                    </w:rPr>
                                    <w:t>Finalization and Validation of TE Inception Report</w:t>
                                  </w:r>
                                </w:p>
                              </w:tc>
                            </w:tr>
                            <w:tr w:rsidR="00E136A1" w14:paraId="3F1BFCBD" w14:textId="77777777">
                              <w:trPr>
                                <w:trHeight w:val="558"/>
                              </w:trPr>
                              <w:tc>
                                <w:tcPr>
                                  <w:tcW w:w="2516" w:type="dxa"/>
                                </w:tcPr>
                                <w:p w14:paraId="29384718" w14:textId="77777777" w:rsidR="00E136A1" w:rsidRDefault="00E136A1">
                                  <w:pPr>
                                    <w:pStyle w:val="TableParagraph"/>
                                    <w:spacing w:line="278" w:lineRule="exact"/>
                                    <w:ind w:left="107" w:right="148"/>
                                    <w:rPr>
                                      <w:rFonts w:ascii="Segoe UI" w:hAnsi="Segoe UI"/>
                                      <w:i/>
                                      <w:sz w:val="21"/>
                                    </w:rPr>
                                  </w:pPr>
                                  <w:r>
                                    <w:rPr>
                                      <w:rFonts w:ascii="Segoe UI" w:hAnsi="Segoe UI"/>
                                      <w:i/>
                                      <w:sz w:val="21"/>
                                      <w:shd w:val="clear" w:color="auto" w:fill="D2D2D2"/>
                                    </w:rPr>
                                    <w:t>July 1</w:t>
                                  </w:r>
                                  <w:r>
                                    <w:rPr>
                                      <w:rFonts w:ascii="Segoe UI" w:hAnsi="Segoe UI"/>
                                      <w:i/>
                                      <w:position w:val="8"/>
                                      <w:sz w:val="14"/>
                                      <w:shd w:val="clear" w:color="auto" w:fill="D2D2D2"/>
                                    </w:rPr>
                                    <w:t xml:space="preserve">st </w:t>
                                  </w:r>
                                  <w:r>
                                    <w:rPr>
                                      <w:rFonts w:ascii="Segoe UI" w:hAnsi="Segoe UI"/>
                                      <w:i/>
                                      <w:sz w:val="21"/>
                                      <w:shd w:val="clear" w:color="auto" w:fill="D2D2D2"/>
                                    </w:rPr>
                                    <w:t>– August 31</w:t>
                                  </w:r>
                                  <w:r>
                                    <w:rPr>
                                      <w:rFonts w:ascii="Segoe UI" w:hAnsi="Segoe UI"/>
                                      <w:i/>
                                      <w:position w:val="8"/>
                                      <w:sz w:val="14"/>
                                      <w:shd w:val="clear" w:color="auto" w:fill="D2D2D2"/>
                                    </w:rPr>
                                    <w:t>st</w:t>
                                  </w:r>
                                  <w:r>
                                    <w:rPr>
                                      <w:rFonts w:ascii="Segoe UI" w:hAnsi="Segoe UI"/>
                                      <w:i/>
                                      <w:position w:val="8"/>
                                      <w:sz w:val="14"/>
                                    </w:rPr>
                                    <w:t xml:space="preserve"> </w:t>
                                  </w:r>
                                  <w:r>
                                    <w:rPr>
                                      <w:rFonts w:ascii="Segoe UI" w:hAnsi="Segoe UI"/>
                                      <w:i/>
                                      <w:sz w:val="21"/>
                                      <w:shd w:val="clear" w:color="auto" w:fill="D2D2D2"/>
                                    </w:rPr>
                                    <w:t>2021 (6 days)</w:t>
                                  </w:r>
                                </w:p>
                              </w:tc>
                              <w:tc>
                                <w:tcPr>
                                  <w:tcW w:w="6841" w:type="dxa"/>
                                </w:tcPr>
                                <w:p w14:paraId="6F0C1F5C" w14:textId="77777777" w:rsidR="00E136A1" w:rsidRDefault="00E136A1">
                                  <w:pPr>
                                    <w:pStyle w:val="TableParagraph"/>
                                    <w:spacing w:line="278" w:lineRule="exact"/>
                                    <w:ind w:left="107"/>
                                    <w:rPr>
                                      <w:rFonts w:ascii="Segoe UI"/>
                                      <w:sz w:val="21"/>
                                    </w:rPr>
                                  </w:pPr>
                                  <w:r>
                                    <w:rPr>
                                      <w:rFonts w:ascii="Segoe UI"/>
                                      <w:sz w:val="21"/>
                                    </w:rPr>
                                    <w:t>TE work: stakeholder interviews, etc.</w:t>
                                  </w:r>
                                </w:p>
                              </w:tc>
                            </w:tr>
                            <w:tr w:rsidR="00E136A1" w14:paraId="168A79A2" w14:textId="77777777">
                              <w:trPr>
                                <w:trHeight w:val="558"/>
                              </w:trPr>
                              <w:tc>
                                <w:tcPr>
                                  <w:tcW w:w="2516" w:type="dxa"/>
                                </w:tcPr>
                                <w:p w14:paraId="2FBBC34A" w14:textId="77777777" w:rsidR="00E136A1" w:rsidRDefault="00E136A1">
                                  <w:pPr>
                                    <w:pStyle w:val="TableParagraph"/>
                                    <w:spacing w:line="278" w:lineRule="exact"/>
                                    <w:ind w:left="107" w:right="342"/>
                                    <w:rPr>
                                      <w:rFonts w:ascii="Segoe UI"/>
                                      <w:i/>
                                      <w:sz w:val="21"/>
                                    </w:rPr>
                                  </w:pPr>
                                  <w:r>
                                    <w:rPr>
                                      <w:rFonts w:ascii="Segoe UI"/>
                                      <w:i/>
                                      <w:sz w:val="21"/>
                                      <w:shd w:val="clear" w:color="auto" w:fill="D2D2D2"/>
                                    </w:rPr>
                                    <w:t>September 15, 2021 (1</w:t>
                                  </w:r>
                                  <w:r>
                                    <w:rPr>
                                      <w:rFonts w:ascii="Segoe UI"/>
                                      <w:i/>
                                      <w:sz w:val="21"/>
                                    </w:rPr>
                                    <w:t xml:space="preserve"> </w:t>
                                  </w:r>
                                  <w:r>
                                    <w:rPr>
                                      <w:rFonts w:ascii="Segoe UI"/>
                                      <w:i/>
                                      <w:sz w:val="21"/>
                                      <w:shd w:val="clear" w:color="auto" w:fill="D2D2D2"/>
                                    </w:rPr>
                                    <w:t>day)</w:t>
                                  </w:r>
                                </w:p>
                              </w:tc>
                              <w:tc>
                                <w:tcPr>
                                  <w:tcW w:w="6841" w:type="dxa"/>
                                </w:tcPr>
                                <w:p w14:paraId="513FC58C" w14:textId="77777777" w:rsidR="00E136A1" w:rsidRDefault="00E136A1">
                                  <w:pPr>
                                    <w:pStyle w:val="TableParagraph"/>
                                    <w:spacing w:line="278" w:lineRule="exact"/>
                                    <w:ind w:left="107" w:right="105"/>
                                    <w:rPr>
                                      <w:rFonts w:ascii="Segoe UI"/>
                                      <w:sz w:val="21"/>
                                    </w:rPr>
                                  </w:pPr>
                                  <w:r>
                                    <w:rPr>
                                      <w:rFonts w:ascii="Segoe UI"/>
                                      <w:sz w:val="21"/>
                                    </w:rPr>
                                    <w:t>Mission wrap-up meeting &amp; presentation of initial findings; earliest end of TE mission</w:t>
                                  </w:r>
                                </w:p>
                              </w:tc>
                            </w:tr>
                          </w:tbl>
                          <w:p w14:paraId="5968F34C" w14:textId="77777777" w:rsidR="00E136A1" w:rsidRDefault="00E136A1" w:rsidP="00E136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EF220" id="_x0000_t202" coordsize="21600,21600" o:spt="202" path="m,l,21600r21600,l21600,xe">
                <v:stroke joinstyle="miter"/>
                <v:path gradientshapeok="t" o:connecttype="rect"/>
              </v:shapetype>
              <v:shape id="Text Box 19" o:spid="_x0000_s1029" type="#_x0000_t202" style="position:absolute;left:0;text-align:left;margin-left:1in;margin-top:41.95pt;width:468.6pt;height:114.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" filled="f" stroked="f">
                <v:textbox inset="0,0,0,0">
                  <w:txbxContent>
                    <w:tbl>
                      <w:tblPr>
                        <w:tblStyle w:val="TableNormal2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841"/>
                      </w:tblGrid>
                      <w:tr w:rsidR="00E136A1" w14:paraId="68A6079A" w14:textId="77777777">
                        <w:trPr>
                          <w:trHeight w:val="278"/>
                        </w:trPr>
                        <w:tc>
                          <w:tcPr>
                            <w:tcW w:w="2516" w:type="dxa"/>
                            <w:shd w:val="clear" w:color="auto" w:fill="404040"/>
                          </w:tcPr>
                          <w:p w14:paraId="5B3402E1" w14:textId="77777777" w:rsidR="00E136A1" w:rsidRDefault="00E136A1">
                            <w:pPr>
                              <w:pStyle w:val="TableParagraph"/>
                              <w:spacing w:line="259" w:lineRule="exact"/>
                              <w:ind w:left="107"/>
                              <w:rPr>
                                <w:rFonts w:ascii="Segoe UI"/>
                                <w:sz w:val="21"/>
                              </w:rPr>
                            </w:pPr>
                            <w:r>
                              <w:rPr>
                                <w:rFonts w:ascii="Segoe UI"/>
                                <w:color w:val="FFFFFF"/>
                                <w:sz w:val="21"/>
                              </w:rPr>
                              <w:t>Timeframe</w:t>
                            </w:r>
                          </w:p>
                        </w:tc>
                        <w:tc>
                          <w:tcPr>
                            <w:tcW w:w="6841" w:type="dxa"/>
                            <w:shd w:val="clear" w:color="auto" w:fill="404040"/>
                          </w:tcPr>
                          <w:p w14:paraId="755F6B58" w14:textId="77777777" w:rsidR="00E136A1" w:rsidRDefault="00E136A1">
                            <w:pPr>
                              <w:pStyle w:val="TableParagraph"/>
                              <w:spacing w:line="259" w:lineRule="exact"/>
                              <w:ind w:left="107"/>
                              <w:rPr>
                                <w:rFonts w:ascii="Segoe UI"/>
                                <w:sz w:val="21"/>
                              </w:rPr>
                            </w:pPr>
                            <w:r>
                              <w:rPr>
                                <w:rFonts w:ascii="Segoe UI"/>
                                <w:color w:val="FFFFFF"/>
                                <w:sz w:val="21"/>
                              </w:rPr>
                              <w:t>Activity</w:t>
                            </w:r>
                          </w:p>
                        </w:tc>
                      </w:tr>
                      <w:tr w:rsidR="00E136A1" w14:paraId="3DFB16C3" w14:textId="77777777">
                        <w:trPr>
                          <w:trHeight w:val="558"/>
                        </w:trPr>
                        <w:tc>
                          <w:tcPr>
                            <w:tcW w:w="2516" w:type="dxa"/>
                          </w:tcPr>
                          <w:p w14:paraId="447E89DE" w14:textId="77777777" w:rsidR="00E136A1" w:rsidRDefault="00E136A1">
                            <w:pPr>
                              <w:pStyle w:val="TableParagraph"/>
                              <w:spacing w:line="278" w:lineRule="exact"/>
                              <w:ind w:left="107" w:right="148"/>
                              <w:rPr>
                                <w:rFonts w:ascii="Segoe UI"/>
                                <w:i/>
                                <w:sz w:val="21"/>
                              </w:rPr>
                            </w:pPr>
                            <w:r>
                              <w:rPr>
                                <w:rFonts w:ascii="Segoe UI"/>
                                <w:i/>
                                <w:sz w:val="21"/>
                                <w:shd w:val="clear" w:color="auto" w:fill="D2D2D2"/>
                              </w:rPr>
                              <w:t>By June 15</w:t>
                            </w:r>
                            <w:r>
                              <w:rPr>
                                <w:rFonts w:ascii="Segoe UI"/>
                                <w:i/>
                                <w:position w:val="8"/>
                                <w:sz w:val="14"/>
                                <w:shd w:val="clear" w:color="auto" w:fill="D2D2D2"/>
                              </w:rPr>
                              <w:t xml:space="preserve">th </w:t>
                            </w:r>
                            <w:r>
                              <w:rPr>
                                <w:rFonts w:ascii="Segoe UI"/>
                                <w:i/>
                                <w:sz w:val="21"/>
                                <w:shd w:val="clear" w:color="auto" w:fill="D2D2D2"/>
                              </w:rPr>
                              <w:t>2021 (5</w:t>
                            </w:r>
                            <w:r>
                              <w:rPr>
                                <w:rFonts w:ascii="Segoe UI"/>
                                <w:i/>
                                <w:sz w:val="21"/>
                              </w:rPr>
                              <w:t xml:space="preserve"> </w:t>
                            </w:r>
                            <w:r>
                              <w:rPr>
                                <w:rFonts w:ascii="Segoe UI"/>
                                <w:i/>
                                <w:sz w:val="21"/>
                                <w:shd w:val="clear" w:color="auto" w:fill="D2D2D2"/>
                              </w:rPr>
                              <w:t>days)</w:t>
                            </w:r>
                          </w:p>
                        </w:tc>
                        <w:tc>
                          <w:tcPr>
                            <w:tcW w:w="6841" w:type="dxa"/>
                          </w:tcPr>
                          <w:p w14:paraId="457BEB34" w14:textId="77777777" w:rsidR="00E136A1" w:rsidRDefault="00E136A1">
                            <w:pPr>
                              <w:pStyle w:val="TableParagraph"/>
                              <w:spacing w:before="1"/>
                              <w:ind w:left="107"/>
                              <w:rPr>
                                <w:rFonts w:ascii="Segoe UI"/>
                                <w:sz w:val="21"/>
                              </w:rPr>
                            </w:pPr>
                            <w:r>
                              <w:rPr>
                                <w:rFonts w:ascii="Segoe UI"/>
                                <w:sz w:val="21"/>
                              </w:rPr>
                              <w:t>Document review and preparation of TE Inception Report</w:t>
                            </w:r>
                          </w:p>
                        </w:tc>
                      </w:tr>
                      <w:tr w:rsidR="00E136A1" w14:paraId="43D6F9C1" w14:textId="77777777">
                        <w:trPr>
                          <w:trHeight w:val="280"/>
                        </w:trPr>
                        <w:tc>
                          <w:tcPr>
                            <w:tcW w:w="2516" w:type="dxa"/>
                          </w:tcPr>
                          <w:p w14:paraId="64A50DC1" w14:textId="77777777" w:rsidR="00E136A1" w:rsidRDefault="00E136A1">
                            <w:pPr>
                              <w:pStyle w:val="TableParagraph"/>
                              <w:spacing w:line="260" w:lineRule="exact"/>
                              <w:ind w:left="107"/>
                              <w:rPr>
                                <w:rFonts w:ascii="Segoe UI"/>
                                <w:i/>
                                <w:sz w:val="21"/>
                              </w:rPr>
                            </w:pPr>
                            <w:r>
                              <w:rPr>
                                <w:rFonts w:ascii="Segoe UI"/>
                                <w:i/>
                                <w:sz w:val="21"/>
                                <w:shd w:val="clear" w:color="auto" w:fill="D2D2D2"/>
                              </w:rPr>
                              <w:t>By June 30</w:t>
                            </w:r>
                            <w:r>
                              <w:rPr>
                                <w:rFonts w:ascii="Segoe UI"/>
                                <w:i/>
                                <w:position w:val="8"/>
                                <w:sz w:val="14"/>
                                <w:shd w:val="clear" w:color="auto" w:fill="D2D2D2"/>
                              </w:rPr>
                              <w:t xml:space="preserve">th </w:t>
                            </w:r>
                            <w:r>
                              <w:rPr>
                                <w:rFonts w:ascii="Segoe UI"/>
                                <w:i/>
                                <w:sz w:val="21"/>
                                <w:shd w:val="clear" w:color="auto" w:fill="D2D2D2"/>
                              </w:rPr>
                              <w:t>2021 (1 day)</w:t>
                            </w:r>
                          </w:p>
                        </w:tc>
                        <w:tc>
                          <w:tcPr>
                            <w:tcW w:w="6841" w:type="dxa"/>
                          </w:tcPr>
                          <w:p w14:paraId="2B0D99EE" w14:textId="77777777" w:rsidR="00E136A1" w:rsidRDefault="00E136A1">
                            <w:pPr>
                              <w:pStyle w:val="TableParagraph"/>
                              <w:spacing w:line="260" w:lineRule="exact"/>
                              <w:ind w:left="107"/>
                              <w:rPr>
                                <w:rFonts w:ascii="Segoe UI"/>
                                <w:sz w:val="21"/>
                              </w:rPr>
                            </w:pPr>
                            <w:r>
                              <w:rPr>
                                <w:rFonts w:ascii="Segoe UI"/>
                                <w:sz w:val="21"/>
                              </w:rPr>
                              <w:t>Finalization and Validation of TE Inception Report</w:t>
                            </w:r>
                          </w:p>
                        </w:tc>
                      </w:tr>
                      <w:tr w:rsidR="00E136A1" w14:paraId="3F1BFCBD" w14:textId="77777777">
                        <w:trPr>
                          <w:trHeight w:val="558"/>
                        </w:trPr>
                        <w:tc>
                          <w:tcPr>
                            <w:tcW w:w="2516" w:type="dxa"/>
                          </w:tcPr>
                          <w:p w14:paraId="29384718" w14:textId="77777777" w:rsidR="00E136A1" w:rsidRDefault="00E136A1">
                            <w:pPr>
                              <w:pStyle w:val="TableParagraph"/>
                              <w:spacing w:line="278" w:lineRule="exact"/>
                              <w:ind w:left="107" w:right="148"/>
                              <w:rPr>
                                <w:rFonts w:ascii="Segoe UI" w:hAnsi="Segoe UI"/>
                                <w:i/>
                                <w:sz w:val="21"/>
                              </w:rPr>
                            </w:pPr>
                            <w:r>
                              <w:rPr>
                                <w:rFonts w:ascii="Segoe UI" w:hAnsi="Segoe UI"/>
                                <w:i/>
                                <w:sz w:val="21"/>
                                <w:shd w:val="clear" w:color="auto" w:fill="D2D2D2"/>
                              </w:rPr>
                              <w:t>July 1</w:t>
                            </w:r>
                            <w:r>
                              <w:rPr>
                                <w:rFonts w:ascii="Segoe UI" w:hAnsi="Segoe UI"/>
                                <w:i/>
                                <w:position w:val="8"/>
                                <w:sz w:val="14"/>
                                <w:shd w:val="clear" w:color="auto" w:fill="D2D2D2"/>
                              </w:rPr>
                              <w:t xml:space="preserve">st </w:t>
                            </w:r>
                            <w:r>
                              <w:rPr>
                                <w:rFonts w:ascii="Segoe UI" w:hAnsi="Segoe UI"/>
                                <w:i/>
                                <w:sz w:val="21"/>
                                <w:shd w:val="clear" w:color="auto" w:fill="D2D2D2"/>
                              </w:rPr>
                              <w:t>– August 31</w:t>
                            </w:r>
                            <w:r>
                              <w:rPr>
                                <w:rFonts w:ascii="Segoe UI" w:hAnsi="Segoe UI"/>
                                <w:i/>
                                <w:position w:val="8"/>
                                <w:sz w:val="14"/>
                                <w:shd w:val="clear" w:color="auto" w:fill="D2D2D2"/>
                              </w:rPr>
                              <w:t>st</w:t>
                            </w:r>
                            <w:r>
                              <w:rPr>
                                <w:rFonts w:ascii="Segoe UI" w:hAnsi="Segoe UI"/>
                                <w:i/>
                                <w:position w:val="8"/>
                                <w:sz w:val="14"/>
                              </w:rPr>
                              <w:t xml:space="preserve"> </w:t>
                            </w:r>
                            <w:r>
                              <w:rPr>
                                <w:rFonts w:ascii="Segoe UI" w:hAnsi="Segoe UI"/>
                                <w:i/>
                                <w:sz w:val="21"/>
                                <w:shd w:val="clear" w:color="auto" w:fill="D2D2D2"/>
                              </w:rPr>
                              <w:t>2021 (6 days)</w:t>
                            </w:r>
                          </w:p>
                        </w:tc>
                        <w:tc>
                          <w:tcPr>
                            <w:tcW w:w="6841" w:type="dxa"/>
                          </w:tcPr>
                          <w:p w14:paraId="6F0C1F5C" w14:textId="77777777" w:rsidR="00E136A1" w:rsidRDefault="00E136A1">
                            <w:pPr>
                              <w:pStyle w:val="TableParagraph"/>
                              <w:spacing w:line="278" w:lineRule="exact"/>
                              <w:ind w:left="107"/>
                              <w:rPr>
                                <w:rFonts w:ascii="Segoe UI"/>
                                <w:sz w:val="21"/>
                              </w:rPr>
                            </w:pPr>
                            <w:r>
                              <w:rPr>
                                <w:rFonts w:ascii="Segoe UI"/>
                                <w:sz w:val="21"/>
                              </w:rPr>
                              <w:t>TE work: stakeholder interviews, etc.</w:t>
                            </w:r>
                          </w:p>
                        </w:tc>
                      </w:tr>
                      <w:tr w:rsidR="00E136A1" w14:paraId="168A79A2" w14:textId="77777777">
                        <w:trPr>
                          <w:trHeight w:val="558"/>
                        </w:trPr>
                        <w:tc>
                          <w:tcPr>
                            <w:tcW w:w="2516" w:type="dxa"/>
                          </w:tcPr>
                          <w:p w14:paraId="2FBBC34A" w14:textId="77777777" w:rsidR="00E136A1" w:rsidRDefault="00E136A1">
                            <w:pPr>
                              <w:pStyle w:val="TableParagraph"/>
                              <w:spacing w:line="278" w:lineRule="exact"/>
                              <w:ind w:left="107" w:right="342"/>
                              <w:rPr>
                                <w:rFonts w:ascii="Segoe UI"/>
                                <w:i/>
                                <w:sz w:val="21"/>
                              </w:rPr>
                            </w:pPr>
                            <w:r>
                              <w:rPr>
                                <w:rFonts w:ascii="Segoe UI"/>
                                <w:i/>
                                <w:sz w:val="21"/>
                                <w:shd w:val="clear" w:color="auto" w:fill="D2D2D2"/>
                              </w:rPr>
                              <w:t>September 15, 2021 (1</w:t>
                            </w:r>
                            <w:r>
                              <w:rPr>
                                <w:rFonts w:ascii="Segoe UI"/>
                                <w:i/>
                                <w:sz w:val="21"/>
                              </w:rPr>
                              <w:t xml:space="preserve"> </w:t>
                            </w:r>
                            <w:r>
                              <w:rPr>
                                <w:rFonts w:ascii="Segoe UI"/>
                                <w:i/>
                                <w:sz w:val="21"/>
                                <w:shd w:val="clear" w:color="auto" w:fill="D2D2D2"/>
                              </w:rPr>
                              <w:t>day)</w:t>
                            </w:r>
                          </w:p>
                        </w:tc>
                        <w:tc>
                          <w:tcPr>
                            <w:tcW w:w="6841" w:type="dxa"/>
                          </w:tcPr>
                          <w:p w14:paraId="513FC58C" w14:textId="77777777" w:rsidR="00E136A1" w:rsidRDefault="00E136A1">
                            <w:pPr>
                              <w:pStyle w:val="TableParagraph"/>
                              <w:spacing w:line="278" w:lineRule="exact"/>
                              <w:ind w:left="107" w:right="105"/>
                              <w:rPr>
                                <w:rFonts w:ascii="Segoe UI"/>
                                <w:sz w:val="21"/>
                              </w:rPr>
                            </w:pPr>
                            <w:r>
                              <w:rPr>
                                <w:rFonts w:ascii="Segoe UI"/>
                                <w:sz w:val="21"/>
                              </w:rPr>
                              <w:t>Mission wrap-up meeting &amp; presentation of initial findings; earliest end of TE mission</w:t>
                            </w:r>
                          </w:p>
                        </w:tc>
                      </w:tr>
                    </w:tbl>
                    <w:p w14:paraId="5968F34C" w14:textId="77777777" w:rsidR="00E136A1" w:rsidRDefault="00E136A1" w:rsidP="00E136A1">
                      <w:pPr>
                        <w:pStyle w:val="BodyText"/>
                      </w:pPr>
                    </w:p>
                  </w:txbxContent>
                </v:textbox>
                <w10:wrap anchorx="page"/>
              </v:shape>
            </w:pict>
          </mc:Fallback>
        </mc:AlternateContent>
      </w:r>
      <w:r w:rsidR="00E136A1" w:rsidRPr="005E6081">
        <w:rPr>
          <w:rFonts w:ascii="Segoe UI"/>
          <w:sz w:val="21"/>
        </w:rPr>
        <w:t>Options for site visits should be provided in the TE Inception Report. For the A&amp;L project.</w:t>
      </w:r>
    </w:p>
    <w:p w14:paraId="2D937DAA" w14:textId="77777777" w:rsidR="00E136A1" w:rsidRPr="005E6081" w:rsidRDefault="00E136A1" w:rsidP="00E136A1">
      <w:pPr>
        <w:ind w:left="500" w:right="1433"/>
        <w:jc w:val="both"/>
        <w:rPr>
          <w:rFonts w:ascii="Segoe UI"/>
          <w:sz w:val="21"/>
        </w:rPr>
      </w:pPr>
    </w:p>
    <w:p w14:paraId="0E489B8F" w14:textId="77777777" w:rsidR="00E136A1" w:rsidRPr="005E6081" w:rsidRDefault="00E136A1" w:rsidP="00E136A1">
      <w:pPr>
        <w:spacing w:line="237" w:lineRule="auto"/>
        <w:ind w:left="500" w:right="1439"/>
        <w:jc w:val="both"/>
        <w:rPr>
          <w:rFonts w:ascii="Segoe UI"/>
          <w:sz w:val="21"/>
        </w:rPr>
      </w:pPr>
    </w:p>
    <w:p w14:paraId="1284644A" w14:textId="77777777" w:rsidR="00E136A1" w:rsidRPr="005E6081" w:rsidRDefault="00E136A1" w:rsidP="00E136A1">
      <w:pPr>
        <w:ind w:left="500" w:right="1435"/>
        <w:jc w:val="both"/>
        <w:rPr>
          <w:rFonts w:ascii="Segoe UI"/>
          <w:sz w:val="21"/>
        </w:rPr>
      </w:pPr>
    </w:p>
    <w:p w14:paraId="7C082C38" w14:textId="77777777" w:rsidR="00E136A1" w:rsidRPr="005E6081" w:rsidRDefault="00E136A1" w:rsidP="00E136A1"/>
    <w:p w14:paraId="6095492B" w14:textId="77777777" w:rsidR="00E136A1" w:rsidRPr="005E6081" w:rsidRDefault="00E136A1" w:rsidP="00E136A1"/>
    <w:tbl>
      <w:tblPr>
        <w:tblStyle w:val="TableNormal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841"/>
      </w:tblGrid>
      <w:tr w:rsidR="00E136A1" w:rsidRPr="005E6081" w14:paraId="792E28F5" w14:textId="77777777" w:rsidTr="00062DAE">
        <w:trPr>
          <w:trHeight w:val="559"/>
        </w:trPr>
        <w:tc>
          <w:tcPr>
            <w:tcW w:w="2516" w:type="dxa"/>
          </w:tcPr>
          <w:p w14:paraId="5A24D4F4" w14:textId="77777777" w:rsidR="00E136A1" w:rsidRPr="005E6081" w:rsidRDefault="00E136A1" w:rsidP="00062DAE">
            <w:pPr>
              <w:pStyle w:val="TableParagraph"/>
              <w:spacing w:line="280" w:lineRule="exact"/>
              <w:ind w:left="107" w:right="303"/>
              <w:rPr>
                <w:rFonts w:ascii="Segoe UI"/>
                <w:i/>
                <w:sz w:val="21"/>
              </w:rPr>
            </w:pPr>
            <w:r w:rsidRPr="005E6081">
              <w:rPr>
                <w:rFonts w:ascii="Segoe UI"/>
                <w:i/>
                <w:sz w:val="21"/>
                <w:shd w:val="clear" w:color="auto" w:fill="D2D2D2"/>
              </w:rPr>
              <w:t>By October 15, 2021 (5</w:t>
            </w:r>
            <w:r w:rsidRPr="005E6081">
              <w:rPr>
                <w:rFonts w:ascii="Segoe UI"/>
                <w:i/>
                <w:sz w:val="21"/>
              </w:rPr>
              <w:t xml:space="preserve"> </w:t>
            </w:r>
            <w:r w:rsidRPr="005E6081">
              <w:rPr>
                <w:rFonts w:ascii="Segoe UI"/>
                <w:i/>
                <w:sz w:val="21"/>
                <w:shd w:val="clear" w:color="auto" w:fill="D2D2D2"/>
              </w:rPr>
              <w:t>days)</w:t>
            </w:r>
          </w:p>
        </w:tc>
        <w:tc>
          <w:tcPr>
            <w:tcW w:w="6841" w:type="dxa"/>
          </w:tcPr>
          <w:p w14:paraId="520A88C7" w14:textId="77777777" w:rsidR="00E136A1" w:rsidRPr="005E6081" w:rsidRDefault="00E136A1" w:rsidP="00062DAE">
            <w:pPr>
              <w:pStyle w:val="TableParagraph"/>
              <w:spacing w:line="279" w:lineRule="exact"/>
              <w:ind w:left="107"/>
              <w:rPr>
                <w:rFonts w:ascii="Segoe UI"/>
                <w:sz w:val="21"/>
              </w:rPr>
            </w:pPr>
            <w:r w:rsidRPr="005E6081">
              <w:rPr>
                <w:rFonts w:ascii="Segoe UI"/>
                <w:sz w:val="21"/>
              </w:rPr>
              <w:t>Preparation of draft TE report</w:t>
            </w:r>
          </w:p>
        </w:tc>
      </w:tr>
      <w:tr w:rsidR="00E136A1" w:rsidRPr="005E6081" w14:paraId="78B348B4" w14:textId="77777777" w:rsidTr="00062DAE">
        <w:trPr>
          <w:trHeight w:val="557"/>
        </w:trPr>
        <w:tc>
          <w:tcPr>
            <w:tcW w:w="2516" w:type="dxa"/>
          </w:tcPr>
          <w:p w14:paraId="7AE64A11" w14:textId="77777777" w:rsidR="00E136A1" w:rsidRPr="005E6081" w:rsidRDefault="00E136A1" w:rsidP="00062DAE">
            <w:pPr>
              <w:pStyle w:val="TableParagraph"/>
              <w:spacing w:line="278" w:lineRule="exact"/>
              <w:ind w:left="107" w:right="148"/>
              <w:rPr>
                <w:rFonts w:ascii="Segoe UI"/>
                <w:i/>
                <w:sz w:val="21"/>
              </w:rPr>
            </w:pPr>
            <w:r w:rsidRPr="005E6081">
              <w:rPr>
                <w:rFonts w:ascii="Segoe UI"/>
                <w:i/>
                <w:sz w:val="21"/>
                <w:shd w:val="clear" w:color="auto" w:fill="D2D2D2"/>
              </w:rPr>
              <w:t>Between October 16 and</w:t>
            </w:r>
            <w:r w:rsidRPr="005E6081">
              <w:rPr>
                <w:rFonts w:ascii="Segoe UI"/>
                <w:i/>
                <w:sz w:val="21"/>
              </w:rPr>
              <w:t xml:space="preserve"> </w:t>
            </w:r>
            <w:r w:rsidRPr="005E6081">
              <w:rPr>
                <w:rFonts w:ascii="Segoe UI"/>
                <w:i/>
                <w:sz w:val="21"/>
                <w:shd w:val="clear" w:color="auto" w:fill="D2D2D2"/>
              </w:rPr>
              <w:t xml:space="preserve">November 15 </w:t>
            </w:r>
            <w:r w:rsidRPr="005E6081">
              <w:rPr>
                <w:rFonts w:ascii="Segoe UI"/>
                <w:i/>
                <w:position w:val="8"/>
                <w:sz w:val="14"/>
                <w:shd w:val="clear" w:color="auto" w:fill="D2D2D2"/>
              </w:rPr>
              <w:t xml:space="preserve">h </w:t>
            </w:r>
            <w:r w:rsidRPr="005E6081">
              <w:rPr>
                <w:rFonts w:ascii="Segoe UI"/>
                <w:i/>
                <w:sz w:val="21"/>
                <w:shd w:val="clear" w:color="auto" w:fill="D2D2D2"/>
              </w:rPr>
              <w:t>2021</w:t>
            </w:r>
          </w:p>
        </w:tc>
        <w:tc>
          <w:tcPr>
            <w:tcW w:w="6841" w:type="dxa"/>
          </w:tcPr>
          <w:p w14:paraId="6FB4732C" w14:textId="77777777" w:rsidR="00E136A1" w:rsidRPr="005E6081" w:rsidRDefault="00E136A1" w:rsidP="00062DAE">
            <w:pPr>
              <w:pStyle w:val="TableParagraph"/>
              <w:spacing w:line="277" w:lineRule="exact"/>
              <w:ind w:left="107"/>
              <w:rPr>
                <w:rFonts w:ascii="Segoe UI"/>
                <w:sz w:val="21"/>
              </w:rPr>
            </w:pPr>
            <w:r w:rsidRPr="005E6081">
              <w:rPr>
                <w:rFonts w:ascii="Segoe UI"/>
                <w:sz w:val="21"/>
              </w:rPr>
              <w:t>Circulation of draft TE report for comments</w:t>
            </w:r>
          </w:p>
        </w:tc>
      </w:tr>
      <w:tr w:rsidR="00E136A1" w:rsidRPr="005E6081" w14:paraId="1976E479" w14:textId="77777777" w:rsidTr="00062DAE">
        <w:trPr>
          <w:trHeight w:val="558"/>
        </w:trPr>
        <w:tc>
          <w:tcPr>
            <w:tcW w:w="2516" w:type="dxa"/>
          </w:tcPr>
          <w:p w14:paraId="10F92CFC" w14:textId="77777777" w:rsidR="00E136A1" w:rsidRPr="005E6081" w:rsidRDefault="00E136A1" w:rsidP="00062DAE">
            <w:pPr>
              <w:pStyle w:val="TableParagraph"/>
              <w:spacing w:line="278" w:lineRule="exact"/>
              <w:ind w:left="107" w:right="127"/>
              <w:rPr>
                <w:rFonts w:ascii="Segoe UI"/>
                <w:i/>
                <w:sz w:val="21"/>
              </w:rPr>
            </w:pPr>
            <w:r w:rsidRPr="005E6081">
              <w:rPr>
                <w:rFonts w:ascii="Segoe UI"/>
                <w:i/>
                <w:sz w:val="21"/>
                <w:shd w:val="clear" w:color="auto" w:fill="D2D2D2"/>
              </w:rPr>
              <w:t>By November 30 2021 (2</w:t>
            </w:r>
            <w:r w:rsidRPr="005E6081">
              <w:rPr>
                <w:rFonts w:ascii="Segoe UI"/>
                <w:i/>
                <w:sz w:val="21"/>
              </w:rPr>
              <w:t xml:space="preserve"> </w:t>
            </w:r>
            <w:r w:rsidRPr="005E6081">
              <w:rPr>
                <w:rFonts w:ascii="Segoe UI"/>
                <w:i/>
                <w:sz w:val="21"/>
                <w:shd w:val="clear" w:color="auto" w:fill="D2D2D2"/>
              </w:rPr>
              <w:t>days)</w:t>
            </w:r>
          </w:p>
        </w:tc>
        <w:tc>
          <w:tcPr>
            <w:tcW w:w="6841" w:type="dxa"/>
          </w:tcPr>
          <w:p w14:paraId="423F824F" w14:textId="77777777" w:rsidR="00E136A1" w:rsidRPr="005E6081" w:rsidRDefault="00E136A1" w:rsidP="00062DAE">
            <w:pPr>
              <w:pStyle w:val="TableParagraph"/>
              <w:spacing w:line="278" w:lineRule="exact"/>
              <w:ind w:left="107" w:right="815"/>
              <w:rPr>
                <w:rFonts w:ascii="Segoe UI"/>
                <w:sz w:val="21"/>
              </w:rPr>
            </w:pPr>
            <w:r w:rsidRPr="005E6081">
              <w:rPr>
                <w:rFonts w:ascii="Segoe UI"/>
                <w:sz w:val="21"/>
              </w:rPr>
              <w:t>Incorporation of comments on draft TE report into Audit Trail &amp; finalization of TE report</w:t>
            </w:r>
          </w:p>
        </w:tc>
      </w:tr>
      <w:tr w:rsidR="00E136A1" w:rsidRPr="005E6081" w14:paraId="79543FDF" w14:textId="77777777" w:rsidTr="00062DAE">
        <w:trPr>
          <w:trHeight w:val="558"/>
        </w:trPr>
        <w:tc>
          <w:tcPr>
            <w:tcW w:w="2516" w:type="dxa"/>
          </w:tcPr>
          <w:p w14:paraId="0127AC49" w14:textId="77777777" w:rsidR="00E136A1" w:rsidRPr="005E6081" w:rsidRDefault="00E136A1" w:rsidP="00062DAE">
            <w:pPr>
              <w:pStyle w:val="TableParagraph"/>
              <w:spacing w:line="278" w:lineRule="exact"/>
              <w:ind w:left="107"/>
              <w:rPr>
                <w:rFonts w:ascii="Segoe UI" w:hAnsi="Segoe UI"/>
                <w:i/>
                <w:sz w:val="21"/>
              </w:rPr>
            </w:pPr>
            <w:r w:rsidRPr="005E6081">
              <w:rPr>
                <w:rFonts w:ascii="Segoe UI" w:hAnsi="Segoe UI"/>
                <w:i/>
                <w:sz w:val="21"/>
                <w:shd w:val="clear" w:color="auto" w:fill="D2D2D2"/>
              </w:rPr>
              <w:lastRenderedPageBreak/>
              <w:t>October 15</w:t>
            </w:r>
            <w:r w:rsidRPr="005E6081">
              <w:rPr>
                <w:rFonts w:ascii="Segoe UI" w:hAnsi="Segoe UI"/>
                <w:i/>
                <w:position w:val="8"/>
                <w:sz w:val="14"/>
                <w:shd w:val="clear" w:color="auto" w:fill="D2D2D2"/>
              </w:rPr>
              <w:t xml:space="preserve">th </w:t>
            </w:r>
            <w:r w:rsidRPr="005E6081">
              <w:rPr>
                <w:rFonts w:ascii="Segoe UI" w:hAnsi="Segoe UI"/>
                <w:i/>
                <w:sz w:val="21"/>
                <w:shd w:val="clear" w:color="auto" w:fill="D2D2D2"/>
              </w:rPr>
              <w:t>– December</w:t>
            </w:r>
            <w:r w:rsidRPr="005E6081">
              <w:rPr>
                <w:rFonts w:ascii="Segoe UI" w:hAnsi="Segoe UI"/>
                <w:i/>
                <w:sz w:val="21"/>
              </w:rPr>
              <w:t xml:space="preserve"> </w:t>
            </w:r>
            <w:r w:rsidRPr="005E6081">
              <w:rPr>
                <w:rFonts w:ascii="Segoe UI" w:hAnsi="Segoe UI"/>
                <w:i/>
                <w:sz w:val="21"/>
                <w:shd w:val="clear" w:color="auto" w:fill="D2D2D2"/>
              </w:rPr>
              <w:t>15</w:t>
            </w:r>
            <w:r w:rsidRPr="005E6081">
              <w:rPr>
                <w:rFonts w:ascii="Segoe UI" w:hAnsi="Segoe UI"/>
                <w:i/>
                <w:position w:val="8"/>
                <w:sz w:val="14"/>
                <w:shd w:val="clear" w:color="auto" w:fill="D2D2D2"/>
              </w:rPr>
              <w:t xml:space="preserve">th </w:t>
            </w:r>
            <w:r w:rsidRPr="005E6081">
              <w:rPr>
                <w:rFonts w:ascii="Segoe UI" w:hAnsi="Segoe UI"/>
                <w:i/>
                <w:sz w:val="21"/>
                <w:shd w:val="clear" w:color="auto" w:fill="D2D2D2"/>
              </w:rPr>
              <w:t>2021</w:t>
            </w:r>
          </w:p>
        </w:tc>
        <w:tc>
          <w:tcPr>
            <w:tcW w:w="6841" w:type="dxa"/>
          </w:tcPr>
          <w:p w14:paraId="6A091414"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Preparation and Issuance of Management Response</w:t>
            </w:r>
          </w:p>
        </w:tc>
      </w:tr>
      <w:tr w:rsidR="00E136A1" w:rsidRPr="005E6081" w14:paraId="0F396C5B" w14:textId="77777777" w:rsidTr="00062DAE">
        <w:trPr>
          <w:trHeight w:val="278"/>
        </w:trPr>
        <w:tc>
          <w:tcPr>
            <w:tcW w:w="2516" w:type="dxa"/>
          </w:tcPr>
          <w:p w14:paraId="302335F0" w14:textId="77777777" w:rsidR="00E136A1" w:rsidRPr="005E6081" w:rsidRDefault="00E136A1" w:rsidP="00062DAE">
            <w:pPr>
              <w:pStyle w:val="TableParagraph"/>
              <w:spacing w:line="258" w:lineRule="exact"/>
              <w:ind w:left="107"/>
              <w:rPr>
                <w:rFonts w:ascii="Segoe UI"/>
                <w:i/>
                <w:sz w:val="21"/>
              </w:rPr>
            </w:pPr>
            <w:r w:rsidRPr="005E6081">
              <w:rPr>
                <w:rFonts w:ascii="Segoe UI"/>
                <w:i/>
                <w:sz w:val="21"/>
                <w:shd w:val="clear" w:color="auto" w:fill="D2D2D2"/>
              </w:rPr>
              <w:t>December 31</w:t>
            </w:r>
            <w:r w:rsidRPr="005E6081">
              <w:rPr>
                <w:rFonts w:ascii="Segoe UI"/>
                <w:i/>
                <w:position w:val="8"/>
                <w:sz w:val="14"/>
                <w:shd w:val="clear" w:color="auto" w:fill="D2D2D2"/>
              </w:rPr>
              <w:t xml:space="preserve">st </w:t>
            </w:r>
            <w:r w:rsidRPr="005E6081">
              <w:rPr>
                <w:rFonts w:ascii="Segoe UI"/>
                <w:i/>
                <w:sz w:val="21"/>
                <w:shd w:val="clear" w:color="auto" w:fill="D2D2D2"/>
              </w:rPr>
              <w:t>2021</w:t>
            </w:r>
          </w:p>
        </w:tc>
        <w:tc>
          <w:tcPr>
            <w:tcW w:w="6841" w:type="dxa"/>
          </w:tcPr>
          <w:p w14:paraId="51D90FA1" w14:textId="77777777" w:rsidR="00E136A1" w:rsidRPr="005E6081" w:rsidRDefault="00E136A1" w:rsidP="00062DAE">
            <w:pPr>
              <w:pStyle w:val="TableParagraph"/>
              <w:spacing w:line="258" w:lineRule="exact"/>
              <w:ind w:left="107"/>
              <w:rPr>
                <w:rFonts w:ascii="Segoe UI"/>
                <w:sz w:val="21"/>
              </w:rPr>
            </w:pPr>
            <w:r w:rsidRPr="005E6081">
              <w:rPr>
                <w:rFonts w:ascii="Segoe UI"/>
                <w:sz w:val="21"/>
              </w:rPr>
              <w:t>Expected date of full TE completion</w:t>
            </w:r>
          </w:p>
        </w:tc>
      </w:tr>
    </w:tbl>
    <w:p w14:paraId="28FEA2DF" w14:textId="77777777" w:rsidR="00E136A1" w:rsidRPr="005E6081" w:rsidRDefault="00E136A1" w:rsidP="00E136A1"/>
    <w:p w14:paraId="4BBB073F" w14:textId="77777777" w:rsidR="00E136A1" w:rsidRPr="005E6081" w:rsidRDefault="00E136A1" w:rsidP="00E136A1">
      <w:r w:rsidRPr="005E6081">
        <w:t>TE</w:t>
      </w:r>
      <w:r w:rsidRPr="005E6081">
        <w:rPr>
          <w:spacing w:val="-1"/>
        </w:rPr>
        <w:t xml:space="preserve"> </w:t>
      </w:r>
      <w:r w:rsidRPr="005E6081">
        <w:t>DELIVERABLES</w:t>
      </w:r>
    </w:p>
    <w:p w14:paraId="6111EB9A" w14:textId="77777777" w:rsidR="00E136A1" w:rsidRPr="005E6081" w:rsidRDefault="00E136A1" w:rsidP="00E136A1">
      <w:pPr>
        <w:spacing w:before="186" w:after="3"/>
        <w:ind w:left="500"/>
        <w:rPr>
          <w:rFonts w:ascii="Segoe UI"/>
          <w:sz w:val="21"/>
        </w:rPr>
      </w:pPr>
      <w:r w:rsidRPr="005E6081">
        <w:rPr>
          <w:rFonts w:ascii="Segoe UI"/>
          <w:sz w:val="21"/>
        </w:rPr>
        <w:t>Applicable to both TEs.</w:t>
      </w:r>
    </w:p>
    <w:tbl>
      <w:tblPr>
        <w:tblStyle w:val="TableNormal22"/>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870"/>
        <w:gridCol w:w="2359"/>
        <w:gridCol w:w="1980"/>
        <w:gridCol w:w="2520"/>
      </w:tblGrid>
      <w:tr w:rsidR="00E136A1" w:rsidRPr="005E6081" w14:paraId="49853483" w14:textId="77777777" w:rsidTr="00062DAE">
        <w:trPr>
          <w:trHeight w:val="278"/>
        </w:trPr>
        <w:tc>
          <w:tcPr>
            <w:tcW w:w="626" w:type="dxa"/>
            <w:shd w:val="clear" w:color="auto" w:fill="404040"/>
          </w:tcPr>
          <w:p w14:paraId="07886C7C" w14:textId="77777777" w:rsidR="00E136A1" w:rsidRPr="005E6081" w:rsidRDefault="00E136A1" w:rsidP="00062DAE">
            <w:pPr>
              <w:pStyle w:val="TableParagraph"/>
              <w:spacing w:line="258" w:lineRule="exact"/>
              <w:ind w:left="107"/>
              <w:rPr>
                <w:rFonts w:ascii="Segoe UI"/>
                <w:sz w:val="21"/>
              </w:rPr>
            </w:pPr>
            <w:r w:rsidRPr="005E6081">
              <w:rPr>
                <w:rFonts w:ascii="Segoe UI"/>
                <w:sz w:val="21"/>
              </w:rPr>
              <w:t>#</w:t>
            </w:r>
          </w:p>
        </w:tc>
        <w:tc>
          <w:tcPr>
            <w:tcW w:w="1870" w:type="dxa"/>
            <w:shd w:val="clear" w:color="auto" w:fill="404040"/>
          </w:tcPr>
          <w:p w14:paraId="17B675FD" w14:textId="77777777" w:rsidR="00E136A1" w:rsidRPr="005E6081" w:rsidRDefault="00E136A1" w:rsidP="00062DAE">
            <w:pPr>
              <w:pStyle w:val="TableParagraph"/>
              <w:spacing w:line="258" w:lineRule="exact"/>
              <w:ind w:left="105"/>
              <w:rPr>
                <w:rFonts w:ascii="Segoe UI"/>
                <w:sz w:val="21"/>
              </w:rPr>
            </w:pPr>
            <w:r w:rsidRPr="005E6081">
              <w:rPr>
                <w:rFonts w:ascii="Segoe UI"/>
                <w:sz w:val="21"/>
              </w:rPr>
              <w:t>Deliverable</w:t>
            </w:r>
          </w:p>
        </w:tc>
        <w:tc>
          <w:tcPr>
            <w:tcW w:w="2359" w:type="dxa"/>
            <w:shd w:val="clear" w:color="auto" w:fill="404040"/>
          </w:tcPr>
          <w:p w14:paraId="4DD93371" w14:textId="77777777" w:rsidR="00E136A1" w:rsidRPr="005E6081" w:rsidRDefault="00E136A1" w:rsidP="00062DAE">
            <w:pPr>
              <w:pStyle w:val="TableParagraph"/>
              <w:spacing w:line="258" w:lineRule="exact"/>
              <w:ind w:left="108"/>
              <w:rPr>
                <w:rFonts w:ascii="Segoe UI"/>
                <w:sz w:val="21"/>
              </w:rPr>
            </w:pPr>
            <w:r w:rsidRPr="005E6081">
              <w:rPr>
                <w:rFonts w:ascii="Segoe UI"/>
                <w:sz w:val="21"/>
              </w:rPr>
              <w:t>Description</w:t>
            </w:r>
          </w:p>
        </w:tc>
        <w:tc>
          <w:tcPr>
            <w:tcW w:w="1980" w:type="dxa"/>
            <w:shd w:val="clear" w:color="auto" w:fill="404040"/>
          </w:tcPr>
          <w:p w14:paraId="2097494C" w14:textId="77777777" w:rsidR="00E136A1" w:rsidRPr="005E6081" w:rsidRDefault="00E136A1" w:rsidP="00062DAE">
            <w:pPr>
              <w:pStyle w:val="TableParagraph"/>
              <w:spacing w:line="258" w:lineRule="exact"/>
              <w:ind w:left="108"/>
              <w:rPr>
                <w:rFonts w:ascii="Segoe UI"/>
                <w:sz w:val="21"/>
              </w:rPr>
            </w:pPr>
            <w:r w:rsidRPr="005E6081">
              <w:rPr>
                <w:rFonts w:ascii="Segoe UI"/>
                <w:sz w:val="21"/>
              </w:rPr>
              <w:t>Timing</w:t>
            </w:r>
          </w:p>
        </w:tc>
        <w:tc>
          <w:tcPr>
            <w:tcW w:w="2520" w:type="dxa"/>
            <w:shd w:val="clear" w:color="auto" w:fill="404040"/>
          </w:tcPr>
          <w:p w14:paraId="66E3BAE1" w14:textId="77777777" w:rsidR="00E136A1" w:rsidRPr="005E6081" w:rsidRDefault="00E136A1" w:rsidP="00062DAE">
            <w:pPr>
              <w:pStyle w:val="TableParagraph"/>
              <w:spacing w:line="258" w:lineRule="exact"/>
              <w:ind w:left="108"/>
              <w:rPr>
                <w:rFonts w:ascii="Segoe UI"/>
                <w:sz w:val="21"/>
              </w:rPr>
            </w:pPr>
            <w:r w:rsidRPr="005E6081">
              <w:rPr>
                <w:rFonts w:ascii="Segoe UI"/>
                <w:sz w:val="21"/>
              </w:rPr>
              <w:t>Responsibilities</w:t>
            </w:r>
          </w:p>
        </w:tc>
      </w:tr>
      <w:tr w:rsidR="00E136A1" w:rsidRPr="005E6081" w14:paraId="27F3D70F" w14:textId="77777777" w:rsidTr="00062DAE">
        <w:trPr>
          <w:trHeight w:val="1955"/>
        </w:trPr>
        <w:tc>
          <w:tcPr>
            <w:tcW w:w="626" w:type="dxa"/>
          </w:tcPr>
          <w:p w14:paraId="163C5936"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1</w:t>
            </w:r>
          </w:p>
        </w:tc>
        <w:tc>
          <w:tcPr>
            <w:tcW w:w="1870" w:type="dxa"/>
          </w:tcPr>
          <w:p w14:paraId="24373B5E" w14:textId="77777777" w:rsidR="00E136A1" w:rsidRPr="005E6081" w:rsidRDefault="00E136A1" w:rsidP="00062DAE">
            <w:pPr>
              <w:pStyle w:val="TableParagraph"/>
              <w:ind w:left="105" w:right="592"/>
              <w:rPr>
                <w:rFonts w:ascii="Segoe UI"/>
                <w:sz w:val="21"/>
              </w:rPr>
            </w:pPr>
            <w:r w:rsidRPr="005E6081">
              <w:rPr>
                <w:rFonts w:ascii="Segoe UI"/>
                <w:sz w:val="21"/>
              </w:rPr>
              <w:t>TE Inception Report</w:t>
            </w:r>
          </w:p>
        </w:tc>
        <w:tc>
          <w:tcPr>
            <w:tcW w:w="2359" w:type="dxa"/>
          </w:tcPr>
          <w:p w14:paraId="75ED5B50" w14:textId="77777777" w:rsidR="00E136A1" w:rsidRPr="005E6081" w:rsidRDefault="00E136A1" w:rsidP="00062DAE">
            <w:pPr>
              <w:pStyle w:val="TableParagraph"/>
              <w:ind w:left="108" w:right="564"/>
              <w:rPr>
                <w:rFonts w:ascii="Segoe UI"/>
                <w:sz w:val="21"/>
              </w:rPr>
            </w:pPr>
            <w:r w:rsidRPr="005E6081">
              <w:rPr>
                <w:rFonts w:ascii="Segoe UI"/>
                <w:sz w:val="21"/>
              </w:rPr>
              <w:t>TE team clarifies objectives, methodology and timing of the TE</w:t>
            </w:r>
          </w:p>
        </w:tc>
        <w:tc>
          <w:tcPr>
            <w:tcW w:w="1980" w:type="dxa"/>
          </w:tcPr>
          <w:p w14:paraId="2DD507EC" w14:textId="77777777" w:rsidR="00E136A1" w:rsidRPr="005E6081" w:rsidRDefault="00E136A1" w:rsidP="00062DAE">
            <w:pPr>
              <w:pStyle w:val="TableParagraph"/>
              <w:spacing w:before="1" w:line="237" w:lineRule="auto"/>
              <w:ind w:left="108" w:right="257"/>
              <w:rPr>
                <w:rFonts w:ascii="Segoe UI"/>
                <w:i/>
                <w:sz w:val="21"/>
              </w:rPr>
            </w:pPr>
            <w:r w:rsidRPr="005E6081">
              <w:rPr>
                <w:rFonts w:ascii="Segoe UI"/>
                <w:sz w:val="21"/>
              </w:rPr>
              <w:t xml:space="preserve">No later than 2 weeks before the TE mission: </w:t>
            </w:r>
            <w:r w:rsidRPr="005E6081">
              <w:rPr>
                <w:rFonts w:ascii="Segoe UI"/>
                <w:i/>
                <w:sz w:val="21"/>
              </w:rPr>
              <w:t>June 30</w:t>
            </w:r>
            <w:r w:rsidRPr="005E6081">
              <w:rPr>
                <w:rFonts w:ascii="Segoe UI"/>
                <w:i/>
                <w:position w:val="8"/>
                <w:sz w:val="14"/>
              </w:rPr>
              <w:t xml:space="preserve">th </w:t>
            </w:r>
            <w:r w:rsidRPr="005E6081">
              <w:rPr>
                <w:rFonts w:ascii="Segoe UI"/>
                <w:i/>
                <w:sz w:val="21"/>
              </w:rPr>
              <w:t>2021 for the A&amp;L TE; August 31</w:t>
            </w:r>
            <w:r w:rsidRPr="005E6081">
              <w:rPr>
                <w:rFonts w:ascii="Segoe UI"/>
                <w:i/>
                <w:position w:val="8"/>
                <w:sz w:val="14"/>
              </w:rPr>
              <w:t xml:space="preserve">st </w:t>
            </w:r>
            <w:r w:rsidRPr="005E6081">
              <w:rPr>
                <w:rFonts w:ascii="Segoe UI"/>
                <w:i/>
                <w:sz w:val="21"/>
              </w:rPr>
              <w:t>2021 for the</w:t>
            </w:r>
          </w:p>
          <w:p w14:paraId="609DA5F3" w14:textId="77777777" w:rsidR="00E136A1" w:rsidRPr="005E6081" w:rsidRDefault="00E136A1" w:rsidP="00062DAE">
            <w:pPr>
              <w:pStyle w:val="TableParagraph"/>
              <w:spacing w:before="7" w:line="259" w:lineRule="exact"/>
              <w:ind w:left="108"/>
              <w:rPr>
                <w:rFonts w:ascii="Segoe UI"/>
                <w:i/>
                <w:sz w:val="21"/>
              </w:rPr>
            </w:pPr>
            <w:r w:rsidRPr="005E6081">
              <w:rPr>
                <w:rFonts w:ascii="Segoe UI"/>
                <w:i/>
                <w:sz w:val="21"/>
              </w:rPr>
              <w:t>Production TE.</w:t>
            </w:r>
          </w:p>
        </w:tc>
        <w:tc>
          <w:tcPr>
            <w:tcW w:w="2520" w:type="dxa"/>
          </w:tcPr>
          <w:p w14:paraId="1AF4447B" w14:textId="77777777" w:rsidR="00E136A1" w:rsidRPr="005E6081" w:rsidRDefault="00E136A1" w:rsidP="00062DAE">
            <w:pPr>
              <w:pStyle w:val="TableParagraph"/>
              <w:ind w:left="108" w:right="102"/>
              <w:rPr>
                <w:rFonts w:ascii="Segoe UI"/>
                <w:sz w:val="21"/>
              </w:rPr>
            </w:pPr>
            <w:r w:rsidRPr="005E6081">
              <w:rPr>
                <w:rFonts w:ascii="Segoe UI"/>
                <w:sz w:val="21"/>
              </w:rPr>
              <w:t>TE team submits Inception Report to Commissioning Unit and project management</w:t>
            </w:r>
          </w:p>
        </w:tc>
      </w:tr>
      <w:tr w:rsidR="00E136A1" w:rsidRPr="005E6081" w14:paraId="5AB2D1C8" w14:textId="77777777" w:rsidTr="00062DAE">
        <w:trPr>
          <w:trHeight w:val="1956"/>
        </w:trPr>
        <w:tc>
          <w:tcPr>
            <w:tcW w:w="626" w:type="dxa"/>
          </w:tcPr>
          <w:p w14:paraId="508E3304"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2</w:t>
            </w:r>
          </w:p>
        </w:tc>
        <w:tc>
          <w:tcPr>
            <w:tcW w:w="1870" w:type="dxa"/>
          </w:tcPr>
          <w:p w14:paraId="7A47EEC0" w14:textId="77777777" w:rsidR="00E136A1" w:rsidRPr="005E6081" w:rsidRDefault="00E136A1" w:rsidP="00062DAE">
            <w:pPr>
              <w:pStyle w:val="TableParagraph"/>
              <w:spacing w:line="278" w:lineRule="exact"/>
              <w:ind w:left="105"/>
              <w:rPr>
                <w:rFonts w:ascii="Segoe UI"/>
                <w:sz w:val="21"/>
              </w:rPr>
            </w:pPr>
            <w:r w:rsidRPr="005E6081">
              <w:rPr>
                <w:rFonts w:ascii="Segoe UI"/>
                <w:sz w:val="21"/>
              </w:rPr>
              <w:t>Presentation</w:t>
            </w:r>
          </w:p>
        </w:tc>
        <w:tc>
          <w:tcPr>
            <w:tcW w:w="2359" w:type="dxa"/>
          </w:tcPr>
          <w:p w14:paraId="349F34D6" w14:textId="77777777" w:rsidR="00E136A1" w:rsidRPr="005E6081" w:rsidRDefault="00E136A1" w:rsidP="00062DAE">
            <w:pPr>
              <w:pStyle w:val="TableParagraph"/>
              <w:spacing w:line="278" w:lineRule="exact"/>
              <w:ind w:left="108"/>
              <w:rPr>
                <w:rFonts w:ascii="Segoe UI"/>
                <w:sz w:val="21"/>
              </w:rPr>
            </w:pPr>
            <w:r w:rsidRPr="005E6081">
              <w:rPr>
                <w:rFonts w:ascii="Segoe UI"/>
                <w:sz w:val="21"/>
              </w:rPr>
              <w:t>Initial Findings</w:t>
            </w:r>
          </w:p>
        </w:tc>
        <w:tc>
          <w:tcPr>
            <w:tcW w:w="1980" w:type="dxa"/>
          </w:tcPr>
          <w:p w14:paraId="5ABABD99" w14:textId="77777777" w:rsidR="00E136A1" w:rsidRPr="005E6081" w:rsidRDefault="00E136A1" w:rsidP="00062DAE">
            <w:pPr>
              <w:pStyle w:val="TableParagraph"/>
              <w:spacing w:before="1" w:line="237" w:lineRule="auto"/>
              <w:ind w:left="108" w:right="167"/>
              <w:rPr>
                <w:rFonts w:ascii="Segoe UI"/>
                <w:i/>
                <w:sz w:val="21"/>
              </w:rPr>
            </w:pPr>
            <w:r w:rsidRPr="005E6081">
              <w:rPr>
                <w:rFonts w:ascii="Segoe UI"/>
                <w:sz w:val="21"/>
              </w:rPr>
              <w:t xml:space="preserve">End of TE mission: </w:t>
            </w:r>
            <w:r w:rsidRPr="005E6081">
              <w:rPr>
                <w:rFonts w:ascii="Segoe UI"/>
                <w:i/>
                <w:sz w:val="21"/>
              </w:rPr>
              <w:t>September 15</w:t>
            </w:r>
            <w:r w:rsidRPr="005E6081">
              <w:rPr>
                <w:rFonts w:ascii="Segoe UI"/>
                <w:i/>
                <w:position w:val="8"/>
                <w:sz w:val="14"/>
              </w:rPr>
              <w:t xml:space="preserve">th </w:t>
            </w:r>
            <w:r w:rsidRPr="005E6081">
              <w:rPr>
                <w:rFonts w:ascii="Segoe UI"/>
                <w:i/>
                <w:sz w:val="21"/>
              </w:rPr>
              <w:t>2021 for the A&amp;L TE;</w:t>
            </w:r>
          </w:p>
          <w:p w14:paraId="490877D7" w14:textId="77777777" w:rsidR="00E136A1" w:rsidRPr="005E6081" w:rsidRDefault="00E136A1" w:rsidP="00062DAE">
            <w:pPr>
              <w:pStyle w:val="TableParagraph"/>
              <w:spacing w:before="1"/>
              <w:ind w:left="108" w:right="518"/>
              <w:rPr>
                <w:rFonts w:ascii="Segoe UI"/>
                <w:i/>
                <w:sz w:val="21"/>
              </w:rPr>
            </w:pPr>
            <w:r w:rsidRPr="005E6081">
              <w:rPr>
                <w:rFonts w:ascii="Segoe UI"/>
                <w:i/>
                <w:sz w:val="21"/>
              </w:rPr>
              <w:t>December 10</w:t>
            </w:r>
            <w:r w:rsidRPr="005E6081">
              <w:rPr>
                <w:rFonts w:ascii="Segoe UI"/>
                <w:i/>
                <w:position w:val="8"/>
                <w:sz w:val="14"/>
              </w:rPr>
              <w:t xml:space="preserve">th </w:t>
            </w:r>
            <w:r w:rsidRPr="005E6081">
              <w:rPr>
                <w:rFonts w:ascii="Segoe UI"/>
                <w:i/>
                <w:sz w:val="21"/>
              </w:rPr>
              <w:t>2021 for the</w:t>
            </w:r>
          </w:p>
          <w:p w14:paraId="64EA441A" w14:textId="77777777" w:rsidR="00E136A1" w:rsidRPr="005E6081" w:rsidRDefault="00E136A1" w:rsidP="00062DAE">
            <w:pPr>
              <w:pStyle w:val="TableParagraph"/>
              <w:spacing w:before="1" w:line="259" w:lineRule="exact"/>
              <w:ind w:left="108"/>
              <w:rPr>
                <w:rFonts w:ascii="Segoe UI"/>
                <w:i/>
                <w:sz w:val="21"/>
              </w:rPr>
            </w:pPr>
            <w:r w:rsidRPr="005E6081">
              <w:rPr>
                <w:rFonts w:ascii="Segoe UI"/>
                <w:i/>
                <w:sz w:val="21"/>
              </w:rPr>
              <w:t>Production TE.</w:t>
            </w:r>
          </w:p>
        </w:tc>
        <w:tc>
          <w:tcPr>
            <w:tcW w:w="2520" w:type="dxa"/>
          </w:tcPr>
          <w:p w14:paraId="0A4380DA" w14:textId="77777777" w:rsidR="00E136A1" w:rsidRPr="005E6081" w:rsidRDefault="00E136A1" w:rsidP="00062DAE">
            <w:pPr>
              <w:pStyle w:val="TableParagraph"/>
              <w:ind w:left="108" w:right="102"/>
              <w:rPr>
                <w:rFonts w:ascii="Segoe UI"/>
                <w:sz w:val="21"/>
              </w:rPr>
            </w:pPr>
            <w:r w:rsidRPr="005E6081">
              <w:rPr>
                <w:rFonts w:ascii="Segoe UI"/>
                <w:sz w:val="21"/>
              </w:rPr>
              <w:t>TE team presents to Commissioning Unit and project management</w:t>
            </w:r>
          </w:p>
        </w:tc>
      </w:tr>
      <w:tr w:rsidR="00E136A1" w:rsidRPr="005E6081" w14:paraId="26962183" w14:textId="77777777" w:rsidTr="00062DAE">
        <w:trPr>
          <w:trHeight w:val="1955"/>
        </w:trPr>
        <w:tc>
          <w:tcPr>
            <w:tcW w:w="626" w:type="dxa"/>
          </w:tcPr>
          <w:p w14:paraId="1926D467"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3</w:t>
            </w:r>
          </w:p>
        </w:tc>
        <w:tc>
          <w:tcPr>
            <w:tcW w:w="1870" w:type="dxa"/>
          </w:tcPr>
          <w:p w14:paraId="01AF38BB" w14:textId="77777777" w:rsidR="00E136A1" w:rsidRPr="005E6081" w:rsidRDefault="00E136A1" w:rsidP="00062DAE">
            <w:pPr>
              <w:pStyle w:val="TableParagraph"/>
              <w:spacing w:line="278" w:lineRule="exact"/>
              <w:ind w:left="105"/>
              <w:rPr>
                <w:rFonts w:ascii="Segoe UI"/>
                <w:sz w:val="21"/>
              </w:rPr>
            </w:pPr>
            <w:r w:rsidRPr="005E6081">
              <w:rPr>
                <w:rFonts w:ascii="Segoe UI"/>
                <w:sz w:val="21"/>
              </w:rPr>
              <w:t>Draft TE Report</w:t>
            </w:r>
          </w:p>
        </w:tc>
        <w:tc>
          <w:tcPr>
            <w:tcW w:w="2359" w:type="dxa"/>
          </w:tcPr>
          <w:p w14:paraId="3A201216" w14:textId="77777777" w:rsidR="00E136A1" w:rsidRPr="005E6081" w:rsidRDefault="00E136A1" w:rsidP="00062DAE">
            <w:pPr>
              <w:pStyle w:val="TableParagraph"/>
              <w:ind w:left="108" w:right="161"/>
              <w:rPr>
                <w:rFonts w:ascii="Segoe UI"/>
                <w:i/>
                <w:sz w:val="21"/>
              </w:rPr>
            </w:pPr>
            <w:r w:rsidRPr="005E6081">
              <w:rPr>
                <w:rFonts w:ascii="Segoe UI"/>
                <w:sz w:val="21"/>
              </w:rPr>
              <w:t xml:space="preserve">Full draft report </w:t>
            </w:r>
            <w:r w:rsidRPr="005E6081">
              <w:rPr>
                <w:rFonts w:ascii="Segoe UI"/>
                <w:i/>
                <w:sz w:val="21"/>
                <w:shd w:val="clear" w:color="auto" w:fill="D2D2D2"/>
              </w:rPr>
              <w:t>(using</w:t>
            </w:r>
            <w:r w:rsidRPr="005E6081">
              <w:rPr>
                <w:rFonts w:ascii="Segoe UI"/>
                <w:i/>
                <w:sz w:val="21"/>
              </w:rPr>
              <w:t xml:space="preserve"> </w:t>
            </w:r>
            <w:r w:rsidRPr="005E6081">
              <w:rPr>
                <w:rFonts w:ascii="Segoe UI"/>
                <w:i/>
                <w:sz w:val="21"/>
                <w:shd w:val="clear" w:color="auto" w:fill="D2D2D2"/>
              </w:rPr>
              <w:t>guidelines on report</w:t>
            </w:r>
            <w:r w:rsidRPr="005E6081">
              <w:rPr>
                <w:rFonts w:ascii="Segoe UI"/>
                <w:i/>
                <w:sz w:val="21"/>
              </w:rPr>
              <w:t xml:space="preserve"> </w:t>
            </w:r>
            <w:r w:rsidRPr="005E6081">
              <w:rPr>
                <w:rFonts w:ascii="Segoe UI"/>
                <w:i/>
                <w:sz w:val="21"/>
                <w:shd w:val="clear" w:color="auto" w:fill="D2D2D2"/>
              </w:rPr>
              <w:t>content in ToR Annex</w:t>
            </w:r>
          </w:p>
          <w:p w14:paraId="7B6299A7" w14:textId="77777777" w:rsidR="00E136A1" w:rsidRPr="005E6081" w:rsidRDefault="00E136A1" w:rsidP="00062DAE">
            <w:pPr>
              <w:pStyle w:val="TableParagraph"/>
              <w:spacing w:line="279" w:lineRule="exact"/>
              <w:ind w:left="108"/>
              <w:rPr>
                <w:rFonts w:ascii="Segoe UI"/>
                <w:sz w:val="21"/>
              </w:rPr>
            </w:pPr>
            <w:r w:rsidRPr="005E6081">
              <w:rPr>
                <w:rFonts w:ascii="Segoe UI"/>
                <w:i/>
                <w:sz w:val="21"/>
                <w:shd w:val="clear" w:color="auto" w:fill="D2D2D2"/>
              </w:rPr>
              <w:t>C)</w:t>
            </w:r>
            <w:r w:rsidRPr="005E6081">
              <w:rPr>
                <w:rFonts w:ascii="Segoe UI"/>
                <w:i/>
                <w:sz w:val="21"/>
              </w:rPr>
              <w:t xml:space="preserve"> </w:t>
            </w:r>
            <w:r w:rsidRPr="005E6081">
              <w:rPr>
                <w:rFonts w:ascii="Segoe UI"/>
                <w:sz w:val="21"/>
              </w:rPr>
              <w:t>with annexes</w:t>
            </w:r>
          </w:p>
        </w:tc>
        <w:tc>
          <w:tcPr>
            <w:tcW w:w="1980" w:type="dxa"/>
          </w:tcPr>
          <w:p w14:paraId="10AD8D56" w14:textId="77777777" w:rsidR="00E136A1" w:rsidRPr="005E6081" w:rsidRDefault="00E136A1" w:rsidP="00062DAE">
            <w:pPr>
              <w:pStyle w:val="TableParagraph"/>
              <w:spacing w:before="1" w:line="237" w:lineRule="auto"/>
              <w:ind w:left="108" w:right="163"/>
              <w:rPr>
                <w:rFonts w:ascii="Segoe UI"/>
                <w:i/>
                <w:sz w:val="21"/>
              </w:rPr>
            </w:pPr>
            <w:r w:rsidRPr="005E6081">
              <w:rPr>
                <w:rFonts w:ascii="Segoe UI"/>
                <w:sz w:val="21"/>
              </w:rPr>
              <w:t xml:space="preserve">Within 4 weeks of end of TE mission: </w:t>
            </w:r>
            <w:r w:rsidRPr="005E6081">
              <w:rPr>
                <w:rFonts w:ascii="Segoe UI"/>
                <w:i/>
                <w:sz w:val="21"/>
              </w:rPr>
              <w:t>October 15</w:t>
            </w:r>
            <w:r w:rsidRPr="005E6081">
              <w:rPr>
                <w:rFonts w:ascii="Segoe UI"/>
                <w:i/>
                <w:position w:val="8"/>
                <w:sz w:val="14"/>
              </w:rPr>
              <w:t xml:space="preserve">th </w:t>
            </w:r>
            <w:r w:rsidRPr="005E6081">
              <w:rPr>
                <w:rFonts w:ascii="Segoe UI"/>
                <w:i/>
                <w:sz w:val="21"/>
              </w:rPr>
              <w:t>2021 for the A&amp;L TE; January 7</w:t>
            </w:r>
            <w:r w:rsidRPr="005E6081">
              <w:rPr>
                <w:rFonts w:ascii="Segoe UI"/>
                <w:i/>
                <w:position w:val="8"/>
                <w:sz w:val="14"/>
              </w:rPr>
              <w:t xml:space="preserve">th </w:t>
            </w:r>
            <w:r w:rsidRPr="005E6081">
              <w:rPr>
                <w:rFonts w:ascii="Segoe UI"/>
                <w:i/>
                <w:sz w:val="21"/>
              </w:rPr>
              <w:t>2022</w:t>
            </w:r>
          </w:p>
          <w:p w14:paraId="6D13E4D8" w14:textId="77777777" w:rsidR="00E136A1" w:rsidRPr="005E6081" w:rsidRDefault="00E136A1" w:rsidP="00062DAE">
            <w:pPr>
              <w:pStyle w:val="TableParagraph"/>
              <w:spacing w:line="278" w:lineRule="exact"/>
              <w:ind w:left="108" w:right="207"/>
              <w:rPr>
                <w:rFonts w:ascii="Segoe UI"/>
                <w:i/>
                <w:sz w:val="21"/>
              </w:rPr>
            </w:pPr>
            <w:r w:rsidRPr="005E6081">
              <w:rPr>
                <w:rFonts w:ascii="Segoe UI"/>
                <w:i/>
                <w:sz w:val="21"/>
              </w:rPr>
              <w:t>for the Production TE.</w:t>
            </w:r>
          </w:p>
        </w:tc>
        <w:tc>
          <w:tcPr>
            <w:tcW w:w="2520" w:type="dxa"/>
          </w:tcPr>
          <w:p w14:paraId="2F3F330C" w14:textId="77777777" w:rsidR="00E136A1" w:rsidRPr="005E6081" w:rsidRDefault="00E136A1" w:rsidP="00062DAE">
            <w:pPr>
              <w:pStyle w:val="TableParagraph"/>
              <w:ind w:left="108" w:right="269"/>
              <w:rPr>
                <w:rFonts w:ascii="Segoe UI"/>
                <w:sz w:val="21"/>
              </w:rPr>
            </w:pPr>
            <w:r w:rsidRPr="005E6081">
              <w:rPr>
                <w:rFonts w:ascii="Segoe UI"/>
                <w:sz w:val="21"/>
              </w:rPr>
              <w:t>TE team submits to Commissioning Unit; reviewed by BPPS-GEF RTA, Project Coordinating Unit, GEF OFP</w:t>
            </w:r>
          </w:p>
        </w:tc>
      </w:tr>
      <w:tr w:rsidR="00E136A1" w:rsidRPr="005E6081" w14:paraId="770F7E4D" w14:textId="77777777" w:rsidTr="00062DAE">
        <w:trPr>
          <w:trHeight w:val="2515"/>
        </w:trPr>
        <w:tc>
          <w:tcPr>
            <w:tcW w:w="626" w:type="dxa"/>
          </w:tcPr>
          <w:p w14:paraId="6890635F" w14:textId="77777777" w:rsidR="00E136A1" w:rsidRPr="005E6081" w:rsidRDefault="00E136A1" w:rsidP="00062DAE">
            <w:pPr>
              <w:pStyle w:val="TableParagraph"/>
              <w:spacing w:line="279" w:lineRule="exact"/>
              <w:ind w:left="107"/>
              <w:rPr>
                <w:rFonts w:ascii="Segoe UI"/>
                <w:sz w:val="21"/>
              </w:rPr>
            </w:pPr>
            <w:r w:rsidRPr="005E6081">
              <w:rPr>
                <w:rFonts w:ascii="Segoe UI"/>
                <w:sz w:val="21"/>
              </w:rPr>
              <w:t>4</w:t>
            </w:r>
          </w:p>
        </w:tc>
        <w:tc>
          <w:tcPr>
            <w:tcW w:w="1870" w:type="dxa"/>
          </w:tcPr>
          <w:p w14:paraId="064129FA" w14:textId="77777777" w:rsidR="00E136A1" w:rsidRPr="005E6081" w:rsidRDefault="00E136A1" w:rsidP="00062DAE">
            <w:pPr>
              <w:pStyle w:val="TableParagraph"/>
              <w:spacing w:line="278" w:lineRule="exact"/>
              <w:ind w:left="105"/>
              <w:rPr>
                <w:rFonts w:ascii="Segoe UI"/>
                <w:sz w:val="21"/>
              </w:rPr>
            </w:pPr>
            <w:r w:rsidRPr="005E6081">
              <w:rPr>
                <w:rFonts w:ascii="Segoe UI"/>
                <w:sz w:val="21"/>
              </w:rPr>
              <w:t>Final TE Report*</w:t>
            </w:r>
          </w:p>
          <w:p w14:paraId="0CF415F8" w14:textId="77777777" w:rsidR="00E136A1" w:rsidRPr="005E6081" w:rsidRDefault="00E136A1" w:rsidP="00062DAE">
            <w:pPr>
              <w:pStyle w:val="TableParagraph"/>
              <w:spacing w:line="279" w:lineRule="exact"/>
              <w:ind w:left="105"/>
              <w:rPr>
                <w:rFonts w:ascii="Segoe UI"/>
                <w:sz w:val="21"/>
              </w:rPr>
            </w:pPr>
            <w:r w:rsidRPr="005E6081">
              <w:rPr>
                <w:rFonts w:ascii="Segoe UI"/>
                <w:sz w:val="21"/>
              </w:rPr>
              <w:t>+ Audit Trail</w:t>
            </w:r>
          </w:p>
        </w:tc>
        <w:tc>
          <w:tcPr>
            <w:tcW w:w="2359" w:type="dxa"/>
          </w:tcPr>
          <w:p w14:paraId="0AFB7CC6" w14:textId="77777777" w:rsidR="00E136A1" w:rsidRPr="005E6081" w:rsidRDefault="00E136A1" w:rsidP="00062DAE">
            <w:pPr>
              <w:pStyle w:val="TableParagraph"/>
              <w:ind w:left="108" w:right="161"/>
              <w:rPr>
                <w:rFonts w:ascii="Segoe UI"/>
                <w:sz w:val="21"/>
              </w:rPr>
            </w:pPr>
            <w:r w:rsidRPr="005E6081">
              <w:rPr>
                <w:rFonts w:ascii="Segoe UI"/>
                <w:sz w:val="21"/>
              </w:rPr>
              <w:t>Revised final report and TE Audit trail in which the TE details how all received comments have (and have not) been addressed in the</w:t>
            </w:r>
            <w:r w:rsidRPr="005E6081">
              <w:rPr>
                <w:rFonts w:ascii="Segoe UI"/>
                <w:spacing w:val="-3"/>
                <w:sz w:val="21"/>
              </w:rPr>
              <w:t xml:space="preserve"> </w:t>
            </w:r>
            <w:r w:rsidRPr="005E6081">
              <w:rPr>
                <w:rFonts w:ascii="Segoe UI"/>
                <w:sz w:val="21"/>
              </w:rPr>
              <w:t>final</w:t>
            </w:r>
          </w:p>
          <w:p w14:paraId="6CEE7BD0" w14:textId="77777777" w:rsidR="00E136A1" w:rsidRPr="005E6081" w:rsidRDefault="00E136A1" w:rsidP="00062DAE">
            <w:pPr>
              <w:pStyle w:val="TableParagraph"/>
              <w:spacing w:line="278" w:lineRule="exact"/>
              <w:ind w:left="108" w:right="83"/>
              <w:rPr>
                <w:rFonts w:ascii="Segoe UI"/>
                <w:i/>
                <w:sz w:val="21"/>
              </w:rPr>
            </w:pPr>
            <w:r w:rsidRPr="005E6081">
              <w:rPr>
                <w:rFonts w:ascii="Segoe UI"/>
                <w:sz w:val="21"/>
              </w:rPr>
              <w:t xml:space="preserve">TE report </w:t>
            </w:r>
            <w:r w:rsidRPr="005E6081">
              <w:rPr>
                <w:rFonts w:ascii="Segoe UI"/>
                <w:i/>
                <w:sz w:val="21"/>
                <w:shd w:val="clear" w:color="auto" w:fill="D2D2D2"/>
              </w:rPr>
              <w:t>(See template</w:t>
            </w:r>
            <w:r w:rsidRPr="005E6081">
              <w:rPr>
                <w:rFonts w:ascii="Segoe UI"/>
                <w:i/>
                <w:sz w:val="21"/>
              </w:rPr>
              <w:t xml:space="preserve"> </w:t>
            </w:r>
            <w:r w:rsidRPr="005E6081">
              <w:rPr>
                <w:rFonts w:ascii="Segoe UI"/>
                <w:i/>
                <w:sz w:val="21"/>
                <w:shd w:val="clear" w:color="auto" w:fill="D2D2D2"/>
              </w:rPr>
              <w:t>in ToR Annex H)</w:t>
            </w:r>
          </w:p>
        </w:tc>
        <w:tc>
          <w:tcPr>
            <w:tcW w:w="1980" w:type="dxa"/>
          </w:tcPr>
          <w:p w14:paraId="1410CA22" w14:textId="77777777" w:rsidR="00E136A1" w:rsidRPr="005E6081" w:rsidRDefault="00E136A1" w:rsidP="00062DAE">
            <w:pPr>
              <w:pStyle w:val="TableParagraph"/>
              <w:spacing w:before="1" w:line="237" w:lineRule="auto"/>
              <w:ind w:left="108" w:right="195"/>
              <w:rPr>
                <w:rFonts w:ascii="Segoe UI"/>
                <w:i/>
                <w:sz w:val="14"/>
              </w:rPr>
            </w:pPr>
            <w:r w:rsidRPr="005E6081">
              <w:rPr>
                <w:rFonts w:ascii="Segoe UI"/>
                <w:sz w:val="21"/>
              </w:rPr>
              <w:t xml:space="preserve">Within 6 weeks of receiving comments on draft report: </w:t>
            </w:r>
            <w:r w:rsidRPr="005E6081">
              <w:rPr>
                <w:rFonts w:ascii="Segoe UI"/>
                <w:i/>
                <w:sz w:val="21"/>
              </w:rPr>
              <w:t>November 30</w:t>
            </w:r>
            <w:r w:rsidRPr="005E6081">
              <w:rPr>
                <w:rFonts w:ascii="Segoe UI"/>
                <w:i/>
                <w:position w:val="8"/>
                <w:sz w:val="14"/>
              </w:rPr>
              <w:t xml:space="preserve">th </w:t>
            </w:r>
            <w:r w:rsidRPr="005E6081">
              <w:rPr>
                <w:rFonts w:ascii="Segoe UI"/>
                <w:i/>
                <w:sz w:val="21"/>
              </w:rPr>
              <w:t>2021 for the A&amp;L TE; February 15</w:t>
            </w:r>
            <w:r w:rsidRPr="005E6081">
              <w:rPr>
                <w:rFonts w:ascii="Segoe UI"/>
                <w:i/>
                <w:position w:val="8"/>
                <w:sz w:val="14"/>
              </w:rPr>
              <w:t>th</w:t>
            </w:r>
          </w:p>
          <w:p w14:paraId="63273FA9" w14:textId="77777777" w:rsidR="00E136A1" w:rsidRPr="005E6081" w:rsidRDefault="00E136A1" w:rsidP="00062DAE">
            <w:pPr>
              <w:pStyle w:val="TableParagraph"/>
              <w:spacing w:line="278" w:lineRule="exact"/>
              <w:ind w:left="108" w:right="540"/>
              <w:rPr>
                <w:rFonts w:ascii="Segoe UI"/>
                <w:i/>
                <w:sz w:val="21"/>
              </w:rPr>
            </w:pPr>
            <w:r w:rsidRPr="005E6081">
              <w:rPr>
                <w:rFonts w:ascii="Segoe UI"/>
                <w:i/>
                <w:sz w:val="21"/>
              </w:rPr>
              <w:t>2022 for the Production TE.</w:t>
            </w:r>
          </w:p>
        </w:tc>
        <w:tc>
          <w:tcPr>
            <w:tcW w:w="2520" w:type="dxa"/>
          </w:tcPr>
          <w:p w14:paraId="73C210E8" w14:textId="77777777" w:rsidR="00E136A1" w:rsidRPr="005E6081" w:rsidRDefault="00E136A1" w:rsidP="00062DAE">
            <w:pPr>
              <w:pStyle w:val="TableParagraph"/>
              <w:ind w:left="108" w:right="364"/>
              <w:rPr>
                <w:rFonts w:ascii="Segoe UI"/>
                <w:sz w:val="21"/>
              </w:rPr>
            </w:pPr>
            <w:r w:rsidRPr="005E6081">
              <w:rPr>
                <w:rFonts w:ascii="Segoe UI"/>
                <w:sz w:val="21"/>
              </w:rPr>
              <w:t>TE team submits both documents to the Commissioning Unit</w:t>
            </w:r>
          </w:p>
        </w:tc>
      </w:tr>
    </w:tbl>
    <w:p w14:paraId="286D5113" w14:textId="77777777" w:rsidR="00E136A1" w:rsidRPr="005E6081" w:rsidRDefault="00E136A1" w:rsidP="00E136A1">
      <w:pPr>
        <w:spacing w:before="79"/>
        <w:ind w:left="500" w:right="1436"/>
        <w:jc w:val="both"/>
        <w:rPr>
          <w:rFonts w:ascii="Segoe UI" w:hAnsi="Segoe UI"/>
          <w:sz w:val="13"/>
        </w:rPr>
      </w:pPr>
      <w:r w:rsidRPr="005E6081">
        <w:rPr>
          <w:rFonts w:ascii="Segoe UI" w:hAnsi="Segoe UI"/>
          <w:sz w:val="21"/>
        </w:rPr>
        <w:t>*All final TE reports will be quality assessed by the UNDP Independent Evaluation Office (IEO). Details of the IEO’s quality assessment of decentralized evaluations can be found in Section 6 of the UNDP Evaluation Guidelines</w:t>
      </w:r>
      <w:r w:rsidRPr="005E6081">
        <w:rPr>
          <w:rFonts w:ascii="Segoe UI" w:hAnsi="Segoe UI"/>
          <w:sz w:val="20"/>
        </w:rPr>
        <w:t>.</w:t>
      </w:r>
      <w:r w:rsidRPr="005E6081">
        <w:rPr>
          <w:rFonts w:ascii="Segoe UI" w:hAnsi="Segoe UI"/>
          <w:position w:val="7"/>
          <w:sz w:val="13"/>
        </w:rPr>
        <w:t>6</w:t>
      </w:r>
    </w:p>
    <w:p w14:paraId="04CC1E8C" w14:textId="77777777" w:rsidR="00E136A1" w:rsidRPr="005E6081" w:rsidRDefault="00E136A1" w:rsidP="00E136A1">
      <w:pPr>
        <w:pStyle w:val="BodyText"/>
        <w:spacing w:before="2"/>
        <w:rPr>
          <w:rFonts w:ascii="Segoe UI"/>
          <w:sz w:val="40"/>
        </w:rPr>
      </w:pPr>
    </w:p>
    <w:p w14:paraId="25BC8FC4" w14:textId="77777777" w:rsidR="00E136A1" w:rsidRPr="005E6081" w:rsidRDefault="00E136A1" w:rsidP="00E136A1">
      <w:r w:rsidRPr="005E6081">
        <w:t>TE</w:t>
      </w:r>
      <w:r w:rsidRPr="005E6081">
        <w:rPr>
          <w:spacing w:val="-1"/>
        </w:rPr>
        <w:t xml:space="preserve"> </w:t>
      </w:r>
      <w:r w:rsidRPr="005E6081">
        <w:t>ARRANGEMENTS</w:t>
      </w:r>
    </w:p>
    <w:p w14:paraId="4DE420CD" w14:textId="77777777" w:rsidR="00E136A1" w:rsidRPr="005E6081" w:rsidRDefault="00E136A1" w:rsidP="00E136A1">
      <w:pPr>
        <w:spacing w:before="185"/>
        <w:ind w:left="500" w:right="1435"/>
        <w:jc w:val="both"/>
        <w:rPr>
          <w:rFonts w:ascii="Segoe UI" w:hAnsi="Segoe UI"/>
          <w:sz w:val="21"/>
        </w:rPr>
      </w:pPr>
      <w:r w:rsidRPr="005E6081">
        <w:rPr>
          <w:rFonts w:ascii="Segoe UI" w:hAnsi="Segoe UI"/>
          <w:sz w:val="21"/>
        </w:rPr>
        <w:lastRenderedPageBreak/>
        <w:t xml:space="preserve">The principal responsibility for managing the TEs resides with the Commissioning Unit. The Commissioning Unit for these projects’ TEs is the </w:t>
      </w:r>
      <w:r w:rsidRPr="005E6081">
        <w:rPr>
          <w:rFonts w:ascii="Segoe UI" w:hAnsi="Segoe UI"/>
          <w:i/>
          <w:sz w:val="21"/>
        </w:rPr>
        <w:t>United Nations Development Programme Regional Hub for Latin America and the Caribbean (UNDP RH LAC)</w:t>
      </w:r>
      <w:r w:rsidRPr="005E6081">
        <w:rPr>
          <w:rFonts w:ascii="Segoe UI" w:hAnsi="Segoe UI"/>
          <w:sz w:val="21"/>
        </w:rPr>
        <w:t>.</w:t>
      </w:r>
    </w:p>
    <w:p w14:paraId="43CB4711" w14:textId="77777777" w:rsidR="00E136A1" w:rsidRPr="005E6081" w:rsidRDefault="00E136A1" w:rsidP="00E136A1">
      <w:pPr>
        <w:pStyle w:val="BodyText"/>
        <w:spacing w:before="1"/>
        <w:rPr>
          <w:rFonts w:ascii="Segoe UI"/>
          <w:sz w:val="21"/>
        </w:rPr>
      </w:pPr>
    </w:p>
    <w:p w14:paraId="687234E9" w14:textId="77777777" w:rsidR="00E136A1" w:rsidRPr="005E6081" w:rsidRDefault="00E136A1" w:rsidP="00E136A1">
      <w:pPr>
        <w:spacing w:before="1"/>
        <w:ind w:left="500" w:right="1433"/>
        <w:jc w:val="both"/>
        <w:rPr>
          <w:rFonts w:ascii="Segoe UI"/>
          <w:sz w:val="21"/>
        </w:rPr>
      </w:pPr>
      <w:r w:rsidRPr="005E6081">
        <w:rPr>
          <w:rFonts w:ascii="Segoe UI"/>
          <w:sz w:val="21"/>
        </w:rPr>
        <w:t>The Commissioning Unit will contract the company which will conduct the two TEs. The company will be</w:t>
      </w:r>
      <w:r w:rsidRPr="005E6081">
        <w:rPr>
          <w:rFonts w:ascii="Segoe UI"/>
          <w:spacing w:val="-10"/>
          <w:sz w:val="21"/>
        </w:rPr>
        <w:t xml:space="preserve"> </w:t>
      </w:r>
      <w:r w:rsidRPr="005E6081">
        <w:rPr>
          <w:rFonts w:ascii="Segoe UI"/>
          <w:sz w:val="21"/>
        </w:rPr>
        <w:t>responsible</w:t>
      </w:r>
      <w:r w:rsidRPr="005E6081">
        <w:rPr>
          <w:rFonts w:ascii="Segoe UI"/>
          <w:spacing w:val="-11"/>
          <w:sz w:val="21"/>
        </w:rPr>
        <w:t xml:space="preserve"> </w:t>
      </w:r>
      <w:r w:rsidRPr="005E6081">
        <w:rPr>
          <w:rFonts w:ascii="Segoe UI"/>
          <w:sz w:val="21"/>
        </w:rPr>
        <w:t>for</w:t>
      </w:r>
      <w:r w:rsidRPr="005E6081">
        <w:rPr>
          <w:rFonts w:ascii="Segoe UI"/>
          <w:spacing w:val="-10"/>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travel</w:t>
      </w:r>
      <w:r w:rsidRPr="005E6081">
        <w:rPr>
          <w:rFonts w:ascii="Segoe UI"/>
          <w:spacing w:val="-9"/>
          <w:sz w:val="21"/>
        </w:rPr>
        <w:t xml:space="preserve"> </w:t>
      </w:r>
      <w:r w:rsidRPr="005E6081">
        <w:rPr>
          <w:rFonts w:ascii="Segoe UI"/>
          <w:sz w:val="21"/>
        </w:rPr>
        <w:t>arrangements</w:t>
      </w:r>
      <w:r w:rsidRPr="005E6081">
        <w:rPr>
          <w:rFonts w:ascii="Segoe UI"/>
          <w:spacing w:val="-11"/>
          <w:sz w:val="21"/>
        </w:rPr>
        <w:t xml:space="preserve"> </w:t>
      </w:r>
      <w:r w:rsidRPr="005E6081">
        <w:rPr>
          <w:rFonts w:ascii="Segoe UI"/>
          <w:sz w:val="21"/>
        </w:rPr>
        <w:t>of</w:t>
      </w:r>
      <w:r w:rsidRPr="005E6081">
        <w:rPr>
          <w:rFonts w:ascii="Segoe UI"/>
          <w:spacing w:val="-10"/>
          <w:sz w:val="21"/>
        </w:rPr>
        <w:t xml:space="preserve"> </w:t>
      </w:r>
      <w:r w:rsidRPr="005E6081">
        <w:rPr>
          <w:rFonts w:ascii="Segoe UI"/>
          <w:sz w:val="21"/>
        </w:rPr>
        <w:t>the</w:t>
      </w:r>
      <w:r w:rsidRPr="005E6081">
        <w:rPr>
          <w:rFonts w:ascii="Segoe UI"/>
          <w:spacing w:val="-10"/>
          <w:sz w:val="21"/>
        </w:rPr>
        <w:t xml:space="preserve"> </w:t>
      </w:r>
      <w:r w:rsidRPr="005E6081">
        <w:rPr>
          <w:rFonts w:ascii="Segoe UI"/>
          <w:sz w:val="21"/>
        </w:rPr>
        <w:t>evaluation</w:t>
      </w:r>
      <w:r w:rsidRPr="005E6081">
        <w:rPr>
          <w:rFonts w:ascii="Segoe UI"/>
          <w:spacing w:val="-10"/>
          <w:sz w:val="21"/>
        </w:rPr>
        <w:t xml:space="preserve"> </w:t>
      </w:r>
      <w:r w:rsidRPr="005E6081">
        <w:rPr>
          <w:rFonts w:ascii="Segoe UI"/>
          <w:sz w:val="21"/>
        </w:rPr>
        <w:t>team</w:t>
      </w:r>
      <w:r w:rsidRPr="005E6081">
        <w:rPr>
          <w:rFonts w:ascii="Segoe UI"/>
          <w:spacing w:val="-9"/>
          <w:sz w:val="21"/>
        </w:rPr>
        <w:t xml:space="preserve"> </w:t>
      </w:r>
      <w:r w:rsidRPr="005E6081">
        <w:rPr>
          <w:rFonts w:ascii="Segoe UI"/>
          <w:sz w:val="21"/>
        </w:rPr>
        <w:t>to</w:t>
      </w:r>
      <w:r w:rsidRPr="005E6081">
        <w:rPr>
          <w:rFonts w:ascii="Segoe UI"/>
          <w:spacing w:val="-10"/>
          <w:sz w:val="21"/>
        </w:rPr>
        <w:t xml:space="preserve"> </w:t>
      </w:r>
      <w:r w:rsidRPr="005E6081">
        <w:rPr>
          <w:rFonts w:ascii="Segoe UI"/>
          <w:sz w:val="21"/>
        </w:rPr>
        <w:t>and</w:t>
      </w:r>
      <w:r w:rsidRPr="005E6081">
        <w:rPr>
          <w:rFonts w:ascii="Segoe UI"/>
          <w:spacing w:val="-11"/>
          <w:sz w:val="21"/>
        </w:rPr>
        <w:t xml:space="preserve"> </w:t>
      </w:r>
      <w:r w:rsidRPr="005E6081">
        <w:rPr>
          <w:rFonts w:ascii="Segoe UI"/>
          <w:sz w:val="21"/>
        </w:rPr>
        <w:t>within</w:t>
      </w:r>
      <w:r w:rsidRPr="005E6081">
        <w:rPr>
          <w:rFonts w:ascii="Segoe UI"/>
          <w:spacing w:val="-11"/>
          <w:sz w:val="21"/>
        </w:rPr>
        <w:t xml:space="preserve"> </w:t>
      </w:r>
      <w:r w:rsidRPr="005E6081">
        <w:rPr>
          <w:rFonts w:ascii="Segoe UI"/>
          <w:sz w:val="21"/>
        </w:rPr>
        <w:t>Indonesia,</w:t>
      </w:r>
      <w:r w:rsidRPr="005E6081">
        <w:rPr>
          <w:rFonts w:ascii="Segoe UI"/>
          <w:spacing w:val="-8"/>
          <w:sz w:val="21"/>
        </w:rPr>
        <w:t xml:space="preserve"> </w:t>
      </w:r>
      <w:r w:rsidRPr="005E6081">
        <w:rPr>
          <w:rFonts w:ascii="Segoe UI"/>
          <w:sz w:val="21"/>
        </w:rPr>
        <w:t>Liberia,</w:t>
      </w:r>
      <w:r w:rsidRPr="005E6081">
        <w:rPr>
          <w:rFonts w:ascii="Segoe UI"/>
          <w:spacing w:val="-11"/>
          <w:sz w:val="21"/>
        </w:rPr>
        <w:t xml:space="preserve"> </w:t>
      </w:r>
      <w:r w:rsidRPr="005E6081">
        <w:rPr>
          <w:rFonts w:ascii="Segoe UI"/>
          <w:sz w:val="21"/>
        </w:rPr>
        <w:t>and Paraguay.</w:t>
      </w:r>
      <w:r w:rsidRPr="005E6081">
        <w:rPr>
          <w:rFonts w:ascii="Segoe UI"/>
          <w:spacing w:val="-8"/>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cost</w:t>
      </w:r>
      <w:r w:rsidRPr="005E6081">
        <w:rPr>
          <w:rFonts w:ascii="Segoe UI"/>
          <w:spacing w:val="-10"/>
          <w:sz w:val="21"/>
        </w:rPr>
        <w:t xml:space="preserve"> </w:t>
      </w:r>
      <w:r w:rsidRPr="005E6081">
        <w:rPr>
          <w:rFonts w:ascii="Segoe UI"/>
          <w:sz w:val="21"/>
        </w:rPr>
        <w:t>of</w:t>
      </w:r>
      <w:r w:rsidRPr="005E6081">
        <w:rPr>
          <w:rFonts w:ascii="Segoe UI"/>
          <w:spacing w:val="-10"/>
          <w:sz w:val="21"/>
        </w:rPr>
        <w:t xml:space="preserve"> </w:t>
      </w:r>
      <w:r w:rsidRPr="005E6081">
        <w:rPr>
          <w:rFonts w:ascii="Segoe UI"/>
          <w:sz w:val="21"/>
        </w:rPr>
        <w:t>travel</w:t>
      </w:r>
      <w:r w:rsidRPr="005E6081">
        <w:rPr>
          <w:rFonts w:ascii="Segoe UI"/>
          <w:spacing w:val="-8"/>
          <w:sz w:val="21"/>
        </w:rPr>
        <w:t xml:space="preserve"> </w:t>
      </w:r>
      <w:r w:rsidRPr="005E6081">
        <w:rPr>
          <w:rFonts w:ascii="Segoe UI"/>
          <w:sz w:val="21"/>
        </w:rPr>
        <w:t>will</w:t>
      </w:r>
      <w:r w:rsidRPr="005E6081">
        <w:rPr>
          <w:rFonts w:ascii="Segoe UI"/>
          <w:spacing w:val="-12"/>
          <w:sz w:val="21"/>
        </w:rPr>
        <w:t xml:space="preserve"> </w:t>
      </w:r>
      <w:r w:rsidRPr="005E6081">
        <w:rPr>
          <w:rFonts w:ascii="Segoe UI"/>
          <w:sz w:val="21"/>
        </w:rPr>
        <w:t>have</w:t>
      </w:r>
      <w:r w:rsidRPr="005E6081">
        <w:rPr>
          <w:rFonts w:ascii="Segoe UI"/>
          <w:spacing w:val="-11"/>
          <w:sz w:val="21"/>
        </w:rPr>
        <w:t xml:space="preserve"> </w:t>
      </w:r>
      <w:r w:rsidRPr="005E6081">
        <w:rPr>
          <w:rFonts w:ascii="Segoe UI"/>
          <w:sz w:val="21"/>
        </w:rPr>
        <w:t>to</w:t>
      </w:r>
      <w:r w:rsidRPr="005E6081">
        <w:rPr>
          <w:rFonts w:ascii="Segoe UI"/>
          <w:spacing w:val="-9"/>
          <w:sz w:val="21"/>
        </w:rPr>
        <w:t xml:space="preserve"> </w:t>
      </w:r>
      <w:r w:rsidRPr="005E6081">
        <w:rPr>
          <w:rFonts w:ascii="Segoe UI"/>
          <w:sz w:val="21"/>
        </w:rPr>
        <w:t>be</w:t>
      </w:r>
      <w:r w:rsidRPr="005E6081">
        <w:rPr>
          <w:rFonts w:ascii="Segoe UI"/>
          <w:spacing w:val="-10"/>
          <w:sz w:val="21"/>
        </w:rPr>
        <w:t xml:space="preserve"> </w:t>
      </w:r>
      <w:r w:rsidRPr="005E6081">
        <w:rPr>
          <w:rFonts w:ascii="Segoe UI"/>
          <w:sz w:val="21"/>
        </w:rPr>
        <w:t>included</w:t>
      </w:r>
      <w:r w:rsidRPr="005E6081">
        <w:rPr>
          <w:rFonts w:ascii="Segoe UI"/>
          <w:spacing w:val="-10"/>
          <w:sz w:val="21"/>
        </w:rPr>
        <w:t xml:space="preserve"> </w:t>
      </w:r>
      <w:r w:rsidRPr="005E6081">
        <w:rPr>
          <w:rFonts w:ascii="Segoe UI"/>
          <w:sz w:val="21"/>
        </w:rPr>
        <w:t>into</w:t>
      </w:r>
      <w:r w:rsidRPr="005E6081">
        <w:rPr>
          <w:rFonts w:ascii="Segoe UI"/>
          <w:spacing w:val="-8"/>
          <w:sz w:val="21"/>
        </w:rPr>
        <w:t xml:space="preserve"> </w:t>
      </w:r>
      <w:r w:rsidRPr="005E6081">
        <w:rPr>
          <w:rFonts w:ascii="Segoe UI"/>
          <w:sz w:val="21"/>
        </w:rPr>
        <w:t>the</w:t>
      </w:r>
      <w:r w:rsidRPr="005E6081">
        <w:rPr>
          <w:rFonts w:ascii="Segoe UI"/>
          <w:spacing w:val="-11"/>
          <w:sz w:val="21"/>
        </w:rPr>
        <w:t xml:space="preserve"> </w:t>
      </w:r>
      <w:r w:rsidRPr="005E6081">
        <w:rPr>
          <w:rFonts w:ascii="Segoe UI"/>
          <w:sz w:val="21"/>
        </w:rPr>
        <w:t>financial</w:t>
      </w:r>
      <w:r w:rsidRPr="005E6081">
        <w:rPr>
          <w:rFonts w:ascii="Segoe UI"/>
          <w:spacing w:val="-10"/>
          <w:sz w:val="21"/>
        </w:rPr>
        <w:t xml:space="preserve"> </w:t>
      </w:r>
      <w:r w:rsidRPr="005E6081">
        <w:rPr>
          <w:rFonts w:ascii="Segoe UI"/>
          <w:sz w:val="21"/>
        </w:rPr>
        <w:t>proposal,</w:t>
      </w:r>
      <w:r w:rsidRPr="005E6081">
        <w:rPr>
          <w:rFonts w:ascii="Segoe UI"/>
          <w:spacing w:val="-11"/>
          <w:sz w:val="21"/>
        </w:rPr>
        <w:t xml:space="preserve"> </w:t>
      </w:r>
      <w:r w:rsidRPr="005E6081">
        <w:rPr>
          <w:rFonts w:ascii="Segoe UI"/>
          <w:sz w:val="21"/>
        </w:rPr>
        <w:t>for</w:t>
      </w:r>
      <w:r w:rsidRPr="005E6081">
        <w:rPr>
          <w:rFonts w:ascii="Segoe UI"/>
          <w:spacing w:val="-11"/>
          <w:sz w:val="21"/>
        </w:rPr>
        <w:t xml:space="preserve"> </w:t>
      </w:r>
      <w:r w:rsidRPr="005E6081">
        <w:rPr>
          <w:rFonts w:ascii="Segoe UI"/>
          <w:sz w:val="21"/>
        </w:rPr>
        <w:t>which</w:t>
      </w:r>
      <w:r w:rsidRPr="005E6081">
        <w:rPr>
          <w:rFonts w:ascii="Segoe UI"/>
          <w:spacing w:val="-11"/>
          <w:sz w:val="21"/>
        </w:rPr>
        <w:t xml:space="preserve"> </w:t>
      </w:r>
      <w:r w:rsidRPr="005E6081">
        <w:rPr>
          <w:rFonts w:ascii="Segoe UI"/>
          <w:sz w:val="21"/>
        </w:rPr>
        <w:t>the</w:t>
      </w:r>
      <w:r w:rsidRPr="005E6081">
        <w:rPr>
          <w:rFonts w:ascii="Segoe UI"/>
          <w:spacing w:val="-9"/>
          <w:sz w:val="21"/>
        </w:rPr>
        <w:t xml:space="preserve"> </w:t>
      </w:r>
      <w:r w:rsidRPr="005E6081">
        <w:rPr>
          <w:rFonts w:ascii="Segoe UI"/>
          <w:sz w:val="21"/>
        </w:rPr>
        <w:t>company will</w:t>
      </w:r>
      <w:r w:rsidRPr="005E6081">
        <w:rPr>
          <w:rFonts w:ascii="Segoe UI"/>
          <w:spacing w:val="-14"/>
          <w:sz w:val="21"/>
        </w:rPr>
        <w:t xml:space="preserve"> </w:t>
      </w:r>
      <w:r w:rsidRPr="005E6081">
        <w:rPr>
          <w:rFonts w:ascii="Segoe UI"/>
          <w:sz w:val="21"/>
        </w:rPr>
        <w:t>receive</w:t>
      </w:r>
      <w:r w:rsidRPr="005E6081">
        <w:rPr>
          <w:rFonts w:ascii="Segoe UI"/>
          <w:spacing w:val="-13"/>
          <w:sz w:val="21"/>
        </w:rPr>
        <w:t xml:space="preserve"> </w:t>
      </w:r>
      <w:r w:rsidRPr="005E6081">
        <w:rPr>
          <w:rFonts w:ascii="Segoe UI"/>
          <w:sz w:val="21"/>
        </w:rPr>
        <w:t>a</w:t>
      </w:r>
      <w:r w:rsidRPr="005E6081">
        <w:rPr>
          <w:rFonts w:ascii="Segoe UI"/>
          <w:spacing w:val="-13"/>
          <w:sz w:val="21"/>
        </w:rPr>
        <w:t xml:space="preserve"> </w:t>
      </w:r>
      <w:r w:rsidRPr="005E6081">
        <w:rPr>
          <w:rFonts w:ascii="Segoe UI"/>
          <w:sz w:val="21"/>
        </w:rPr>
        <w:t>lumpsum</w:t>
      </w:r>
      <w:r w:rsidRPr="005E6081">
        <w:rPr>
          <w:rFonts w:ascii="Segoe UI"/>
          <w:spacing w:val="-13"/>
          <w:sz w:val="21"/>
        </w:rPr>
        <w:t xml:space="preserve"> </w:t>
      </w:r>
      <w:r w:rsidRPr="005E6081">
        <w:rPr>
          <w:rFonts w:ascii="Segoe UI"/>
          <w:sz w:val="21"/>
        </w:rPr>
        <w:t>covering</w:t>
      </w:r>
      <w:r w:rsidRPr="005E6081">
        <w:rPr>
          <w:rFonts w:ascii="Segoe UI"/>
          <w:spacing w:val="-13"/>
          <w:sz w:val="21"/>
        </w:rPr>
        <w:t xml:space="preserve"> </w:t>
      </w:r>
      <w:r w:rsidRPr="005E6081">
        <w:rPr>
          <w:rFonts w:ascii="Segoe UI"/>
          <w:sz w:val="21"/>
        </w:rPr>
        <w:t>all</w:t>
      </w:r>
      <w:r w:rsidRPr="005E6081">
        <w:rPr>
          <w:rFonts w:ascii="Segoe UI"/>
          <w:spacing w:val="-13"/>
          <w:sz w:val="21"/>
        </w:rPr>
        <w:t xml:space="preserve"> </w:t>
      </w:r>
      <w:r w:rsidRPr="005E6081">
        <w:rPr>
          <w:rFonts w:ascii="Segoe UI"/>
          <w:sz w:val="21"/>
        </w:rPr>
        <w:t>costs</w:t>
      </w:r>
      <w:r w:rsidRPr="005E6081">
        <w:rPr>
          <w:rFonts w:ascii="Segoe UI"/>
          <w:spacing w:val="-16"/>
          <w:sz w:val="21"/>
        </w:rPr>
        <w:t xml:space="preserve"> </w:t>
      </w:r>
      <w:r w:rsidRPr="005E6081">
        <w:rPr>
          <w:rFonts w:ascii="Segoe UI"/>
          <w:sz w:val="21"/>
        </w:rPr>
        <w:t>(daily</w:t>
      </w:r>
      <w:r w:rsidRPr="005E6081">
        <w:rPr>
          <w:rFonts w:ascii="Segoe UI"/>
          <w:spacing w:val="-15"/>
          <w:sz w:val="21"/>
        </w:rPr>
        <w:t xml:space="preserve"> </w:t>
      </w:r>
      <w:r w:rsidRPr="005E6081">
        <w:rPr>
          <w:rFonts w:ascii="Segoe UI"/>
          <w:sz w:val="21"/>
        </w:rPr>
        <w:t>fees,</w:t>
      </w:r>
      <w:r w:rsidRPr="005E6081">
        <w:rPr>
          <w:rFonts w:ascii="Segoe UI"/>
          <w:spacing w:val="-14"/>
          <w:sz w:val="21"/>
        </w:rPr>
        <w:t xml:space="preserve"> </w:t>
      </w:r>
      <w:r w:rsidRPr="005E6081">
        <w:rPr>
          <w:rFonts w:ascii="Segoe UI"/>
          <w:sz w:val="21"/>
        </w:rPr>
        <w:t>travel,</w:t>
      </w:r>
      <w:r w:rsidRPr="005E6081">
        <w:rPr>
          <w:rFonts w:ascii="Segoe UI"/>
          <w:spacing w:val="-14"/>
          <w:sz w:val="21"/>
        </w:rPr>
        <w:t xml:space="preserve"> </w:t>
      </w:r>
      <w:r w:rsidRPr="005E6081">
        <w:rPr>
          <w:rFonts w:ascii="Segoe UI"/>
          <w:sz w:val="21"/>
        </w:rPr>
        <w:t>per</w:t>
      </w:r>
      <w:r w:rsidRPr="005E6081">
        <w:rPr>
          <w:rFonts w:ascii="Segoe UI"/>
          <w:spacing w:val="-12"/>
          <w:sz w:val="21"/>
        </w:rPr>
        <w:t xml:space="preserve"> </w:t>
      </w:r>
      <w:r w:rsidRPr="005E6081">
        <w:rPr>
          <w:rFonts w:ascii="Segoe UI"/>
          <w:sz w:val="21"/>
        </w:rPr>
        <w:t>diem,</w:t>
      </w:r>
      <w:r w:rsidRPr="005E6081">
        <w:rPr>
          <w:rFonts w:ascii="Segoe UI"/>
          <w:spacing w:val="-13"/>
          <w:sz w:val="21"/>
        </w:rPr>
        <w:t xml:space="preserve"> </w:t>
      </w:r>
      <w:r w:rsidRPr="005E6081">
        <w:rPr>
          <w:rFonts w:ascii="Segoe UI"/>
          <w:sz w:val="21"/>
        </w:rPr>
        <w:t>insurances,</w:t>
      </w:r>
      <w:r w:rsidRPr="005E6081">
        <w:rPr>
          <w:rFonts w:ascii="Segoe UI"/>
          <w:spacing w:val="-16"/>
          <w:sz w:val="21"/>
        </w:rPr>
        <w:t xml:space="preserve"> </w:t>
      </w:r>
      <w:r w:rsidRPr="005E6081">
        <w:rPr>
          <w:rFonts w:ascii="Segoe UI"/>
          <w:sz w:val="21"/>
        </w:rPr>
        <w:t>etc.).</w:t>
      </w:r>
      <w:r w:rsidRPr="005E6081">
        <w:rPr>
          <w:rFonts w:ascii="Segoe UI"/>
          <w:spacing w:val="-14"/>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Project</w:t>
      </w:r>
      <w:r w:rsidRPr="005E6081">
        <w:rPr>
          <w:rFonts w:ascii="Segoe UI"/>
          <w:spacing w:val="-13"/>
          <w:sz w:val="21"/>
        </w:rPr>
        <w:t xml:space="preserve"> </w:t>
      </w:r>
      <w:r w:rsidRPr="005E6081">
        <w:rPr>
          <w:rFonts w:ascii="Segoe UI"/>
          <w:sz w:val="21"/>
        </w:rPr>
        <w:t>Team will be responsible for liaising with the TE team to provide all relevant documents and stakeholder contact details, and support setting-up stakeholder interviews (in person, or remotely) and arranging field visits.</w:t>
      </w:r>
    </w:p>
    <w:p w14:paraId="0064B167" w14:textId="77777777" w:rsidR="00E136A1" w:rsidRPr="005E6081" w:rsidRDefault="00E136A1" w:rsidP="00E136A1">
      <w:pPr>
        <w:pStyle w:val="BodyText"/>
        <w:spacing w:before="1"/>
        <w:rPr>
          <w:rFonts w:ascii="Segoe UI"/>
          <w:sz w:val="21"/>
        </w:rPr>
      </w:pPr>
    </w:p>
    <w:p w14:paraId="31F67F55" w14:textId="77777777" w:rsidR="00E136A1" w:rsidRPr="005E6081" w:rsidRDefault="00E136A1" w:rsidP="00E136A1">
      <w:r w:rsidRPr="005E6081">
        <w:t>TE TEAM COMPOSITION</w:t>
      </w:r>
    </w:p>
    <w:p w14:paraId="587F9B39" w14:textId="77777777" w:rsidR="00E136A1" w:rsidRPr="005E6081" w:rsidRDefault="00E136A1" w:rsidP="00E136A1">
      <w:pPr>
        <w:spacing w:before="186"/>
        <w:ind w:left="500" w:right="1433"/>
        <w:jc w:val="both"/>
        <w:rPr>
          <w:rFonts w:ascii="Segoe UI" w:hAnsi="Segoe UI"/>
          <w:sz w:val="21"/>
        </w:rPr>
      </w:pPr>
      <w:r w:rsidRPr="005E6081">
        <w:rPr>
          <w:rFonts w:ascii="Segoe UI" w:hAnsi="Segoe UI"/>
          <w:sz w:val="21"/>
        </w:rPr>
        <w:t>The</w:t>
      </w:r>
      <w:r w:rsidRPr="005E6081">
        <w:rPr>
          <w:rFonts w:ascii="Segoe UI" w:hAnsi="Segoe UI"/>
          <w:spacing w:val="-8"/>
          <w:sz w:val="21"/>
        </w:rPr>
        <w:t xml:space="preserve"> </w:t>
      </w:r>
      <w:r w:rsidRPr="005E6081">
        <w:rPr>
          <w:rFonts w:ascii="Segoe UI" w:hAnsi="Segoe UI"/>
          <w:sz w:val="21"/>
        </w:rPr>
        <w:t>TE</w:t>
      </w:r>
      <w:r w:rsidRPr="005E6081">
        <w:rPr>
          <w:rFonts w:ascii="Segoe UI" w:hAnsi="Segoe UI"/>
          <w:spacing w:val="-10"/>
          <w:sz w:val="21"/>
        </w:rPr>
        <w:t xml:space="preserve"> </w:t>
      </w:r>
      <w:r w:rsidRPr="005E6081">
        <w:rPr>
          <w:rFonts w:ascii="Segoe UI" w:hAnsi="Segoe UI"/>
          <w:sz w:val="21"/>
        </w:rPr>
        <w:t>team</w:t>
      </w:r>
      <w:r w:rsidRPr="005E6081">
        <w:rPr>
          <w:rFonts w:ascii="Segoe UI" w:hAnsi="Segoe UI"/>
          <w:spacing w:val="-12"/>
          <w:sz w:val="21"/>
        </w:rPr>
        <w:t xml:space="preserve"> </w:t>
      </w:r>
      <w:r w:rsidRPr="005E6081">
        <w:rPr>
          <w:rFonts w:ascii="Segoe UI" w:hAnsi="Segoe UI"/>
          <w:sz w:val="21"/>
        </w:rPr>
        <w:t>will</w:t>
      </w:r>
      <w:r w:rsidRPr="005E6081">
        <w:rPr>
          <w:rFonts w:ascii="Segoe UI" w:hAnsi="Segoe UI"/>
          <w:spacing w:val="-9"/>
          <w:sz w:val="21"/>
        </w:rPr>
        <w:t xml:space="preserve"> </w:t>
      </w:r>
      <w:r w:rsidRPr="005E6081">
        <w:rPr>
          <w:rFonts w:ascii="Segoe UI" w:hAnsi="Segoe UI"/>
          <w:sz w:val="21"/>
        </w:rPr>
        <w:t>be</w:t>
      </w:r>
      <w:r w:rsidRPr="005E6081">
        <w:rPr>
          <w:rFonts w:ascii="Segoe UI" w:hAnsi="Segoe UI"/>
          <w:spacing w:val="-10"/>
          <w:sz w:val="21"/>
        </w:rPr>
        <w:t xml:space="preserve"> </w:t>
      </w:r>
      <w:r w:rsidRPr="005E6081">
        <w:rPr>
          <w:rFonts w:ascii="Segoe UI" w:hAnsi="Segoe UI"/>
          <w:sz w:val="21"/>
        </w:rPr>
        <w:t>composed</w:t>
      </w:r>
      <w:r w:rsidRPr="005E6081">
        <w:rPr>
          <w:rFonts w:ascii="Segoe UI" w:hAnsi="Segoe UI"/>
          <w:spacing w:val="-10"/>
          <w:sz w:val="21"/>
        </w:rPr>
        <w:t xml:space="preserve"> </w:t>
      </w:r>
      <w:r w:rsidRPr="005E6081">
        <w:rPr>
          <w:rFonts w:ascii="Segoe UI" w:hAnsi="Segoe UI"/>
          <w:sz w:val="21"/>
        </w:rPr>
        <w:t>of</w:t>
      </w:r>
      <w:r w:rsidRPr="005E6081">
        <w:rPr>
          <w:rFonts w:ascii="Segoe UI" w:hAnsi="Segoe UI"/>
          <w:spacing w:val="-10"/>
          <w:sz w:val="21"/>
        </w:rPr>
        <w:t xml:space="preserve"> </w:t>
      </w:r>
      <w:r w:rsidRPr="005E6081">
        <w:rPr>
          <w:rFonts w:ascii="Segoe UI" w:hAnsi="Segoe UI"/>
          <w:sz w:val="21"/>
        </w:rPr>
        <w:t>3</w:t>
      </w:r>
      <w:r w:rsidRPr="005E6081">
        <w:rPr>
          <w:rFonts w:ascii="Segoe UI" w:hAnsi="Segoe UI"/>
          <w:spacing w:val="-11"/>
          <w:sz w:val="21"/>
        </w:rPr>
        <w:t xml:space="preserve"> </w:t>
      </w:r>
      <w:r w:rsidRPr="005E6081">
        <w:rPr>
          <w:rFonts w:ascii="Segoe UI" w:hAnsi="Segoe UI"/>
          <w:sz w:val="21"/>
        </w:rPr>
        <w:t>to</w:t>
      </w:r>
      <w:r w:rsidRPr="005E6081">
        <w:rPr>
          <w:rFonts w:ascii="Segoe UI" w:hAnsi="Segoe UI"/>
          <w:spacing w:val="-10"/>
          <w:sz w:val="21"/>
        </w:rPr>
        <w:t xml:space="preserve"> </w:t>
      </w:r>
      <w:r w:rsidRPr="005E6081">
        <w:rPr>
          <w:rFonts w:ascii="Segoe UI" w:hAnsi="Segoe UI"/>
          <w:sz w:val="21"/>
        </w:rPr>
        <w:t>6</w:t>
      </w:r>
      <w:r w:rsidRPr="005E6081">
        <w:rPr>
          <w:rFonts w:ascii="Segoe UI" w:hAnsi="Segoe UI"/>
          <w:spacing w:val="-12"/>
          <w:sz w:val="21"/>
        </w:rPr>
        <w:t xml:space="preserve"> </w:t>
      </w:r>
      <w:r w:rsidRPr="005E6081">
        <w:rPr>
          <w:rFonts w:ascii="Segoe UI" w:hAnsi="Segoe UI"/>
          <w:sz w:val="21"/>
        </w:rPr>
        <w:t>members,</w:t>
      </w:r>
      <w:r w:rsidRPr="005E6081">
        <w:rPr>
          <w:rFonts w:ascii="Segoe UI" w:hAnsi="Segoe UI"/>
          <w:spacing w:val="-9"/>
          <w:sz w:val="21"/>
        </w:rPr>
        <w:t xml:space="preserve"> </w:t>
      </w:r>
      <w:r w:rsidRPr="005E6081">
        <w:rPr>
          <w:rFonts w:ascii="Segoe UI" w:hAnsi="Segoe UI"/>
          <w:sz w:val="21"/>
        </w:rPr>
        <w:t>including</w:t>
      </w:r>
      <w:r w:rsidRPr="005E6081">
        <w:rPr>
          <w:rFonts w:ascii="Segoe UI" w:hAnsi="Segoe UI"/>
          <w:spacing w:val="-9"/>
          <w:sz w:val="21"/>
        </w:rPr>
        <w:t xml:space="preserve"> </w:t>
      </w:r>
      <w:r w:rsidRPr="005E6081">
        <w:rPr>
          <w:rFonts w:ascii="Segoe UI" w:hAnsi="Segoe UI"/>
          <w:sz w:val="21"/>
        </w:rPr>
        <w:t>one</w:t>
      </w:r>
      <w:r w:rsidRPr="005E6081">
        <w:rPr>
          <w:rFonts w:ascii="Segoe UI" w:hAnsi="Segoe UI"/>
          <w:spacing w:val="-9"/>
          <w:sz w:val="21"/>
        </w:rPr>
        <w:t xml:space="preserve"> </w:t>
      </w:r>
      <w:r w:rsidRPr="005E6081">
        <w:rPr>
          <w:rFonts w:ascii="Segoe UI" w:hAnsi="Segoe UI"/>
          <w:sz w:val="21"/>
        </w:rPr>
        <w:t>international</w:t>
      </w:r>
      <w:r w:rsidRPr="005E6081">
        <w:rPr>
          <w:rFonts w:ascii="Segoe UI" w:hAnsi="Segoe UI"/>
          <w:spacing w:val="-12"/>
          <w:sz w:val="21"/>
        </w:rPr>
        <w:t xml:space="preserve"> </w:t>
      </w:r>
      <w:r w:rsidRPr="005E6081">
        <w:rPr>
          <w:rFonts w:ascii="Segoe UI" w:hAnsi="Segoe UI"/>
          <w:sz w:val="21"/>
        </w:rPr>
        <w:t>team</w:t>
      </w:r>
      <w:r w:rsidRPr="005E6081">
        <w:rPr>
          <w:rFonts w:ascii="Segoe UI" w:hAnsi="Segoe UI"/>
          <w:spacing w:val="-10"/>
          <w:sz w:val="21"/>
        </w:rPr>
        <w:t xml:space="preserve"> </w:t>
      </w:r>
      <w:r w:rsidRPr="005E6081">
        <w:rPr>
          <w:rFonts w:ascii="Segoe UI" w:hAnsi="Segoe UI"/>
          <w:sz w:val="21"/>
        </w:rPr>
        <w:t>leader</w:t>
      </w:r>
      <w:r w:rsidRPr="005E6081">
        <w:rPr>
          <w:rFonts w:ascii="Segoe UI" w:hAnsi="Segoe UI"/>
          <w:spacing w:val="-9"/>
          <w:sz w:val="21"/>
        </w:rPr>
        <w:t xml:space="preserve"> </w:t>
      </w:r>
      <w:r w:rsidRPr="005E6081">
        <w:rPr>
          <w:rFonts w:ascii="Segoe UI" w:hAnsi="Segoe UI"/>
          <w:sz w:val="21"/>
        </w:rPr>
        <w:t>(ideally</w:t>
      </w:r>
      <w:r w:rsidRPr="005E6081">
        <w:rPr>
          <w:rFonts w:ascii="Segoe UI" w:hAnsi="Segoe UI"/>
          <w:spacing w:val="-10"/>
          <w:sz w:val="21"/>
        </w:rPr>
        <w:t xml:space="preserve"> </w:t>
      </w:r>
      <w:r w:rsidRPr="005E6081">
        <w:rPr>
          <w:rFonts w:ascii="Segoe UI" w:hAnsi="Segoe UI"/>
          <w:sz w:val="21"/>
        </w:rPr>
        <w:t>with experience evaluating GEF-financed projects in the same or similar focus areas and regions), one international agricultural commodities expert, one to three country specialists (typically national consultants capable of providing insights into the local context and knowledge) to support the Production project related in-country missions in Liberia, Indonesia and Paraguay, depending if the Team leader and the International Agricultural Commodities Expert are country specialists as well. If needed, a 4</w:t>
      </w:r>
      <w:r w:rsidRPr="005E6081">
        <w:rPr>
          <w:rFonts w:ascii="Segoe UI" w:hAnsi="Segoe UI"/>
          <w:position w:val="8"/>
          <w:sz w:val="14"/>
        </w:rPr>
        <w:t xml:space="preserve">th </w:t>
      </w:r>
      <w:r w:rsidRPr="005E6081">
        <w:rPr>
          <w:rFonts w:ascii="Segoe UI" w:hAnsi="Segoe UI"/>
          <w:sz w:val="21"/>
        </w:rPr>
        <w:t>evaluation expert could support with the evaluation of the A&amp;L project. The TE team members cannot have participated in the project preparation, formulation and/or implementation (including the writing of the project document), must not have conducted this project’s Mid-Term Review and should not have a conflict of interest with the project’s related</w:t>
      </w:r>
      <w:r w:rsidRPr="005E6081">
        <w:rPr>
          <w:rFonts w:ascii="Segoe UI" w:hAnsi="Segoe UI"/>
          <w:spacing w:val="-15"/>
          <w:sz w:val="21"/>
        </w:rPr>
        <w:t xml:space="preserve"> </w:t>
      </w:r>
      <w:r w:rsidRPr="005E6081">
        <w:rPr>
          <w:rFonts w:ascii="Segoe UI" w:hAnsi="Segoe UI"/>
          <w:sz w:val="21"/>
        </w:rPr>
        <w:t>activities.</w:t>
      </w:r>
    </w:p>
    <w:p w14:paraId="3272BC8A" w14:textId="77777777" w:rsidR="00E136A1" w:rsidRPr="005E6081" w:rsidRDefault="00E136A1" w:rsidP="00E136A1">
      <w:pPr>
        <w:pStyle w:val="BodyText"/>
        <w:spacing w:before="11"/>
        <w:rPr>
          <w:rFonts w:ascii="Segoe UI"/>
        </w:rPr>
      </w:pPr>
    </w:p>
    <w:p w14:paraId="76B7C402" w14:textId="77777777" w:rsidR="00E136A1" w:rsidRPr="005E6081" w:rsidRDefault="00E136A1" w:rsidP="00E136A1">
      <w:pPr>
        <w:spacing w:line="237" w:lineRule="auto"/>
        <w:ind w:left="500" w:right="1431"/>
        <w:jc w:val="both"/>
        <w:rPr>
          <w:rFonts w:ascii="Segoe UI"/>
          <w:sz w:val="21"/>
        </w:rPr>
      </w:pPr>
      <w:r w:rsidRPr="005E6081">
        <w:rPr>
          <w:rFonts w:ascii="Segoe UI"/>
          <w:sz w:val="21"/>
        </w:rPr>
        <w:t>The team leader shall be responsible for coordinating activities with the rest of the TE team (the agricultural commodities expert, the national evaluation expert/s, and eventually the 4</w:t>
      </w:r>
      <w:r w:rsidRPr="005E6081">
        <w:rPr>
          <w:rFonts w:ascii="Segoe UI"/>
          <w:position w:val="8"/>
          <w:sz w:val="14"/>
        </w:rPr>
        <w:t xml:space="preserve">th </w:t>
      </w:r>
      <w:r w:rsidRPr="005E6081">
        <w:rPr>
          <w:rFonts w:ascii="Segoe UI"/>
          <w:sz w:val="21"/>
        </w:rPr>
        <w:t>evaluation expert for A&amp;L), the overall evaluation design and writing of the TE reports and to ensure quality of the final report submitted to UNDP.</w:t>
      </w:r>
    </w:p>
    <w:p w14:paraId="02E784AE" w14:textId="77777777" w:rsidR="00E136A1" w:rsidRPr="005E6081" w:rsidRDefault="00E136A1" w:rsidP="00E136A1">
      <w:pPr>
        <w:pStyle w:val="BodyText"/>
        <w:spacing w:before="5"/>
        <w:rPr>
          <w:rFonts w:ascii="Segoe UI"/>
          <w:sz w:val="21"/>
        </w:rPr>
      </w:pPr>
    </w:p>
    <w:p w14:paraId="06D9B5BF" w14:textId="77777777" w:rsidR="00E136A1" w:rsidRPr="005E6081" w:rsidRDefault="00E136A1" w:rsidP="00E136A1">
      <w:pPr>
        <w:ind w:left="500" w:right="1435"/>
        <w:jc w:val="both"/>
        <w:rPr>
          <w:rFonts w:ascii="Segoe UI" w:hAnsi="Segoe UI"/>
          <w:sz w:val="21"/>
        </w:rPr>
      </w:pPr>
      <w:r w:rsidRPr="005E6081">
        <w:rPr>
          <w:rFonts w:ascii="Segoe UI" w:hAnsi="Segoe UI"/>
          <w:sz w:val="21"/>
        </w:rPr>
        <w:t>The evaluation experts, in close collaboration with the agricultural commodities expert – and under the overall leadership of the team leader, will assess emerging trends with respect to regulatory frameworks, budget allocations, capacity building and work with the Project Team in developing the TE itinerary.</w:t>
      </w:r>
    </w:p>
    <w:p w14:paraId="691E0C25" w14:textId="77777777" w:rsidR="00E136A1" w:rsidRPr="005E6081" w:rsidRDefault="00E136A1" w:rsidP="00E136A1">
      <w:pPr>
        <w:pStyle w:val="BodyText"/>
        <w:rPr>
          <w:rFonts w:ascii="Segoe UI"/>
          <w:sz w:val="21"/>
        </w:rPr>
      </w:pPr>
    </w:p>
    <w:p w14:paraId="40C4DB45" w14:textId="77777777" w:rsidR="00E136A1" w:rsidRPr="005E6081" w:rsidRDefault="00E136A1" w:rsidP="00E136A1">
      <w:pPr>
        <w:spacing w:before="1"/>
        <w:ind w:left="500" w:right="1434"/>
        <w:jc w:val="both"/>
        <w:rPr>
          <w:rFonts w:ascii="Segoe UI"/>
          <w:sz w:val="21"/>
        </w:rPr>
      </w:pPr>
      <w:r w:rsidRPr="005E6081">
        <w:rPr>
          <w:rFonts w:ascii="Segoe UI"/>
          <w:sz w:val="21"/>
        </w:rPr>
        <w:t>To</w:t>
      </w:r>
      <w:r w:rsidRPr="005E6081">
        <w:rPr>
          <w:rFonts w:ascii="Segoe UI"/>
          <w:spacing w:val="-13"/>
          <w:sz w:val="21"/>
        </w:rPr>
        <w:t xml:space="preserve"> </w:t>
      </w:r>
      <w:r w:rsidRPr="005E6081">
        <w:rPr>
          <w:rFonts w:ascii="Segoe UI"/>
          <w:sz w:val="21"/>
        </w:rPr>
        <w:t>the</w:t>
      </w:r>
      <w:r w:rsidRPr="005E6081">
        <w:rPr>
          <w:rFonts w:ascii="Segoe UI"/>
          <w:spacing w:val="-12"/>
          <w:sz w:val="21"/>
        </w:rPr>
        <w:t xml:space="preserve"> </w:t>
      </w:r>
      <w:r w:rsidRPr="005E6081">
        <w:rPr>
          <w:rFonts w:ascii="Segoe UI"/>
          <w:sz w:val="21"/>
        </w:rPr>
        <w:t>extent</w:t>
      </w:r>
      <w:r w:rsidRPr="005E6081">
        <w:rPr>
          <w:rFonts w:ascii="Segoe UI"/>
          <w:spacing w:val="-13"/>
          <w:sz w:val="21"/>
        </w:rPr>
        <w:t xml:space="preserve"> </w:t>
      </w:r>
      <w:r w:rsidRPr="005E6081">
        <w:rPr>
          <w:rFonts w:ascii="Segoe UI"/>
          <w:sz w:val="21"/>
        </w:rPr>
        <w:t>possible,</w:t>
      </w:r>
      <w:r w:rsidRPr="005E6081">
        <w:rPr>
          <w:rFonts w:ascii="Segoe UI"/>
          <w:spacing w:val="-13"/>
          <w:sz w:val="21"/>
        </w:rPr>
        <w:t xml:space="preserve"> </w:t>
      </w:r>
      <w:r w:rsidRPr="005E6081">
        <w:rPr>
          <w:rFonts w:ascii="Segoe UI"/>
          <w:sz w:val="21"/>
        </w:rPr>
        <w:t>considering</w:t>
      </w:r>
      <w:r w:rsidRPr="005E6081">
        <w:rPr>
          <w:rFonts w:ascii="Segoe UI"/>
          <w:spacing w:val="-12"/>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evolution</w:t>
      </w:r>
      <w:r w:rsidRPr="005E6081">
        <w:rPr>
          <w:rFonts w:ascii="Segoe UI"/>
          <w:spacing w:val="-12"/>
          <w:sz w:val="21"/>
        </w:rPr>
        <w:t xml:space="preserve"> </w:t>
      </w:r>
      <w:r w:rsidRPr="005E6081">
        <w:rPr>
          <w:rFonts w:ascii="Segoe UI"/>
          <w:sz w:val="21"/>
        </w:rPr>
        <w:t>of</w:t>
      </w:r>
      <w:r w:rsidRPr="005E6081">
        <w:rPr>
          <w:rFonts w:ascii="Segoe UI"/>
          <w:spacing w:val="-12"/>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COVID-19</w:t>
      </w:r>
      <w:r w:rsidRPr="005E6081">
        <w:rPr>
          <w:rFonts w:ascii="Segoe UI"/>
          <w:spacing w:val="-13"/>
          <w:sz w:val="21"/>
        </w:rPr>
        <w:t xml:space="preserve"> </w:t>
      </w:r>
      <w:r w:rsidRPr="005E6081">
        <w:rPr>
          <w:rFonts w:ascii="Segoe UI"/>
          <w:sz w:val="21"/>
        </w:rPr>
        <w:t>pandemic</w:t>
      </w:r>
      <w:r w:rsidRPr="005E6081">
        <w:rPr>
          <w:rFonts w:ascii="Segoe UI"/>
          <w:spacing w:val="-12"/>
          <w:sz w:val="21"/>
        </w:rPr>
        <w:t xml:space="preserve"> </w:t>
      </w:r>
      <w:r w:rsidRPr="005E6081">
        <w:rPr>
          <w:rFonts w:ascii="Segoe UI"/>
          <w:sz w:val="21"/>
        </w:rPr>
        <w:t>in</w:t>
      </w:r>
      <w:r w:rsidRPr="005E6081">
        <w:rPr>
          <w:rFonts w:ascii="Segoe UI"/>
          <w:spacing w:val="-13"/>
          <w:sz w:val="21"/>
        </w:rPr>
        <w:t xml:space="preserve"> </w:t>
      </w:r>
      <w:r w:rsidRPr="005E6081">
        <w:rPr>
          <w:rFonts w:ascii="Segoe UI"/>
          <w:sz w:val="21"/>
        </w:rPr>
        <w:t>and</w:t>
      </w:r>
      <w:r w:rsidRPr="005E6081">
        <w:rPr>
          <w:rFonts w:ascii="Segoe UI"/>
          <w:spacing w:val="-14"/>
          <w:sz w:val="21"/>
        </w:rPr>
        <w:t xml:space="preserve"> </w:t>
      </w:r>
      <w:r w:rsidRPr="005E6081">
        <w:rPr>
          <w:rFonts w:ascii="Segoe UI"/>
          <w:sz w:val="21"/>
        </w:rPr>
        <w:t>beyond</w:t>
      </w:r>
      <w:r w:rsidRPr="005E6081">
        <w:rPr>
          <w:rFonts w:ascii="Segoe UI"/>
          <w:spacing w:val="-12"/>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project countries, we anticipate the following composition and length of field missions for the Production</w:t>
      </w:r>
      <w:r w:rsidRPr="005E6081">
        <w:rPr>
          <w:rFonts w:ascii="Segoe UI"/>
          <w:spacing w:val="-33"/>
          <w:sz w:val="21"/>
        </w:rPr>
        <w:t xml:space="preserve"> </w:t>
      </w:r>
      <w:r w:rsidRPr="005E6081">
        <w:rPr>
          <w:rFonts w:ascii="Segoe UI"/>
          <w:sz w:val="21"/>
        </w:rPr>
        <w:t>TE:</w:t>
      </w:r>
    </w:p>
    <w:p w14:paraId="5B1CCFF0" w14:textId="7288AD4F" w:rsidR="00E136A1" w:rsidRPr="005E6081" w:rsidRDefault="00011C41" w:rsidP="00E136A1">
      <w:pPr>
        <w:pStyle w:val="BodyText"/>
        <w:spacing w:before="12"/>
        <w:rPr>
          <w:rFonts w:ascii="Segoe UI"/>
          <w:sz w:val="28"/>
        </w:rPr>
      </w:pPr>
      <w:r>
        <w:rPr>
          <w:noProof/>
        </w:rPr>
        <w:lastRenderedPageBreak/>
        <mc:AlternateContent>
          <mc:Choice Requires="wps">
            <w:drawing>
              <wp:anchor distT="0" distB="0" distL="0" distR="0" simplePos="0" relativeHeight="251662848" behindDoc="1" locked="0" layoutInCell="1" allowOverlap="1" wp14:anchorId="45149ADB" wp14:editId="53B56FA3">
                <wp:simplePos x="0" y="0"/>
                <wp:positionH relativeFrom="page">
                  <wp:posOffset>914400</wp:posOffset>
                </wp:positionH>
                <wp:positionV relativeFrom="paragraph">
                  <wp:posOffset>269240</wp:posOffset>
                </wp:positionV>
                <wp:extent cx="1828800" cy="6350"/>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53CF" id="Rectangle 18" o:spid="_x0000_s1026" style="position:absolute;margin-left:1in;margin-top:21.2pt;width:2in;height:.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" fillcolor="black" stroked="f">
                <w10:wrap type="topAndBottom" anchorx="page"/>
              </v:rect>
            </w:pict>
          </mc:Fallback>
        </mc:AlternateContent>
      </w:r>
    </w:p>
    <w:p w14:paraId="7B621D46" w14:textId="77777777" w:rsidR="00E136A1" w:rsidRPr="005E6081" w:rsidRDefault="00E136A1" w:rsidP="00E136A1">
      <w:pPr>
        <w:spacing w:before="55"/>
        <w:ind w:left="500"/>
        <w:rPr>
          <w:sz w:val="20"/>
        </w:rPr>
      </w:pPr>
      <w:r w:rsidRPr="005E6081">
        <w:rPr>
          <w:sz w:val="20"/>
          <w:vertAlign w:val="superscript"/>
        </w:rPr>
        <w:t>6</w:t>
      </w:r>
      <w:r w:rsidRPr="005E6081">
        <w:rPr>
          <w:sz w:val="20"/>
        </w:rPr>
        <w:t xml:space="preserve"> Access at: </w:t>
      </w:r>
      <w:hyperlink r:id="rId37">
        <w:r w:rsidRPr="005E6081">
          <w:rPr>
            <w:sz w:val="20"/>
            <w:u w:val="single" w:color="0000FF"/>
          </w:rPr>
          <w:t>http://web.undp.org/evaluation/guideline/section-6.shtml</w:t>
        </w:r>
      </w:hyperlink>
    </w:p>
    <w:p w14:paraId="7E0A06A1" w14:textId="77777777" w:rsidR="00E136A1" w:rsidRPr="005E6081" w:rsidRDefault="00E136A1" w:rsidP="00D80344">
      <w:pPr>
        <w:pStyle w:val="ListParagraph"/>
        <w:numPr>
          <w:ilvl w:val="0"/>
          <w:numId w:val="50"/>
        </w:numPr>
        <w:tabs>
          <w:tab w:val="left" w:pos="1221"/>
        </w:tabs>
        <w:spacing w:before="81" w:line="259" w:lineRule="auto"/>
        <w:ind w:right="1433"/>
        <w:jc w:val="both"/>
        <w:rPr>
          <w:rFonts w:ascii="Segoe UI" w:hAnsi="Segoe UI"/>
          <w:sz w:val="21"/>
        </w:rPr>
      </w:pPr>
      <w:r w:rsidRPr="005E6081">
        <w:rPr>
          <w:rFonts w:ascii="Segoe UI" w:hAnsi="Segoe UI"/>
          <w:sz w:val="21"/>
        </w:rPr>
        <w:t>Indonesia – team leader, agricultural commodities expert, local evaluation expert; 15 days including at least 9 days in the landscapes (3 in each</w:t>
      </w:r>
      <w:r w:rsidRPr="005E6081">
        <w:rPr>
          <w:rFonts w:ascii="Segoe UI" w:hAnsi="Segoe UI"/>
          <w:spacing w:val="-12"/>
          <w:sz w:val="21"/>
        </w:rPr>
        <w:t xml:space="preserve"> </w:t>
      </w:r>
      <w:r w:rsidRPr="005E6081">
        <w:rPr>
          <w:rFonts w:ascii="Segoe UI" w:hAnsi="Segoe UI"/>
          <w:sz w:val="21"/>
        </w:rPr>
        <w:t>landscape).</w:t>
      </w:r>
    </w:p>
    <w:p w14:paraId="61AD4699" w14:textId="77777777" w:rsidR="00E136A1" w:rsidRPr="005E6081" w:rsidRDefault="00E136A1" w:rsidP="00D80344">
      <w:pPr>
        <w:pStyle w:val="ListParagraph"/>
        <w:numPr>
          <w:ilvl w:val="0"/>
          <w:numId w:val="50"/>
        </w:numPr>
        <w:tabs>
          <w:tab w:val="left" w:pos="1221"/>
        </w:tabs>
        <w:spacing w:before="160" w:line="256" w:lineRule="auto"/>
        <w:ind w:right="1434"/>
        <w:jc w:val="both"/>
        <w:rPr>
          <w:rFonts w:ascii="Segoe UI" w:hAnsi="Segoe UI"/>
          <w:sz w:val="21"/>
        </w:rPr>
      </w:pPr>
      <w:r w:rsidRPr="005E6081">
        <w:rPr>
          <w:rFonts w:ascii="Segoe UI" w:hAnsi="Segoe UI"/>
          <w:sz w:val="21"/>
        </w:rPr>
        <w:t>Liberia: team leader, agricultural commodities expert, local evaluation expert; 5 days</w:t>
      </w:r>
      <w:r w:rsidRPr="005E6081">
        <w:rPr>
          <w:rFonts w:ascii="Segoe UI" w:hAnsi="Segoe UI"/>
          <w:spacing w:val="-36"/>
          <w:sz w:val="21"/>
        </w:rPr>
        <w:t xml:space="preserve"> </w:t>
      </w:r>
      <w:r w:rsidRPr="005E6081">
        <w:rPr>
          <w:rFonts w:ascii="Segoe UI" w:hAnsi="Segoe UI"/>
          <w:sz w:val="21"/>
        </w:rPr>
        <w:t>including at least 2 days in the</w:t>
      </w:r>
      <w:r w:rsidRPr="005E6081">
        <w:rPr>
          <w:rFonts w:ascii="Segoe UI" w:hAnsi="Segoe UI"/>
          <w:spacing w:val="-4"/>
          <w:sz w:val="21"/>
        </w:rPr>
        <w:t xml:space="preserve"> </w:t>
      </w:r>
      <w:r w:rsidRPr="005E6081">
        <w:rPr>
          <w:rFonts w:ascii="Segoe UI" w:hAnsi="Segoe UI"/>
          <w:sz w:val="21"/>
        </w:rPr>
        <w:t>landscape.</w:t>
      </w:r>
    </w:p>
    <w:p w14:paraId="4F7A3C04" w14:textId="77777777" w:rsidR="00E136A1" w:rsidRPr="005E6081" w:rsidRDefault="00E136A1" w:rsidP="00D80344">
      <w:pPr>
        <w:pStyle w:val="ListParagraph"/>
        <w:numPr>
          <w:ilvl w:val="0"/>
          <w:numId w:val="50"/>
        </w:numPr>
        <w:tabs>
          <w:tab w:val="left" w:pos="1221"/>
        </w:tabs>
        <w:spacing w:before="166" w:line="256" w:lineRule="auto"/>
        <w:ind w:right="1433"/>
        <w:jc w:val="both"/>
        <w:rPr>
          <w:rFonts w:ascii="Segoe UI" w:hAnsi="Segoe UI"/>
          <w:sz w:val="21"/>
        </w:rPr>
      </w:pPr>
      <w:r w:rsidRPr="005E6081">
        <w:rPr>
          <w:rFonts w:ascii="Segoe UI" w:hAnsi="Segoe UI"/>
          <w:sz w:val="21"/>
        </w:rPr>
        <w:t>Paraguay: team leader, agricultural commodities expert, local evaluation expert; 7 days including at least 3 days in the</w:t>
      </w:r>
      <w:r w:rsidRPr="005E6081">
        <w:rPr>
          <w:rFonts w:ascii="Segoe UI" w:hAnsi="Segoe UI"/>
          <w:spacing w:val="-6"/>
          <w:sz w:val="21"/>
        </w:rPr>
        <w:t xml:space="preserve"> </w:t>
      </w:r>
      <w:r w:rsidRPr="005E6081">
        <w:rPr>
          <w:rFonts w:ascii="Segoe UI" w:hAnsi="Segoe UI"/>
          <w:sz w:val="21"/>
        </w:rPr>
        <w:t>landscape.</w:t>
      </w:r>
    </w:p>
    <w:p w14:paraId="1F5D3687" w14:textId="77777777" w:rsidR="00E136A1" w:rsidRPr="005E6081" w:rsidRDefault="00E136A1" w:rsidP="00E136A1">
      <w:pPr>
        <w:pStyle w:val="BodyText"/>
        <w:spacing w:before="2"/>
        <w:rPr>
          <w:rFonts w:ascii="Segoe UI"/>
          <w:sz w:val="33"/>
        </w:rPr>
      </w:pPr>
    </w:p>
    <w:p w14:paraId="5601A10C" w14:textId="77777777" w:rsidR="00E136A1" w:rsidRPr="005E6081" w:rsidRDefault="00E136A1" w:rsidP="00E136A1">
      <w:pPr>
        <w:ind w:left="500"/>
        <w:rPr>
          <w:rFonts w:ascii="Segoe UI"/>
          <w:b/>
          <w:sz w:val="21"/>
        </w:rPr>
      </w:pPr>
      <w:r w:rsidRPr="005E6081">
        <w:rPr>
          <w:rFonts w:ascii="Segoe UI"/>
          <w:b/>
          <w:sz w:val="21"/>
        </w:rPr>
        <w:t>Organization Experience:</w:t>
      </w:r>
    </w:p>
    <w:p w14:paraId="178C388E" w14:textId="77777777" w:rsidR="00E136A1" w:rsidRPr="005E6081" w:rsidRDefault="00E136A1" w:rsidP="00D80344">
      <w:pPr>
        <w:pStyle w:val="ListParagraph"/>
        <w:numPr>
          <w:ilvl w:val="0"/>
          <w:numId w:val="50"/>
        </w:numPr>
        <w:tabs>
          <w:tab w:val="left" w:pos="1221"/>
        </w:tabs>
        <w:spacing w:before="2" w:line="256" w:lineRule="auto"/>
        <w:ind w:right="1437"/>
        <w:jc w:val="both"/>
        <w:rPr>
          <w:rFonts w:ascii="Segoe UI" w:hAnsi="Segoe UI"/>
          <w:sz w:val="21"/>
        </w:rPr>
      </w:pPr>
      <w:r w:rsidRPr="005E6081">
        <w:rPr>
          <w:rFonts w:ascii="Segoe UI" w:hAnsi="Segoe UI"/>
          <w:sz w:val="21"/>
        </w:rPr>
        <w:t>At</w:t>
      </w:r>
      <w:r w:rsidRPr="005E6081">
        <w:rPr>
          <w:rFonts w:ascii="Segoe UI" w:hAnsi="Segoe UI"/>
          <w:spacing w:val="-13"/>
          <w:sz w:val="21"/>
        </w:rPr>
        <w:t xml:space="preserve"> </w:t>
      </w:r>
      <w:r w:rsidRPr="005E6081">
        <w:rPr>
          <w:rFonts w:ascii="Segoe UI" w:hAnsi="Segoe UI"/>
          <w:sz w:val="21"/>
        </w:rPr>
        <w:t>least</w:t>
      </w:r>
      <w:r w:rsidRPr="005E6081">
        <w:rPr>
          <w:rFonts w:ascii="Segoe UI" w:hAnsi="Segoe UI"/>
          <w:spacing w:val="-13"/>
          <w:sz w:val="21"/>
        </w:rPr>
        <w:t xml:space="preserve"> </w:t>
      </w:r>
      <w:r w:rsidRPr="005E6081">
        <w:rPr>
          <w:rFonts w:ascii="Segoe UI" w:hAnsi="Segoe UI"/>
          <w:sz w:val="21"/>
        </w:rPr>
        <w:t>3</w:t>
      </w:r>
      <w:r w:rsidRPr="005E6081">
        <w:rPr>
          <w:rFonts w:ascii="Segoe UI" w:hAnsi="Segoe UI"/>
          <w:spacing w:val="-14"/>
          <w:sz w:val="21"/>
        </w:rPr>
        <w:t xml:space="preserve"> </w:t>
      </w:r>
      <w:r w:rsidRPr="005E6081">
        <w:rPr>
          <w:rFonts w:ascii="Segoe UI" w:hAnsi="Segoe UI"/>
          <w:sz w:val="21"/>
        </w:rPr>
        <w:t>years</w:t>
      </w:r>
      <w:r w:rsidRPr="005E6081">
        <w:rPr>
          <w:rFonts w:ascii="Segoe UI" w:hAnsi="Segoe UI"/>
          <w:spacing w:val="-14"/>
          <w:sz w:val="21"/>
        </w:rPr>
        <w:t xml:space="preserve"> </w:t>
      </w:r>
      <w:r w:rsidRPr="005E6081">
        <w:rPr>
          <w:rFonts w:ascii="Segoe UI" w:hAnsi="Segoe UI"/>
          <w:sz w:val="21"/>
        </w:rPr>
        <w:t>of</w:t>
      </w:r>
      <w:r w:rsidRPr="005E6081">
        <w:rPr>
          <w:rFonts w:ascii="Segoe UI" w:hAnsi="Segoe UI"/>
          <w:spacing w:val="-13"/>
          <w:sz w:val="21"/>
        </w:rPr>
        <w:t xml:space="preserve"> </w:t>
      </w:r>
      <w:r w:rsidRPr="005E6081">
        <w:rPr>
          <w:rFonts w:ascii="Segoe UI" w:hAnsi="Segoe UI"/>
          <w:sz w:val="21"/>
        </w:rPr>
        <w:t>experience</w:t>
      </w:r>
      <w:r w:rsidRPr="005E6081">
        <w:rPr>
          <w:rFonts w:ascii="Segoe UI" w:hAnsi="Segoe UI"/>
          <w:spacing w:val="-13"/>
          <w:sz w:val="21"/>
        </w:rPr>
        <w:t xml:space="preserve"> </w:t>
      </w:r>
      <w:r w:rsidRPr="005E6081">
        <w:rPr>
          <w:rFonts w:ascii="Segoe UI" w:hAnsi="Segoe UI"/>
          <w:sz w:val="21"/>
        </w:rPr>
        <w:t>in</w:t>
      </w:r>
      <w:r w:rsidRPr="005E6081">
        <w:rPr>
          <w:rFonts w:ascii="Segoe UI" w:hAnsi="Segoe UI"/>
          <w:spacing w:val="-1"/>
          <w:sz w:val="21"/>
        </w:rPr>
        <w:t xml:space="preserve"> </w:t>
      </w:r>
      <w:r w:rsidRPr="005E6081">
        <w:rPr>
          <w:rFonts w:ascii="Segoe UI" w:hAnsi="Segoe UI"/>
          <w:sz w:val="21"/>
        </w:rPr>
        <w:t>conducting</w:t>
      </w:r>
      <w:r w:rsidRPr="005E6081">
        <w:rPr>
          <w:rFonts w:ascii="Segoe UI" w:hAnsi="Segoe UI"/>
          <w:spacing w:val="-13"/>
          <w:sz w:val="21"/>
        </w:rPr>
        <w:t xml:space="preserve"> </w:t>
      </w:r>
      <w:r w:rsidRPr="005E6081">
        <w:rPr>
          <w:rFonts w:ascii="Segoe UI" w:hAnsi="Segoe UI"/>
          <w:sz w:val="21"/>
        </w:rPr>
        <w:t>international</w:t>
      </w:r>
      <w:r w:rsidRPr="005E6081">
        <w:rPr>
          <w:rFonts w:ascii="Segoe UI" w:hAnsi="Segoe UI"/>
          <w:spacing w:val="-14"/>
          <w:sz w:val="21"/>
        </w:rPr>
        <w:t xml:space="preserve"> </w:t>
      </w:r>
      <w:r w:rsidRPr="005E6081">
        <w:rPr>
          <w:rFonts w:ascii="Segoe UI" w:hAnsi="Segoe UI"/>
          <w:sz w:val="21"/>
        </w:rPr>
        <w:t>development</w:t>
      </w:r>
      <w:r w:rsidRPr="005E6081">
        <w:rPr>
          <w:rFonts w:ascii="Segoe UI" w:hAnsi="Segoe UI"/>
          <w:spacing w:val="-13"/>
          <w:sz w:val="21"/>
        </w:rPr>
        <w:t xml:space="preserve"> </w:t>
      </w:r>
      <w:r w:rsidRPr="005E6081">
        <w:rPr>
          <w:rFonts w:ascii="Segoe UI" w:hAnsi="Segoe UI"/>
          <w:sz w:val="21"/>
        </w:rPr>
        <w:t>projects</w:t>
      </w:r>
      <w:r w:rsidRPr="005E6081">
        <w:rPr>
          <w:rFonts w:ascii="Segoe UI" w:hAnsi="Segoe UI"/>
          <w:spacing w:val="-16"/>
          <w:sz w:val="21"/>
        </w:rPr>
        <w:t xml:space="preserve"> </w:t>
      </w:r>
      <w:r w:rsidRPr="005E6081">
        <w:rPr>
          <w:rFonts w:ascii="Segoe UI" w:hAnsi="Segoe UI"/>
          <w:sz w:val="21"/>
        </w:rPr>
        <w:t>reviews</w:t>
      </w:r>
      <w:r w:rsidRPr="005E6081">
        <w:rPr>
          <w:rFonts w:ascii="Segoe UI" w:hAnsi="Segoe UI"/>
          <w:spacing w:val="-14"/>
          <w:sz w:val="21"/>
        </w:rPr>
        <w:t xml:space="preserve"> </w:t>
      </w:r>
      <w:r w:rsidRPr="005E6081">
        <w:rPr>
          <w:rFonts w:ascii="Segoe UI" w:hAnsi="Segoe UI"/>
          <w:sz w:val="21"/>
        </w:rPr>
        <w:t>and/or evaluations;</w:t>
      </w:r>
    </w:p>
    <w:p w14:paraId="79626857" w14:textId="77777777" w:rsidR="00E136A1" w:rsidRPr="005E6081" w:rsidRDefault="00E136A1" w:rsidP="00D80344">
      <w:pPr>
        <w:pStyle w:val="ListParagraph"/>
        <w:numPr>
          <w:ilvl w:val="0"/>
          <w:numId w:val="50"/>
        </w:numPr>
        <w:tabs>
          <w:tab w:val="left" w:pos="1221"/>
        </w:tabs>
        <w:spacing w:before="166" w:line="256" w:lineRule="auto"/>
        <w:ind w:right="1434"/>
        <w:jc w:val="both"/>
        <w:rPr>
          <w:rFonts w:ascii="Segoe UI" w:hAnsi="Segoe UI"/>
          <w:sz w:val="21"/>
        </w:rPr>
      </w:pPr>
      <w:r w:rsidRPr="005E6081">
        <w:rPr>
          <w:rFonts w:ascii="Segoe UI" w:hAnsi="Segoe UI"/>
          <w:sz w:val="21"/>
        </w:rPr>
        <w:t>Experience conducting evaluations of GEF-financed projects (at least 3 years/evaluations will be considered as an</w:t>
      </w:r>
      <w:r w:rsidRPr="005E6081">
        <w:rPr>
          <w:rFonts w:ascii="Segoe UI" w:hAnsi="Segoe UI"/>
          <w:spacing w:val="-3"/>
          <w:sz w:val="21"/>
        </w:rPr>
        <w:t xml:space="preserve"> </w:t>
      </w:r>
      <w:r w:rsidRPr="005E6081">
        <w:rPr>
          <w:rFonts w:ascii="Segoe UI" w:hAnsi="Segoe UI"/>
          <w:sz w:val="21"/>
        </w:rPr>
        <w:t>asset);</w:t>
      </w:r>
    </w:p>
    <w:p w14:paraId="4F49B9C1" w14:textId="77777777" w:rsidR="00E136A1" w:rsidRPr="005E6081" w:rsidRDefault="00E136A1" w:rsidP="00D80344">
      <w:pPr>
        <w:pStyle w:val="ListParagraph"/>
        <w:numPr>
          <w:ilvl w:val="0"/>
          <w:numId w:val="50"/>
        </w:numPr>
        <w:tabs>
          <w:tab w:val="left" w:pos="1221"/>
        </w:tabs>
        <w:spacing w:before="165" w:line="256" w:lineRule="auto"/>
        <w:ind w:right="1434"/>
        <w:jc w:val="both"/>
        <w:rPr>
          <w:rFonts w:ascii="Segoe UI" w:hAnsi="Segoe UI"/>
          <w:sz w:val="21"/>
        </w:rPr>
      </w:pPr>
      <w:r w:rsidRPr="005E6081">
        <w:rPr>
          <w:rFonts w:ascii="Segoe UI" w:hAnsi="Segoe UI"/>
          <w:sz w:val="21"/>
        </w:rPr>
        <w:t>At least 5 years of experience working in agriculture, agricultural commodities, deforestation, sustainable forest management, ecosystems and biodiversity, climate change mitigation, and/or multi-focal area projects;</w:t>
      </w:r>
    </w:p>
    <w:p w14:paraId="5A680D89" w14:textId="77777777" w:rsidR="00E136A1" w:rsidRPr="005E6081" w:rsidRDefault="00E136A1" w:rsidP="00D80344">
      <w:pPr>
        <w:pStyle w:val="ListParagraph"/>
        <w:numPr>
          <w:ilvl w:val="0"/>
          <w:numId w:val="50"/>
        </w:numPr>
        <w:tabs>
          <w:tab w:val="left" w:pos="1220"/>
          <w:tab w:val="left" w:pos="1221"/>
        </w:tabs>
        <w:spacing w:before="167"/>
        <w:ind w:hanging="361"/>
        <w:rPr>
          <w:rFonts w:ascii="Segoe UI" w:hAnsi="Segoe UI"/>
          <w:sz w:val="21"/>
        </w:rPr>
      </w:pPr>
      <w:r w:rsidRPr="005E6081">
        <w:rPr>
          <w:rFonts w:ascii="Segoe UI" w:hAnsi="Segoe UI"/>
          <w:sz w:val="21"/>
        </w:rPr>
        <w:t>Experience applying SMART indicators and reconstructing or validating baseline</w:t>
      </w:r>
      <w:r w:rsidRPr="005E6081">
        <w:rPr>
          <w:rFonts w:ascii="Segoe UI" w:hAnsi="Segoe UI"/>
          <w:spacing w:val="-12"/>
          <w:sz w:val="21"/>
        </w:rPr>
        <w:t xml:space="preserve"> </w:t>
      </w:r>
      <w:r w:rsidRPr="005E6081">
        <w:rPr>
          <w:rFonts w:ascii="Segoe UI" w:hAnsi="Segoe UI"/>
          <w:sz w:val="21"/>
        </w:rPr>
        <w:t>scenarios;</w:t>
      </w:r>
    </w:p>
    <w:p w14:paraId="64DC143D" w14:textId="77777777" w:rsidR="00E136A1" w:rsidRPr="005E6081" w:rsidRDefault="00E136A1" w:rsidP="00D80344">
      <w:pPr>
        <w:pStyle w:val="ListParagraph"/>
        <w:numPr>
          <w:ilvl w:val="0"/>
          <w:numId w:val="50"/>
        </w:numPr>
        <w:tabs>
          <w:tab w:val="left" w:pos="1220"/>
          <w:tab w:val="left" w:pos="1221"/>
        </w:tabs>
        <w:spacing w:before="181"/>
        <w:ind w:hanging="361"/>
        <w:rPr>
          <w:rFonts w:ascii="Segoe UI" w:hAnsi="Segoe UI"/>
          <w:sz w:val="21"/>
        </w:rPr>
      </w:pPr>
      <w:r w:rsidRPr="005E6081">
        <w:rPr>
          <w:rFonts w:ascii="Segoe UI" w:hAnsi="Segoe UI"/>
          <w:sz w:val="21"/>
        </w:rPr>
        <w:t>Experience working in Latin America, West or Central Africa, and</w:t>
      </w:r>
      <w:r w:rsidRPr="005E6081">
        <w:rPr>
          <w:rFonts w:ascii="Segoe UI" w:hAnsi="Segoe UI"/>
          <w:spacing w:val="-13"/>
          <w:sz w:val="21"/>
        </w:rPr>
        <w:t xml:space="preserve"> </w:t>
      </w:r>
      <w:r w:rsidRPr="005E6081">
        <w:rPr>
          <w:rFonts w:ascii="Segoe UI" w:hAnsi="Segoe UI"/>
          <w:sz w:val="21"/>
        </w:rPr>
        <w:t>Asia;</w:t>
      </w:r>
    </w:p>
    <w:p w14:paraId="6A014F56" w14:textId="77777777" w:rsidR="00E136A1" w:rsidRPr="005E6081" w:rsidRDefault="00E136A1" w:rsidP="00D80344">
      <w:pPr>
        <w:pStyle w:val="ListParagraph"/>
        <w:numPr>
          <w:ilvl w:val="0"/>
          <w:numId w:val="50"/>
        </w:numPr>
        <w:tabs>
          <w:tab w:val="left" w:pos="1220"/>
          <w:tab w:val="left" w:pos="1221"/>
        </w:tabs>
        <w:spacing w:before="182"/>
        <w:ind w:hanging="361"/>
        <w:rPr>
          <w:rFonts w:ascii="Segoe UI" w:hAnsi="Segoe UI"/>
          <w:sz w:val="21"/>
        </w:rPr>
      </w:pPr>
      <w:r w:rsidRPr="005E6081">
        <w:rPr>
          <w:rFonts w:ascii="Segoe UI" w:hAnsi="Segoe UI"/>
          <w:sz w:val="21"/>
        </w:rPr>
        <w:t>Firm that can mobilize a team of highly qualified experts with the profile described</w:t>
      </w:r>
      <w:r w:rsidRPr="005E6081">
        <w:rPr>
          <w:rFonts w:ascii="Segoe UI" w:hAnsi="Segoe UI"/>
          <w:spacing w:val="-12"/>
          <w:sz w:val="21"/>
        </w:rPr>
        <w:t xml:space="preserve"> </w:t>
      </w:r>
      <w:r w:rsidRPr="005E6081">
        <w:rPr>
          <w:rFonts w:ascii="Segoe UI" w:hAnsi="Segoe UI"/>
          <w:sz w:val="21"/>
        </w:rPr>
        <w:t>below;</w:t>
      </w:r>
    </w:p>
    <w:p w14:paraId="4F4D74A7" w14:textId="77777777" w:rsidR="00E136A1" w:rsidRPr="005E6081" w:rsidRDefault="00E136A1" w:rsidP="00D80344">
      <w:pPr>
        <w:pStyle w:val="ListParagraph"/>
        <w:numPr>
          <w:ilvl w:val="0"/>
          <w:numId w:val="50"/>
        </w:numPr>
        <w:tabs>
          <w:tab w:val="left" w:pos="1220"/>
          <w:tab w:val="left" w:pos="1221"/>
        </w:tabs>
        <w:spacing w:before="182"/>
        <w:ind w:hanging="361"/>
        <w:rPr>
          <w:rFonts w:ascii="Segoe UI" w:hAnsi="Segoe UI"/>
          <w:sz w:val="21"/>
        </w:rPr>
      </w:pPr>
      <w:r w:rsidRPr="005E6081">
        <w:rPr>
          <w:rFonts w:ascii="Segoe UI" w:hAnsi="Segoe UI"/>
          <w:sz w:val="21"/>
        </w:rPr>
        <w:t>Experience working with the United Nations system will be considered an</w:t>
      </w:r>
      <w:r w:rsidRPr="005E6081">
        <w:rPr>
          <w:rFonts w:ascii="Segoe UI" w:hAnsi="Segoe UI"/>
          <w:spacing w:val="-15"/>
          <w:sz w:val="21"/>
        </w:rPr>
        <w:t xml:space="preserve"> </w:t>
      </w:r>
      <w:r w:rsidRPr="005E6081">
        <w:rPr>
          <w:rFonts w:ascii="Segoe UI" w:hAnsi="Segoe UI"/>
          <w:sz w:val="21"/>
        </w:rPr>
        <w:t>asset.</w:t>
      </w:r>
    </w:p>
    <w:p w14:paraId="6980FF69" w14:textId="77777777" w:rsidR="00E136A1" w:rsidRPr="005E6081" w:rsidRDefault="00E136A1" w:rsidP="00E136A1">
      <w:pPr>
        <w:pStyle w:val="BodyText"/>
        <w:spacing w:before="10"/>
        <w:rPr>
          <w:rFonts w:ascii="Segoe UI"/>
          <w:sz w:val="34"/>
        </w:rPr>
      </w:pPr>
    </w:p>
    <w:p w14:paraId="14D349B2" w14:textId="77777777" w:rsidR="00E136A1" w:rsidRPr="005E6081" w:rsidRDefault="00E136A1" w:rsidP="00E136A1">
      <w:pPr>
        <w:ind w:left="500"/>
        <w:rPr>
          <w:rFonts w:ascii="Segoe UI"/>
          <w:b/>
          <w:sz w:val="21"/>
        </w:rPr>
      </w:pPr>
      <w:r w:rsidRPr="005E6081">
        <w:rPr>
          <w:rFonts w:ascii="Segoe UI"/>
          <w:b/>
          <w:sz w:val="21"/>
        </w:rPr>
        <w:t>Key Personnel Experience:</w:t>
      </w:r>
    </w:p>
    <w:p w14:paraId="08BEF062" w14:textId="77777777" w:rsidR="00E136A1" w:rsidRPr="005E6081" w:rsidRDefault="00E136A1" w:rsidP="00E136A1">
      <w:pPr>
        <w:pStyle w:val="BodyText"/>
        <w:rPr>
          <w:rFonts w:ascii="Segoe UI"/>
          <w:b/>
          <w:sz w:val="21"/>
        </w:rPr>
      </w:pPr>
    </w:p>
    <w:p w14:paraId="2018945A" w14:textId="77777777" w:rsidR="00E136A1" w:rsidRPr="005E6081" w:rsidRDefault="00E136A1" w:rsidP="00D80344">
      <w:pPr>
        <w:pStyle w:val="ListParagraph"/>
        <w:numPr>
          <w:ilvl w:val="0"/>
          <w:numId w:val="49"/>
        </w:numPr>
        <w:tabs>
          <w:tab w:val="left" w:pos="951"/>
          <w:tab w:val="left" w:pos="952"/>
        </w:tabs>
        <w:spacing w:before="0"/>
        <w:ind w:hanging="361"/>
        <w:rPr>
          <w:rFonts w:ascii="Segoe UI"/>
          <w:b/>
          <w:sz w:val="21"/>
        </w:rPr>
      </w:pPr>
      <w:r w:rsidRPr="005E6081">
        <w:rPr>
          <w:rFonts w:ascii="Segoe UI"/>
          <w:b/>
          <w:sz w:val="21"/>
        </w:rPr>
        <w:t>Team</w:t>
      </w:r>
      <w:r w:rsidRPr="005E6081">
        <w:rPr>
          <w:rFonts w:ascii="Segoe UI"/>
          <w:b/>
          <w:spacing w:val="-1"/>
          <w:sz w:val="21"/>
        </w:rPr>
        <w:t xml:space="preserve"> </w:t>
      </w:r>
      <w:r w:rsidRPr="005E6081">
        <w:rPr>
          <w:rFonts w:ascii="Segoe UI"/>
          <w:b/>
          <w:sz w:val="21"/>
        </w:rPr>
        <w:t>leader</w:t>
      </w:r>
    </w:p>
    <w:p w14:paraId="6A0015BD" w14:textId="77777777" w:rsidR="00E136A1" w:rsidRPr="005E6081" w:rsidRDefault="00E136A1" w:rsidP="00D80344">
      <w:pPr>
        <w:pStyle w:val="ListParagraph"/>
        <w:numPr>
          <w:ilvl w:val="1"/>
          <w:numId w:val="49"/>
        </w:numPr>
        <w:tabs>
          <w:tab w:val="left" w:pos="1220"/>
          <w:tab w:val="left" w:pos="1221"/>
        </w:tabs>
        <w:spacing w:before="184"/>
        <w:ind w:hanging="361"/>
        <w:rPr>
          <w:rFonts w:ascii="Segoe UI" w:hAnsi="Segoe UI"/>
          <w:sz w:val="21"/>
        </w:rPr>
      </w:pPr>
      <w:r w:rsidRPr="005E6081">
        <w:rPr>
          <w:rFonts w:ascii="Segoe UI" w:hAnsi="Segoe UI"/>
          <w:sz w:val="21"/>
        </w:rPr>
        <w:t>A Master’s degree in international affairs, agriculture,</w:t>
      </w:r>
      <w:r w:rsidRPr="005E6081">
        <w:rPr>
          <w:rFonts w:ascii="Segoe UI" w:hAnsi="Segoe UI"/>
          <w:spacing w:val="14"/>
          <w:sz w:val="21"/>
        </w:rPr>
        <w:t xml:space="preserve"> </w:t>
      </w:r>
      <w:r w:rsidRPr="005E6081">
        <w:rPr>
          <w:rFonts w:ascii="Segoe UI" w:hAnsi="Segoe UI"/>
          <w:sz w:val="21"/>
        </w:rPr>
        <w:t>forestry, environmental studies, natural</w:t>
      </w:r>
    </w:p>
    <w:p w14:paraId="204ED3B8" w14:textId="77777777" w:rsidR="00E136A1" w:rsidRPr="005E6081" w:rsidRDefault="00E136A1" w:rsidP="00E136A1">
      <w:pPr>
        <w:spacing w:before="21"/>
        <w:ind w:left="1220"/>
        <w:rPr>
          <w:rFonts w:ascii="Segoe UI"/>
          <w:sz w:val="21"/>
        </w:rPr>
      </w:pPr>
      <w:r w:rsidRPr="005E6081">
        <w:rPr>
          <w:rFonts w:ascii="Segoe UI"/>
          <w:sz w:val="21"/>
        </w:rPr>
        <w:t>sciences, social sciences, or other closely related field;</w:t>
      </w:r>
    </w:p>
    <w:p w14:paraId="0B1D0E71" w14:textId="77777777" w:rsidR="00E136A1" w:rsidRPr="005E6081" w:rsidRDefault="00E136A1" w:rsidP="00D80344">
      <w:pPr>
        <w:pStyle w:val="ListParagraph"/>
        <w:numPr>
          <w:ilvl w:val="1"/>
          <w:numId w:val="49"/>
        </w:numPr>
        <w:tabs>
          <w:tab w:val="left" w:pos="1221"/>
        </w:tabs>
        <w:spacing w:before="184" w:line="256" w:lineRule="auto"/>
        <w:ind w:right="1437"/>
        <w:jc w:val="both"/>
        <w:rPr>
          <w:rFonts w:ascii="Segoe UI" w:hAnsi="Segoe UI"/>
          <w:sz w:val="21"/>
        </w:rPr>
      </w:pPr>
      <w:r w:rsidRPr="005E6081">
        <w:rPr>
          <w:rFonts w:ascii="Segoe UI" w:hAnsi="Segoe UI"/>
          <w:sz w:val="21"/>
        </w:rPr>
        <w:t>At least 10 years of experience in project design, monitoring and/or evaluation  in  sustainable</w:t>
      </w:r>
      <w:r w:rsidRPr="005E6081">
        <w:rPr>
          <w:rFonts w:ascii="Segoe UI" w:hAnsi="Segoe UI"/>
          <w:spacing w:val="-3"/>
          <w:sz w:val="21"/>
        </w:rPr>
        <w:t xml:space="preserve"> </w:t>
      </w:r>
      <w:r w:rsidRPr="005E6081">
        <w:rPr>
          <w:rFonts w:ascii="Segoe UI" w:hAnsi="Segoe UI"/>
          <w:sz w:val="21"/>
        </w:rPr>
        <w:t>development;</w:t>
      </w:r>
    </w:p>
    <w:p w14:paraId="74BFBB4C" w14:textId="77777777" w:rsidR="00E136A1" w:rsidRPr="005E6081" w:rsidRDefault="00E136A1" w:rsidP="00D80344">
      <w:pPr>
        <w:pStyle w:val="ListParagraph"/>
        <w:numPr>
          <w:ilvl w:val="1"/>
          <w:numId w:val="49"/>
        </w:numPr>
        <w:tabs>
          <w:tab w:val="left" w:pos="1220"/>
          <w:tab w:val="left" w:pos="1221"/>
        </w:tabs>
        <w:spacing w:before="164"/>
        <w:ind w:hanging="361"/>
        <w:rPr>
          <w:rFonts w:ascii="Segoe UI" w:hAnsi="Segoe UI"/>
          <w:sz w:val="21"/>
        </w:rPr>
      </w:pPr>
      <w:r w:rsidRPr="005E6081">
        <w:rPr>
          <w:rFonts w:ascii="Segoe UI" w:hAnsi="Segoe UI"/>
          <w:sz w:val="21"/>
        </w:rPr>
        <w:t>Experience leading remote evaluations will be considered an</w:t>
      </w:r>
      <w:r w:rsidRPr="005E6081">
        <w:rPr>
          <w:rFonts w:ascii="Segoe UI" w:hAnsi="Segoe UI"/>
          <w:spacing w:val="-11"/>
          <w:sz w:val="21"/>
        </w:rPr>
        <w:t xml:space="preserve"> </w:t>
      </w:r>
      <w:r w:rsidRPr="005E6081">
        <w:rPr>
          <w:rFonts w:ascii="Segoe UI" w:hAnsi="Segoe UI"/>
          <w:sz w:val="21"/>
        </w:rPr>
        <w:t>asset;</w:t>
      </w:r>
    </w:p>
    <w:p w14:paraId="7A813FED" w14:textId="77777777" w:rsidR="00E136A1" w:rsidRPr="005E6081" w:rsidRDefault="00E136A1" w:rsidP="00D80344">
      <w:pPr>
        <w:pStyle w:val="ListParagraph"/>
        <w:numPr>
          <w:ilvl w:val="1"/>
          <w:numId w:val="49"/>
        </w:numPr>
        <w:tabs>
          <w:tab w:val="left" w:pos="1221"/>
        </w:tabs>
        <w:spacing w:before="183" w:line="256" w:lineRule="auto"/>
        <w:ind w:right="1433"/>
        <w:jc w:val="both"/>
        <w:rPr>
          <w:rFonts w:ascii="Segoe UI" w:hAnsi="Segoe UI"/>
          <w:sz w:val="21"/>
        </w:rPr>
      </w:pPr>
      <w:r w:rsidRPr="005E6081">
        <w:rPr>
          <w:rFonts w:ascii="Segoe UI" w:hAnsi="Segoe UI"/>
          <w:sz w:val="21"/>
        </w:rPr>
        <w:t>Experience</w:t>
      </w:r>
      <w:r w:rsidRPr="005E6081">
        <w:rPr>
          <w:rFonts w:ascii="Segoe UI" w:hAnsi="Segoe UI"/>
          <w:spacing w:val="-2"/>
          <w:sz w:val="21"/>
        </w:rPr>
        <w:t xml:space="preserve"> </w:t>
      </w:r>
      <w:r w:rsidRPr="005E6081">
        <w:rPr>
          <w:rFonts w:ascii="Segoe UI" w:hAnsi="Segoe UI"/>
          <w:sz w:val="21"/>
        </w:rPr>
        <w:t>in</w:t>
      </w:r>
      <w:r w:rsidRPr="005E6081">
        <w:rPr>
          <w:rFonts w:ascii="Segoe UI" w:hAnsi="Segoe UI"/>
          <w:spacing w:val="-15"/>
          <w:sz w:val="21"/>
        </w:rPr>
        <w:t xml:space="preserve"> </w:t>
      </w:r>
      <w:r w:rsidRPr="005E6081">
        <w:rPr>
          <w:rFonts w:ascii="Segoe UI" w:hAnsi="Segoe UI"/>
          <w:sz w:val="21"/>
        </w:rPr>
        <w:t>adaptive</w:t>
      </w:r>
      <w:r w:rsidRPr="005E6081">
        <w:rPr>
          <w:rFonts w:ascii="Segoe UI" w:hAnsi="Segoe UI"/>
          <w:spacing w:val="-16"/>
          <w:sz w:val="21"/>
        </w:rPr>
        <w:t xml:space="preserve"> </w:t>
      </w:r>
      <w:r w:rsidRPr="005E6081">
        <w:rPr>
          <w:rFonts w:ascii="Segoe UI" w:hAnsi="Segoe UI"/>
          <w:sz w:val="21"/>
        </w:rPr>
        <w:t>management,</w:t>
      </w:r>
      <w:r w:rsidRPr="005E6081">
        <w:rPr>
          <w:rFonts w:ascii="Segoe UI" w:hAnsi="Segoe UI"/>
          <w:spacing w:val="-18"/>
          <w:sz w:val="21"/>
        </w:rPr>
        <w:t xml:space="preserve"> </w:t>
      </w:r>
      <w:r w:rsidRPr="005E6081">
        <w:rPr>
          <w:rFonts w:ascii="Segoe UI" w:hAnsi="Segoe UI"/>
          <w:sz w:val="21"/>
        </w:rPr>
        <w:t>as</w:t>
      </w:r>
      <w:r w:rsidRPr="005E6081">
        <w:rPr>
          <w:rFonts w:ascii="Segoe UI" w:hAnsi="Segoe UI"/>
          <w:spacing w:val="-15"/>
          <w:sz w:val="21"/>
        </w:rPr>
        <w:t xml:space="preserve"> </w:t>
      </w:r>
      <w:r w:rsidRPr="005E6081">
        <w:rPr>
          <w:rFonts w:ascii="Segoe UI" w:hAnsi="Segoe UI"/>
          <w:sz w:val="21"/>
        </w:rPr>
        <w:t>applied</w:t>
      </w:r>
      <w:r w:rsidRPr="005E6081">
        <w:rPr>
          <w:rFonts w:ascii="Segoe UI" w:hAnsi="Segoe UI"/>
          <w:spacing w:val="-18"/>
          <w:sz w:val="21"/>
        </w:rPr>
        <w:t xml:space="preserve"> </w:t>
      </w:r>
      <w:r w:rsidRPr="005E6081">
        <w:rPr>
          <w:rFonts w:ascii="Segoe UI" w:hAnsi="Segoe UI"/>
          <w:sz w:val="21"/>
        </w:rPr>
        <w:t>to</w:t>
      </w:r>
      <w:r w:rsidRPr="005E6081">
        <w:rPr>
          <w:rFonts w:ascii="Segoe UI" w:hAnsi="Segoe UI"/>
          <w:spacing w:val="-17"/>
          <w:sz w:val="21"/>
        </w:rPr>
        <w:t xml:space="preserve"> </w:t>
      </w:r>
      <w:r w:rsidRPr="005E6081">
        <w:rPr>
          <w:rFonts w:ascii="Segoe UI" w:hAnsi="Segoe UI"/>
          <w:sz w:val="21"/>
        </w:rPr>
        <w:t>agriculture,</w:t>
      </w:r>
      <w:r w:rsidRPr="005E6081">
        <w:rPr>
          <w:rFonts w:ascii="Segoe UI" w:hAnsi="Segoe UI"/>
          <w:spacing w:val="-16"/>
          <w:sz w:val="21"/>
        </w:rPr>
        <w:t xml:space="preserve"> </w:t>
      </w:r>
      <w:r w:rsidRPr="005E6081">
        <w:rPr>
          <w:rFonts w:ascii="Segoe UI" w:hAnsi="Segoe UI"/>
          <w:sz w:val="21"/>
        </w:rPr>
        <w:t>sustainable</w:t>
      </w:r>
      <w:r w:rsidRPr="005E6081">
        <w:rPr>
          <w:rFonts w:ascii="Segoe UI" w:hAnsi="Segoe UI"/>
          <w:spacing w:val="-16"/>
          <w:sz w:val="21"/>
        </w:rPr>
        <w:t xml:space="preserve"> </w:t>
      </w:r>
      <w:r w:rsidRPr="005E6081">
        <w:rPr>
          <w:rFonts w:ascii="Segoe UI" w:hAnsi="Segoe UI"/>
          <w:sz w:val="21"/>
        </w:rPr>
        <w:t>forest</w:t>
      </w:r>
      <w:r w:rsidRPr="005E6081">
        <w:rPr>
          <w:rFonts w:ascii="Segoe UI" w:hAnsi="Segoe UI"/>
          <w:spacing w:val="-15"/>
          <w:sz w:val="21"/>
        </w:rPr>
        <w:t xml:space="preserve"> </w:t>
      </w:r>
      <w:r w:rsidRPr="005E6081">
        <w:rPr>
          <w:rFonts w:ascii="Segoe UI" w:hAnsi="Segoe UI"/>
          <w:sz w:val="21"/>
        </w:rPr>
        <w:t xml:space="preserve">management, ecosystems and biodiversity, climate change mitigation, gender and agriculture or multi-focal area projects and demonstrated understanding of </w:t>
      </w:r>
      <w:r w:rsidRPr="005E6081">
        <w:rPr>
          <w:rFonts w:ascii="Segoe UI" w:hAnsi="Segoe UI"/>
          <w:sz w:val="21"/>
        </w:rPr>
        <w:lastRenderedPageBreak/>
        <w:t>these</w:t>
      </w:r>
      <w:r w:rsidRPr="005E6081">
        <w:rPr>
          <w:rFonts w:ascii="Segoe UI" w:hAnsi="Segoe UI"/>
          <w:spacing w:val="-5"/>
          <w:sz w:val="21"/>
        </w:rPr>
        <w:t xml:space="preserve"> </w:t>
      </w:r>
      <w:r w:rsidRPr="005E6081">
        <w:rPr>
          <w:rFonts w:ascii="Segoe UI" w:hAnsi="Segoe UI"/>
          <w:sz w:val="21"/>
        </w:rPr>
        <w:t>issues;</w:t>
      </w:r>
    </w:p>
    <w:p w14:paraId="4B7E67E6" w14:textId="77777777" w:rsidR="00E136A1" w:rsidRPr="005E6081" w:rsidRDefault="00E136A1" w:rsidP="00D80344">
      <w:pPr>
        <w:pStyle w:val="ListParagraph"/>
        <w:numPr>
          <w:ilvl w:val="1"/>
          <w:numId w:val="49"/>
        </w:numPr>
        <w:tabs>
          <w:tab w:val="left" w:pos="1220"/>
          <w:tab w:val="left" w:pos="1221"/>
        </w:tabs>
        <w:spacing w:before="165"/>
        <w:ind w:hanging="361"/>
        <w:rPr>
          <w:rFonts w:ascii="Segoe UI" w:hAnsi="Segoe UI"/>
          <w:sz w:val="21"/>
        </w:rPr>
      </w:pPr>
      <w:r w:rsidRPr="005E6081">
        <w:rPr>
          <w:rFonts w:ascii="Segoe UI" w:hAnsi="Segoe UI"/>
          <w:sz w:val="21"/>
        </w:rPr>
        <w:t>Experience working with the GEF and/or the evaluation of GEF-financed</w:t>
      </w:r>
      <w:r w:rsidRPr="005E6081">
        <w:rPr>
          <w:rFonts w:ascii="Segoe UI" w:hAnsi="Segoe UI"/>
          <w:spacing w:val="-10"/>
          <w:sz w:val="21"/>
        </w:rPr>
        <w:t xml:space="preserve"> </w:t>
      </w:r>
      <w:r w:rsidRPr="005E6081">
        <w:rPr>
          <w:rFonts w:ascii="Segoe UI" w:hAnsi="Segoe UI"/>
          <w:sz w:val="21"/>
        </w:rPr>
        <w:t>projects;</w:t>
      </w:r>
    </w:p>
    <w:p w14:paraId="4B64C5AF" w14:textId="77777777" w:rsidR="00E136A1" w:rsidRPr="005E6081" w:rsidRDefault="00E136A1" w:rsidP="00D80344">
      <w:pPr>
        <w:pStyle w:val="ListParagraph"/>
        <w:numPr>
          <w:ilvl w:val="1"/>
          <w:numId w:val="49"/>
        </w:numPr>
        <w:tabs>
          <w:tab w:val="left" w:pos="1221"/>
        </w:tabs>
        <w:spacing w:before="81" w:line="256" w:lineRule="auto"/>
        <w:ind w:right="1440"/>
        <w:jc w:val="both"/>
        <w:rPr>
          <w:rFonts w:ascii="Segoe UI" w:hAnsi="Segoe UI"/>
          <w:sz w:val="21"/>
        </w:rPr>
      </w:pPr>
      <w:r w:rsidRPr="005E6081">
        <w:rPr>
          <w:rFonts w:ascii="Segoe UI" w:hAnsi="Segoe UI"/>
          <w:sz w:val="21"/>
        </w:rPr>
        <w:t>Demonstrated understanding of issues related to gender and agriculture, commodities, value chains, deforestation, or climate change mitigation; experience in gender sensitive evaluation and</w:t>
      </w:r>
      <w:r w:rsidRPr="005E6081">
        <w:rPr>
          <w:rFonts w:ascii="Segoe UI" w:hAnsi="Segoe UI"/>
          <w:spacing w:val="-2"/>
          <w:sz w:val="21"/>
        </w:rPr>
        <w:t xml:space="preserve"> </w:t>
      </w:r>
      <w:r w:rsidRPr="005E6081">
        <w:rPr>
          <w:rFonts w:ascii="Segoe UI" w:hAnsi="Segoe UI"/>
          <w:sz w:val="21"/>
        </w:rPr>
        <w:t>analysis;</w:t>
      </w:r>
    </w:p>
    <w:p w14:paraId="7400B053" w14:textId="77777777" w:rsidR="00E136A1" w:rsidRPr="005E6081" w:rsidRDefault="00E136A1" w:rsidP="00D80344">
      <w:pPr>
        <w:pStyle w:val="ListParagraph"/>
        <w:numPr>
          <w:ilvl w:val="1"/>
          <w:numId w:val="49"/>
        </w:numPr>
        <w:tabs>
          <w:tab w:val="left" w:pos="1220"/>
          <w:tab w:val="left" w:pos="1221"/>
        </w:tabs>
        <w:spacing w:before="165"/>
        <w:ind w:hanging="361"/>
        <w:rPr>
          <w:rFonts w:ascii="Segoe UI" w:hAnsi="Segoe UI"/>
          <w:sz w:val="21"/>
        </w:rPr>
      </w:pPr>
      <w:r w:rsidRPr="005E6081">
        <w:rPr>
          <w:rFonts w:ascii="Segoe UI" w:hAnsi="Segoe UI"/>
          <w:sz w:val="21"/>
        </w:rPr>
        <w:t>Excellent report writing and analytical</w:t>
      </w:r>
      <w:r w:rsidRPr="005E6081">
        <w:rPr>
          <w:rFonts w:ascii="Segoe UI" w:hAnsi="Segoe UI"/>
          <w:spacing w:val="-7"/>
          <w:sz w:val="21"/>
        </w:rPr>
        <w:t xml:space="preserve"> </w:t>
      </w:r>
      <w:r w:rsidRPr="005E6081">
        <w:rPr>
          <w:rFonts w:ascii="Segoe UI" w:hAnsi="Segoe UI"/>
          <w:sz w:val="21"/>
        </w:rPr>
        <w:t>skills;</w:t>
      </w:r>
    </w:p>
    <w:p w14:paraId="5979539E" w14:textId="77777777" w:rsidR="00E136A1" w:rsidRPr="005E6081" w:rsidRDefault="00E136A1" w:rsidP="00D80344">
      <w:pPr>
        <w:pStyle w:val="ListParagraph"/>
        <w:numPr>
          <w:ilvl w:val="1"/>
          <w:numId w:val="49"/>
        </w:numPr>
        <w:tabs>
          <w:tab w:val="left" w:pos="1221"/>
        </w:tabs>
        <w:spacing w:before="186" w:line="256" w:lineRule="auto"/>
        <w:ind w:right="1435"/>
        <w:jc w:val="both"/>
        <w:rPr>
          <w:rFonts w:ascii="Segoe UI" w:hAnsi="Segoe UI"/>
          <w:sz w:val="21"/>
        </w:rPr>
      </w:pPr>
      <w:r w:rsidRPr="005E6081">
        <w:rPr>
          <w:rFonts w:ascii="Segoe UI" w:hAnsi="Segoe UI"/>
          <w:sz w:val="21"/>
        </w:rPr>
        <w:t>Project evaluation/review experiences  within  United  Nations  system will  be  considered  an asset;</w:t>
      </w:r>
    </w:p>
    <w:p w14:paraId="1E89AACB" w14:textId="77777777" w:rsidR="00E136A1" w:rsidRPr="005E6081" w:rsidRDefault="00E136A1" w:rsidP="00D80344">
      <w:pPr>
        <w:pStyle w:val="ListParagraph"/>
        <w:numPr>
          <w:ilvl w:val="1"/>
          <w:numId w:val="49"/>
        </w:numPr>
        <w:tabs>
          <w:tab w:val="left" w:pos="1221"/>
        </w:tabs>
        <w:spacing w:before="165" w:line="256" w:lineRule="auto"/>
        <w:ind w:right="1437"/>
        <w:jc w:val="both"/>
        <w:rPr>
          <w:rFonts w:ascii="Segoe UI" w:hAnsi="Segoe UI"/>
          <w:sz w:val="21"/>
        </w:rPr>
      </w:pPr>
      <w:r w:rsidRPr="005E6081">
        <w:rPr>
          <w:rFonts w:ascii="Segoe UI" w:hAnsi="Segoe UI"/>
          <w:sz w:val="21"/>
        </w:rPr>
        <w:t>Experience working in Latin America, West or Central Africa, and/or Asia will be considered an asset;</w:t>
      </w:r>
    </w:p>
    <w:p w14:paraId="2269F1C8" w14:textId="77777777" w:rsidR="00E136A1" w:rsidRPr="005E6081" w:rsidRDefault="00E136A1" w:rsidP="00D80344">
      <w:pPr>
        <w:pStyle w:val="ListParagraph"/>
        <w:numPr>
          <w:ilvl w:val="1"/>
          <w:numId w:val="49"/>
        </w:numPr>
        <w:tabs>
          <w:tab w:val="left" w:pos="1220"/>
          <w:tab w:val="left" w:pos="1221"/>
        </w:tabs>
        <w:spacing w:before="161"/>
        <w:ind w:hanging="361"/>
        <w:rPr>
          <w:rFonts w:ascii="Segoe UI" w:hAnsi="Segoe UI"/>
          <w:sz w:val="21"/>
        </w:rPr>
      </w:pPr>
      <w:r w:rsidRPr="005E6081">
        <w:rPr>
          <w:rFonts w:ascii="Segoe UI" w:hAnsi="Segoe UI"/>
          <w:sz w:val="21"/>
        </w:rPr>
        <w:t>Mastery of Bahasa Indonesia and/or Spanish will be considered an</w:t>
      </w:r>
      <w:r w:rsidRPr="005E6081">
        <w:rPr>
          <w:rFonts w:ascii="Segoe UI" w:hAnsi="Segoe UI"/>
          <w:spacing w:val="-8"/>
          <w:sz w:val="21"/>
        </w:rPr>
        <w:t xml:space="preserve"> </w:t>
      </w:r>
      <w:r w:rsidRPr="005E6081">
        <w:rPr>
          <w:rFonts w:ascii="Segoe UI" w:hAnsi="Segoe UI"/>
          <w:sz w:val="21"/>
        </w:rPr>
        <w:t>asset.</w:t>
      </w:r>
    </w:p>
    <w:p w14:paraId="556D5CCC" w14:textId="77777777" w:rsidR="00E136A1" w:rsidRPr="005E6081" w:rsidRDefault="00E136A1" w:rsidP="00D80344">
      <w:pPr>
        <w:pStyle w:val="ListParagraph"/>
        <w:numPr>
          <w:ilvl w:val="1"/>
          <w:numId w:val="49"/>
        </w:numPr>
        <w:tabs>
          <w:tab w:val="left" w:pos="1220"/>
          <w:tab w:val="left" w:pos="1221"/>
        </w:tabs>
        <w:spacing w:before="185"/>
        <w:ind w:hanging="361"/>
        <w:rPr>
          <w:rFonts w:ascii="Segoe UI" w:hAnsi="Segoe UI"/>
          <w:b/>
          <w:sz w:val="21"/>
        </w:rPr>
      </w:pPr>
      <w:r w:rsidRPr="005E6081">
        <w:rPr>
          <w:rFonts w:ascii="Segoe UI" w:hAnsi="Segoe UI"/>
          <w:b/>
          <w:sz w:val="21"/>
        </w:rPr>
        <w:t>Mandatory requirement: Mastery of the English</w:t>
      </w:r>
      <w:r w:rsidRPr="005E6081">
        <w:rPr>
          <w:rFonts w:ascii="Segoe UI" w:hAnsi="Segoe UI"/>
          <w:b/>
          <w:spacing w:val="-11"/>
          <w:sz w:val="21"/>
        </w:rPr>
        <w:t xml:space="preserve"> </w:t>
      </w:r>
      <w:r w:rsidRPr="005E6081">
        <w:rPr>
          <w:rFonts w:ascii="Segoe UI" w:hAnsi="Segoe UI"/>
          <w:b/>
          <w:sz w:val="21"/>
        </w:rPr>
        <w:t>language.</w:t>
      </w:r>
    </w:p>
    <w:p w14:paraId="5F8DE176" w14:textId="77777777" w:rsidR="00E136A1" w:rsidRPr="005E6081" w:rsidRDefault="00E136A1" w:rsidP="00E136A1">
      <w:pPr>
        <w:pStyle w:val="BodyText"/>
        <w:spacing w:before="7"/>
        <w:rPr>
          <w:rFonts w:ascii="Segoe UI"/>
          <w:b/>
          <w:sz w:val="34"/>
        </w:rPr>
      </w:pPr>
    </w:p>
    <w:p w14:paraId="610F6686" w14:textId="77777777" w:rsidR="00E136A1" w:rsidRPr="005E6081" w:rsidRDefault="00E136A1" w:rsidP="00D80344">
      <w:pPr>
        <w:pStyle w:val="ListParagraph"/>
        <w:numPr>
          <w:ilvl w:val="0"/>
          <w:numId w:val="49"/>
        </w:numPr>
        <w:tabs>
          <w:tab w:val="left" w:pos="951"/>
          <w:tab w:val="left" w:pos="952"/>
        </w:tabs>
        <w:spacing w:before="0"/>
        <w:ind w:hanging="361"/>
        <w:rPr>
          <w:rFonts w:ascii="Segoe UI"/>
          <w:b/>
          <w:sz w:val="21"/>
        </w:rPr>
      </w:pPr>
      <w:r w:rsidRPr="005E6081">
        <w:rPr>
          <w:rFonts w:ascii="Segoe UI"/>
          <w:b/>
          <w:sz w:val="21"/>
        </w:rPr>
        <w:t>International Agricultural Commodities</w:t>
      </w:r>
      <w:r w:rsidRPr="005E6081">
        <w:rPr>
          <w:rFonts w:ascii="Segoe UI"/>
          <w:b/>
          <w:spacing w:val="-6"/>
          <w:sz w:val="21"/>
        </w:rPr>
        <w:t xml:space="preserve"> </w:t>
      </w:r>
      <w:r w:rsidRPr="005E6081">
        <w:rPr>
          <w:rFonts w:ascii="Segoe UI"/>
          <w:b/>
          <w:sz w:val="21"/>
        </w:rPr>
        <w:t>Expert</w:t>
      </w:r>
    </w:p>
    <w:p w14:paraId="26DD09C8" w14:textId="77777777" w:rsidR="00E136A1" w:rsidRPr="005E6081" w:rsidRDefault="00E136A1" w:rsidP="00D80344">
      <w:pPr>
        <w:pStyle w:val="ListParagraph"/>
        <w:numPr>
          <w:ilvl w:val="1"/>
          <w:numId w:val="49"/>
        </w:numPr>
        <w:tabs>
          <w:tab w:val="left" w:pos="1221"/>
        </w:tabs>
        <w:spacing w:before="187" w:line="256" w:lineRule="auto"/>
        <w:ind w:right="1433"/>
        <w:jc w:val="both"/>
        <w:rPr>
          <w:rFonts w:ascii="Segoe UI" w:hAnsi="Segoe UI"/>
          <w:sz w:val="21"/>
        </w:rPr>
      </w:pPr>
      <w:r w:rsidRPr="005E6081">
        <w:rPr>
          <w:rFonts w:ascii="Segoe UI" w:hAnsi="Segoe UI"/>
          <w:sz w:val="21"/>
        </w:rPr>
        <w:t>A Master’s degree in business administration, international affairs, agriculture, forestry, environmental studies, natural sciences, social sciences, or other closely related</w:t>
      </w:r>
      <w:r w:rsidRPr="005E6081">
        <w:rPr>
          <w:rFonts w:ascii="Segoe UI" w:hAnsi="Segoe UI"/>
          <w:spacing w:val="-10"/>
          <w:sz w:val="21"/>
        </w:rPr>
        <w:t xml:space="preserve"> </w:t>
      </w:r>
      <w:r w:rsidRPr="005E6081">
        <w:rPr>
          <w:rFonts w:ascii="Segoe UI" w:hAnsi="Segoe UI"/>
          <w:sz w:val="21"/>
        </w:rPr>
        <w:t>field;</w:t>
      </w:r>
    </w:p>
    <w:p w14:paraId="08CD151A" w14:textId="77777777" w:rsidR="00E136A1" w:rsidRPr="005E6081" w:rsidRDefault="00E136A1" w:rsidP="00D80344">
      <w:pPr>
        <w:pStyle w:val="ListParagraph"/>
        <w:numPr>
          <w:ilvl w:val="1"/>
          <w:numId w:val="49"/>
        </w:numPr>
        <w:tabs>
          <w:tab w:val="left" w:pos="1220"/>
          <w:tab w:val="left" w:pos="1221"/>
        </w:tabs>
        <w:spacing w:before="160"/>
        <w:ind w:hanging="361"/>
        <w:rPr>
          <w:rFonts w:ascii="Segoe UI" w:hAnsi="Segoe UI"/>
          <w:sz w:val="21"/>
        </w:rPr>
      </w:pPr>
      <w:r w:rsidRPr="005E6081">
        <w:rPr>
          <w:rFonts w:ascii="Segoe UI" w:hAnsi="Segoe UI"/>
          <w:sz w:val="21"/>
        </w:rPr>
        <w:t>At least 5 years of experience working on sustainable agricultural</w:t>
      </w:r>
      <w:r w:rsidRPr="005E6081">
        <w:rPr>
          <w:rFonts w:ascii="Segoe UI" w:hAnsi="Segoe UI"/>
          <w:spacing w:val="-8"/>
          <w:sz w:val="21"/>
        </w:rPr>
        <w:t xml:space="preserve"> </w:t>
      </w:r>
      <w:r w:rsidRPr="005E6081">
        <w:rPr>
          <w:rFonts w:ascii="Segoe UI" w:hAnsi="Segoe UI"/>
          <w:sz w:val="21"/>
        </w:rPr>
        <w:t>commodities;</w:t>
      </w:r>
    </w:p>
    <w:p w14:paraId="3EAF38F3" w14:textId="77777777" w:rsidR="00E136A1" w:rsidRPr="005E6081" w:rsidRDefault="00E136A1" w:rsidP="00D80344">
      <w:pPr>
        <w:pStyle w:val="ListParagraph"/>
        <w:numPr>
          <w:ilvl w:val="1"/>
          <w:numId w:val="49"/>
        </w:numPr>
        <w:tabs>
          <w:tab w:val="left" w:pos="1220"/>
          <w:tab w:val="left" w:pos="1221"/>
        </w:tabs>
        <w:spacing w:before="184"/>
        <w:ind w:hanging="361"/>
        <w:rPr>
          <w:rFonts w:ascii="Segoe UI" w:hAnsi="Segoe UI"/>
          <w:sz w:val="21"/>
        </w:rPr>
      </w:pPr>
      <w:r w:rsidRPr="005E6081">
        <w:rPr>
          <w:rFonts w:ascii="Segoe UI" w:hAnsi="Segoe UI"/>
          <w:sz w:val="21"/>
        </w:rPr>
        <w:t>Experience working on palm oil and/or beef will be considered an</w:t>
      </w:r>
      <w:r w:rsidRPr="005E6081">
        <w:rPr>
          <w:rFonts w:ascii="Segoe UI" w:hAnsi="Segoe UI"/>
          <w:spacing w:val="-11"/>
          <w:sz w:val="21"/>
        </w:rPr>
        <w:t xml:space="preserve"> </w:t>
      </w:r>
      <w:r w:rsidRPr="005E6081">
        <w:rPr>
          <w:rFonts w:ascii="Segoe UI" w:hAnsi="Segoe UI"/>
          <w:sz w:val="21"/>
        </w:rPr>
        <w:t>asset;</w:t>
      </w:r>
    </w:p>
    <w:p w14:paraId="63288616" w14:textId="77777777" w:rsidR="00E136A1" w:rsidRPr="005E6081" w:rsidRDefault="00E136A1" w:rsidP="00D80344">
      <w:pPr>
        <w:pStyle w:val="ListParagraph"/>
        <w:numPr>
          <w:ilvl w:val="1"/>
          <w:numId w:val="49"/>
        </w:numPr>
        <w:tabs>
          <w:tab w:val="left" w:pos="1220"/>
          <w:tab w:val="left" w:pos="1221"/>
        </w:tabs>
        <w:spacing w:before="182"/>
        <w:ind w:hanging="361"/>
        <w:rPr>
          <w:rFonts w:ascii="Segoe UI" w:hAnsi="Segoe UI"/>
          <w:sz w:val="21"/>
        </w:rPr>
      </w:pPr>
      <w:r w:rsidRPr="005E6081">
        <w:rPr>
          <w:rFonts w:ascii="Segoe UI" w:hAnsi="Segoe UI"/>
          <w:sz w:val="21"/>
        </w:rPr>
        <w:t>At least 2 years of experience supporting project</w:t>
      </w:r>
      <w:r w:rsidRPr="005E6081">
        <w:rPr>
          <w:rFonts w:ascii="Segoe UI" w:hAnsi="Segoe UI"/>
          <w:spacing w:val="-3"/>
          <w:sz w:val="21"/>
        </w:rPr>
        <w:t xml:space="preserve"> </w:t>
      </w:r>
      <w:r w:rsidRPr="005E6081">
        <w:rPr>
          <w:rFonts w:ascii="Segoe UI" w:hAnsi="Segoe UI"/>
          <w:sz w:val="21"/>
        </w:rPr>
        <w:t>evaluations;</w:t>
      </w:r>
    </w:p>
    <w:p w14:paraId="24ACE298" w14:textId="77777777" w:rsidR="00E136A1" w:rsidRPr="005E6081" w:rsidRDefault="00E136A1" w:rsidP="00D80344">
      <w:pPr>
        <w:pStyle w:val="ListParagraph"/>
        <w:numPr>
          <w:ilvl w:val="1"/>
          <w:numId w:val="49"/>
        </w:numPr>
        <w:tabs>
          <w:tab w:val="left" w:pos="1221"/>
        </w:tabs>
        <w:spacing w:before="184" w:line="256" w:lineRule="auto"/>
        <w:ind w:right="1435"/>
        <w:jc w:val="both"/>
        <w:rPr>
          <w:rFonts w:ascii="Segoe UI" w:hAnsi="Segoe UI"/>
          <w:sz w:val="21"/>
        </w:rPr>
      </w:pPr>
      <w:r w:rsidRPr="005E6081">
        <w:rPr>
          <w:rFonts w:ascii="Segoe UI" w:hAnsi="Segoe UI"/>
          <w:sz w:val="21"/>
        </w:rPr>
        <w:t>Demonstrated understanding of issues related to gender and agriculture, commodities, value chains, deforestation, or climate change mitigation; experience in gender sensitive evaluation and</w:t>
      </w:r>
      <w:r w:rsidRPr="005E6081">
        <w:rPr>
          <w:rFonts w:ascii="Segoe UI" w:hAnsi="Segoe UI"/>
          <w:spacing w:val="-2"/>
          <w:sz w:val="21"/>
        </w:rPr>
        <w:t xml:space="preserve"> </w:t>
      </w:r>
      <w:r w:rsidRPr="005E6081">
        <w:rPr>
          <w:rFonts w:ascii="Segoe UI" w:hAnsi="Segoe UI"/>
          <w:sz w:val="21"/>
        </w:rPr>
        <w:t>analysis;</w:t>
      </w:r>
    </w:p>
    <w:p w14:paraId="177DAA94" w14:textId="77777777" w:rsidR="00E136A1" w:rsidRPr="005E6081" w:rsidRDefault="00E136A1" w:rsidP="00D80344">
      <w:pPr>
        <w:pStyle w:val="ListParagraph"/>
        <w:numPr>
          <w:ilvl w:val="1"/>
          <w:numId w:val="49"/>
        </w:numPr>
        <w:tabs>
          <w:tab w:val="left" w:pos="1220"/>
          <w:tab w:val="left" w:pos="1221"/>
        </w:tabs>
        <w:spacing w:before="166"/>
        <w:ind w:hanging="361"/>
        <w:rPr>
          <w:rFonts w:ascii="Segoe UI" w:hAnsi="Segoe UI"/>
          <w:sz w:val="21"/>
        </w:rPr>
      </w:pPr>
      <w:r w:rsidRPr="005E6081">
        <w:rPr>
          <w:rFonts w:ascii="Segoe UI" w:hAnsi="Segoe UI"/>
          <w:sz w:val="21"/>
        </w:rPr>
        <w:t>Experience working in Latin America, West or Central Africa, and/or</w:t>
      </w:r>
      <w:r w:rsidRPr="005E6081">
        <w:rPr>
          <w:rFonts w:ascii="Segoe UI" w:hAnsi="Segoe UI"/>
          <w:spacing w:val="-13"/>
          <w:sz w:val="21"/>
        </w:rPr>
        <w:t xml:space="preserve"> </w:t>
      </w:r>
      <w:r w:rsidRPr="005E6081">
        <w:rPr>
          <w:rFonts w:ascii="Segoe UI" w:hAnsi="Segoe UI"/>
          <w:sz w:val="21"/>
        </w:rPr>
        <w:t>Asia;</w:t>
      </w:r>
    </w:p>
    <w:p w14:paraId="4B059C93" w14:textId="77777777" w:rsidR="00E136A1" w:rsidRPr="005E6081" w:rsidRDefault="00E136A1" w:rsidP="00D80344">
      <w:pPr>
        <w:pStyle w:val="ListParagraph"/>
        <w:numPr>
          <w:ilvl w:val="1"/>
          <w:numId w:val="49"/>
        </w:numPr>
        <w:tabs>
          <w:tab w:val="left" w:pos="1221"/>
        </w:tabs>
        <w:spacing w:before="184" w:line="256" w:lineRule="auto"/>
        <w:ind w:right="1440"/>
        <w:jc w:val="both"/>
        <w:rPr>
          <w:rFonts w:ascii="Segoe UI" w:hAnsi="Segoe UI"/>
          <w:sz w:val="21"/>
        </w:rPr>
      </w:pPr>
      <w:r w:rsidRPr="005E6081">
        <w:rPr>
          <w:rFonts w:ascii="Segoe UI" w:hAnsi="Segoe UI"/>
          <w:sz w:val="21"/>
        </w:rPr>
        <w:t>Project evaluation/review experiences within United Nations system will be considered an asset.</w:t>
      </w:r>
    </w:p>
    <w:p w14:paraId="31547EB5" w14:textId="77777777" w:rsidR="00E136A1" w:rsidRPr="005E6081" w:rsidRDefault="00E136A1" w:rsidP="00D80344">
      <w:pPr>
        <w:pStyle w:val="ListParagraph"/>
        <w:numPr>
          <w:ilvl w:val="1"/>
          <w:numId w:val="49"/>
        </w:numPr>
        <w:tabs>
          <w:tab w:val="left" w:pos="1220"/>
          <w:tab w:val="left" w:pos="1221"/>
        </w:tabs>
        <w:spacing w:before="163"/>
        <w:ind w:hanging="361"/>
        <w:rPr>
          <w:rFonts w:ascii="Segoe UI" w:hAnsi="Segoe UI"/>
          <w:sz w:val="21"/>
        </w:rPr>
      </w:pPr>
      <w:r w:rsidRPr="005E6081">
        <w:rPr>
          <w:rFonts w:ascii="Segoe UI" w:hAnsi="Segoe UI"/>
          <w:sz w:val="21"/>
        </w:rPr>
        <w:t>Experience working with GEF-financed projects will be considered an</w:t>
      </w:r>
      <w:r w:rsidRPr="005E6081">
        <w:rPr>
          <w:rFonts w:ascii="Segoe UI" w:hAnsi="Segoe UI"/>
          <w:spacing w:val="-11"/>
          <w:sz w:val="21"/>
        </w:rPr>
        <w:t xml:space="preserve"> </w:t>
      </w:r>
      <w:r w:rsidRPr="005E6081">
        <w:rPr>
          <w:rFonts w:ascii="Segoe UI" w:hAnsi="Segoe UI"/>
          <w:sz w:val="21"/>
        </w:rPr>
        <w:t>asset;</w:t>
      </w:r>
    </w:p>
    <w:p w14:paraId="118DAE4A" w14:textId="77777777" w:rsidR="00E136A1" w:rsidRPr="005E6081" w:rsidRDefault="00E136A1" w:rsidP="00D80344">
      <w:pPr>
        <w:pStyle w:val="ListParagraph"/>
        <w:numPr>
          <w:ilvl w:val="1"/>
          <w:numId w:val="49"/>
        </w:numPr>
        <w:tabs>
          <w:tab w:val="left" w:pos="1220"/>
          <w:tab w:val="left" w:pos="1221"/>
        </w:tabs>
        <w:spacing w:before="182"/>
        <w:ind w:hanging="361"/>
        <w:rPr>
          <w:rFonts w:ascii="Segoe UI" w:hAnsi="Segoe UI"/>
          <w:sz w:val="21"/>
        </w:rPr>
      </w:pPr>
      <w:r w:rsidRPr="005E6081">
        <w:rPr>
          <w:rFonts w:ascii="Segoe UI" w:hAnsi="Segoe UI"/>
          <w:sz w:val="21"/>
        </w:rPr>
        <w:t>Mastery of Bahasa Indonesia and/or Spanish will be considered an</w:t>
      </w:r>
      <w:r w:rsidRPr="005E6081">
        <w:rPr>
          <w:rFonts w:ascii="Segoe UI" w:hAnsi="Segoe UI"/>
          <w:spacing w:val="-8"/>
          <w:sz w:val="21"/>
        </w:rPr>
        <w:t xml:space="preserve"> </w:t>
      </w:r>
      <w:r w:rsidRPr="005E6081">
        <w:rPr>
          <w:rFonts w:ascii="Segoe UI" w:hAnsi="Segoe UI"/>
          <w:sz w:val="21"/>
        </w:rPr>
        <w:t>asset.</w:t>
      </w:r>
    </w:p>
    <w:p w14:paraId="0363F9C5" w14:textId="77777777" w:rsidR="00E136A1" w:rsidRPr="005E6081" w:rsidRDefault="00E136A1" w:rsidP="00D80344">
      <w:pPr>
        <w:pStyle w:val="ListParagraph"/>
        <w:numPr>
          <w:ilvl w:val="1"/>
          <w:numId w:val="49"/>
        </w:numPr>
        <w:tabs>
          <w:tab w:val="left" w:pos="1220"/>
          <w:tab w:val="left" w:pos="1221"/>
        </w:tabs>
        <w:spacing w:before="182"/>
        <w:ind w:hanging="361"/>
        <w:rPr>
          <w:rFonts w:ascii="Segoe UI" w:hAnsi="Segoe UI"/>
          <w:b/>
          <w:sz w:val="21"/>
        </w:rPr>
      </w:pPr>
      <w:r w:rsidRPr="005E6081">
        <w:rPr>
          <w:rFonts w:ascii="Segoe UI" w:hAnsi="Segoe UI"/>
          <w:b/>
          <w:sz w:val="21"/>
        </w:rPr>
        <w:t>Mandatory requirement: Mastery of the English</w:t>
      </w:r>
      <w:r w:rsidRPr="005E6081">
        <w:rPr>
          <w:rFonts w:ascii="Segoe UI" w:hAnsi="Segoe UI"/>
          <w:b/>
          <w:spacing w:val="-11"/>
          <w:sz w:val="21"/>
        </w:rPr>
        <w:t xml:space="preserve"> </w:t>
      </w:r>
      <w:r w:rsidRPr="005E6081">
        <w:rPr>
          <w:rFonts w:ascii="Segoe UI" w:hAnsi="Segoe UI"/>
          <w:b/>
          <w:sz w:val="21"/>
        </w:rPr>
        <w:t>language.</w:t>
      </w:r>
    </w:p>
    <w:p w14:paraId="2D71A67A" w14:textId="77777777" w:rsidR="00E136A1" w:rsidRPr="005E6081" w:rsidRDefault="00E136A1" w:rsidP="00E136A1">
      <w:pPr>
        <w:pStyle w:val="BodyText"/>
        <w:spacing w:before="10"/>
        <w:rPr>
          <w:rFonts w:ascii="Segoe UI"/>
          <w:b/>
          <w:sz w:val="34"/>
        </w:rPr>
      </w:pPr>
    </w:p>
    <w:p w14:paraId="7C0C5ABA" w14:textId="77777777" w:rsidR="00E136A1" w:rsidRPr="005E6081" w:rsidRDefault="00E136A1" w:rsidP="00D80344">
      <w:pPr>
        <w:pStyle w:val="ListParagraph"/>
        <w:numPr>
          <w:ilvl w:val="0"/>
          <w:numId w:val="49"/>
        </w:numPr>
        <w:tabs>
          <w:tab w:val="left" w:pos="951"/>
          <w:tab w:val="left" w:pos="952"/>
        </w:tabs>
        <w:spacing w:before="0"/>
        <w:ind w:hanging="361"/>
        <w:rPr>
          <w:rFonts w:ascii="Segoe UI"/>
          <w:b/>
          <w:sz w:val="21"/>
        </w:rPr>
      </w:pPr>
      <w:r w:rsidRPr="005E6081">
        <w:rPr>
          <w:rFonts w:ascii="Segoe UI"/>
          <w:b/>
          <w:sz w:val="21"/>
        </w:rPr>
        <w:t>Evaluation Experts (Indonesia, Liberia,</w:t>
      </w:r>
      <w:r w:rsidRPr="005E6081">
        <w:rPr>
          <w:rFonts w:ascii="Segoe UI"/>
          <w:b/>
          <w:spacing w:val="-1"/>
          <w:sz w:val="21"/>
        </w:rPr>
        <w:t xml:space="preserve"> </w:t>
      </w:r>
      <w:r w:rsidRPr="005E6081">
        <w:rPr>
          <w:rFonts w:ascii="Segoe UI"/>
          <w:b/>
          <w:sz w:val="21"/>
        </w:rPr>
        <w:t>Paraguay)</w:t>
      </w:r>
    </w:p>
    <w:p w14:paraId="01018B8F" w14:textId="77777777" w:rsidR="00E136A1" w:rsidRPr="005E6081" w:rsidRDefault="00E136A1" w:rsidP="00D80344">
      <w:pPr>
        <w:pStyle w:val="ListParagraph"/>
        <w:numPr>
          <w:ilvl w:val="1"/>
          <w:numId w:val="49"/>
        </w:numPr>
        <w:tabs>
          <w:tab w:val="left" w:pos="1221"/>
        </w:tabs>
        <w:spacing w:before="184" w:line="256" w:lineRule="auto"/>
        <w:ind w:right="1436"/>
        <w:jc w:val="both"/>
        <w:rPr>
          <w:rFonts w:ascii="Segoe UI" w:hAnsi="Segoe UI"/>
          <w:sz w:val="21"/>
        </w:rPr>
      </w:pPr>
      <w:r w:rsidRPr="005E6081">
        <w:rPr>
          <w:rFonts w:ascii="Segoe UI" w:hAnsi="Segoe UI"/>
          <w:sz w:val="21"/>
        </w:rPr>
        <w:t>A</w:t>
      </w:r>
      <w:r w:rsidRPr="005E6081">
        <w:rPr>
          <w:rFonts w:ascii="Segoe UI" w:hAnsi="Segoe UI"/>
          <w:spacing w:val="-3"/>
          <w:sz w:val="21"/>
        </w:rPr>
        <w:t xml:space="preserve"> </w:t>
      </w:r>
      <w:r w:rsidRPr="005E6081">
        <w:rPr>
          <w:rFonts w:ascii="Segoe UI" w:hAnsi="Segoe UI"/>
          <w:sz w:val="21"/>
        </w:rPr>
        <w:t>Bachelor´s</w:t>
      </w:r>
      <w:r w:rsidRPr="005E6081">
        <w:rPr>
          <w:rFonts w:ascii="Segoe UI" w:hAnsi="Segoe UI"/>
          <w:spacing w:val="-13"/>
          <w:sz w:val="21"/>
        </w:rPr>
        <w:t xml:space="preserve"> </w:t>
      </w:r>
      <w:r w:rsidRPr="005E6081">
        <w:rPr>
          <w:rFonts w:ascii="Segoe UI" w:hAnsi="Segoe UI"/>
          <w:sz w:val="21"/>
        </w:rPr>
        <w:t>degree</w:t>
      </w:r>
      <w:r w:rsidRPr="005E6081">
        <w:rPr>
          <w:rFonts w:ascii="Segoe UI" w:hAnsi="Segoe UI"/>
          <w:spacing w:val="-12"/>
          <w:sz w:val="21"/>
        </w:rPr>
        <w:t xml:space="preserve"> </w:t>
      </w:r>
      <w:r w:rsidRPr="005E6081">
        <w:rPr>
          <w:rFonts w:ascii="Segoe UI" w:hAnsi="Segoe UI"/>
          <w:sz w:val="21"/>
        </w:rPr>
        <w:t>in</w:t>
      </w:r>
      <w:r w:rsidRPr="005E6081">
        <w:rPr>
          <w:rFonts w:ascii="Segoe UI" w:hAnsi="Segoe UI"/>
          <w:spacing w:val="-2"/>
          <w:sz w:val="21"/>
        </w:rPr>
        <w:t xml:space="preserve"> </w:t>
      </w:r>
      <w:r w:rsidRPr="005E6081">
        <w:rPr>
          <w:rFonts w:ascii="Segoe UI" w:hAnsi="Segoe UI"/>
          <w:sz w:val="21"/>
        </w:rPr>
        <w:t>international</w:t>
      </w:r>
      <w:r w:rsidRPr="005E6081">
        <w:rPr>
          <w:rFonts w:ascii="Segoe UI" w:hAnsi="Segoe UI"/>
          <w:spacing w:val="-13"/>
          <w:sz w:val="21"/>
        </w:rPr>
        <w:t xml:space="preserve"> </w:t>
      </w:r>
      <w:r w:rsidRPr="005E6081">
        <w:rPr>
          <w:rFonts w:ascii="Segoe UI" w:hAnsi="Segoe UI"/>
          <w:sz w:val="21"/>
        </w:rPr>
        <w:t>affairs,</w:t>
      </w:r>
      <w:r w:rsidRPr="005E6081">
        <w:rPr>
          <w:rFonts w:ascii="Segoe UI" w:hAnsi="Segoe UI"/>
          <w:spacing w:val="-15"/>
          <w:sz w:val="21"/>
        </w:rPr>
        <w:t xml:space="preserve"> </w:t>
      </w:r>
      <w:r w:rsidRPr="005E6081">
        <w:rPr>
          <w:rFonts w:ascii="Segoe UI" w:hAnsi="Segoe UI"/>
          <w:sz w:val="21"/>
        </w:rPr>
        <w:t>agriculture,</w:t>
      </w:r>
      <w:r w:rsidRPr="005E6081">
        <w:rPr>
          <w:rFonts w:ascii="Segoe UI" w:hAnsi="Segoe UI"/>
          <w:spacing w:val="-15"/>
          <w:sz w:val="21"/>
        </w:rPr>
        <w:t xml:space="preserve"> </w:t>
      </w:r>
      <w:r w:rsidRPr="005E6081">
        <w:rPr>
          <w:rFonts w:ascii="Segoe UI" w:hAnsi="Segoe UI"/>
          <w:sz w:val="21"/>
        </w:rPr>
        <w:t>forestry,</w:t>
      </w:r>
      <w:r w:rsidRPr="005E6081">
        <w:rPr>
          <w:rFonts w:ascii="Segoe UI" w:hAnsi="Segoe UI"/>
          <w:spacing w:val="-12"/>
          <w:sz w:val="21"/>
        </w:rPr>
        <w:t xml:space="preserve"> </w:t>
      </w:r>
      <w:r w:rsidRPr="005E6081">
        <w:rPr>
          <w:rFonts w:ascii="Segoe UI" w:hAnsi="Segoe UI"/>
          <w:sz w:val="21"/>
        </w:rPr>
        <w:t>environmental</w:t>
      </w:r>
      <w:r w:rsidRPr="005E6081">
        <w:rPr>
          <w:rFonts w:ascii="Segoe UI" w:hAnsi="Segoe UI"/>
          <w:spacing w:val="-16"/>
          <w:sz w:val="21"/>
        </w:rPr>
        <w:t xml:space="preserve"> </w:t>
      </w:r>
      <w:r w:rsidRPr="005E6081">
        <w:rPr>
          <w:rFonts w:ascii="Segoe UI" w:hAnsi="Segoe UI"/>
          <w:sz w:val="21"/>
        </w:rPr>
        <w:lastRenderedPageBreak/>
        <w:t>studies,</w:t>
      </w:r>
      <w:r w:rsidRPr="005E6081">
        <w:rPr>
          <w:rFonts w:ascii="Segoe UI" w:hAnsi="Segoe UI"/>
          <w:spacing w:val="-15"/>
          <w:sz w:val="21"/>
        </w:rPr>
        <w:t xml:space="preserve"> </w:t>
      </w:r>
      <w:r w:rsidRPr="005E6081">
        <w:rPr>
          <w:rFonts w:ascii="Segoe UI" w:hAnsi="Segoe UI"/>
          <w:sz w:val="21"/>
        </w:rPr>
        <w:t>natural sciences, social sciences, or other closely related</w:t>
      </w:r>
      <w:r w:rsidRPr="005E6081">
        <w:rPr>
          <w:rFonts w:ascii="Segoe UI" w:hAnsi="Segoe UI"/>
          <w:spacing w:val="-1"/>
          <w:sz w:val="21"/>
        </w:rPr>
        <w:t xml:space="preserve"> </w:t>
      </w:r>
      <w:r w:rsidRPr="005E6081">
        <w:rPr>
          <w:rFonts w:ascii="Segoe UI" w:hAnsi="Segoe UI"/>
          <w:sz w:val="21"/>
        </w:rPr>
        <w:t>field;</w:t>
      </w:r>
    </w:p>
    <w:p w14:paraId="33539556" w14:textId="77777777" w:rsidR="00E136A1" w:rsidRPr="005E6081" w:rsidRDefault="00E136A1" w:rsidP="00D80344">
      <w:pPr>
        <w:pStyle w:val="ListParagraph"/>
        <w:numPr>
          <w:ilvl w:val="1"/>
          <w:numId w:val="49"/>
        </w:numPr>
        <w:tabs>
          <w:tab w:val="left" w:pos="1221"/>
        </w:tabs>
        <w:spacing w:before="81" w:line="259" w:lineRule="auto"/>
        <w:ind w:right="1788"/>
        <w:jc w:val="both"/>
        <w:rPr>
          <w:rFonts w:ascii="Segoe UI"/>
          <w:sz w:val="21"/>
        </w:rPr>
      </w:pPr>
      <w:r w:rsidRPr="005E6081">
        <w:rPr>
          <w:rFonts w:ascii="Segoe UI" w:hAnsi="Segoe UI"/>
          <w:sz w:val="21"/>
        </w:rPr>
        <w:t>At least 2 years of experience in project design, monitoring and/or evaluation; At least 2</w:t>
      </w:r>
      <w:r w:rsidRPr="005E6081">
        <w:rPr>
          <w:rFonts w:ascii="Segoe UI" w:hAnsi="Segoe UI"/>
          <w:spacing w:val="-35"/>
          <w:sz w:val="21"/>
        </w:rPr>
        <w:t xml:space="preserve"> </w:t>
      </w:r>
      <w:r w:rsidRPr="005E6081">
        <w:rPr>
          <w:rFonts w:ascii="Segoe UI" w:hAnsi="Segoe UI"/>
          <w:sz w:val="21"/>
        </w:rPr>
        <w:t>years of</w:t>
      </w:r>
      <w:r w:rsidRPr="005E6081">
        <w:rPr>
          <w:rFonts w:ascii="Segoe UI" w:hAnsi="Segoe UI"/>
          <w:spacing w:val="-13"/>
          <w:sz w:val="21"/>
        </w:rPr>
        <w:t xml:space="preserve"> </w:t>
      </w:r>
      <w:r w:rsidRPr="005E6081">
        <w:rPr>
          <w:rFonts w:ascii="Segoe UI" w:hAnsi="Segoe UI"/>
          <w:sz w:val="21"/>
        </w:rPr>
        <w:t>experience</w:t>
      </w:r>
      <w:r w:rsidRPr="005E6081">
        <w:rPr>
          <w:rFonts w:ascii="Segoe UI" w:hAnsi="Segoe UI"/>
          <w:spacing w:val="-16"/>
          <w:sz w:val="21"/>
        </w:rPr>
        <w:t xml:space="preserve"> </w:t>
      </w:r>
      <w:r w:rsidRPr="005E6081">
        <w:rPr>
          <w:rFonts w:ascii="Segoe UI" w:hAnsi="Segoe UI"/>
          <w:sz w:val="21"/>
        </w:rPr>
        <w:t>working</w:t>
      </w:r>
      <w:r w:rsidRPr="005E6081">
        <w:rPr>
          <w:rFonts w:ascii="Segoe UI" w:hAnsi="Segoe UI"/>
          <w:spacing w:val="-13"/>
          <w:sz w:val="21"/>
        </w:rPr>
        <w:t xml:space="preserve"> </w:t>
      </w:r>
      <w:r w:rsidRPr="005E6081">
        <w:rPr>
          <w:rFonts w:ascii="Segoe UI" w:hAnsi="Segoe UI"/>
          <w:sz w:val="21"/>
        </w:rPr>
        <w:t>in</w:t>
      </w:r>
      <w:r w:rsidRPr="005E6081">
        <w:rPr>
          <w:rFonts w:ascii="Segoe UI" w:hAnsi="Segoe UI"/>
          <w:spacing w:val="-13"/>
          <w:sz w:val="21"/>
        </w:rPr>
        <w:t xml:space="preserve"> </w:t>
      </w:r>
      <w:r w:rsidRPr="005E6081">
        <w:rPr>
          <w:rFonts w:ascii="Segoe UI" w:hAnsi="Segoe UI"/>
          <w:sz w:val="21"/>
        </w:rPr>
        <w:t>the</w:t>
      </w:r>
      <w:r w:rsidRPr="005E6081">
        <w:rPr>
          <w:rFonts w:ascii="Segoe UI" w:hAnsi="Segoe UI"/>
          <w:spacing w:val="-1"/>
          <w:sz w:val="21"/>
        </w:rPr>
        <w:t xml:space="preserve"> </w:t>
      </w:r>
      <w:r w:rsidRPr="005E6081">
        <w:rPr>
          <w:rFonts w:ascii="Segoe UI" w:hAnsi="Segoe UI"/>
          <w:sz w:val="21"/>
        </w:rPr>
        <w:t>agricultural</w:t>
      </w:r>
      <w:r w:rsidRPr="005E6081">
        <w:rPr>
          <w:rFonts w:ascii="Segoe UI" w:hAnsi="Segoe UI"/>
          <w:spacing w:val="-1"/>
          <w:sz w:val="21"/>
        </w:rPr>
        <w:t xml:space="preserve"> </w:t>
      </w:r>
      <w:r w:rsidRPr="005E6081">
        <w:rPr>
          <w:rFonts w:ascii="Segoe UI" w:hAnsi="Segoe UI"/>
          <w:sz w:val="21"/>
        </w:rPr>
        <w:t>commodities</w:t>
      </w:r>
      <w:r w:rsidRPr="005E6081">
        <w:rPr>
          <w:rFonts w:ascii="Segoe UI" w:hAnsi="Segoe UI"/>
          <w:spacing w:val="-12"/>
          <w:sz w:val="21"/>
        </w:rPr>
        <w:t xml:space="preserve"> </w:t>
      </w:r>
      <w:r w:rsidRPr="005E6081">
        <w:rPr>
          <w:rFonts w:ascii="Segoe UI" w:hAnsi="Segoe UI"/>
          <w:sz w:val="21"/>
        </w:rPr>
        <w:t>sector</w:t>
      </w:r>
      <w:r w:rsidRPr="005E6081">
        <w:rPr>
          <w:rFonts w:ascii="Segoe UI" w:hAnsi="Segoe UI"/>
          <w:spacing w:val="-3"/>
          <w:sz w:val="21"/>
        </w:rPr>
        <w:t xml:space="preserve"> </w:t>
      </w:r>
      <w:r w:rsidRPr="005E6081">
        <w:rPr>
          <w:rFonts w:ascii="Segoe UI" w:hAnsi="Segoe UI"/>
          <w:sz w:val="21"/>
        </w:rPr>
        <w:t>of</w:t>
      </w:r>
      <w:r w:rsidRPr="005E6081">
        <w:rPr>
          <w:rFonts w:ascii="Segoe UI" w:hAnsi="Segoe UI"/>
          <w:spacing w:val="-12"/>
          <w:sz w:val="21"/>
        </w:rPr>
        <w:t xml:space="preserve"> </w:t>
      </w:r>
      <w:r w:rsidRPr="005E6081">
        <w:rPr>
          <w:rFonts w:ascii="Segoe UI" w:hAnsi="Segoe UI"/>
          <w:sz w:val="21"/>
        </w:rPr>
        <w:t>relevance</w:t>
      </w:r>
      <w:r w:rsidRPr="005E6081">
        <w:rPr>
          <w:rFonts w:ascii="Segoe UI" w:hAnsi="Segoe UI"/>
          <w:spacing w:val="-14"/>
          <w:sz w:val="21"/>
        </w:rPr>
        <w:t xml:space="preserve"> </w:t>
      </w:r>
      <w:r w:rsidRPr="005E6081">
        <w:rPr>
          <w:rFonts w:ascii="Segoe UI" w:hAnsi="Segoe UI"/>
          <w:sz w:val="21"/>
        </w:rPr>
        <w:t>to</w:t>
      </w:r>
      <w:r w:rsidRPr="005E6081">
        <w:rPr>
          <w:rFonts w:ascii="Segoe UI" w:hAnsi="Segoe UI"/>
          <w:spacing w:val="-10"/>
          <w:sz w:val="21"/>
        </w:rPr>
        <w:t xml:space="preserve"> </w:t>
      </w:r>
      <w:r w:rsidRPr="005E6081">
        <w:rPr>
          <w:rFonts w:ascii="Segoe UI" w:hAnsi="Segoe UI"/>
          <w:sz w:val="21"/>
        </w:rPr>
        <w:t>the</w:t>
      </w:r>
      <w:r w:rsidRPr="005E6081">
        <w:rPr>
          <w:rFonts w:ascii="Segoe UI" w:hAnsi="Segoe UI"/>
          <w:spacing w:val="-14"/>
          <w:sz w:val="21"/>
        </w:rPr>
        <w:t xml:space="preserve"> </w:t>
      </w:r>
      <w:r w:rsidRPr="005E6081">
        <w:rPr>
          <w:rFonts w:ascii="Segoe UI" w:hAnsi="Segoe UI"/>
          <w:sz w:val="21"/>
        </w:rPr>
        <w:t>country</w:t>
      </w:r>
      <w:r w:rsidRPr="005E6081">
        <w:rPr>
          <w:rFonts w:ascii="Segoe UI" w:hAnsi="Segoe UI"/>
          <w:spacing w:val="-13"/>
          <w:sz w:val="21"/>
        </w:rPr>
        <w:t xml:space="preserve"> </w:t>
      </w:r>
      <w:r w:rsidRPr="005E6081">
        <w:rPr>
          <w:rFonts w:ascii="Segoe UI" w:hAnsi="Segoe UI"/>
          <w:sz w:val="21"/>
        </w:rPr>
        <w:t xml:space="preserve">(palm </w:t>
      </w:r>
      <w:r w:rsidRPr="005E6081">
        <w:rPr>
          <w:rFonts w:ascii="Segoe UI"/>
          <w:sz w:val="21"/>
        </w:rPr>
        <w:t>oil for Indonesia and Liberia, beef for Paraguay) and excellent understanding of the local context especially related to commodities production and deforestation;</w:t>
      </w:r>
    </w:p>
    <w:p w14:paraId="2894DA6A" w14:textId="77777777" w:rsidR="00E136A1" w:rsidRPr="005E6081" w:rsidRDefault="00E136A1" w:rsidP="00D80344">
      <w:pPr>
        <w:pStyle w:val="ListParagraph"/>
        <w:numPr>
          <w:ilvl w:val="1"/>
          <w:numId w:val="49"/>
        </w:numPr>
        <w:tabs>
          <w:tab w:val="left" w:pos="1220"/>
          <w:tab w:val="left" w:pos="1221"/>
        </w:tabs>
        <w:spacing w:before="158"/>
        <w:ind w:hanging="361"/>
        <w:rPr>
          <w:rFonts w:ascii="Segoe UI" w:hAnsi="Segoe UI"/>
          <w:sz w:val="21"/>
        </w:rPr>
      </w:pPr>
      <w:r w:rsidRPr="005E6081">
        <w:rPr>
          <w:rFonts w:ascii="Segoe UI" w:hAnsi="Segoe UI"/>
          <w:sz w:val="21"/>
        </w:rPr>
        <w:t>Experience working with GEF-financed projects will be considered an</w:t>
      </w:r>
      <w:r w:rsidRPr="005E6081">
        <w:rPr>
          <w:rFonts w:ascii="Segoe UI" w:hAnsi="Segoe UI"/>
          <w:spacing w:val="-11"/>
          <w:sz w:val="21"/>
        </w:rPr>
        <w:t xml:space="preserve"> </w:t>
      </w:r>
      <w:r w:rsidRPr="005E6081">
        <w:rPr>
          <w:rFonts w:ascii="Segoe UI" w:hAnsi="Segoe UI"/>
          <w:sz w:val="21"/>
        </w:rPr>
        <w:t>asset;</w:t>
      </w:r>
    </w:p>
    <w:p w14:paraId="718BCF23" w14:textId="77777777" w:rsidR="00E136A1" w:rsidRPr="005E6081" w:rsidRDefault="00E136A1" w:rsidP="00D80344">
      <w:pPr>
        <w:pStyle w:val="ListParagraph"/>
        <w:numPr>
          <w:ilvl w:val="1"/>
          <w:numId w:val="49"/>
        </w:numPr>
        <w:tabs>
          <w:tab w:val="left" w:pos="1220"/>
          <w:tab w:val="left" w:pos="1221"/>
        </w:tabs>
        <w:spacing w:before="181"/>
        <w:ind w:hanging="361"/>
        <w:rPr>
          <w:rFonts w:ascii="Segoe UI" w:hAnsi="Segoe UI"/>
          <w:sz w:val="21"/>
        </w:rPr>
      </w:pPr>
      <w:r w:rsidRPr="005E6081">
        <w:rPr>
          <w:rFonts w:ascii="Segoe UI" w:hAnsi="Segoe UI"/>
          <w:sz w:val="21"/>
        </w:rPr>
        <w:t>Experience of engaging with the private sector, government and civil</w:t>
      </w:r>
      <w:r w:rsidRPr="005E6081">
        <w:rPr>
          <w:rFonts w:ascii="Segoe UI" w:hAnsi="Segoe UI"/>
          <w:spacing w:val="-9"/>
          <w:sz w:val="21"/>
        </w:rPr>
        <w:t xml:space="preserve"> </w:t>
      </w:r>
      <w:r w:rsidRPr="005E6081">
        <w:rPr>
          <w:rFonts w:ascii="Segoe UI" w:hAnsi="Segoe UI"/>
          <w:sz w:val="21"/>
        </w:rPr>
        <w:t>society;</w:t>
      </w:r>
    </w:p>
    <w:p w14:paraId="1B9663DF" w14:textId="77777777" w:rsidR="00E136A1" w:rsidRPr="005E6081" w:rsidRDefault="00E136A1" w:rsidP="00D80344">
      <w:pPr>
        <w:pStyle w:val="ListParagraph"/>
        <w:numPr>
          <w:ilvl w:val="1"/>
          <w:numId w:val="49"/>
        </w:numPr>
        <w:tabs>
          <w:tab w:val="left" w:pos="1221"/>
        </w:tabs>
        <w:spacing w:before="184" w:line="259" w:lineRule="auto"/>
        <w:ind w:right="1433"/>
        <w:jc w:val="both"/>
        <w:rPr>
          <w:rFonts w:ascii="Segoe UI" w:hAnsi="Segoe UI"/>
          <w:b/>
          <w:sz w:val="21"/>
        </w:rPr>
      </w:pPr>
      <w:r w:rsidRPr="005E6081">
        <w:rPr>
          <w:rFonts w:ascii="Segoe UI" w:hAnsi="Segoe UI"/>
          <w:b/>
          <w:sz w:val="21"/>
        </w:rPr>
        <w:t>Mandatory requirement: Mastery of the English and relevant national languages (Bahasa   Indonesia for   Indonesia national   evaluation   expert,   Spanish for  Paraguay national evaluation</w:t>
      </w:r>
      <w:r w:rsidRPr="005E6081">
        <w:rPr>
          <w:rFonts w:ascii="Segoe UI" w:hAnsi="Segoe UI"/>
          <w:b/>
          <w:spacing w:val="-6"/>
          <w:sz w:val="21"/>
        </w:rPr>
        <w:t xml:space="preserve"> </w:t>
      </w:r>
      <w:r w:rsidRPr="005E6081">
        <w:rPr>
          <w:rFonts w:ascii="Segoe UI" w:hAnsi="Segoe UI"/>
          <w:b/>
          <w:sz w:val="21"/>
        </w:rPr>
        <w:t>expert).</w:t>
      </w:r>
    </w:p>
    <w:p w14:paraId="73821E54" w14:textId="77777777" w:rsidR="00E136A1" w:rsidRPr="005E6081" w:rsidRDefault="00E136A1" w:rsidP="00E136A1">
      <w:pPr>
        <w:pStyle w:val="BodyText"/>
        <w:spacing w:before="11"/>
        <w:rPr>
          <w:rFonts w:ascii="Segoe UI"/>
          <w:b/>
          <w:sz w:val="32"/>
        </w:rPr>
      </w:pPr>
    </w:p>
    <w:p w14:paraId="61D25ED2" w14:textId="77777777" w:rsidR="00E136A1" w:rsidRPr="005E6081" w:rsidRDefault="00E136A1" w:rsidP="00D80344">
      <w:pPr>
        <w:pStyle w:val="ListParagraph"/>
        <w:numPr>
          <w:ilvl w:val="0"/>
          <w:numId w:val="49"/>
        </w:numPr>
        <w:tabs>
          <w:tab w:val="left" w:pos="952"/>
        </w:tabs>
        <w:spacing w:before="0"/>
        <w:ind w:hanging="361"/>
        <w:rPr>
          <w:rFonts w:ascii="Segoe UI"/>
          <w:b/>
          <w:sz w:val="21"/>
        </w:rPr>
      </w:pPr>
      <w:r w:rsidRPr="005E6081">
        <w:rPr>
          <w:rFonts w:ascii="Segoe UI"/>
          <w:b/>
          <w:sz w:val="21"/>
        </w:rPr>
        <w:t>(Optional) Evaluation Expert</w:t>
      </w:r>
      <w:r w:rsidRPr="005E6081">
        <w:rPr>
          <w:rFonts w:ascii="Segoe UI"/>
          <w:b/>
          <w:spacing w:val="-5"/>
          <w:sz w:val="21"/>
        </w:rPr>
        <w:t xml:space="preserve"> </w:t>
      </w:r>
      <w:r w:rsidRPr="005E6081">
        <w:rPr>
          <w:rFonts w:ascii="Segoe UI"/>
          <w:b/>
          <w:sz w:val="21"/>
        </w:rPr>
        <w:t>(A&amp;L)</w:t>
      </w:r>
    </w:p>
    <w:p w14:paraId="5E8C841D" w14:textId="77777777" w:rsidR="00E136A1" w:rsidRPr="005E6081" w:rsidRDefault="00E136A1" w:rsidP="00D80344">
      <w:pPr>
        <w:pStyle w:val="ListParagraph"/>
        <w:numPr>
          <w:ilvl w:val="1"/>
          <w:numId w:val="49"/>
        </w:numPr>
        <w:tabs>
          <w:tab w:val="left" w:pos="1221"/>
        </w:tabs>
        <w:spacing w:before="185" w:line="256" w:lineRule="auto"/>
        <w:ind w:right="1437"/>
        <w:jc w:val="both"/>
        <w:rPr>
          <w:rFonts w:ascii="Segoe UI" w:hAnsi="Segoe UI"/>
          <w:sz w:val="21"/>
        </w:rPr>
      </w:pPr>
      <w:r w:rsidRPr="005E6081">
        <w:rPr>
          <w:rFonts w:ascii="Segoe UI" w:hAnsi="Segoe UI"/>
          <w:sz w:val="21"/>
        </w:rPr>
        <w:t>A Master’s degree in international affairs, agriculture, forestry, environmental studies, natural sciences, social sciences, or other closely related</w:t>
      </w:r>
      <w:r w:rsidRPr="005E6081">
        <w:rPr>
          <w:rFonts w:ascii="Segoe UI" w:hAnsi="Segoe UI"/>
          <w:spacing w:val="-1"/>
          <w:sz w:val="21"/>
        </w:rPr>
        <w:t xml:space="preserve"> </w:t>
      </w:r>
      <w:r w:rsidRPr="005E6081">
        <w:rPr>
          <w:rFonts w:ascii="Segoe UI" w:hAnsi="Segoe UI"/>
          <w:sz w:val="21"/>
        </w:rPr>
        <w:t>field;</w:t>
      </w:r>
    </w:p>
    <w:p w14:paraId="4FB546F8" w14:textId="77777777" w:rsidR="00E136A1" w:rsidRPr="005E6081" w:rsidRDefault="00E136A1" w:rsidP="00D80344">
      <w:pPr>
        <w:pStyle w:val="ListParagraph"/>
        <w:numPr>
          <w:ilvl w:val="1"/>
          <w:numId w:val="49"/>
        </w:numPr>
        <w:tabs>
          <w:tab w:val="left" w:pos="1221"/>
        </w:tabs>
        <w:spacing w:before="165" w:line="259" w:lineRule="auto"/>
        <w:ind w:right="1437"/>
        <w:jc w:val="both"/>
        <w:rPr>
          <w:rFonts w:ascii="Segoe UI" w:hAnsi="Segoe UI"/>
          <w:sz w:val="21"/>
        </w:rPr>
      </w:pPr>
      <w:r w:rsidRPr="005E6081">
        <w:rPr>
          <w:rFonts w:ascii="Segoe UI" w:hAnsi="Segoe UI"/>
          <w:sz w:val="21"/>
        </w:rPr>
        <w:t>At least 5 years of experience in project design,  monitoring  and/or  evaluation  in sustainable development, with at least 2 years of experience leading or supporting terminal evaluations;</w:t>
      </w:r>
    </w:p>
    <w:p w14:paraId="78706A49" w14:textId="77777777" w:rsidR="00E136A1" w:rsidRPr="005E6081" w:rsidRDefault="00E136A1" w:rsidP="00D80344">
      <w:pPr>
        <w:pStyle w:val="ListParagraph"/>
        <w:numPr>
          <w:ilvl w:val="1"/>
          <w:numId w:val="49"/>
        </w:numPr>
        <w:tabs>
          <w:tab w:val="left" w:pos="1221"/>
        </w:tabs>
        <w:spacing w:before="161" w:line="256" w:lineRule="auto"/>
        <w:ind w:right="1438"/>
        <w:jc w:val="both"/>
        <w:rPr>
          <w:rFonts w:ascii="Segoe UI" w:hAnsi="Segoe UI"/>
          <w:sz w:val="21"/>
        </w:rPr>
      </w:pPr>
      <w:r w:rsidRPr="005E6081">
        <w:rPr>
          <w:rFonts w:ascii="Segoe UI" w:hAnsi="Segoe UI"/>
          <w:sz w:val="21"/>
        </w:rPr>
        <w:t>Demonstrated understanding of issues related to coordination, partnerships, knowledge management and</w:t>
      </w:r>
      <w:r w:rsidRPr="005E6081">
        <w:rPr>
          <w:rFonts w:ascii="Segoe UI" w:hAnsi="Segoe UI"/>
          <w:spacing w:val="-3"/>
          <w:sz w:val="21"/>
        </w:rPr>
        <w:t xml:space="preserve"> </w:t>
      </w:r>
      <w:r w:rsidRPr="005E6081">
        <w:rPr>
          <w:rFonts w:ascii="Segoe UI" w:hAnsi="Segoe UI"/>
          <w:sz w:val="21"/>
        </w:rPr>
        <w:t>learning;</w:t>
      </w:r>
    </w:p>
    <w:p w14:paraId="0BAA7CB1" w14:textId="77777777" w:rsidR="00E136A1" w:rsidRPr="005E6081" w:rsidRDefault="00E136A1" w:rsidP="00D80344">
      <w:pPr>
        <w:pStyle w:val="ListParagraph"/>
        <w:numPr>
          <w:ilvl w:val="1"/>
          <w:numId w:val="49"/>
        </w:numPr>
        <w:tabs>
          <w:tab w:val="left" w:pos="1220"/>
          <w:tab w:val="left" w:pos="1221"/>
        </w:tabs>
        <w:spacing w:before="163"/>
        <w:ind w:hanging="361"/>
        <w:rPr>
          <w:rFonts w:ascii="Segoe UI" w:hAnsi="Segoe UI"/>
          <w:sz w:val="21"/>
        </w:rPr>
      </w:pPr>
      <w:r w:rsidRPr="005E6081">
        <w:rPr>
          <w:rFonts w:ascii="Segoe UI" w:hAnsi="Segoe UI"/>
          <w:sz w:val="21"/>
        </w:rPr>
        <w:t>Experience working with GEF-financed projects will be considered an</w:t>
      </w:r>
      <w:r w:rsidRPr="005E6081">
        <w:rPr>
          <w:rFonts w:ascii="Segoe UI" w:hAnsi="Segoe UI"/>
          <w:spacing w:val="-11"/>
          <w:sz w:val="21"/>
        </w:rPr>
        <w:t xml:space="preserve"> </w:t>
      </w:r>
      <w:r w:rsidRPr="005E6081">
        <w:rPr>
          <w:rFonts w:ascii="Segoe UI" w:hAnsi="Segoe UI"/>
          <w:sz w:val="21"/>
        </w:rPr>
        <w:t>asset;</w:t>
      </w:r>
    </w:p>
    <w:p w14:paraId="267E43AE" w14:textId="77777777" w:rsidR="00E136A1" w:rsidRPr="005E6081" w:rsidRDefault="00E136A1" w:rsidP="00D80344">
      <w:pPr>
        <w:pStyle w:val="ListParagraph"/>
        <w:numPr>
          <w:ilvl w:val="1"/>
          <w:numId w:val="49"/>
        </w:numPr>
        <w:tabs>
          <w:tab w:val="left" w:pos="1220"/>
          <w:tab w:val="left" w:pos="1221"/>
        </w:tabs>
        <w:spacing w:before="181"/>
        <w:ind w:hanging="361"/>
        <w:rPr>
          <w:rFonts w:ascii="Segoe UI" w:hAnsi="Segoe UI"/>
          <w:b/>
          <w:sz w:val="21"/>
        </w:rPr>
      </w:pPr>
      <w:r w:rsidRPr="005E6081">
        <w:rPr>
          <w:rFonts w:ascii="Segoe UI" w:hAnsi="Segoe UI"/>
          <w:b/>
          <w:sz w:val="21"/>
        </w:rPr>
        <w:t>Mandatory requirement: Mastery of the English</w:t>
      </w:r>
      <w:r w:rsidRPr="005E6081">
        <w:rPr>
          <w:rFonts w:ascii="Segoe UI" w:hAnsi="Segoe UI"/>
          <w:b/>
          <w:spacing w:val="-8"/>
          <w:sz w:val="21"/>
        </w:rPr>
        <w:t xml:space="preserve"> </w:t>
      </w:r>
      <w:r w:rsidRPr="005E6081">
        <w:rPr>
          <w:rFonts w:ascii="Segoe UI" w:hAnsi="Segoe UI"/>
          <w:b/>
          <w:sz w:val="21"/>
        </w:rPr>
        <w:t>language.</w:t>
      </w:r>
    </w:p>
    <w:p w14:paraId="743AAA4E" w14:textId="77777777" w:rsidR="00FB0BAC" w:rsidRDefault="00FB0BAC" w:rsidP="00FB0BAC">
      <w:bookmarkStart w:id="112" w:name="_Toc88151459"/>
    </w:p>
    <w:p w14:paraId="54F73896" w14:textId="66EB842D" w:rsidR="00E136A1" w:rsidRPr="005E6081" w:rsidRDefault="00E136A1" w:rsidP="00FB0BAC">
      <w:pPr>
        <w:rPr>
          <w:sz w:val="30"/>
        </w:rPr>
      </w:pPr>
      <w:r w:rsidRPr="005E6081">
        <w:t>EVALUATOR ETHICS</w:t>
      </w:r>
      <w:bookmarkEnd w:id="112"/>
    </w:p>
    <w:p w14:paraId="2B42AC2F" w14:textId="77777777" w:rsidR="00E136A1" w:rsidRPr="005E6081" w:rsidRDefault="00E136A1" w:rsidP="00E136A1">
      <w:pPr>
        <w:spacing w:before="175"/>
        <w:ind w:left="500" w:right="1434"/>
        <w:jc w:val="both"/>
        <w:rPr>
          <w:rFonts w:ascii="Segoe UI" w:hAnsi="Segoe UI"/>
          <w:sz w:val="21"/>
        </w:rPr>
      </w:pPr>
      <w:r w:rsidRPr="005E6081">
        <w:rPr>
          <w:rFonts w:ascii="Segoe UI" w:hAnsi="Segoe UI"/>
          <w:sz w:val="21"/>
        </w:rPr>
        <w:t>The TE team will be held to the highest ethical standards and is required to sign a code of conduct upon acceptance of the assignment. These evaluations will be conducted in accordance with the principles outlined in the UNEG ‘Ethical Guidelines for Evaluation’ (Annex E). The evaluators must safeguard the rights and confidentiality of information providers, interviewees and stakeholders through measures to ensure compliance with legal and other relevant codes governing collection of data and reporting on data. The evaluators must also ensure security of collected information before and after the evaluations and protocols to ensure anonymity and confidentiality of sources of information where that is expected. The information knowledge and data gathered in the evaluation process must also be solely used for the evaluations and not for other uses without the express authorization of UNDP and partners.</w:t>
      </w:r>
    </w:p>
    <w:p w14:paraId="37D44ACF" w14:textId="77777777" w:rsidR="00E136A1" w:rsidRPr="005E6081" w:rsidRDefault="00E136A1" w:rsidP="00E136A1">
      <w:r w:rsidRPr="005E6081">
        <w:t>PAYMENT</w:t>
      </w:r>
      <w:r w:rsidRPr="005E6081">
        <w:rPr>
          <w:spacing w:val="-2"/>
        </w:rPr>
        <w:t xml:space="preserve"> </w:t>
      </w:r>
      <w:r w:rsidRPr="005E6081">
        <w:t>SCHEDULE</w:t>
      </w:r>
    </w:p>
    <w:p w14:paraId="6646C8D4" w14:textId="77777777" w:rsidR="00E136A1" w:rsidRPr="005E6081" w:rsidRDefault="00E136A1" w:rsidP="00E136A1">
      <w:pPr>
        <w:pStyle w:val="BodyText"/>
        <w:spacing w:before="3"/>
        <w:rPr>
          <w:rFonts w:ascii="Segoe UI"/>
          <w:b/>
          <w:sz w:val="14"/>
        </w:rPr>
      </w:pPr>
    </w:p>
    <w:tbl>
      <w:tblPr>
        <w:tblStyle w:val="TableNormal22"/>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
        <w:gridCol w:w="2631"/>
        <w:gridCol w:w="1620"/>
        <w:gridCol w:w="4760"/>
      </w:tblGrid>
      <w:tr w:rsidR="00E136A1" w:rsidRPr="005E6081" w14:paraId="2AF73189" w14:textId="77777777" w:rsidTr="00062DAE">
        <w:trPr>
          <w:trHeight w:val="278"/>
        </w:trPr>
        <w:tc>
          <w:tcPr>
            <w:tcW w:w="341" w:type="dxa"/>
          </w:tcPr>
          <w:p w14:paraId="449360DB" w14:textId="77777777" w:rsidR="00E136A1" w:rsidRPr="005E6081" w:rsidRDefault="00E136A1" w:rsidP="00062DAE">
            <w:pPr>
              <w:pStyle w:val="TableParagraph"/>
              <w:spacing w:line="258" w:lineRule="exact"/>
              <w:ind w:left="9"/>
              <w:jc w:val="center"/>
              <w:rPr>
                <w:rFonts w:ascii="Segoe UI"/>
                <w:b/>
                <w:sz w:val="21"/>
              </w:rPr>
            </w:pPr>
            <w:r w:rsidRPr="005E6081">
              <w:rPr>
                <w:rFonts w:ascii="Segoe UI"/>
                <w:b/>
                <w:sz w:val="21"/>
              </w:rPr>
              <w:t>#</w:t>
            </w:r>
          </w:p>
        </w:tc>
        <w:tc>
          <w:tcPr>
            <w:tcW w:w="2631" w:type="dxa"/>
          </w:tcPr>
          <w:p w14:paraId="64F7845A" w14:textId="77777777" w:rsidR="00E136A1" w:rsidRPr="005E6081" w:rsidRDefault="00E136A1" w:rsidP="00062DAE">
            <w:pPr>
              <w:pStyle w:val="TableParagraph"/>
              <w:spacing w:line="258" w:lineRule="exact"/>
              <w:ind w:left="107"/>
              <w:rPr>
                <w:rFonts w:ascii="Segoe UI"/>
                <w:b/>
                <w:sz w:val="21"/>
              </w:rPr>
            </w:pPr>
            <w:r w:rsidRPr="005E6081">
              <w:rPr>
                <w:rFonts w:ascii="Segoe UI"/>
                <w:b/>
                <w:sz w:val="21"/>
              </w:rPr>
              <w:t>Deliverable</w:t>
            </w:r>
          </w:p>
        </w:tc>
        <w:tc>
          <w:tcPr>
            <w:tcW w:w="1620" w:type="dxa"/>
          </w:tcPr>
          <w:p w14:paraId="069D65E3" w14:textId="77777777" w:rsidR="00E136A1" w:rsidRPr="005E6081" w:rsidRDefault="00E136A1" w:rsidP="00062DAE">
            <w:pPr>
              <w:pStyle w:val="TableParagraph"/>
              <w:spacing w:line="258" w:lineRule="exact"/>
              <w:ind w:left="90" w:right="102"/>
              <w:jc w:val="center"/>
              <w:rPr>
                <w:rFonts w:ascii="Segoe UI"/>
                <w:b/>
                <w:sz w:val="21"/>
              </w:rPr>
            </w:pPr>
            <w:r w:rsidRPr="005E6081">
              <w:rPr>
                <w:rFonts w:ascii="Segoe UI"/>
                <w:b/>
                <w:sz w:val="21"/>
              </w:rPr>
              <w:t>% of payment</w:t>
            </w:r>
          </w:p>
        </w:tc>
        <w:tc>
          <w:tcPr>
            <w:tcW w:w="4760" w:type="dxa"/>
          </w:tcPr>
          <w:p w14:paraId="5F5A6C3C" w14:textId="77777777" w:rsidR="00E136A1" w:rsidRPr="005E6081" w:rsidRDefault="00E136A1" w:rsidP="00062DAE">
            <w:pPr>
              <w:pStyle w:val="TableParagraph"/>
              <w:spacing w:line="258" w:lineRule="exact"/>
              <w:ind w:left="107"/>
              <w:rPr>
                <w:rFonts w:ascii="Segoe UI"/>
                <w:b/>
                <w:sz w:val="21"/>
              </w:rPr>
            </w:pPr>
            <w:r w:rsidRPr="005E6081">
              <w:rPr>
                <w:rFonts w:ascii="Segoe UI"/>
                <w:b/>
                <w:sz w:val="21"/>
              </w:rPr>
              <w:t>Details</w:t>
            </w:r>
          </w:p>
        </w:tc>
      </w:tr>
      <w:tr w:rsidR="00E136A1" w:rsidRPr="005E6081" w14:paraId="29B11E94" w14:textId="77777777" w:rsidTr="00062DAE">
        <w:trPr>
          <w:trHeight w:val="558"/>
        </w:trPr>
        <w:tc>
          <w:tcPr>
            <w:tcW w:w="341" w:type="dxa"/>
          </w:tcPr>
          <w:p w14:paraId="68341249" w14:textId="77777777" w:rsidR="00E136A1" w:rsidRPr="005E6081" w:rsidRDefault="00E136A1" w:rsidP="00062DAE">
            <w:pPr>
              <w:pStyle w:val="TableParagraph"/>
              <w:spacing w:line="278" w:lineRule="exact"/>
              <w:ind w:right="1"/>
              <w:jc w:val="center"/>
              <w:rPr>
                <w:rFonts w:ascii="Segoe UI"/>
                <w:sz w:val="21"/>
              </w:rPr>
            </w:pPr>
            <w:r w:rsidRPr="005E6081">
              <w:rPr>
                <w:rFonts w:ascii="Segoe UI"/>
                <w:sz w:val="21"/>
              </w:rPr>
              <w:t>1</w:t>
            </w:r>
          </w:p>
        </w:tc>
        <w:tc>
          <w:tcPr>
            <w:tcW w:w="2631" w:type="dxa"/>
          </w:tcPr>
          <w:p w14:paraId="30AE593B" w14:textId="77777777" w:rsidR="00E136A1" w:rsidRPr="005E6081" w:rsidRDefault="00E136A1" w:rsidP="00062DAE">
            <w:pPr>
              <w:pStyle w:val="TableParagraph"/>
              <w:spacing w:line="278" w:lineRule="exact"/>
              <w:ind w:left="107"/>
              <w:rPr>
                <w:rFonts w:ascii="Segoe UI"/>
                <w:sz w:val="21"/>
                <w:lang w:val="fr-FR"/>
              </w:rPr>
            </w:pPr>
            <w:r w:rsidRPr="005E6081">
              <w:rPr>
                <w:rFonts w:ascii="Segoe UI"/>
                <w:sz w:val="21"/>
                <w:lang w:val="fr-FR"/>
              </w:rPr>
              <w:t>A&amp;L TE Inception Report</w:t>
            </w:r>
          </w:p>
        </w:tc>
        <w:tc>
          <w:tcPr>
            <w:tcW w:w="1620" w:type="dxa"/>
          </w:tcPr>
          <w:p w14:paraId="2BA1F6B0" w14:textId="77777777" w:rsidR="00E136A1" w:rsidRPr="005E6081" w:rsidRDefault="00E136A1" w:rsidP="00062DAE">
            <w:pPr>
              <w:pStyle w:val="TableParagraph"/>
              <w:spacing w:line="278" w:lineRule="exact"/>
              <w:ind w:left="90" w:right="81"/>
              <w:jc w:val="center"/>
              <w:rPr>
                <w:rFonts w:ascii="Segoe UI"/>
                <w:sz w:val="21"/>
              </w:rPr>
            </w:pPr>
            <w:r w:rsidRPr="005E6081">
              <w:rPr>
                <w:rFonts w:ascii="Segoe UI"/>
                <w:sz w:val="21"/>
              </w:rPr>
              <w:t>5 %</w:t>
            </w:r>
          </w:p>
        </w:tc>
        <w:tc>
          <w:tcPr>
            <w:tcW w:w="4760" w:type="dxa"/>
          </w:tcPr>
          <w:p w14:paraId="7F8197FF" w14:textId="77777777" w:rsidR="00E136A1" w:rsidRPr="005E6081" w:rsidRDefault="00E136A1" w:rsidP="00062DAE">
            <w:pPr>
              <w:pStyle w:val="TableParagraph"/>
              <w:spacing w:line="280" w:lineRule="exact"/>
              <w:ind w:left="107"/>
              <w:rPr>
                <w:rFonts w:ascii="Segoe UI"/>
                <w:sz w:val="21"/>
              </w:rPr>
            </w:pPr>
            <w:r w:rsidRPr="005E6081">
              <w:rPr>
                <w:rFonts w:ascii="Segoe UI"/>
                <w:sz w:val="21"/>
              </w:rPr>
              <w:t>Satisfactory delivery of the final A&amp;L TE Inception Report and approval by the Commissioning Unit</w:t>
            </w:r>
          </w:p>
        </w:tc>
      </w:tr>
      <w:tr w:rsidR="00E136A1" w:rsidRPr="005E6081" w14:paraId="397D5368" w14:textId="77777777" w:rsidTr="00062DAE">
        <w:trPr>
          <w:trHeight w:val="838"/>
        </w:trPr>
        <w:tc>
          <w:tcPr>
            <w:tcW w:w="341" w:type="dxa"/>
          </w:tcPr>
          <w:p w14:paraId="0AEEE0DF" w14:textId="77777777" w:rsidR="00E136A1" w:rsidRPr="005E6081" w:rsidRDefault="00E136A1" w:rsidP="00062DAE">
            <w:pPr>
              <w:pStyle w:val="TableParagraph"/>
              <w:spacing w:line="277" w:lineRule="exact"/>
              <w:ind w:right="1"/>
              <w:jc w:val="center"/>
              <w:rPr>
                <w:rFonts w:ascii="Segoe UI"/>
                <w:sz w:val="21"/>
              </w:rPr>
            </w:pPr>
            <w:r w:rsidRPr="005E6081">
              <w:rPr>
                <w:rFonts w:ascii="Segoe UI"/>
                <w:sz w:val="21"/>
              </w:rPr>
              <w:t>2</w:t>
            </w:r>
          </w:p>
        </w:tc>
        <w:tc>
          <w:tcPr>
            <w:tcW w:w="2631" w:type="dxa"/>
          </w:tcPr>
          <w:p w14:paraId="09357AF8" w14:textId="77777777" w:rsidR="00E136A1" w:rsidRPr="005E6081" w:rsidRDefault="00E136A1" w:rsidP="00062DAE">
            <w:pPr>
              <w:pStyle w:val="TableParagraph"/>
              <w:spacing w:line="242" w:lineRule="auto"/>
              <w:ind w:left="107"/>
              <w:rPr>
                <w:rFonts w:ascii="Segoe UI"/>
                <w:sz w:val="21"/>
              </w:rPr>
            </w:pPr>
            <w:r w:rsidRPr="005E6081">
              <w:rPr>
                <w:rFonts w:ascii="Segoe UI"/>
                <w:sz w:val="21"/>
              </w:rPr>
              <w:t>Production TE Inception Report</w:t>
            </w:r>
          </w:p>
        </w:tc>
        <w:tc>
          <w:tcPr>
            <w:tcW w:w="1620" w:type="dxa"/>
          </w:tcPr>
          <w:p w14:paraId="63BB3929" w14:textId="77777777" w:rsidR="00E136A1" w:rsidRPr="005E6081" w:rsidRDefault="00E136A1" w:rsidP="00062DAE">
            <w:pPr>
              <w:pStyle w:val="TableParagraph"/>
              <w:spacing w:line="277" w:lineRule="exact"/>
              <w:ind w:left="90" w:right="81"/>
              <w:jc w:val="center"/>
              <w:rPr>
                <w:rFonts w:ascii="Segoe UI"/>
                <w:sz w:val="21"/>
              </w:rPr>
            </w:pPr>
            <w:r w:rsidRPr="005E6081">
              <w:rPr>
                <w:rFonts w:ascii="Segoe UI"/>
                <w:sz w:val="21"/>
              </w:rPr>
              <w:t>5 %</w:t>
            </w:r>
          </w:p>
        </w:tc>
        <w:tc>
          <w:tcPr>
            <w:tcW w:w="4760" w:type="dxa"/>
          </w:tcPr>
          <w:p w14:paraId="208CB529" w14:textId="77777777" w:rsidR="00E136A1" w:rsidRPr="005E6081" w:rsidRDefault="00E136A1" w:rsidP="00062DAE">
            <w:pPr>
              <w:pStyle w:val="TableParagraph"/>
              <w:spacing w:line="277" w:lineRule="exact"/>
              <w:ind w:left="107"/>
              <w:rPr>
                <w:rFonts w:ascii="Segoe UI"/>
                <w:sz w:val="21"/>
              </w:rPr>
            </w:pPr>
            <w:r w:rsidRPr="005E6081">
              <w:rPr>
                <w:rFonts w:ascii="Segoe UI"/>
                <w:sz w:val="21"/>
              </w:rPr>
              <w:t>Satisfactory delivery of the final Production TE</w:t>
            </w:r>
          </w:p>
          <w:p w14:paraId="510EA283" w14:textId="77777777" w:rsidR="00E136A1" w:rsidRPr="005E6081" w:rsidRDefault="00E136A1" w:rsidP="00062DAE">
            <w:pPr>
              <w:pStyle w:val="TableParagraph"/>
              <w:tabs>
                <w:tab w:val="left" w:pos="1249"/>
                <w:tab w:val="left" w:pos="2148"/>
                <w:tab w:val="left" w:pos="2769"/>
                <w:tab w:val="left" w:pos="3851"/>
                <w:tab w:val="left" w:pos="4350"/>
              </w:tabs>
              <w:spacing w:line="278" w:lineRule="exact"/>
              <w:ind w:left="107" w:right="97"/>
              <w:rPr>
                <w:rFonts w:ascii="Segoe UI"/>
                <w:sz w:val="21"/>
              </w:rPr>
            </w:pPr>
            <w:r w:rsidRPr="005E6081">
              <w:rPr>
                <w:rFonts w:ascii="Segoe UI"/>
                <w:sz w:val="21"/>
              </w:rPr>
              <w:t>Inception</w:t>
            </w:r>
            <w:r w:rsidRPr="005E6081">
              <w:rPr>
                <w:rFonts w:ascii="Segoe UI"/>
                <w:sz w:val="21"/>
              </w:rPr>
              <w:tab/>
              <w:t>Report</w:t>
            </w:r>
            <w:r w:rsidRPr="005E6081">
              <w:rPr>
                <w:rFonts w:ascii="Segoe UI"/>
                <w:sz w:val="21"/>
              </w:rPr>
              <w:tab/>
              <w:t>and</w:t>
            </w:r>
            <w:r w:rsidRPr="005E6081">
              <w:rPr>
                <w:rFonts w:ascii="Segoe UI"/>
                <w:sz w:val="21"/>
              </w:rPr>
              <w:tab/>
              <w:t>approval</w:t>
            </w:r>
            <w:r w:rsidRPr="005E6081">
              <w:rPr>
                <w:rFonts w:ascii="Segoe UI"/>
                <w:sz w:val="21"/>
              </w:rPr>
              <w:tab/>
              <w:t>by</w:t>
            </w:r>
            <w:r w:rsidRPr="005E6081">
              <w:rPr>
                <w:rFonts w:ascii="Segoe UI"/>
                <w:sz w:val="21"/>
              </w:rPr>
              <w:tab/>
            </w:r>
            <w:r w:rsidRPr="005E6081">
              <w:rPr>
                <w:rFonts w:ascii="Segoe UI"/>
                <w:spacing w:val="-7"/>
                <w:sz w:val="21"/>
              </w:rPr>
              <w:t xml:space="preserve">the </w:t>
            </w:r>
            <w:r w:rsidRPr="005E6081">
              <w:rPr>
                <w:rFonts w:ascii="Segoe UI"/>
                <w:sz w:val="21"/>
              </w:rPr>
              <w:t>Commissioning Unit</w:t>
            </w:r>
          </w:p>
        </w:tc>
      </w:tr>
      <w:tr w:rsidR="00E136A1" w:rsidRPr="005E6081" w14:paraId="7D1BC55D" w14:textId="77777777" w:rsidTr="00062DAE">
        <w:trPr>
          <w:trHeight w:val="559"/>
        </w:trPr>
        <w:tc>
          <w:tcPr>
            <w:tcW w:w="341" w:type="dxa"/>
          </w:tcPr>
          <w:p w14:paraId="17F59221" w14:textId="77777777" w:rsidR="00E136A1" w:rsidRPr="005E6081" w:rsidRDefault="00E136A1" w:rsidP="00062DAE">
            <w:pPr>
              <w:pStyle w:val="TableParagraph"/>
              <w:spacing w:line="279" w:lineRule="exact"/>
              <w:ind w:right="1"/>
              <w:jc w:val="center"/>
              <w:rPr>
                <w:rFonts w:ascii="Segoe UI"/>
                <w:sz w:val="21"/>
              </w:rPr>
            </w:pPr>
            <w:r w:rsidRPr="005E6081">
              <w:rPr>
                <w:rFonts w:ascii="Segoe UI"/>
                <w:sz w:val="21"/>
              </w:rPr>
              <w:t>3</w:t>
            </w:r>
          </w:p>
        </w:tc>
        <w:tc>
          <w:tcPr>
            <w:tcW w:w="2631" w:type="dxa"/>
          </w:tcPr>
          <w:p w14:paraId="42F3AB31" w14:textId="77777777" w:rsidR="00E136A1" w:rsidRPr="005E6081" w:rsidRDefault="00E136A1" w:rsidP="00062DAE">
            <w:pPr>
              <w:pStyle w:val="TableParagraph"/>
              <w:spacing w:line="279" w:lineRule="exact"/>
              <w:ind w:left="107"/>
              <w:rPr>
                <w:rFonts w:ascii="Segoe UI"/>
                <w:sz w:val="21"/>
              </w:rPr>
            </w:pPr>
            <w:r w:rsidRPr="005E6081">
              <w:rPr>
                <w:rFonts w:ascii="Segoe UI"/>
                <w:sz w:val="21"/>
              </w:rPr>
              <w:t>A&amp;L TE Draft Final Report</w:t>
            </w:r>
          </w:p>
        </w:tc>
        <w:tc>
          <w:tcPr>
            <w:tcW w:w="1620" w:type="dxa"/>
          </w:tcPr>
          <w:p w14:paraId="18FB6147" w14:textId="77777777" w:rsidR="00E136A1" w:rsidRPr="005E6081" w:rsidRDefault="00E136A1" w:rsidP="00062DAE">
            <w:pPr>
              <w:pStyle w:val="TableParagraph"/>
              <w:spacing w:line="279" w:lineRule="exact"/>
              <w:ind w:left="90" w:right="84"/>
              <w:jc w:val="center"/>
              <w:rPr>
                <w:rFonts w:ascii="Segoe UI"/>
                <w:sz w:val="21"/>
              </w:rPr>
            </w:pPr>
            <w:r w:rsidRPr="005E6081">
              <w:rPr>
                <w:rFonts w:ascii="Segoe UI"/>
                <w:sz w:val="21"/>
              </w:rPr>
              <w:t>15 %</w:t>
            </w:r>
          </w:p>
        </w:tc>
        <w:tc>
          <w:tcPr>
            <w:tcW w:w="4760" w:type="dxa"/>
          </w:tcPr>
          <w:p w14:paraId="7ECF9889" w14:textId="77777777" w:rsidR="00E136A1" w:rsidRPr="005E6081" w:rsidRDefault="00E136A1" w:rsidP="00062DAE">
            <w:pPr>
              <w:pStyle w:val="TableParagraph"/>
              <w:spacing w:line="280" w:lineRule="exact"/>
              <w:ind w:left="107"/>
              <w:rPr>
                <w:rFonts w:ascii="Segoe UI"/>
                <w:sz w:val="21"/>
              </w:rPr>
            </w:pPr>
            <w:r w:rsidRPr="005E6081">
              <w:rPr>
                <w:rFonts w:ascii="Segoe UI"/>
                <w:sz w:val="21"/>
              </w:rPr>
              <w:t>Satisfactory delivery of the draft A&amp;L TE report to the Commissioning Unit</w:t>
            </w:r>
          </w:p>
        </w:tc>
      </w:tr>
      <w:tr w:rsidR="00E136A1" w:rsidRPr="005E6081" w14:paraId="2BF5835C" w14:textId="77777777" w:rsidTr="00062DAE">
        <w:trPr>
          <w:trHeight w:val="557"/>
        </w:trPr>
        <w:tc>
          <w:tcPr>
            <w:tcW w:w="341" w:type="dxa"/>
          </w:tcPr>
          <w:p w14:paraId="2D6F7BE5" w14:textId="77777777" w:rsidR="00E136A1" w:rsidRPr="005E6081" w:rsidRDefault="00E136A1" w:rsidP="00062DAE">
            <w:pPr>
              <w:pStyle w:val="TableParagraph"/>
              <w:spacing w:line="277" w:lineRule="exact"/>
              <w:ind w:right="1"/>
              <w:jc w:val="center"/>
              <w:rPr>
                <w:rFonts w:ascii="Segoe UI"/>
                <w:sz w:val="21"/>
              </w:rPr>
            </w:pPr>
            <w:r w:rsidRPr="005E6081">
              <w:rPr>
                <w:rFonts w:ascii="Segoe UI"/>
                <w:sz w:val="21"/>
              </w:rPr>
              <w:t>4</w:t>
            </w:r>
          </w:p>
        </w:tc>
        <w:tc>
          <w:tcPr>
            <w:tcW w:w="2631" w:type="dxa"/>
          </w:tcPr>
          <w:p w14:paraId="28F0C474"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Production TE Draft Final Report</w:t>
            </w:r>
          </w:p>
        </w:tc>
        <w:tc>
          <w:tcPr>
            <w:tcW w:w="1620" w:type="dxa"/>
          </w:tcPr>
          <w:p w14:paraId="37AD5BD3" w14:textId="77777777" w:rsidR="00E136A1" w:rsidRPr="005E6081" w:rsidRDefault="00E136A1" w:rsidP="00062DAE">
            <w:pPr>
              <w:pStyle w:val="TableParagraph"/>
              <w:spacing w:line="277" w:lineRule="exact"/>
              <w:ind w:left="90" w:right="84"/>
              <w:jc w:val="center"/>
              <w:rPr>
                <w:rFonts w:ascii="Segoe UI"/>
                <w:sz w:val="21"/>
              </w:rPr>
            </w:pPr>
            <w:r w:rsidRPr="005E6081">
              <w:rPr>
                <w:rFonts w:ascii="Segoe UI"/>
                <w:sz w:val="21"/>
              </w:rPr>
              <w:t>30 %</w:t>
            </w:r>
          </w:p>
        </w:tc>
        <w:tc>
          <w:tcPr>
            <w:tcW w:w="4760" w:type="dxa"/>
          </w:tcPr>
          <w:p w14:paraId="10A884A6"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Satisfactory delivery of the draft Production TE report to the Commissioning Unit</w:t>
            </w:r>
          </w:p>
        </w:tc>
      </w:tr>
      <w:tr w:rsidR="00E136A1" w:rsidRPr="005E6081" w14:paraId="7085EB8D" w14:textId="77777777" w:rsidTr="00062DAE">
        <w:trPr>
          <w:trHeight w:val="1117"/>
        </w:trPr>
        <w:tc>
          <w:tcPr>
            <w:tcW w:w="341" w:type="dxa"/>
          </w:tcPr>
          <w:p w14:paraId="04BD3CF6" w14:textId="77777777" w:rsidR="00E136A1" w:rsidRPr="005E6081" w:rsidRDefault="00E136A1" w:rsidP="00062DAE">
            <w:pPr>
              <w:pStyle w:val="TableParagraph"/>
              <w:spacing w:line="278" w:lineRule="exact"/>
              <w:ind w:right="1"/>
              <w:jc w:val="center"/>
              <w:rPr>
                <w:rFonts w:ascii="Segoe UI"/>
                <w:sz w:val="21"/>
              </w:rPr>
            </w:pPr>
            <w:r w:rsidRPr="005E6081">
              <w:rPr>
                <w:rFonts w:ascii="Segoe UI"/>
                <w:sz w:val="21"/>
              </w:rPr>
              <w:t>5</w:t>
            </w:r>
          </w:p>
        </w:tc>
        <w:tc>
          <w:tcPr>
            <w:tcW w:w="2631" w:type="dxa"/>
          </w:tcPr>
          <w:p w14:paraId="6AD8695B" w14:textId="77777777" w:rsidR="00E136A1" w:rsidRPr="005E6081" w:rsidRDefault="00E136A1" w:rsidP="00062DAE">
            <w:pPr>
              <w:pStyle w:val="TableParagraph"/>
              <w:spacing w:line="278" w:lineRule="exact"/>
              <w:ind w:left="107"/>
              <w:rPr>
                <w:rFonts w:ascii="Segoe UI"/>
                <w:sz w:val="21"/>
                <w:lang w:val="es-ES"/>
              </w:rPr>
            </w:pPr>
            <w:r w:rsidRPr="005E6081">
              <w:rPr>
                <w:rFonts w:ascii="Segoe UI"/>
                <w:sz w:val="21"/>
                <w:lang w:val="es-ES"/>
              </w:rPr>
              <w:t>A&amp;L TE Final Report</w:t>
            </w:r>
          </w:p>
        </w:tc>
        <w:tc>
          <w:tcPr>
            <w:tcW w:w="1620" w:type="dxa"/>
          </w:tcPr>
          <w:p w14:paraId="0B4EA68C" w14:textId="77777777" w:rsidR="00E136A1" w:rsidRPr="005E6081" w:rsidRDefault="00E136A1" w:rsidP="00062DAE">
            <w:pPr>
              <w:pStyle w:val="TableParagraph"/>
              <w:spacing w:line="278" w:lineRule="exact"/>
              <w:ind w:left="90" w:right="84"/>
              <w:jc w:val="center"/>
              <w:rPr>
                <w:rFonts w:ascii="Segoe UI"/>
                <w:sz w:val="21"/>
              </w:rPr>
            </w:pPr>
            <w:r w:rsidRPr="005E6081">
              <w:rPr>
                <w:rFonts w:ascii="Segoe UI"/>
                <w:sz w:val="21"/>
              </w:rPr>
              <w:t>15 %</w:t>
            </w:r>
          </w:p>
        </w:tc>
        <w:tc>
          <w:tcPr>
            <w:tcW w:w="4760" w:type="dxa"/>
          </w:tcPr>
          <w:p w14:paraId="6357FE48" w14:textId="77777777" w:rsidR="00E136A1" w:rsidRPr="005E6081" w:rsidRDefault="00E136A1" w:rsidP="00062DAE">
            <w:pPr>
              <w:pStyle w:val="TableParagraph"/>
              <w:ind w:left="107" w:right="48"/>
              <w:rPr>
                <w:rFonts w:ascii="Segoe UI"/>
                <w:sz w:val="21"/>
              </w:rPr>
            </w:pPr>
            <w:r w:rsidRPr="005E6081">
              <w:rPr>
                <w:rFonts w:ascii="Segoe UI"/>
                <w:sz w:val="21"/>
              </w:rPr>
              <w:t>Satisfactory delivery of the final A&amp;L TE report and</w:t>
            </w:r>
            <w:r w:rsidRPr="005E6081">
              <w:rPr>
                <w:rFonts w:ascii="Segoe UI"/>
                <w:spacing w:val="-13"/>
                <w:sz w:val="21"/>
              </w:rPr>
              <w:t xml:space="preserve"> </w:t>
            </w:r>
            <w:r w:rsidRPr="005E6081">
              <w:rPr>
                <w:rFonts w:ascii="Segoe UI"/>
                <w:sz w:val="21"/>
              </w:rPr>
              <w:t>approval</w:t>
            </w:r>
            <w:r w:rsidRPr="005E6081">
              <w:rPr>
                <w:rFonts w:ascii="Segoe UI"/>
                <w:spacing w:val="-14"/>
                <w:sz w:val="21"/>
              </w:rPr>
              <w:t xml:space="preserve"> </w:t>
            </w:r>
            <w:r w:rsidRPr="005E6081">
              <w:rPr>
                <w:rFonts w:ascii="Segoe UI"/>
                <w:sz w:val="21"/>
              </w:rPr>
              <w:t>by</w:t>
            </w:r>
            <w:r w:rsidRPr="005E6081">
              <w:rPr>
                <w:rFonts w:ascii="Segoe UI"/>
                <w:spacing w:val="-13"/>
                <w:sz w:val="21"/>
              </w:rPr>
              <w:t xml:space="preserve"> </w:t>
            </w:r>
            <w:r w:rsidRPr="005E6081">
              <w:rPr>
                <w:rFonts w:ascii="Segoe UI"/>
                <w:sz w:val="21"/>
              </w:rPr>
              <w:t>the</w:t>
            </w:r>
            <w:r w:rsidRPr="005E6081">
              <w:rPr>
                <w:rFonts w:ascii="Segoe UI"/>
                <w:spacing w:val="-13"/>
                <w:sz w:val="21"/>
              </w:rPr>
              <w:t xml:space="preserve"> </w:t>
            </w:r>
            <w:r w:rsidRPr="005E6081">
              <w:rPr>
                <w:rFonts w:ascii="Segoe UI"/>
                <w:sz w:val="21"/>
              </w:rPr>
              <w:t>Commissioning</w:t>
            </w:r>
            <w:r w:rsidRPr="005E6081">
              <w:rPr>
                <w:rFonts w:ascii="Segoe UI"/>
                <w:spacing w:val="-13"/>
                <w:sz w:val="21"/>
              </w:rPr>
              <w:t xml:space="preserve"> </w:t>
            </w:r>
            <w:r w:rsidRPr="005E6081">
              <w:rPr>
                <w:rFonts w:ascii="Segoe UI"/>
                <w:sz w:val="21"/>
              </w:rPr>
              <w:t>Unit</w:t>
            </w:r>
            <w:r w:rsidRPr="005E6081">
              <w:rPr>
                <w:rFonts w:ascii="Segoe UI"/>
                <w:spacing w:val="-13"/>
                <w:sz w:val="21"/>
              </w:rPr>
              <w:t xml:space="preserve"> </w:t>
            </w:r>
            <w:r w:rsidRPr="005E6081">
              <w:rPr>
                <w:rFonts w:ascii="Segoe UI"/>
                <w:sz w:val="21"/>
              </w:rPr>
              <w:t>and</w:t>
            </w:r>
            <w:r w:rsidRPr="005E6081">
              <w:rPr>
                <w:rFonts w:ascii="Segoe UI"/>
                <w:spacing w:val="-13"/>
                <w:sz w:val="21"/>
              </w:rPr>
              <w:t xml:space="preserve"> </w:t>
            </w:r>
            <w:r w:rsidRPr="005E6081">
              <w:rPr>
                <w:rFonts w:ascii="Segoe UI"/>
                <w:sz w:val="21"/>
              </w:rPr>
              <w:t>RTA</w:t>
            </w:r>
          </w:p>
          <w:p w14:paraId="41C2FD8D" w14:textId="77777777" w:rsidR="00E136A1" w:rsidRPr="005E6081" w:rsidRDefault="00E136A1" w:rsidP="00062DAE">
            <w:pPr>
              <w:pStyle w:val="TableParagraph"/>
              <w:spacing w:line="278" w:lineRule="exact"/>
              <w:ind w:left="107"/>
              <w:rPr>
                <w:rFonts w:ascii="Segoe UI"/>
                <w:sz w:val="21"/>
              </w:rPr>
            </w:pPr>
            <w:r w:rsidRPr="005E6081">
              <w:rPr>
                <w:rFonts w:ascii="Segoe UI"/>
                <w:sz w:val="21"/>
              </w:rPr>
              <w:t>(via signatures on the TE Report Clearance Form) and delivery of completed TE Audit Trail</w:t>
            </w:r>
          </w:p>
        </w:tc>
      </w:tr>
      <w:tr w:rsidR="00E136A1" w:rsidRPr="005E6081" w14:paraId="4FE00BFE" w14:textId="77777777" w:rsidTr="00062DAE">
        <w:trPr>
          <w:trHeight w:val="1397"/>
        </w:trPr>
        <w:tc>
          <w:tcPr>
            <w:tcW w:w="341" w:type="dxa"/>
          </w:tcPr>
          <w:p w14:paraId="5CAA7E8D" w14:textId="77777777" w:rsidR="00E136A1" w:rsidRPr="005E6081" w:rsidRDefault="00E136A1" w:rsidP="00062DAE">
            <w:pPr>
              <w:pStyle w:val="TableParagraph"/>
              <w:spacing w:line="278" w:lineRule="exact"/>
              <w:ind w:right="1"/>
              <w:jc w:val="center"/>
              <w:rPr>
                <w:rFonts w:ascii="Segoe UI"/>
                <w:sz w:val="21"/>
              </w:rPr>
            </w:pPr>
            <w:r w:rsidRPr="005E6081">
              <w:rPr>
                <w:rFonts w:ascii="Segoe UI"/>
                <w:sz w:val="21"/>
              </w:rPr>
              <w:t>6</w:t>
            </w:r>
          </w:p>
        </w:tc>
        <w:tc>
          <w:tcPr>
            <w:tcW w:w="2631" w:type="dxa"/>
          </w:tcPr>
          <w:p w14:paraId="13C5CAA8" w14:textId="77777777" w:rsidR="00E136A1" w:rsidRPr="005E6081" w:rsidRDefault="00E136A1" w:rsidP="00062DAE">
            <w:pPr>
              <w:pStyle w:val="TableParagraph"/>
              <w:tabs>
                <w:tab w:val="left" w:pos="1501"/>
                <w:tab w:val="left" w:pos="2091"/>
              </w:tabs>
              <w:ind w:left="107" w:right="95"/>
              <w:rPr>
                <w:rFonts w:ascii="Segoe UI"/>
                <w:sz w:val="21"/>
              </w:rPr>
            </w:pPr>
            <w:r w:rsidRPr="005E6081">
              <w:rPr>
                <w:rFonts w:ascii="Segoe UI"/>
                <w:sz w:val="21"/>
              </w:rPr>
              <w:t>Production</w:t>
            </w:r>
            <w:r w:rsidRPr="005E6081">
              <w:rPr>
                <w:rFonts w:ascii="Segoe UI"/>
                <w:sz w:val="21"/>
              </w:rPr>
              <w:tab/>
              <w:t>TE</w:t>
            </w:r>
            <w:r w:rsidRPr="005E6081">
              <w:rPr>
                <w:rFonts w:ascii="Segoe UI"/>
                <w:sz w:val="21"/>
              </w:rPr>
              <w:tab/>
            </w:r>
            <w:r w:rsidRPr="005E6081">
              <w:rPr>
                <w:rFonts w:ascii="Segoe UI"/>
                <w:spacing w:val="-4"/>
                <w:sz w:val="21"/>
              </w:rPr>
              <w:t xml:space="preserve">Final </w:t>
            </w:r>
            <w:r w:rsidRPr="005E6081">
              <w:rPr>
                <w:rFonts w:ascii="Segoe UI"/>
                <w:sz w:val="21"/>
              </w:rPr>
              <w:t>Report</w:t>
            </w:r>
          </w:p>
        </w:tc>
        <w:tc>
          <w:tcPr>
            <w:tcW w:w="1620" w:type="dxa"/>
          </w:tcPr>
          <w:p w14:paraId="25FC43EF" w14:textId="77777777" w:rsidR="00E136A1" w:rsidRPr="005E6081" w:rsidRDefault="00E136A1" w:rsidP="00062DAE">
            <w:pPr>
              <w:pStyle w:val="TableParagraph"/>
              <w:spacing w:line="278" w:lineRule="exact"/>
              <w:ind w:left="90" w:right="84"/>
              <w:jc w:val="center"/>
              <w:rPr>
                <w:rFonts w:ascii="Segoe UI"/>
                <w:sz w:val="21"/>
              </w:rPr>
            </w:pPr>
            <w:r w:rsidRPr="005E6081">
              <w:rPr>
                <w:rFonts w:ascii="Segoe UI"/>
                <w:sz w:val="21"/>
              </w:rPr>
              <w:t>30 %</w:t>
            </w:r>
          </w:p>
        </w:tc>
        <w:tc>
          <w:tcPr>
            <w:tcW w:w="4760" w:type="dxa"/>
          </w:tcPr>
          <w:p w14:paraId="59C6E471" w14:textId="77777777" w:rsidR="00E136A1" w:rsidRPr="005E6081" w:rsidRDefault="00E136A1" w:rsidP="00062DAE">
            <w:pPr>
              <w:pStyle w:val="TableParagraph"/>
              <w:ind w:left="107" w:right="95"/>
              <w:jc w:val="both"/>
              <w:rPr>
                <w:rFonts w:ascii="Segoe UI"/>
                <w:sz w:val="21"/>
              </w:rPr>
            </w:pPr>
            <w:r w:rsidRPr="005E6081">
              <w:rPr>
                <w:rFonts w:ascii="Segoe UI"/>
                <w:sz w:val="21"/>
              </w:rPr>
              <w:t>Satisfactory delivery of the final Production TE report and approval by the Commissioning Unit and RTA (via signatures on the TE Report Clearance Form) and delivery of completed TE</w:t>
            </w:r>
          </w:p>
          <w:p w14:paraId="3E369ADE" w14:textId="77777777" w:rsidR="00E136A1" w:rsidRPr="005E6081" w:rsidRDefault="00E136A1" w:rsidP="00062DAE">
            <w:pPr>
              <w:pStyle w:val="TableParagraph"/>
              <w:spacing w:line="261" w:lineRule="exact"/>
              <w:ind w:left="107"/>
              <w:jc w:val="both"/>
              <w:rPr>
                <w:rFonts w:ascii="Segoe UI"/>
                <w:sz w:val="21"/>
              </w:rPr>
            </w:pPr>
            <w:r w:rsidRPr="005E6081">
              <w:rPr>
                <w:rFonts w:ascii="Segoe UI"/>
                <w:sz w:val="21"/>
              </w:rPr>
              <w:t>Audit Trail</w:t>
            </w:r>
          </w:p>
        </w:tc>
      </w:tr>
      <w:tr w:rsidR="00E136A1" w:rsidRPr="005E6081" w14:paraId="55E55657" w14:textId="77777777" w:rsidTr="00062DAE">
        <w:trPr>
          <w:trHeight w:val="277"/>
        </w:trPr>
        <w:tc>
          <w:tcPr>
            <w:tcW w:w="341" w:type="dxa"/>
          </w:tcPr>
          <w:p w14:paraId="6138E4D7" w14:textId="77777777" w:rsidR="00E136A1" w:rsidRPr="005E6081" w:rsidRDefault="00E136A1" w:rsidP="00062DAE">
            <w:pPr>
              <w:pStyle w:val="TableParagraph"/>
              <w:rPr>
                <w:rFonts w:ascii="Times New Roman"/>
                <w:sz w:val="20"/>
              </w:rPr>
            </w:pPr>
          </w:p>
        </w:tc>
        <w:tc>
          <w:tcPr>
            <w:tcW w:w="2631" w:type="dxa"/>
          </w:tcPr>
          <w:p w14:paraId="5EAFF694" w14:textId="77777777" w:rsidR="00E136A1" w:rsidRPr="005E6081" w:rsidRDefault="00E136A1" w:rsidP="00062DAE">
            <w:pPr>
              <w:pStyle w:val="TableParagraph"/>
              <w:spacing w:line="258" w:lineRule="exact"/>
              <w:ind w:left="107"/>
              <w:rPr>
                <w:rFonts w:ascii="Segoe UI"/>
                <w:b/>
                <w:sz w:val="21"/>
              </w:rPr>
            </w:pPr>
            <w:r w:rsidRPr="005E6081">
              <w:rPr>
                <w:rFonts w:ascii="Segoe UI"/>
                <w:b/>
                <w:sz w:val="21"/>
              </w:rPr>
              <w:t>Total</w:t>
            </w:r>
          </w:p>
        </w:tc>
        <w:tc>
          <w:tcPr>
            <w:tcW w:w="1620" w:type="dxa"/>
          </w:tcPr>
          <w:p w14:paraId="1F9369E1" w14:textId="77777777" w:rsidR="00E136A1" w:rsidRPr="005E6081" w:rsidRDefault="00E136A1" w:rsidP="00062DAE">
            <w:pPr>
              <w:pStyle w:val="TableParagraph"/>
              <w:spacing w:line="258" w:lineRule="exact"/>
              <w:ind w:left="90" w:right="79"/>
              <w:jc w:val="center"/>
              <w:rPr>
                <w:rFonts w:ascii="Segoe UI"/>
                <w:b/>
                <w:sz w:val="21"/>
              </w:rPr>
            </w:pPr>
            <w:r w:rsidRPr="005E6081">
              <w:rPr>
                <w:rFonts w:ascii="Segoe UI"/>
                <w:b/>
                <w:sz w:val="21"/>
              </w:rPr>
              <w:t>100%</w:t>
            </w:r>
          </w:p>
        </w:tc>
        <w:tc>
          <w:tcPr>
            <w:tcW w:w="4760" w:type="dxa"/>
          </w:tcPr>
          <w:p w14:paraId="7551959B" w14:textId="77777777" w:rsidR="00E136A1" w:rsidRPr="005E6081" w:rsidRDefault="00E136A1" w:rsidP="00062DAE">
            <w:pPr>
              <w:pStyle w:val="TableParagraph"/>
              <w:rPr>
                <w:rFonts w:ascii="Times New Roman"/>
                <w:sz w:val="20"/>
              </w:rPr>
            </w:pPr>
          </w:p>
        </w:tc>
      </w:tr>
    </w:tbl>
    <w:p w14:paraId="5A2E2B55" w14:textId="77777777" w:rsidR="00E136A1" w:rsidRPr="005E6081" w:rsidRDefault="00E136A1" w:rsidP="00E136A1">
      <w:pPr>
        <w:pStyle w:val="BodyText"/>
        <w:spacing w:before="10"/>
        <w:rPr>
          <w:rFonts w:ascii="Segoe UI"/>
          <w:b/>
          <w:sz w:val="23"/>
        </w:rPr>
      </w:pPr>
    </w:p>
    <w:p w14:paraId="38415304" w14:textId="77777777" w:rsidR="00E136A1" w:rsidRPr="005E6081" w:rsidRDefault="00E136A1" w:rsidP="00E136A1">
      <w:pPr>
        <w:spacing w:before="98" w:line="283" w:lineRule="exact"/>
        <w:ind w:left="500"/>
        <w:jc w:val="both"/>
        <w:rPr>
          <w:rFonts w:ascii="Segoe UI"/>
          <w:sz w:val="21"/>
        </w:rPr>
      </w:pPr>
      <w:r w:rsidRPr="005E6081">
        <w:rPr>
          <w:rFonts w:ascii="Segoe UI"/>
          <w:sz w:val="21"/>
        </w:rPr>
        <w:t>Criteria for issuing the final payments of 15% for the A&amp;L TE and 30% for the Production TE</w:t>
      </w:r>
      <w:r w:rsidRPr="005E6081">
        <w:rPr>
          <w:rFonts w:ascii="Segoe UI"/>
          <w:position w:val="8"/>
          <w:sz w:val="14"/>
        </w:rPr>
        <w:t>7</w:t>
      </w:r>
      <w:r w:rsidRPr="005E6081">
        <w:rPr>
          <w:rFonts w:ascii="Segoe UI"/>
          <w:sz w:val="21"/>
        </w:rPr>
        <w:t>:</w:t>
      </w:r>
    </w:p>
    <w:p w14:paraId="3D1A92F3" w14:textId="77777777" w:rsidR="00E136A1" w:rsidRPr="005E6081" w:rsidRDefault="00E136A1" w:rsidP="00D80344">
      <w:pPr>
        <w:pStyle w:val="ListParagraph"/>
        <w:numPr>
          <w:ilvl w:val="0"/>
          <w:numId w:val="48"/>
        </w:numPr>
        <w:tabs>
          <w:tab w:val="left" w:pos="1672"/>
        </w:tabs>
        <w:spacing w:before="0"/>
        <w:ind w:right="1435"/>
        <w:jc w:val="both"/>
        <w:rPr>
          <w:rFonts w:ascii="Segoe UI" w:hAnsi="Segoe UI"/>
          <w:sz w:val="21"/>
        </w:rPr>
      </w:pPr>
      <w:r w:rsidRPr="005E6081">
        <w:rPr>
          <w:rFonts w:ascii="Segoe UI" w:hAnsi="Segoe UI"/>
          <w:sz w:val="21"/>
        </w:rPr>
        <w:t>The final TE report includes all requirements outlined in the TE TOR and is in accordance with the TE</w:t>
      </w:r>
      <w:r w:rsidRPr="005E6081">
        <w:rPr>
          <w:rFonts w:ascii="Segoe UI" w:hAnsi="Segoe UI"/>
          <w:spacing w:val="-6"/>
          <w:sz w:val="21"/>
        </w:rPr>
        <w:t xml:space="preserve"> </w:t>
      </w:r>
      <w:r w:rsidRPr="005E6081">
        <w:rPr>
          <w:rFonts w:ascii="Segoe UI" w:hAnsi="Segoe UI"/>
          <w:sz w:val="21"/>
        </w:rPr>
        <w:t>guidance.</w:t>
      </w:r>
    </w:p>
    <w:p w14:paraId="3F844D98" w14:textId="77777777" w:rsidR="00E136A1" w:rsidRPr="005E6081" w:rsidRDefault="00E136A1" w:rsidP="00D80344">
      <w:pPr>
        <w:pStyle w:val="ListParagraph"/>
        <w:numPr>
          <w:ilvl w:val="0"/>
          <w:numId w:val="48"/>
        </w:numPr>
        <w:tabs>
          <w:tab w:val="left" w:pos="1672"/>
        </w:tabs>
        <w:spacing w:before="0"/>
        <w:ind w:right="1437"/>
        <w:jc w:val="both"/>
        <w:rPr>
          <w:rFonts w:ascii="Segoe UI" w:hAnsi="Segoe UI"/>
          <w:sz w:val="21"/>
        </w:rPr>
      </w:pPr>
      <w:r w:rsidRPr="005E6081">
        <w:rPr>
          <w:rFonts w:ascii="Segoe UI" w:hAnsi="Segoe UI"/>
          <w:sz w:val="21"/>
        </w:rPr>
        <w:t>The</w:t>
      </w:r>
      <w:r w:rsidRPr="005E6081">
        <w:rPr>
          <w:rFonts w:ascii="Segoe UI" w:hAnsi="Segoe UI"/>
          <w:spacing w:val="-7"/>
          <w:sz w:val="21"/>
        </w:rPr>
        <w:t xml:space="preserve"> </w:t>
      </w:r>
      <w:r w:rsidRPr="005E6081">
        <w:rPr>
          <w:rFonts w:ascii="Segoe UI" w:hAnsi="Segoe UI"/>
          <w:sz w:val="21"/>
        </w:rPr>
        <w:t>final</w:t>
      </w:r>
      <w:r w:rsidRPr="005E6081">
        <w:rPr>
          <w:rFonts w:ascii="Segoe UI" w:hAnsi="Segoe UI"/>
          <w:spacing w:val="-8"/>
          <w:sz w:val="21"/>
        </w:rPr>
        <w:t xml:space="preserve"> </w:t>
      </w:r>
      <w:r w:rsidRPr="005E6081">
        <w:rPr>
          <w:rFonts w:ascii="Segoe UI" w:hAnsi="Segoe UI"/>
          <w:sz w:val="21"/>
        </w:rPr>
        <w:t>TE</w:t>
      </w:r>
      <w:r w:rsidRPr="005E6081">
        <w:rPr>
          <w:rFonts w:ascii="Segoe UI" w:hAnsi="Segoe UI"/>
          <w:spacing w:val="-7"/>
          <w:sz w:val="21"/>
        </w:rPr>
        <w:t xml:space="preserve"> </w:t>
      </w:r>
      <w:r w:rsidRPr="005E6081">
        <w:rPr>
          <w:rFonts w:ascii="Segoe UI" w:hAnsi="Segoe UI"/>
          <w:sz w:val="21"/>
        </w:rPr>
        <w:t>report</w:t>
      </w:r>
      <w:r w:rsidRPr="005E6081">
        <w:rPr>
          <w:rFonts w:ascii="Segoe UI" w:hAnsi="Segoe UI"/>
          <w:spacing w:val="-7"/>
          <w:sz w:val="21"/>
        </w:rPr>
        <w:t xml:space="preserve"> </w:t>
      </w:r>
      <w:r w:rsidRPr="005E6081">
        <w:rPr>
          <w:rFonts w:ascii="Segoe UI" w:hAnsi="Segoe UI"/>
          <w:sz w:val="21"/>
        </w:rPr>
        <w:t>is</w:t>
      </w:r>
      <w:r w:rsidRPr="005E6081">
        <w:rPr>
          <w:rFonts w:ascii="Segoe UI" w:hAnsi="Segoe UI"/>
          <w:spacing w:val="-7"/>
          <w:sz w:val="21"/>
        </w:rPr>
        <w:t xml:space="preserve"> </w:t>
      </w:r>
      <w:r w:rsidRPr="005E6081">
        <w:rPr>
          <w:rFonts w:ascii="Segoe UI" w:hAnsi="Segoe UI"/>
          <w:sz w:val="21"/>
        </w:rPr>
        <w:t>clearly</w:t>
      </w:r>
      <w:r w:rsidRPr="005E6081">
        <w:rPr>
          <w:rFonts w:ascii="Segoe UI" w:hAnsi="Segoe UI"/>
          <w:spacing w:val="-6"/>
          <w:sz w:val="21"/>
        </w:rPr>
        <w:t xml:space="preserve"> </w:t>
      </w:r>
      <w:r w:rsidRPr="005E6081">
        <w:rPr>
          <w:rFonts w:ascii="Segoe UI" w:hAnsi="Segoe UI"/>
          <w:sz w:val="21"/>
        </w:rPr>
        <w:t>written,</w:t>
      </w:r>
      <w:r w:rsidRPr="005E6081">
        <w:rPr>
          <w:rFonts w:ascii="Segoe UI" w:hAnsi="Segoe UI"/>
          <w:spacing w:val="-7"/>
          <w:sz w:val="21"/>
        </w:rPr>
        <w:t xml:space="preserve"> </w:t>
      </w:r>
      <w:r w:rsidRPr="005E6081">
        <w:rPr>
          <w:rFonts w:ascii="Segoe UI" w:hAnsi="Segoe UI"/>
          <w:sz w:val="21"/>
        </w:rPr>
        <w:t>logically</w:t>
      </w:r>
      <w:r w:rsidRPr="005E6081">
        <w:rPr>
          <w:rFonts w:ascii="Segoe UI" w:hAnsi="Segoe UI"/>
          <w:spacing w:val="-8"/>
          <w:sz w:val="21"/>
        </w:rPr>
        <w:t xml:space="preserve"> </w:t>
      </w:r>
      <w:r w:rsidRPr="005E6081">
        <w:rPr>
          <w:rFonts w:ascii="Segoe UI" w:hAnsi="Segoe UI"/>
          <w:sz w:val="21"/>
        </w:rPr>
        <w:t>organized,</w:t>
      </w:r>
      <w:r w:rsidRPr="005E6081">
        <w:rPr>
          <w:rFonts w:ascii="Segoe UI" w:hAnsi="Segoe UI"/>
          <w:spacing w:val="-7"/>
          <w:sz w:val="21"/>
        </w:rPr>
        <w:t xml:space="preserve"> </w:t>
      </w:r>
      <w:r w:rsidRPr="005E6081">
        <w:rPr>
          <w:rFonts w:ascii="Segoe UI" w:hAnsi="Segoe UI"/>
          <w:sz w:val="21"/>
        </w:rPr>
        <w:t>and</w:t>
      </w:r>
      <w:r w:rsidRPr="005E6081">
        <w:rPr>
          <w:rFonts w:ascii="Segoe UI" w:hAnsi="Segoe UI"/>
          <w:spacing w:val="-6"/>
          <w:sz w:val="21"/>
        </w:rPr>
        <w:t xml:space="preserve"> </w:t>
      </w:r>
      <w:r w:rsidRPr="005E6081">
        <w:rPr>
          <w:rFonts w:ascii="Segoe UI" w:hAnsi="Segoe UI"/>
          <w:sz w:val="21"/>
        </w:rPr>
        <w:t>is</w:t>
      </w:r>
      <w:r w:rsidRPr="005E6081">
        <w:rPr>
          <w:rFonts w:ascii="Segoe UI" w:hAnsi="Segoe UI"/>
          <w:spacing w:val="-8"/>
          <w:sz w:val="21"/>
        </w:rPr>
        <w:t xml:space="preserve"> </w:t>
      </w:r>
      <w:r w:rsidRPr="005E6081">
        <w:rPr>
          <w:rFonts w:ascii="Segoe UI" w:hAnsi="Segoe UI"/>
          <w:sz w:val="21"/>
        </w:rPr>
        <w:t>specific</w:t>
      </w:r>
      <w:r w:rsidRPr="005E6081">
        <w:rPr>
          <w:rFonts w:ascii="Segoe UI" w:hAnsi="Segoe UI"/>
          <w:spacing w:val="-6"/>
          <w:sz w:val="21"/>
        </w:rPr>
        <w:t xml:space="preserve"> </w:t>
      </w:r>
      <w:r w:rsidRPr="005E6081">
        <w:rPr>
          <w:rFonts w:ascii="Segoe UI" w:hAnsi="Segoe UI"/>
          <w:sz w:val="21"/>
        </w:rPr>
        <w:t>for</w:t>
      </w:r>
      <w:r w:rsidRPr="005E6081">
        <w:rPr>
          <w:rFonts w:ascii="Segoe UI" w:hAnsi="Segoe UI"/>
          <w:spacing w:val="-7"/>
          <w:sz w:val="21"/>
        </w:rPr>
        <w:t xml:space="preserve"> </w:t>
      </w:r>
      <w:r w:rsidRPr="005E6081">
        <w:rPr>
          <w:rFonts w:ascii="Segoe UI" w:hAnsi="Segoe UI"/>
          <w:sz w:val="21"/>
        </w:rPr>
        <w:t>this</w:t>
      </w:r>
      <w:r w:rsidRPr="005E6081">
        <w:rPr>
          <w:rFonts w:ascii="Segoe UI" w:hAnsi="Segoe UI"/>
          <w:spacing w:val="-8"/>
          <w:sz w:val="21"/>
        </w:rPr>
        <w:t xml:space="preserve"> </w:t>
      </w:r>
      <w:r w:rsidRPr="005E6081">
        <w:rPr>
          <w:rFonts w:ascii="Segoe UI" w:hAnsi="Segoe UI"/>
          <w:sz w:val="21"/>
        </w:rPr>
        <w:t>project</w:t>
      </w:r>
      <w:r w:rsidRPr="005E6081">
        <w:rPr>
          <w:rFonts w:ascii="Segoe UI" w:hAnsi="Segoe UI"/>
          <w:spacing w:val="-6"/>
          <w:sz w:val="21"/>
        </w:rPr>
        <w:t xml:space="preserve"> </w:t>
      </w:r>
      <w:r w:rsidRPr="005E6081">
        <w:rPr>
          <w:rFonts w:ascii="Segoe UI" w:hAnsi="Segoe UI"/>
          <w:sz w:val="21"/>
        </w:rPr>
        <w:t>(i.e. text has not been cut &amp; pasted from other TE</w:t>
      </w:r>
      <w:r w:rsidRPr="005E6081">
        <w:rPr>
          <w:rFonts w:ascii="Segoe UI" w:hAnsi="Segoe UI"/>
          <w:spacing w:val="-11"/>
          <w:sz w:val="21"/>
        </w:rPr>
        <w:t xml:space="preserve"> </w:t>
      </w:r>
      <w:r w:rsidRPr="005E6081">
        <w:rPr>
          <w:rFonts w:ascii="Segoe UI" w:hAnsi="Segoe UI"/>
          <w:sz w:val="21"/>
        </w:rPr>
        <w:t>reports).</w:t>
      </w:r>
    </w:p>
    <w:p w14:paraId="51A1877A" w14:textId="77777777" w:rsidR="00E136A1" w:rsidRPr="005E6081" w:rsidRDefault="00E136A1" w:rsidP="00D80344">
      <w:pPr>
        <w:pStyle w:val="ListParagraph"/>
        <w:numPr>
          <w:ilvl w:val="0"/>
          <w:numId w:val="48"/>
        </w:numPr>
        <w:tabs>
          <w:tab w:val="left" w:pos="1672"/>
        </w:tabs>
        <w:spacing w:before="1"/>
        <w:ind w:right="1434"/>
        <w:jc w:val="both"/>
        <w:rPr>
          <w:rFonts w:ascii="Segoe UI" w:hAnsi="Segoe UI"/>
          <w:sz w:val="21"/>
        </w:rPr>
      </w:pPr>
      <w:r w:rsidRPr="005E6081">
        <w:rPr>
          <w:rFonts w:ascii="Segoe UI" w:hAnsi="Segoe UI"/>
          <w:sz w:val="21"/>
        </w:rPr>
        <w:t xml:space="preserve">The final TE report must be in English. If applicable, the Commissioning Unit may then choose to arrange for a translation of the report into a language more widely shared </w:t>
      </w:r>
      <w:r w:rsidRPr="005E6081">
        <w:rPr>
          <w:rFonts w:ascii="Segoe UI" w:hAnsi="Segoe UI"/>
          <w:spacing w:val="-3"/>
          <w:sz w:val="21"/>
        </w:rPr>
        <w:t xml:space="preserve">by </w:t>
      </w:r>
      <w:r w:rsidRPr="005E6081">
        <w:rPr>
          <w:rFonts w:ascii="Segoe UI" w:hAnsi="Segoe UI"/>
          <w:sz w:val="21"/>
        </w:rPr>
        <w:t>national</w:t>
      </w:r>
      <w:r w:rsidRPr="005E6081">
        <w:rPr>
          <w:rFonts w:ascii="Segoe UI" w:hAnsi="Segoe UI"/>
          <w:spacing w:val="-1"/>
          <w:sz w:val="21"/>
        </w:rPr>
        <w:t xml:space="preserve"> </w:t>
      </w:r>
      <w:r w:rsidRPr="005E6081">
        <w:rPr>
          <w:rFonts w:ascii="Segoe UI" w:hAnsi="Segoe UI"/>
          <w:sz w:val="21"/>
        </w:rPr>
        <w:t>stakeholders.</w:t>
      </w:r>
    </w:p>
    <w:p w14:paraId="3CD72332" w14:textId="77777777" w:rsidR="00E136A1" w:rsidRPr="005E6081" w:rsidRDefault="00E136A1" w:rsidP="00D80344">
      <w:pPr>
        <w:pStyle w:val="ListParagraph"/>
        <w:numPr>
          <w:ilvl w:val="0"/>
          <w:numId w:val="48"/>
        </w:numPr>
        <w:tabs>
          <w:tab w:val="left" w:pos="1672"/>
        </w:tabs>
        <w:spacing w:before="2"/>
        <w:ind w:hanging="361"/>
        <w:jc w:val="both"/>
        <w:rPr>
          <w:rFonts w:ascii="Segoe UI" w:hAnsi="Segoe UI"/>
          <w:sz w:val="21"/>
        </w:rPr>
      </w:pPr>
      <w:r w:rsidRPr="005E6081">
        <w:rPr>
          <w:rFonts w:ascii="Segoe UI" w:hAnsi="Segoe UI"/>
          <w:sz w:val="21"/>
        </w:rPr>
        <w:t>The Audit Trail includes responses to and justification for each comment</w:t>
      </w:r>
      <w:r w:rsidRPr="005E6081">
        <w:rPr>
          <w:rFonts w:ascii="Segoe UI" w:hAnsi="Segoe UI"/>
          <w:spacing w:val="-11"/>
          <w:sz w:val="21"/>
        </w:rPr>
        <w:t xml:space="preserve"> </w:t>
      </w:r>
      <w:r w:rsidRPr="005E6081">
        <w:rPr>
          <w:rFonts w:ascii="Segoe UI" w:hAnsi="Segoe UI"/>
          <w:sz w:val="21"/>
        </w:rPr>
        <w:t>listed.</w:t>
      </w:r>
    </w:p>
    <w:p w14:paraId="246E00C5" w14:textId="77777777" w:rsidR="00E136A1" w:rsidRPr="005E6081" w:rsidRDefault="00E136A1" w:rsidP="00E136A1">
      <w:pPr>
        <w:spacing w:before="172"/>
        <w:ind w:left="500" w:right="1430"/>
        <w:jc w:val="both"/>
        <w:rPr>
          <w:rFonts w:ascii="Segoe UI" w:hAnsi="Segoe UI"/>
          <w:i/>
          <w:sz w:val="21"/>
        </w:rPr>
      </w:pPr>
      <w:r w:rsidRPr="005E6081">
        <w:rPr>
          <w:rFonts w:ascii="Segoe UI" w:hAnsi="Segoe UI"/>
          <w:i/>
          <w:sz w:val="21"/>
        </w:rPr>
        <w:t>In line with the UNDP’s financial regulations, when determined by the Commissioning Unit and/or the consultant that a deliverable or service cannot be satisfactorily completed due to the impact of COVID- 19 and limitations to the TE, that deliverable or service will not be paid.</w:t>
      </w:r>
    </w:p>
    <w:p w14:paraId="2B20439C" w14:textId="77777777" w:rsidR="00E136A1" w:rsidRPr="005E6081" w:rsidRDefault="00E136A1" w:rsidP="00E136A1">
      <w:pPr>
        <w:pStyle w:val="BodyText"/>
        <w:spacing w:before="12"/>
        <w:rPr>
          <w:rFonts w:ascii="Segoe UI"/>
          <w:i/>
        </w:rPr>
      </w:pPr>
    </w:p>
    <w:p w14:paraId="0FCE7A70" w14:textId="77777777" w:rsidR="00E136A1" w:rsidRPr="005E6081" w:rsidRDefault="00E136A1" w:rsidP="00E136A1">
      <w:pPr>
        <w:ind w:left="500" w:right="1440"/>
        <w:jc w:val="both"/>
        <w:rPr>
          <w:rFonts w:ascii="Segoe UI"/>
          <w:i/>
          <w:sz w:val="21"/>
        </w:rPr>
      </w:pPr>
      <w:r w:rsidRPr="005E6081">
        <w:rPr>
          <w:rFonts w:ascii="Segoe UI"/>
          <w:i/>
          <w:sz w:val="21"/>
        </w:rPr>
        <w:t>Due to the current COVID-19 situation and its implications, a partial payment may be considered if the consultant invested time towards the deliverable but was unable to complete to circumstances beyond his/her control.</w:t>
      </w:r>
    </w:p>
    <w:p w14:paraId="7F3BC817" w14:textId="77777777" w:rsidR="00E136A1" w:rsidRPr="005E6081" w:rsidRDefault="00E136A1" w:rsidP="00E136A1">
      <w:pPr>
        <w:rPr>
          <w:sz w:val="30"/>
        </w:rPr>
      </w:pPr>
      <w:r w:rsidRPr="005E6081">
        <w:t>APPLICATION</w:t>
      </w:r>
      <w:r w:rsidRPr="005E6081">
        <w:rPr>
          <w:spacing w:val="-15"/>
        </w:rPr>
        <w:t xml:space="preserve"> </w:t>
      </w:r>
      <w:r w:rsidRPr="005E6081">
        <w:t>PROCESS</w:t>
      </w:r>
    </w:p>
    <w:p w14:paraId="33781D68" w14:textId="77777777" w:rsidR="00E136A1" w:rsidRPr="005E6081" w:rsidRDefault="00E136A1" w:rsidP="00E136A1">
      <w:pPr>
        <w:spacing w:before="137"/>
        <w:ind w:left="500"/>
        <w:rPr>
          <w:rFonts w:ascii="Segoe UI"/>
          <w:sz w:val="21"/>
        </w:rPr>
      </w:pPr>
      <w:r w:rsidRPr="005E6081">
        <w:rPr>
          <w:rFonts w:ascii="Segoe UI"/>
          <w:sz w:val="21"/>
        </w:rPr>
        <w:t>The technical proposal should include the</w:t>
      </w:r>
      <w:r w:rsidRPr="005E6081">
        <w:rPr>
          <w:rFonts w:ascii="Segoe UI"/>
          <w:spacing w:val="-19"/>
          <w:sz w:val="21"/>
        </w:rPr>
        <w:t xml:space="preserve"> </w:t>
      </w:r>
      <w:r w:rsidRPr="005E6081">
        <w:rPr>
          <w:rFonts w:ascii="Segoe UI"/>
          <w:sz w:val="21"/>
        </w:rPr>
        <w:t>following:</w:t>
      </w:r>
    </w:p>
    <w:p w14:paraId="220CECC9" w14:textId="77777777" w:rsidR="00E136A1" w:rsidRPr="005E6081" w:rsidRDefault="00E136A1" w:rsidP="00D80344">
      <w:pPr>
        <w:pStyle w:val="ListParagraph"/>
        <w:numPr>
          <w:ilvl w:val="0"/>
          <w:numId w:val="47"/>
        </w:numPr>
        <w:tabs>
          <w:tab w:val="left" w:pos="1221"/>
        </w:tabs>
        <w:spacing w:before="2"/>
        <w:ind w:hanging="361"/>
        <w:rPr>
          <w:rFonts w:ascii="Segoe UI"/>
          <w:sz w:val="21"/>
        </w:rPr>
      </w:pPr>
      <w:r w:rsidRPr="005E6081">
        <w:rPr>
          <w:rFonts w:ascii="Segoe UI"/>
          <w:b/>
          <w:sz w:val="21"/>
        </w:rPr>
        <w:lastRenderedPageBreak/>
        <w:t xml:space="preserve">Letter of Confirmation of Interest and Availability </w:t>
      </w:r>
      <w:r w:rsidRPr="005E6081">
        <w:rPr>
          <w:rFonts w:ascii="Segoe UI"/>
          <w:sz w:val="21"/>
        </w:rPr>
        <w:t xml:space="preserve">using the </w:t>
      </w:r>
      <w:r w:rsidRPr="005E6081">
        <w:rPr>
          <w:rFonts w:ascii="Segoe UI"/>
          <w:sz w:val="21"/>
          <w:u w:val="single"/>
        </w:rPr>
        <w:t>template</w:t>
      </w:r>
      <w:r w:rsidRPr="005E6081">
        <w:rPr>
          <w:rFonts w:ascii="Segoe UI"/>
          <w:sz w:val="21"/>
        </w:rPr>
        <w:t xml:space="preserve"> provided by</w:t>
      </w:r>
      <w:r w:rsidRPr="005E6081">
        <w:rPr>
          <w:rFonts w:ascii="Segoe UI"/>
          <w:spacing w:val="-17"/>
          <w:sz w:val="21"/>
        </w:rPr>
        <w:t xml:space="preserve"> </w:t>
      </w:r>
      <w:r w:rsidRPr="005E6081">
        <w:rPr>
          <w:rFonts w:ascii="Segoe UI"/>
          <w:sz w:val="21"/>
        </w:rPr>
        <w:t>UNDP;</w:t>
      </w:r>
    </w:p>
    <w:p w14:paraId="64E491DD" w14:textId="77777777" w:rsidR="00E136A1" w:rsidRPr="005E6081" w:rsidRDefault="00E136A1" w:rsidP="00D80344">
      <w:pPr>
        <w:pStyle w:val="ListParagraph"/>
        <w:numPr>
          <w:ilvl w:val="0"/>
          <w:numId w:val="47"/>
        </w:numPr>
        <w:tabs>
          <w:tab w:val="left" w:pos="1221"/>
        </w:tabs>
        <w:spacing w:before="24"/>
        <w:ind w:hanging="361"/>
        <w:rPr>
          <w:rFonts w:ascii="Segoe UI"/>
          <w:b/>
          <w:sz w:val="21"/>
        </w:rPr>
      </w:pPr>
      <w:r w:rsidRPr="005E6081">
        <w:rPr>
          <w:rFonts w:ascii="Segoe UI"/>
          <w:b/>
          <w:sz w:val="21"/>
        </w:rPr>
        <w:t>Composition of the team and summary of key personnel competences with</w:t>
      </w:r>
      <w:r w:rsidRPr="005E6081">
        <w:rPr>
          <w:rFonts w:ascii="Segoe UI"/>
          <w:b/>
          <w:spacing w:val="-16"/>
          <w:sz w:val="21"/>
        </w:rPr>
        <w:t xml:space="preserve"> </w:t>
      </w:r>
      <w:r w:rsidRPr="005E6081">
        <w:rPr>
          <w:rFonts w:ascii="Segoe UI"/>
          <w:b/>
          <w:sz w:val="21"/>
        </w:rPr>
        <w:t>CV</w:t>
      </w:r>
    </w:p>
    <w:p w14:paraId="2FBCC9FD" w14:textId="77777777" w:rsidR="00E136A1" w:rsidRPr="005E6081" w:rsidRDefault="00E136A1" w:rsidP="00E136A1">
      <w:pPr>
        <w:pStyle w:val="BodyText"/>
        <w:rPr>
          <w:rFonts w:ascii="Segoe UI"/>
          <w:b/>
        </w:rPr>
      </w:pPr>
    </w:p>
    <w:p w14:paraId="789DCEAA" w14:textId="735F3928" w:rsidR="00E136A1" w:rsidRPr="005E6081" w:rsidRDefault="00011C41" w:rsidP="00E136A1">
      <w:pPr>
        <w:pStyle w:val="BodyText"/>
        <w:rPr>
          <w:rFonts w:ascii="Segoe UI"/>
          <w:b/>
          <w:sz w:val="27"/>
        </w:rPr>
      </w:pPr>
      <w:r>
        <w:rPr>
          <w:noProof/>
        </w:rPr>
        <mc:AlternateContent>
          <mc:Choice Requires="wps">
            <w:drawing>
              <wp:anchor distT="0" distB="0" distL="0" distR="0" simplePos="0" relativeHeight="251664896" behindDoc="1" locked="0" layoutInCell="1" allowOverlap="1" wp14:anchorId="5036EA45" wp14:editId="2D06A7C7">
                <wp:simplePos x="0" y="0"/>
                <wp:positionH relativeFrom="page">
                  <wp:posOffset>914400</wp:posOffset>
                </wp:positionH>
                <wp:positionV relativeFrom="paragraph">
                  <wp:posOffset>253365</wp:posOffset>
                </wp:positionV>
                <wp:extent cx="1828800" cy="6350"/>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5D67" id="Rectangle 11" o:spid="_x0000_s1026" style="position:absolute;margin-left:1in;margin-top:19.95pt;width:2in;height:.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" fillcolor="black" stroked="f">
                <w10:wrap type="topAndBottom" anchorx="page"/>
              </v:rect>
            </w:pict>
          </mc:Fallback>
        </mc:AlternateContent>
      </w:r>
    </w:p>
    <w:p w14:paraId="590E5534" w14:textId="77777777" w:rsidR="00E136A1" w:rsidRPr="005E6081" w:rsidRDefault="00E136A1" w:rsidP="00E136A1">
      <w:pPr>
        <w:spacing w:before="55"/>
        <w:ind w:left="500" w:right="1472"/>
        <w:rPr>
          <w:rFonts w:ascii="Segoe UI"/>
          <w:sz w:val="21"/>
        </w:rPr>
      </w:pPr>
      <w:r w:rsidRPr="005E6081">
        <w:rPr>
          <w:sz w:val="20"/>
          <w:vertAlign w:val="superscript"/>
        </w:rPr>
        <w:t>7</w:t>
      </w:r>
      <w:r w:rsidRPr="005E6081">
        <w:rPr>
          <w:sz w:val="20"/>
        </w:rPr>
        <w:t xml:space="preserve"> The Commissioning Unit is obligated to issue payments to the TE team as soon as the terms under the ToR are fulfilled. If there is an ongoing discussion regarding the quality and completeness of the final deliverables that cannot be resolved between the Commissioning Unit and the TE team, the Regional M&amp;E Advisor and Vertical Fund Directorate will be consulted. If needed, the Commissioning Unit’s senior management, Procurement Services Unit and Legal Support Office will be notified as well so that a decision can be made about whether or not to withhold payment of any amounts that may be due to the evaluator(s), suspend or terminate the contract and/or remove the individual contractor from any applicable rosters.</w:t>
      </w:r>
      <w:r w:rsidRPr="005E6081">
        <w:rPr>
          <w:rFonts w:ascii="Segoe UI"/>
          <w:sz w:val="21"/>
        </w:rPr>
        <w:t xml:space="preserve">Brief description </w:t>
      </w:r>
      <w:r w:rsidRPr="005E6081">
        <w:rPr>
          <w:rFonts w:ascii="Segoe UI"/>
          <w:b/>
          <w:sz w:val="21"/>
        </w:rPr>
        <w:t xml:space="preserve">of approach to work/technical proposal </w:t>
      </w:r>
      <w:r w:rsidRPr="005E6081">
        <w:rPr>
          <w:rFonts w:ascii="Segoe UI"/>
          <w:sz w:val="21"/>
        </w:rPr>
        <w:t>of why the individual considers him/herself as the most suitable for the assignment, and a proposed methodology on how they will approach and complete the assignment; (max 1</w:t>
      </w:r>
      <w:r w:rsidRPr="005E6081">
        <w:rPr>
          <w:rFonts w:ascii="Segoe UI"/>
          <w:spacing w:val="-9"/>
          <w:sz w:val="21"/>
        </w:rPr>
        <w:t xml:space="preserve"> </w:t>
      </w:r>
      <w:r w:rsidRPr="005E6081">
        <w:rPr>
          <w:rFonts w:ascii="Segoe UI"/>
          <w:sz w:val="21"/>
        </w:rPr>
        <w:t>page)</w:t>
      </w:r>
    </w:p>
    <w:p w14:paraId="15E79910" w14:textId="77777777" w:rsidR="00E136A1" w:rsidRPr="005E6081" w:rsidRDefault="00E136A1" w:rsidP="00D80344">
      <w:pPr>
        <w:pStyle w:val="ListParagraph"/>
        <w:numPr>
          <w:ilvl w:val="0"/>
          <w:numId w:val="47"/>
        </w:numPr>
        <w:tabs>
          <w:tab w:val="left" w:pos="1221"/>
        </w:tabs>
        <w:spacing w:before="0"/>
        <w:ind w:hanging="361"/>
        <w:jc w:val="both"/>
        <w:rPr>
          <w:rFonts w:ascii="Segoe UI"/>
          <w:sz w:val="21"/>
        </w:rPr>
      </w:pPr>
      <w:r w:rsidRPr="005E6081">
        <w:rPr>
          <w:rFonts w:ascii="Segoe UI"/>
          <w:sz w:val="21"/>
        </w:rPr>
        <w:t>Implementation</w:t>
      </w:r>
      <w:r w:rsidRPr="005E6081">
        <w:rPr>
          <w:rFonts w:ascii="Segoe UI"/>
          <w:spacing w:val="-3"/>
          <w:sz w:val="21"/>
        </w:rPr>
        <w:t xml:space="preserve"> </w:t>
      </w:r>
      <w:r w:rsidRPr="005E6081">
        <w:rPr>
          <w:rFonts w:ascii="Segoe UI"/>
          <w:sz w:val="21"/>
        </w:rPr>
        <w:t>timelines</w:t>
      </w:r>
    </w:p>
    <w:p w14:paraId="70E7C73D" w14:textId="77777777" w:rsidR="00E136A1" w:rsidRPr="005E6081" w:rsidRDefault="00E136A1" w:rsidP="00D80344">
      <w:pPr>
        <w:pStyle w:val="ListParagraph"/>
        <w:numPr>
          <w:ilvl w:val="0"/>
          <w:numId w:val="47"/>
        </w:numPr>
        <w:tabs>
          <w:tab w:val="left" w:pos="1221"/>
        </w:tabs>
        <w:spacing w:before="21"/>
        <w:ind w:hanging="361"/>
        <w:jc w:val="both"/>
        <w:rPr>
          <w:rFonts w:ascii="Segoe UI"/>
          <w:sz w:val="21"/>
        </w:rPr>
      </w:pPr>
      <w:r w:rsidRPr="005E6081">
        <w:rPr>
          <w:rFonts w:ascii="Segoe UI"/>
          <w:sz w:val="21"/>
        </w:rPr>
        <w:t>Subcontracting and Partnership (if</w:t>
      </w:r>
      <w:r w:rsidRPr="005E6081">
        <w:rPr>
          <w:rFonts w:ascii="Segoe UI"/>
          <w:spacing w:val="-2"/>
          <w:sz w:val="21"/>
        </w:rPr>
        <w:t xml:space="preserve"> </w:t>
      </w:r>
      <w:r w:rsidRPr="005E6081">
        <w:rPr>
          <w:rFonts w:ascii="Segoe UI"/>
          <w:sz w:val="21"/>
        </w:rPr>
        <w:t>any)</w:t>
      </w:r>
    </w:p>
    <w:p w14:paraId="06D3537E" w14:textId="77777777" w:rsidR="00E136A1" w:rsidRPr="005E6081" w:rsidRDefault="00E136A1" w:rsidP="00D80344">
      <w:pPr>
        <w:pStyle w:val="ListParagraph"/>
        <w:numPr>
          <w:ilvl w:val="0"/>
          <w:numId w:val="47"/>
        </w:numPr>
        <w:tabs>
          <w:tab w:val="left" w:pos="1221"/>
        </w:tabs>
        <w:spacing w:before="21" w:line="396" w:lineRule="auto"/>
        <w:ind w:left="500" w:right="3235" w:firstLine="360"/>
        <w:jc w:val="both"/>
        <w:rPr>
          <w:rFonts w:ascii="Segoe UI" w:hAnsi="Segoe UI"/>
          <w:sz w:val="21"/>
        </w:rPr>
      </w:pPr>
      <w:r w:rsidRPr="005E6081">
        <w:rPr>
          <w:rFonts w:ascii="Segoe UI" w:hAnsi="Segoe UI"/>
          <w:sz w:val="21"/>
        </w:rPr>
        <w:t>One or two samples demonstrating the Team Leader´s report writing skills Incomplete applications will be excluded from further</w:t>
      </w:r>
      <w:r w:rsidRPr="005E6081">
        <w:rPr>
          <w:rFonts w:ascii="Segoe UI" w:hAnsi="Segoe UI"/>
          <w:spacing w:val="-13"/>
          <w:sz w:val="21"/>
        </w:rPr>
        <w:t xml:space="preserve"> </w:t>
      </w:r>
      <w:r w:rsidRPr="005E6081">
        <w:rPr>
          <w:rFonts w:ascii="Segoe UI" w:hAnsi="Segoe UI"/>
          <w:sz w:val="21"/>
        </w:rPr>
        <w:t>consideration.</w:t>
      </w:r>
    </w:p>
    <w:p w14:paraId="7436C4A3" w14:textId="77777777" w:rsidR="00E136A1" w:rsidRPr="005E6081" w:rsidRDefault="00E136A1" w:rsidP="00E136A1">
      <w:r w:rsidRPr="005E6081">
        <w:t>TOR</w:t>
      </w:r>
      <w:r w:rsidRPr="005E6081">
        <w:rPr>
          <w:spacing w:val="-1"/>
        </w:rPr>
        <w:t xml:space="preserve"> </w:t>
      </w:r>
      <w:r w:rsidRPr="005E6081">
        <w:t>ANNEXES</w:t>
      </w:r>
    </w:p>
    <w:p w14:paraId="7422A66F" w14:textId="77777777" w:rsidR="00E136A1" w:rsidRPr="005E6081" w:rsidRDefault="00E136A1" w:rsidP="00D80344">
      <w:pPr>
        <w:pStyle w:val="ListParagraph"/>
        <w:numPr>
          <w:ilvl w:val="0"/>
          <w:numId w:val="46"/>
        </w:numPr>
        <w:tabs>
          <w:tab w:val="left" w:pos="1220"/>
          <w:tab w:val="left" w:pos="1221"/>
        </w:tabs>
        <w:spacing w:before="30"/>
        <w:ind w:hanging="361"/>
        <w:rPr>
          <w:rFonts w:ascii="Segoe UI" w:hAnsi="Segoe UI"/>
          <w:sz w:val="21"/>
        </w:rPr>
      </w:pPr>
      <w:r w:rsidRPr="005E6081">
        <w:rPr>
          <w:rFonts w:ascii="Segoe UI" w:hAnsi="Segoe UI"/>
          <w:sz w:val="21"/>
        </w:rPr>
        <w:t>ToR Annex A: Project Logical/Results</w:t>
      </w:r>
      <w:r w:rsidRPr="005E6081">
        <w:rPr>
          <w:rFonts w:ascii="Segoe UI" w:hAnsi="Segoe UI"/>
          <w:spacing w:val="-5"/>
          <w:sz w:val="21"/>
        </w:rPr>
        <w:t xml:space="preserve"> </w:t>
      </w:r>
      <w:r w:rsidRPr="005E6081">
        <w:rPr>
          <w:rFonts w:ascii="Segoe UI" w:hAnsi="Segoe UI"/>
          <w:sz w:val="21"/>
        </w:rPr>
        <w:t>Framework</w:t>
      </w:r>
    </w:p>
    <w:p w14:paraId="7057EF06" w14:textId="77777777" w:rsidR="00E136A1" w:rsidRPr="005E6081" w:rsidRDefault="00E136A1" w:rsidP="00D80344">
      <w:pPr>
        <w:pStyle w:val="ListParagraph"/>
        <w:numPr>
          <w:ilvl w:val="0"/>
          <w:numId w:val="46"/>
        </w:numPr>
        <w:tabs>
          <w:tab w:val="left" w:pos="1220"/>
          <w:tab w:val="left" w:pos="1221"/>
        </w:tabs>
        <w:spacing w:before="21"/>
        <w:ind w:hanging="361"/>
        <w:rPr>
          <w:rFonts w:ascii="Segoe UI" w:hAnsi="Segoe UI"/>
          <w:sz w:val="21"/>
        </w:rPr>
      </w:pPr>
      <w:r w:rsidRPr="005E6081">
        <w:rPr>
          <w:rFonts w:ascii="Segoe UI" w:hAnsi="Segoe UI"/>
          <w:sz w:val="21"/>
        </w:rPr>
        <w:t>ToR Annex B: Project Information Package to be reviewed by TE</w:t>
      </w:r>
      <w:r w:rsidRPr="005E6081">
        <w:rPr>
          <w:rFonts w:ascii="Segoe UI" w:hAnsi="Segoe UI"/>
          <w:spacing w:val="-9"/>
          <w:sz w:val="21"/>
        </w:rPr>
        <w:t xml:space="preserve"> </w:t>
      </w:r>
      <w:r w:rsidRPr="005E6081">
        <w:rPr>
          <w:rFonts w:ascii="Segoe UI" w:hAnsi="Segoe UI"/>
          <w:sz w:val="21"/>
        </w:rPr>
        <w:t>team</w:t>
      </w:r>
    </w:p>
    <w:p w14:paraId="7879BF60" w14:textId="77777777" w:rsidR="00E136A1" w:rsidRPr="005E6081" w:rsidRDefault="00E136A1" w:rsidP="00D80344">
      <w:pPr>
        <w:pStyle w:val="ListParagraph"/>
        <w:numPr>
          <w:ilvl w:val="0"/>
          <w:numId w:val="46"/>
        </w:numPr>
        <w:tabs>
          <w:tab w:val="left" w:pos="1220"/>
          <w:tab w:val="left" w:pos="1221"/>
        </w:tabs>
        <w:spacing w:before="23"/>
        <w:ind w:hanging="361"/>
        <w:rPr>
          <w:rFonts w:ascii="Segoe UI" w:hAnsi="Segoe UI"/>
          <w:sz w:val="21"/>
        </w:rPr>
      </w:pPr>
      <w:r w:rsidRPr="005E6081">
        <w:rPr>
          <w:rFonts w:ascii="Segoe UI" w:hAnsi="Segoe UI"/>
          <w:sz w:val="21"/>
        </w:rPr>
        <w:t>ToR Annex C: Content of the TE</w:t>
      </w:r>
      <w:r w:rsidRPr="005E6081">
        <w:rPr>
          <w:rFonts w:ascii="Segoe UI" w:hAnsi="Segoe UI"/>
          <w:spacing w:val="-8"/>
          <w:sz w:val="21"/>
        </w:rPr>
        <w:t xml:space="preserve"> </w:t>
      </w:r>
      <w:r w:rsidRPr="005E6081">
        <w:rPr>
          <w:rFonts w:ascii="Segoe UI" w:hAnsi="Segoe UI"/>
          <w:sz w:val="21"/>
        </w:rPr>
        <w:t>report</w:t>
      </w:r>
    </w:p>
    <w:p w14:paraId="71AFAC00" w14:textId="77777777" w:rsidR="00E136A1" w:rsidRPr="005E6081" w:rsidRDefault="00E136A1" w:rsidP="00D80344">
      <w:pPr>
        <w:pStyle w:val="ListParagraph"/>
        <w:numPr>
          <w:ilvl w:val="0"/>
          <w:numId w:val="46"/>
        </w:numPr>
        <w:tabs>
          <w:tab w:val="left" w:pos="1220"/>
          <w:tab w:val="left" w:pos="1221"/>
        </w:tabs>
        <w:spacing w:before="21"/>
        <w:ind w:hanging="361"/>
        <w:rPr>
          <w:rFonts w:ascii="Segoe UI" w:hAnsi="Segoe UI"/>
          <w:sz w:val="21"/>
        </w:rPr>
      </w:pPr>
      <w:r w:rsidRPr="005E6081">
        <w:rPr>
          <w:rFonts w:ascii="Segoe UI" w:hAnsi="Segoe UI"/>
          <w:sz w:val="21"/>
        </w:rPr>
        <w:t>ToR Annex D: Evaluation Criteria Matrix</w:t>
      </w:r>
      <w:r w:rsidRPr="005E6081">
        <w:rPr>
          <w:rFonts w:ascii="Segoe UI" w:hAnsi="Segoe UI"/>
          <w:spacing w:val="-10"/>
          <w:sz w:val="21"/>
        </w:rPr>
        <w:t xml:space="preserve"> </w:t>
      </w:r>
      <w:r w:rsidRPr="005E6081">
        <w:rPr>
          <w:rFonts w:ascii="Segoe UI" w:hAnsi="Segoe UI"/>
          <w:sz w:val="21"/>
        </w:rPr>
        <w:t>template</w:t>
      </w:r>
    </w:p>
    <w:p w14:paraId="7B666C04" w14:textId="77777777" w:rsidR="00E136A1" w:rsidRPr="005E6081" w:rsidRDefault="00E136A1" w:rsidP="00D80344">
      <w:pPr>
        <w:pStyle w:val="ListParagraph"/>
        <w:numPr>
          <w:ilvl w:val="0"/>
          <w:numId w:val="46"/>
        </w:numPr>
        <w:tabs>
          <w:tab w:val="left" w:pos="1220"/>
          <w:tab w:val="left" w:pos="1221"/>
        </w:tabs>
        <w:spacing w:before="23"/>
        <w:ind w:hanging="361"/>
        <w:rPr>
          <w:rFonts w:ascii="Segoe UI" w:hAnsi="Segoe UI"/>
          <w:sz w:val="21"/>
        </w:rPr>
      </w:pPr>
      <w:r w:rsidRPr="005E6081">
        <w:rPr>
          <w:rFonts w:ascii="Segoe UI" w:hAnsi="Segoe UI"/>
          <w:sz w:val="21"/>
        </w:rPr>
        <w:t>ToR Annex E: UNEG Code of Conduct for</w:t>
      </w:r>
      <w:r w:rsidRPr="005E6081">
        <w:rPr>
          <w:rFonts w:ascii="Segoe UI" w:hAnsi="Segoe UI"/>
          <w:spacing w:val="-16"/>
          <w:sz w:val="21"/>
        </w:rPr>
        <w:t xml:space="preserve"> </w:t>
      </w:r>
      <w:r w:rsidRPr="005E6081">
        <w:rPr>
          <w:rFonts w:ascii="Segoe UI" w:hAnsi="Segoe UI"/>
          <w:sz w:val="21"/>
        </w:rPr>
        <w:t>Evaluators</w:t>
      </w:r>
    </w:p>
    <w:p w14:paraId="234AC493" w14:textId="77777777" w:rsidR="00E136A1" w:rsidRPr="005E6081" w:rsidRDefault="00E136A1" w:rsidP="00D80344">
      <w:pPr>
        <w:pStyle w:val="ListParagraph"/>
        <w:numPr>
          <w:ilvl w:val="0"/>
          <w:numId w:val="46"/>
        </w:numPr>
        <w:tabs>
          <w:tab w:val="left" w:pos="1220"/>
          <w:tab w:val="left" w:pos="1221"/>
        </w:tabs>
        <w:spacing w:before="21"/>
        <w:ind w:hanging="361"/>
        <w:rPr>
          <w:rFonts w:ascii="Segoe UI" w:hAnsi="Segoe UI"/>
          <w:sz w:val="21"/>
        </w:rPr>
      </w:pPr>
      <w:r w:rsidRPr="005E6081">
        <w:rPr>
          <w:rFonts w:ascii="Segoe UI" w:hAnsi="Segoe UI"/>
          <w:sz w:val="21"/>
        </w:rPr>
        <w:t>ToR Annex F: TE Rating</w:t>
      </w:r>
      <w:r w:rsidRPr="005E6081">
        <w:rPr>
          <w:rFonts w:ascii="Segoe UI" w:hAnsi="Segoe UI"/>
          <w:spacing w:val="-6"/>
          <w:sz w:val="21"/>
        </w:rPr>
        <w:t xml:space="preserve"> </w:t>
      </w:r>
      <w:r w:rsidRPr="005E6081">
        <w:rPr>
          <w:rFonts w:ascii="Segoe UI" w:hAnsi="Segoe UI"/>
          <w:sz w:val="21"/>
        </w:rPr>
        <w:t>Scales</w:t>
      </w:r>
    </w:p>
    <w:p w14:paraId="0663FD45" w14:textId="77777777" w:rsidR="00E136A1" w:rsidRPr="005E6081" w:rsidRDefault="00E136A1" w:rsidP="00D80344">
      <w:pPr>
        <w:pStyle w:val="ListParagraph"/>
        <w:numPr>
          <w:ilvl w:val="0"/>
          <w:numId w:val="46"/>
        </w:numPr>
        <w:tabs>
          <w:tab w:val="left" w:pos="1220"/>
          <w:tab w:val="left" w:pos="1221"/>
        </w:tabs>
        <w:spacing w:before="23"/>
        <w:ind w:hanging="361"/>
        <w:rPr>
          <w:rFonts w:ascii="Segoe UI" w:hAnsi="Segoe UI"/>
          <w:sz w:val="21"/>
        </w:rPr>
      </w:pPr>
      <w:r w:rsidRPr="005E6081">
        <w:rPr>
          <w:rFonts w:ascii="Segoe UI" w:hAnsi="Segoe UI"/>
          <w:sz w:val="21"/>
        </w:rPr>
        <w:t>ToR Annex G: TE Report Clearance</w:t>
      </w:r>
      <w:r w:rsidRPr="005E6081">
        <w:rPr>
          <w:rFonts w:ascii="Segoe UI" w:hAnsi="Segoe UI"/>
          <w:spacing w:val="-6"/>
          <w:sz w:val="21"/>
        </w:rPr>
        <w:t xml:space="preserve"> </w:t>
      </w:r>
      <w:r w:rsidRPr="005E6081">
        <w:rPr>
          <w:rFonts w:ascii="Segoe UI" w:hAnsi="Segoe UI"/>
          <w:sz w:val="21"/>
        </w:rPr>
        <w:t>Form</w:t>
      </w:r>
    </w:p>
    <w:p w14:paraId="44F7E694" w14:textId="77777777" w:rsidR="00E136A1" w:rsidRPr="005E6081" w:rsidRDefault="00E136A1" w:rsidP="00D80344">
      <w:pPr>
        <w:pStyle w:val="ListParagraph"/>
        <w:numPr>
          <w:ilvl w:val="0"/>
          <w:numId w:val="46"/>
        </w:numPr>
        <w:tabs>
          <w:tab w:val="left" w:pos="1220"/>
          <w:tab w:val="left" w:pos="1221"/>
        </w:tabs>
        <w:spacing w:before="20"/>
        <w:ind w:hanging="361"/>
        <w:rPr>
          <w:rFonts w:ascii="Segoe UI" w:hAnsi="Segoe UI"/>
          <w:sz w:val="21"/>
        </w:rPr>
      </w:pPr>
      <w:r w:rsidRPr="005E6081">
        <w:rPr>
          <w:rFonts w:ascii="Segoe UI" w:hAnsi="Segoe UI"/>
          <w:sz w:val="21"/>
        </w:rPr>
        <w:t>ToR Annex H: TE Audit</w:t>
      </w:r>
      <w:r w:rsidRPr="005E6081">
        <w:rPr>
          <w:rFonts w:ascii="Segoe UI" w:hAnsi="Segoe UI"/>
          <w:spacing w:val="-6"/>
          <w:sz w:val="21"/>
        </w:rPr>
        <w:t xml:space="preserve"> </w:t>
      </w:r>
      <w:r w:rsidRPr="005E6081">
        <w:rPr>
          <w:rFonts w:ascii="Segoe UI" w:hAnsi="Segoe UI"/>
          <w:sz w:val="21"/>
        </w:rPr>
        <w:t>Trail</w:t>
      </w:r>
    </w:p>
    <w:p w14:paraId="7555A38A" w14:textId="77777777" w:rsidR="00E136A1" w:rsidRDefault="00E136A1" w:rsidP="00E136A1"/>
    <w:p w14:paraId="5F26BD95" w14:textId="4369ED57" w:rsidR="005D1310" w:rsidRDefault="005D1310">
      <w:r>
        <w:br w:type="page"/>
      </w:r>
    </w:p>
    <w:p w14:paraId="51C2FACC" w14:textId="659C555D" w:rsidR="00D70CD3" w:rsidRDefault="00D70CD3" w:rsidP="00D70CD3">
      <w:bookmarkStart w:id="113" w:name="_Hlk90465259"/>
    </w:p>
    <w:p w14:paraId="0EF5A29B" w14:textId="5B990279" w:rsidR="005D1310" w:rsidRDefault="005D1310" w:rsidP="005D1310">
      <w:pPr>
        <w:pStyle w:val="Heading2"/>
        <w:rPr>
          <w:rFonts w:ascii="Segoe UI" w:hAnsi="Segoe UI" w:cs="Segoe UI"/>
        </w:rPr>
      </w:pPr>
      <w:bookmarkStart w:id="114" w:name="_Annex_3._Revised"/>
      <w:bookmarkStart w:id="115" w:name="_Toc96772514"/>
      <w:bookmarkEnd w:id="114"/>
      <w:r>
        <w:rPr>
          <w:rFonts w:ascii="Segoe UI" w:hAnsi="Segoe UI" w:cs="Segoe UI"/>
        </w:rPr>
        <w:t xml:space="preserve">Annex 3. </w:t>
      </w:r>
      <w:r>
        <w:t>Revised Risk Rating</w:t>
      </w:r>
      <w:bookmarkEnd w:id="115"/>
    </w:p>
    <w:p w14:paraId="006BCBFC" w14:textId="77777777" w:rsidR="005D1310" w:rsidRDefault="005D1310" w:rsidP="005D1310">
      <w:pPr>
        <w:jc w:val="both"/>
      </w:pPr>
    </w:p>
    <w:tbl>
      <w:tblPr>
        <w:tblStyle w:val="GridTable1Light-Accent5"/>
        <w:tblW w:w="0" w:type="auto"/>
        <w:tblLayout w:type="fixed"/>
        <w:tblLook w:val="04A0" w:firstRow="1" w:lastRow="0" w:firstColumn="1" w:lastColumn="0" w:noHBand="0" w:noVBand="1"/>
      </w:tblPr>
      <w:tblGrid>
        <w:gridCol w:w="2695"/>
        <w:gridCol w:w="2160"/>
        <w:gridCol w:w="1800"/>
        <w:gridCol w:w="1260"/>
        <w:gridCol w:w="1435"/>
      </w:tblGrid>
      <w:tr w:rsidR="005D1310" w:rsidRPr="00371B27" w14:paraId="1C7D316F" w14:textId="77777777" w:rsidTr="00062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27D3473" w14:textId="77777777" w:rsidR="005D1310" w:rsidRPr="00371B27" w:rsidRDefault="005D1310" w:rsidP="00062DAE">
            <w:pPr>
              <w:pStyle w:val="BodyText"/>
              <w:spacing w:before="11"/>
              <w:rPr>
                <w:rFonts w:asciiTheme="minorHAnsi" w:hAnsiTheme="minorHAnsi" w:cstheme="minorHAnsi"/>
                <w:sz w:val="18"/>
                <w:szCs w:val="18"/>
              </w:rPr>
            </w:pPr>
            <w:r w:rsidRPr="00371B27">
              <w:rPr>
                <w:rFonts w:asciiTheme="minorHAnsi" w:hAnsiTheme="minorHAnsi" w:cstheme="minorHAnsi"/>
                <w:sz w:val="18"/>
                <w:szCs w:val="18"/>
              </w:rPr>
              <w:t>Original Risk (in ProDoc)</w:t>
            </w:r>
          </w:p>
        </w:tc>
        <w:tc>
          <w:tcPr>
            <w:tcW w:w="2160" w:type="dxa"/>
          </w:tcPr>
          <w:p w14:paraId="5851F891" w14:textId="77777777" w:rsidR="005D1310" w:rsidRPr="00371B27" w:rsidRDefault="005D1310" w:rsidP="00062DAE">
            <w:pPr>
              <w:pStyle w:val="BodyText"/>
              <w:spacing w:before="1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Revised Risk</w:t>
            </w:r>
          </w:p>
        </w:tc>
        <w:tc>
          <w:tcPr>
            <w:tcW w:w="1800" w:type="dxa"/>
          </w:tcPr>
          <w:p w14:paraId="5BB9C158" w14:textId="77777777" w:rsidR="005D1310" w:rsidRPr="00371B27" w:rsidRDefault="005D1310" w:rsidP="00062DAE">
            <w:pPr>
              <w:pStyle w:val="TableParagraph"/>
              <w:ind w:left="108" w:right="3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Original Rating (I/L &amp;</w:t>
            </w:r>
          </w:p>
          <w:p w14:paraId="003B31AD" w14:textId="77777777" w:rsidR="005D1310" w:rsidRPr="00371B27" w:rsidRDefault="005D1310" w:rsidP="00062DAE">
            <w:pPr>
              <w:pStyle w:val="BodyText"/>
              <w:spacing w:before="1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Significance)</w:t>
            </w:r>
          </w:p>
        </w:tc>
        <w:tc>
          <w:tcPr>
            <w:tcW w:w="1260" w:type="dxa"/>
          </w:tcPr>
          <w:p w14:paraId="79ED721E" w14:textId="77777777" w:rsidR="005D1310" w:rsidRPr="00371B27" w:rsidRDefault="005D1310" w:rsidP="00062DAE">
            <w:pPr>
              <w:pStyle w:val="TableParagraph"/>
              <w:ind w:left="105" w:right="29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 xml:space="preserve">Revised Rating </w:t>
            </w:r>
          </w:p>
        </w:tc>
        <w:tc>
          <w:tcPr>
            <w:tcW w:w="1435" w:type="dxa"/>
          </w:tcPr>
          <w:p w14:paraId="253FD28D" w14:textId="77777777" w:rsidR="005D1310" w:rsidRPr="00371B27" w:rsidRDefault="005D1310" w:rsidP="00062DAE">
            <w:pPr>
              <w:pStyle w:val="BodyText"/>
              <w:spacing w:before="1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TE Findings on the revision</w:t>
            </w:r>
          </w:p>
        </w:tc>
      </w:tr>
      <w:tr w:rsidR="005D1310" w:rsidRPr="00371B27" w14:paraId="17989D92"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09DE2A5F" w14:textId="77777777" w:rsidR="005D1310" w:rsidRPr="00371B27" w:rsidRDefault="005D1310" w:rsidP="00062DAE">
            <w:pPr>
              <w:pStyle w:val="BodyText"/>
              <w:spacing w:before="11"/>
              <w:jc w:val="both"/>
              <w:rPr>
                <w:rFonts w:asciiTheme="minorHAnsi" w:hAnsiTheme="minorHAnsi" w:cstheme="minorHAnsi"/>
                <w:b w:val="0"/>
                <w:bCs w:val="0"/>
                <w:sz w:val="18"/>
                <w:szCs w:val="18"/>
              </w:rPr>
            </w:pPr>
            <w:r>
              <w:rPr>
                <w:rFonts w:asciiTheme="minorHAnsi" w:hAnsiTheme="minorHAnsi" w:cstheme="minorHAnsi"/>
                <w:b w:val="0"/>
                <w:bCs w:val="0"/>
                <w:sz w:val="18"/>
                <w:szCs w:val="18"/>
              </w:rPr>
              <w:t xml:space="preserve">(1) </w:t>
            </w:r>
            <w:r w:rsidRPr="00371B27">
              <w:rPr>
                <w:rFonts w:asciiTheme="minorHAnsi" w:hAnsiTheme="minorHAnsi" w:cstheme="minorHAnsi"/>
                <w:b w:val="0"/>
                <w:bCs w:val="0"/>
                <w:sz w:val="18"/>
                <w:szCs w:val="18"/>
              </w:rPr>
              <w:t>Procurement processes, bureaucratic procedures and multitude of agencies working under the IAP lead to delays in national and global-level activities that undermine the technical sequencing of activities across the</w:t>
            </w:r>
            <w:r w:rsidRPr="00371B27">
              <w:rPr>
                <w:rFonts w:asciiTheme="minorHAnsi" w:hAnsiTheme="minorHAnsi" w:cstheme="minorHAnsi"/>
                <w:b w:val="0"/>
                <w:bCs w:val="0"/>
                <w:spacing w:val="-1"/>
                <w:sz w:val="18"/>
                <w:szCs w:val="18"/>
              </w:rPr>
              <w:t xml:space="preserve"> </w:t>
            </w:r>
            <w:r w:rsidRPr="00371B27">
              <w:rPr>
                <w:rFonts w:asciiTheme="minorHAnsi" w:hAnsiTheme="minorHAnsi" w:cstheme="minorHAnsi"/>
                <w:b w:val="0"/>
                <w:bCs w:val="0"/>
                <w:sz w:val="18"/>
                <w:szCs w:val="18"/>
              </w:rPr>
              <w:t>program</w:t>
            </w:r>
          </w:p>
        </w:tc>
        <w:tc>
          <w:tcPr>
            <w:tcW w:w="2160" w:type="dxa"/>
          </w:tcPr>
          <w:p w14:paraId="2B0C3716" w14:textId="77777777" w:rsidR="005D1310" w:rsidRPr="00371B27" w:rsidRDefault="005D1310" w:rsidP="00062DAE">
            <w:pPr>
              <w:pStyle w:val="BodyText"/>
              <w:spacing w:before="1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0EA9FFCB" w14:textId="77777777" w:rsidR="005D1310" w:rsidRPr="00371B27" w:rsidRDefault="005D1310" w:rsidP="00062DAE">
            <w:pPr>
              <w:pStyle w:val="TableParagraph"/>
              <w:spacing w:line="228"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Probability: 3</w:t>
            </w:r>
          </w:p>
          <w:p w14:paraId="2AC6B616"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4442B55"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663F1E57"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Impact: 2</w:t>
            </w:r>
          </w:p>
          <w:p w14:paraId="1E7BCDDE"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E958476"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Political/ operational</w:t>
            </w:r>
          </w:p>
        </w:tc>
        <w:tc>
          <w:tcPr>
            <w:tcW w:w="1260" w:type="dxa"/>
          </w:tcPr>
          <w:p w14:paraId="190748EF"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P=4</w:t>
            </w:r>
          </w:p>
          <w:p w14:paraId="4785B6CA"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I=3</w:t>
            </w:r>
          </w:p>
          <w:p w14:paraId="6FC24589"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35" w:type="dxa"/>
          </w:tcPr>
          <w:p w14:paraId="0AF29707"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KIIs cited bureaucracy in procurement especially where sign-off by government project representatives is needed. </w:t>
            </w:r>
          </w:p>
        </w:tc>
      </w:tr>
      <w:tr w:rsidR="005D1310" w:rsidRPr="00371B27" w14:paraId="34428377"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54E19C17" w14:textId="77777777" w:rsidR="005D1310" w:rsidRPr="00371B27" w:rsidRDefault="005D1310" w:rsidP="00062DAE">
            <w:pPr>
              <w:pStyle w:val="BodyText"/>
              <w:spacing w:before="11"/>
              <w:jc w:val="both"/>
              <w:rPr>
                <w:rFonts w:asciiTheme="minorHAnsi" w:hAnsiTheme="minorHAnsi" w:cstheme="minorHAnsi"/>
                <w:b w:val="0"/>
                <w:bCs w:val="0"/>
                <w:sz w:val="18"/>
                <w:szCs w:val="18"/>
              </w:rPr>
            </w:pPr>
            <w:r>
              <w:rPr>
                <w:rFonts w:asciiTheme="minorHAnsi" w:hAnsiTheme="minorHAnsi" w:cstheme="minorHAnsi"/>
                <w:b w:val="0"/>
                <w:bCs w:val="0"/>
                <w:sz w:val="18"/>
                <w:szCs w:val="18"/>
              </w:rPr>
              <w:t xml:space="preserve">(2) </w:t>
            </w:r>
            <w:r w:rsidRPr="00371B27">
              <w:rPr>
                <w:rFonts w:asciiTheme="minorHAnsi" w:hAnsiTheme="minorHAnsi" w:cstheme="minorHAnsi"/>
                <w:b w:val="0"/>
                <w:bCs w:val="0"/>
                <w:sz w:val="18"/>
                <w:szCs w:val="18"/>
              </w:rPr>
              <w:t>Overlap of this IAP knowledge management component with existing knowledge management platforms, leading to insufficient interest, participation and uptake of IAP learnings from key stakeholders</w:t>
            </w:r>
          </w:p>
        </w:tc>
        <w:tc>
          <w:tcPr>
            <w:tcW w:w="2160" w:type="dxa"/>
          </w:tcPr>
          <w:p w14:paraId="6E2E0514"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7685D197"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Probability: 1</w:t>
            </w:r>
          </w:p>
          <w:p w14:paraId="06C67B7B"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77BC746"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Impact:2</w:t>
            </w:r>
          </w:p>
        </w:tc>
        <w:tc>
          <w:tcPr>
            <w:tcW w:w="1260" w:type="dxa"/>
          </w:tcPr>
          <w:p w14:paraId="329874A3"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P=3</w:t>
            </w:r>
          </w:p>
          <w:p w14:paraId="1DBF7180"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I=3</w:t>
            </w:r>
          </w:p>
        </w:tc>
        <w:tc>
          <w:tcPr>
            <w:tcW w:w="1435" w:type="dxa"/>
          </w:tcPr>
          <w:p w14:paraId="5471FEA3"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KIIs confirm this is a reality. KIIs knew the RSPO platforms well and did not hear about the GCC or Evidensia</w:t>
            </w:r>
          </w:p>
        </w:tc>
      </w:tr>
      <w:tr w:rsidR="005D1310" w:rsidRPr="00371B27" w14:paraId="26109D90"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76BA344F" w14:textId="77777777" w:rsidR="005D1310" w:rsidRPr="00371B27" w:rsidRDefault="005D1310" w:rsidP="00062DAE">
            <w:pPr>
              <w:pStyle w:val="TableParagraph"/>
              <w:spacing w:line="276" w:lineRule="auto"/>
              <w:ind w:right="117"/>
              <w:jc w:val="both"/>
              <w:rPr>
                <w:rFonts w:asciiTheme="minorHAnsi" w:hAnsiTheme="minorHAnsi" w:cstheme="minorHAnsi"/>
                <w:b w:val="0"/>
                <w:bCs w:val="0"/>
                <w:sz w:val="18"/>
                <w:szCs w:val="18"/>
              </w:rPr>
            </w:pPr>
            <w:r>
              <w:rPr>
                <w:rFonts w:asciiTheme="minorHAnsi" w:hAnsiTheme="minorHAnsi" w:cstheme="minorHAnsi"/>
                <w:b w:val="0"/>
                <w:bCs w:val="0"/>
                <w:sz w:val="18"/>
                <w:szCs w:val="18"/>
              </w:rPr>
              <w:t xml:space="preserve">(3) </w:t>
            </w:r>
            <w:r w:rsidRPr="00371B27">
              <w:rPr>
                <w:rFonts w:asciiTheme="minorHAnsi" w:hAnsiTheme="minorHAnsi" w:cstheme="minorHAnsi"/>
                <w:b w:val="0"/>
                <w:bCs w:val="0"/>
                <w:sz w:val="18"/>
                <w:szCs w:val="18"/>
              </w:rPr>
              <w:t>With so many stakeholders working in the target countries and on the issue of taking deforestation out of the commodity supply chains, the IAP may not be able to effectively coordinate with existing</w:t>
            </w:r>
            <w:r w:rsidRPr="00371B27">
              <w:rPr>
                <w:rFonts w:asciiTheme="minorHAnsi" w:hAnsiTheme="minorHAnsi" w:cstheme="minorHAnsi"/>
                <w:b w:val="0"/>
                <w:bCs w:val="0"/>
                <w:spacing w:val="-4"/>
                <w:sz w:val="18"/>
                <w:szCs w:val="18"/>
              </w:rPr>
              <w:t xml:space="preserve"> </w:t>
            </w:r>
            <w:r w:rsidRPr="00371B27">
              <w:rPr>
                <w:rFonts w:asciiTheme="minorHAnsi" w:hAnsiTheme="minorHAnsi" w:cstheme="minorHAnsi"/>
                <w:b w:val="0"/>
                <w:bCs w:val="0"/>
                <w:sz w:val="18"/>
                <w:szCs w:val="18"/>
              </w:rPr>
              <w:t>initiatives</w:t>
            </w:r>
            <w:r>
              <w:rPr>
                <w:rFonts w:asciiTheme="minorHAnsi" w:hAnsiTheme="minorHAnsi" w:cstheme="minorHAnsi"/>
                <w:b w:val="0"/>
                <w:bCs w:val="0"/>
                <w:sz w:val="18"/>
                <w:szCs w:val="18"/>
              </w:rPr>
              <w:t xml:space="preserve"> </w:t>
            </w:r>
            <w:r w:rsidRPr="00371B27">
              <w:rPr>
                <w:rFonts w:asciiTheme="minorHAnsi" w:hAnsiTheme="minorHAnsi" w:cstheme="minorHAnsi"/>
                <w:b w:val="0"/>
                <w:bCs w:val="0"/>
                <w:sz w:val="18"/>
                <w:szCs w:val="18"/>
              </w:rPr>
              <w:t>and partners</w:t>
            </w:r>
            <w:r w:rsidRPr="00371B27">
              <w:rPr>
                <w:rFonts w:asciiTheme="minorHAnsi" w:hAnsiTheme="minorHAnsi" w:cstheme="minorHAnsi"/>
                <w:b w:val="0"/>
                <w:bCs w:val="0"/>
                <w:spacing w:val="-11"/>
                <w:sz w:val="18"/>
                <w:szCs w:val="18"/>
              </w:rPr>
              <w:t xml:space="preserve"> </w:t>
            </w:r>
            <w:r w:rsidRPr="00371B27">
              <w:rPr>
                <w:rFonts w:asciiTheme="minorHAnsi" w:hAnsiTheme="minorHAnsi" w:cstheme="minorHAnsi"/>
                <w:b w:val="0"/>
                <w:bCs w:val="0"/>
                <w:sz w:val="18"/>
                <w:szCs w:val="18"/>
              </w:rPr>
              <w:t>while demonstrating added value</w:t>
            </w:r>
          </w:p>
        </w:tc>
        <w:tc>
          <w:tcPr>
            <w:tcW w:w="2160" w:type="dxa"/>
          </w:tcPr>
          <w:p w14:paraId="6075B0DC"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1E0ED2FF"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Probability: 1</w:t>
            </w:r>
          </w:p>
          <w:p w14:paraId="39C149C4"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737C8D5"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2206B0C"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Impact: 1</w:t>
            </w:r>
          </w:p>
          <w:p w14:paraId="70B772C3"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8BAA703"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Operational</w:t>
            </w:r>
          </w:p>
        </w:tc>
        <w:tc>
          <w:tcPr>
            <w:tcW w:w="1260" w:type="dxa"/>
          </w:tcPr>
          <w:p w14:paraId="3BA607D0"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 change</w:t>
            </w:r>
          </w:p>
        </w:tc>
        <w:tc>
          <w:tcPr>
            <w:tcW w:w="1435" w:type="dxa"/>
          </w:tcPr>
          <w:p w14:paraId="6B869BB7" w14:textId="40C47A3E"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The IAP is at the pilot stage but has engage</w:t>
            </w:r>
            <w:r w:rsidR="007D40A0">
              <w:rPr>
                <w:rFonts w:asciiTheme="minorHAnsi" w:hAnsiTheme="minorHAnsi" w:cstheme="minorHAnsi"/>
                <w:sz w:val="18"/>
                <w:szCs w:val="18"/>
              </w:rPr>
              <w:t>d</w:t>
            </w:r>
            <w:r>
              <w:rPr>
                <w:rFonts w:asciiTheme="minorHAnsi" w:hAnsiTheme="minorHAnsi" w:cstheme="minorHAnsi"/>
                <w:sz w:val="18"/>
                <w:szCs w:val="18"/>
              </w:rPr>
              <w:t xml:space="preserve"> all of the major stakeholder groups in each country. </w:t>
            </w:r>
          </w:p>
        </w:tc>
      </w:tr>
      <w:tr w:rsidR="005D1310" w:rsidRPr="00371B27" w14:paraId="490F9439"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66796E4F" w14:textId="77777777" w:rsidR="005D1310" w:rsidRPr="00371B27" w:rsidRDefault="005D1310" w:rsidP="00062DAE">
            <w:pPr>
              <w:pStyle w:val="BodyText"/>
              <w:spacing w:before="11"/>
              <w:jc w:val="both"/>
              <w:rPr>
                <w:rFonts w:asciiTheme="minorHAnsi" w:hAnsiTheme="minorHAnsi" w:cstheme="minorHAnsi"/>
                <w:b w:val="0"/>
                <w:bCs w:val="0"/>
                <w:sz w:val="18"/>
                <w:szCs w:val="18"/>
              </w:rPr>
            </w:pPr>
            <w:r>
              <w:rPr>
                <w:rFonts w:asciiTheme="minorHAnsi" w:hAnsiTheme="minorHAnsi" w:cstheme="minorHAnsi"/>
                <w:b w:val="0"/>
                <w:bCs w:val="0"/>
                <w:sz w:val="18"/>
                <w:szCs w:val="18"/>
              </w:rPr>
              <w:t xml:space="preserve">(4) </w:t>
            </w:r>
            <w:r w:rsidRPr="00371B27">
              <w:rPr>
                <w:rFonts w:asciiTheme="minorHAnsi" w:hAnsiTheme="minorHAnsi" w:cstheme="minorHAnsi"/>
                <w:b w:val="0"/>
                <w:bCs w:val="0"/>
                <w:sz w:val="18"/>
                <w:szCs w:val="18"/>
              </w:rPr>
              <w:t>Climate change and associated extreme events significantly affect agricultural production, leading to pressure to expand production and reducing support for setting aside high conservation value forests and for sustainably sourced commodities, undermining the ability of the IAP to achieve expected impacts</w:t>
            </w:r>
          </w:p>
        </w:tc>
        <w:tc>
          <w:tcPr>
            <w:tcW w:w="2160" w:type="dxa"/>
          </w:tcPr>
          <w:p w14:paraId="5B89B419"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4CCF1665"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Probability: 2</w:t>
            </w:r>
          </w:p>
          <w:p w14:paraId="3F9B0F70"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AAC00FF" w14:textId="77777777" w:rsidR="005D1310" w:rsidRPr="00371B27" w:rsidRDefault="005D1310" w:rsidP="00062DAE">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3AF1126"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Impact: 3</w:t>
            </w:r>
          </w:p>
          <w:p w14:paraId="1E31C8D5"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6F247C0"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Environmental</w:t>
            </w:r>
          </w:p>
        </w:tc>
        <w:tc>
          <w:tcPr>
            <w:tcW w:w="1260" w:type="dxa"/>
          </w:tcPr>
          <w:p w14:paraId="47B78FAE"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P=3</w:t>
            </w:r>
          </w:p>
          <w:p w14:paraId="680FD4A9"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I=3</w:t>
            </w:r>
          </w:p>
        </w:tc>
        <w:tc>
          <w:tcPr>
            <w:tcW w:w="1435" w:type="dxa"/>
          </w:tcPr>
          <w:p w14:paraId="425E380D"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 key assumption and a risk.</w:t>
            </w:r>
          </w:p>
          <w:p w14:paraId="339930B3"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6EE2509"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Drought in Paraguay and Flooding in Indonesia already realized, increasing P value. Expand to include environmental e.g. Pandemic</w:t>
            </w:r>
          </w:p>
        </w:tc>
      </w:tr>
      <w:tr w:rsidR="005D1310" w:rsidRPr="00371B27" w14:paraId="75FE25F0"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75B63342" w14:textId="77777777" w:rsidR="005D1310" w:rsidRPr="00371B27" w:rsidRDefault="005D1310" w:rsidP="00062DAE">
            <w:pPr>
              <w:pStyle w:val="BodyText"/>
              <w:spacing w:before="11"/>
              <w:jc w:val="both"/>
              <w:rPr>
                <w:rFonts w:asciiTheme="minorHAnsi" w:hAnsiTheme="minorHAnsi" w:cstheme="minorHAnsi"/>
                <w:b w:val="0"/>
                <w:bCs w:val="0"/>
                <w:sz w:val="18"/>
                <w:szCs w:val="18"/>
              </w:rPr>
            </w:pPr>
            <w:r>
              <w:rPr>
                <w:rFonts w:asciiTheme="minorHAnsi" w:hAnsiTheme="minorHAnsi" w:cstheme="minorHAnsi"/>
                <w:b w:val="0"/>
                <w:bCs w:val="0"/>
                <w:sz w:val="18"/>
                <w:szCs w:val="18"/>
              </w:rPr>
              <w:t xml:space="preserve">(5) </w:t>
            </w:r>
            <w:r w:rsidRPr="00371B27">
              <w:rPr>
                <w:rFonts w:asciiTheme="minorHAnsi" w:hAnsiTheme="minorHAnsi" w:cstheme="minorHAnsi"/>
                <w:b w:val="0"/>
                <w:bCs w:val="0"/>
                <w:sz w:val="18"/>
                <w:szCs w:val="18"/>
              </w:rPr>
              <w:t>The platform could be seen as duplicating existing efforts or tools or may not be used by target users.</w:t>
            </w:r>
          </w:p>
        </w:tc>
        <w:tc>
          <w:tcPr>
            <w:tcW w:w="2160" w:type="dxa"/>
          </w:tcPr>
          <w:p w14:paraId="69D96209"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5392E53C"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Probability: 1</w:t>
            </w:r>
          </w:p>
          <w:p w14:paraId="45711333"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Impact: 2</w:t>
            </w:r>
          </w:p>
          <w:p w14:paraId="1DFA74A7"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Strategic, Operational</w:t>
            </w:r>
          </w:p>
        </w:tc>
        <w:tc>
          <w:tcPr>
            <w:tcW w:w="1260" w:type="dxa"/>
          </w:tcPr>
          <w:p w14:paraId="2C59FE70"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P=3</w:t>
            </w:r>
          </w:p>
          <w:p w14:paraId="1382EB60"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I=3</w:t>
            </w:r>
          </w:p>
          <w:p w14:paraId="208C8FCD"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35" w:type="dxa"/>
          </w:tcPr>
          <w:p w14:paraId="4B7581B7" w14:textId="4C927A42"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RSPO platforms are better known. Competition between child projects an donors</w:t>
            </w:r>
          </w:p>
        </w:tc>
      </w:tr>
      <w:tr w:rsidR="005D1310" w:rsidRPr="00371B27" w14:paraId="15F935F2"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32026DF0" w14:textId="77777777" w:rsidR="005D1310" w:rsidRPr="00371B27" w:rsidRDefault="005D1310" w:rsidP="00062DAE">
            <w:pPr>
              <w:pStyle w:val="BodyText"/>
              <w:spacing w:before="11"/>
              <w:jc w:val="both"/>
              <w:rPr>
                <w:rFonts w:asciiTheme="minorHAnsi" w:hAnsiTheme="minorHAnsi" w:cstheme="minorHAnsi"/>
                <w:b w:val="0"/>
                <w:bCs w:val="0"/>
                <w:sz w:val="18"/>
                <w:szCs w:val="18"/>
              </w:rPr>
            </w:pPr>
            <w:r>
              <w:rPr>
                <w:rFonts w:asciiTheme="minorHAnsi" w:hAnsiTheme="minorHAnsi" w:cstheme="minorHAnsi"/>
                <w:b w:val="0"/>
                <w:bCs w:val="0"/>
                <w:sz w:val="18"/>
                <w:szCs w:val="18"/>
              </w:rPr>
              <w:lastRenderedPageBreak/>
              <w:t xml:space="preserve">(6) </w:t>
            </w:r>
            <w:r w:rsidRPr="00371B27">
              <w:rPr>
                <w:rFonts w:asciiTheme="minorHAnsi" w:hAnsiTheme="minorHAnsi" w:cstheme="minorHAnsi"/>
                <w:b w:val="0"/>
                <w:bCs w:val="0"/>
                <w:sz w:val="18"/>
                <w:szCs w:val="18"/>
              </w:rPr>
              <w:t>Research funding for standards may dry up.</w:t>
            </w:r>
          </w:p>
        </w:tc>
        <w:tc>
          <w:tcPr>
            <w:tcW w:w="2160" w:type="dxa"/>
          </w:tcPr>
          <w:p w14:paraId="22404C82"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17C3D32C" w14:textId="77777777" w:rsidR="005D1310" w:rsidRPr="00371B27" w:rsidRDefault="005D1310" w:rsidP="00062DAE">
            <w:pPr>
              <w:pStyle w:val="TableParagraph"/>
              <w:spacing w:line="228"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Probability: 1</w:t>
            </w:r>
          </w:p>
          <w:p w14:paraId="4E88FE73" w14:textId="77777777" w:rsidR="005D1310" w:rsidRPr="00371B27" w:rsidRDefault="005D1310" w:rsidP="00062DAE">
            <w:pPr>
              <w:pStyle w:val="TableParagraph"/>
              <w:spacing w:line="225"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Impact: 1</w:t>
            </w:r>
          </w:p>
          <w:p w14:paraId="789655D8"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Financial/Strategic</w:t>
            </w:r>
          </w:p>
        </w:tc>
        <w:tc>
          <w:tcPr>
            <w:tcW w:w="1260" w:type="dxa"/>
          </w:tcPr>
          <w:p w14:paraId="3A683807"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 Change</w:t>
            </w:r>
          </w:p>
        </w:tc>
        <w:tc>
          <w:tcPr>
            <w:tcW w:w="1435" w:type="dxa"/>
          </w:tcPr>
          <w:p w14:paraId="4B3A486C"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All indications are towards short term funding</w:t>
            </w:r>
          </w:p>
        </w:tc>
      </w:tr>
      <w:tr w:rsidR="005D1310" w:rsidRPr="00371B27" w14:paraId="773E6367"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14974F2C" w14:textId="77777777" w:rsidR="005D1310" w:rsidRPr="00371B27" w:rsidRDefault="005D1310" w:rsidP="00062DAE">
            <w:pPr>
              <w:pStyle w:val="BodyText"/>
              <w:spacing w:before="11"/>
              <w:rPr>
                <w:rFonts w:asciiTheme="minorHAnsi" w:hAnsiTheme="minorHAnsi" w:cstheme="minorHAnsi"/>
                <w:b w:val="0"/>
                <w:bCs w:val="0"/>
                <w:sz w:val="18"/>
                <w:szCs w:val="18"/>
              </w:rPr>
            </w:pPr>
            <w:r>
              <w:rPr>
                <w:rFonts w:asciiTheme="minorHAnsi" w:hAnsiTheme="minorHAnsi" w:cstheme="minorHAnsi"/>
                <w:b w:val="0"/>
                <w:bCs w:val="0"/>
                <w:sz w:val="18"/>
                <w:szCs w:val="18"/>
              </w:rPr>
              <w:t xml:space="preserve">(7) </w:t>
            </w:r>
          </w:p>
        </w:tc>
        <w:tc>
          <w:tcPr>
            <w:tcW w:w="2160" w:type="dxa"/>
          </w:tcPr>
          <w:p w14:paraId="0BC4FEB0"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 xml:space="preserve">New Risk identified during project implementation (PIRs 2019 and 2020): </w:t>
            </w:r>
          </w:p>
          <w:p w14:paraId="1F6B6627"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63AB331"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 xml:space="preserve"> Risk: GGP Partners could disengage from GGP programme-level, coordination and integration activities. </w:t>
            </w:r>
          </w:p>
          <w:p w14:paraId="44F95483"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C2C0D38"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This could be due to lack of appropriate budgeting and prioritization of programme-level activities as well as activities related to coordination and integration by other GGP child projects and partners.</w:t>
            </w:r>
          </w:p>
          <w:p w14:paraId="3103D8D7"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BA26C1F"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71B27">
              <w:rPr>
                <w:rFonts w:asciiTheme="minorHAnsi" w:hAnsiTheme="minorHAnsi" w:cstheme="minorHAnsi"/>
                <w:sz w:val="18"/>
                <w:szCs w:val="18"/>
              </w:rPr>
              <w:t>The impact of this risk materializing would be not achieving a full integrated approach along the supply chain.</w:t>
            </w:r>
          </w:p>
          <w:p w14:paraId="211ACE0F"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800" w:type="dxa"/>
          </w:tcPr>
          <w:p w14:paraId="1C5FE566" w14:textId="77777777" w:rsidR="005D1310" w:rsidRPr="00371B27" w:rsidRDefault="005D1310" w:rsidP="00062DAE">
            <w:pPr>
              <w:pStyle w:val="TableParagraph"/>
              <w:spacing w:line="228"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Substantial</w:t>
            </w:r>
          </w:p>
        </w:tc>
        <w:tc>
          <w:tcPr>
            <w:tcW w:w="1260" w:type="dxa"/>
          </w:tcPr>
          <w:p w14:paraId="25F04CA1"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P=4</w:t>
            </w:r>
          </w:p>
          <w:p w14:paraId="0EB87669"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I=4</w:t>
            </w:r>
          </w:p>
        </w:tc>
        <w:tc>
          <w:tcPr>
            <w:tcW w:w="1435" w:type="dxa"/>
          </w:tcPr>
          <w:p w14:paraId="55A35D47" w14:textId="77777777"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5D1310" w:rsidRPr="00371B27" w14:paraId="4527DEFB" w14:textId="77777777" w:rsidTr="00062DAE">
        <w:tc>
          <w:tcPr>
            <w:cnfStyle w:val="001000000000" w:firstRow="0" w:lastRow="0" w:firstColumn="1" w:lastColumn="0" w:oddVBand="0" w:evenVBand="0" w:oddHBand="0" w:evenHBand="0" w:firstRowFirstColumn="0" w:firstRowLastColumn="0" w:lastRowFirstColumn="0" w:lastRowLastColumn="0"/>
            <w:tcW w:w="2695" w:type="dxa"/>
          </w:tcPr>
          <w:p w14:paraId="2F7854DD" w14:textId="77777777" w:rsidR="005D1310" w:rsidRPr="00371B27" w:rsidRDefault="005D1310" w:rsidP="00062DAE">
            <w:pPr>
              <w:pStyle w:val="BodyText"/>
              <w:spacing w:before="11"/>
              <w:rPr>
                <w:rFonts w:asciiTheme="minorHAnsi" w:hAnsiTheme="minorHAnsi" w:cstheme="minorHAnsi"/>
                <w:b w:val="0"/>
                <w:bCs w:val="0"/>
                <w:sz w:val="18"/>
                <w:szCs w:val="18"/>
              </w:rPr>
            </w:pPr>
            <w:r>
              <w:rPr>
                <w:rFonts w:asciiTheme="minorHAnsi" w:hAnsiTheme="minorHAnsi" w:cstheme="minorHAnsi"/>
                <w:b w:val="0"/>
                <w:bCs w:val="0"/>
                <w:sz w:val="18"/>
                <w:szCs w:val="18"/>
              </w:rPr>
              <w:t xml:space="preserve">(8) </w:t>
            </w:r>
          </w:p>
        </w:tc>
        <w:tc>
          <w:tcPr>
            <w:tcW w:w="2160" w:type="dxa"/>
          </w:tcPr>
          <w:p w14:paraId="365C723C" w14:textId="77777777" w:rsidR="005D1310" w:rsidRPr="00371B27" w:rsidRDefault="005D1310" w:rsidP="00062D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sz w:val="18"/>
                <w:szCs w:val="18"/>
              </w:rPr>
              <w:t>PIR 2021: one additional risk was entered in the Risk Register in relation to not achieving the objective-level target on supply chain partnership facilitated in GGP countries (one per country), given the difficulties faced for the concretization of such partnerships in Brazil, Liberia, and Paraguay. A discussion on this target was organized at the GGP Steering Committee meeting in October 2020, and regular follow up with each country team has been done to maximize the project chances of achieving it. This has born fruits since we are now on track to achieve the target and are likely to exceed it by project end.</w:t>
            </w:r>
          </w:p>
        </w:tc>
        <w:tc>
          <w:tcPr>
            <w:tcW w:w="1800" w:type="dxa"/>
          </w:tcPr>
          <w:p w14:paraId="13973A5F" w14:textId="77777777" w:rsidR="005D1310" w:rsidRPr="00371B27" w:rsidRDefault="005D1310" w:rsidP="00062DAE">
            <w:pPr>
              <w:pStyle w:val="TableParagraph"/>
              <w:spacing w:line="228"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Low</w:t>
            </w:r>
          </w:p>
        </w:tc>
        <w:tc>
          <w:tcPr>
            <w:tcW w:w="1260" w:type="dxa"/>
          </w:tcPr>
          <w:p w14:paraId="2BA7086F"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P=2</w:t>
            </w:r>
          </w:p>
          <w:p w14:paraId="41FB4D76" w14:textId="77777777" w:rsidR="005D1310"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I=4</w:t>
            </w:r>
          </w:p>
        </w:tc>
        <w:tc>
          <w:tcPr>
            <w:tcW w:w="1435" w:type="dxa"/>
          </w:tcPr>
          <w:p w14:paraId="2075FC3C" w14:textId="1CE6A736" w:rsidR="00BC0DC7" w:rsidRPr="00981FE1" w:rsidRDefault="00BC0DC7" w:rsidP="00BC0DC7">
            <w:pPr>
              <w:pStyle w:val="pf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FE1">
              <w:rPr>
                <w:rFonts w:ascii="Segoe UI" w:hAnsi="Segoe UI" w:cs="Segoe UI"/>
                <w:sz w:val="18"/>
                <w:szCs w:val="18"/>
                <w:lang w:val="en-US"/>
              </w:rPr>
              <w:t>this target is not part of child projects results framework and is only part of the A&amp;L one, so it easily gets deprioritized by partners/forgotten, and that there is no specific resources allocated to it</w:t>
            </w:r>
          </w:p>
          <w:p w14:paraId="60D7781D" w14:textId="695A5566" w:rsidR="005D1310" w:rsidRPr="00371B27" w:rsidRDefault="005D1310" w:rsidP="00062DAE">
            <w:pPr>
              <w:pStyle w:val="BodyText"/>
              <w:spacing w:before="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bookmarkEnd w:id="113"/>
    </w:tbl>
    <w:p w14:paraId="25A212FC" w14:textId="77777777" w:rsidR="005D1310" w:rsidRDefault="005D1310" w:rsidP="005D1310"/>
    <w:p w14:paraId="55BF122E" w14:textId="77777777" w:rsidR="005D1310" w:rsidRDefault="005D1310" w:rsidP="005D1310"/>
    <w:p w14:paraId="0147E68A" w14:textId="2B6B61EE" w:rsidR="00AF0F35" w:rsidRDefault="00AF0F35" w:rsidP="00AF0F35">
      <w:pPr>
        <w:pStyle w:val="Heading2"/>
      </w:pPr>
      <w:bookmarkStart w:id="116" w:name="_Annex_4._Changes"/>
      <w:bookmarkStart w:id="117" w:name="_Toc96772515"/>
      <w:bookmarkEnd w:id="116"/>
      <w:r>
        <w:t xml:space="preserve">Annex 4. </w:t>
      </w:r>
      <w:r w:rsidRPr="005273A1">
        <w:t>Changes made to the project design during implementation</w:t>
      </w:r>
      <w:bookmarkEnd w:id="117"/>
    </w:p>
    <w:p w14:paraId="784869F5" w14:textId="77777777" w:rsidR="004336F9" w:rsidRPr="004336F9" w:rsidRDefault="004336F9" w:rsidP="004336F9"/>
    <w:p w14:paraId="2309A91D" w14:textId="6A4C3FC9" w:rsidR="00B76FDD" w:rsidRPr="00682233" w:rsidRDefault="00B76FDD">
      <w:pPr>
        <w:rPr>
          <w:rFonts w:asciiTheme="minorHAnsi" w:hAnsiTheme="minorHAnsi" w:cstheme="minorHAnsi"/>
        </w:rPr>
      </w:pPr>
      <w:r w:rsidRPr="00682233">
        <w:rPr>
          <w:rFonts w:asciiTheme="minorHAnsi" w:hAnsiTheme="minorHAnsi" w:cstheme="minorHAnsi"/>
        </w:rPr>
        <w:t xml:space="preserve">During the Inception Workshop (IW) for the Adaptive Management &amp; Learning (A&amp;L) project on 24 November 2017 in Panama City, Panama, </w:t>
      </w:r>
      <w:r w:rsidR="00790ED6" w:rsidRPr="00682233">
        <w:rPr>
          <w:rFonts w:asciiTheme="minorHAnsi" w:hAnsiTheme="minorHAnsi" w:cstheme="minorHAnsi"/>
        </w:rPr>
        <w:t xml:space="preserve">the following changes were made to the project design: </w:t>
      </w:r>
    </w:p>
    <w:p w14:paraId="467A1A09" w14:textId="77777777" w:rsidR="00B76FDD" w:rsidRPr="00682233" w:rsidRDefault="00B76FDD" w:rsidP="00B76FDD">
      <w:pPr>
        <w:spacing w:after="120" w:line="240" w:lineRule="auto"/>
        <w:jc w:val="both"/>
        <w:rPr>
          <w:rFonts w:asciiTheme="minorHAnsi" w:hAnsiTheme="minorHAnsi" w:cstheme="minorHAnsi"/>
        </w:rPr>
      </w:pPr>
      <w:r w:rsidRPr="00682233">
        <w:rPr>
          <w:rFonts w:asciiTheme="minorHAnsi" w:hAnsiTheme="minorHAnsi" w:cstheme="minorHAnsi"/>
        </w:rPr>
        <w:t xml:space="preserve">Changes to the Governance Structure Organizational Chart:  </w:t>
      </w:r>
    </w:p>
    <w:p w14:paraId="55459ED0" w14:textId="77777777" w:rsidR="00B76FDD" w:rsidRPr="00682233" w:rsidRDefault="00B76FDD" w:rsidP="00B76FDD">
      <w:pPr>
        <w:pStyle w:val="ListParagraph"/>
        <w:numPr>
          <w:ilvl w:val="0"/>
          <w:numId w:val="12"/>
        </w:numPr>
        <w:spacing w:before="0" w:after="120"/>
        <w:jc w:val="both"/>
        <w:rPr>
          <w:rFonts w:asciiTheme="minorHAnsi" w:hAnsiTheme="minorHAnsi" w:cstheme="minorHAnsi"/>
        </w:rPr>
      </w:pPr>
      <w:r w:rsidRPr="00682233">
        <w:rPr>
          <w:rFonts w:asciiTheme="minorHAnsi" w:hAnsiTheme="minorHAnsi" w:cstheme="minorHAnsi"/>
        </w:rPr>
        <w:t>It was established that UNDP was not responsible for Component 2 of the project beyond annual PIR reporting since it was under implementation by WWF/ISEAL.</w:t>
      </w:r>
    </w:p>
    <w:p w14:paraId="6AEA7FB4" w14:textId="77777777" w:rsidR="00B76FDD" w:rsidRPr="00682233" w:rsidRDefault="00B76FDD" w:rsidP="00B76FDD">
      <w:pPr>
        <w:pStyle w:val="ListParagraph"/>
        <w:numPr>
          <w:ilvl w:val="0"/>
          <w:numId w:val="12"/>
        </w:numPr>
        <w:spacing w:before="0" w:after="120"/>
        <w:jc w:val="both"/>
        <w:rPr>
          <w:rFonts w:asciiTheme="minorHAnsi" w:hAnsiTheme="minorHAnsi" w:cstheme="minorHAnsi"/>
        </w:rPr>
      </w:pPr>
      <w:r w:rsidRPr="00682233">
        <w:rPr>
          <w:rFonts w:asciiTheme="minorHAnsi" w:hAnsiTheme="minorHAnsi" w:cstheme="minorHAnsi"/>
        </w:rPr>
        <w:t>IAP Coordinator was removed from the Organizational Structure, and the Monitoring &amp; Evaluation Specialist and the Programme and Communication Support consultants were included.</w:t>
      </w:r>
    </w:p>
    <w:p w14:paraId="41321D0B" w14:textId="77777777" w:rsidR="00B76FDD" w:rsidRPr="00682233" w:rsidRDefault="00B76FDD" w:rsidP="00B76FDD">
      <w:pPr>
        <w:pStyle w:val="ListParagraph"/>
        <w:numPr>
          <w:ilvl w:val="0"/>
          <w:numId w:val="12"/>
        </w:numPr>
        <w:spacing w:before="0" w:after="120"/>
        <w:jc w:val="both"/>
        <w:rPr>
          <w:rFonts w:asciiTheme="minorHAnsi" w:hAnsiTheme="minorHAnsi" w:cstheme="minorHAnsi"/>
        </w:rPr>
      </w:pPr>
      <w:r w:rsidRPr="00682233">
        <w:rPr>
          <w:rFonts w:asciiTheme="minorHAnsi" w:hAnsiTheme="minorHAnsi" w:cstheme="minorHAnsi"/>
        </w:rPr>
        <w:t xml:space="preserve">ISEAL Global Impacts Platform Manager, responsible for component 2 was given a seat on the GGP Secretariat, as well as UNDP GCP Senior Advisor for Learning and Impact, who was given a seat on component 2 Steering Committee. </w:t>
      </w:r>
    </w:p>
    <w:p w14:paraId="3A910431" w14:textId="77777777" w:rsidR="00B76FDD" w:rsidRPr="00682233" w:rsidRDefault="00B76FDD" w:rsidP="00B76FDD">
      <w:pPr>
        <w:pStyle w:val="ListParagraph"/>
        <w:spacing w:before="0" w:after="120"/>
        <w:ind w:left="720" w:firstLine="0"/>
        <w:jc w:val="both"/>
        <w:rPr>
          <w:rFonts w:asciiTheme="minorHAnsi" w:hAnsiTheme="minorHAnsi" w:cstheme="minorHAnsi"/>
        </w:rPr>
      </w:pPr>
    </w:p>
    <w:p w14:paraId="685A936E" w14:textId="77777777" w:rsidR="00B76FDD" w:rsidRPr="00682233" w:rsidRDefault="00B76FDD" w:rsidP="00B76FDD">
      <w:pPr>
        <w:spacing w:after="120" w:line="240" w:lineRule="auto"/>
        <w:rPr>
          <w:rFonts w:asciiTheme="minorHAnsi" w:hAnsiTheme="minorHAnsi" w:cstheme="minorHAnsi"/>
        </w:rPr>
      </w:pPr>
      <w:r w:rsidRPr="00682233">
        <w:rPr>
          <w:rFonts w:asciiTheme="minorHAnsi" w:hAnsiTheme="minorHAnsi" w:cstheme="minorHAnsi"/>
        </w:rPr>
        <w:t>Changes to the Results Framework:</w:t>
      </w:r>
    </w:p>
    <w:p w14:paraId="1B728412" w14:textId="77777777" w:rsidR="00790ED6" w:rsidRPr="00682233" w:rsidRDefault="00790ED6">
      <w:pPr>
        <w:rPr>
          <w:rFonts w:asciiTheme="minorHAnsi" w:hAnsiTheme="minorHAnsi" w:cstheme="minorHAnsi"/>
        </w:rPr>
      </w:pPr>
      <w:r w:rsidRPr="00682233">
        <w:rPr>
          <w:rFonts w:asciiTheme="minorHAnsi" w:hAnsiTheme="minorHAnsi" w:cstheme="minorHAnsi"/>
        </w:rPr>
        <w:t>Some baselines</w:t>
      </w:r>
      <w:r w:rsidRPr="00682233">
        <w:rPr>
          <w:rFonts w:asciiTheme="minorHAnsi" w:hAnsiTheme="minorHAnsi" w:cstheme="minorHAnsi"/>
          <w:spacing w:val="1"/>
        </w:rPr>
        <w:t xml:space="preserve"> </w:t>
      </w:r>
      <w:r w:rsidRPr="00682233">
        <w:rPr>
          <w:rFonts w:asciiTheme="minorHAnsi" w:hAnsiTheme="minorHAnsi" w:cstheme="minorHAnsi"/>
          <w:spacing w:val="-1"/>
        </w:rPr>
        <w:t>and</w:t>
      </w:r>
      <w:r w:rsidRPr="00682233">
        <w:rPr>
          <w:rFonts w:asciiTheme="minorHAnsi" w:hAnsiTheme="minorHAnsi" w:cstheme="minorHAnsi"/>
          <w:spacing w:val="-13"/>
        </w:rPr>
        <w:t xml:space="preserve"> </w:t>
      </w:r>
      <w:r w:rsidRPr="00682233">
        <w:rPr>
          <w:rFonts w:asciiTheme="minorHAnsi" w:hAnsiTheme="minorHAnsi" w:cstheme="minorHAnsi"/>
          <w:spacing w:val="-1"/>
        </w:rPr>
        <w:t>targets</w:t>
      </w:r>
      <w:r w:rsidRPr="00682233">
        <w:rPr>
          <w:rFonts w:asciiTheme="minorHAnsi" w:hAnsiTheme="minorHAnsi" w:cstheme="minorHAnsi"/>
          <w:spacing w:val="-12"/>
        </w:rPr>
        <w:t xml:space="preserve"> </w:t>
      </w:r>
      <w:r w:rsidRPr="00682233">
        <w:rPr>
          <w:rFonts w:asciiTheme="minorHAnsi" w:hAnsiTheme="minorHAnsi" w:cstheme="minorHAnsi"/>
          <w:spacing w:val="-1"/>
        </w:rPr>
        <w:t>were</w:t>
      </w:r>
      <w:r w:rsidRPr="00682233">
        <w:rPr>
          <w:rFonts w:asciiTheme="minorHAnsi" w:hAnsiTheme="minorHAnsi" w:cstheme="minorHAnsi"/>
          <w:spacing w:val="-11"/>
        </w:rPr>
        <w:t xml:space="preserve"> </w:t>
      </w:r>
      <w:r w:rsidRPr="00682233">
        <w:rPr>
          <w:rFonts w:asciiTheme="minorHAnsi" w:hAnsiTheme="minorHAnsi" w:cstheme="minorHAnsi"/>
          <w:spacing w:val="-1"/>
        </w:rPr>
        <w:t>to</w:t>
      </w:r>
      <w:r w:rsidRPr="00682233">
        <w:rPr>
          <w:rFonts w:asciiTheme="minorHAnsi" w:hAnsiTheme="minorHAnsi" w:cstheme="minorHAnsi"/>
          <w:spacing w:val="-13"/>
        </w:rPr>
        <w:t xml:space="preserve"> </w:t>
      </w:r>
      <w:r w:rsidRPr="00682233">
        <w:rPr>
          <w:rFonts w:asciiTheme="minorHAnsi" w:hAnsiTheme="minorHAnsi" w:cstheme="minorHAnsi"/>
          <w:spacing w:val="-1"/>
        </w:rPr>
        <w:t>be</w:t>
      </w:r>
      <w:r w:rsidRPr="00682233">
        <w:rPr>
          <w:rFonts w:asciiTheme="minorHAnsi" w:hAnsiTheme="minorHAnsi" w:cstheme="minorHAnsi"/>
          <w:spacing w:val="-10"/>
        </w:rPr>
        <w:t xml:space="preserve"> </w:t>
      </w:r>
      <w:r w:rsidRPr="00682233">
        <w:rPr>
          <w:rFonts w:asciiTheme="minorHAnsi" w:hAnsiTheme="minorHAnsi" w:cstheme="minorHAnsi"/>
          <w:spacing w:val="-1"/>
        </w:rPr>
        <w:t>further</w:t>
      </w:r>
      <w:r w:rsidRPr="00682233">
        <w:rPr>
          <w:rFonts w:asciiTheme="minorHAnsi" w:hAnsiTheme="minorHAnsi" w:cstheme="minorHAnsi"/>
          <w:spacing w:val="-11"/>
        </w:rPr>
        <w:t xml:space="preserve"> </w:t>
      </w:r>
      <w:r w:rsidRPr="00682233">
        <w:rPr>
          <w:rFonts w:asciiTheme="minorHAnsi" w:hAnsiTheme="minorHAnsi" w:cstheme="minorHAnsi"/>
        </w:rPr>
        <w:t>defined</w:t>
      </w:r>
      <w:r w:rsidRPr="00682233">
        <w:rPr>
          <w:rFonts w:asciiTheme="minorHAnsi" w:hAnsiTheme="minorHAnsi" w:cstheme="minorHAnsi"/>
          <w:spacing w:val="-12"/>
        </w:rPr>
        <w:t xml:space="preserve"> </w:t>
      </w:r>
      <w:r w:rsidRPr="00682233">
        <w:rPr>
          <w:rFonts w:asciiTheme="minorHAnsi" w:hAnsiTheme="minorHAnsi" w:cstheme="minorHAnsi"/>
        </w:rPr>
        <w:t>and</w:t>
      </w:r>
      <w:r w:rsidRPr="00682233">
        <w:rPr>
          <w:rFonts w:asciiTheme="minorHAnsi" w:hAnsiTheme="minorHAnsi" w:cstheme="minorHAnsi"/>
          <w:spacing w:val="-13"/>
        </w:rPr>
        <w:t xml:space="preserve"> </w:t>
      </w:r>
      <w:r w:rsidRPr="00682233">
        <w:rPr>
          <w:rFonts w:asciiTheme="minorHAnsi" w:hAnsiTheme="minorHAnsi" w:cstheme="minorHAnsi"/>
        </w:rPr>
        <w:t>some</w:t>
      </w:r>
      <w:r w:rsidRPr="00682233">
        <w:rPr>
          <w:rFonts w:asciiTheme="minorHAnsi" w:hAnsiTheme="minorHAnsi" w:cstheme="minorHAnsi"/>
          <w:spacing w:val="-10"/>
        </w:rPr>
        <w:t xml:space="preserve"> </w:t>
      </w:r>
      <w:r w:rsidRPr="00682233">
        <w:rPr>
          <w:rFonts w:asciiTheme="minorHAnsi" w:hAnsiTheme="minorHAnsi" w:cstheme="minorHAnsi"/>
        </w:rPr>
        <w:t>indicators</w:t>
      </w:r>
      <w:r w:rsidRPr="00682233">
        <w:rPr>
          <w:rFonts w:asciiTheme="minorHAnsi" w:hAnsiTheme="minorHAnsi" w:cstheme="minorHAnsi"/>
          <w:spacing w:val="-12"/>
        </w:rPr>
        <w:t xml:space="preserve"> </w:t>
      </w:r>
      <w:r w:rsidRPr="00682233">
        <w:rPr>
          <w:rFonts w:asciiTheme="minorHAnsi" w:hAnsiTheme="minorHAnsi" w:cstheme="minorHAnsi"/>
        </w:rPr>
        <w:t>and</w:t>
      </w:r>
      <w:r w:rsidRPr="00682233">
        <w:rPr>
          <w:rFonts w:asciiTheme="minorHAnsi" w:hAnsiTheme="minorHAnsi" w:cstheme="minorHAnsi"/>
          <w:spacing w:val="-13"/>
        </w:rPr>
        <w:t xml:space="preserve"> </w:t>
      </w:r>
      <w:r w:rsidRPr="00682233">
        <w:rPr>
          <w:rFonts w:asciiTheme="minorHAnsi" w:hAnsiTheme="minorHAnsi" w:cstheme="minorHAnsi"/>
        </w:rPr>
        <w:t>targets</w:t>
      </w:r>
      <w:r w:rsidRPr="00682233">
        <w:rPr>
          <w:rFonts w:asciiTheme="minorHAnsi" w:hAnsiTheme="minorHAnsi" w:cstheme="minorHAnsi"/>
          <w:spacing w:val="-10"/>
        </w:rPr>
        <w:t xml:space="preserve"> </w:t>
      </w:r>
      <w:r w:rsidRPr="00682233">
        <w:rPr>
          <w:rFonts w:asciiTheme="minorHAnsi" w:hAnsiTheme="minorHAnsi" w:cstheme="minorHAnsi"/>
        </w:rPr>
        <w:t>reformulated,</w:t>
      </w:r>
      <w:r w:rsidRPr="00682233">
        <w:rPr>
          <w:rFonts w:asciiTheme="minorHAnsi" w:hAnsiTheme="minorHAnsi" w:cstheme="minorHAnsi"/>
          <w:spacing w:val="-14"/>
        </w:rPr>
        <w:t xml:space="preserve"> </w:t>
      </w:r>
      <w:r w:rsidRPr="00682233">
        <w:rPr>
          <w:rFonts w:asciiTheme="minorHAnsi" w:hAnsiTheme="minorHAnsi" w:cstheme="minorHAnsi"/>
        </w:rPr>
        <w:t>as</w:t>
      </w:r>
      <w:r w:rsidRPr="00682233">
        <w:rPr>
          <w:rFonts w:asciiTheme="minorHAnsi" w:hAnsiTheme="minorHAnsi" w:cstheme="minorHAnsi"/>
          <w:spacing w:val="-12"/>
        </w:rPr>
        <w:t xml:space="preserve"> </w:t>
      </w:r>
      <w:r w:rsidRPr="00682233">
        <w:rPr>
          <w:rFonts w:asciiTheme="minorHAnsi" w:hAnsiTheme="minorHAnsi" w:cstheme="minorHAnsi"/>
        </w:rPr>
        <w:t>shown</w:t>
      </w:r>
      <w:r w:rsidRPr="00682233">
        <w:rPr>
          <w:rFonts w:asciiTheme="minorHAnsi" w:hAnsiTheme="minorHAnsi" w:cstheme="minorHAnsi"/>
          <w:spacing w:val="-12"/>
        </w:rPr>
        <w:t xml:space="preserve"> </w:t>
      </w:r>
      <w:r w:rsidRPr="00682233">
        <w:rPr>
          <w:rFonts w:asciiTheme="minorHAnsi" w:hAnsiTheme="minorHAnsi" w:cstheme="minorHAnsi"/>
        </w:rPr>
        <w:t>below.</w:t>
      </w:r>
    </w:p>
    <w:p w14:paraId="4C1AFEE7" w14:textId="77777777" w:rsidR="00790ED6" w:rsidRPr="00682233" w:rsidRDefault="00790ED6" w:rsidP="00790ED6">
      <w:pPr>
        <w:pStyle w:val="BodyText"/>
        <w:spacing w:before="9"/>
        <w:rPr>
          <w:rFonts w:asciiTheme="minorHAnsi" w:hAnsiTheme="minorHAnsi" w:cstheme="minorHAnsi"/>
          <w:sz w:val="22"/>
          <w:szCs w:val="22"/>
        </w:rPr>
      </w:pPr>
    </w:p>
    <w:p w14:paraId="0FC72BF4" w14:textId="77777777" w:rsidR="00790ED6" w:rsidRPr="00682233" w:rsidRDefault="00790ED6" w:rsidP="00617C76">
      <w:pPr>
        <w:pStyle w:val="ListParagraph"/>
        <w:numPr>
          <w:ilvl w:val="1"/>
          <w:numId w:val="79"/>
        </w:numPr>
        <w:tabs>
          <w:tab w:val="left" w:pos="861"/>
        </w:tabs>
        <w:spacing w:line="276" w:lineRule="auto"/>
        <w:ind w:right="116"/>
        <w:jc w:val="both"/>
        <w:rPr>
          <w:rFonts w:asciiTheme="minorHAnsi" w:hAnsiTheme="minorHAnsi" w:cstheme="minorHAnsi"/>
        </w:rPr>
      </w:pPr>
      <w:r w:rsidRPr="00682233">
        <w:rPr>
          <w:rFonts w:asciiTheme="minorHAnsi" w:hAnsiTheme="minorHAnsi" w:cstheme="minorHAnsi"/>
        </w:rPr>
        <w:t xml:space="preserve">Baseline and targets for </w:t>
      </w:r>
      <w:r w:rsidRPr="00682233">
        <w:rPr>
          <w:rFonts w:asciiTheme="minorHAnsi" w:hAnsiTheme="minorHAnsi" w:cstheme="minorHAnsi"/>
          <w:b/>
        </w:rPr>
        <w:t xml:space="preserve">Objective Indicator 1.3.2 </w:t>
      </w:r>
      <w:r w:rsidRPr="00682233">
        <w:rPr>
          <w:rFonts w:asciiTheme="minorHAnsi" w:hAnsiTheme="minorHAnsi" w:cstheme="minorHAnsi"/>
        </w:rPr>
        <w:t>¨Number of additional people benefitting</w:t>
      </w:r>
      <w:r w:rsidRPr="00682233">
        <w:rPr>
          <w:rFonts w:asciiTheme="minorHAnsi" w:hAnsiTheme="minorHAnsi" w:cstheme="minorHAnsi"/>
          <w:spacing w:val="1"/>
        </w:rPr>
        <w:t xml:space="preserve"> </w:t>
      </w:r>
      <w:r w:rsidRPr="00682233">
        <w:rPr>
          <w:rFonts w:asciiTheme="minorHAnsi" w:hAnsiTheme="minorHAnsi" w:cstheme="minorHAnsi"/>
        </w:rPr>
        <w:t>from</w:t>
      </w:r>
      <w:r w:rsidRPr="00682233">
        <w:rPr>
          <w:rFonts w:asciiTheme="minorHAnsi" w:hAnsiTheme="minorHAnsi" w:cstheme="minorHAnsi"/>
          <w:spacing w:val="1"/>
        </w:rPr>
        <w:t xml:space="preserve"> </w:t>
      </w:r>
      <w:r w:rsidRPr="00682233">
        <w:rPr>
          <w:rFonts w:asciiTheme="minorHAnsi" w:hAnsiTheme="minorHAnsi" w:cstheme="minorHAnsi"/>
        </w:rPr>
        <w:t>strengthened</w:t>
      </w:r>
      <w:r w:rsidRPr="00682233">
        <w:rPr>
          <w:rFonts w:asciiTheme="minorHAnsi" w:hAnsiTheme="minorHAnsi" w:cstheme="minorHAnsi"/>
          <w:spacing w:val="1"/>
        </w:rPr>
        <w:t xml:space="preserve"> </w:t>
      </w:r>
      <w:r w:rsidRPr="00682233">
        <w:rPr>
          <w:rFonts w:asciiTheme="minorHAnsi" w:hAnsiTheme="minorHAnsi" w:cstheme="minorHAnsi"/>
        </w:rPr>
        <w:t>livelihoods</w:t>
      </w:r>
      <w:r w:rsidRPr="00682233">
        <w:rPr>
          <w:rFonts w:asciiTheme="minorHAnsi" w:hAnsiTheme="minorHAnsi" w:cstheme="minorHAnsi"/>
          <w:spacing w:val="1"/>
        </w:rPr>
        <w:t xml:space="preserve"> </w:t>
      </w:r>
      <w:r w:rsidRPr="00682233">
        <w:rPr>
          <w:rFonts w:asciiTheme="minorHAnsi" w:hAnsiTheme="minorHAnsi" w:cstheme="minorHAnsi"/>
        </w:rPr>
        <w:t>through</w:t>
      </w:r>
      <w:r w:rsidRPr="00682233">
        <w:rPr>
          <w:rFonts w:asciiTheme="minorHAnsi" w:hAnsiTheme="minorHAnsi" w:cstheme="minorHAnsi"/>
          <w:spacing w:val="1"/>
        </w:rPr>
        <w:t xml:space="preserve"> </w:t>
      </w:r>
      <w:r w:rsidRPr="00682233">
        <w:rPr>
          <w:rFonts w:asciiTheme="minorHAnsi" w:hAnsiTheme="minorHAnsi" w:cstheme="minorHAnsi"/>
        </w:rPr>
        <w:t>solutions</w:t>
      </w:r>
      <w:r w:rsidRPr="00682233">
        <w:rPr>
          <w:rFonts w:asciiTheme="minorHAnsi" w:hAnsiTheme="minorHAnsi" w:cstheme="minorHAnsi"/>
          <w:spacing w:val="1"/>
        </w:rPr>
        <w:t xml:space="preserve"> </w:t>
      </w:r>
      <w:r w:rsidRPr="00682233">
        <w:rPr>
          <w:rFonts w:asciiTheme="minorHAnsi" w:hAnsiTheme="minorHAnsi" w:cstheme="minorHAnsi"/>
        </w:rPr>
        <w:t>for</w:t>
      </w:r>
      <w:r w:rsidRPr="00682233">
        <w:rPr>
          <w:rFonts w:asciiTheme="minorHAnsi" w:hAnsiTheme="minorHAnsi" w:cstheme="minorHAnsi"/>
          <w:spacing w:val="1"/>
        </w:rPr>
        <w:t xml:space="preserve"> </w:t>
      </w:r>
      <w:r w:rsidRPr="00682233">
        <w:rPr>
          <w:rFonts w:asciiTheme="minorHAnsi" w:hAnsiTheme="minorHAnsi" w:cstheme="minorHAnsi"/>
        </w:rPr>
        <w:t>management</w:t>
      </w:r>
      <w:r w:rsidRPr="00682233">
        <w:rPr>
          <w:rFonts w:asciiTheme="minorHAnsi" w:hAnsiTheme="minorHAnsi" w:cstheme="minorHAnsi"/>
          <w:spacing w:val="1"/>
        </w:rPr>
        <w:t xml:space="preserve"> </w:t>
      </w:r>
      <w:r w:rsidRPr="00682233">
        <w:rPr>
          <w:rFonts w:asciiTheme="minorHAnsi" w:hAnsiTheme="minorHAnsi" w:cstheme="minorHAnsi"/>
        </w:rPr>
        <w:t>of</w:t>
      </w:r>
      <w:r w:rsidRPr="00682233">
        <w:rPr>
          <w:rFonts w:asciiTheme="minorHAnsi" w:hAnsiTheme="minorHAnsi" w:cstheme="minorHAnsi"/>
          <w:spacing w:val="1"/>
        </w:rPr>
        <w:t xml:space="preserve"> </w:t>
      </w:r>
      <w:r w:rsidRPr="00682233">
        <w:rPr>
          <w:rFonts w:asciiTheme="minorHAnsi" w:hAnsiTheme="minorHAnsi" w:cstheme="minorHAnsi"/>
        </w:rPr>
        <w:t>natural</w:t>
      </w:r>
      <w:r w:rsidRPr="00682233">
        <w:rPr>
          <w:rFonts w:asciiTheme="minorHAnsi" w:hAnsiTheme="minorHAnsi" w:cstheme="minorHAnsi"/>
          <w:spacing w:val="1"/>
        </w:rPr>
        <w:t xml:space="preserve"> </w:t>
      </w:r>
      <w:r w:rsidRPr="00682233">
        <w:rPr>
          <w:rFonts w:asciiTheme="minorHAnsi" w:hAnsiTheme="minorHAnsi" w:cstheme="minorHAnsi"/>
        </w:rPr>
        <w:t>resources,</w:t>
      </w:r>
      <w:r w:rsidRPr="00682233">
        <w:rPr>
          <w:rFonts w:asciiTheme="minorHAnsi" w:hAnsiTheme="minorHAnsi" w:cstheme="minorHAnsi"/>
          <w:spacing w:val="1"/>
        </w:rPr>
        <w:t xml:space="preserve"> </w:t>
      </w:r>
      <w:r w:rsidRPr="00682233">
        <w:rPr>
          <w:rFonts w:asciiTheme="minorHAnsi" w:hAnsiTheme="minorHAnsi" w:cstheme="minorHAnsi"/>
        </w:rPr>
        <w:t>ecosystem services, chemicals and waste (among groups including smallholder farmers and</w:t>
      </w:r>
      <w:r w:rsidRPr="00682233">
        <w:rPr>
          <w:rFonts w:asciiTheme="minorHAnsi" w:hAnsiTheme="minorHAnsi" w:cstheme="minorHAnsi"/>
          <w:spacing w:val="1"/>
        </w:rPr>
        <w:t xml:space="preserve"> </w:t>
      </w:r>
      <w:r w:rsidRPr="00682233">
        <w:rPr>
          <w:rFonts w:asciiTheme="minorHAnsi" w:hAnsiTheme="minorHAnsi" w:cstheme="minorHAnsi"/>
        </w:rPr>
        <w:t>forest-dependent communities (disaggregated by gender)¨ were not defined during project</w:t>
      </w:r>
      <w:r w:rsidRPr="00682233">
        <w:rPr>
          <w:rFonts w:asciiTheme="minorHAnsi" w:hAnsiTheme="minorHAnsi" w:cstheme="minorHAnsi"/>
          <w:spacing w:val="1"/>
        </w:rPr>
        <w:t xml:space="preserve"> </w:t>
      </w:r>
      <w:r w:rsidRPr="00682233">
        <w:rPr>
          <w:rFonts w:asciiTheme="minorHAnsi" w:hAnsiTheme="minorHAnsi" w:cstheme="minorHAnsi"/>
        </w:rPr>
        <w:t>design and still need to be defined based on results of gender studies being undertaken in all</w:t>
      </w:r>
      <w:r w:rsidRPr="00682233">
        <w:rPr>
          <w:rFonts w:asciiTheme="minorHAnsi" w:hAnsiTheme="minorHAnsi" w:cstheme="minorHAnsi"/>
          <w:spacing w:val="-47"/>
        </w:rPr>
        <w:t xml:space="preserve"> </w:t>
      </w:r>
      <w:r w:rsidRPr="00682233">
        <w:rPr>
          <w:rFonts w:asciiTheme="minorHAnsi" w:hAnsiTheme="minorHAnsi" w:cstheme="minorHAnsi"/>
        </w:rPr>
        <w:t xml:space="preserve">4 project countries: Indonesia, Liberia, Paraguay and Brazil. </w:t>
      </w:r>
      <w:r w:rsidRPr="00682233">
        <w:rPr>
          <w:rFonts w:asciiTheme="minorHAnsi" w:hAnsiTheme="minorHAnsi" w:cstheme="minorHAnsi"/>
          <w:b/>
        </w:rPr>
        <w:t>We expect the results of these</w:t>
      </w:r>
      <w:r w:rsidRPr="00682233">
        <w:rPr>
          <w:rFonts w:asciiTheme="minorHAnsi" w:hAnsiTheme="minorHAnsi" w:cstheme="minorHAnsi"/>
          <w:b/>
          <w:spacing w:val="1"/>
        </w:rPr>
        <w:t xml:space="preserve"> </w:t>
      </w:r>
      <w:r w:rsidRPr="00682233">
        <w:rPr>
          <w:rFonts w:asciiTheme="minorHAnsi" w:hAnsiTheme="minorHAnsi" w:cstheme="minorHAnsi"/>
          <w:b/>
        </w:rPr>
        <w:t>studies</w:t>
      </w:r>
      <w:r w:rsidRPr="00682233">
        <w:rPr>
          <w:rFonts w:asciiTheme="minorHAnsi" w:hAnsiTheme="minorHAnsi" w:cstheme="minorHAnsi"/>
          <w:b/>
          <w:spacing w:val="-5"/>
        </w:rPr>
        <w:t xml:space="preserve"> </w:t>
      </w:r>
      <w:r w:rsidRPr="00682233">
        <w:rPr>
          <w:rFonts w:asciiTheme="minorHAnsi" w:hAnsiTheme="minorHAnsi" w:cstheme="minorHAnsi"/>
          <w:b/>
        </w:rPr>
        <w:t>in</w:t>
      </w:r>
      <w:r w:rsidRPr="00682233">
        <w:rPr>
          <w:rFonts w:asciiTheme="minorHAnsi" w:hAnsiTheme="minorHAnsi" w:cstheme="minorHAnsi"/>
          <w:b/>
          <w:spacing w:val="-2"/>
        </w:rPr>
        <w:t xml:space="preserve"> </w:t>
      </w:r>
      <w:r w:rsidRPr="00682233">
        <w:rPr>
          <w:rFonts w:asciiTheme="minorHAnsi" w:hAnsiTheme="minorHAnsi" w:cstheme="minorHAnsi"/>
          <w:b/>
        </w:rPr>
        <w:t>Q1</w:t>
      </w:r>
      <w:r w:rsidRPr="00682233">
        <w:rPr>
          <w:rFonts w:asciiTheme="minorHAnsi" w:hAnsiTheme="minorHAnsi" w:cstheme="minorHAnsi"/>
          <w:b/>
          <w:spacing w:val="-5"/>
        </w:rPr>
        <w:t xml:space="preserve"> </w:t>
      </w:r>
      <w:r w:rsidRPr="00682233">
        <w:rPr>
          <w:rFonts w:asciiTheme="minorHAnsi" w:hAnsiTheme="minorHAnsi" w:cstheme="minorHAnsi"/>
          <w:b/>
        </w:rPr>
        <w:t>and</w:t>
      </w:r>
      <w:r w:rsidRPr="00682233">
        <w:rPr>
          <w:rFonts w:asciiTheme="minorHAnsi" w:hAnsiTheme="minorHAnsi" w:cstheme="minorHAnsi"/>
          <w:b/>
          <w:spacing w:val="-2"/>
        </w:rPr>
        <w:t xml:space="preserve"> </w:t>
      </w:r>
      <w:r w:rsidRPr="00682233">
        <w:rPr>
          <w:rFonts w:asciiTheme="minorHAnsi" w:hAnsiTheme="minorHAnsi" w:cstheme="minorHAnsi"/>
          <w:b/>
        </w:rPr>
        <w:t>hence</w:t>
      </w:r>
      <w:r w:rsidRPr="00682233">
        <w:rPr>
          <w:rFonts w:asciiTheme="minorHAnsi" w:hAnsiTheme="minorHAnsi" w:cstheme="minorHAnsi"/>
          <w:b/>
          <w:spacing w:val="-4"/>
        </w:rPr>
        <w:t xml:space="preserve"> </w:t>
      </w:r>
      <w:r w:rsidRPr="00682233">
        <w:rPr>
          <w:rFonts w:asciiTheme="minorHAnsi" w:hAnsiTheme="minorHAnsi" w:cstheme="minorHAnsi"/>
          <w:b/>
        </w:rPr>
        <w:t>the</w:t>
      </w:r>
      <w:r w:rsidRPr="00682233">
        <w:rPr>
          <w:rFonts w:asciiTheme="minorHAnsi" w:hAnsiTheme="minorHAnsi" w:cstheme="minorHAnsi"/>
          <w:b/>
          <w:spacing w:val="-8"/>
        </w:rPr>
        <w:t xml:space="preserve"> </w:t>
      </w:r>
      <w:r w:rsidRPr="00682233">
        <w:rPr>
          <w:rFonts w:asciiTheme="minorHAnsi" w:hAnsiTheme="minorHAnsi" w:cstheme="minorHAnsi"/>
          <w:b/>
        </w:rPr>
        <w:t>baseline</w:t>
      </w:r>
      <w:r w:rsidRPr="00682233">
        <w:rPr>
          <w:rFonts w:asciiTheme="minorHAnsi" w:hAnsiTheme="minorHAnsi" w:cstheme="minorHAnsi"/>
          <w:b/>
          <w:spacing w:val="-4"/>
        </w:rPr>
        <w:t xml:space="preserve"> </w:t>
      </w:r>
      <w:r w:rsidRPr="00682233">
        <w:rPr>
          <w:rFonts w:asciiTheme="minorHAnsi" w:hAnsiTheme="minorHAnsi" w:cstheme="minorHAnsi"/>
          <w:b/>
        </w:rPr>
        <w:t>and</w:t>
      </w:r>
      <w:r w:rsidRPr="00682233">
        <w:rPr>
          <w:rFonts w:asciiTheme="minorHAnsi" w:hAnsiTheme="minorHAnsi" w:cstheme="minorHAnsi"/>
          <w:b/>
          <w:spacing w:val="-2"/>
        </w:rPr>
        <w:t xml:space="preserve"> </w:t>
      </w:r>
      <w:r w:rsidRPr="00682233">
        <w:rPr>
          <w:rFonts w:asciiTheme="minorHAnsi" w:hAnsiTheme="minorHAnsi" w:cstheme="minorHAnsi"/>
          <w:b/>
        </w:rPr>
        <w:t>targets</w:t>
      </w:r>
      <w:r w:rsidRPr="00682233">
        <w:rPr>
          <w:rFonts w:asciiTheme="minorHAnsi" w:hAnsiTheme="minorHAnsi" w:cstheme="minorHAnsi"/>
          <w:b/>
          <w:spacing w:val="-5"/>
        </w:rPr>
        <w:t xml:space="preserve"> </w:t>
      </w:r>
      <w:r w:rsidRPr="00682233">
        <w:rPr>
          <w:rFonts w:asciiTheme="minorHAnsi" w:hAnsiTheme="minorHAnsi" w:cstheme="minorHAnsi"/>
          <w:b/>
        </w:rPr>
        <w:t>to</w:t>
      </w:r>
      <w:r w:rsidRPr="00682233">
        <w:rPr>
          <w:rFonts w:asciiTheme="minorHAnsi" w:hAnsiTheme="minorHAnsi" w:cstheme="minorHAnsi"/>
          <w:b/>
          <w:spacing w:val="-2"/>
        </w:rPr>
        <w:t xml:space="preserve"> </w:t>
      </w:r>
      <w:r w:rsidRPr="00682233">
        <w:rPr>
          <w:rFonts w:asciiTheme="minorHAnsi" w:hAnsiTheme="minorHAnsi" w:cstheme="minorHAnsi"/>
          <w:b/>
        </w:rPr>
        <w:t>be</w:t>
      </w:r>
      <w:r w:rsidRPr="00682233">
        <w:rPr>
          <w:rFonts w:asciiTheme="minorHAnsi" w:hAnsiTheme="minorHAnsi" w:cstheme="minorHAnsi"/>
          <w:b/>
          <w:spacing w:val="-4"/>
        </w:rPr>
        <w:t xml:space="preserve"> </w:t>
      </w:r>
      <w:r w:rsidRPr="00682233">
        <w:rPr>
          <w:rFonts w:asciiTheme="minorHAnsi" w:hAnsiTheme="minorHAnsi" w:cstheme="minorHAnsi"/>
          <w:b/>
        </w:rPr>
        <w:t>ready</w:t>
      </w:r>
      <w:r w:rsidRPr="00682233">
        <w:rPr>
          <w:rFonts w:asciiTheme="minorHAnsi" w:hAnsiTheme="minorHAnsi" w:cstheme="minorHAnsi"/>
          <w:b/>
          <w:spacing w:val="-3"/>
        </w:rPr>
        <w:t xml:space="preserve"> </w:t>
      </w:r>
      <w:r w:rsidRPr="00682233">
        <w:rPr>
          <w:rFonts w:asciiTheme="minorHAnsi" w:hAnsiTheme="minorHAnsi" w:cstheme="minorHAnsi"/>
          <w:b/>
        </w:rPr>
        <w:t>by</w:t>
      </w:r>
      <w:r w:rsidRPr="00682233">
        <w:rPr>
          <w:rFonts w:asciiTheme="minorHAnsi" w:hAnsiTheme="minorHAnsi" w:cstheme="minorHAnsi"/>
          <w:b/>
          <w:spacing w:val="-2"/>
        </w:rPr>
        <w:t xml:space="preserve"> </w:t>
      </w:r>
      <w:r w:rsidRPr="00682233">
        <w:rPr>
          <w:rFonts w:asciiTheme="minorHAnsi" w:hAnsiTheme="minorHAnsi" w:cstheme="minorHAnsi"/>
          <w:b/>
        </w:rPr>
        <w:t>no</w:t>
      </w:r>
      <w:r w:rsidRPr="00682233">
        <w:rPr>
          <w:rFonts w:asciiTheme="minorHAnsi" w:hAnsiTheme="minorHAnsi" w:cstheme="minorHAnsi"/>
          <w:b/>
          <w:spacing w:val="-2"/>
        </w:rPr>
        <w:t xml:space="preserve"> </w:t>
      </w:r>
      <w:r w:rsidRPr="00682233">
        <w:rPr>
          <w:rFonts w:asciiTheme="minorHAnsi" w:hAnsiTheme="minorHAnsi" w:cstheme="minorHAnsi"/>
          <w:b/>
        </w:rPr>
        <w:t>later</w:t>
      </w:r>
      <w:r w:rsidRPr="00682233">
        <w:rPr>
          <w:rFonts w:asciiTheme="minorHAnsi" w:hAnsiTheme="minorHAnsi" w:cstheme="minorHAnsi"/>
          <w:b/>
          <w:spacing w:val="-5"/>
        </w:rPr>
        <w:t xml:space="preserve"> </w:t>
      </w:r>
      <w:r w:rsidRPr="00682233">
        <w:rPr>
          <w:rFonts w:asciiTheme="minorHAnsi" w:hAnsiTheme="minorHAnsi" w:cstheme="minorHAnsi"/>
          <w:b/>
        </w:rPr>
        <w:t>than</w:t>
      </w:r>
      <w:r w:rsidRPr="00682233">
        <w:rPr>
          <w:rFonts w:asciiTheme="minorHAnsi" w:hAnsiTheme="minorHAnsi" w:cstheme="minorHAnsi"/>
          <w:b/>
          <w:spacing w:val="-2"/>
        </w:rPr>
        <w:t xml:space="preserve"> </w:t>
      </w:r>
      <w:r w:rsidRPr="00682233">
        <w:rPr>
          <w:rFonts w:asciiTheme="minorHAnsi" w:hAnsiTheme="minorHAnsi" w:cstheme="minorHAnsi"/>
          <w:b/>
        </w:rPr>
        <w:t>30</w:t>
      </w:r>
      <w:r w:rsidRPr="00682233">
        <w:rPr>
          <w:rFonts w:asciiTheme="minorHAnsi" w:hAnsiTheme="minorHAnsi" w:cstheme="minorHAnsi"/>
          <w:b/>
          <w:spacing w:val="-5"/>
        </w:rPr>
        <w:t xml:space="preserve"> </w:t>
      </w:r>
      <w:r w:rsidRPr="00682233">
        <w:rPr>
          <w:rFonts w:asciiTheme="minorHAnsi" w:hAnsiTheme="minorHAnsi" w:cstheme="minorHAnsi"/>
          <w:b/>
        </w:rPr>
        <w:t>April</w:t>
      </w:r>
      <w:r w:rsidRPr="00682233">
        <w:rPr>
          <w:rFonts w:asciiTheme="minorHAnsi" w:hAnsiTheme="minorHAnsi" w:cstheme="minorHAnsi"/>
          <w:b/>
          <w:spacing w:val="-5"/>
        </w:rPr>
        <w:t xml:space="preserve"> </w:t>
      </w:r>
      <w:r w:rsidRPr="00682233">
        <w:rPr>
          <w:rFonts w:asciiTheme="minorHAnsi" w:hAnsiTheme="minorHAnsi" w:cstheme="minorHAnsi"/>
          <w:b/>
        </w:rPr>
        <w:t>2018</w:t>
      </w:r>
      <w:r w:rsidRPr="00682233">
        <w:rPr>
          <w:rFonts w:asciiTheme="minorHAnsi" w:hAnsiTheme="minorHAnsi" w:cstheme="minorHAnsi"/>
        </w:rPr>
        <w:t xml:space="preserve">. </w:t>
      </w:r>
    </w:p>
    <w:p w14:paraId="3DE19BEE" w14:textId="2607AEBC" w:rsidR="00790ED6" w:rsidRPr="00682233" w:rsidRDefault="00790ED6" w:rsidP="00981FE1">
      <w:pPr>
        <w:pStyle w:val="ListParagraph"/>
        <w:numPr>
          <w:ilvl w:val="1"/>
          <w:numId w:val="79"/>
        </w:numPr>
        <w:tabs>
          <w:tab w:val="left" w:pos="861"/>
        </w:tabs>
        <w:spacing w:line="276" w:lineRule="auto"/>
        <w:ind w:right="116"/>
        <w:jc w:val="both"/>
        <w:rPr>
          <w:rFonts w:asciiTheme="minorHAnsi" w:hAnsiTheme="minorHAnsi" w:cstheme="minorHAnsi"/>
        </w:rPr>
      </w:pPr>
      <w:r w:rsidRPr="00682233">
        <w:rPr>
          <w:rFonts w:asciiTheme="minorHAnsi" w:hAnsiTheme="minorHAnsi" w:cstheme="minorHAnsi"/>
        </w:rPr>
        <w:t xml:space="preserve">The midterm and end of project targets for the </w:t>
      </w:r>
      <w:r w:rsidRPr="00682233">
        <w:rPr>
          <w:rFonts w:asciiTheme="minorHAnsi" w:hAnsiTheme="minorHAnsi" w:cstheme="minorHAnsi"/>
          <w:b/>
        </w:rPr>
        <w:t>last Objective-level indicator</w:t>
      </w:r>
      <w:r w:rsidRPr="00682233">
        <w:rPr>
          <w:rFonts w:asciiTheme="minorHAnsi" w:hAnsiTheme="minorHAnsi" w:cstheme="minorHAnsi"/>
        </w:rPr>
        <w:t>, ¨Level of</w:t>
      </w:r>
      <w:r w:rsidRPr="00682233">
        <w:rPr>
          <w:rFonts w:asciiTheme="minorHAnsi" w:hAnsiTheme="minorHAnsi" w:cstheme="minorHAnsi"/>
          <w:spacing w:val="1"/>
        </w:rPr>
        <w:t xml:space="preserve"> </w:t>
      </w:r>
      <w:r w:rsidRPr="00682233">
        <w:rPr>
          <w:rFonts w:asciiTheme="minorHAnsi" w:hAnsiTheme="minorHAnsi" w:cstheme="minorHAnsi"/>
        </w:rPr>
        <w:t>dialogue catalyzed by IAP Platforms between buyers and producer country oil palm, soy and</w:t>
      </w:r>
      <w:r w:rsidRPr="00682233">
        <w:rPr>
          <w:rFonts w:asciiTheme="minorHAnsi" w:hAnsiTheme="minorHAnsi" w:cstheme="minorHAnsi"/>
          <w:spacing w:val="1"/>
        </w:rPr>
        <w:t xml:space="preserve"> </w:t>
      </w:r>
      <w:r w:rsidRPr="00682233">
        <w:rPr>
          <w:rFonts w:asciiTheme="minorHAnsi" w:hAnsiTheme="minorHAnsi" w:cstheme="minorHAnsi"/>
        </w:rPr>
        <w:t>beef commodity sectors (in particular governments) in the 4 IAP target countries (Indonesia,</w:t>
      </w:r>
      <w:r w:rsidRPr="00682233">
        <w:rPr>
          <w:rFonts w:asciiTheme="minorHAnsi" w:hAnsiTheme="minorHAnsi" w:cstheme="minorHAnsi"/>
          <w:spacing w:val="1"/>
        </w:rPr>
        <w:t xml:space="preserve"> </w:t>
      </w:r>
      <w:r w:rsidRPr="00682233">
        <w:rPr>
          <w:rFonts w:asciiTheme="minorHAnsi" w:hAnsiTheme="minorHAnsi" w:cstheme="minorHAnsi"/>
          <w:spacing w:val="-1"/>
        </w:rPr>
        <w:t>Liberia,</w:t>
      </w:r>
      <w:r w:rsidRPr="00682233">
        <w:rPr>
          <w:rFonts w:asciiTheme="minorHAnsi" w:hAnsiTheme="minorHAnsi" w:cstheme="minorHAnsi"/>
          <w:spacing w:val="-14"/>
        </w:rPr>
        <w:t xml:space="preserve"> </w:t>
      </w:r>
      <w:r w:rsidRPr="00682233">
        <w:rPr>
          <w:rFonts w:asciiTheme="minorHAnsi" w:hAnsiTheme="minorHAnsi" w:cstheme="minorHAnsi"/>
          <w:spacing w:val="-1"/>
        </w:rPr>
        <w:t>Paraguay</w:t>
      </w:r>
      <w:r w:rsidRPr="00682233">
        <w:rPr>
          <w:rFonts w:asciiTheme="minorHAnsi" w:hAnsiTheme="minorHAnsi" w:cstheme="minorHAnsi"/>
          <w:spacing w:val="-11"/>
        </w:rPr>
        <w:t xml:space="preserve"> </w:t>
      </w:r>
      <w:r w:rsidRPr="00682233">
        <w:rPr>
          <w:rFonts w:asciiTheme="minorHAnsi" w:hAnsiTheme="minorHAnsi" w:cstheme="minorHAnsi"/>
        </w:rPr>
        <w:t>and</w:t>
      </w:r>
      <w:r w:rsidRPr="00682233">
        <w:rPr>
          <w:rFonts w:asciiTheme="minorHAnsi" w:hAnsiTheme="minorHAnsi" w:cstheme="minorHAnsi"/>
          <w:spacing w:val="-13"/>
        </w:rPr>
        <w:t xml:space="preserve"> </w:t>
      </w:r>
      <w:r w:rsidRPr="00682233">
        <w:rPr>
          <w:rFonts w:asciiTheme="minorHAnsi" w:hAnsiTheme="minorHAnsi" w:cstheme="minorHAnsi"/>
        </w:rPr>
        <w:t>Brazil)</w:t>
      </w:r>
      <w:r w:rsidRPr="00682233">
        <w:rPr>
          <w:rFonts w:asciiTheme="minorHAnsi" w:hAnsiTheme="minorHAnsi" w:cstheme="minorHAnsi"/>
          <w:spacing w:val="-12"/>
        </w:rPr>
        <w:t xml:space="preserve"> </w:t>
      </w:r>
      <w:r w:rsidRPr="00682233">
        <w:rPr>
          <w:rFonts w:asciiTheme="minorHAnsi" w:hAnsiTheme="minorHAnsi" w:cstheme="minorHAnsi"/>
        </w:rPr>
        <w:t>related</w:t>
      </w:r>
      <w:r w:rsidRPr="00682233">
        <w:rPr>
          <w:rFonts w:asciiTheme="minorHAnsi" w:hAnsiTheme="minorHAnsi" w:cstheme="minorHAnsi"/>
          <w:spacing w:val="-12"/>
        </w:rPr>
        <w:t xml:space="preserve"> </w:t>
      </w:r>
      <w:r w:rsidRPr="00682233">
        <w:rPr>
          <w:rFonts w:asciiTheme="minorHAnsi" w:hAnsiTheme="minorHAnsi" w:cstheme="minorHAnsi"/>
        </w:rPr>
        <w:t>to</w:t>
      </w:r>
      <w:r w:rsidRPr="00682233">
        <w:rPr>
          <w:rFonts w:asciiTheme="minorHAnsi" w:hAnsiTheme="minorHAnsi" w:cstheme="minorHAnsi"/>
          <w:spacing w:val="-13"/>
        </w:rPr>
        <w:t xml:space="preserve"> </w:t>
      </w:r>
      <w:r w:rsidRPr="00682233">
        <w:rPr>
          <w:rFonts w:asciiTheme="minorHAnsi" w:hAnsiTheme="minorHAnsi" w:cstheme="minorHAnsi"/>
        </w:rPr>
        <w:t>sustainable</w:t>
      </w:r>
      <w:r w:rsidRPr="00682233">
        <w:rPr>
          <w:rFonts w:asciiTheme="minorHAnsi" w:hAnsiTheme="minorHAnsi" w:cstheme="minorHAnsi"/>
          <w:spacing w:val="-11"/>
        </w:rPr>
        <w:t xml:space="preserve"> </w:t>
      </w:r>
      <w:r w:rsidRPr="00682233">
        <w:rPr>
          <w:rFonts w:asciiTheme="minorHAnsi" w:hAnsiTheme="minorHAnsi" w:cstheme="minorHAnsi"/>
        </w:rPr>
        <w:t>production¨</w:t>
      </w:r>
      <w:r w:rsidRPr="00682233">
        <w:rPr>
          <w:rFonts w:asciiTheme="minorHAnsi" w:hAnsiTheme="minorHAnsi" w:cstheme="minorHAnsi"/>
          <w:spacing w:val="-12"/>
        </w:rPr>
        <w:t xml:space="preserve"> </w:t>
      </w:r>
      <w:r w:rsidRPr="00682233">
        <w:rPr>
          <w:rFonts w:asciiTheme="minorHAnsi" w:hAnsiTheme="minorHAnsi" w:cstheme="minorHAnsi"/>
        </w:rPr>
        <w:t>have</w:t>
      </w:r>
      <w:r w:rsidRPr="00682233">
        <w:rPr>
          <w:rFonts w:asciiTheme="minorHAnsi" w:hAnsiTheme="minorHAnsi" w:cstheme="minorHAnsi"/>
          <w:spacing w:val="-10"/>
        </w:rPr>
        <w:t xml:space="preserve"> </w:t>
      </w:r>
      <w:r w:rsidRPr="00682233">
        <w:rPr>
          <w:rFonts w:asciiTheme="minorHAnsi" w:hAnsiTheme="minorHAnsi" w:cstheme="minorHAnsi"/>
        </w:rPr>
        <w:t>been</w:t>
      </w:r>
      <w:r w:rsidRPr="00682233">
        <w:rPr>
          <w:rFonts w:asciiTheme="minorHAnsi" w:hAnsiTheme="minorHAnsi" w:cstheme="minorHAnsi"/>
          <w:spacing w:val="-13"/>
        </w:rPr>
        <w:t xml:space="preserve"> </w:t>
      </w:r>
      <w:r w:rsidRPr="00682233">
        <w:rPr>
          <w:rFonts w:asciiTheme="minorHAnsi" w:hAnsiTheme="minorHAnsi" w:cstheme="minorHAnsi"/>
        </w:rPr>
        <w:t>revised.</w:t>
      </w:r>
      <w:r w:rsidRPr="00682233">
        <w:rPr>
          <w:rFonts w:asciiTheme="minorHAnsi" w:hAnsiTheme="minorHAnsi" w:cstheme="minorHAnsi"/>
          <w:spacing w:val="-10"/>
        </w:rPr>
        <w:t xml:space="preserve"> </w:t>
      </w:r>
      <w:r w:rsidRPr="00682233">
        <w:rPr>
          <w:rFonts w:asciiTheme="minorHAnsi" w:hAnsiTheme="minorHAnsi" w:cstheme="minorHAnsi"/>
        </w:rPr>
        <w:t>The</w:t>
      </w:r>
      <w:r w:rsidRPr="00682233">
        <w:rPr>
          <w:rFonts w:asciiTheme="minorHAnsi" w:hAnsiTheme="minorHAnsi" w:cstheme="minorHAnsi"/>
          <w:spacing w:val="-11"/>
        </w:rPr>
        <w:t xml:space="preserve"> </w:t>
      </w:r>
      <w:r w:rsidRPr="00682233">
        <w:rPr>
          <w:rFonts w:asciiTheme="minorHAnsi" w:hAnsiTheme="minorHAnsi" w:cstheme="minorHAnsi"/>
        </w:rPr>
        <w:t>targets</w:t>
      </w:r>
      <w:r w:rsidRPr="00682233">
        <w:rPr>
          <w:rFonts w:asciiTheme="minorHAnsi" w:hAnsiTheme="minorHAnsi" w:cstheme="minorHAnsi"/>
          <w:spacing w:val="-47"/>
        </w:rPr>
        <w:t xml:space="preserve"> </w:t>
      </w:r>
      <w:r w:rsidRPr="00682233">
        <w:rPr>
          <w:rFonts w:asciiTheme="minorHAnsi" w:hAnsiTheme="minorHAnsi" w:cstheme="minorHAnsi"/>
        </w:rPr>
        <w:t>both</w:t>
      </w:r>
      <w:r w:rsidRPr="00682233">
        <w:rPr>
          <w:rFonts w:asciiTheme="minorHAnsi" w:hAnsiTheme="minorHAnsi" w:cstheme="minorHAnsi"/>
          <w:spacing w:val="19"/>
        </w:rPr>
        <w:t xml:space="preserve"> </w:t>
      </w:r>
      <w:r w:rsidRPr="00682233">
        <w:rPr>
          <w:rFonts w:asciiTheme="minorHAnsi" w:hAnsiTheme="minorHAnsi" w:cstheme="minorHAnsi"/>
        </w:rPr>
        <w:t>originally</w:t>
      </w:r>
      <w:r w:rsidRPr="00682233">
        <w:rPr>
          <w:rFonts w:asciiTheme="minorHAnsi" w:hAnsiTheme="minorHAnsi" w:cstheme="minorHAnsi"/>
          <w:spacing w:val="16"/>
        </w:rPr>
        <w:t xml:space="preserve"> </w:t>
      </w:r>
      <w:r w:rsidRPr="00682233">
        <w:rPr>
          <w:rFonts w:asciiTheme="minorHAnsi" w:hAnsiTheme="minorHAnsi" w:cstheme="minorHAnsi"/>
        </w:rPr>
        <w:t>read</w:t>
      </w:r>
      <w:r w:rsidRPr="00682233">
        <w:rPr>
          <w:rFonts w:asciiTheme="minorHAnsi" w:hAnsiTheme="minorHAnsi" w:cstheme="minorHAnsi"/>
          <w:spacing w:val="14"/>
        </w:rPr>
        <w:t xml:space="preserve"> </w:t>
      </w:r>
      <w:r w:rsidRPr="00682233">
        <w:rPr>
          <w:rFonts w:asciiTheme="minorHAnsi" w:hAnsiTheme="minorHAnsi" w:cstheme="minorHAnsi"/>
        </w:rPr>
        <w:t>“Increased</w:t>
      </w:r>
      <w:r w:rsidRPr="00682233">
        <w:rPr>
          <w:rFonts w:asciiTheme="minorHAnsi" w:hAnsiTheme="minorHAnsi" w:cstheme="minorHAnsi"/>
          <w:spacing w:val="15"/>
        </w:rPr>
        <w:t xml:space="preserve"> </w:t>
      </w:r>
      <w:r w:rsidRPr="00682233">
        <w:rPr>
          <w:rFonts w:asciiTheme="minorHAnsi" w:hAnsiTheme="minorHAnsi" w:cstheme="minorHAnsi"/>
        </w:rPr>
        <w:t>connectivity</w:t>
      </w:r>
      <w:r w:rsidRPr="00682233">
        <w:rPr>
          <w:rFonts w:asciiTheme="minorHAnsi" w:hAnsiTheme="minorHAnsi" w:cstheme="minorHAnsi"/>
          <w:spacing w:val="16"/>
        </w:rPr>
        <w:t xml:space="preserve"> </w:t>
      </w:r>
      <w:r w:rsidRPr="00682233">
        <w:rPr>
          <w:rFonts w:asciiTheme="minorHAnsi" w:hAnsiTheme="minorHAnsi" w:cstheme="minorHAnsi"/>
        </w:rPr>
        <w:t>among</w:t>
      </w:r>
      <w:r w:rsidRPr="00682233">
        <w:rPr>
          <w:rFonts w:asciiTheme="minorHAnsi" w:hAnsiTheme="minorHAnsi" w:cstheme="minorHAnsi"/>
          <w:spacing w:val="16"/>
        </w:rPr>
        <w:t xml:space="preserve"> </w:t>
      </w:r>
      <w:r w:rsidRPr="00682233">
        <w:rPr>
          <w:rFonts w:asciiTheme="minorHAnsi" w:hAnsiTheme="minorHAnsi" w:cstheme="minorHAnsi"/>
        </w:rPr>
        <w:t>key</w:t>
      </w:r>
      <w:r w:rsidRPr="00682233">
        <w:rPr>
          <w:rFonts w:asciiTheme="minorHAnsi" w:hAnsiTheme="minorHAnsi" w:cstheme="minorHAnsi"/>
          <w:spacing w:val="16"/>
        </w:rPr>
        <w:t xml:space="preserve"> </w:t>
      </w:r>
      <w:r w:rsidRPr="00682233">
        <w:rPr>
          <w:rFonts w:asciiTheme="minorHAnsi" w:hAnsiTheme="minorHAnsi" w:cstheme="minorHAnsi"/>
        </w:rPr>
        <w:t>supply</w:t>
      </w:r>
      <w:r w:rsidRPr="00682233">
        <w:rPr>
          <w:rFonts w:asciiTheme="minorHAnsi" w:hAnsiTheme="minorHAnsi" w:cstheme="minorHAnsi"/>
          <w:spacing w:val="20"/>
        </w:rPr>
        <w:t xml:space="preserve"> </w:t>
      </w:r>
      <w:r w:rsidRPr="00682233">
        <w:rPr>
          <w:rFonts w:asciiTheme="minorHAnsi" w:hAnsiTheme="minorHAnsi" w:cstheme="minorHAnsi"/>
        </w:rPr>
        <w:t>chain</w:t>
      </w:r>
      <w:r w:rsidRPr="00682233">
        <w:rPr>
          <w:rFonts w:asciiTheme="minorHAnsi" w:hAnsiTheme="minorHAnsi" w:cstheme="minorHAnsi"/>
          <w:spacing w:val="14"/>
        </w:rPr>
        <w:t xml:space="preserve"> </w:t>
      </w:r>
      <w:r w:rsidRPr="00682233">
        <w:rPr>
          <w:rFonts w:asciiTheme="minorHAnsi" w:hAnsiTheme="minorHAnsi" w:cstheme="minorHAnsi"/>
        </w:rPr>
        <w:t>actors</w:t>
      </w:r>
      <w:r w:rsidRPr="00682233">
        <w:rPr>
          <w:rFonts w:asciiTheme="minorHAnsi" w:hAnsiTheme="minorHAnsi" w:cstheme="minorHAnsi"/>
          <w:spacing w:val="20"/>
        </w:rPr>
        <w:t xml:space="preserve"> </w:t>
      </w:r>
      <w:r w:rsidRPr="00682233">
        <w:rPr>
          <w:rFonts w:asciiTheme="minorHAnsi" w:hAnsiTheme="minorHAnsi" w:cstheme="minorHAnsi"/>
        </w:rPr>
        <w:t>(i.e.,</w:t>
      </w:r>
      <w:r w:rsidRPr="00682233">
        <w:rPr>
          <w:rFonts w:asciiTheme="minorHAnsi" w:hAnsiTheme="minorHAnsi" w:cstheme="minorHAnsi"/>
          <w:spacing w:val="13"/>
        </w:rPr>
        <w:t xml:space="preserve"> </w:t>
      </w:r>
      <w:r w:rsidRPr="00682233">
        <w:rPr>
          <w:rFonts w:asciiTheme="minorHAnsi" w:hAnsiTheme="minorHAnsi" w:cstheme="minorHAnsi"/>
        </w:rPr>
        <w:t>Asia workshops will feed Asian companies into INPOP, soy trader platform brings traders into the</w:t>
      </w:r>
      <w:r w:rsidRPr="00682233">
        <w:rPr>
          <w:rFonts w:asciiTheme="minorHAnsi" w:hAnsiTheme="minorHAnsi" w:cstheme="minorHAnsi"/>
          <w:spacing w:val="1"/>
        </w:rPr>
        <w:t xml:space="preserve"> </w:t>
      </w:r>
      <w:r w:rsidRPr="00682233">
        <w:rPr>
          <w:rFonts w:asciiTheme="minorHAnsi" w:hAnsiTheme="minorHAnsi" w:cstheme="minorHAnsi"/>
        </w:rPr>
        <w:t>Matopiba</w:t>
      </w:r>
      <w:r w:rsidRPr="00682233">
        <w:rPr>
          <w:rFonts w:asciiTheme="minorHAnsi" w:hAnsiTheme="minorHAnsi" w:cstheme="minorHAnsi"/>
          <w:spacing w:val="-7"/>
        </w:rPr>
        <w:t xml:space="preserve"> </w:t>
      </w:r>
      <w:r w:rsidRPr="00682233">
        <w:rPr>
          <w:rFonts w:asciiTheme="minorHAnsi" w:hAnsiTheme="minorHAnsi" w:cstheme="minorHAnsi"/>
        </w:rPr>
        <w:t>forum</w:t>
      </w:r>
      <w:r w:rsidRPr="00682233">
        <w:rPr>
          <w:rFonts w:asciiTheme="minorHAnsi" w:hAnsiTheme="minorHAnsi" w:cstheme="minorHAnsi"/>
          <w:spacing w:val="-6"/>
        </w:rPr>
        <w:t xml:space="preserve"> </w:t>
      </w:r>
      <w:r w:rsidRPr="00682233">
        <w:rPr>
          <w:rFonts w:asciiTheme="minorHAnsi" w:hAnsiTheme="minorHAnsi" w:cstheme="minorHAnsi"/>
        </w:rPr>
        <w:t>in</w:t>
      </w:r>
      <w:r w:rsidRPr="00682233">
        <w:rPr>
          <w:rFonts w:asciiTheme="minorHAnsi" w:hAnsiTheme="minorHAnsi" w:cstheme="minorHAnsi"/>
          <w:spacing w:val="-3"/>
        </w:rPr>
        <w:t xml:space="preserve"> </w:t>
      </w:r>
      <w:r w:rsidRPr="00682233">
        <w:rPr>
          <w:rFonts w:asciiTheme="minorHAnsi" w:hAnsiTheme="minorHAnsi" w:cstheme="minorHAnsi"/>
        </w:rPr>
        <w:t>Brazil,</w:t>
      </w:r>
      <w:r w:rsidRPr="00682233">
        <w:rPr>
          <w:rFonts w:asciiTheme="minorHAnsi" w:hAnsiTheme="minorHAnsi" w:cstheme="minorHAnsi"/>
          <w:spacing w:val="-9"/>
        </w:rPr>
        <w:t xml:space="preserve"> </w:t>
      </w:r>
      <w:r w:rsidRPr="00682233">
        <w:rPr>
          <w:rFonts w:asciiTheme="minorHAnsi" w:hAnsiTheme="minorHAnsi" w:cstheme="minorHAnsi"/>
        </w:rPr>
        <w:t>links</w:t>
      </w:r>
      <w:r w:rsidRPr="00682233">
        <w:rPr>
          <w:rFonts w:asciiTheme="minorHAnsi" w:hAnsiTheme="minorHAnsi" w:cstheme="minorHAnsi"/>
          <w:spacing w:val="-7"/>
        </w:rPr>
        <w:t xml:space="preserve"> </w:t>
      </w:r>
      <w:r w:rsidRPr="00682233">
        <w:rPr>
          <w:rFonts w:asciiTheme="minorHAnsi" w:hAnsiTheme="minorHAnsi" w:cstheme="minorHAnsi"/>
        </w:rPr>
        <w:t>between</w:t>
      </w:r>
      <w:r w:rsidRPr="00682233">
        <w:rPr>
          <w:rFonts w:asciiTheme="minorHAnsi" w:hAnsiTheme="minorHAnsi" w:cstheme="minorHAnsi"/>
          <w:spacing w:val="-7"/>
        </w:rPr>
        <w:t xml:space="preserve"> </w:t>
      </w:r>
      <w:r w:rsidRPr="00682233">
        <w:rPr>
          <w:rFonts w:asciiTheme="minorHAnsi" w:hAnsiTheme="minorHAnsi" w:cstheme="minorHAnsi"/>
        </w:rPr>
        <w:t>the</w:t>
      </w:r>
      <w:r w:rsidRPr="00682233">
        <w:rPr>
          <w:rFonts w:asciiTheme="minorHAnsi" w:hAnsiTheme="minorHAnsi" w:cstheme="minorHAnsi"/>
          <w:spacing w:val="-2"/>
        </w:rPr>
        <w:t xml:space="preserve"> </w:t>
      </w:r>
      <w:r w:rsidRPr="00682233">
        <w:rPr>
          <w:rFonts w:asciiTheme="minorHAnsi" w:hAnsiTheme="minorHAnsi" w:cstheme="minorHAnsi"/>
        </w:rPr>
        <w:t>Chaco</w:t>
      </w:r>
      <w:r w:rsidRPr="00682233">
        <w:rPr>
          <w:rFonts w:asciiTheme="minorHAnsi" w:hAnsiTheme="minorHAnsi" w:cstheme="minorHAnsi"/>
          <w:spacing w:val="-8"/>
        </w:rPr>
        <w:t xml:space="preserve"> </w:t>
      </w:r>
      <w:r w:rsidRPr="00682233">
        <w:rPr>
          <w:rFonts w:asciiTheme="minorHAnsi" w:hAnsiTheme="minorHAnsi" w:cstheme="minorHAnsi"/>
        </w:rPr>
        <w:t>beef</w:t>
      </w:r>
      <w:r w:rsidRPr="00682233">
        <w:rPr>
          <w:rFonts w:asciiTheme="minorHAnsi" w:hAnsiTheme="minorHAnsi" w:cstheme="minorHAnsi"/>
          <w:spacing w:val="-7"/>
        </w:rPr>
        <w:t xml:space="preserve"> </w:t>
      </w:r>
      <w:r w:rsidRPr="00682233">
        <w:rPr>
          <w:rFonts w:asciiTheme="minorHAnsi" w:hAnsiTheme="minorHAnsi" w:cstheme="minorHAnsi"/>
        </w:rPr>
        <w:t>platform</w:t>
      </w:r>
      <w:r w:rsidRPr="00682233">
        <w:rPr>
          <w:rFonts w:asciiTheme="minorHAnsi" w:hAnsiTheme="minorHAnsi" w:cstheme="minorHAnsi"/>
          <w:spacing w:val="-6"/>
        </w:rPr>
        <w:t xml:space="preserve"> </w:t>
      </w:r>
      <w:r w:rsidRPr="00682233">
        <w:rPr>
          <w:rFonts w:asciiTheme="minorHAnsi" w:hAnsiTheme="minorHAnsi" w:cstheme="minorHAnsi"/>
        </w:rPr>
        <w:t>and</w:t>
      </w:r>
      <w:r w:rsidRPr="00682233">
        <w:rPr>
          <w:rFonts w:asciiTheme="minorHAnsi" w:hAnsiTheme="minorHAnsi" w:cstheme="minorHAnsi"/>
          <w:spacing w:val="-3"/>
        </w:rPr>
        <w:t xml:space="preserve"> </w:t>
      </w:r>
      <w:r w:rsidRPr="00682233">
        <w:rPr>
          <w:rFonts w:asciiTheme="minorHAnsi" w:hAnsiTheme="minorHAnsi" w:cstheme="minorHAnsi"/>
        </w:rPr>
        <w:t>Global</w:t>
      </w:r>
      <w:r w:rsidRPr="00682233">
        <w:rPr>
          <w:rFonts w:asciiTheme="minorHAnsi" w:hAnsiTheme="minorHAnsi" w:cstheme="minorHAnsi"/>
          <w:spacing w:val="-5"/>
        </w:rPr>
        <w:t xml:space="preserve"> </w:t>
      </w:r>
      <w:r w:rsidRPr="00682233">
        <w:rPr>
          <w:rFonts w:asciiTheme="minorHAnsi" w:hAnsiTheme="minorHAnsi" w:cstheme="minorHAnsi"/>
        </w:rPr>
        <w:t>Sustainable</w:t>
      </w:r>
      <w:r w:rsidRPr="00682233">
        <w:rPr>
          <w:rFonts w:asciiTheme="minorHAnsi" w:hAnsiTheme="minorHAnsi" w:cstheme="minorHAnsi"/>
          <w:spacing w:val="-6"/>
        </w:rPr>
        <w:t xml:space="preserve"> </w:t>
      </w:r>
      <w:r w:rsidRPr="00682233">
        <w:rPr>
          <w:rFonts w:asciiTheme="minorHAnsi" w:hAnsiTheme="minorHAnsi" w:cstheme="minorHAnsi"/>
        </w:rPr>
        <w:t>Beef</w:t>
      </w:r>
      <w:r w:rsidRPr="00682233">
        <w:rPr>
          <w:rFonts w:asciiTheme="minorHAnsi" w:hAnsiTheme="minorHAnsi" w:cstheme="minorHAnsi"/>
          <w:spacing w:val="-48"/>
        </w:rPr>
        <w:t xml:space="preserve"> </w:t>
      </w:r>
      <w:r w:rsidRPr="00682233">
        <w:rPr>
          <w:rFonts w:asciiTheme="minorHAnsi" w:hAnsiTheme="minorHAnsi" w:cstheme="minorHAnsi"/>
        </w:rPr>
        <w:t>Roundtable are strengthened in Paraguay, and key stakeholders are brought into the Liberia</w:t>
      </w:r>
      <w:r w:rsidRPr="00682233">
        <w:rPr>
          <w:rFonts w:asciiTheme="minorHAnsi" w:hAnsiTheme="minorHAnsi" w:cstheme="minorHAnsi"/>
          <w:spacing w:val="1"/>
        </w:rPr>
        <w:t xml:space="preserve"> </w:t>
      </w:r>
      <w:r w:rsidRPr="00682233">
        <w:rPr>
          <w:rFonts w:asciiTheme="minorHAnsi" w:hAnsiTheme="minorHAnsi" w:cstheme="minorHAnsi"/>
        </w:rPr>
        <w:t>platform),” but the text in parentheses has been removed because some of the examples</w:t>
      </w:r>
      <w:r w:rsidRPr="00682233">
        <w:rPr>
          <w:rFonts w:asciiTheme="minorHAnsi" w:hAnsiTheme="minorHAnsi" w:cstheme="minorHAnsi"/>
          <w:spacing w:val="1"/>
        </w:rPr>
        <w:t xml:space="preserve"> </w:t>
      </w:r>
      <w:r w:rsidRPr="00682233">
        <w:rPr>
          <w:rFonts w:asciiTheme="minorHAnsi" w:hAnsiTheme="minorHAnsi" w:cstheme="minorHAnsi"/>
        </w:rPr>
        <w:t>provided are no longer relevant. Additional clarification is needed to define how the targets</w:t>
      </w:r>
      <w:r w:rsidRPr="00682233">
        <w:rPr>
          <w:rFonts w:asciiTheme="minorHAnsi" w:hAnsiTheme="minorHAnsi" w:cstheme="minorHAnsi"/>
          <w:spacing w:val="1"/>
        </w:rPr>
        <w:t xml:space="preserve"> </w:t>
      </w:r>
      <w:r w:rsidRPr="00682233">
        <w:rPr>
          <w:rFonts w:asciiTheme="minorHAnsi" w:hAnsiTheme="minorHAnsi" w:cstheme="minorHAnsi"/>
        </w:rPr>
        <w:t>of</w:t>
      </w:r>
      <w:r w:rsidRPr="00682233">
        <w:rPr>
          <w:rFonts w:asciiTheme="minorHAnsi" w:hAnsiTheme="minorHAnsi" w:cstheme="minorHAnsi"/>
          <w:spacing w:val="-4"/>
        </w:rPr>
        <w:t xml:space="preserve"> </w:t>
      </w:r>
      <w:r w:rsidRPr="00682233">
        <w:rPr>
          <w:rFonts w:asciiTheme="minorHAnsi" w:hAnsiTheme="minorHAnsi" w:cstheme="minorHAnsi"/>
        </w:rPr>
        <w:t>“increased</w:t>
      </w:r>
      <w:r w:rsidRPr="00682233">
        <w:rPr>
          <w:rFonts w:asciiTheme="minorHAnsi" w:hAnsiTheme="minorHAnsi" w:cstheme="minorHAnsi"/>
          <w:spacing w:val="-3"/>
        </w:rPr>
        <w:t xml:space="preserve"> </w:t>
      </w:r>
      <w:r w:rsidRPr="00682233">
        <w:rPr>
          <w:rFonts w:asciiTheme="minorHAnsi" w:hAnsiTheme="minorHAnsi" w:cstheme="minorHAnsi"/>
        </w:rPr>
        <w:t>connectivity”</w:t>
      </w:r>
      <w:r w:rsidRPr="00682233">
        <w:rPr>
          <w:rFonts w:asciiTheme="minorHAnsi" w:hAnsiTheme="minorHAnsi" w:cstheme="minorHAnsi"/>
          <w:spacing w:val="-5"/>
        </w:rPr>
        <w:t xml:space="preserve"> </w:t>
      </w:r>
      <w:r w:rsidRPr="00682233">
        <w:rPr>
          <w:rFonts w:asciiTheme="minorHAnsi" w:hAnsiTheme="minorHAnsi" w:cstheme="minorHAnsi"/>
        </w:rPr>
        <w:t>will</w:t>
      </w:r>
      <w:r w:rsidRPr="00682233">
        <w:rPr>
          <w:rFonts w:asciiTheme="minorHAnsi" w:hAnsiTheme="minorHAnsi" w:cstheme="minorHAnsi"/>
          <w:spacing w:val="-1"/>
        </w:rPr>
        <w:t xml:space="preserve"> </w:t>
      </w:r>
      <w:r w:rsidRPr="00682233">
        <w:rPr>
          <w:rFonts w:asciiTheme="minorHAnsi" w:hAnsiTheme="minorHAnsi" w:cstheme="minorHAnsi"/>
        </w:rPr>
        <w:t>be</w:t>
      </w:r>
      <w:r w:rsidRPr="00682233">
        <w:rPr>
          <w:rFonts w:asciiTheme="minorHAnsi" w:hAnsiTheme="minorHAnsi" w:cstheme="minorHAnsi"/>
          <w:spacing w:val="-7"/>
        </w:rPr>
        <w:t xml:space="preserve"> </w:t>
      </w:r>
      <w:r w:rsidRPr="00682233">
        <w:rPr>
          <w:rFonts w:asciiTheme="minorHAnsi" w:hAnsiTheme="minorHAnsi" w:cstheme="minorHAnsi"/>
        </w:rPr>
        <w:t>measured;</w:t>
      </w:r>
      <w:r w:rsidRPr="00682233">
        <w:rPr>
          <w:rFonts w:asciiTheme="minorHAnsi" w:hAnsiTheme="minorHAnsi" w:cstheme="minorHAnsi"/>
          <w:spacing w:val="-3"/>
        </w:rPr>
        <w:t xml:space="preserve"> </w:t>
      </w:r>
      <w:r w:rsidRPr="00682233">
        <w:rPr>
          <w:rFonts w:asciiTheme="minorHAnsi" w:hAnsiTheme="minorHAnsi" w:cstheme="minorHAnsi"/>
        </w:rPr>
        <w:t>this</w:t>
      </w:r>
      <w:r w:rsidRPr="00682233">
        <w:rPr>
          <w:rFonts w:asciiTheme="minorHAnsi" w:hAnsiTheme="minorHAnsi" w:cstheme="minorHAnsi"/>
          <w:spacing w:val="-5"/>
        </w:rPr>
        <w:t xml:space="preserve"> </w:t>
      </w:r>
      <w:r w:rsidRPr="00682233">
        <w:rPr>
          <w:rFonts w:asciiTheme="minorHAnsi" w:hAnsiTheme="minorHAnsi" w:cstheme="minorHAnsi"/>
        </w:rPr>
        <w:t>will</w:t>
      </w:r>
      <w:r w:rsidRPr="00682233">
        <w:rPr>
          <w:rFonts w:asciiTheme="minorHAnsi" w:hAnsiTheme="minorHAnsi" w:cstheme="minorHAnsi"/>
          <w:spacing w:val="-5"/>
        </w:rPr>
        <w:t xml:space="preserve"> </w:t>
      </w:r>
      <w:r w:rsidRPr="00682233">
        <w:rPr>
          <w:rFonts w:asciiTheme="minorHAnsi" w:hAnsiTheme="minorHAnsi" w:cstheme="minorHAnsi"/>
        </w:rPr>
        <w:t>be</w:t>
      </w:r>
      <w:r w:rsidRPr="00682233">
        <w:rPr>
          <w:rFonts w:asciiTheme="minorHAnsi" w:hAnsiTheme="minorHAnsi" w:cstheme="minorHAnsi"/>
          <w:spacing w:val="-4"/>
        </w:rPr>
        <w:t xml:space="preserve"> </w:t>
      </w:r>
      <w:r w:rsidRPr="00682233">
        <w:rPr>
          <w:rFonts w:asciiTheme="minorHAnsi" w:hAnsiTheme="minorHAnsi" w:cstheme="minorHAnsi"/>
        </w:rPr>
        <w:t>undertaken</w:t>
      </w:r>
      <w:r w:rsidRPr="00682233">
        <w:rPr>
          <w:rFonts w:asciiTheme="minorHAnsi" w:hAnsiTheme="minorHAnsi" w:cstheme="minorHAnsi"/>
          <w:spacing w:val="-7"/>
        </w:rPr>
        <w:t xml:space="preserve"> </w:t>
      </w:r>
      <w:r w:rsidRPr="00682233">
        <w:rPr>
          <w:rFonts w:asciiTheme="minorHAnsi" w:hAnsiTheme="minorHAnsi" w:cstheme="minorHAnsi"/>
        </w:rPr>
        <w:t>by</w:t>
      </w:r>
      <w:r w:rsidRPr="00682233">
        <w:rPr>
          <w:rFonts w:asciiTheme="minorHAnsi" w:hAnsiTheme="minorHAnsi" w:cstheme="minorHAnsi"/>
          <w:spacing w:val="-3"/>
        </w:rPr>
        <w:t xml:space="preserve"> </w:t>
      </w:r>
      <w:r w:rsidRPr="00682233">
        <w:rPr>
          <w:rFonts w:asciiTheme="minorHAnsi" w:hAnsiTheme="minorHAnsi" w:cstheme="minorHAnsi"/>
        </w:rPr>
        <w:t>a</w:t>
      </w:r>
      <w:r w:rsidRPr="00682233">
        <w:rPr>
          <w:rFonts w:asciiTheme="minorHAnsi" w:hAnsiTheme="minorHAnsi" w:cstheme="minorHAnsi"/>
          <w:spacing w:val="-2"/>
        </w:rPr>
        <w:t xml:space="preserve"> </w:t>
      </w:r>
      <w:r w:rsidRPr="00682233">
        <w:rPr>
          <w:rFonts w:asciiTheme="minorHAnsi" w:hAnsiTheme="minorHAnsi" w:cstheme="minorHAnsi"/>
        </w:rPr>
        <w:t>small</w:t>
      </w:r>
      <w:r w:rsidRPr="00682233">
        <w:rPr>
          <w:rFonts w:asciiTheme="minorHAnsi" w:hAnsiTheme="minorHAnsi" w:cstheme="minorHAnsi"/>
          <w:spacing w:val="-5"/>
        </w:rPr>
        <w:t xml:space="preserve"> </w:t>
      </w:r>
      <w:r w:rsidRPr="00682233">
        <w:rPr>
          <w:rFonts w:asciiTheme="minorHAnsi" w:hAnsiTheme="minorHAnsi" w:cstheme="minorHAnsi"/>
        </w:rPr>
        <w:t>task</w:t>
      </w:r>
      <w:r w:rsidRPr="00682233">
        <w:rPr>
          <w:rFonts w:asciiTheme="minorHAnsi" w:hAnsiTheme="minorHAnsi" w:cstheme="minorHAnsi"/>
          <w:spacing w:val="-8"/>
        </w:rPr>
        <w:t xml:space="preserve"> </w:t>
      </w:r>
      <w:r w:rsidRPr="00682233">
        <w:rPr>
          <w:rFonts w:asciiTheme="minorHAnsi" w:hAnsiTheme="minorHAnsi" w:cstheme="minorHAnsi"/>
        </w:rPr>
        <w:t>force</w:t>
      </w:r>
      <w:r w:rsidRPr="00682233">
        <w:rPr>
          <w:rFonts w:asciiTheme="minorHAnsi" w:hAnsiTheme="minorHAnsi" w:cstheme="minorHAnsi"/>
          <w:spacing w:val="-4"/>
        </w:rPr>
        <w:t xml:space="preserve"> </w:t>
      </w:r>
      <w:r w:rsidRPr="00682233">
        <w:rPr>
          <w:rFonts w:asciiTheme="minorHAnsi" w:hAnsiTheme="minorHAnsi" w:cstheme="minorHAnsi"/>
        </w:rPr>
        <w:t>in</w:t>
      </w:r>
      <w:r w:rsidRPr="00682233">
        <w:rPr>
          <w:rFonts w:asciiTheme="minorHAnsi" w:hAnsiTheme="minorHAnsi" w:cstheme="minorHAnsi"/>
          <w:spacing w:val="-47"/>
        </w:rPr>
        <w:t xml:space="preserve"> </w:t>
      </w:r>
      <w:r w:rsidRPr="00682233">
        <w:rPr>
          <w:rFonts w:asciiTheme="minorHAnsi" w:hAnsiTheme="minorHAnsi" w:cstheme="minorHAnsi"/>
        </w:rPr>
        <w:t>January,</w:t>
      </w:r>
      <w:r w:rsidRPr="00682233">
        <w:rPr>
          <w:rFonts w:asciiTheme="minorHAnsi" w:hAnsiTheme="minorHAnsi" w:cstheme="minorHAnsi"/>
          <w:spacing w:val="-2"/>
        </w:rPr>
        <w:t xml:space="preserve"> </w:t>
      </w:r>
      <w:r w:rsidRPr="00682233">
        <w:rPr>
          <w:rFonts w:asciiTheme="minorHAnsi" w:hAnsiTheme="minorHAnsi" w:cstheme="minorHAnsi"/>
        </w:rPr>
        <w:t>and</w:t>
      </w:r>
      <w:r w:rsidRPr="00682233">
        <w:rPr>
          <w:rFonts w:asciiTheme="minorHAnsi" w:hAnsiTheme="minorHAnsi" w:cstheme="minorHAnsi"/>
          <w:spacing w:val="-6"/>
        </w:rPr>
        <w:t xml:space="preserve"> </w:t>
      </w:r>
      <w:r w:rsidRPr="00682233">
        <w:rPr>
          <w:rFonts w:asciiTheme="minorHAnsi" w:hAnsiTheme="minorHAnsi" w:cstheme="minorHAnsi"/>
        </w:rPr>
        <w:t>final</w:t>
      </w:r>
      <w:r w:rsidRPr="00682233">
        <w:rPr>
          <w:rFonts w:asciiTheme="minorHAnsi" w:hAnsiTheme="minorHAnsi" w:cstheme="minorHAnsi"/>
          <w:spacing w:val="-5"/>
        </w:rPr>
        <w:t xml:space="preserve"> </w:t>
      </w:r>
      <w:r w:rsidRPr="00682233">
        <w:rPr>
          <w:rFonts w:asciiTheme="minorHAnsi" w:hAnsiTheme="minorHAnsi" w:cstheme="minorHAnsi"/>
        </w:rPr>
        <w:t>revisions</w:t>
      </w:r>
      <w:r w:rsidRPr="00682233">
        <w:rPr>
          <w:rFonts w:asciiTheme="minorHAnsi" w:hAnsiTheme="minorHAnsi" w:cstheme="minorHAnsi"/>
          <w:spacing w:val="-4"/>
        </w:rPr>
        <w:t xml:space="preserve"> </w:t>
      </w:r>
      <w:r w:rsidRPr="00682233">
        <w:rPr>
          <w:rFonts w:asciiTheme="minorHAnsi" w:hAnsiTheme="minorHAnsi" w:cstheme="minorHAnsi"/>
        </w:rPr>
        <w:t>will</w:t>
      </w:r>
      <w:r w:rsidRPr="00682233">
        <w:rPr>
          <w:rFonts w:asciiTheme="minorHAnsi" w:hAnsiTheme="minorHAnsi" w:cstheme="minorHAnsi"/>
          <w:spacing w:val="-4"/>
        </w:rPr>
        <w:t xml:space="preserve"> </w:t>
      </w:r>
      <w:r w:rsidRPr="00682233">
        <w:rPr>
          <w:rFonts w:asciiTheme="minorHAnsi" w:hAnsiTheme="minorHAnsi" w:cstheme="minorHAnsi"/>
        </w:rPr>
        <w:t>be</w:t>
      </w:r>
      <w:r w:rsidRPr="00682233">
        <w:rPr>
          <w:rFonts w:asciiTheme="minorHAnsi" w:hAnsiTheme="minorHAnsi" w:cstheme="minorHAnsi"/>
          <w:spacing w:val="2"/>
        </w:rPr>
        <w:t xml:space="preserve"> </w:t>
      </w:r>
      <w:r w:rsidRPr="00682233">
        <w:rPr>
          <w:rFonts w:asciiTheme="minorHAnsi" w:hAnsiTheme="minorHAnsi" w:cstheme="minorHAnsi"/>
        </w:rPr>
        <w:t>shared</w:t>
      </w:r>
      <w:r w:rsidRPr="00682233">
        <w:rPr>
          <w:rFonts w:asciiTheme="minorHAnsi" w:hAnsiTheme="minorHAnsi" w:cstheme="minorHAnsi"/>
          <w:spacing w:val="-1"/>
        </w:rPr>
        <w:t xml:space="preserve"> </w:t>
      </w:r>
      <w:r w:rsidRPr="00682233">
        <w:rPr>
          <w:rFonts w:asciiTheme="minorHAnsi" w:hAnsiTheme="minorHAnsi" w:cstheme="minorHAnsi"/>
        </w:rPr>
        <w:t>with</w:t>
      </w:r>
      <w:r w:rsidRPr="00682233">
        <w:rPr>
          <w:rFonts w:asciiTheme="minorHAnsi" w:hAnsiTheme="minorHAnsi" w:cstheme="minorHAnsi"/>
          <w:spacing w:val="-1"/>
        </w:rPr>
        <w:t xml:space="preserve"> </w:t>
      </w:r>
      <w:r w:rsidRPr="00682233">
        <w:rPr>
          <w:rFonts w:asciiTheme="minorHAnsi" w:hAnsiTheme="minorHAnsi" w:cstheme="minorHAnsi"/>
        </w:rPr>
        <w:t>GGP partners.</w:t>
      </w:r>
    </w:p>
    <w:p w14:paraId="1327C7B0" w14:textId="77777777" w:rsidR="00790ED6" w:rsidRPr="00682233" w:rsidRDefault="00790ED6" w:rsidP="00790ED6">
      <w:pPr>
        <w:pStyle w:val="ListParagraph"/>
        <w:numPr>
          <w:ilvl w:val="1"/>
          <w:numId w:val="79"/>
        </w:numPr>
        <w:tabs>
          <w:tab w:val="left" w:pos="861"/>
        </w:tabs>
        <w:spacing w:before="119" w:line="276" w:lineRule="auto"/>
        <w:ind w:right="108"/>
        <w:jc w:val="both"/>
        <w:rPr>
          <w:rFonts w:asciiTheme="minorHAnsi" w:hAnsiTheme="minorHAnsi" w:cstheme="minorHAnsi"/>
        </w:rPr>
      </w:pPr>
      <w:r w:rsidRPr="00682233">
        <w:rPr>
          <w:rFonts w:asciiTheme="minorHAnsi" w:hAnsiTheme="minorHAnsi" w:cstheme="minorHAnsi"/>
          <w:b/>
        </w:rPr>
        <w:t>Outcome</w:t>
      </w:r>
      <w:r w:rsidRPr="00682233">
        <w:rPr>
          <w:rFonts w:asciiTheme="minorHAnsi" w:hAnsiTheme="minorHAnsi" w:cstheme="minorHAnsi"/>
          <w:b/>
          <w:spacing w:val="1"/>
        </w:rPr>
        <w:t xml:space="preserve"> </w:t>
      </w:r>
      <w:r w:rsidRPr="00682233">
        <w:rPr>
          <w:rFonts w:asciiTheme="minorHAnsi" w:hAnsiTheme="minorHAnsi" w:cstheme="minorHAnsi"/>
          <w:b/>
        </w:rPr>
        <w:t>indicator</w:t>
      </w:r>
      <w:r w:rsidRPr="00682233">
        <w:rPr>
          <w:rFonts w:asciiTheme="minorHAnsi" w:hAnsiTheme="minorHAnsi" w:cstheme="minorHAnsi"/>
          <w:b/>
          <w:spacing w:val="1"/>
        </w:rPr>
        <w:t xml:space="preserve"> </w:t>
      </w:r>
      <w:r w:rsidRPr="00682233">
        <w:rPr>
          <w:rFonts w:asciiTheme="minorHAnsi" w:hAnsiTheme="minorHAnsi" w:cstheme="minorHAnsi"/>
          <w:b/>
        </w:rPr>
        <w:t xml:space="preserve">1.1 </w:t>
      </w:r>
      <w:r w:rsidRPr="00682233">
        <w:rPr>
          <w:rFonts w:asciiTheme="minorHAnsi" w:hAnsiTheme="minorHAnsi" w:cstheme="minorHAnsi"/>
        </w:rPr>
        <w:t>"Level</w:t>
      </w:r>
      <w:r w:rsidRPr="00682233">
        <w:rPr>
          <w:rFonts w:asciiTheme="minorHAnsi" w:hAnsiTheme="minorHAnsi" w:cstheme="minorHAnsi"/>
          <w:spacing w:val="1"/>
        </w:rPr>
        <w:t xml:space="preserve"> </w:t>
      </w:r>
      <w:r w:rsidRPr="00682233">
        <w:rPr>
          <w:rFonts w:asciiTheme="minorHAnsi" w:hAnsiTheme="minorHAnsi" w:cstheme="minorHAnsi"/>
        </w:rPr>
        <w:t>of</w:t>
      </w:r>
      <w:r w:rsidRPr="00682233">
        <w:rPr>
          <w:rFonts w:asciiTheme="minorHAnsi" w:hAnsiTheme="minorHAnsi" w:cstheme="minorHAnsi"/>
          <w:spacing w:val="1"/>
        </w:rPr>
        <w:t xml:space="preserve"> </w:t>
      </w:r>
      <w:r w:rsidRPr="00682233">
        <w:rPr>
          <w:rFonts w:asciiTheme="minorHAnsi" w:hAnsiTheme="minorHAnsi" w:cstheme="minorHAnsi"/>
        </w:rPr>
        <w:t>logical</w:t>
      </w:r>
      <w:r w:rsidRPr="00682233">
        <w:rPr>
          <w:rFonts w:asciiTheme="minorHAnsi" w:hAnsiTheme="minorHAnsi" w:cstheme="minorHAnsi"/>
          <w:spacing w:val="1"/>
        </w:rPr>
        <w:t xml:space="preserve"> </w:t>
      </w:r>
      <w:r w:rsidRPr="00682233">
        <w:rPr>
          <w:rFonts w:asciiTheme="minorHAnsi" w:hAnsiTheme="minorHAnsi" w:cstheme="minorHAnsi"/>
        </w:rPr>
        <w:t>technical sequencing</w:t>
      </w:r>
      <w:r w:rsidRPr="00682233">
        <w:rPr>
          <w:rFonts w:asciiTheme="minorHAnsi" w:hAnsiTheme="minorHAnsi" w:cstheme="minorHAnsi"/>
          <w:spacing w:val="1"/>
        </w:rPr>
        <w:t xml:space="preserve"> </w:t>
      </w:r>
      <w:r w:rsidRPr="00682233">
        <w:rPr>
          <w:rFonts w:asciiTheme="minorHAnsi" w:hAnsiTheme="minorHAnsi" w:cstheme="minorHAnsi"/>
        </w:rPr>
        <w:t>of</w:t>
      </w:r>
      <w:r w:rsidRPr="00682233">
        <w:rPr>
          <w:rFonts w:asciiTheme="minorHAnsi" w:hAnsiTheme="minorHAnsi" w:cstheme="minorHAnsi"/>
          <w:spacing w:val="1"/>
        </w:rPr>
        <w:t xml:space="preserve"> </w:t>
      </w:r>
      <w:r w:rsidRPr="00682233">
        <w:rPr>
          <w:rFonts w:asciiTheme="minorHAnsi" w:hAnsiTheme="minorHAnsi" w:cstheme="minorHAnsi"/>
        </w:rPr>
        <w:t>key</w:t>
      </w:r>
      <w:r w:rsidRPr="00682233">
        <w:rPr>
          <w:rFonts w:asciiTheme="minorHAnsi" w:hAnsiTheme="minorHAnsi" w:cstheme="minorHAnsi"/>
          <w:spacing w:val="1"/>
        </w:rPr>
        <w:t xml:space="preserve"> </w:t>
      </w:r>
      <w:r w:rsidRPr="00682233">
        <w:rPr>
          <w:rFonts w:asciiTheme="minorHAnsi" w:hAnsiTheme="minorHAnsi" w:cstheme="minorHAnsi"/>
        </w:rPr>
        <w:t>deliverables</w:t>
      </w:r>
      <w:r w:rsidRPr="00682233">
        <w:rPr>
          <w:rFonts w:asciiTheme="minorHAnsi" w:hAnsiTheme="minorHAnsi" w:cstheme="minorHAnsi"/>
          <w:spacing w:val="1"/>
        </w:rPr>
        <w:t xml:space="preserve"> </w:t>
      </w:r>
      <w:r w:rsidRPr="00682233">
        <w:rPr>
          <w:rFonts w:asciiTheme="minorHAnsi" w:hAnsiTheme="minorHAnsi" w:cstheme="minorHAnsi"/>
        </w:rPr>
        <w:t>across</w:t>
      </w:r>
      <w:r w:rsidRPr="00682233">
        <w:rPr>
          <w:rFonts w:asciiTheme="minorHAnsi" w:hAnsiTheme="minorHAnsi" w:cstheme="minorHAnsi"/>
          <w:spacing w:val="1"/>
        </w:rPr>
        <w:t xml:space="preserve"> </w:t>
      </w:r>
      <w:r w:rsidRPr="00682233">
        <w:rPr>
          <w:rFonts w:asciiTheme="minorHAnsi" w:hAnsiTheme="minorHAnsi" w:cstheme="minorHAnsi"/>
        </w:rPr>
        <w:t>individual child projects as measured by annual national level workplans to achieve expected</w:t>
      </w:r>
      <w:r w:rsidRPr="00682233">
        <w:rPr>
          <w:rFonts w:asciiTheme="minorHAnsi" w:hAnsiTheme="minorHAnsi" w:cstheme="minorHAnsi"/>
          <w:spacing w:val="-47"/>
        </w:rPr>
        <w:t xml:space="preserve"> </w:t>
      </w:r>
      <w:r w:rsidRPr="00682233">
        <w:rPr>
          <w:rFonts w:asciiTheme="minorHAnsi" w:hAnsiTheme="minorHAnsi" w:cstheme="minorHAnsi"/>
        </w:rPr>
        <w:t xml:space="preserve">Program goals and their </w:t>
      </w:r>
      <w:r w:rsidRPr="00682233">
        <w:rPr>
          <w:rFonts w:asciiTheme="minorHAnsi" w:hAnsiTheme="minorHAnsi" w:cstheme="minorHAnsi"/>
        </w:rPr>
        <w:lastRenderedPageBreak/>
        <w:t>effective implementation" replaced by "Level of logical technical</w:t>
      </w:r>
      <w:r w:rsidRPr="00682233">
        <w:rPr>
          <w:rFonts w:asciiTheme="minorHAnsi" w:hAnsiTheme="minorHAnsi" w:cstheme="minorHAnsi"/>
          <w:spacing w:val="1"/>
        </w:rPr>
        <w:t xml:space="preserve"> </w:t>
      </w:r>
      <w:r w:rsidRPr="00682233">
        <w:rPr>
          <w:rFonts w:asciiTheme="minorHAnsi" w:hAnsiTheme="minorHAnsi" w:cstheme="minorHAnsi"/>
        </w:rPr>
        <w:t>sequencing of key deliverables across individual child projects as measured by monthly GGP</w:t>
      </w:r>
      <w:r w:rsidRPr="00682233">
        <w:rPr>
          <w:rFonts w:asciiTheme="minorHAnsi" w:hAnsiTheme="minorHAnsi" w:cstheme="minorHAnsi"/>
          <w:spacing w:val="1"/>
        </w:rPr>
        <w:t xml:space="preserve"> </w:t>
      </w:r>
      <w:r w:rsidRPr="00682233">
        <w:rPr>
          <w:rFonts w:asciiTheme="minorHAnsi" w:hAnsiTheme="minorHAnsi" w:cstheme="minorHAnsi"/>
        </w:rPr>
        <w:t>Secretariat calls and annual national and global level intervention plans to achieve expected</w:t>
      </w:r>
      <w:r w:rsidRPr="00682233">
        <w:rPr>
          <w:rFonts w:asciiTheme="minorHAnsi" w:hAnsiTheme="minorHAnsi" w:cstheme="minorHAnsi"/>
          <w:spacing w:val="1"/>
        </w:rPr>
        <w:t xml:space="preserve"> </w:t>
      </w:r>
      <w:r w:rsidRPr="00682233">
        <w:rPr>
          <w:rFonts w:asciiTheme="minorHAnsi" w:hAnsiTheme="minorHAnsi" w:cstheme="minorHAnsi"/>
        </w:rPr>
        <w:t>Program goals and their effective implementation". The change was done to</w:t>
      </w:r>
      <w:r w:rsidRPr="00682233">
        <w:rPr>
          <w:rFonts w:asciiTheme="minorHAnsi" w:hAnsiTheme="minorHAnsi" w:cstheme="minorHAnsi"/>
          <w:spacing w:val="1"/>
        </w:rPr>
        <w:t xml:space="preserve"> </w:t>
      </w:r>
      <w:r w:rsidRPr="00682233">
        <w:rPr>
          <w:rFonts w:asciiTheme="minorHAnsi" w:hAnsiTheme="minorHAnsi" w:cstheme="minorHAnsi"/>
        </w:rPr>
        <w:t>account for the</w:t>
      </w:r>
      <w:r w:rsidRPr="00682233">
        <w:rPr>
          <w:rFonts w:asciiTheme="minorHAnsi" w:hAnsiTheme="minorHAnsi" w:cstheme="minorHAnsi"/>
          <w:spacing w:val="-47"/>
        </w:rPr>
        <w:t xml:space="preserve"> </w:t>
      </w:r>
      <w:r w:rsidRPr="00682233">
        <w:rPr>
          <w:rFonts w:asciiTheme="minorHAnsi" w:hAnsiTheme="minorHAnsi" w:cstheme="minorHAnsi"/>
        </w:rPr>
        <w:t>fact that 1) sequencing should also happen at the global level, 2) in Liberia, the production</w:t>
      </w:r>
      <w:r w:rsidRPr="00682233">
        <w:rPr>
          <w:rFonts w:asciiTheme="minorHAnsi" w:hAnsiTheme="minorHAnsi" w:cstheme="minorHAnsi"/>
          <w:spacing w:val="1"/>
        </w:rPr>
        <w:t xml:space="preserve"> </w:t>
      </w:r>
      <w:r w:rsidRPr="00682233">
        <w:rPr>
          <w:rFonts w:asciiTheme="minorHAnsi" w:hAnsiTheme="minorHAnsi" w:cstheme="minorHAnsi"/>
        </w:rPr>
        <w:t>child</w:t>
      </w:r>
      <w:r w:rsidRPr="00682233">
        <w:rPr>
          <w:rFonts w:asciiTheme="minorHAnsi" w:hAnsiTheme="minorHAnsi" w:cstheme="minorHAnsi"/>
          <w:spacing w:val="-4"/>
        </w:rPr>
        <w:t xml:space="preserve"> </w:t>
      </w:r>
      <w:r w:rsidRPr="00682233">
        <w:rPr>
          <w:rFonts w:asciiTheme="minorHAnsi" w:hAnsiTheme="minorHAnsi" w:cstheme="minorHAnsi"/>
        </w:rPr>
        <w:t>project</w:t>
      </w:r>
      <w:r w:rsidRPr="00682233">
        <w:rPr>
          <w:rFonts w:asciiTheme="minorHAnsi" w:hAnsiTheme="minorHAnsi" w:cstheme="minorHAnsi"/>
          <w:spacing w:val="-5"/>
        </w:rPr>
        <w:t xml:space="preserve"> </w:t>
      </w:r>
      <w:r w:rsidRPr="00682233">
        <w:rPr>
          <w:rFonts w:asciiTheme="minorHAnsi" w:hAnsiTheme="minorHAnsi" w:cstheme="minorHAnsi"/>
        </w:rPr>
        <w:t>is</w:t>
      </w:r>
      <w:r w:rsidRPr="00682233">
        <w:rPr>
          <w:rFonts w:asciiTheme="minorHAnsi" w:hAnsiTheme="minorHAnsi" w:cstheme="minorHAnsi"/>
          <w:spacing w:val="-3"/>
        </w:rPr>
        <w:t xml:space="preserve"> </w:t>
      </w:r>
      <w:r w:rsidRPr="00682233">
        <w:rPr>
          <w:rFonts w:asciiTheme="minorHAnsi" w:hAnsiTheme="minorHAnsi" w:cstheme="minorHAnsi"/>
        </w:rPr>
        <w:t>the</w:t>
      </w:r>
      <w:r w:rsidRPr="00682233">
        <w:rPr>
          <w:rFonts w:asciiTheme="minorHAnsi" w:hAnsiTheme="minorHAnsi" w:cstheme="minorHAnsi"/>
          <w:spacing w:val="-2"/>
        </w:rPr>
        <w:t xml:space="preserve"> </w:t>
      </w:r>
      <w:r w:rsidRPr="00682233">
        <w:rPr>
          <w:rFonts w:asciiTheme="minorHAnsi" w:hAnsiTheme="minorHAnsi" w:cstheme="minorHAnsi"/>
        </w:rPr>
        <w:t>only</w:t>
      </w:r>
      <w:r w:rsidRPr="00682233">
        <w:rPr>
          <w:rFonts w:asciiTheme="minorHAnsi" w:hAnsiTheme="minorHAnsi" w:cstheme="minorHAnsi"/>
          <w:spacing w:val="-3"/>
        </w:rPr>
        <w:t xml:space="preserve"> </w:t>
      </w:r>
      <w:r w:rsidRPr="00682233">
        <w:rPr>
          <w:rFonts w:asciiTheme="minorHAnsi" w:hAnsiTheme="minorHAnsi" w:cstheme="minorHAnsi"/>
        </w:rPr>
        <w:t>child</w:t>
      </w:r>
      <w:r w:rsidRPr="00682233">
        <w:rPr>
          <w:rFonts w:asciiTheme="minorHAnsi" w:hAnsiTheme="minorHAnsi" w:cstheme="minorHAnsi"/>
          <w:spacing w:val="-4"/>
        </w:rPr>
        <w:t xml:space="preserve"> </w:t>
      </w:r>
      <w:r w:rsidRPr="00682233">
        <w:rPr>
          <w:rFonts w:asciiTheme="minorHAnsi" w:hAnsiTheme="minorHAnsi" w:cstheme="minorHAnsi"/>
        </w:rPr>
        <w:t>project</w:t>
      </w:r>
      <w:r w:rsidRPr="00682233">
        <w:rPr>
          <w:rFonts w:asciiTheme="minorHAnsi" w:hAnsiTheme="minorHAnsi" w:cstheme="minorHAnsi"/>
          <w:spacing w:val="-4"/>
        </w:rPr>
        <w:t xml:space="preserve"> </w:t>
      </w:r>
      <w:r w:rsidRPr="00682233">
        <w:rPr>
          <w:rFonts w:asciiTheme="minorHAnsi" w:hAnsiTheme="minorHAnsi" w:cstheme="minorHAnsi"/>
        </w:rPr>
        <w:t>currently</w:t>
      </w:r>
      <w:r w:rsidRPr="00682233">
        <w:rPr>
          <w:rFonts w:asciiTheme="minorHAnsi" w:hAnsiTheme="minorHAnsi" w:cstheme="minorHAnsi"/>
          <w:spacing w:val="-3"/>
        </w:rPr>
        <w:t xml:space="preserve"> </w:t>
      </w:r>
      <w:r w:rsidRPr="00682233">
        <w:rPr>
          <w:rFonts w:asciiTheme="minorHAnsi" w:hAnsiTheme="minorHAnsi" w:cstheme="minorHAnsi"/>
        </w:rPr>
        <w:t>active</w:t>
      </w:r>
      <w:r w:rsidRPr="00682233">
        <w:rPr>
          <w:rFonts w:asciiTheme="minorHAnsi" w:hAnsiTheme="minorHAnsi" w:cstheme="minorHAnsi"/>
          <w:spacing w:val="-3"/>
        </w:rPr>
        <w:t xml:space="preserve"> </w:t>
      </w:r>
      <w:r w:rsidRPr="00682233">
        <w:rPr>
          <w:rFonts w:asciiTheme="minorHAnsi" w:hAnsiTheme="minorHAnsi" w:cstheme="minorHAnsi"/>
        </w:rPr>
        <w:t>and</w:t>
      </w:r>
      <w:r w:rsidRPr="00682233">
        <w:rPr>
          <w:rFonts w:asciiTheme="minorHAnsi" w:hAnsiTheme="minorHAnsi" w:cstheme="minorHAnsi"/>
          <w:spacing w:val="-4"/>
        </w:rPr>
        <w:t xml:space="preserve"> </w:t>
      </w:r>
      <w:r w:rsidRPr="00682233">
        <w:rPr>
          <w:rFonts w:asciiTheme="minorHAnsi" w:hAnsiTheme="minorHAnsi" w:cstheme="minorHAnsi"/>
        </w:rPr>
        <w:t>hence</w:t>
      </w:r>
      <w:r w:rsidRPr="00682233">
        <w:rPr>
          <w:rFonts w:asciiTheme="minorHAnsi" w:hAnsiTheme="minorHAnsi" w:cstheme="minorHAnsi"/>
          <w:spacing w:val="-2"/>
        </w:rPr>
        <w:t xml:space="preserve"> </w:t>
      </w:r>
      <w:r w:rsidRPr="00682233">
        <w:rPr>
          <w:rFonts w:asciiTheme="minorHAnsi" w:hAnsiTheme="minorHAnsi" w:cstheme="minorHAnsi"/>
        </w:rPr>
        <w:t>it</w:t>
      </w:r>
      <w:r w:rsidRPr="00682233">
        <w:rPr>
          <w:rFonts w:asciiTheme="minorHAnsi" w:hAnsiTheme="minorHAnsi" w:cstheme="minorHAnsi"/>
          <w:spacing w:val="-5"/>
        </w:rPr>
        <w:t xml:space="preserve"> </w:t>
      </w:r>
      <w:r w:rsidRPr="00682233">
        <w:rPr>
          <w:rFonts w:asciiTheme="minorHAnsi" w:hAnsiTheme="minorHAnsi" w:cstheme="minorHAnsi"/>
        </w:rPr>
        <w:t>will</w:t>
      </w:r>
      <w:r w:rsidRPr="00682233">
        <w:rPr>
          <w:rFonts w:asciiTheme="minorHAnsi" w:hAnsiTheme="minorHAnsi" w:cstheme="minorHAnsi"/>
          <w:spacing w:val="-1"/>
        </w:rPr>
        <w:t xml:space="preserve"> </w:t>
      </w:r>
      <w:r w:rsidRPr="00682233">
        <w:rPr>
          <w:rFonts w:asciiTheme="minorHAnsi" w:hAnsiTheme="minorHAnsi" w:cstheme="minorHAnsi"/>
        </w:rPr>
        <w:t>not</w:t>
      </w:r>
      <w:r w:rsidRPr="00682233">
        <w:rPr>
          <w:rFonts w:asciiTheme="minorHAnsi" w:hAnsiTheme="minorHAnsi" w:cstheme="minorHAnsi"/>
          <w:spacing w:val="-4"/>
        </w:rPr>
        <w:t xml:space="preserve"> </w:t>
      </w:r>
      <w:r w:rsidRPr="00682233">
        <w:rPr>
          <w:rFonts w:asciiTheme="minorHAnsi" w:hAnsiTheme="minorHAnsi" w:cstheme="minorHAnsi"/>
        </w:rPr>
        <w:t>be</w:t>
      </w:r>
      <w:r w:rsidRPr="00682233">
        <w:rPr>
          <w:rFonts w:asciiTheme="minorHAnsi" w:hAnsiTheme="minorHAnsi" w:cstheme="minorHAnsi"/>
          <w:spacing w:val="-3"/>
        </w:rPr>
        <w:t xml:space="preserve"> </w:t>
      </w:r>
      <w:r w:rsidRPr="00682233">
        <w:rPr>
          <w:rFonts w:asciiTheme="minorHAnsi" w:hAnsiTheme="minorHAnsi" w:cstheme="minorHAnsi"/>
        </w:rPr>
        <w:t>possible</w:t>
      </w:r>
      <w:r w:rsidRPr="00682233">
        <w:rPr>
          <w:rFonts w:asciiTheme="minorHAnsi" w:hAnsiTheme="minorHAnsi" w:cstheme="minorHAnsi"/>
          <w:spacing w:val="-3"/>
        </w:rPr>
        <w:t xml:space="preserve"> </w:t>
      </w:r>
      <w:r w:rsidRPr="00682233">
        <w:rPr>
          <w:rFonts w:asciiTheme="minorHAnsi" w:hAnsiTheme="minorHAnsi" w:cstheme="minorHAnsi"/>
        </w:rPr>
        <w:t>to</w:t>
      </w:r>
      <w:r w:rsidRPr="00682233">
        <w:rPr>
          <w:rFonts w:asciiTheme="minorHAnsi" w:hAnsiTheme="minorHAnsi" w:cstheme="minorHAnsi"/>
          <w:spacing w:val="-3"/>
        </w:rPr>
        <w:t xml:space="preserve"> </w:t>
      </w:r>
      <w:r w:rsidRPr="00682233">
        <w:rPr>
          <w:rFonts w:asciiTheme="minorHAnsi" w:hAnsiTheme="minorHAnsi" w:cstheme="minorHAnsi"/>
        </w:rPr>
        <w:t>have</w:t>
      </w:r>
      <w:r w:rsidRPr="00682233">
        <w:rPr>
          <w:rFonts w:asciiTheme="minorHAnsi" w:hAnsiTheme="minorHAnsi" w:cstheme="minorHAnsi"/>
          <w:spacing w:val="1"/>
        </w:rPr>
        <w:t xml:space="preserve"> </w:t>
      </w:r>
      <w:r w:rsidRPr="00682233">
        <w:rPr>
          <w:rFonts w:asciiTheme="minorHAnsi" w:hAnsiTheme="minorHAnsi" w:cstheme="minorHAnsi"/>
          <w:spacing w:val="-1"/>
        </w:rPr>
        <w:t>cross-project</w:t>
      </w:r>
      <w:r w:rsidRPr="00682233">
        <w:rPr>
          <w:rFonts w:asciiTheme="minorHAnsi" w:hAnsiTheme="minorHAnsi" w:cstheme="minorHAnsi"/>
          <w:spacing w:val="-9"/>
        </w:rPr>
        <w:t xml:space="preserve"> </w:t>
      </w:r>
      <w:r w:rsidRPr="00682233">
        <w:rPr>
          <w:rFonts w:asciiTheme="minorHAnsi" w:hAnsiTheme="minorHAnsi" w:cstheme="minorHAnsi"/>
          <w:spacing w:val="-1"/>
        </w:rPr>
        <w:t>sequencing</w:t>
      </w:r>
      <w:r w:rsidRPr="00682233">
        <w:rPr>
          <w:rFonts w:asciiTheme="minorHAnsi" w:hAnsiTheme="minorHAnsi" w:cstheme="minorHAnsi"/>
          <w:spacing w:val="-10"/>
        </w:rPr>
        <w:t xml:space="preserve"> </w:t>
      </w:r>
      <w:r w:rsidRPr="00682233">
        <w:rPr>
          <w:rFonts w:asciiTheme="minorHAnsi" w:hAnsiTheme="minorHAnsi" w:cstheme="minorHAnsi"/>
          <w:spacing w:val="-1"/>
        </w:rPr>
        <w:t>of</w:t>
      </w:r>
      <w:r w:rsidRPr="00682233">
        <w:rPr>
          <w:rFonts w:asciiTheme="minorHAnsi" w:hAnsiTheme="minorHAnsi" w:cstheme="minorHAnsi"/>
          <w:spacing w:val="-7"/>
        </w:rPr>
        <w:t xml:space="preserve"> </w:t>
      </w:r>
      <w:r w:rsidRPr="00682233">
        <w:rPr>
          <w:rFonts w:asciiTheme="minorHAnsi" w:hAnsiTheme="minorHAnsi" w:cstheme="minorHAnsi"/>
        </w:rPr>
        <w:t>deliverables</w:t>
      </w:r>
      <w:r w:rsidRPr="00682233">
        <w:rPr>
          <w:rFonts w:asciiTheme="minorHAnsi" w:hAnsiTheme="minorHAnsi" w:cstheme="minorHAnsi"/>
          <w:spacing w:val="-11"/>
        </w:rPr>
        <w:t xml:space="preserve"> </w:t>
      </w:r>
      <w:r w:rsidRPr="00682233">
        <w:rPr>
          <w:rFonts w:asciiTheme="minorHAnsi" w:hAnsiTheme="minorHAnsi" w:cstheme="minorHAnsi"/>
        </w:rPr>
        <w:t>there,</w:t>
      </w:r>
      <w:r w:rsidRPr="00682233">
        <w:rPr>
          <w:rFonts w:asciiTheme="minorHAnsi" w:hAnsiTheme="minorHAnsi" w:cstheme="minorHAnsi"/>
          <w:spacing w:val="-13"/>
        </w:rPr>
        <w:t xml:space="preserve"> </w:t>
      </w:r>
      <w:r w:rsidRPr="00682233">
        <w:rPr>
          <w:rFonts w:asciiTheme="minorHAnsi" w:hAnsiTheme="minorHAnsi" w:cstheme="minorHAnsi"/>
        </w:rPr>
        <w:t>and</w:t>
      </w:r>
      <w:r w:rsidRPr="00682233">
        <w:rPr>
          <w:rFonts w:asciiTheme="minorHAnsi" w:hAnsiTheme="minorHAnsi" w:cstheme="minorHAnsi"/>
          <w:spacing w:val="-8"/>
        </w:rPr>
        <w:t xml:space="preserve"> </w:t>
      </w:r>
      <w:r w:rsidRPr="00682233">
        <w:rPr>
          <w:rFonts w:asciiTheme="minorHAnsi" w:hAnsiTheme="minorHAnsi" w:cstheme="minorHAnsi"/>
        </w:rPr>
        <w:t>the</w:t>
      </w:r>
      <w:r w:rsidRPr="00682233">
        <w:rPr>
          <w:rFonts w:asciiTheme="minorHAnsi" w:hAnsiTheme="minorHAnsi" w:cstheme="minorHAnsi"/>
          <w:spacing w:val="-6"/>
        </w:rPr>
        <w:t xml:space="preserve"> </w:t>
      </w:r>
      <w:r w:rsidRPr="00682233">
        <w:rPr>
          <w:rFonts w:asciiTheme="minorHAnsi" w:hAnsiTheme="minorHAnsi" w:cstheme="minorHAnsi"/>
        </w:rPr>
        <w:t>latter</w:t>
      </w:r>
      <w:r w:rsidRPr="00682233">
        <w:rPr>
          <w:rFonts w:asciiTheme="minorHAnsi" w:hAnsiTheme="minorHAnsi" w:cstheme="minorHAnsi"/>
          <w:spacing w:val="-11"/>
        </w:rPr>
        <w:t xml:space="preserve"> </w:t>
      </w:r>
      <w:r w:rsidRPr="00682233">
        <w:rPr>
          <w:rFonts w:asciiTheme="minorHAnsi" w:hAnsiTheme="minorHAnsi" w:cstheme="minorHAnsi"/>
        </w:rPr>
        <w:t>could</w:t>
      </w:r>
      <w:r w:rsidRPr="00682233">
        <w:rPr>
          <w:rFonts w:asciiTheme="minorHAnsi" w:hAnsiTheme="minorHAnsi" w:cstheme="minorHAnsi"/>
          <w:spacing w:val="-8"/>
        </w:rPr>
        <w:t xml:space="preserve"> </w:t>
      </w:r>
      <w:r w:rsidRPr="00682233">
        <w:rPr>
          <w:rFonts w:asciiTheme="minorHAnsi" w:hAnsiTheme="minorHAnsi" w:cstheme="minorHAnsi"/>
        </w:rPr>
        <w:t>only</w:t>
      </w:r>
      <w:r w:rsidRPr="00682233">
        <w:rPr>
          <w:rFonts w:asciiTheme="minorHAnsi" w:hAnsiTheme="minorHAnsi" w:cstheme="minorHAnsi"/>
          <w:spacing w:val="-11"/>
        </w:rPr>
        <w:t xml:space="preserve"> </w:t>
      </w:r>
      <w:r w:rsidRPr="00682233">
        <w:rPr>
          <w:rFonts w:asciiTheme="minorHAnsi" w:hAnsiTheme="minorHAnsi" w:cstheme="minorHAnsi"/>
        </w:rPr>
        <w:t>happen</w:t>
      </w:r>
      <w:r w:rsidRPr="00682233">
        <w:rPr>
          <w:rFonts w:asciiTheme="minorHAnsi" w:hAnsiTheme="minorHAnsi" w:cstheme="minorHAnsi"/>
          <w:spacing w:val="-12"/>
        </w:rPr>
        <w:t xml:space="preserve"> </w:t>
      </w:r>
      <w:r w:rsidRPr="00682233">
        <w:rPr>
          <w:rFonts w:asciiTheme="minorHAnsi" w:hAnsiTheme="minorHAnsi" w:cstheme="minorHAnsi"/>
        </w:rPr>
        <w:t>in</w:t>
      </w:r>
      <w:r w:rsidRPr="00682233">
        <w:rPr>
          <w:rFonts w:asciiTheme="minorHAnsi" w:hAnsiTheme="minorHAnsi" w:cstheme="minorHAnsi"/>
          <w:spacing w:val="-8"/>
        </w:rPr>
        <w:t xml:space="preserve"> </w:t>
      </w:r>
      <w:r w:rsidRPr="00682233">
        <w:rPr>
          <w:rFonts w:asciiTheme="minorHAnsi" w:hAnsiTheme="minorHAnsi" w:cstheme="minorHAnsi"/>
        </w:rPr>
        <w:t>3</w:t>
      </w:r>
      <w:r w:rsidRPr="00682233">
        <w:rPr>
          <w:rFonts w:asciiTheme="minorHAnsi" w:hAnsiTheme="minorHAnsi" w:cstheme="minorHAnsi"/>
          <w:spacing w:val="-8"/>
        </w:rPr>
        <w:t xml:space="preserve"> </w:t>
      </w:r>
      <w:r w:rsidRPr="00682233">
        <w:rPr>
          <w:rFonts w:asciiTheme="minorHAnsi" w:hAnsiTheme="minorHAnsi" w:cstheme="minorHAnsi"/>
        </w:rPr>
        <w:t>countries</w:t>
      </w:r>
      <w:r w:rsidRPr="00682233">
        <w:rPr>
          <w:rFonts w:asciiTheme="minorHAnsi" w:hAnsiTheme="minorHAnsi" w:cstheme="minorHAnsi"/>
          <w:spacing w:val="1"/>
        </w:rPr>
        <w:t xml:space="preserve"> </w:t>
      </w:r>
      <w:r w:rsidRPr="00682233">
        <w:rPr>
          <w:rFonts w:asciiTheme="minorHAnsi" w:hAnsiTheme="minorHAnsi" w:cstheme="minorHAnsi"/>
        </w:rPr>
        <w:t>(Indonesia, Paraguay and Brazil), and 3) talking about ¨deliverables and intervention plans¨</w:t>
      </w:r>
      <w:r w:rsidRPr="00682233">
        <w:rPr>
          <w:rFonts w:asciiTheme="minorHAnsi" w:hAnsiTheme="minorHAnsi" w:cstheme="minorHAnsi"/>
          <w:spacing w:val="1"/>
        </w:rPr>
        <w:t xml:space="preserve"> </w:t>
      </w:r>
      <w:r w:rsidRPr="00682233">
        <w:rPr>
          <w:rFonts w:asciiTheme="minorHAnsi" w:hAnsiTheme="minorHAnsi" w:cstheme="minorHAnsi"/>
          <w:spacing w:val="-1"/>
        </w:rPr>
        <w:t>allows</w:t>
      </w:r>
      <w:r w:rsidRPr="00682233">
        <w:rPr>
          <w:rFonts w:asciiTheme="minorHAnsi" w:hAnsiTheme="minorHAnsi" w:cstheme="minorHAnsi"/>
          <w:spacing w:val="-11"/>
        </w:rPr>
        <w:t xml:space="preserve"> </w:t>
      </w:r>
      <w:r w:rsidRPr="00682233">
        <w:rPr>
          <w:rFonts w:asciiTheme="minorHAnsi" w:hAnsiTheme="minorHAnsi" w:cstheme="minorHAnsi"/>
          <w:spacing w:val="-1"/>
        </w:rPr>
        <w:t>for</w:t>
      </w:r>
      <w:r w:rsidRPr="00682233">
        <w:rPr>
          <w:rFonts w:asciiTheme="minorHAnsi" w:hAnsiTheme="minorHAnsi" w:cstheme="minorHAnsi"/>
          <w:spacing w:val="-12"/>
        </w:rPr>
        <w:t xml:space="preserve"> </w:t>
      </w:r>
      <w:r w:rsidRPr="00682233">
        <w:rPr>
          <w:rFonts w:asciiTheme="minorHAnsi" w:hAnsiTheme="minorHAnsi" w:cstheme="minorHAnsi"/>
          <w:spacing w:val="-1"/>
        </w:rPr>
        <w:t>more</w:t>
      </w:r>
      <w:r w:rsidRPr="00682233">
        <w:rPr>
          <w:rFonts w:asciiTheme="minorHAnsi" w:hAnsiTheme="minorHAnsi" w:cstheme="minorHAnsi"/>
          <w:spacing w:val="-11"/>
        </w:rPr>
        <w:t xml:space="preserve"> </w:t>
      </w:r>
      <w:r w:rsidRPr="00682233">
        <w:rPr>
          <w:rFonts w:asciiTheme="minorHAnsi" w:hAnsiTheme="minorHAnsi" w:cstheme="minorHAnsi"/>
          <w:spacing w:val="-1"/>
        </w:rPr>
        <w:t>flexibility</w:t>
      </w:r>
      <w:r w:rsidRPr="00682233">
        <w:rPr>
          <w:rFonts w:asciiTheme="minorHAnsi" w:hAnsiTheme="minorHAnsi" w:cstheme="minorHAnsi"/>
          <w:spacing w:val="-16"/>
        </w:rPr>
        <w:t xml:space="preserve"> </w:t>
      </w:r>
      <w:r w:rsidRPr="00682233">
        <w:rPr>
          <w:rFonts w:asciiTheme="minorHAnsi" w:hAnsiTheme="minorHAnsi" w:cstheme="minorHAnsi"/>
        </w:rPr>
        <w:t>in</w:t>
      </w:r>
      <w:r w:rsidRPr="00682233">
        <w:rPr>
          <w:rFonts w:asciiTheme="minorHAnsi" w:hAnsiTheme="minorHAnsi" w:cstheme="minorHAnsi"/>
          <w:spacing w:val="-12"/>
        </w:rPr>
        <w:t xml:space="preserve"> </w:t>
      </w:r>
      <w:r w:rsidRPr="00682233">
        <w:rPr>
          <w:rFonts w:asciiTheme="minorHAnsi" w:hAnsiTheme="minorHAnsi" w:cstheme="minorHAnsi"/>
        </w:rPr>
        <w:t>the</w:t>
      </w:r>
      <w:r w:rsidRPr="00682233">
        <w:rPr>
          <w:rFonts w:asciiTheme="minorHAnsi" w:hAnsiTheme="minorHAnsi" w:cstheme="minorHAnsi"/>
          <w:spacing w:val="-11"/>
        </w:rPr>
        <w:t xml:space="preserve"> </w:t>
      </w:r>
      <w:r w:rsidRPr="00682233">
        <w:rPr>
          <w:rFonts w:asciiTheme="minorHAnsi" w:hAnsiTheme="minorHAnsi" w:cstheme="minorHAnsi"/>
        </w:rPr>
        <w:t>format</w:t>
      </w:r>
      <w:r w:rsidRPr="00682233">
        <w:rPr>
          <w:rFonts w:asciiTheme="minorHAnsi" w:hAnsiTheme="minorHAnsi" w:cstheme="minorHAnsi"/>
          <w:spacing w:val="-14"/>
        </w:rPr>
        <w:t xml:space="preserve"> </w:t>
      </w:r>
      <w:r w:rsidRPr="00682233">
        <w:rPr>
          <w:rFonts w:asciiTheme="minorHAnsi" w:hAnsiTheme="minorHAnsi" w:cstheme="minorHAnsi"/>
        </w:rPr>
        <w:t>to</w:t>
      </w:r>
      <w:r w:rsidRPr="00682233">
        <w:rPr>
          <w:rFonts w:asciiTheme="minorHAnsi" w:hAnsiTheme="minorHAnsi" w:cstheme="minorHAnsi"/>
          <w:spacing w:val="-13"/>
        </w:rPr>
        <w:t xml:space="preserve"> </w:t>
      </w:r>
      <w:r w:rsidRPr="00682233">
        <w:rPr>
          <w:rFonts w:asciiTheme="minorHAnsi" w:hAnsiTheme="minorHAnsi" w:cstheme="minorHAnsi"/>
        </w:rPr>
        <w:t>be</w:t>
      </w:r>
      <w:r w:rsidRPr="00682233">
        <w:rPr>
          <w:rFonts w:asciiTheme="minorHAnsi" w:hAnsiTheme="minorHAnsi" w:cstheme="minorHAnsi"/>
          <w:spacing w:val="-10"/>
        </w:rPr>
        <w:t xml:space="preserve"> </w:t>
      </w:r>
      <w:r w:rsidRPr="00682233">
        <w:rPr>
          <w:rFonts w:asciiTheme="minorHAnsi" w:hAnsiTheme="minorHAnsi" w:cstheme="minorHAnsi"/>
        </w:rPr>
        <w:t>used</w:t>
      </w:r>
      <w:r w:rsidRPr="00682233">
        <w:rPr>
          <w:rFonts w:asciiTheme="minorHAnsi" w:hAnsiTheme="minorHAnsi" w:cstheme="minorHAnsi"/>
          <w:spacing w:val="-12"/>
        </w:rPr>
        <w:t xml:space="preserve"> </w:t>
      </w:r>
      <w:r w:rsidRPr="00682233">
        <w:rPr>
          <w:rFonts w:asciiTheme="minorHAnsi" w:hAnsiTheme="minorHAnsi" w:cstheme="minorHAnsi"/>
        </w:rPr>
        <w:t>for</w:t>
      </w:r>
      <w:r w:rsidRPr="00682233">
        <w:rPr>
          <w:rFonts w:asciiTheme="minorHAnsi" w:hAnsiTheme="minorHAnsi" w:cstheme="minorHAnsi"/>
          <w:spacing w:val="-12"/>
        </w:rPr>
        <w:t xml:space="preserve"> </w:t>
      </w:r>
      <w:r w:rsidRPr="00682233">
        <w:rPr>
          <w:rFonts w:asciiTheme="minorHAnsi" w:hAnsiTheme="minorHAnsi" w:cstheme="minorHAnsi"/>
        </w:rPr>
        <w:t>integrated</w:t>
      </w:r>
      <w:r w:rsidRPr="00682233">
        <w:rPr>
          <w:rFonts w:asciiTheme="minorHAnsi" w:hAnsiTheme="minorHAnsi" w:cstheme="minorHAnsi"/>
          <w:spacing w:val="-12"/>
        </w:rPr>
        <w:t xml:space="preserve"> </w:t>
      </w:r>
      <w:r w:rsidRPr="00682233">
        <w:rPr>
          <w:rFonts w:asciiTheme="minorHAnsi" w:hAnsiTheme="minorHAnsi" w:cstheme="minorHAnsi"/>
        </w:rPr>
        <w:t>planning.</w:t>
      </w:r>
      <w:r w:rsidRPr="00682233">
        <w:rPr>
          <w:rFonts w:asciiTheme="minorHAnsi" w:hAnsiTheme="minorHAnsi" w:cstheme="minorHAnsi"/>
          <w:spacing w:val="-9"/>
        </w:rPr>
        <w:t xml:space="preserve"> </w:t>
      </w:r>
      <w:r w:rsidRPr="00682233">
        <w:rPr>
          <w:rFonts w:asciiTheme="minorHAnsi" w:hAnsiTheme="minorHAnsi" w:cstheme="minorHAnsi"/>
        </w:rPr>
        <w:t>Finally,</w:t>
      </w:r>
      <w:r w:rsidRPr="00682233">
        <w:rPr>
          <w:rFonts w:asciiTheme="minorHAnsi" w:hAnsiTheme="minorHAnsi" w:cstheme="minorHAnsi"/>
          <w:spacing w:val="-14"/>
        </w:rPr>
        <w:t xml:space="preserve"> </w:t>
      </w:r>
      <w:r w:rsidRPr="00682233">
        <w:rPr>
          <w:rFonts w:asciiTheme="minorHAnsi" w:hAnsiTheme="minorHAnsi" w:cstheme="minorHAnsi"/>
        </w:rPr>
        <w:t>it</w:t>
      </w:r>
      <w:r w:rsidRPr="00682233">
        <w:rPr>
          <w:rFonts w:asciiTheme="minorHAnsi" w:hAnsiTheme="minorHAnsi" w:cstheme="minorHAnsi"/>
          <w:spacing w:val="-14"/>
        </w:rPr>
        <w:t xml:space="preserve"> </w:t>
      </w:r>
      <w:r w:rsidRPr="00682233">
        <w:rPr>
          <w:rFonts w:asciiTheme="minorHAnsi" w:hAnsiTheme="minorHAnsi" w:cstheme="minorHAnsi"/>
        </w:rPr>
        <w:t>was</w:t>
      </w:r>
      <w:r w:rsidRPr="00682233">
        <w:rPr>
          <w:rFonts w:asciiTheme="minorHAnsi" w:hAnsiTheme="minorHAnsi" w:cstheme="minorHAnsi"/>
          <w:spacing w:val="-11"/>
        </w:rPr>
        <w:t xml:space="preserve"> </w:t>
      </w:r>
      <w:r w:rsidRPr="00682233">
        <w:rPr>
          <w:rFonts w:asciiTheme="minorHAnsi" w:hAnsiTheme="minorHAnsi" w:cstheme="minorHAnsi"/>
        </w:rPr>
        <w:t>noted</w:t>
      </w:r>
      <w:r w:rsidRPr="00682233">
        <w:rPr>
          <w:rFonts w:asciiTheme="minorHAnsi" w:hAnsiTheme="minorHAnsi" w:cstheme="minorHAnsi"/>
          <w:spacing w:val="1"/>
        </w:rPr>
        <w:t xml:space="preserve"> </w:t>
      </w:r>
      <w:r w:rsidRPr="00682233">
        <w:rPr>
          <w:rFonts w:asciiTheme="minorHAnsi" w:hAnsiTheme="minorHAnsi" w:cstheme="minorHAnsi"/>
        </w:rPr>
        <w:t>that given the different planning timelines used by the various child projects, producing</w:t>
      </w:r>
      <w:r w:rsidRPr="00682233">
        <w:rPr>
          <w:rFonts w:asciiTheme="minorHAnsi" w:hAnsiTheme="minorHAnsi" w:cstheme="minorHAnsi"/>
          <w:spacing w:val="1"/>
        </w:rPr>
        <w:t xml:space="preserve"> </w:t>
      </w:r>
      <w:r w:rsidRPr="00682233">
        <w:rPr>
          <w:rFonts w:asciiTheme="minorHAnsi" w:hAnsiTheme="minorHAnsi" w:cstheme="minorHAnsi"/>
        </w:rPr>
        <w:t>integrated</w:t>
      </w:r>
      <w:r w:rsidRPr="00682233">
        <w:rPr>
          <w:rFonts w:asciiTheme="minorHAnsi" w:hAnsiTheme="minorHAnsi" w:cstheme="minorHAnsi"/>
          <w:spacing w:val="-12"/>
        </w:rPr>
        <w:t xml:space="preserve"> </w:t>
      </w:r>
      <w:r w:rsidRPr="00682233">
        <w:rPr>
          <w:rFonts w:asciiTheme="minorHAnsi" w:hAnsiTheme="minorHAnsi" w:cstheme="minorHAnsi"/>
        </w:rPr>
        <w:t>plans</w:t>
      </w:r>
      <w:r w:rsidRPr="00682233">
        <w:rPr>
          <w:rFonts w:asciiTheme="minorHAnsi" w:hAnsiTheme="minorHAnsi" w:cstheme="minorHAnsi"/>
          <w:spacing w:val="-12"/>
        </w:rPr>
        <w:t xml:space="preserve"> </w:t>
      </w:r>
      <w:r w:rsidRPr="00682233">
        <w:rPr>
          <w:rFonts w:asciiTheme="minorHAnsi" w:hAnsiTheme="minorHAnsi" w:cstheme="minorHAnsi"/>
        </w:rPr>
        <w:t>will</w:t>
      </w:r>
      <w:r w:rsidRPr="00682233">
        <w:rPr>
          <w:rFonts w:asciiTheme="minorHAnsi" w:hAnsiTheme="minorHAnsi" w:cstheme="minorHAnsi"/>
          <w:spacing w:val="-10"/>
        </w:rPr>
        <w:t xml:space="preserve"> </w:t>
      </w:r>
      <w:r w:rsidRPr="00682233">
        <w:rPr>
          <w:rFonts w:asciiTheme="minorHAnsi" w:hAnsiTheme="minorHAnsi" w:cstheme="minorHAnsi"/>
        </w:rPr>
        <w:t>only</w:t>
      </w:r>
      <w:r w:rsidRPr="00682233">
        <w:rPr>
          <w:rFonts w:asciiTheme="minorHAnsi" w:hAnsiTheme="minorHAnsi" w:cstheme="minorHAnsi"/>
          <w:spacing w:val="-11"/>
        </w:rPr>
        <w:t xml:space="preserve"> </w:t>
      </w:r>
      <w:r w:rsidRPr="00682233">
        <w:rPr>
          <w:rFonts w:asciiTheme="minorHAnsi" w:hAnsiTheme="minorHAnsi" w:cstheme="minorHAnsi"/>
        </w:rPr>
        <w:t>be</w:t>
      </w:r>
      <w:r w:rsidRPr="00682233">
        <w:rPr>
          <w:rFonts w:asciiTheme="minorHAnsi" w:hAnsiTheme="minorHAnsi" w:cstheme="minorHAnsi"/>
          <w:spacing w:val="-11"/>
        </w:rPr>
        <w:t xml:space="preserve"> </w:t>
      </w:r>
      <w:r w:rsidRPr="00682233">
        <w:rPr>
          <w:rFonts w:asciiTheme="minorHAnsi" w:hAnsiTheme="minorHAnsi" w:cstheme="minorHAnsi"/>
        </w:rPr>
        <w:t>feasible</w:t>
      </w:r>
      <w:r w:rsidRPr="00682233">
        <w:rPr>
          <w:rFonts w:asciiTheme="minorHAnsi" w:hAnsiTheme="minorHAnsi" w:cstheme="minorHAnsi"/>
          <w:spacing w:val="-11"/>
        </w:rPr>
        <w:t xml:space="preserve"> </w:t>
      </w:r>
      <w:r w:rsidRPr="00682233">
        <w:rPr>
          <w:rFonts w:asciiTheme="minorHAnsi" w:hAnsiTheme="minorHAnsi" w:cstheme="minorHAnsi"/>
        </w:rPr>
        <w:t>in</w:t>
      </w:r>
      <w:r w:rsidRPr="00682233">
        <w:rPr>
          <w:rFonts w:asciiTheme="minorHAnsi" w:hAnsiTheme="minorHAnsi" w:cstheme="minorHAnsi"/>
          <w:spacing w:val="-12"/>
        </w:rPr>
        <w:t xml:space="preserve"> </w:t>
      </w:r>
      <w:r w:rsidRPr="00682233">
        <w:rPr>
          <w:rFonts w:asciiTheme="minorHAnsi" w:hAnsiTheme="minorHAnsi" w:cstheme="minorHAnsi"/>
        </w:rPr>
        <w:t>June/July</w:t>
      </w:r>
      <w:r w:rsidRPr="00682233">
        <w:rPr>
          <w:rFonts w:asciiTheme="minorHAnsi" w:hAnsiTheme="minorHAnsi" w:cstheme="minorHAnsi"/>
          <w:spacing w:val="-11"/>
        </w:rPr>
        <w:t xml:space="preserve"> </w:t>
      </w:r>
      <w:r w:rsidRPr="00682233">
        <w:rPr>
          <w:rFonts w:asciiTheme="minorHAnsi" w:hAnsiTheme="minorHAnsi" w:cstheme="minorHAnsi"/>
        </w:rPr>
        <w:t>of</w:t>
      </w:r>
      <w:r w:rsidRPr="00682233">
        <w:rPr>
          <w:rFonts w:asciiTheme="minorHAnsi" w:hAnsiTheme="minorHAnsi" w:cstheme="minorHAnsi"/>
          <w:spacing w:val="-12"/>
        </w:rPr>
        <w:t xml:space="preserve"> </w:t>
      </w:r>
      <w:r w:rsidRPr="00682233">
        <w:rPr>
          <w:rFonts w:asciiTheme="minorHAnsi" w:hAnsiTheme="minorHAnsi" w:cstheme="minorHAnsi"/>
        </w:rPr>
        <w:t>each</w:t>
      </w:r>
      <w:r w:rsidRPr="00682233">
        <w:rPr>
          <w:rFonts w:asciiTheme="minorHAnsi" w:hAnsiTheme="minorHAnsi" w:cstheme="minorHAnsi"/>
          <w:spacing w:val="-13"/>
        </w:rPr>
        <w:t xml:space="preserve"> </w:t>
      </w:r>
      <w:r w:rsidRPr="00682233">
        <w:rPr>
          <w:rFonts w:asciiTheme="minorHAnsi" w:hAnsiTheme="minorHAnsi" w:cstheme="minorHAnsi"/>
        </w:rPr>
        <w:t>year.</w:t>
      </w:r>
      <w:r w:rsidRPr="00682233">
        <w:rPr>
          <w:rFonts w:asciiTheme="minorHAnsi" w:hAnsiTheme="minorHAnsi" w:cstheme="minorHAnsi"/>
          <w:spacing w:val="-5"/>
        </w:rPr>
        <w:t xml:space="preserve"> </w:t>
      </w:r>
      <w:r w:rsidRPr="00682233">
        <w:rPr>
          <w:rFonts w:asciiTheme="minorHAnsi" w:hAnsiTheme="minorHAnsi" w:cstheme="minorHAnsi"/>
          <w:b/>
        </w:rPr>
        <w:t>Baseline</w:t>
      </w:r>
      <w:r w:rsidRPr="00682233">
        <w:rPr>
          <w:rFonts w:asciiTheme="minorHAnsi" w:hAnsiTheme="minorHAnsi" w:cstheme="minorHAnsi"/>
        </w:rPr>
        <w:t>:</w:t>
      </w:r>
      <w:r w:rsidRPr="00682233">
        <w:rPr>
          <w:rFonts w:asciiTheme="minorHAnsi" w:hAnsiTheme="minorHAnsi" w:cstheme="minorHAnsi"/>
          <w:spacing w:val="-13"/>
        </w:rPr>
        <w:t xml:space="preserve"> </w:t>
      </w:r>
      <w:r w:rsidRPr="00682233">
        <w:rPr>
          <w:rFonts w:asciiTheme="minorHAnsi" w:hAnsiTheme="minorHAnsi" w:cstheme="minorHAnsi"/>
        </w:rPr>
        <w:t>"workplans"</w:t>
      </w:r>
      <w:r w:rsidRPr="00682233">
        <w:rPr>
          <w:rFonts w:asciiTheme="minorHAnsi" w:hAnsiTheme="minorHAnsi" w:cstheme="minorHAnsi"/>
          <w:spacing w:val="-8"/>
        </w:rPr>
        <w:t xml:space="preserve"> </w:t>
      </w:r>
      <w:r w:rsidRPr="00682233">
        <w:rPr>
          <w:rFonts w:asciiTheme="minorHAnsi" w:hAnsiTheme="minorHAnsi" w:cstheme="minorHAnsi"/>
        </w:rPr>
        <w:t>replaced</w:t>
      </w:r>
      <w:r w:rsidRPr="00682233">
        <w:rPr>
          <w:rFonts w:asciiTheme="minorHAnsi" w:hAnsiTheme="minorHAnsi" w:cstheme="minorHAnsi"/>
          <w:spacing w:val="-48"/>
        </w:rPr>
        <w:t xml:space="preserve"> </w:t>
      </w:r>
      <w:r w:rsidRPr="00682233">
        <w:rPr>
          <w:rFonts w:asciiTheme="minorHAnsi" w:hAnsiTheme="minorHAnsi" w:cstheme="minorHAnsi"/>
        </w:rPr>
        <w:t>by</w:t>
      </w:r>
      <w:r w:rsidRPr="00682233">
        <w:rPr>
          <w:rFonts w:asciiTheme="minorHAnsi" w:hAnsiTheme="minorHAnsi" w:cstheme="minorHAnsi"/>
          <w:spacing w:val="1"/>
        </w:rPr>
        <w:t xml:space="preserve"> </w:t>
      </w:r>
      <w:r w:rsidRPr="00682233">
        <w:rPr>
          <w:rFonts w:asciiTheme="minorHAnsi" w:hAnsiTheme="minorHAnsi" w:cstheme="minorHAnsi"/>
        </w:rPr>
        <w:t>"interventions";</w:t>
      </w:r>
      <w:r w:rsidRPr="00682233">
        <w:rPr>
          <w:rFonts w:asciiTheme="minorHAnsi" w:hAnsiTheme="minorHAnsi" w:cstheme="minorHAnsi"/>
          <w:spacing w:val="1"/>
        </w:rPr>
        <w:t xml:space="preserve"> </w:t>
      </w:r>
      <w:r w:rsidRPr="00682233">
        <w:rPr>
          <w:rFonts w:asciiTheme="minorHAnsi" w:hAnsiTheme="minorHAnsi" w:cstheme="minorHAnsi"/>
          <w:b/>
        </w:rPr>
        <w:t>Mid-term</w:t>
      </w:r>
      <w:r w:rsidRPr="00682233">
        <w:rPr>
          <w:rFonts w:asciiTheme="minorHAnsi" w:hAnsiTheme="minorHAnsi" w:cstheme="minorHAnsi"/>
          <w:b/>
          <w:spacing w:val="1"/>
        </w:rPr>
        <w:t xml:space="preserve"> </w:t>
      </w:r>
      <w:r w:rsidRPr="00682233">
        <w:rPr>
          <w:rFonts w:asciiTheme="minorHAnsi" w:hAnsiTheme="minorHAnsi" w:cstheme="minorHAnsi"/>
          <w:b/>
        </w:rPr>
        <w:t>Target</w:t>
      </w:r>
      <w:r w:rsidRPr="00682233">
        <w:rPr>
          <w:rFonts w:asciiTheme="minorHAnsi" w:hAnsiTheme="minorHAnsi" w:cstheme="minorHAnsi"/>
        </w:rPr>
        <w:t>:</w:t>
      </w:r>
      <w:r w:rsidRPr="00682233">
        <w:rPr>
          <w:rFonts w:asciiTheme="minorHAnsi" w:hAnsiTheme="minorHAnsi" w:cstheme="minorHAnsi"/>
          <w:spacing w:val="1"/>
        </w:rPr>
        <w:t xml:space="preserve"> </w:t>
      </w:r>
      <w:r w:rsidRPr="00682233">
        <w:rPr>
          <w:rFonts w:asciiTheme="minorHAnsi" w:hAnsiTheme="minorHAnsi" w:cstheme="minorHAnsi"/>
        </w:rPr>
        <w:t>"8</w:t>
      </w:r>
      <w:r w:rsidRPr="00682233">
        <w:rPr>
          <w:rFonts w:asciiTheme="minorHAnsi" w:hAnsiTheme="minorHAnsi" w:cstheme="minorHAnsi"/>
          <w:spacing w:val="1"/>
        </w:rPr>
        <w:t xml:space="preserve"> </w:t>
      </w:r>
      <w:r w:rsidRPr="00682233">
        <w:rPr>
          <w:rFonts w:asciiTheme="minorHAnsi" w:hAnsiTheme="minorHAnsi" w:cstheme="minorHAnsi"/>
        </w:rPr>
        <w:t>national</w:t>
      </w:r>
      <w:r w:rsidRPr="00682233">
        <w:rPr>
          <w:rFonts w:asciiTheme="minorHAnsi" w:hAnsiTheme="minorHAnsi" w:cstheme="minorHAnsi"/>
          <w:spacing w:val="1"/>
        </w:rPr>
        <w:t xml:space="preserve"> </w:t>
      </w:r>
      <w:r w:rsidRPr="00682233">
        <w:rPr>
          <w:rFonts w:asciiTheme="minorHAnsi" w:hAnsiTheme="minorHAnsi" w:cstheme="minorHAnsi"/>
        </w:rPr>
        <w:t>level</w:t>
      </w:r>
      <w:r w:rsidRPr="00682233">
        <w:rPr>
          <w:rFonts w:asciiTheme="minorHAnsi" w:hAnsiTheme="minorHAnsi" w:cstheme="minorHAnsi"/>
          <w:spacing w:val="1"/>
        </w:rPr>
        <w:t xml:space="preserve"> </w:t>
      </w:r>
      <w:r w:rsidRPr="00682233">
        <w:rPr>
          <w:rFonts w:asciiTheme="minorHAnsi" w:hAnsiTheme="minorHAnsi" w:cstheme="minorHAnsi"/>
        </w:rPr>
        <w:t>inter-agency</w:t>
      </w:r>
      <w:r w:rsidRPr="00682233">
        <w:rPr>
          <w:rFonts w:asciiTheme="minorHAnsi" w:hAnsiTheme="minorHAnsi" w:cstheme="minorHAnsi"/>
          <w:spacing w:val="1"/>
        </w:rPr>
        <w:t xml:space="preserve"> </w:t>
      </w:r>
      <w:r w:rsidRPr="00682233">
        <w:rPr>
          <w:rFonts w:asciiTheme="minorHAnsi" w:hAnsiTheme="minorHAnsi" w:cstheme="minorHAnsi"/>
        </w:rPr>
        <w:t>workplans</w:t>
      </w:r>
      <w:r w:rsidRPr="00682233">
        <w:rPr>
          <w:rFonts w:asciiTheme="minorHAnsi" w:hAnsiTheme="minorHAnsi" w:cstheme="minorHAnsi"/>
          <w:spacing w:val="1"/>
        </w:rPr>
        <w:t xml:space="preserve"> </w:t>
      </w:r>
      <w:r w:rsidRPr="00682233">
        <w:rPr>
          <w:rFonts w:asciiTheme="minorHAnsi" w:hAnsiTheme="minorHAnsi" w:cstheme="minorHAnsi"/>
        </w:rPr>
        <w:t>(one</w:t>
      </w:r>
      <w:r w:rsidRPr="00682233">
        <w:rPr>
          <w:rFonts w:asciiTheme="minorHAnsi" w:hAnsiTheme="minorHAnsi" w:cstheme="minorHAnsi"/>
          <w:spacing w:val="1"/>
        </w:rPr>
        <w:t xml:space="preserve"> </w:t>
      </w:r>
      <w:r w:rsidRPr="00682233">
        <w:rPr>
          <w:rFonts w:asciiTheme="minorHAnsi" w:hAnsiTheme="minorHAnsi" w:cstheme="minorHAnsi"/>
        </w:rPr>
        <w:t>per</w:t>
      </w:r>
      <w:r w:rsidRPr="00682233">
        <w:rPr>
          <w:rFonts w:asciiTheme="minorHAnsi" w:hAnsiTheme="minorHAnsi" w:cstheme="minorHAnsi"/>
          <w:spacing w:val="1"/>
        </w:rPr>
        <w:t xml:space="preserve"> </w:t>
      </w:r>
      <w:r w:rsidRPr="00682233">
        <w:rPr>
          <w:rFonts w:asciiTheme="minorHAnsi" w:hAnsiTheme="minorHAnsi" w:cstheme="minorHAnsi"/>
        </w:rPr>
        <w:t>country</w:t>
      </w:r>
      <w:r w:rsidRPr="00682233">
        <w:rPr>
          <w:rFonts w:asciiTheme="minorHAnsi" w:hAnsiTheme="minorHAnsi" w:cstheme="minorHAnsi"/>
          <w:spacing w:val="-11"/>
        </w:rPr>
        <w:t xml:space="preserve"> </w:t>
      </w:r>
      <w:r w:rsidRPr="00682233">
        <w:rPr>
          <w:rFonts w:asciiTheme="minorHAnsi" w:hAnsiTheme="minorHAnsi" w:cstheme="minorHAnsi"/>
        </w:rPr>
        <w:t>per</w:t>
      </w:r>
      <w:r w:rsidRPr="00682233">
        <w:rPr>
          <w:rFonts w:asciiTheme="minorHAnsi" w:hAnsiTheme="minorHAnsi" w:cstheme="minorHAnsi"/>
          <w:spacing w:val="-7"/>
        </w:rPr>
        <w:t xml:space="preserve"> </w:t>
      </w:r>
      <w:r w:rsidRPr="00682233">
        <w:rPr>
          <w:rFonts w:asciiTheme="minorHAnsi" w:hAnsiTheme="minorHAnsi" w:cstheme="minorHAnsi"/>
        </w:rPr>
        <w:t>year</w:t>
      </w:r>
      <w:r w:rsidRPr="00682233">
        <w:rPr>
          <w:rFonts w:asciiTheme="minorHAnsi" w:hAnsiTheme="minorHAnsi" w:cstheme="minorHAnsi"/>
          <w:spacing w:val="-12"/>
        </w:rPr>
        <w:t xml:space="preserve"> </w:t>
      </w:r>
      <w:r w:rsidRPr="00682233">
        <w:rPr>
          <w:rFonts w:asciiTheme="minorHAnsi" w:hAnsiTheme="minorHAnsi" w:cstheme="minorHAnsi"/>
        </w:rPr>
        <w:t>for</w:t>
      </w:r>
      <w:r w:rsidRPr="00682233">
        <w:rPr>
          <w:rFonts w:asciiTheme="minorHAnsi" w:hAnsiTheme="minorHAnsi" w:cstheme="minorHAnsi"/>
          <w:spacing w:val="-12"/>
        </w:rPr>
        <w:t xml:space="preserve"> </w:t>
      </w:r>
      <w:r w:rsidRPr="00682233">
        <w:rPr>
          <w:rFonts w:asciiTheme="minorHAnsi" w:hAnsiTheme="minorHAnsi" w:cstheme="minorHAnsi"/>
        </w:rPr>
        <w:t>4</w:t>
      </w:r>
      <w:r w:rsidRPr="00682233">
        <w:rPr>
          <w:rFonts w:asciiTheme="minorHAnsi" w:hAnsiTheme="minorHAnsi" w:cstheme="minorHAnsi"/>
          <w:spacing w:val="-9"/>
        </w:rPr>
        <w:t xml:space="preserve"> </w:t>
      </w:r>
      <w:r w:rsidRPr="00682233">
        <w:rPr>
          <w:rFonts w:asciiTheme="minorHAnsi" w:hAnsiTheme="minorHAnsi" w:cstheme="minorHAnsi"/>
        </w:rPr>
        <w:t>countries)</w:t>
      </w:r>
      <w:r w:rsidRPr="00682233">
        <w:rPr>
          <w:rFonts w:asciiTheme="minorHAnsi" w:hAnsiTheme="minorHAnsi" w:cstheme="minorHAnsi"/>
          <w:spacing w:val="-11"/>
        </w:rPr>
        <w:t xml:space="preserve"> </w:t>
      </w:r>
      <w:r w:rsidRPr="00682233">
        <w:rPr>
          <w:rFonts w:asciiTheme="minorHAnsi" w:hAnsiTheme="minorHAnsi" w:cstheme="minorHAnsi"/>
        </w:rPr>
        <w:t>replaced</w:t>
      </w:r>
      <w:r w:rsidRPr="00682233">
        <w:rPr>
          <w:rFonts w:asciiTheme="minorHAnsi" w:hAnsiTheme="minorHAnsi" w:cstheme="minorHAnsi"/>
          <w:spacing w:val="-12"/>
        </w:rPr>
        <w:t xml:space="preserve"> </w:t>
      </w:r>
      <w:r w:rsidRPr="00682233">
        <w:rPr>
          <w:rFonts w:asciiTheme="minorHAnsi" w:hAnsiTheme="minorHAnsi" w:cstheme="minorHAnsi"/>
        </w:rPr>
        <w:t>by</w:t>
      </w:r>
      <w:r w:rsidRPr="00682233">
        <w:rPr>
          <w:rFonts w:asciiTheme="minorHAnsi" w:hAnsiTheme="minorHAnsi" w:cstheme="minorHAnsi"/>
          <w:spacing w:val="-10"/>
        </w:rPr>
        <w:t xml:space="preserve"> </w:t>
      </w:r>
      <w:r w:rsidRPr="00682233">
        <w:rPr>
          <w:rFonts w:asciiTheme="minorHAnsi" w:hAnsiTheme="minorHAnsi" w:cstheme="minorHAnsi"/>
        </w:rPr>
        <w:t>"20</w:t>
      </w:r>
      <w:r w:rsidRPr="00682233">
        <w:rPr>
          <w:rFonts w:asciiTheme="minorHAnsi" w:hAnsiTheme="minorHAnsi" w:cstheme="minorHAnsi"/>
          <w:spacing w:val="-13"/>
        </w:rPr>
        <w:t xml:space="preserve"> </w:t>
      </w:r>
      <w:r w:rsidRPr="00682233">
        <w:rPr>
          <w:rFonts w:asciiTheme="minorHAnsi" w:hAnsiTheme="minorHAnsi" w:cstheme="minorHAnsi"/>
        </w:rPr>
        <w:t>monthly</w:t>
      </w:r>
      <w:r w:rsidRPr="00682233">
        <w:rPr>
          <w:rFonts w:asciiTheme="minorHAnsi" w:hAnsiTheme="minorHAnsi" w:cstheme="minorHAnsi"/>
          <w:spacing w:val="-11"/>
        </w:rPr>
        <w:t xml:space="preserve"> </w:t>
      </w:r>
      <w:r w:rsidRPr="00682233">
        <w:rPr>
          <w:rFonts w:asciiTheme="minorHAnsi" w:hAnsiTheme="minorHAnsi" w:cstheme="minorHAnsi"/>
        </w:rPr>
        <w:t>GGP</w:t>
      </w:r>
      <w:r w:rsidRPr="00682233">
        <w:rPr>
          <w:rFonts w:asciiTheme="minorHAnsi" w:hAnsiTheme="minorHAnsi" w:cstheme="minorHAnsi"/>
          <w:spacing w:val="-11"/>
        </w:rPr>
        <w:t xml:space="preserve"> </w:t>
      </w:r>
      <w:r w:rsidRPr="00682233">
        <w:rPr>
          <w:rFonts w:asciiTheme="minorHAnsi" w:hAnsiTheme="minorHAnsi" w:cstheme="minorHAnsi"/>
        </w:rPr>
        <w:t>Secretariat</w:t>
      </w:r>
      <w:r w:rsidRPr="00682233">
        <w:rPr>
          <w:rFonts w:asciiTheme="minorHAnsi" w:hAnsiTheme="minorHAnsi" w:cstheme="minorHAnsi"/>
          <w:spacing w:val="-14"/>
        </w:rPr>
        <w:t xml:space="preserve"> </w:t>
      </w:r>
      <w:r w:rsidRPr="00682233">
        <w:rPr>
          <w:rFonts w:asciiTheme="minorHAnsi" w:hAnsiTheme="minorHAnsi" w:cstheme="minorHAnsi"/>
        </w:rPr>
        <w:t>calls,</w:t>
      </w:r>
      <w:r w:rsidRPr="00682233">
        <w:rPr>
          <w:rFonts w:asciiTheme="minorHAnsi" w:hAnsiTheme="minorHAnsi" w:cstheme="minorHAnsi"/>
          <w:spacing w:val="-14"/>
        </w:rPr>
        <w:t xml:space="preserve"> </w:t>
      </w:r>
      <w:r w:rsidRPr="00682233">
        <w:rPr>
          <w:rFonts w:asciiTheme="minorHAnsi" w:hAnsiTheme="minorHAnsi" w:cstheme="minorHAnsi"/>
        </w:rPr>
        <w:t>6</w:t>
      </w:r>
      <w:r w:rsidRPr="00682233">
        <w:rPr>
          <w:rFonts w:asciiTheme="minorHAnsi" w:hAnsiTheme="minorHAnsi" w:cstheme="minorHAnsi"/>
          <w:spacing w:val="-13"/>
        </w:rPr>
        <w:t xml:space="preserve"> </w:t>
      </w:r>
      <w:r w:rsidRPr="00682233">
        <w:rPr>
          <w:rFonts w:asciiTheme="minorHAnsi" w:hAnsiTheme="minorHAnsi" w:cstheme="minorHAnsi"/>
        </w:rPr>
        <w:t>national</w:t>
      </w:r>
      <w:r w:rsidRPr="00682233">
        <w:rPr>
          <w:rFonts w:asciiTheme="minorHAnsi" w:hAnsiTheme="minorHAnsi" w:cstheme="minorHAnsi"/>
          <w:spacing w:val="-10"/>
        </w:rPr>
        <w:t xml:space="preserve"> </w:t>
      </w:r>
      <w:r w:rsidRPr="00682233">
        <w:rPr>
          <w:rFonts w:asciiTheme="minorHAnsi" w:hAnsiTheme="minorHAnsi" w:cstheme="minorHAnsi"/>
        </w:rPr>
        <w:t>and</w:t>
      </w:r>
      <w:r w:rsidRPr="00682233">
        <w:rPr>
          <w:rFonts w:asciiTheme="minorHAnsi" w:hAnsiTheme="minorHAnsi" w:cstheme="minorHAnsi"/>
          <w:spacing w:val="1"/>
        </w:rPr>
        <w:t xml:space="preserve"> </w:t>
      </w:r>
      <w:r w:rsidRPr="00682233">
        <w:rPr>
          <w:rFonts w:asciiTheme="minorHAnsi" w:hAnsiTheme="minorHAnsi" w:cstheme="minorHAnsi"/>
          <w:spacing w:val="-1"/>
        </w:rPr>
        <w:t>2</w:t>
      </w:r>
      <w:r w:rsidRPr="00682233">
        <w:rPr>
          <w:rFonts w:asciiTheme="minorHAnsi" w:hAnsiTheme="minorHAnsi" w:cstheme="minorHAnsi"/>
          <w:spacing w:val="-13"/>
        </w:rPr>
        <w:t xml:space="preserve"> </w:t>
      </w:r>
      <w:r w:rsidRPr="00682233">
        <w:rPr>
          <w:rFonts w:asciiTheme="minorHAnsi" w:hAnsiTheme="minorHAnsi" w:cstheme="minorHAnsi"/>
          <w:spacing w:val="-1"/>
        </w:rPr>
        <w:t>global</w:t>
      </w:r>
      <w:r w:rsidRPr="00682233">
        <w:rPr>
          <w:rFonts w:asciiTheme="minorHAnsi" w:hAnsiTheme="minorHAnsi" w:cstheme="minorHAnsi"/>
          <w:spacing w:val="-9"/>
        </w:rPr>
        <w:t xml:space="preserve"> </w:t>
      </w:r>
      <w:r w:rsidRPr="00682233">
        <w:rPr>
          <w:rFonts w:asciiTheme="minorHAnsi" w:hAnsiTheme="minorHAnsi" w:cstheme="minorHAnsi"/>
          <w:spacing w:val="-1"/>
        </w:rPr>
        <w:t>level</w:t>
      </w:r>
      <w:r w:rsidRPr="00682233">
        <w:rPr>
          <w:rFonts w:asciiTheme="minorHAnsi" w:hAnsiTheme="minorHAnsi" w:cstheme="minorHAnsi"/>
          <w:spacing w:val="-9"/>
        </w:rPr>
        <w:t xml:space="preserve"> </w:t>
      </w:r>
      <w:r w:rsidRPr="00682233">
        <w:rPr>
          <w:rFonts w:asciiTheme="minorHAnsi" w:hAnsiTheme="minorHAnsi" w:cstheme="minorHAnsi"/>
          <w:spacing w:val="-1"/>
        </w:rPr>
        <w:t>inter-agency</w:t>
      </w:r>
      <w:r w:rsidRPr="00682233">
        <w:rPr>
          <w:rFonts w:asciiTheme="minorHAnsi" w:hAnsiTheme="minorHAnsi" w:cstheme="minorHAnsi"/>
          <w:spacing w:val="-10"/>
        </w:rPr>
        <w:t xml:space="preserve"> </w:t>
      </w:r>
      <w:r w:rsidRPr="00682233">
        <w:rPr>
          <w:rFonts w:asciiTheme="minorHAnsi" w:hAnsiTheme="minorHAnsi" w:cstheme="minorHAnsi"/>
        </w:rPr>
        <w:t>interventions</w:t>
      </w:r>
      <w:r w:rsidRPr="00682233">
        <w:rPr>
          <w:rFonts w:asciiTheme="minorHAnsi" w:hAnsiTheme="minorHAnsi" w:cstheme="minorHAnsi"/>
          <w:spacing w:val="-11"/>
        </w:rPr>
        <w:t xml:space="preserve"> </w:t>
      </w:r>
      <w:r w:rsidRPr="00682233">
        <w:rPr>
          <w:rFonts w:asciiTheme="minorHAnsi" w:hAnsiTheme="minorHAnsi" w:cstheme="minorHAnsi"/>
        </w:rPr>
        <w:t>plans";</w:t>
      </w:r>
      <w:r w:rsidRPr="00682233">
        <w:rPr>
          <w:rFonts w:asciiTheme="minorHAnsi" w:hAnsiTheme="minorHAnsi" w:cstheme="minorHAnsi"/>
          <w:spacing w:val="-12"/>
        </w:rPr>
        <w:t xml:space="preserve"> </w:t>
      </w:r>
      <w:r w:rsidRPr="00682233">
        <w:rPr>
          <w:rFonts w:asciiTheme="minorHAnsi" w:hAnsiTheme="minorHAnsi" w:cstheme="minorHAnsi"/>
          <w:b/>
        </w:rPr>
        <w:t>End</w:t>
      </w:r>
      <w:r w:rsidRPr="00682233">
        <w:rPr>
          <w:rFonts w:asciiTheme="minorHAnsi" w:hAnsiTheme="minorHAnsi" w:cstheme="minorHAnsi"/>
          <w:b/>
          <w:spacing w:val="-10"/>
        </w:rPr>
        <w:t xml:space="preserve"> </w:t>
      </w:r>
      <w:r w:rsidRPr="00682233">
        <w:rPr>
          <w:rFonts w:asciiTheme="minorHAnsi" w:hAnsiTheme="minorHAnsi" w:cstheme="minorHAnsi"/>
          <w:b/>
        </w:rPr>
        <w:t>of</w:t>
      </w:r>
      <w:r w:rsidRPr="00682233">
        <w:rPr>
          <w:rFonts w:asciiTheme="minorHAnsi" w:hAnsiTheme="minorHAnsi" w:cstheme="minorHAnsi"/>
          <w:b/>
          <w:spacing w:val="-14"/>
        </w:rPr>
        <w:t xml:space="preserve"> </w:t>
      </w:r>
      <w:r w:rsidRPr="00682233">
        <w:rPr>
          <w:rFonts w:asciiTheme="minorHAnsi" w:hAnsiTheme="minorHAnsi" w:cstheme="minorHAnsi"/>
          <w:b/>
        </w:rPr>
        <w:t>Project</w:t>
      </w:r>
      <w:r w:rsidRPr="00682233">
        <w:rPr>
          <w:rFonts w:asciiTheme="minorHAnsi" w:hAnsiTheme="minorHAnsi" w:cstheme="minorHAnsi"/>
          <w:b/>
          <w:spacing w:val="-10"/>
        </w:rPr>
        <w:t xml:space="preserve"> </w:t>
      </w:r>
      <w:r w:rsidRPr="00682233">
        <w:rPr>
          <w:rFonts w:asciiTheme="minorHAnsi" w:hAnsiTheme="minorHAnsi" w:cstheme="minorHAnsi"/>
          <w:b/>
        </w:rPr>
        <w:t>Target</w:t>
      </w:r>
      <w:r w:rsidRPr="00682233">
        <w:rPr>
          <w:rFonts w:asciiTheme="minorHAnsi" w:hAnsiTheme="minorHAnsi" w:cstheme="minorHAnsi"/>
        </w:rPr>
        <w:t>:</w:t>
      </w:r>
      <w:r w:rsidRPr="00682233">
        <w:rPr>
          <w:rFonts w:asciiTheme="minorHAnsi" w:hAnsiTheme="minorHAnsi" w:cstheme="minorHAnsi"/>
          <w:spacing w:val="-13"/>
        </w:rPr>
        <w:t xml:space="preserve"> </w:t>
      </w:r>
      <w:r w:rsidRPr="00682233">
        <w:rPr>
          <w:rFonts w:asciiTheme="minorHAnsi" w:hAnsiTheme="minorHAnsi" w:cstheme="minorHAnsi"/>
        </w:rPr>
        <w:t>"16</w:t>
      </w:r>
      <w:r w:rsidRPr="00682233">
        <w:rPr>
          <w:rFonts w:asciiTheme="minorHAnsi" w:hAnsiTheme="minorHAnsi" w:cstheme="minorHAnsi"/>
          <w:spacing w:val="-7"/>
        </w:rPr>
        <w:t xml:space="preserve"> </w:t>
      </w:r>
      <w:r w:rsidRPr="00682233">
        <w:rPr>
          <w:rFonts w:asciiTheme="minorHAnsi" w:hAnsiTheme="minorHAnsi" w:cstheme="minorHAnsi"/>
        </w:rPr>
        <w:t>national</w:t>
      </w:r>
      <w:r w:rsidRPr="00682233">
        <w:rPr>
          <w:rFonts w:asciiTheme="minorHAnsi" w:hAnsiTheme="minorHAnsi" w:cstheme="minorHAnsi"/>
          <w:spacing w:val="-9"/>
        </w:rPr>
        <w:t xml:space="preserve"> </w:t>
      </w:r>
      <w:r w:rsidRPr="00682233">
        <w:rPr>
          <w:rFonts w:asciiTheme="minorHAnsi" w:hAnsiTheme="minorHAnsi" w:cstheme="minorHAnsi"/>
        </w:rPr>
        <w:t>level</w:t>
      </w:r>
      <w:r w:rsidRPr="00682233">
        <w:rPr>
          <w:rFonts w:asciiTheme="minorHAnsi" w:hAnsiTheme="minorHAnsi" w:cstheme="minorHAnsi"/>
          <w:spacing w:val="-9"/>
        </w:rPr>
        <w:t xml:space="preserve"> </w:t>
      </w:r>
      <w:r w:rsidRPr="00682233">
        <w:rPr>
          <w:rFonts w:asciiTheme="minorHAnsi" w:hAnsiTheme="minorHAnsi" w:cstheme="minorHAnsi"/>
        </w:rPr>
        <w:t>inter-</w:t>
      </w:r>
      <w:r w:rsidRPr="00682233">
        <w:rPr>
          <w:rFonts w:asciiTheme="minorHAnsi" w:hAnsiTheme="minorHAnsi" w:cstheme="minorHAnsi"/>
          <w:spacing w:val="-47"/>
        </w:rPr>
        <w:t xml:space="preserve"> </w:t>
      </w:r>
      <w:r w:rsidRPr="00682233">
        <w:rPr>
          <w:rFonts w:asciiTheme="minorHAnsi" w:hAnsiTheme="minorHAnsi" w:cstheme="minorHAnsi"/>
        </w:rPr>
        <w:t>agency workplans (one per country per year for 4 countries)" replaced by "40 monthly GGP</w:t>
      </w:r>
      <w:r w:rsidRPr="00682233">
        <w:rPr>
          <w:rFonts w:asciiTheme="minorHAnsi" w:hAnsiTheme="minorHAnsi" w:cstheme="minorHAnsi"/>
          <w:spacing w:val="1"/>
        </w:rPr>
        <w:t xml:space="preserve"> </w:t>
      </w:r>
      <w:r w:rsidRPr="00682233">
        <w:rPr>
          <w:rFonts w:asciiTheme="minorHAnsi" w:hAnsiTheme="minorHAnsi" w:cstheme="minorHAnsi"/>
        </w:rPr>
        <w:t>Secretariat</w:t>
      </w:r>
      <w:r w:rsidRPr="00682233">
        <w:rPr>
          <w:rFonts w:asciiTheme="minorHAnsi" w:hAnsiTheme="minorHAnsi" w:cstheme="minorHAnsi"/>
          <w:spacing w:val="-6"/>
        </w:rPr>
        <w:t xml:space="preserve"> </w:t>
      </w:r>
      <w:r w:rsidRPr="00682233">
        <w:rPr>
          <w:rFonts w:asciiTheme="minorHAnsi" w:hAnsiTheme="minorHAnsi" w:cstheme="minorHAnsi"/>
        </w:rPr>
        <w:t>calls,</w:t>
      </w:r>
      <w:r w:rsidRPr="00682233">
        <w:rPr>
          <w:rFonts w:asciiTheme="minorHAnsi" w:hAnsiTheme="minorHAnsi" w:cstheme="minorHAnsi"/>
          <w:spacing w:val="-5"/>
        </w:rPr>
        <w:t xml:space="preserve"> </w:t>
      </w:r>
      <w:r w:rsidRPr="00682233">
        <w:rPr>
          <w:rFonts w:asciiTheme="minorHAnsi" w:hAnsiTheme="minorHAnsi" w:cstheme="minorHAnsi"/>
        </w:rPr>
        <w:t>12</w:t>
      </w:r>
      <w:r w:rsidRPr="00682233">
        <w:rPr>
          <w:rFonts w:asciiTheme="minorHAnsi" w:hAnsiTheme="minorHAnsi" w:cstheme="minorHAnsi"/>
          <w:spacing w:val="-4"/>
        </w:rPr>
        <w:t xml:space="preserve"> </w:t>
      </w:r>
      <w:r w:rsidRPr="00682233">
        <w:rPr>
          <w:rFonts w:asciiTheme="minorHAnsi" w:hAnsiTheme="minorHAnsi" w:cstheme="minorHAnsi"/>
        </w:rPr>
        <w:t>national</w:t>
      </w:r>
      <w:r w:rsidRPr="00682233">
        <w:rPr>
          <w:rFonts w:asciiTheme="minorHAnsi" w:hAnsiTheme="minorHAnsi" w:cstheme="minorHAnsi"/>
          <w:spacing w:val="-1"/>
        </w:rPr>
        <w:t xml:space="preserve"> </w:t>
      </w:r>
      <w:r w:rsidRPr="00682233">
        <w:rPr>
          <w:rFonts w:asciiTheme="minorHAnsi" w:hAnsiTheme="minorHAnsi" w:cstheme="minorHAnsi"/>
        </w:rPr>
        <w:t>and</w:t>
      </w:r>
      <w:r w:rsidRPr="00682233">
        <w:rPr>
          <w:rFonts w:asciiTheme="minorHAnsi" w:hAnsiTheme="minorHAnsi" w:cstheme="minorHAnsi"/>
          <w:spacing w:val="-3"/>
        </w:rPr>
        <w:t xml:space="preserve"> </w:t>
      </w:r>
      <w:r w:rsidRPr="00682233">
        <w:rPr>
          <w:rFonts w:asciiTheme="minorHAnsi" w:hAnsiTheme="minorHAnsi" w:cstheme="minorHAnsi"/>
        </w:rPr>
        <w:t>4</w:t>
      </w:r>
      <w:r w:rsidRPr="00682233">
        <w:rPr>
          <w:rFonts w:asciiTheme="minorHAnsi" w:hAnsiTheme="minorHAnsi" w:cstheme="minorHAnsi"/>
          <w:spacing w:val="-4"/>
        </w:rPr>
        <w:t xml:space="preserve"> </w:t>
      </w:r>
      <w:r w:rsidRPr="00682233">
        <w:rPr>
          <w:rFonts w:asciiTheme="minorHAnsi" w:hAnsiTheme="minorHAnsi" w:cstheme="minorHAnsi"/>
        </w:rPr>
        <w:t>global</w:t>
      </w:r>
      <w:r w:rsidRPr="00682233">
        <w:rPr>
          <w:rFonts w:asciiTheme="minorHAnsi" w:hAnsiTheme="minorHAnsi" w:cstheme="minorHAnsi"/>
          <w:spacing w:val="-1"/>
        </w:rPr>
        <w:t xml:space="preserve"> </w:t>
      </w:r>
      <w:r w:rsidRPr="00682233">
        <w:rPr>
          <w:rFonts w:asciiTheme="minorHAnsi" w:hAnsiTheme="minorHAnsi" w:cstheme="minorHAnsi"/>
        </w:rPr>
        <w:t>level</w:t>
      </w:r>
      <w:r w:rsidRPr="00682233">
        <w:rPr>
          <w:rFonts w:asciiTheme="minorHAnsi" w:hAnsiTheme="minorHAnsi" w:cstheme="minorHAnsi"/>
          <w:spacing w:val="-1"/>
        </w:rPr>
        <w:t xml:space="preserve"> </w:t>
      </w:r>
      <w:r w:rsidRPr="00682233">
        <w:rPr>
          <w:rFonts w:asciiTheme="minorHAnsi" w:hAnsiTheme="minorHAnsi" w:cstheme="minorHAnsi"/>
        </w:rPr>
        <w:t>inter-agency</w:t>
      </w:r>
      <w:r w:rsidRPr="00682233">
        <w:rPr>
          <w:rFonts w:asciiTheme="minorHAnsi" w:hAnsiTheme="minorHAnsi" w:cstheme="minorHAnsi"/>
          <w:spacing w:val="-2"/>
        </w:rPr>
        <w:t xml:space="preserve"> </w:t>
      </w:r>
      <w:r w:rsidRPr="00682233">
        <w:rPr>
          <w:rFonts w:asciiTheme="minorHAnsi" w:hAnsiTheme="minorHAnsi" w:cstheme="minorHAnsi"/>
        </w:rPr>
        <w:t>intervention</w:t>
      </w:r>
      <w:r w:rsidRPr="00682233">
        <w:rPr>
          <w:rFonts w:asciiTheme="minorHAnsi" w:hAnsiTheme="minorHAnsi" w:cstheme="minorHAnsi"/>
          <w:spacing w:val="-3"/>
        </w:rPr>
        <w:t xml:space="preserve"> </w:t>
      </w:r>
      <w:r w:rsidRPr="00682233">
        <w:rPr>
          <w:rFonts w:asciiTheme="minorHAnsi" w:hAnsiTheme="minorHAnsi" w:cstheme="minorHAnsi"/>
        </w:rPr>
        <w:t>plans"</w:t>
      </w:r>
    </w:p>
    <w:p w14:paraId="782476B0" w14:textId="77777777" w:rsidR="00790ED6" w:rsidRPr="00682233" w:rsidRDefault="00790ED6" w:rsidP="00790ED6">
      <w:pPr>
        <w:pStyle w:val="ListParagraph"/>
        <w:numPr>
          <w:ilvl w:val="1"/>
          <w:numId w:val="79"/>
        </w:numPr>
        <w:tabs>
          <w:tab w:val="left" w:pos="861"/>
        </w:tabs>
        <w:spacing w:before="126" w:line="276" w:lineRule="auto"/>
        <w:ind w:right="110"/>
        <w:jc w:val="both"/>
        <w:rPr>
          <w:rFonts w:asciiTheme="minorHAnsi" w:hAnsiTheme="minorHAnsi" w:cstheme="minorHAnsi"/>
        </w:rPr>
      </w:pPr>
      <w:r w:rsidRPr="00682233">
        <w:rPr>
          <w:rFonts w:asciiTheme="minorHAnsi" w:hAnsiTheme="minorHAnsi" w:cstheme="minorHAnsi"/>
        </w:rPr>
        <w:t xml:space="preserve">The midterm target for </w:t>
      </w:r>
      <w:r w:rsidRPr="00682233">
        <w:rPr>
          <w:rFonts w:asciiTheme="minorHAnsi" w:hAnsiTheme="minorHAnsi" w:cstheme="minorHAnsi"/>
          <w:b/>
        </w:rPr>
        <w:t xml:space="preserve">Outcome indicator 3.1 </w:t>
      </w:r>
      <w:r w:rsidRPr="00682233">
        <w:rPr>
          <w:rFonts w:asciiTheme="minorHAnsi" w:hAnsiTheme="minorHAnsi" w:cstheme="minorHAnsi"/>
        </w:rPr>
        <w:t>“Number of knowledge products on IAP to</w:t>
      </w:r>
      <w:r w:rsidRPr="00682233">
        <w:rPr>
          <w:rFonts w:asciiTheme="minorHAnsi" w:hAnsiTheme="minorHAnsi" w:cstheme="minorHAnsi"/>
          <w:spacing w:val="1"/>
        </w:rPr>
        <w:t xml:space="preserve"> </w:t>
      </w:r>
      <w:r w:rsidRPr="00682233">
        <w:rPr>
          <w:rFonts w:asciiTheme="minorHAnsi" w:hAnsiTheme="minorHAnsi" w:cstheme="minorHAnsi"/>
        </w:rPr>
        <w:t>share</w:t>
      </w:r>
      <w:r w:rsidRPr="00682233">
        <w:rPr>
          <w:rFonts w:asciiTheme="minorHAnsi" w:hAnsiTheme="minorHAnsi" w:cstheme="minorHAnsi"/>
          <w:spacing w:val="1"/>
        </w:rPr>
        <w:t xml:space="preserve"> </w:t>
      </w:r>
      <w:r w:rsidRPr="00682233">
        <w:rPr>
          <w:rFonts w:asciiTheme="minorHAnsi" w:hAnsiTheme="minorHAnsi" w:cstheme="minorHAnsi"/>
        </w:rPr>
        <w:t>IAP</w:t>
      </w:r>
      <w:r w:rsidRPr="00682233">
        <w:rPr>
          <w:rFonts w:asciiTheme="minorHAnsi" w:hAnsiTheme="minorHAnsi" w:cstheme="minorHAnsi"/>
          <w:spacing w:val="1"/>
        </w:rPr>
        <w:t xml:space="preserve"> </w:t>
      </w:r>
      <w:r w:rsidRPr="00682233">
        <w:rPr>
          <w:rFonts w:asciiTheme="minorHAnsi" w:hAnsiTheme="minorHAnsi" w:cstheme="minorHAnsi"/>
        </w:rPr>
        <w:t>insights</w:t>
      </w:r>
      <w:r w:rsidRPr="00682233">
        <w:rPr>
          <w:rFonts w:asciiTheme="minorHAnsi" w:hAnsiTheme="minorHAnsi" w:cstheme="minorHAnsi"/>
          <w:spacing w:val="1"/>
        </w:rPr>
        <w:t xml:space="preserve"> </w:t>
      </w:r>
      <w:r w:rsidRPr="00682233">
        <w:rPr>
          <w:rFonts w:asciiTheme="minorHAnsi" w:hAnsiTheme="minorHAnsi" w:cstheme="minorHAnsi"/>
        </w:rPr>
        <w:t>and</w:t>
      </w:r>
      <w:r w:rsidRPr="00682233">
        <w:rPr>
          <w:rFonts w:asciiTheme="minorHAnsi" w:hAnsiTheme="minorHAnsi" w:cstheme="minorHAnsi"/>
          <w:spacing w:val="1"/>
        </w:rPr>
        <w:t xml:space="preserve"> </w:t>
      </w:r>
      <w:r w:rsidRPr="00682233">
        <w:rPr>
          <w:rFonts w:asciiTheme="minorHAnsi" w:hAnsiTheme="minorHAnsi" w:cstheme="minorHAnsi"/>
        </w:rPr>
        <w:t>learnings”</w:t>
      </w:r>
      <w:r w:rsidRPr="00682233">
        <w:rPr>
          <w:rFonts w:asciiTheme="minorHAnsi" w:hAnsiTheme="minorHAnsi" w:cstheme="minorHAnsi"/>
          <w:spacing w:val="1"/>
        </w:rPr>
        <w:t xml:space="preserve"> </w:t>
      </w:r>
      <w:r w:rsidRPr="00682233">
        <w:rPr>
          <w:rFonts w:asciiTheme="minorHAnsi" w:hAnsiTheme="minorHAnsi" w:cstheme="minorHAnsi"/>
        </w:rPr>
        <w:t>had</w:t>
      </w:r>
      <w:r w:rsidRPr="00682233">
        <w:rPr>
          <w:rFonts w:asciiTheme="minorHAnsi" w:hAnsiTheme="minorHAnsi" w:cstheme="minorHAnsi"/>
          <w:spacing w:val="1"/>
        </w:rPr>
        <w:t xml:space="preserve"> </w:t>
      </w:r>
      <w:r w:rsidRPr="00682233">
        <w:rPr>
          <w:rFonts w:asciiTheme="minorHAnsi" w:hAnsiTheme="minorHAnsi" w:cstheme="minorHAnsi"/>
        </w:rPr>
        <w:t>originally</w:t>
      </w:r>
      <w:r w:rsidRPr="00682233">
        <w:rPr>
          <w:rFonts w:asciiTheme="minorHAnsi" w:hAnsiTheme="minorHAnsi" w:cstheme="minorHAnsi"/>
          <w:spacing w:val="1"/>
        </w:rPr>
        <w:t xml:space="preserve"> </w:t>
      </w:r>
      <w:r w:rsidRPr="00682233">
        <w:rPr>
          <w:rFonts w:asciiTheme="minorHAnsi" w:hAnsiTheme="minorHAnsi" w:cstheme="minorHAnsi"/>
        </w:rPr>
        <w:t>specified</w:t>
      </w:r>
      <w:r w:rsidRPr="00682233">
        <w:rPr>
          <w:rFonts w:asciiTheme="minorHAnsi" w:hAnsiTheme="minorHAnsi" w:cstheme="minorHAnsi"/>
          <w:spacing w:val="1"/>
        </w:rPr>
        <w:t xml:space="preserve"> </w:t>
      </w:r>
      <w:r w:rsidRPr="00682233">
        <w:rPr>
          <w:rFonts w:asciiTheme="minorHAnsi" w:hAnsiTheme="minorHAnsi" w:cstheme="minorHAnsi"/>
        </w:rPr>
        <w:t>a</w:t>
      </w:r>
      <w:r w:rsidRPr="00682233">
        <w:rPr>
          <w:rFonts w:asciiTheme="minorHAnsi" w:hAnsiTheme="minorHAnsi" w:cstheme="minorHAnsi"/>
          <w:spacing w:val="1"/>
        </w:rPr>
        <w:t xml:space="preserve"> </w:t>
      </w:r>
      <w:r w:rsidRPr="00682233">
        <w:rPr>
          <w:rFonts w:asciiTheme="minorHAnsi" w:hAnsiTheme="minorHAnsi" w:cstheme="minorHAnsi"/>
        </w:rPr>
        <w:t>partnership</w:t>
      </w:r>
      <w:r w:rsidRPr="00682233">
        <w:rPr>
          <w:rFonts w:asciiTheme="minorHAnsi" w:hAnsiTheme="minorHAnsi" w:cstheme="minorHAnsi"/>
          <w:spacing w:val="1"/>
        </w:rPr>
        <w:t xml:space="preserve"> </w:t>
      </w:r>
      <w:r w:rsidRPr="00682233">
        <w:rPr>
          <w:rFonts w:asciiTheme="minorHAnsi" w:hAnsiTheme="minorHAnsi" w:cstheme="minorHAnsi"/>
        </w:rPr>
        <w:t>with</w:t>
      </w:r>
      <w:r w:rsidRPr="00682233">
        <w:rPr>
          <w:rFonts w:asciiTheme="minorHAnsi" w:hAnsiTheme="minorHAnsi" w:cstheme="minorHAnsi"/>
          <w:spacing w:val="1"/>
        </w:rPr>
        <w:t xml:space="preserve"> </w:t>
      </w:r>
      <w:r w:rsidRPr="00682233">
        <w:rPr>
          <w:rFonts w:asciiTheme="minorHAnsi" w:hAnsiTheme="minorHAnsi" w:cstheme="minorHAnsi"/>
        </w:rPr>
        <w:t>Guardian</w:t>
      </w:r>
      <w:r w:rsidRPr="00682233">
        <w:rPr>
          <w:rFonts w:asciiTheme="minorHAnsi" w:hAnsiTheme="minorHAnsi" w:cstheme="minorHAnsi"/>
          <w:spacing w:val="1"/>
        </w:rPr>
        <w:t xml:space="preserve"> </w:t>
      </w:r>
      <w:r w:rsidRPr="00682233">
        <w:rPr>
          <w:rFonts w:asciiTheme="minorHAnsi" w:hAnsiTheme="minorHAnsi" w:cstheme="minorHAnsi"/>
        </w:rPr>
        <w:t>Sustainable Business. This arrangement is no longer being pursued, and has been replaced</w:t>
      </w:r>
      <w:r w:rsidRPr="00682233">
        <w:rPr>
          <w:rFonts w:asciiTheme="minorHAnsi" w:hAnsiTheme="minorHAnsi" w:cstheme="minorHAnsi"/>
          <w:spacing w:val="1"/>
        </w:rPr>
        <w:t xml:space="preserve"> </w:t>
      </w:r>
      <w:r w:rsidRPr="00682233">
        <w:rPr>
          <w:rFonts w:asciiTheme="minorHAnsi" w:hAnsiTheme="minorHAnsi" w:cstheme="minorHAnsi"/>
        </w:rPr>
        <w:t>with</w:t>
      </w:r>
      <w:r w:rsidRPr="00682233">
        <w:rPr>
          <w:rFonts w:asciiTheme="minorHAnsi" w:hAnsiTheme="minorHAnsi" w:cstheme="minorHAnsi"/>
          <w:spacing w:val="-4"/>
        </w:rPr>
        <w:t xml:space="preserve"> </w:t>
      </w:r>
      <w:r w:rsidRPr="00682233">
        <w:rPr>
          <w:rFonts w:asciiTheme="minorHAnsi" w:hAnsiTheme="minorHAnsi" w:cstheme="minorHAnsi"/>
        </w:rPr>
        <w:t>a</w:t>
      </w:r>
      <w:r w:rsidRPr="00682233">
        <w:rPr>
          <w:rFonts w:asciiTheme="minorHAnsi" w:hAnsiTheme="minorHAnsi" w:cstheme="minorHAnsi"/>
          <w:spacing w:val="-3"/>
        </w:rPr>
        <w:t xml:space="preserve"> </w:t>
      </w:r>
      <w:r w:rsidRPr="00682233">
        <w:rPr>
          <w:rFonts w:asciiTheme="minorHAnsi" w:hAnsiTheme="minorHAnsi" w:cstheme="minorHAnsi"/>
        </w:rPr>
        <w:t>partnership</w:t>
      </w:r>
      <w:r w:rsidRPr="00682233">
        <w:rPr>
          <w:rFonts w:asciiTheme="minorHAnsi" w:hAnsiTheme="minorHAnsi" w:cstheme="minorHAnsi"/>
          <w:spacing w:val="-3"/>
        </w:rPr>
        <w:t xml:space="preserve"> </w:t>
      </w:r>
      <w:r w:rsidRPr="00682233">
        <w:rPr>
          <w:rFonts w:asciiTheme="minorHAnsi" w:hAnsiTheme="minorHAnsi" w:cstheme="minorHAnsi"/>
        </w:rPr>
        <w:t>with</w:t>
      </w:r>
      <w:r w:rsidRPr="00682233">
        <w:rPr>
          <w:rFonts w:asciiTheme="minorHAnsi" w:hAnsiTheme="minorHAnsi" w:cstheme="minorHAnsi"/>
          <w:spacing w:val="-4"/>
        </w:rPr>
        <w:t xml:space="preserve"> </w:t>
      </w:r>
      <w:r w:rsidRPr="00682233">
        <w:rPr>
          <w:rFonts w:asciiTheme="minorHAnsi" w:hAnsiTheme="minorHAnsi" w:cstheme="minorHAnsi"/>
        </w:rPr>
        <w:t>Reuters. The</w:t>
      </w:r>
      <w:r w:rsidRPr="00682233">
        <w:rPr>
          <w:rFonts w:asciiTheme="minorHAnsi" w:hAnsiTheme="minorHAnsi" w:cstheme="minorHAnsi"/>
          <w:spacing w:val="-3"/>
        </w:rPr>
        <w:t xml:space="preserve"> </w:t>
      </w:r>
      <w:r w:rsidRPr="00682233">
        <w:rPr>
          <w:rFonts w:asciiTheme="minorHAnsi" w:hAnsiTheme="minorHAnsi" w:cstheme="minorHAnsi"/>
        </w:rPr>
        <w:t>target</w:t>
      </w:r>
      <w:r w:rsidRPr="00682233">
        <w:rPr>
          <w:rFonts w:asciiTheme="minorHAnsi" w:hAnsiTheme="minorHAnsi" w:cstheme="minorHAnsi"/>
          <w:spacing w:val="-4"/>
        </w:rPr>
        <w:t xml:space="preserve"> </w:t>
      </w:r>
      <w:r w:rsidRPr="00682233">
        <w:rPr>
          <w:rFonts w:asciiTheme="minorHAnsi" w:hAnsiTheme="minorHAnsi" w:cstheme="minorHAnsi"/>
        </w:rPr>
        <w:t>has</w:t>
      </w:r>
      <w:r w:rsidRPr="00682233">
        <w:rPr>
          <w:rFonts w:asciiTheme="minorHAnsi" w:hAnsiTheme="minorHAnsi" w:cstheme="minorHAnsi"/>
          <w:spacing w:val="-3"/>
        </w:rPr>
        <w:t xml:space="preserve"> </w:t>
      </w:r>
      <w:r w:rsidRPr="00682233">
        <w:rPr>
          <w:rFonts w:asciiTheme="minorHAnsi" w:hAnsiTheme="minorHAnsi" w:cstheme="minorHAnsi"/>
        </w:rPr>
        <w:t>been</w:t>
      </w:r>
      <w:r w:rsidRPr="00682233">
        <w:rPr>
          <w:rFonts w:asciiTheme="minorHAnsi" w:hAnsiTheme="minorHAnsi" w:cstheme="minorHAnsi"/>
          <w:spacing w:val="-3"/>
        </w:rPr>
        <w:t xml:space="preserve"> </w:t>
      </w:r>
      <w:r w:rsidRPr="00682233">
        <w:rPr>
          <w:rFonts w:asciiTheme="minorHAnsi" w:hAnsiTheme="minorHAnsi" w:cstheme="minorHAnsi"/>
        </w:rPr>
        <w:t>revised</w:t>
      </w:r>
      <w:r w:rsidRPr="00682233">
        <w:rPr>
          <w:rFonts w:asciiTheme="minorHAnsi" w:hAnsiTheme="minorHAnsi" w:cstheme="minorHAnsi"/>
          <w:spacing w:val="-4"/>
        </w:rPr>
        <w:t xml:space="preserve"> </w:t>
      </w:r>
      <w:r w:rsidRPr="00682233">
        <w:rPr>
          <w:rFonts w:asciiTheme="minorHAnsi" w:hAnsiTheme="minorHAnsi" w:cstheme="minorHAnsi"/>
        </w:rPr>
        <w:t>to</w:t>
      </w:r>
      <w:r w:rsidRPr="00682233">
        <w:rPr>
          <w:rFonts w:asciiTheme="minorHAnsi" w:hAnsiTheme="minorHAnsi" w:cstheme="minorHAnsi"/>
          <w:spacing w:val="-3"/>
        </w:rPr>
        <w:t xml:space="preserve"> </w:t>
      </w:r>
      <w:r w:rsidRPr="00682233">
        <w:rPr>
          <w:rFonts w:asciiTheme="minorHAnsi" w:hAnsiTheme="minorHAnsi" w:cstheme="minorHAnsi"/>
        </w:rPr>
        <w:t>show</w:t>
      </w:r>
      <w:r w:rsidRPr="00682233">
        <w:rPr>
          <w:rFonts w:asciiTheme="minorHAnsi" w:hAnsiTheme="minorHAnsi" w:cstheme="minorHAnsi"/>
          <w:spacing w:val="-3"/>
        </w:rPr>
        <w:t xml:space="preserve"> </w:t>
      </w:r>
      <w:r w:rsidRPr="00682233">
        <w:rPr>
          <w:rFonts w:asciiTheme="minorHAnsi" w:hAnsiTheme="minorHAnsi" w:cstheme="minorHAnsi"/>
        </w:rPr>
        <w:t>that</w:t>
      </w:r>
      <w:r w:rsidRPr="00682233">
        <w:rPr>
          <w:rFonts w:asciiTheme="minorHAnsi" w:hAnsiTheme="minorHAnsi" w:cstheme="minorHAnsi"/>
          <w:spacing w:val="-5"/>
        </w:rPr>
        <w:t xml:space="preserve"> </w:t>
      </w:r>
      <w:r w:rsidRPr="00682233">
        <w:rPr>
          <w:rFonts w:asciiTheme="minorHAnsi" w:hAnsiTheme="minorHAnsi" w:cstheme="minorHAnsi"/>
        </w:rPr>
        <w:t>articles</w:t>
      </w:r>
      <w:r w:rsidRPr="00682233">
        <w:rPr>
          <w:rFonts w:asciiTheme="minorHAnsi" w:hAnsiTheme="minorHAnsi" w:cstheme="minorHAnsi"/>
          <w:spacing w:val="-2"/>
        </w:rPr>
        <w:t xml:space="preserve"> </w:t>
      </w:r>
      <w:r w:rsidRPr="00682233">
        <w:rPr>
          <w:rFonts w:asciiTheme="minorHAnsi" w:hAnsiTheme="minorHAnsi" w:cstheme="minorHAnsi"/>
        </w:rPr>
        <w:t>will appear</w:t>
      </w:r>
      <w:r w:rsidRPr="00682233">
        <w:rPr>
          <w:rFonts w:asciiTheme="minorHAnsi" w:hAnsiTheme="minorHAnsi" w:cstheme="minorHAnsi"/>
          <w:spacing w:val="-48"/>
        </w:rPr>
        <w:t xml:space="preserve"> </w:t>
      </w:r>
      <w:r w:rsidRPr="00682233">
        <w:rPr>
          <w:rFonts w:asciiTheme="minorHAnsi" w:hAnsiTheme="minorHAnsi" w:cstheme="minorHAnsi"/>
        </w:rPr>
        <w:t>on “media partner</w:t>
      </w:r>
      <w:r w:rsidRPr="00682233">
        <w:rPr>
          <w:rFonts w:asciiTheme="minorHAnsi" w:hAnsiTheme="minorHAnsi" w:cstheme="minorHAnsi"/>
          <w:spacing w:val="1"/>
        </w:rPr>
        <w:t xml:space="preserve"> </w:t>
      </w:r>
      <w:r w:rsidRPr="00682233">
        <w:rPr>
          <w:rFonts w:asciiTheme="minorHAnsi" w:hAnsiTheme="minorHAnsi" w:cstheme="minorHAnsi"/>
        </w:rPr>
        <w:t>websites,” which</w:t>
      </w:r>
      <w:r w:rsidRPr="00682233">
        <w:rPr>
          <w:rFonts w:asciiTheme="minorHAnsi" w:hAnsiTheme="minorHAnsi" w:cstheme="minorHAnsi"/>
          <w:spacing w:val="1"/>
        </w:rPr>
        <w:t xml:space="preserve"> </w:t>
      </w:r>
      <w:r w:rsidRPr="00682233">
        <w:rPr>
          <w:rFonts w:asciiTheme="minorHAnsi" w:hAnsiTheme="minorHAnsi" w:cstheme="minorHAnsi"/>
        </w:rPr>
        <w:t>will</w:t>
      </w:r>
      <w:r w:rsidRPr="00682233">
        <w:rPr>
          <w:rFonts w:asciiTheme="minorHAnsi" w:hAnsiTheme="minorHAnsi" w:cstheme="minorHAnsi"/>
          <w:spacing w:val="1"/>
        </w:rPr>
        <w:t xml:space="preserve"> </w:t>
      </w:r>
      <w:r w:rsidRPr="00682233">
        <w:rPr>
          <w:rFonts w:asciiTheme="minorHAnsi" w:hAnsiTheme="minorHAnsi" w:cstheme="minorHAnsi"/>
        </w:rPr>
        <w:t>allow room</w:t>
      </w:r>
      <w:r w:rsidRPr="00682233">
        <w:rPr>
          <w:rFonts w:asciiTheme="minorHAnsi" w:hAnsiTheme="minorHAnsi" w:cstheme="minorHAnsi"/>
          <w:spacing w:val="1"/>
        </w:rPr>
        <w:t xml:space="preserve"> </w:t>
      </w:r>
      <w:r w:rsidRPr="00682233">
        <w:rPr>
          <w:rFonts w:asciiTheme="minorHAnsi" w:hAnsiTheme="minorHAnsi" w:cstheme="minorHAnsi"/>
        </w:rPr>
        <w:t>to</w:t>
      </w:r>
      <w:r w:rsidRPr="00682233">
        <w:rPr>
          <w:rFonts w:asciiTheme="minorHAnsi" w:hAnsiTheme="minorHAnsi" w:cstheme="minorHAnsi"/>
          <w:spacing w:val="1"/>
        </w:rPr>
        <w:t xml:space="preserve"> </w:t>
      </w:r>
      <w:r w:rsidRPr="00682233">
        <w:rPr>
          <w:rFonts w:asciiTheme="minorHAnsi" w:hAnsiTheme="minorHAnsi" w:cstheme="minorHAnsi"/>
        </w:rPr>
        <w:t>explore other</w:t>
      </w:r>
      <w:r w:rsidRPr="00682233">
        <w:rPr>
          <w:rFonts w:asciiTheme="minorHAnsi" w:hAnsiTheme="minorHAnsi" w:cstheme="minorHAnsi"/>
          <w:spacing w:val="1"/>
        </w:rPr>
        <w:t xml:space="preserve"> </w:t>
      </w:r>
      <w:r w:rsidRPr="00682233">
        <w:rPr>
          <w:rFonts w:asciiTheme="minorHAnsi" w:hAnsiTheme="minorHAnsi" w:cstheme="minorHAnsi"/>
        </w:rPr>
        <w:t>agreements with</w:t>
      </w:r>
      <w:r w:rsidRPr="00682233">
        <w:rPr>
          <w:rFonts w:asciiTheme="minorHAnsi" w:hAnsiTheme="minorHAnsi" w:cstheme="minorHAnsi"/>
          <w:spacing w:val="1"/>
        </w:rPr>
        <w:t xml:space="preserve"> </w:t>
      </w:r>
      <w:r w:rsidRPr="00682233">
        <w:rPr>
          <w:rFonts w:asciiTheme="minorHAnsi" w:hAnsiTheme="minorHAnsi" w:cstheme="minorHAnsi"/>
        </w:rPr>
        <w:t>additional</w:t>
      </w:r>
      <w:r w:rsidRPr="00682233">
        <w:rPr>
          <w:rFonts w:asciiTheme="minorHAnsi" w:hAnsiTheme="minorHAnsi" w:cstheme="minorHAnsi"/>
          <w:spacing w:val="-2"/>
        </w:rPr>
        <w:t xml:space="preserve"> </w:t>
      </w:r>
      <w:r w:rsidRPr="00682233">
        <w:rPr>
          <w:rFonts w:asciiTheme="minorHAnsi" w:hAnsiTheme="minorHAnsi" w:cstheme="minorHAnsi"/>
        </w:rPr>
        <w:t>leading</w:t>
      </w:r>
      <w:r w:rsidRPr="00682233">
        <w:rPr>
          <w:rFonts w:asciiTheme="minorHAnsi" w:hAnsiTheme="minorHAnsi" w:cstheme="minorHAnsi"/>
          <w:spacing w:val="-1"/>
        </w:rPr>
        <w:t xml:space="preserve"> </w:t>
      </w:r>
      <w:r w:rsidRPr="00682233">
        <w:rPr>
          <w:rFonts w:asciiTheme="minorHAnsi" w:hAnsiTheme="minorHAnsi" w:cstheme="minorHAnsi"/>
        </w:rPr>
        <w:t>media</w:t>
      </w:r>
      <w:r w:rsidRPr="00682233">
        <w:rPr>
          <w:rFonts w:asciiTheme="minorHAnsi" w:hAnsiTheme="minorHAnsi" w:cstheme="minorHAnsi"/>
          <w:spacing w:val="-2"/>
        </w:rPr>
        <w:t xml:space="preserve"> </w:t>
      </w:r>
      <w:r w:rsidRPr="00682233">
        <w:rPr>
          <w:rFonts w:asciiTheme="minorHAnsi" w:hAnsiTheme="minorHAnsi" w:cstheme="minorHAnsi"/>
        </w:rPr>
        <w:t>organizations.</w:t>
      </w:r>
    </w:p>
    <w:p w14:paraId="29EA3048" w14:textId="77777777" w:rsidR="00790ED6" w:rsidRPr="00682233" w:rsidRDefault="00790ED6" w:rsidP="00790ED6">
      <w:pPr>
        <w:pStyle w:val="ListParagraph"/>
        <w:numPr>
          <w:ilvl w:val="1"/>
          <w:numId w:val="79"/>
        </w:numPr>
        <w:tabs>
          <w:tab w:val="left" w:pos="861"/>
        </w:tabs>
        <w:spacing w:before="120" w:line="276" w:lineRule="auto"/>
        <w:ind w:right="112"/>
        <w:jc w:val="both"/>
        <w:rPr>
          <w:rFonts w:asciiTheme="minorHAnsi" w:hAnsiTheme="minorHAnsi" w:cstheme="minorHAnsi"/>
          <w:b/>
        </w:rPr>
      </w:pPr>
      <w:r w:rsidRPr="00682233">
        <w:rPr>
          <w:rFonts w:asciiTheme="minorHAnsi" w:hAnsiTheme="minorHAnsi" w:cstheme="minorHAnsi"/>
          <w:b/>
        </w:rPr>
        <w:t xml:space="preserve">Outcome indicator 3.2 </w:t>
      </w:r>
      <w:r w:rsidRPr="00682233">
        <w:rPr>
          <w:rFonts w:asciiTheme="minorHAnsi" w:hAnsiTheme="minorHAnsi" w:cstheme="minorHAnsi"/>
        </w:rPr>
        <w:t>“Number of active</w:t>
      </w:r>
      <w:r w:rsidRPr="00682233">
        <w:rPr>
          <w:rFonts w:asciiTheme="minorHAnsi" w:hAnsiTheme="minorHAnsi" w:cstheme="minorHAnsi"/>
          <w:spacing w:val="1"/>
        </w:rPr>
        <w:t xml:space="preserve"> </w:t>
      </w:r>
      <w:r w:rsidRPr="00682233">
        <w:rPr>
          <w:rFonts w:asciiTheme="minorHAnsi" w:hAnsiTheme="minorHAnsi" w:cstheme="minorHAnsi"/>
        </w:rPr>
        <w:t>partners with which the</w:t>
      </w:r>
      <w:r w:rsidRPr="00682233">
        <w:rPr>
          <w:rFonts w:asciiTheme="minorHAnsi" w:hAnsiTheme="minorHAnsi" w:cstheme="minorHAnsi"/>
          <w:spacing w:val="1"/>
        </w:rPr>
        <w:t xml:space="preserve"> </w:t>
      </w:r>
      <w:r w:rsidRPr="00682233">
        <w:rPr>
          <w:rFonts w:asciiTheme="minorHAnsi" w:hAnsiTheme="minorHAnsi" w:cstheme="minorHAnsi"/>
        </w:rPr>
        <w:t>IAP</w:t>
      </w:r>
      <w:r w:rsidRPr="00682233">
        <w:rPr>
          <w:rFonts w:asciiTheme="minorHAnsi" w:hAnsiTheme="minorHAnsi" w:cstheme="minorHAnsi"/>
          <w:spacing w:val="1"/>
        </w:rPr>
        <w:t xml:space="preserve"> </w:t>
      </w:r>
      <w:r w:rsidRPr="00682233">
        <w:rPr>
          <w:rFonts w:asciiTheme="minorHAnsi" w:hAnsiTheme="minorHAnsi" w:cstheme="minorHAnsi"/>
        </w:rPr>
        <w:t>is engaged at a</w:t>
      </w:r>
      <w:r w:rsidRPr="00682233">
        <w:rPr>
          <w:rFonts w:asciiTheme="minorHAnsi" w:hAnsiTheme="minorHAnsi" w:cstheme="minorHAnsi"/>
          <w:spacing w:val="1"/>
        </w:rPr>
        <w:t xml:space="preserve"> </w:t>
      </w:r>
      <w:r w:rsidRPr="00682233">
        <w:rPr>
          <w:rFonts w:asciiTheme="minorHAnsi" w:hAnsiTheme="minorHAnsi" w:cstheme="minorHAnsi"/>
          <w:spacing w:val="-1"/>
        </w:rPr>
        <w:t>programmatic</w:t>
      </w:r>
      <w:r w:rsidRPr="00682233">
        <w:rPr>
          <w:rFonts w:asciiTheme="minorHAnsi" w:hAnsiTheme="minorHAnsi" w:cstheme="minorHAnsi"/>
          <w:spacing w:val="-14"/>
        </w:rPr>
        <w:t xml:space="preserve"> </w:t>
      </w:r>
      <w:r w:rsidRPr="00682233">
        <w:rPr>
          <w:rFonts w:asciiTheme="minorHAnsi" w:hAnsiTheme="minorHAnsi" w:cstheme="minorHAnsi"/>
          <w:spacing w:val="-1"/>
        </w:rPr>
        <w:t>level</w:t>
      </w:r>
      <w:r w:rsidRPr="00682233">
        <w:rPr>
          <w:rFonts w:asciiTheme="minorHAnsi" w:hAnsiTheme="minorHAnsi" w:cstheme="minorHAnsi"/>
          <w:spacing w:val="-10"/>
        </w:rPr>
        <w:t xml:space="preserve"> </w:t>
      </w:r>
      <w:r w:rsidRPr="00682233">
        <w:rPr>
          <w:rFonts w:asciiTheme="minorHAnsi" w:hAnsiTheme="minorHAnsi" w:cstheme="minorHAnsi"/>
        </w:rPr>
        <w:t>(through</w:t>
      </w:r>
      <w:r w:rsidRPr="00682233">
        <w:rPr>
          <w:rFonts w:asciiTheme="minorHAnsi" w:hAnsiTheme="minorHAnsi" w:cstheme="minorHAnsi"/>
          <w:spacing w:val="-13"/>
        </w:rPr>
        <w:t xml:space="preserve"> </w:t>
      </w:r>
      <w:r w:rsidRPr="00682233">
        <w:rPr>
          <w:rFonts w:asciiTheme="minorHAnsi" w:hAnsiTheme="minorHAnsi" w:cstheme="minorHAnsi"/>
        </w:rPr>
        <w:t>two-way</w:t>
      </w:r>
      <w:r w:rsidRPr="00682233">
        <w:rPr>
          <w:rFonts w:asciiTheme="minorHAnsi" w:hAnsiTheme="minorHAnsi" w:cstheme="minorHAnsi"/>
          <w:spacing w:val="-11"/>
        </w:rPr>
        <w:t xml:space="preserve"> </w:t>
      </w:r>
      <w:r w:rsidRPr="00682233">
        <w:rPr>
          <w:rFonts w:asciiTheme="minorHAnsi" w:hAnsiTheme="minorHAnsi" w:cstheme="minorHAnsi"/>
        </w:rPr>
        <w:t>sharing</w:t>
      </w:r>
      <w:r w:rsidRPr="00682233">
        <w:rPr>
          <w:rFonts w:asciiTheme="minorHAnsi" w:hAnsiTheme="minorHAnsi" w:cstheme="minorHAnsi"/>
          <w:spacing w:val="-10"/>
        </w:rPr>
        <w:t xml:space="preserve"> </w:t>
      </w:r>
      <w:r w:rsidRPr="00682233">
        <w:rPr>
          <w:rFonts w:asciiTheme="minorHAnsi" w:hAnsiTheme="minorHAnsi" w:cstheme="minorHAnsi"/>
        </w:rPr>
        <w:t>of</w:t>
      </w:r>
      <w:r w:rsidRPr="00682233">
        <w:rPr>
          <w:rFonts w:asciiTheme="minorHAnsi" w:hAnsiTheme="minorHAnsi" w:cstheme="minorHAnsi"/>
          <w:spacing w:val="-12"/>
        </w:rPr>
        <w:t xml:space="preserve"> </w:t>
      </w:r>
      <w:r w:rsidRPr="00682233">
        <w:rPr>
          <w:rFonts w:asciiTheme="minorHAnsi" w:hAnsiTheme="minorHAnsi" w:cstheme="minorHAnsi"/>
        </w:rPr>
        <w:t>information,</w:t>
      </w:r>
      <w:r w:rsidRPr="00682233">
        <w:rPr>
          <w:rFonts w:asciiTheme="minorHAnsi" w:hAnsiTheme="minorHAnsi" w:cstheme="minorHAnsi"/>
          <w:spacing w:val="-14"/>
        </w:rPr>
        <w:t xml:space="preserve"> </w:t>
      </w:r>
      <w:r w:rsidRPr="00682233">
        <w:rPr>
          <w:rFonts w:asciiTheme="minorHAnsi" w:hAnsiTheme="minorHAnsi" w:cstheme="minorHAnsi"/>
        </w:rPr>
        <w:t>expertise</w:t>
      </w:r>
      <w:r w:rsidRPr="00682233">
        <w:rPr>
          <w:rFonts w:asciiTheme="minorHAnsi" w:hAnsiTheme="minorHAnsi" w:cstheme="minorHAnsi"/>
          <w:spacing w:val="-11"/>
        </w:rPr>
        <w:t xml:space="preserve"> </w:t>
      </w:r>
      <w:r w:rsidRPr="00682233">
        <w:rPr>
          <w:rFonts w:asciiTheme="minorHAnsi" w:hAnsiTheme="minorHAnsi" w:cstheme="minorHAnsi"/>
        </w:rPr>
        <w:t>or</w:t>
      </w:r>
      <w:r w:rsidRPr="00682233">
        <w:rPr>
          <w:rFonts w:asciiTheme="minorHAnsi" w:hAnsiTheme="minorHAnsi" w:cstheme="minorHAnsi"/>
          <w:spacing w:val="-12"/>
        </w:rPr>
        <w:t xml:space="preserve"> </w:t>
      </w:r>
      <w:r w:rsidRPr="00682233">
        <w:rPr>
          <w:rFonts w:asciiTheme="minorHAnsi" w:hAnsiTheme="minorHAnsi" w:cstheme="minorHAnsi"/>
        </w:rPr>
        <w:t>tools;</w:t>
      </w:r>
      <w:r w:rsidRPr="00682233">
        <w:rPr>
          <w:rFonts w:asciiTheme="minorHAnsi" w:hAnsiTheme="minorHAnsi" w:cstheme="minorHAnsi"/>
          <w:spacing w:val="-13"/>
        </w:rPr>
        <w:t xml:space="preserve"> </w:t>
      </w:r>
      <w:r w:rsidRPr="00682233">
        <w:rPr>
          <w:rFonts w:asciiTheme="minorHAnsi" w:hAnsiTheme="minorHAnsi" w:cstheme="minorHAnsi"/>
        </w:rPr>
        <w:t>collaboration</w:t>
      </w:r>
      <w:r w:rsidRPr="00682233">
        <w:rPr>
          <w:rFonts w:asciiTheme="minorHAnsi" w:hAnsiTheme="minorHAnsi" w:cstheme="minorHAnsi"/>
          <w:spacing w:val="1"/>
        </w:rPr>
        <w:t xml:space="preserve"> </w:t>
      </w:r>
      <w:r w:rsidRPr="00682233">
        <w:rPr>
          <w:rFonts w:asciiTheme="minorHAnsi" w:hAnsiTheme="minorHAnsi" w:cstheme="minorHAnsi"/>
        </w:rPr>
        <w:t>to increase impacts; implementation of delivery services, or provision of co-financing)”. The</w:t>
      </w:r>
      <w:r w:rsidRPr="00682233">
        <w:rPr>
          <w:rFonts w:asciiTheme="minorHAnsi" w:hAnsiTheme="minorHAnsi" w:cstheme="minorHAnsi"/>
          <w:spacing w:val="1"/>
        </w:rPr>
        <w:t xml:space="preserve"> </w:t>
      </w:r>
      <w:r w:rsidRPr="00682233">
        <w:rPr>
          <w:rFonts w:asciiTheme="minorHAnsi" w:hAnsiTheme="minorHAnsi" w:cstheme="minorHAnsi"/>
          <w:spacing w:val="-1"/>
        </w:rPr>
        <w:t>Board</w:t>
      </w:r>
      <w:r w:rsidRPr="00682233">
        <w:rPr>
          <w:rFonts w:asciiTheme="minorHAnsi" w:hAnsiTheme="minorHAnsi" w:cstheme="minorHAnsi"/>
          <w:spacing w:val="-13"/>
        </w:rPr>
        <w:t xml:space="preserve"> </w:t>
      </w:r>
      <w:r w:rsidRPr="00682233">
        <w:rPr>
          <w:rFonts w:asciiTheme="minorHAnsi" w:hAnsiTheme="minorHAnsi" w:cstheme="minorHAnsi"/>
          <w:spacing w:val="-1"/>
        </w:rPr>
        <w:t>felt</w:t>
      </w:r>
      <w:r w:rsidRPr="00682233">
        <w:rPr>
          <w:rFonts w:asciiTheme="minorHAnsi" w:hAnsiTheme="minorHAnsi" w:cstheme="minorHAnsi"/>
          <w:spacing w:val="-14"/>
        </w:rPr>
        <w:t xml:space="preserve"> </w:t>
      </w:r>
      <w:r w:rsidRPr="00682233">
        <w:rPr>
          <w:rFonts w:asciiTheme="minorHAnsi" w:hAnsiTheme="minorHAnsi" w:cstheme="minorHAnsi"/>
          <w:spacing w:val="-1"/>
        </w:rPr>
        <w:t>that</w:t>
      </w:r>
      <w:r w:rsidRPr="00682233">
        <w:rPr>
          <w:rFonts w:asciiTheme="minorHAnsi" w:hAnsiTheme="minorHAnsi" w:cstheme="minorHAnsi"/>
          <w:spacing w:val="-9"/>
        </w:rPr>
        <w:t xml:space="preserve"> </w:t>
      </w:r>
      <w:r w:rsidRPr="00682233">
        <w:rPr>
          <w:rFonts w:asciiTheme="minorHAnsi" w:hAnsiTheme="minorHAnsi" w:cstheme="minorHAnsi"/>
        </w:rPr>
        <w:t>the</w:t>
      </w:r>
      <w:r w:rsidRPr="00682233">
        <w:rPr>
          <w:rFonts w:asciiTheme="minorHAnsi" w:hAnsiTheme="minorHAnsi" w:cstheme="minorHAnsi"/>
          <w:spacing w:val="-11"/>
        </w:rPr>
        <w:t xml:space="preserve"> </w:t>
      </w:r>
      <w:r w:rsidRPr="00682233">
        <w:rPr>
          <w:rFonts w:asciiTheme="minorHAnsi" w:hAnsiTheme="minorHAnsi" w:cstheme="minorHAnsi"/>
        </w:rPr>
        <w:t>targets</w:t>
      </w:r>
      <w:r w:rsidRPr="00682233">
        <w:rPr>
          <w:rFonts w:asciiTheme="minorHAnsi" w:hAnsiTheme="minorHAnsi" w:cstheme="minorHAnsi"/>
          <w:spacing w:val="-6"/>
        </w:rPr>
        <w:t xml:space="preserve"> </w:t>
      </w:r>
      <w:r w:rsidRPr="00682233">
        <w:rPr>
          <w:rFonts w:asciiTheme="minorHAnsi" w:hAnsiTheme="minorHAnsi" w:cstheme="minorHAnsi"/>
        </w:rPr>
        <w:t>of</w:t>
      </w:r>
      <w:r w:rsidRPr="00682233">
        <w:rPr>
          <w:rFonts w:asciiTheme="minorHAnsi" w:hAnsiTheme="minorHAnsi" w:cstheme="minorHAnsi"/>
          <w:spacing w:val="-12"/>
        </w:rPr>
        <w:t xml:space="preserve"> </w:t>
      </w:r>
      <w:r w:rsidRPr="00682233">
        <w:rPr>
          <w:rFonts w:asciiTheme="minorHAnsi" w:hAnsiTheme="minorHAnsi" w:cstheme="minorHAnsi"/>
        </w:rPr>
        <w:t>3</w:t>
      </w:r>
      <w:r w:rsidRPr="00682233">
        <w:rPr>
          <w:rFonts w:asciiTheme="minorHAnsi" w:hAnsiTheme="minorHAnsi" w:cstheme="minorHAnsi"/>
          <w:spacing w:val="-9"/>
        </w:rPr>
        <w:t xml:space="preserve"> </w:t>
      </w:r>
      <w:r w:rsidRPr="00682233">
        <w:rPr>
          <w:rFonts w:asciiTheme="minorHAnsi" w:hAnsiTheme="minorHAnsi" w:cstheme="minorHAnsi"/>
        </w:rPr>
        <w:t>(Mid</w:t>
      </w:r>
      <w:r w:rsidRPr="00682233">
        <w:rPr>
          <w:rFonts w:asciiTheme="minorHAnsi" w:hAnsiTheme="minorHAnsi" w:cstheme="minorHAnsi"/>
          <w:spacing w:val="-13"/>
        </w:rPr>
        <w:t xml:space="preserve"> </w:t>
      </w:r>
      <w:r w:rsidRPr="00682233">
        <w:rPr>
          <w:rFonts w:asciiTheme="minorHAnsi" w:hAnsiTheme="minorHAnsi" w:cstheme="minorHAnsi"/>
        </w:rPr>
        <w:t>Term)</w:t>
      </w:r>
      <w:r w:rsidRPr="00682233">
        <w:rPr>
          <w:rFonts w:asciiTheme="minorHAnsi" w:hAnsiTheme="minorHAnsi" w:cstheme="minorHAnsi"/>
          <w:spacing w:val="-12"/>
        </w:rPr>
        <w:t xml:space="preserve"> </w:t>
      </w:r>
      <w:r w:rsidRPr="00682233">
        <w:rPr>
          <w:rFonts w:asciiTheme="minorHAnsi" w:hAnsiTheme="minorHAnsi" w:cstheme="minorHAnsi"/>
        </w:rPr>
        <w:t>and</w:t>
      </w:r>
      <w:r w:rsidRPr="00682233">
        <w:rPr>
          <w:rFonts w:asciiTheme="minorHAnsi" w:hAnsiTheme="minorHAnsi" w:cstheme="minorHAnsi"/>
          <w:spacing w:val="-7"/>
        </w:rPr>
        <w:t xml:space="preserve"> </w:t>
      </w:r>
      <w:r w:rsidRPr="00682233">
        <w:rPr>
          <w:rFonts w:asciiTheme="minorHAnsi" w:hAnsiTheme="minorHAnsi" w:cstheme="minorHAnsi"/>
        </w:rPr>
        <w:t>6</w:t>
      </w:r>
      <w:r w:rsidRPr="00682233">
        <w:rPr>
          <w:rFonts w:asciiTheme="minorHAnsi" w:hAnsiTheme="minorHAnsi" w:cstheme="minorHAnsi"/>
          <w:spacing w:val="-9"/>
        </w:rPr>
        <w:t xml:space="preserve"> </w:t>
      </w:r>
      <w:r w:rsidRPr="00682233">
        <w:rPr>
          <w:rFonts w:asciiTheme="minorHAnsi" w:hAnsiTheme="minorHAnsi" w:cstheme="minorHAnsi"/>
        </w:rPr>
        <w:t>(End</w:t>
      </w:r>
      <w:r w:rsidRPr="00682233">
        <w:rPr>
          <w:rFonts w:asciiTheme="minorHAnsi" w:hAnsiTheme="minorHAnsi" w:cstheme="minorHAnsi"/>
          <w:spacing w:val="-8"/>
        </w:rPr>
        <w:t xml:space="preserve"> </w:t>
      </w:r>
      <w:r w:rsidRPr="00682233">
        <w:rPr>
          <w:rFonts w:asciiTheme="minorHAnsi" w:hAnsiTheme="minorHAnsi" w:cstheme="minorHAnsi"/>
        </w:rPr>
        <w:t>of</w:t>
      </w:r>
      <w:r w:rsidRPr="00682233">
        <w:rPr>
          <w:rFonts w:asciiTheme="minorHAnsi" w:hAnsiTheme="minorHAnsi" w:cstheme="minorHAnsi"/>
          <w:spacing w:val="-7"/>
        </w:rPr>
        <w:t xml:space="preserve"> </w:t>
      </w:r>
      <w:r w:rsidRPr="00682233">
        <w:rPr>
          <w:rFonts w:asciiTheme="minorHAnsi" w:hAnsiTheme="minorHAnsi" w:cstheme="minorHAnsi"/>
        </w:rPr>
        <w:t>Project)</w:t>
      </w:r>
      <w:r w:rsidRPr="00682233">
        <w:rPr>
          <w:rFonts w:asciiTheme="minorHAnsi" w:hAnsiTheme="minorHAnsi" w:cstheme="minorHAnsi"/>
          <w:spacing w:val="-12"/>
        </w:rPr>
        <w:t xml:space="preserve"> </w:t>
      </w:r>
      <w:r w:rsidRPr="00682233">
        <w:rPr>
          <w:rFonts w:asciiTheme="minorHAnsi" w:hAnsiTheme="minorHAnsi" w:cstheme="minorHAnsi"/>
        </w:rPr>
        <w:t>were</w:t>
      </w:r>
      <w:r w:rsidRPr="00682233">
        <w:rPr>
          <w:rFonts w:asciiTheme="minorHAnsi" w:hAnsiTheme="minorHAnsi" w:cstheme="minorHAnsi"/>
          <w:spacing w:val="-10"/>
        </w:rPr>
        <w:t xml:space="preserve"> </w:t>
      </w:r>
      <w:r w:rsidRPr="00682233">
        <w:rPr>
          <w:rFonts w:asciiTheme="minorHAnsi" w:hAnsiTheme="minorHAnsi" w:cstheme="minorHAnsi"/>
        </w:rPr>
        <w:t>note</w:t>
      </w:r>
      <w:r w:rsidRPr="00682233">
        <w:rPr>
          <w:rFonts w:asciiTheme="minorHAnsi" w:hAnsiTheme="minorHAnsi" w:cstheme="minorHAnsi"/>
          <w:spacing w:val="-11"/>
        </w:rPr>
        <w:t xml:space="preserve"> </w:t>
      </w:r>
      <w:r w:rsidRPr="00682233">
        <w:rPr>
          <w:rFonts w:asciiTheme="minorHAnsi" w:hAnsiTheme="minorHAnsi" w:cstheme="minorHAnsi"/>
        </w:rPr>
        <w:t>ambitious</w:t>
      </w:r>
      <w:r w:rsidRPr="00682233">
        <w:rPr>
          <w:rFonts w:asciiTheme="minorHAnsi" w:hAnsiTheme="minorHAnsi" w:cstheme="minorHAnsi"/>
          <w:spacing w:val="-12"/>
        </w:rPr>
        <w:t xml:space="preserve"> </w:t>
      </w:r>
      <w:r w:rsidRPr="00682233">
        <w:rPr>
          <w:rFonts w:asciiTheme="minorHAnsi" w:hAnsiTheme="minorHAnsi" w:cstheme="minorHAnsi"/>
        </w:rPr>
        <w:t>enough.</w:t>
      </w:r>
      <w:r w:rsidRPr="00682233">
        <w:rPr>
          <w:rFonts w:asciiTheme="minorHAnsi" w:hAnsiTheme="minorHAnsi" w:cstheme="minorHAnsi"/>
          <w:spacing w:val="1"/>
        </w:rPr>
        <w:t xml:space="preserve"> </w:t>
      </w:r>
      <w:r w:rsidRPr="00682233">
        <w:rPr>
          <w:rFonts w:asciiTheme="minorHAnsi" w:hAnsiTheme="minorHAnsi" w:cstheme="minorHAnsi"/>
          <w:b/>
        </w:rPr>
        <w:t>The M&amp;E team to suggest to the Project Team new more ambitious targets for Project</w:t>
      </w:r>
      <w:r w:rsidRPr="00682233">
        <w:rPr>
          <w:rFonts w:asciiTheme="minorHAnsi" w:hAnsiTheme="minorHAnsi" w:cstheme="minorHAnsi"/>
          <w:b/>
          <w:spacing w:val="1"/>
        </w:rPr>
        <w:t xml:space="preserve"> </w:t>
      </w:r>
      <w:r w:rsidRPr="00682233">
        <w:rPr>
          <w:rFonts w:asciiTheme="minorHAnsi" w:hAnsiTheme="minorHAnsi" w:cstheme="minorHAnsi"/>
          <w:b/>
        </w:rPr>
        <w:t>Team´s</w:t>
      </w:r>
      <w:r w:rsidRPr="00682233">
        <w:rPr>
          <w:rFonts w:asciiTheme="minorHAnsi" w:hAnsiTheme="minorHAnsi" w:cstheme="minorHAnsi"/>
          <w:b/>
          <w:spacing w:val="-5"/>
        </w:rPr>
        <w:t xml:space="preserve"> </w:t>
      </w:r>
      <w:r w:rsidRPr="00682233">
        <w:rPr>
          <w:rFonts w:asciiTheme="minorHAnsi" w:hAnsiTheme="minorHAnsi" w:cstheme="minorHAnsi"/>
          <w:b/>
        </w:rPr>
        <w:t>approval,</w:t>
      </w:r>
      <w:r w:rsidRPr="00682233">
        <w:rPr>
          <w:rFonts w:asciiTheme="minorHAnsi" w:hAnsiTheme="minorHAnsi" w:cstheme="minorHAnsi"/>
          <w:b/>
          <w:spacing w:val="1"/>
        </w:rPr>
        <w:t xml:space="preserve"> </w:t>
      </w:r>
      <w:r w:rsidRPr="00682233">
        <w:rPr>
          <w:rFonts w:asciiTheme="minorHAnsi" w:hAnsiTheme="minorHAnsi" w:cstheme="minorHAnsi"/>
          <w:b/>
        </w:rPr>
        <w:t>by</w:t>
      </w:r>
      <w:r w:rsidRPr="00682233">
        <w:rPr>
          <w:rFonts w:asciiTheme="minorHAnsi" w:hAnsiTheme="minorHAnsi" w:cstheme="minorHAnsi"/>
          <w:b/>
          <w:spacing w:val="-2"/>
        </w:rPr>
        <w:t xml:space="preserve"> </w:t>
      </w:r>
      <w:r w:rsidRPr="00682233">
        <w:rPr>
          <w:rFonts w:asciiTheme="minorHAnsi" w:hAnsiTheme="minorHAnsi" w:cstheme="minorHAnsi"/>
          <w:b/>
        </w:rPr>
        <w:t>the</w:t>
      </w:r>
      <w:r w:rsidRPr="00682233">
        <w:rPr>
          <w:rFonts w:asciiTheme="minorHAnsi" w:hAnsiTheme="minorHAnsi" w:cstheme="minorHAnsi"/>
          <w:b/>
          <w:spacing w:val="-3"/>
        </w:rPr>
        <w:t xml:space="preserve"> </w:t>
      </w:r>
      <w:r w:rsidRPr="00682233">
        <w:rPr>
          <w:rFonts w:asciiTheme="minorHAnsi" w:hAnsiTheme="minorHAnsi" w:cstheme="minorHAnsi"/>
          <w:b/>
        </w:rPr>
        <w:t>end</w:t>
      </w:r>
      <w:r w:rsidRPr="00682233">
        <w:rPr>
          <w:rFonts w:asciiTheme="minorHAnsi" w:hAnsiTheme="minorHAnsi" w:cstheme="minorHAnsi"/>
          <w:b/>
          <w:spacing w:val="-1"/>
        </w:rPr>
        <w:t xml:space="preserve"> </w:t>
      </w:r>
      <w:r w:rsidRPr="00682233">
        <w:rPr>
          <w:rFonts w:asciiTheme="minorHAnsi" w:hAnsiTheme="minorHAnsi" w:cstheme="minorHAnsi"/>
          <w:b/>
        </w:rPr>
        <w:t>of January</w:t>
      </w:r>
      <w:r w:rsidRPr="00682233">
        <w:rPr>
          <w:rFonts w:asciiTheme="minorHAnsi" w:hAnsiTheme="minorHAnsi" w:cstheme="minorHAnsi"/>
          <w:b/>
          <w:spacing w:val="3"/>
        </w:rPr>
        <w:t xml:space="preserve"> </w:t>
      </w:r>
      <w:r w:rsidRPr="00682233">
        <w:rPr>
          <w:rFonts w:asciiTheme="minorHAnsi" w:hAnsiTheme="minorHAnsi" w:cstheme="minorHAnsi"/>
          <w:b/>
        </w:rPr>
        <w:t>2018.</w:t>
      </w:r>
    </w:p>
    <w:p w14:paraId="587A866F" w14:textId="7EE1122F" w:rsidR="00C55A68" w:rsidRPr="00682233" w:rsidRDefault="00790ED6" w:rsidP="00C55A68">
      <w:pPr>
        <w:pStyle w:val="BodyText"/>
        <w:spacing w:before="43" w:line="273" w:lineRule="auto"/>
        <w:ind w:left="861"/>
        <w:rPr>
          <w:rFonts w:asciiTheme="minorHAnsi" w:hAnsiTheme="minorHAnsi" w:cstheme="minorHAnsi"/>
          <w:sz w:val="22"/>
          <w:szCs w:val="22"/>
        </w:rPr>
      </w:pPr>
      <w:r w:rsidRPr="00682233">
        <w:rPr>
          <w:rFonts w:asciiTheme="minorHAnsi" w:hAnsiTheme="minorHAnsi" w:cstheme="minorHAnsi"/>
          <w:sz w:val="22"/>
          <w:szCs w:val="22"/>
        </w:rPr>
        <w:t>The</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midterm</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and</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end</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of</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project</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targets</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were</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determined</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to</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be</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overly</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ambitious</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and</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 xml:space="preserve">unrealistic for </w:t>
      </w:r>
      <w:r w:rsidRPr="00682233">
        <w:rPr>
          <w:rFonts w:asciiTheme="minorHAnsi" w:hAnsiTheme="minorHAnsi" w:cstheme="minorHAnsi"/>
          <w:b/>
          <w:sz w:val="22"/>
          <w:szCs w:val="22"/>
        </w:rPr>
        <w:t xml:space="preserve">Outcome indicator 3.3 </w:t>
      </w:r>
      <w:r w:rsidRPr="00682233">
        <w:rPr>
          <w:rFonts w:asciiTheme="minorHAnsi" w:hAnsiTheme="minorHAnsi" w:cstheme="minorHAnsi"/>
          <w:sz w:val="22"/>
          <w:szCs w:val="22"/>
        </w:rPr>
        <w:t>“Percentage of participants of Community of Practice</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events that have changed their programs, practices and/or policies based on IAP learning (as</w:t>
      </w:r>
      <w:r w:rsidRPr="00682233">
        <w:rPr>
          <w:rFonts w:asciiTheme="minorHAnsi" w:hAnsiTheme="minorHAnsi" w:cstheme="minorHAnsi"/>
          <w:spacing w:val="1"/>
          <w:sz w:val="22"/>
          <w:szCs w:val="22"/>
        </w:rPr>
        <w:t xml:space="preserve"> </w:t>
      </w:r>
      <w:r w:rsidRPr="00682233">
        <w:rPr>
          <w:rFonts w:asciiTheme="minorHAnsi" w:hAnsiTheme="minorHAnsi" w:cstheme="minorHAnsi"/>
          <w:sz w:val="22"/>
          <w:szCs w:val="22"/>
        </w:rPr>
        <w:t>measured</w:t>
      </w:r>
      <w:r w:rsidRPr="00682233">
        <w:rPr>
          <w:rFonts w:asciiTheme="minorHAnsi" w:hAnsiTheme="minorHAnsi" w:cstheme="minorHAnsi"/>
          <w:spacing w:val="-5"/>
          <w:sz w:val="22"/>
          <w:szCs w:val="22"/>
        </w:rPr>
        <w:t xml:space="preserve"> </w:t>
      </w:r>
      <w:r w:rsidRPr="00682233">
        <w:rPr>
          <w:rFonts w:asciiTheme="minorHAnsi" w:hAnsiTheme="minorHAnsi" w:cstheme="minorHAnsi"/>
          <w:sz w:val="22"/>
          <w:szCs w:val="22"/>
        </w:rPr>
        <w:t>by</w:t>
      </w:r>
      <w:r w:rsidRPr="00682233">
        <w:rPr>
          <w:rFonts w:asciiTheme="minorHAnsi" w:hAnsiTheme="minorHAnsi" w:cstheme="minorHAnsi"/>
          <w:spacing w:val="-4"/>
          <w:sz w:val="22"/>
          <w:szCs w:val="22"/>
        </w:rPr>
        <w:t xml:space="preserve"> </w:t>
      </w:r>
      <w:r w:rsidRPr="00682233">
        <w:rPr>
          <w:rFonts w:asciiTheme="minorHAnsi" w:hAnsiTheme="minorHAnsi" w:cstheme="minorHAnsi"/>
          <w:sz w:val="22"/>
          <w:szCs w:val="22"/>
        </w:rPr>
        <w:t>a</w:t>
      </w:r>
      <w:r w:rsidRPr="00682233">
        <w:rPr>
          <w:rFonts w:asciiTheme="minorHAnsi" w:hAnsiTheme="minorHAnsi" w:cstheme="minorHAnsi"/>
          <w:spacing w:val="-3"/>
          <w:sz w:val="22"/>
          <w:szCs w:val="22"/>
        </w:rPr>
        <w:t xml:space="preserve"> </w:t>
      </w:r>
      <w:r w:rsidRPr="00682233">
        <w:rPr>
          <w:rFonts w:asciiTheme="minorHAnsi" w:hAnsiTheme="minorHAnsi" w:cstheme="minorHAnsi"/>
          <w:sz w:val="22"/>
          <w:szCs w:val="22"/>
        </w:rPr>
        <w:t>survey</w:t>
      </w:r>
      <w:r w:rsidRPr="00682233">
        <w:rPr>
          <w:rFonts w:asciiTheme="minorHAnsi" w:hAnsiTheme="minorHAnsi" w:cstheme="minorHAnsi"/>
          <w:spacing w:val="-4"/>
          <w:sz w:val="22"/>
          <w:szCs w:val="22"/>
        </w:rPr>
        <w:t xml:space="preserve"> </w:t>
      </w:r>
      <w:r w:rsidRPr="00682233">
        <w:rPr>
          <w:rFonts w:asciiTheme="minorHAnsi" w:hAnsiTheme="minorHAnsi" w:cstheme="minorHAnsi"/>
          <w:sz w:val="22"/>
          <w:szCs w:val="22"/>
        </w:rPr>
        <w:t>of</w:t>
      </w:r>
      <w:r w:rsidRPr="00682233">
        <w:rPr>
          <w:rFonts w:asciiTheme="minorHAnsi" w:hAnsiTheme="minorHAnsi" w:cstheme="minorHAnsi"/>
          <w:spacing w:val="-3"/>
          <w:sz w:val="22"/>
          <w:szCs w:val="22"/>
        </w:rPr>
        <w:t xml:space="preserve"> </w:t>
      </w:r>
      <w:r w:rsidRPr="00682233">
        <w:rPr>
          <w:rFonts w:asciiTheme="minorHAnsi" w:hAnsiTheme="minorHAnsi" w:cstheme="minorHAnsi"/>
          <w:sz w:val="22"/>
          <w:szCs w:val="22"/>
        </w:rPr>
        <w:t>participants</w:t>
      </w:r>
      <w:r w:rsidRPr="00682233">
        <w:rPr>
          <w:rFonts w:asciiTheme="minorHAnsi" w:hAnsiTheme="minorHAnsi" w:cstheme="minorHAnsi"/>
          <w:spacing w:val="-4"/>
          <w:sz w:val="22"/>
          <w:szCs w:val="22"/>
        </w:rPr>
        <w:t xml:space="preserve"> </w:t>
      </w:r>
      <w:r w:rsidRPr="00682233">
        <w:rPr>
          <w:rFonts w:asciiTheme="minorHAnsi" w:hAnsiTheme="minorHAnsi" w:cstheme="minorHAnsi"/>
          <w:sz w:val="22"/>
          <w:szCs w:val="22"/>
        </w:rPr>
        <w:t>of</w:t>
      </w:r>
      <w:r w:rsidRPr="00682233">
        <w:rPr>
          <w:rFonts w:asciiTheme="minorHAnsi" w:hAnsiTheme="minorHAnsi" w:cstheme="minorHAnsi"/>
          <w:spacing w:val="-3"/>
          <w:sz w:val="22"/>
          <w:szCs w:val="22"/>
        </w:rPr>
        <w:t xml:space="preserve"> </w:t>
      </w:r>
      <w:r w:rsidRPr="00682233">
        <w:rPr>
          <w:rFonts w:asciiTheme="minorHAnsi" w:hAnsiTheme="minorHAnsi" w:cstheme="minorHAnsi"/>
          <w:sz w:val="22"/>
          <w:szCs w:val="22"/>
        </w:rPr>
        <w:t>each</w:t>
      </w:r>
      <w:r w:rsidRPr="00682233">
        <w:rPr>
          <w:rFonts w:asciiTheme="minorHAnsi" w:hAnsiTheme="minorHAnsi" w:cstheme="minorHAnsi"/>
          <w:spacing w:val="-5"/>
          <w:sz w:val="22"/>
          <w:szCs w:val="22"/>
        </w:rPr>
        <w:t xml:space="preserve"> </w:t>
      </w:r>
      <w:r w:rsidRPr="00682233">
        <w:rPr>
          <w:rFonts w:asciiTheme="minorHAnsi" w:hAnsiTheme="minorHAnsi" w:cstheme="minorHAnsi"/>
          <w:sz w:val="22"/>
          <w:szCs w:val="22"/>
        </w:rPr>
        <w:t>of</w:t>
      </w:r>
      <w:r w:rsidRPr="00682233">
        <w:rPr>
          <w:rFonts w:asciiTheme="minorHAnsi" w:hAnsiTheme="minorHAnsi" w:cstheme="minorHAnsi"/>
          <w:spacing w:val="-3"/>
          <w:sz w:val="22"/>
          <w:szCs w:val="22"/>
        </w:rPr>
        <w:t xml:space="preserve"> </w:t>
      </w:r>
      <w:r w:rsidRPr="00682233">
        <w:rPr>
          <w:rFonts w:asciiTheme="minorHAnsi" w:hAnsiTheme="minorHAnsi" w:cstheme="minorHAnsi"/>
          <w:sz w:val="22"/>
          <w:szCs w:val="22"/>
        </w:rPr>
        <w:t>the</w:t>
      </w:r>
      <w:r w:rsidRPr="00682233">
        <w:rPr>
          <w:rFonts w:asciiTheme="minorHAnsi" w:hAnsiTheme="minorHAnsi" w:cstheme="minorHAnsi"/>
          <w:spacing w:val="-4"/>
          <w:sz w:val="22"/>
          <w:szCs w:val="22"/>
        </w:rPr>
        <w:t xml:space="preserve"> </w:t>
      </w:r>
      <w:r w:rsidRPr="00682233">
        <w:rPr>
          <w:rFonts w:asciiTheme="minorHAnsi" w:hAnsiTheme="minorHAnsi" w:cstheme="minorHAnsi"/>
          <w:sz w:val="22"/>
          <w:szCs w:val="22"/>
        </w:rPr>
        <w:t>two</w:t>
      </w:r>
      <w:r w:rsidRPr="00682233">
        <w:rPr>
          <w:rFonts w:asciiTheme="minorHAnsi" w:hAnsiTheme="minorHAnsi" w:cstheme="minorHAnsi"/>
          <w:spacing w:val="-4"/>
          <w:sz w:val="22"/>
          <w:szCs w:val="22"/>
        </w:rPr>
        <w:t xml:space="preserve"> </w:t>
      </w:r>
      <w:r w:rsidRPr="00682233">
        <w:rPr>
          <w:rFonts w:asciiTheme="minorHAnsi" w:hAnsiTheme="minorHAnsi" w:cstheme="minorHAnsi"/>
          <w:sz w:val="22"/>
          <w:szCs w:val="22"/>
        </w:rPr>
        <w:t>face-to-face</w:t>
      </w:r>
      <w:r w:rsidRPr="00682233">
        <w:rPr>
          <w:rFonts w:asciiTheme="minorHAnsi" w:hAnsiTheme="minorHAnsi" w:cstheme="minorHAnsi"/>
          <w:spacing w:val="-4"/>
          <w:sz w:val="22"/>
          <w:szCs w:val="22"/>
        </w:rPr>
        <w:t xml:space="preserve"> </w:t>
      </w:r>
      <w:r w:rsidRPr="00682233">
        <w:rPr>
          <w:rFonts w:asciiTheme="minorHAnsi" w:hAnsiTheme="minorHAnsi" w:cstheme="minorHAnsi"/>
          <w:sz w:val="22"/>
          <w:szCs w:val="22"/>
        </w:rPr>
        <w:t>CoP</w:t>
      </w:r>
      <w:r w:rsidRPr="00682233">
        <w:rPr>
          <w:rFonts w:asciiTheme="minorHAnsi" w:hAnsiTheme="minorHAnsi" w:cstheme="minorHAnsi"/>
          <w:spacing w:val="-2"/>
          <w:sz w:val="22"/>
          <w:szCs w:val="22"/>
        </w:rPr>
        <w:t xml:space="preserve"> </w:t>
      </w:r>
      <w:r w:rsidRPr="00682233">
        <w:rPr>
          <w:rFonts w:asciiTheme="minorHAnsi" w:hAnsiTheme="minorHAnsi" w:cstheme="minorHAnsi"/>
          <w:sz w:val="22"/>
          <w:szCs w:val="22"/>
        </w:rPr>
        <w:t>global</w:t>
      </w:r>
      <w:r w:rsidRPr="00682233">
        <w:rPr>
          <w:rFonts w:asciiTheme="minorHAnsi" w:hAnsiTheme="minorHAnsi" w:cstheme="minorHAnsi"/>
          <w:spacing w:val="-3"/>
          <w:sz w:val="22"/>
          <w:szCs w:val="22"/>
        </w:rPr>
        <w:t xml:space="preserve"> </w:t>
      </w:r>
      <w:r w:rsidRPr="00682233">
        <w:rPr>
          <w:rFonts w:asciiTheme="minorHAnsi" w:hAnsiTheme="minorHAnsi" w:cstheme="minorHAnsi"/>
          <w:sz w:val="22"/>
          <w:szCs w:val="22"/>
        </w:rPr>
        <w:t>events).”</w:t>
      </w:r>
      <w:r w:rsidRPr="00682233">
        <w:rPr>
          <w:rFonts w:asciiTheme="minorHAnsi" w:hAnsiTheme="minorHAnsi" w:cstheme="minorHAnsi"/>
          <w:spacing w:val="-5"/>
          <w:sz w:val="22"/>
          <w:szCs w:val="22"/>
        </w:rPr>
        <w:t xml:space="preserve"> </w:t>
      </w:r>
      <w:r w:rsidRPr="00682233">
        <w:rPr>
          <w:rFonts w:asciiTheme="minorHAnsi" w:hAnsiTheme="minorHAnsi" w:cstheme="minorHAnsi"/>
          <w:sz w:val="22"/>
          <w:szCs w:val="22"/>
        </w:rPr>
        <w:t>The</w:t>
      </w:r>
      <w:r w:rsidR="00C55A68" w:rsidRPr="00682233">
        <w:rPr>
          <w:rFonts w:asciiTheme="minorHAnsi" w:hAnsiTheme="minorHAnsi" w:cstheme="minorHAnsi"/>
          <w:sz w:val="22"/>
          <w:szCs w:val="22"/>
        </w:rPr>
        <w:t xml:space="preserve"> midterm target has been changed to at least 25% (from 50%) and the end of project target is</w:t>
      </w:r>
      <w:r w:rsidR="00C55A68" w:rsidRPr="00682233">
        <w:rPr>
          <w:rFonts w:asciiTheme="minorHAnsi" w:hAnsiTheme="minorHAnsi" w:cstheme="minorHAnsi"/>
          <w:spacing w:val="-47"/>
          <w:sz w:val="22"/>
          <w:szCs w:val="22"/>
        </w:rPr>
        <w:t xml:space="preserve"> </w:t>
      </w:r>
      <w:r w:rsidR="00682233">
        <w:rPr>
          <w:rFonts w:asciiTheme="minorHAnsi" w:hAnsiTheme="minorHAnsi" w:cstheme="minorHAnsi"/>
          <w:spacing w:val="-47"/>
          <w:sz w:val="22"/>
          <w:szCs w:val="22"/>
        </w:rPr>
        <w:t xml:space="preserve">    </w:t>
      </w:r>
      <w:r w:rsidR="00C55A68" w:rsidRPr="00682233">
        <w:rPr>
          <w:rFonts w:asciiTheme="minorHAnsi" w:hAnsiTheme="minorHAnsi" w:cstheme="minorHAnsi"/>
          <w:sz w:val="22"/>
          <w:szCs w:val="22"/>
        </w:rPr>
        <w:t>now</w:t>
      </w:r>
      <w:r w:rsidR="00C55A68" w:rsidRPr="00682233">
        <w:rPr>
          <w:rFonts w:asciiTheme="minorHAnsi" w:hAnsiTheme="minorHAnsi" w:cstheme="minorHAnsi"/>
          <w:spacing w:val="-3"/>
          <w:sz w:val="22"/>
          <w:szCs w:val="22"/>
        </w:rPr>
        <w:t xml:space="preserve"> </w:t>
      </w:r>
      <w:r w:rsidR="00C55A68" w:rsidRPr="00682233">
        <w:rPr>
          <w:rFonts w:asciiTheme="minorHAnsi" w:hAnsiTheme="minorHAnsi" w:cstheme="minorHAnsi"/>
          <w:sz w:val="22"/>
          <w:szCs w:val="22"/>
        </w:rPr>
        <w:t>at</w:t>
      </w:r>
      <w:r w:rsidR="00C55A68" w:rsidRPr="00682233">
        <w:rPr>
          <w:rFonts w:asciiTheme="minorHAnsi" w:hAnsiTheme="minorHAnsi" w:cstheme="minorHAnsi"/>
          <w:spacing w:val="-5"/>
          <w:sz w:val="22"/>
          <w:szCs w:val="22"/>
        </w:rPr>
        <w:t xml:space="preserve"> </w:t>
      </w:r>
      <w:r w:rsidR="00C55A68" w:rsidRPr="00682233">
        <w:rPr>
          <w:rFonts w:asciiTheme="minorHAnsi" w:hAnsiTheme="minorHAnsi" w:cstheme="minorHAnsi"/>
          <w:sz w:val="22"/>
          <w:szCs w:val="22"/>
        </w:rPr>
        <w:t>least</w:t>
      </w:r>
      <w:r w:rsidR="00C55A68" w:rsidRPr="00682233">
        <w:rPr>
          <w:rFonts w:asciiTheme="minorHAnsi" w:hAnsiTheme="minorHAnsi" w:cstheme="minorHAnsi"/>
          <w:spacing w:val="-4"/>
          <w:sz w:val="22"/>
          <w:szCs w:val="22"/>
        </w:rPr>
        <w:t xml:space="preserve"> </w:t>
      </w:r>
      <w:r w:rsidR="00C55A68" w:rsidRPr="00682233">
        <w:rPr>
          <w:rFonts w:asciiTheme="minorHAnsi" w:hAnsiTheme="minorHAnsi" w:cstheme="minorHAnsi"/>
          <w:sz w:val="22"/>
          <w:szCs w:val="22"/>
        </w:rPr>
        <w:t>60%</w:t>
      </w:r>
      <w:r w:rsidR="00C55A68" w:rsidRPr="00682233">
        <w:rPr>
          <w:rFonts w:asciiTheme="minorHAnsi" w:hAnsiTheme="minorHAnsi" w:cstheme="minorHAnsi"/>
          <w:spacing w:val="-2"/>
          <w:sz w:val="22"/>
          <w:szCs w:val="22"/>
        </w:rPr>
        <w:t xml:space="preserve"> </w:t>
      </w:r>
      <w:r w:rsidR="00C55A68" w:rsidRPr="00682233">
        <w:rPr>
          <w:rFonts w:asciiTheme="minorHAnsi" w:hAnsiTheme="minorHAnsi" w:cstheme="minorHAnsi"/>
          <w:sz w:val="22"/>
          <w:szCs w:val="22"/>
        </w:rPr>
        <w:t>(from</w:t>
      </w:r>
      <w:r w:rsidR="00C55A68" w:rsidRPr="00682233">
        <w:rPr>
          <w:rFonts w:asciiTheme="minorHAnsi" w:hAnsiTheme="minorHAnsi" w:cstheme="minorHAnsi"/>
          <w:spacing w:val="-1"/>
          <w:sz w:val="22"/>
          <w:szCs w:val="22"/>
        </w:rPr>
        <w:t xml:space="preserve"> </w:t>
      </w:r>
      <w:r w:rsidR="00C55A68" w:rsidRPr="00682233">
        <w:rPr>
          <w:rFonts w:asciiTheme="minorHAnsi" w:hAnsiTheme="minorHAnsi" w:cstheme="minorHAnsi"/>
          <w:sz w:val="22"/>
          <w:szCs w:val="22"/>
        </w:rPr>
        <w:t>75%).</w:t>
      </w:r>
    </w:p>
    <w:p w14:paraId="6F8432C7" w14:textId="77777777" w:rsidR="00C55A68" w:rsidRPr="00682233" w:rsidRDefault="00C55A68" w:rsidP="00006193">
      <w:pPr>
        <w:rPr>
          <w:rFonts w:asciiTheme="minorHAnsi" w:hAnsiTheme="minorHAnsi" w:cstheme="minorHAnsi"/>
          <w:b/>
        </w:rPr>
      </w:pPr>
      <w:r w:rsidRPr="00682233">
        <w:rPr>
          <w:rFonts w:asciiTheme="minorHAnsi" w:hAnsiTheme="minorHAnsi" w:cstheme="minorHAnsi"/>
        </w:rPr>
        <w:t>These</w:t>
      </w:r>
      <w:r w:rsidRPr="00682233">
        <w:rPr>
          <w:rFonts w:asciiTheme="minorHAnsi" w:hAnsiTheme="minorHAnsi" w:cstheme="minorHAnsi"/>
          <w:spacing w:val="-4"/>
        </w:rPr>
        <w:t xml:space="preserve"> </w:t>
      </w:r>
      <w:r w:rsidRPr="00682233">
        <w:rPr>
          <w:rFonts w:asciiTheme="minorHAnsi" w:hAnsiTheme="minorHAnsi" w:cstheme="minorHAnsi"/>
        </w:rPr>
        <w:t>changes</w:t>
      </w:r>
      <w:r w:rsidRPr="00682233">
        <w:rPr>
          <w:rFonts w:asciiTheme="minorHAnsi" w:hAnsiTheme="minorHAnsi" w:cstheme="minorHAnsi"/>
          <w:spacing w:val="-4"/>
        </w:rPr>
        <w:t xml:space="preserve"> </w:t>
      </w:r>
      <w:r w:rsidRPr="00682233">
        <w:rPr>
          <w:rFonts w:asciiTheme="minorHAnsi" w:hAnsiTheme="minorHAnsi" w:cstheme="minorHAnsi"/>
        </w:rPr>
        <w:t>were</w:t>
      </w:r>
      <w:r w:rsidRPr="00682233">
        <w:rPr>
          <w:rFonts w:asciiTheme="minorHAnsi" w:hAnsiTheme="minorHAnsi" w:cstheme="minorHAnsi"/>
          <w:spacing w:val="-3"/>
        </w:rPr>
        <w:t xml:space="preserve"> </w:t>
      </w:r>
      <w:r w:rsidRPr="00682233">
        <w:rPr>
          <w:rFonts w:asciiTheme="minorHAnsi" w:hAnsiTheme="minorHAnsi" w:cstheme="minorHAnsi"/>
        </w:rPr>
        <w:t>submitted</w:t>
      </w:r>
      <w:r w:rsidRPr="00682233">
        <w:rPr>
          <w:rFonts w:asciiTheme="minorHAnsi" w:hAnsiTheme="minorHAnsi" w:cstheme="minorHAnsi"/>
          <w:spacing w:val="-1"/>
        </w:rPr>
        <w:t xml:space="preserve"> </w:t>
      </w:r>
      <w:r w:rsidRPr="00682233">
        <w:rPr>
          <w:rFonts w:asciiTheme="minorHAnsi" w:hAnsiTheme="minorHAnsi" w:cstheme="minorHAnsi"/>
        </w:rPr>
        <w:t>to</w:t>
      </w:r>
      <w:r w:rsidRPr="00682233">
        <w:rPr>
          <w:rFonts w:asciiTheme="minorHAnsi" w:hAnsiTheme="minorHAnsi" w:cstheme="minorHAnsi"/>
          <w:spacing w:val="-1"/>
        </w:rPr>
        <w:t xml:space="preserve"> </w:t>
      </w:r>
      <w:r w:rsidRPr="00682233">
        <w:rPr>
          <w:rFonts w:asciiTheme="minorHAnsi" w:hAnsiTheme="minorHAnsi" w:cstheme="minorHAnsi"/>
        </w:rPr>
        <w:t>the</w:t>
      </w:r>
      <w:r w:rsidRPr="00682233">
        <w:rPr>
          <w:rFonts w:asciiTheme="minorHAnsi" w:hAnsiTheme="minorHAnsi" w:cstheme="minorHAnsi"/>
          <w:spacing w:val="-3"/>
        </w:rPr>
        <w:t xml:space="preserve"> </w:t>
      </w:r>
      <w:r w:rsidRPr="00682233">
        <w:rPr>
          <w:rFonts w:asciiTheme="minorHAnsi" w:hAnsiTheme="minorHAnsi" w:cstheme="minorHAnsi"/>
        </w:rPr>
        <w:t>Project</w:t>
      </w:r>
      <w:r w:rsidRPr="00682233">
        <w:rPr>
          <w:rFonts w:asciiTheme="minorHAnsi" w:hAnsiTheme="minorHAnsi" w:cstheme="minorHAnsi"/>
          <w:spacing w:val="-2"/>
        </w:rPr>
        <w:t xml:space="preserve"> </w:t>
      </w:r>
      <w:r w:rsidRPr="00682233">
        <w:rPr>
          <w:rFonts w:asciiTheme="minorHAnsi" w:hAnsiTheme="minorHAnsi" w:cstheme="minorHAnsi"/>
        </w:rPr>
        <w:t>Board</w:t>
      </w:r>
      <w:r w:rsidRPr="00682233">
        <w:rPr>
          <w:rFonts w:asciiTheme="minorHAnsi" w:hAnsiTheme="minorHAnsi" w:cstheme="minorHAnsi"/>
          <w:spacing w:val="-1"/>
        </w:rPr>
        <w:t xml:space="preserve"> </w:t>
      </w:r>
      <w:r w:rsidRPr="00682233">
        <w:rPr>
          <w:rFonts w:asciiTheme="minorHAnsi" w:hAnsiTheme="minorHAnsi" w:cstheme="minorHAnsi"/>
        </w:rPr>
        <w:t>on</w:t>
      </w:r>
      <w:r w:rsidRPr="00682233">
        <w:rPr>
          <w:rFonts w:asciiTheme="minorHAnsi" w:hAnsiTheme="minorHAnsi" w:cstheme="minorHAnsi"/>
          <w:spacing w:val="-1"/>
        </w:rPr>
        <w:t xml:space="preserve"> </w:t>
      </w:r>
      <w:r w:rsidRPr="00682233">
        <w:rPr>
          <w:rFonts w:asciiTheme="minorHAnsi" w:hAnsiTheme="minorHAnsi" w:cstheme="minorHAnsi"/>
        </w:rPr>
        <w:t>December</w:t>
      </w:r>
      <w:r w:rsidRPr="00682233">
        <w:rPr>
          <w:rFonts w:asciiTheme="minorHAnsi" w:hAnsiTheme="minorHAnsi" w:cstheme="minorHAnsi"/>
          <w:spacing w:val="-4"/>
        </w:rPr>
        <w:t xml:space="preserve"> </w:t>
      </w:r>
      <w:r w:rsidRPr="00682233">
        <w:rPr>
          <w:rFonts w:asciiTheme="minorHAnsi" w:hAnsiTheme="minorHAnsi" w:cstheme="minorHAnsi"/>
        </w:rPr>
        <w:t>11 and</w:t>
      </w:r>
      <w:r w:rsidRPr="00682233">
        <w:rPr>
          <w:rFonts w:asciiTheme="minorHAnsi" w:hAnsiTheme="minorHAnsi" w:cstheme="minorHAnsi"/>
          <w:spacing w:val="-1"/>
        </w:rPr>
        <w:t xml:space="preserve"> </w:t>
      </w:r>
      <w:r w:rsidRPr="00682233">
        <w:rPr>
          <w:rFonts w:asciiTheme="minorHAnsi" w:hAnsiTheme="minorHAnsi" w:cstheme="minorHAnsi"/>
        </w:rPr>
        <w:t>approved.</w:t>
      </w:r>
    </w:p>
    <w:p w14:paraId="184AF4D4" w14:textId="3D9CF00F" w:rsidR="00790ED6" w:rsidRPr="00981FE1" w:rsidRDefault="00790ED6" w:rsidP="00981FE1">
      <w:pPr>
        <w:pStyle w:val="ListParagraph"/>
        <w:tabs>
          <w:tab w:val="left" w:pos="861"/>
        </w:tabs>
        <w:spacing w:before="121" w:line="276" w:lineRule="auto"/>
        <w:ind w:left="861" w:right="111" w:firstLine="0"/>
        <w:rPr>
          <w:rFonts w:asciiTheme="minorHAnsi" w:hAnsiTheme="minorHAnsi" w:cstheme="minorHAnsi"/>
        </w:rPr>
      </w:pPr>
    </w:p>
    <w:p w14:paraId="35CCC40A" w14:textId="0E9F251D" w:rsidR="00790ED6" w:rsidRPr="00981FE1" w:rsidRDefault="00790ED6" w:rsidP="00981FE1">
      <w:pPr>
        <w:pStyle w:val="ListParagraph"/>
        <w:tabs>
          <w:tab w:val="left" w:pos="861"/>
        </w:tabs>
        <w:spacing w:before="123" w:line="276" w:lineRule="auto"/>
        <w:ind w:left="861" w:right="111" w:firstLine="0"/>
        <w:rPr>
          <w:rFonts w:asciiTheme="minorHAnsi" w:hAnsiTheme="minorHAnsi" w:cstheme="minorHAnsi"/>
        </w:rPr>
      </w:pPr>
    </w:p>
    <w:p w14:paraId="18606997" w14:textId="1B83997A" w:rsidR="00682233" w:rsidRDefault="00682233">
      <w:r>
        <w:br w:type="page"/>
      </w:r>
    </w:p>
    <w:p w14:paraId="22A38F4D" w14:textId="77777777" w:rsidR="00AF0F35" w:rsidRDefault="00AF0F35" w:rsidP="00AF0F35"/>
    <w:p w14:paraId="6BC5D54F" w14:textId="62EDD1DC" w:rsidR="004336F9" w:rsidRPr="00F564D2" w:rsidRDefault="004336F9" w:rsidP="004336F9">
      <w:pPr>
        <w:pStyle w:val="Heading2"/>
      </w:pPr>
      <w:bookmarkStart w:id="118" w:name="_Annex_5._List"/>
      <w:bookmarkStart w:id="119" w:name="_Toc87991186"/>
      <w:bookmarkStart w:id="120" w:name="_Toc88151446"/>
      <w:bookmarkStart w:id="121" w:name="_Toc96772516"/>
      <w:bookmarkEnd w:id="118"/>
      <w:r w:rsidRPr="00F564D2">
        <w:t xml:space="preserve">Annex </w:t>
      </w:r>
      <w:r w:rsidR="00BF58B5">
        <w:t>5</w:t>
      </w:r>
      <w:r w:rsidRPr="00F564D2">
        <w:t>. List of Project’s Stakeholder Interviewed for the TE</w:t>
      </w:r>
      <w:bookmarkEnd w:id="119"/>
      <w:bookmarkEnd w:id="120"/>
      <w:bookmarkEnd w:id="121"/>
    </w:p>
    <w:tbl>
      <w:tblPr>
        <w:tblW w:w="8573" w:type="dxa"/>
        <w:tblCellMar>
          <w:left w:w="70" w:type="dxa"/>
          <w:right w:w="70" w:type="dxa"/>
        </w:tblCellMar>
        <w:tblLook w:val="04A0" w:firstRow="1" w:lastRow="0" w:firstColumn="1" w:lastColumn="0" w:noHBand="0" w:noVBand="1"/>
      </w:tblPr>
      <w:tblGrid>
        <w:gridCol w:w="860"/>
        <w:gridCol w:w="5345"/>
        <w:gridCol w:w="1010"/>
        <w:gridCol w:w="1352"/>
        <w:gridCol w:w="6"/>
      </w:tblGrid>
      <w:tr w:rsidR="004336F9" w:rsidRPr="00654AD3" w14:paraId="371C0015" w14:textId="77777777" w:rsidTr="00062DAE">
        <w:trPr>
          <w:trHeight w:val="300"/>
        </w:trPr>
        <w:tc>
          <w:tcPr>
            <w:tcW w:w="857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9520E7" w14:textId="77777777" w:rsidR="004336F9" w:rsidRPr="00654AD3" w:rsidRDefault="004336F9" w:rsidP="00062DAE">
            <w:pPr>
              <w:spacing w:after="0" w:line="240" w:lineRule="auto"/>
              <w:jc w:val="center"/>
              <w:rPr>
                <w:rFonts w:asciiTheme="minorHAnsi" w:eastAsia="Times New Roman" w:hAnsiTheme="minorHAnsi" w:cstheme="minorHAnsi"/>
                <w:b/>
                <w:bCs/>
                <w:color w:val="000000"/>
              </w:rPr>
            </w:pPr>
            <w:r w:rsidRPr="00654AD3">
              <w:rPr>
                <w:rFonts w:asciiTheme="minorHAnsi" w:eastAsia="Times New Roman" w:hAnsiTheme="minorHAnsi" w:cstheme="minorHAnsi"/>
                <w:b/>
                <w:bCs/>
                <w:color w:val="000000"/>
              </w:rPr>
              <w:t>List of Project's Stakeholders Interviewed for the TE</w:t>
            </w:r>
          </w:p>
        </w:tc>
      </w:tr>
      <w:tr w:rsidR="004336F9" w:rsidRPr="00654AD3" w14:paraId="0D71D540"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83BE804" w14:textId="77777777" w:rsidR="004336F9" w:rsidRPr="00654AD3" w:rsidRDefault="004336F9" w:rsidP="00062DAE">
            <w:pPr>
              <w:spacing w:after="0" w:line="240" w:lineRule="auto"/>
              <w:rPr>
                <w:rFonts w:asciiTheme="minorHAnsi" w:eastAsia="Times New Roman" w:hAnsiTheme="minorHAnsi" w:cstheme="minorHAnsi"/>
                <w:b/>
                <w:bCs/>
                <w:color w:val="FFFFFF" w:themeColor="background1"/>
                <w:lang w:val="es-ES"/>
              </w:rPr>
            </w:pPr>
            <w:r w:rsidRPr="00654AD3">
              <w:rPr>
                <w:rFonts w:asciiTheme="minorHAnsi" w:eastAsia="Times New Roman" w:hAnsiTheme="minorHAnsi" w:cstheme="minorHAnsi"/>
                <w:b/>
                <w:bCs/>
                <w:color w:val="FFFFFF" w:themeColor="background1"/>
                <w:lang w:val="es-ES"/>
              </w:rPr>
              <w:t>Total</w:t>
            </w:r>
          </w:p>
        </w:tc>
        <w:tc>
          <w:tcPr>
            <w:tcW w:w="5345"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3D40B8BF" w14:textId="77777777" w:rsidR="004336F9" w:rsidRPr="00654AD3" w:rsidRDefault="004336F9" w:rsidP="00062DAE">
            <w:pPr>
              <w:spacing w:after="0" w:line="240" w:lineRule="auto"/>
              <w:rPr>
                <w:rFonts w:asciiTheme="minorHAnsi" w:eastAsia="Times New Roman" w:hAnsiTheme="minorHAnsi" w:cstheme="minorHAnsi"/>
                <w:b/>
                <w:bCs/>
                <w:color w:val="FFFFFF" w:themeColor="background1"/>
                <w:lang w:val="es-ES"/>
              </w:rPr>
            </w:pPr>
            <w:r w:rsidRPr="00654AD3">
              <w:rPr>
                <w:rFonts w:asciiTheme="minorHAnsi" w:eastAsia="Times New Roman" w:hAnsiTheme="minorHAnsi" w:cstheme="minorHAnsi"/>
                <w:b/>
                <w:bCs/>
                <w:color w:val="FFFFFF" w:themeColor="background1"/>
                <w:lang w:val="es-ES"/>
              </w:rPr>
              <w:t>Participants</w:t>
            </w:r>
          </w:p>
        </w:tc>
        <w:tc>
          <w:tcPr>
            <w:tcW w:w="101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76FC4250" w14:textId="77777777" w:rsidR="004336F9" w:rsidRPr="00654AD3" w:rsidRDefault="004336F9" w:rsidP="00062DAE">
            <w:pPr>
              <w:spacing w:after="0" w:line="240" w:lineRule="auto"/>
              <w:rPr>
                <w:rFonts w:asciiTheme="minorHAnsi" w:eastAsia="Times New Roman" w:hAnsiTheme="minorHAnsi" w:cstheme="minorHAnsi"/>
                <w:b/>
                <w:bCs/>
                <w:color w:val="FFFFFF" w:themeColor="background1"/>
                <w:lang w:val="es-ES"/>
              </w:rPr>
            </w:pPr>
            <w:r w:rsidRPr="00654AD3">
              <w:rPr>
                <w:rFonts w:asciiTheme="minorHAnsi" w:eastAsia="Times New Roman" w:hAnsiTheme="minorHAnsi" w:cstheme="minorHAnsi"/>
                <w:b/>
                <w:bCs/>
                <w:color w:val="FFFFFF" w:themeColor="background1"/>
                <w:lang w:val="es-ES"/>
              </w:rPr>
              <w:t>Males</w:t>
            </w:r>
          </w:p>
        </w:tc>
        <w:tc>
          <w:tcPr>
            <w:tcW w:w="1352"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688E97A" w14:textId="77777777" w:rsidR="004336F9" w:rsidRPr="00654AD3" w:rsidRDefault="004336F9" w:rsidP="00062DAE">
            <w:pPr>
              <w:spacing w:after="0" w:line="240" w:lineRule="auto"/>
              <w:rPr>
                <w:rFonts w:asciiTheme="minorHAnsi" w:eastAsia="Times New Roman" w:hAnsiTheme="minorHAnsi" w:cstheme="minorHAnsi"/>
                <w:b/>
                <w:bCs/>
                <w:color w:val="FFFFFF" w:themeColor="background1"/>
                <w:lang w:val="es-ES"/>
              </w:rPr>
            </w:pPr>
            <w:r w:rsidRPr="00654AD3">
              <w:rPr>
                <w:rFonts w:asciiTheme="minorHAnsi" w:eastAsia="Times New Roman" w:hAnsiTheme="minorHAnsi" w:cstheme="minorHAnsi"/>
                <w:b/>
                <w:bCs/>
                <w:color w:val="FFFFFF" w:themeColor="background1"/>
                <w:lang w:val="es-ES"/>
              </w:rPr>
              <w:t>Females</w:t>
            </w:r>
          </w:p>
        </w:tc>
      </w:tr>
      <w:tr w:rsidR="004336F9" w:rsidRPr="00654AD3" w14:paraId="4FEA9472"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A940"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FF483" w14:textId="77777777" w:rsidR="004336F9" w:rsidRPr="000F3063"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Andrew Bovarnick</w:t>
            </w:r>
            <w:r>
              <w:rPr>
                <w:rFonts w:asciiTheme="minorHAnsi" w:eastAsia="Times New Roman" w:hAnsiTheme="minorHAnsi" w:cstheme="minorHAnsi"/>
                <w:color w:val="000000"/>
              </w:rPr>
              <w:t>, UNDP GCP Head,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40D85"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78F8B"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7013EF9A" w14:textId="77777777" w:rsidTr="00062DAE">
        <w:trPr>
          <w:gridAfter w:val="1"/>
          <w:wAfter w:w="6" w:type="dxa"/>
          <w:trHeight w:val="48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DC828"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49234" w14:textId="77777777" w:rsidR="004336F9" w:rsidRPr="00C7176E" w:rsidRDefault="004336F9" w:rsidP="00062DAE">
            <w:pPr>
              <w:spacing w:after="0" w:line="240" w:lineRule="auto"/>
              <w:rPr>
                <w:rFonts w:asciiTheme="minorHAnsi" w:eastAsia="Times New Roman" w:hAnsiTheme="minorHAnsi" w:cstheme="minorHAnsi"/>
                <w:color w:val="000000"/>
              </w:rPr>
            </w:pPr>
            <w:r w:rsidRPr="00C7176E">
              <w:rPr>
                <w:rFonts w:asciiTheme="minorHAnsi" w:eastAsia="Times New Roman" w:hAnsiTheme="minorHAnsi" w:cstheme="minorHAnsi"/>
                <w:color w:val="000000"/>
              </w:rPr>
              <w:t>Pascale Bonzom, GGP Global Project Manager and Aline Da Silva, GGP Co</w:t>
            </w:r>
            <w:r>
              <w:rPr>
                <w:rFonts w:asciiTheme="minorHAnsi" w:eastAsia="Times New Roman" w:hAnsiTheme="minorHAnsi" w:cstheme="minorHAnsi"/>
                <w:color w:val="000000"/>
              </w:rPr>
              <w:t>ordinator,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9AF7A" w14:textId="77777777" w:rsidR="004336F9" w:rsidRPr="00C7176E" w:rsidRDefault="004336F9" w:rsidP="00062DAE">
            <w:pPr>
              <w:spacing w:after="0" w:line="240" w:lineRule="auto"/>
              <w:rPr>
                <w:rFonts w:asciiTheme="minorHAnsi" w:eastAsia="Times New Roman" w:hAnsiTheme="minorHAnsi" w:cstheme="minorHAnsi"/>
                <w:color w:val="000000"/>
              </w:rPr>
            </w:pPr>
            <w:r w:rsidRPr="00C7176E">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CC50"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r>
      <w:tr w:rsidR="004336F9" w:rsidRPr="00654AD3" w14:paraId="1B3C9963"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BDF48"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19C34" w14:textId="77777777" w:rsidR="004336F9" w:rsidRPr="00C7176E" w:rsidRDefault="004336F9" w:rsidP="00062DAE">
            <w:pPr>
              <w:spacing w:after="0" w:line="240" w:lineRule="auto"/>
              <w:rPr>
                <w:rFonts w:asciiTheme="minorHAnsi" w:eastAsia="Times New Roman" w:hAnsiTheme="minorHAnsi" w:cstheme="minorHAnsi"/>
                <w:color w:val="000000"/>
              </w:rPr>
            </w:pPr>
            <w:r w:rsidRPr="00C7176E">
              <w:rPr>
                <w:rFonts w:asciiTheme="minorHAnsi" w:eastAsia="Times New Roman" w:hAnsiTheme="minorHAnsi" w:cstheme="minorHAnsi"/>
                <w:color w:val="000000"/>
              </w:rPr>
              <w:t>Pascal Fabie, GCP’s Senior Adviser for Lea</w:t>
            </w:r>
            <w:r>
              <w:rPr>
                <w:rFonts w:asciiTheme="minorHAnsi" w:eastAsia="Times New Roman" w:hAnsiTheme="minorHAnsi" w:cstheme="minorHAnsi"/>
                <w:color w:val="000000"/>
              </w:rPr>
              <w:t>rning and Impact,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268EF"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05DD5"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6EFE83D6"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518B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3308D" w14:textId="77777777" w:rsidR="004336F9" w:rsidRPr="00632A59" w:rsidRDefault="004336F9" w:rsidP="00062DAE">
            <w:pPr>
              <w:spacing w:after="0" w:line="240" w:lineRule="auto"/>
              <w:rPr>
                <w:rFonts w:asciiTheme="minorHAnsi" w:eastAsia="Times New Roman" w:hAnsiTheme="minorHAnsi" w:cstheme="minorHAnsi"/>
                <w:color w:val="000000"/>
              </w:rPr>
            </w:pPr>
            <w:r w:rsidRPr="00632A59">
              <w:rPr>
                <w:rFonts w:asciiTheme="minorHAnsi" w:eastAsia="Times New Roman" w:hAnsiTheme="minorHAnsi" w:cstheme="minorHAnsi"/>
                <w:color w:val="000000"/>
              </w:rPr>
              <w:t>Vanessa Briceño, Administrative and Financial Asssistant, UND</w:t>
            </w:r>
            <w:r>
              <w:rPr>
                <w:rFonts w:asciiTheme="minorHAnsi" w:eastAsia="Times New Roman" w:hAnsiTheme="minorHAnsi" w:cstheme="minorHAnsi"/>
                <w:color w:val="000000"/>
              </w:rPr>
              <w:t>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A710E" w14:textId="77777777" w:rsidR="004336F9" w:rsidRPr="00632A59" w:rsidRDefault="004336F9" w:rsidP="00062DAE">
            <w:pPr>
              <w:spacing w:after="0" w:line="240" w:lineRule="auto"/>
              <w:rPr>
                <w:rFonts w:asciiTheme="minorHAnsi" w:eastAsia="Times New Roman" w:hAnsiTheme="minorHAnsi" w:cstheme="minorHAnsi"/>
                <w:color w:val="000000"/>
              </w:rPr>
            </w:pPr>
            <w:r w:rsidRPr="00632A59">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00C2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7B25D586" w14:textId="77777777" w:rsidTr="00062DAE">
        <w:trPr>
          <w:gridAfter w:val="1"/>
          <w:wAfter w:w="6" w:type="dxa"/>
          <w:trHeight w:val="48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A2E0"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94835" w14:textId="77777777" w:rsidR="004336F9" w:rsidRPr="00632A59"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Andrea Bina</w:t>
            </w:r>
            <w:r>
              <w:rPr>
                <w:rFonts w:asciiTheme="minorHAnsi" w:eastAsia="Times New Roman" w:hAnsiTheme="minorHAnsi" w:cstheme="minorHAnsi"/>
                <w:color w:val="000000"/>
              </w:rPr>
              <w:t>, M&amp;E Specialist Working Group, UNDP</w:t>
            </w:r>
            <w:r w:rsidRPr="00654AD3">
              <w:rPr>
                <w:rFonts w:asciiTheme="minorHAnsi" w:eastAsia="Times New Roman" w:hAnsiTheme="minorHAnsi" w:cstheme="minorHAnsi"/>
                <w:color w:val="000000"/>
              </w:rPr>
              <w:t xml:space="preserve"> and Lavinia Gasperini</w:t>
            </w:r>
            <w:r>
              <w:rPr>
                <w:rFonts w:asciiTheme="minorHAnsi" w:eastAsia="Times New Roman" w:hAnsiTheme="minorHAnsi" w:cstheme="minorHAnsi"/>
                <w:color w:val="000000"/>
              </w:rPr>
              <w:t>, M&amp;E Focal Point</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41B7B"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0BD5"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04968539"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D6C4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04166"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it-IT"/>
              </w:rPr>
              <w:t xml:space="preserve"> Lara Yacob</w:t>
            </w:r>
            <w:r>
              <w:rPr>
                <w:rFonts w:asciiTheme="minorHAnsi" w:eastAsia="Times New Roman" w:hAnsiTheme="minorHAnsi" w:cstheme="minorHAnsi"/>
                <w:color w:val="000000"/>
                <w:lang w:val="it-IT"/>
              </w:rPr>
              <w:t>, UNEP-Fi</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9E342"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48D3"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5CE7EFB5" w14:textId="77777777" w:rsidTr="00062DAE">
        <w:trPr>
          <w:gridAfter w:val="1"/>
          <w:wAfter w:w="6" w:type="dxa"/>
          <w:trHeight w:val="48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18286"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9059B" w14:textId="77777777" w:rsidR="004336F9" w:rsidRPr="00632A59" w:rsidRDefault="004336F9" w:rsidP="00062DAE">
            <w:pPr>
              <w:spacing w:after="0" w:line="240" w:lineRule="auto"/>
              <w:rPr>
                <w:rFonts w:asciiTheme="minorHAnsi" w:eastAsia="Times New Roman" w:hAnsiTheme="minorHAnsi" w:cstheme="minorHAnsi"/>
                <w:color w:val="000000"/>
                <w:lang w:val="pt-BR"/>
              </w:rPr>
            </w:pPr>
            <w:r w:rsidRPr="00632A59">
              <w:rPr>
                <w:rFonts w:asciiTheme="minorHAnsi" w:eastAsia="Times New Roman" w:hAnsiTheme="minorHAnsi" w:cstheme="minorHAnsi"/>
                <w:color w:val="000000"/>
                <w:lang w:val="pt-BR"/>
              </w:rPr>
              <w:t>Santiago Fernandez de Cordoba, E</w:t>
            </w:r>
            <w:r>
              <w:rPr>
                <w:rFonts w:asciiTheme="minorHAnsi" w:eastAsia="Times New Roman" w:hAnsiTheme="minorHAnsi" w:cstheme="minorHAnsi"/>
                <w:color w:val="000000"/>
                <w:lang w:val="pt-BR"/>
              </w:rPr>
              <w:t>vidensia Stakeholder Council, UNCTAD/UNFSS</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8C442"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DCD41"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58902A48"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3DC5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859BB" w14:textId="77777777" w:rsidR="004336F9" w:rsidRPr="0072236B" w:rsidRDefault="004336F9" w:rsidP="00062DAE">
            <w:pPr>
              <w:spacing w:after="0" w:line="240" w:lineRule="auto"/>
              <w:rPr>
                <w:rFonts w:asciiTheme="minorHAnsi" w:eastAsia="Times New Roman" w:hAnsiTheme="minorHAnsi" w:cstheme="minorHAnsi"/>
                <w:color w:val="000000"/>
              </w:rPr>
            </w:pPr>
            <w:r w:rsidRPr="0072236B">
              <w:rPr>
                <w:rFonts w:asciiTheme="minorHAnsi" w:eastAsia="Times New Roman" w:hAnsiTheme="minorHAnsi" w:cstheme="minorHAnsi"/>
                <w:color w:val="000000"/>
              </w:rPr>
              <w:t>Alekssandra Atallah, Programme Knoledge Man</w:t>
            </w:r>
            <w:r>
              <w:rPr>
                <w:rFonts w:asciiTheme="minorHAnsi" w:eastAsia="Times New Roman" w:hAnsiTheme="minorHAnsi" w:cstheme="minorHAnsi"/>
                <w:color w:val="000000"/>
              </w:rPr>
              <w:t>agement Integration,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74542" w14:textId="77777777" w:rsidR="004336F9" w:rsidRPr="0072236B" w:rsidRDefault="004336F9" w:rsidP="00062DAE">
            <w:pPr>
              <w:spacing w:after="0" w:line="240" w:lineRule="auto"/>
              <w:rPr>
                <w:rFonts w:asciiTheme="minorHAnsi" w:eastAsia="Times New Roman" w:hAnsiTheme="minorHAnsi" w:cstheme="minorHAnsi"/>
                <w:color w:val="000000"/>
              </w:rPr>
            </w:pPr>
            <w:r w:rsidRPr="0072236B">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8C527"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05A936BC" w14:textId="77777777" w:rsidTr="00062DAE">
        <w:trPr>
          <w:gridAfter w:val="1"/>
          <w:wAfter w:w="6" w:type="dxa"/>
          <w:trHeight w:val="48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2E01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Pr>
                <w:rFonts w:asciiTheme="minorHAnsi" w:eastAsia="Times New Roman" w:hAnsiTheme="minorHAnsi" w:cstheme="minorHAnsi"/>
                <w:color w:val="000000"/>
                <w:lang w:val="es-ES"/>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B2387" w14:textId="77777777" w:rsidR="004336F9" w:rsidRPr="00654AD3" w:rsidRDefault="004336F9" w:rsidP="00062DAE">
            <w:pPr>
              <w:spacing w:after="0" w:line="240" w:lineRule="auto"/>
              <w:rPr>
                <w:rFonts w:asciiTheme="minorHAnsi" w:eastAsia="Times New Roman" w:hAnsiTheme="minorHAnsi" w:cstheme="minorHAnsi"/>
                <w:color w:val="000000"/>
                <w:lang w:val="it-IT"/>
              </w:rPr>
            </w:pPr>
            <w:r w:rsidRPr="00654AD3">
              <w:rPr>
                <w:rFonts w:asciiTheme="minorHAnsi" w:eastAsia="Times New Roman" w:hAnsiTheme="minorHAnsi" w:cstheme="minorHAnsi"/>
                <w:color w:val="000000"/>
                <w:lang w:val="it-IT"/>
              </w:rPr>
              <w:t>Gino Bianco</w:t>
            </w:r>
            <w:r>
              <w:rPr>
                <w:rFonts w:asciiTheme="minorHAnsi" w:eastAsia="Times New Roman" w:hAnsiTheme="minorHAnsi" w:cstheme="minorHAnsi"/>
                <w:color w:val="000000"/>
                <w:lang w:val="it-IT"/>
              </w:rPr>
              <w:t xml:space="preserve">, M&amp;E Demand, </w:t>
            </w:r>
            <w:r w:rsidRPr="00654AD3">
              <w:rPr>
                <w:rFonts w:asciiTheme="minorHAnsi" w:eastAsia="Times New Roman" w:hAnsiTheme="minorHAnsi" w:cstheme="minorHAnsi"/>
                <w:color w:val="000000"/>
                <w:lang w:val="it-IT"/>
              </w:rPr>
              <w:t xml:space="preserve"> and Luis Iseppe</w:t>
            </w:r>
            <w:r>
              <w:rPr>
                <w:rFonts w:asciiTheme="minorHAnsi" w:eastAsia="Times New Roman" w:hAnsiTheme="minorHAnsi" w:cstheme="minorHAnsi"/>
                <w:color w:val="000000"/>
                <w:lang w:val="it-IT"/>
              </w:rPr>
              <w:t>, SC, WWF</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EB7B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Pr>
                <w:rFonts w:asciiTheme="minorHAnsi" w:eastAsia="Times New Roman" w:hAnsiTheme="minorHAnsi" w:cstheme="minorHAnsi"/>
                <w:color w:val="000000"/>
                <w:lang w:val="es-ES"/>
              </w:rPr>
              <w:t>2</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B318F"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4E68F0A1"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8078"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E61F2" w14:textId="77777777" w:rsidR="004336F9" w:rsidRPr="0072236B" w:rsidRDefault="004336F9" w:rsidP="00062DAE">
            <w:pPr>
              <w:spacing w:after="0" w:line="240" w:lineRule="auto"/>
              <w:rPr>
                <w:rFonts w:asciiTheme="minorHAnsi" w:eastAsia="Times New Roman" w:hAnsiTheme="minorHAnsi" w:cstheme="minorHAnsi"/>
                <w:color w:val="000000"/>
              </w:rPr>
            </w:pPr>
            <w:r w:rsidRPr="0072236B">
              <w:rPr>
                <w:rFonts w:asciiTheme="minorHAnsi" w:eastAsia="Times New Roman" w:hAnsiTheme="minorHAnsi" w:cstheme="minorHAnsi"/>
                <w:color w:val="000000"/>
              </w:rPr>
              <w:t>Rachel Kaplan, GEF-WWF Pro</w:t>
            </w:r>
            <w:r>
              <w:rPr>
                <w:rFonts w:asciiTheme="minorHAnsi" w:eastAsia="Times New Roman" w:hAnsiTheme="minorHAnsi" w:cstheme="minorHAnsi"/>
                <w:color w:val="000000"/>
              </w:rPr>
              <w:t>gram Officer</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05F65" w14:textId="77777777" w:rsidR="004336F9" w:rsidRPr="0072236B" w:rsidRDefault="004336F9" w:rsidP="00062DAE">
            <w:pPr>
              <w:spacing w:after="0" w:line="240" w:lineRule="auto"/>
              <w:rPr>
                <w:rFonts w:asciiTheme="minorHAnsi" w:eastAsia="Times New Roman" w:hAnsiTheme="minorHAnsi" w:cstheme="minorHAnsi"/>
                <w:color w:val="000000"/>
              </w:rPr>
            </w:pPr>
            <w:r w:rsidRPr="0072236B">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8A7C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5025E6D7" w14:textId="77777777" w:rsidTr="00062DAE">
        <w:trPr>
          <w:gridAfter w:val="1"/>
          <w:wAfter w:w="6" w:type="dxa"/>
          <w:trHeight w:val="48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3605"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91604" w14:textId="77777777" w:rsidR="004336F9" w:rsidRPr="00654AD3"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Margreet Groot</w:t>
            </w:r>
            <w:r>
              <w:rPr>
                <w:rFonts w:asciiTheme="minorHAnsi" w:eastAsia="Times New Roman" w:hAnsiTheme="minorHAnsi" w:cstheme="minorHAnsi"/>
                <w:color w:val="000000"/>
              </w:rPr>
              <w:t xml:space="preserve">, Comms. Sr. Advisor UNDP, </w:t>
            </w:r>
            <w:r w:rsidRPr="00654AD3">
              <w:rPr>
                <w:rFonts w:asciiTheme="minorHAnsi" w:eastAsia="Times New Roman" w:hAnsiTheme="minorHAnsi" w:cstheme="minorHAnsi"/>
                <w:color w:val="000000"/>
              </w:rPr>
              <w:t>and Cristina Baeza</w:t>
            </w:r>
            <w:r>
              <w:rPr>
                <w:rFonts w:asciiTheme="minorHAnsi" w:eastAsia="Times New Roman" w:hAnsiTheme="minorHAnsi" w:cstheme="minorHAnsi"/>
                <w:color w:val="000000"/>
              </w:rPr>
              <w:t>, Comms. Specialist,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E53C5" w14:textId="77777777" w:rsidR="004336F9" w:rsidRPr="00654AD3"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08EDF"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r>
      <w:tr w:rsidR="004336F9" w:rsidRPr="00654AD3" w14:paraId="373579DB"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59A2C"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8828C" w14:textId="77777777" w:rsidR="004336F9" w:rsidRPr="003946F2"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Lise Melvin</w:t>
            </w:r>
            <w:r>
              <w:rPr>
                <w:rFonts w:asciiTheme="minorHAnsi" w:eastAsia="Times New Roman" w:hAnsiTheme="minorHAnsi" w:cstheme="minorHAnsi"/>
                <w:color w:val="000000"/>
              </w:rPr>
              <w:t>, Senior Platforms Advisor,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4F24D" w14:textId="77777777" w:rsidR="004336F9" w:rsidRPr="003946F2" w:rsidRDefault="004336F9" w:rsidP="00062DAE">
            <w:pPr>
              <w:spacing w:after="0" w:line="240" w:lineRule="auto"/>
              <w:rPr>
                <w:rFonts w:asciiTheme="minorHAnsi" w:eastAsia="Times New Roman" w:hAnsiTheme="minorHAnsi" w:cstheme="minorHAnsi"/>
                <w:color w:val="000000"/>
              </w:rPr>
            </w:pPr>
            <w:r w:rsidRPr="003946F2">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04BB7"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30A6E5D4"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0A040"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07AFC" w14:textId="77777777" w:rsidR="004336F9" w:rsidRPr="003946F2" w:rsidRDefault="004336F9" w:rsidP="00062DAE">
            <w:pPr>
              <w:pStyle w:val="NoSpacing"/>
            </w:pPr>
            <w:r w:rsidRPr="00654AD3">
              <w:rPr>
                <w:color w:val="000000"/>
              </w:rPr>
              <w:t>Robyn Paulekas</w:t>
            </w:r>
            <w:r>
              <w:rPr>
                <w:color w:val="000000"/>
              </w:rPr>
              <w:t xml:space="preserve">, </w:t>
            </w:r>
            <w:r w:rsidRPr="003946F2">
              <w:t>Senior Mediator and Program Manager</w:t>
            </w:r>
          </w:p>
          <w:p w14:paraId="7C5AF72D" w14:textId="77777777" w:rsidR="004336F9" w:rsidRPr="00E63E52" w:rsidRDefault="004336F9" w:rsidP="00062DAE">
            <w:pPr>
              <w:pStyle w:val="NoSpacing"/>
              <w:rPr>
                <w:u w:val="single"/>
              </w:rPr>
            </w:pPr>
            <w:r w:rsidRPr="00E63E52">
              <w:rPr>
                <w:u w:val="single"/>
              </w:rPr>
              <w:t>Meridian Institute, Evidensia Stakeholder C</w:t>
            </w:r>
            <w:r>
              <w:rPr>
                <w:u w:val="single"/>
              </w:rPr>
              <w:t>ouncil</w:t>
            </w:r>
          </w:p>
          <w:p w14:paraId="48C96D30" w14:textId="77777777" w:rsidR="004336F9" w:rsidRPr="00E63E52" w:rsidRDefault="004336F9" w:rsidP="00062DAE">
            <w:pPr>
              <w:spacing w:after="0" w:line="240" w:lineRule="auto"/>
              <w:rPr>
                <w:rFonts w:asciiTheme="minorHAnsi" w:eastAsia="Times New Roman" w:hAnsiTheme="minorHAnsi" w:cstheme="minorHAnsi"/>
                <w:color w:val="000000"/>
              </w:rPr>
            </w:pP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E9D61" w14:textId="77777777" w:rsidR="004336F9" w:rsidRPr="00E63E52" w:rsidRDefault="004336F9" w:rsidP="00062DAE">
            <w:pPr>
              <w:spacing w:after="0" w:line="240" w:lineRule="auto"/>
              <w:rPr>
                <w:rFonts w:asciiTheme="minorHAnsi" w:eastAsia="Times New Roman" w:hAnsiTheme="minorHAnsi" w:cstheme="minorHAnsi"/>
                <w:color w:val="000000"/>
              </w:rPr>
            </w:pPr>
            <w:r w:rsidRPr="00E63E52">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8955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7B5FF11D"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BD61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06B7F" w14:textId="77777777" w:rsidR="004336F9" w:rsidRPr="00E63E52"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Jeff Milder</w:t>
            </w:r>
            <w:r>
              <w:rPr>
                <w:rFonts w:asciiTheme="minorHAnsi" w:eastAsia="Times New Roman" w:hAnsiTheme="minorHAnsi" w:cstheme="minorHAnsi"/>
                <w:color w:val="000000"/>
              </w:rPr>
              <w:t>, Director, Global Programs, Rainforest Alliance, Evidensia Steering Committee</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8C3C0"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A63B4"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3FA3A55A" w14:textId="77777777" w:rsidTr="00062DAE">
        <w:trPr>
          <w:gridAfter w:val="1"/>
          <w:wAfter w:w="6" w:type="dxa"/>
          <w:trHeight w:val="485"/>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1E823"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35146" w14:textId="77777777" w:rsidR="004336F9" w:rsidRPr="00B945C4" w:rsidRDefault="004336F9" w:rsidP="00062DAE">
            <w:pPr>
              <w:rPr>
                <w:rFonts w:asciiTheme="minorHAnsi" w:hAnsiTheme="minorHAnsi" w:cstheme="minorHAnsi"/>
                <w:color w:val="000000"/>
              </w:rPr>
            </w:pPr>
            <w:r w:rsidRPr="00B945C4">
              <w:rPr>
                <w:rFonts w:asciiTheme="minorHAnsi" w:eastAsia="Times New Roman" w:hAnsiTheme="minorHAnsi" w:cstheme="minorHAnsi"/>
                <w:color w:val="000000"/>
              </w:rPr>
              <w:t xml:space="preserve">Jose Cruz Osorio, UNDP RH LAC, Chair, Project Board </w:t>
            </w:r>
          </w:p>
          <w:p w14:paraId="13F193A5" w14:textId="77777777" w:rsidR="004336F9" w:rsidRPr="00B945C4" w:rsidRDefault="004336F9" w:rsidP="00062DAE">
            <w:pPr>
              <w:spacing w:after="0" w:line="240" w:lineRule="auto"/>
              <w:rPr>
                <w:rFonts w:asciiTheme="minorHAnsi" w:eastAsia="Times New Roman" w:hAnsiTheme="minorHAnsi" w:cstheme="minorHAnsi"/>
                <w:color w:val="000000"/>
              </w:rPr>
            </w:pP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9D0AC"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72503"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4A2BD91A" w14:textId="77777777" w:rsidTr="00062DAE">
        <w:trPr>
          <w:gridAfter w:val="1"/>
          <w:wAfter w:w="6" w:type="dxa"/>
          <w:trHeight w:val="12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B4F8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6</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7B69B" w14:textId="77777777" w:rsidR="004336F9" w:rsidRPr="00B945C4" w:rsidRDefault="004336F9" w:rsidP="00062DAE">
            <w:pPr>
              <w:spacing w:after="0" w:line="240" w:lineRule="auto"/>
              <w:rPr>
                <w:rFonts w:asciiTheme="minorHAnsi" w:eastAsia="Times New Roman" w:hAnsiTheme="minorHAnsi" w:cstheme="minorHAnsi"/>
                <w:color w:val="000000"/>
                <w:lang w:val="es-ES"/>
              </w:rPr>
            </w:pPr>
            <w:r w:rsidRPr="00B945C4">
              <w:rPr>
                <w:rFonts w:asciiTheme="minorHAnsi" w:eastAsia="Times New Roman" w:hAnsiTheme="minorHAnsi" w:cstheme="minorHAnsi"/>
                <w:color w:val="000000"/>
                <w:lang w:val="es-ES"/>
              </w:rPr>
              <w:t>Enrique Molas, Oscar Gadea, Guillermo Javier Terol (IFC) Lourdes López, Viviana Villalba (UNDP), Veronique Gerard (UNDP) - Par</w:t>
            </w:r>
            <w:r>
              <w:rPr>
                <w:rFonts w:asciiTheme="minorHAnsi" w:eastAsia="Times New Roman" w:hAnsiTheme="minorHAnsi" w:cstheme="minorHAnsi"/>
                <w:color w:val="000000"/>
                <w:lang w:val="es-ES"/>
              </w:rPr>
              <w:t>aguay</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51EBD"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3</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92EF8"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3</w:t>
            </w:r>
          </w:p>
        </w:tc>
      </w:tr>
      <w:tr w:rsidR="004336F9" w:rsidRPr="00654AD3" w14:paraId="60A50B95"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4A1C6"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EEEE9" w14:textId="77777777" w:rsidR="004336F9" w:rsidRPr="00B945C4"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Monica McBride</w:t>
            </w:r>
            <w:r>
              <w:rPr>
                <w:rFonts w:asciiTheme="minorHAnsi" w:eastAsia="Times New Roman" w:hAnsiTheme="minorHAnsi" w:cstheme="minorHAnsi"/>
                <w:color w:val="000000"/>
              </w:rPr>
              <w:t>, Evidensia Steering Committee</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05383" w14:textId="77777777" w:rsidR="004336F9" w:rsidRPr="00B945C4" w:rsidRDefault="004336F9" w:rsidP="00062DAE">
            <w:pPr>
              <w:spacing w:after="0" w:line="240" w:lineRule="auto"/>
              <w:rPr>
                <w:rFonts w:asciiTheme="minorHAnsi" w:eastAsia="Times New Roman" w:hAnsiTheme="minorHAnsi" w:cstheme="minorHAnsi"/>
                <w:color w:val="000000"/>
              </w:rPr>
            </w:pPr>
            <w:r w:rsidRPr="00B945C4">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08D9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5B599A0C"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A4DA3"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13F62" w14:textId="77777777" w:rsidR="004336F9" w:rsidRPr="00B945C4"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Gregory Sampson</w:t>
            </w:r>
            <w:r>
              <w:rPr>
                <w:rFonts w:asciiTheme="minorHAnsi" w:eastAsia="Times New Roman" w:hAnsiTheme="minorHAnsi" w:cstheme="minorHAnsi"/>
                <w:color w:val="000000"/>
              </w:rPr>
              <w:t>, International Trade Centre (ITC), Evidensia Stakeholder Council</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94BEB"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274DA"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64B9C90C"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7A9CF"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A2FCE" w14:textId="77777777" w:rsidR="004336F9" w:rsidRPr="00B945C4"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Vidya Rangan</w:t>
            </w:r>
            <w:r>
              <w:rPr>
                <w:rFonts w:asciiTheme="minorHAnsi" w:eastAsia="Times New Roman" w:hAnsiTheme="minorHAnsi" w:cstheme="minorHAnsi"/>
                <w:color w:val="000000"/>
              </w:rPr>
              <w:t>, Senior Manager, Impacts and Evidence ISEAL ALLIANCE</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8E839" w14:textId="77777777" w:rsidR="004336F9" w:rsidRPr="00B945C4" w:rsidRDefault="004336F9" w:rsidP="00062DAE">
            <w:pPr>
              <w:spacing w:after="0" w:line="240" w:lineRule="auto"/>
              <w:rPr>
                <w:rFonts w:asciiTheme="minorHAnsi" w:eastAsia="Times New Roman" w:hAnsiTheme="minorHAnsi" w:cstheme="minorHAnsi"/>
                <w:color w:val="000000"/>
              </w:rPr>
            </w:pPr>
            <w:r w:rsidRPr="00B945C4">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1AC40"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1C17A14D"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BB3C"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5B986" w14:textId="77777777" w:rsidR="004336F9" w:rsidRPr="00B945C4" w:rsidRDefault="004336F9" w:rsidP="00062DAE">
            <w:pPr>
              <w:spacing w:after="0" w:line="240" w:lineRule="auto"/>
              <w:rPr>
                <w:rFonts w:asciiTheme="minorHAnsi" w:eastAsia="Times New Roman" w:hAnsiTheme="minorHAnsi" w:cstheme="minorHAnsi"/>
                <w:color w:val="000000"/>
              </w:rPr>
            </w:pPr>
            <w:r w:rsidRPr="00B945C4">
              <w:rPr>
                <w:rFonts w:asciiTheme="minorHAnsi" w:eastAsia="Times New Roman" w:hAnsiTheme="minorHAnsi" w:cstheme="minorHAnsi"/>
                <w:color w:val="000000"/>
              </w:rPr>
              <w:t>Rachel Garrett, ETH Zurich, Ev</w:t>
            </w:r>
            <w:r>
              <w:rPr>
                <w:rFonts w:asciiTheme="minorHAnsi" w:eastAsia="Times New Roman" w:hAnsiTheme="minorHAnsi" w:cstheme="minorHAnsi"/>
                <w:color w:val="000000"/>
              </w:rPr>
              <w:t>idensia Research Council</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B2384" w14:textId="77777777" w:rsidR="004336F9" w:rsidRPr="00B945C4" w:rsidRDefault="004336F9" w:rsidP="00062DAE">
            <w:pPr>
              <w:spacing w:after="0" w:line="240" w:lineRule="auto"/>
              <w:rPr>
                <w:rFonts w:asciiTheme="minorHAnsi" w:eastAsia="Times New Roman" w:hAnsiTheme="minorHAnsi" w:cstheme="minorHAnsi"/>
                <w:color w:val="000000"/>
              </w:rPr>
            </w:pPr>
            <w:r w:rsidRPr="00B945C4">
              <w:rPr>
                <w:rFonts w:asciiTheme="minorHAnsi" w:eastAsia="Times New Roman" w:hAnsiTheme="minorHAnsi" w:cstheme="minorHAnsi"/>
                <w:color w:val="000000"/>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E76F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38202251" w14:textId="77777777" w:rsidTr="00062DAE">
        <w:trPr>
          <w:gridAfter w:val="1"/>
          <w:wAfter w:w="6" w:type="dxa"/>
          <w:trHeight w:val="144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3D532"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9</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6D148"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Anselma Faustina</w:t>
            </w:r>
            <w:r>
              <w:rPr>
                <w:rFonts w:asciiTheme="minorHAnsi" w:eastAsia="Times New Roman" w:hAnsiTheme="minorHAnsi" w:cstheme="minorHAnsi"/>
                <w:color w:val="000000"/>
                <w:lang w:val="es-ES"/>
              </w:rPr>
              <w:t xml:space="preserve"> (UNDP)</w:t>
            </w:r>
            <w:r w:rsidRPr="00654AD3">
              <w:rPr>
                <w:rFonts w:asciiTheme="minorHAnsi" w:eastAsia="Times New Roman" w:hAnsiTheme="minorHAnsi" w:cstheme="minorHAnsi"/>
                <w:color w:val="000000"/>
                <w:lang w:val="es-ES"/>
              </w:rPr>
              <w:t>, Lara Yacob</w:t>
            </w:r>
            <w:r>
              <w:rPr>
                <w:rFonts w:asciiTheme="minorHAnsi" w:eastAsia="Times New Roman" w:hAnsiTheme="minorHAnsi" w:cstheme="minorHAnsi"/>
                <w:color w:val="000000"/>
                <w:lang w:val="es-ES"/>
              </w:rPr>
              <w:t xml:space="preserve"> (UNEP-Fi)</w:t>
            </w:r>
            <w:r w:rsidRPr="00654AD3">
              <w:rPr>
                <w:rFonts w:asciiTheme="minorHAnsi" w:eastAsia="Times New Roman" w:hAnsiTheme="minorHAnsi" w:cstheme="minorHAnsi"/>
                <w:color w:val="000000"/>
                <w:lang w:val="es-ES"/>
              </w:rPr>
              <w:t>, Rini Indrayanti</w:t>
            </w:r>
            <w:r>
              <w:rPr>
                <w:rFonts w:asciiTheme="minorHAnsi" w:eastAsia="Times New Roman" w:hAnsiTheme="minorHAnsi" w:cstheme="minorHAnsi"/>
                <w:color w:val="000000"/>
                <w:lang w:val="es-ES"/>
              </w:rPr>
              <w:t xml:space="preserve"> (UNDP)</w:t>
            </w:r>
            <w:r w:rsidRPr="00654AD3">
              <w:rPr>
                <w:rFonts w:asciiTheme="minorHAnsi" w:eastAsia="Times New Roman" w:hAnsiTheme="minorHAnsi" w:cstheme="minorHAnsi"/>
                <w:color w:val="000000"/>
                <w:lang w:val="es-ES"/>
              </w:rPr>
              <w:t xml:space="preserve">, A. Bayunanda, B.Haraty, Helen Lumban Gaol, Iwan Kurniawan, Nikky Nofari, </w:t>
            </w:r>
            <w:r>
              <w:rPr>
                <w:rFonts w:asciiTheme="minorHAnsi" w:eastAsia="Times New Roman" w:hAnsiTheme="minorHAnsi" w:cstheme="minorHAnsi"/>
                <w:color w:val="000000"/>
                <w:lang w:val="es-ES"/>
              </w:rPr>
              <w:t xml:space="preserve">(WWF), </w:t>
            </w:r>
            <w:r w:rsidRPr="00654AD3">
              <w:rPr>
                <w:rFonts w:asciiTheme="minorHAnsi" w:eastAsia="Times New Roman" w:hAnsiTheme="minorHAnsi" w:cstheme="minorHAnsi"/>
                <w:color w:val="000000"/>
                <w:lang w:val="es-ES"/>
              </w:rPr>
              <w:t>Tri Widjayanti</w:t>
            </w:r>
            <w:r w:rsidRPr="00654AD3">
              <w:rPr>
                <w:rFonts w:asciiTheme="minorHAnsi" w:eastAsia="Times New Roman" w:hAnsiTheme="minorHAnsi" w:cstheme="minorHAnsi"/>
                <w:color w:val="3C4043"/>
                <w:lang w:val="es-ES"/>
              </w:rPr>
              <w:t xml:space="preserve"> </w:t>
            </w:r>
            <w:r>
              <w:rPr>
                <w:rFonts w:asciiTheme="minorHAnsi" w:eastAsia="Times New Roman" w:hAnsiTheme="minorHAnsi" w:cstheme="minorHAnsi"/>
                <w:color w:val="3C4043"/>
                <w:lang w:val="es-ES"/>
              </w:rPr>
              <w:t>- Indonesia</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78323"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4</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E903D"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5</w:t>
            </w:r>
          </w:p>
        </w:tc>
      </w:tr>
      <w:tr w:rsidR="004336F9" w:rsidRPr="00654AD3" w14:paraId="242DFAE0"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15312"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lastRenderedPageBreak/>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CBB9F" w14:textId="77777777" w:rsidR="004336F9" w:rsidRPr="00F248DF" w:rsidRDefault="004336F9" w:rsidP="00062DAE">
            <w:pPr>
              <w:spacing w:after="0" w:line="240" w:lineRule="auto"/>
              <w:rPr>
                <w:rFonts w:asciiTheme="minorHAnsi" w:eastAsia="Times New Roman" w:hAnsiTheme="minorHAnsi" w:cstheme="minorHAnsi"/>
                <w:color w:val="000000"/>
                <w:lang w:val="it-IT"/>
              </w:rPr>
            </w:pPr>
            <w:r w:rsidRPr="00F248DF">
              <w:rPr>
                <w:rFonts w:asciiTheme="minorHAnsi" w:eastAsia="Times New Roman" w:hAnsiTheme="minorHAnsi" w:cstheme="minorHAnsi"/>
                <w:color w:val="000000"/>
                <w:lang w:val="it-IT"/>
              </w:rPr>
              <w:t>Felipe Carazzo, Tropical Forest A</w:t>
            </w:r>
            <w:r>
              <w:rPr>
                <w:rFonts w:asciiTheme="minorHAnsi" w:eastAsia="Times New Roman" w:hAnsiTheme="minorHAnsi" w:cstheme="minorHAnsi"/>
                <w:color w:val="000000"/>
                <w:lang w:val="it-IT"/>
              </w:rPr>
              <w:t>lliance</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93A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C8101"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15CB6D19"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E325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E6B68"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rPr>
              <w:t>Paul Hartman</w:t>
            </w:r>
            <w:r>
              <w:rPr>
                <w:rFonts w:asciiTheme="minorHAnsi" w:eastAsia="Times New Roman" w:hAnsiTheme="minorHAnsi" w:cstheme="minorHAnsi"/>
                <w:color w:val="000000"/>
              </w:rPr>
              <w:t>, GEF</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B3DE9"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2F845"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6FFAD556"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51FA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B9BF7" w14:textId="77777777" w:rsidR="004336F9" w:rsidRPr="00F248DF" w:rsidRDefault="004336F9" w:rsidP="00062DAE">
            <w:pPr>
              <w:spacing w:after="0" w:line="240" w:lineRule="auto"/>
              <w:rPr>
                <w:rFonts w:asciiTheme="minorHAnsi" w:eastAsia="Times New Roman" w:hAnsiTheme="minorHAnsi" w:cstheme="minorHAnsi"/>
                <w:color w:val="000000"/>
              </w:rPr>
            </w:pPr>
            <w:r w:rsidRPr="00F248DF">
              <w:rPr>
                <w:rFonts w:asciiTheme="minorHAnsi" w:eastAsia="Times New Roman" w:hAnsiTheme="minorHAnsi" w:cstheme="minorHAnsi"/>
                <w:color w:val="000000"/>
              </w:rPr>
              <w:t>Dorsla Farcarthy and Galah Toto,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B0DD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2</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F23BD"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787F7D63" w14:textId="77777777" w:rsidTr="00062DAE">
        <w:trPr>
          <w:gridAfter w:val="1"/>
          <w:wAfter w:w="6" w:type="dxa"/>
          <w:trHeight w:val="72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72F9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5</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A7F1D" w14:textId="77777777" w:rsidR="004336F9" w:rsidRPr="00654AD3" w:rsidRDefault="004336F9" w:rsidP="00062DAE">
            <w:pPr>
              <w:spacing w:after="0" w:line="240" w:lineRule="auto"/>
              <w:rPr>
                <w:rFonts w:asciiTheme="minorHAnsi" w:eastAsia="Times New Roman" w:hAnsiTheme="minorHAnsi" w:cstheme="minorHAnsi"/>
                <w:color w:val="000000"/>
                <w:lang w:val="pt-BR"/>
              </w:rPr>
            </w:pPr>
            <w:r w:rsidRPr="00654AD3">
              <w:rPr>
                <w:rFonts w:asciiTheme="minorHAnsi" w:eastAsia="Times New Roman" w:hAnsiTheme="minorHAnsi" w:cstheme="minorHAnsi"/>
                <w:color w:val="000000"/>
                <w:lang w:val="pt-BR"/>
              </w:rPr>
              <w:t>Ciro Franco Moreira</w:t>
            </w:r>
            <w:r>
              <w:rPr>
                <w:rFonts w:asciiTheme="minorHAnsi" w:eastAsia="Times New Roman" w:hAnsiTheme="minorHAnsi" w:cstheme="minorHAnsi"/>
                <w:color w:val="000000"/>
                <w:lang w:val="pt-BR"/>
              </w:rPr>
              <w:t xml:space="preserve"> (IFC Brazil), </w:t>
            </w:r>
            <w:r w:rsidRPr="00654AD3">
              <w:rPr>
                <w:rFonts w:asciiTheme="minorHAnsi" w:eastAsia="Times New Roman" w:hAnsiTheme="minorHAnsi" w:cstheme="minorHAnsi"/>
                <w:color w:val="000000"/>
                <w:lang w:val="pt-BR"/>
              </w:rPr>
              <w:t xml:space="preserve"> Andre Vasconcelos</w:t>
            </w:r>
            <w:r>
              <w:rPr>
                <w:rFonts w:asciiTheme="minorHAnsi" w:eastAsia="Times New Roman" w:hAnsiTheme="minorHAnsi" w:cstheme="minorHAnsi"/>
                <w:color w:val="000000"/>
                <w:lang w:val="pt-BR"/>
              </w:rPr>
              <w:t xml:space="preserve"> (Trase)</w:t>
            </w:r>
            <w:r w:rsidRPr="00654AD3">
              <w:rPr>
                <w:rFonts w:asciiTheme="minorHAnsi" w:eastAsia="Times New Roman" w:hAnsiTheme="minorHAnsi" w:cstheme="minorHAnsi"/>
                <w:color w:val="000000"/>
                <w:lang w:val="pt-BR"/>
              </w:rPr>
              <w:t>, Edgar Oliveira, Manuel Moraes</w:t>
            </w:r>
            <w:r>
              <w:rPr>
                <w:rFonts w:asciiTheme="minorHAnsi" w:eastAsia="Times New Roman" w:hAnsiTheme="minorHAnsi" w:cstheme="minorHAnsi"/>
                <w:color w:val="000000"/>
                <w:lang w:val="pt-BR"/>
              </w:rPr>
              <w:t xml:space="preserve"> (CI-Brazil)</w:t>
            </w:r>
            <w:r w:rsidRPr="00654AD3">
              <w:rPr>
                <w:rFonts w:asciiTheme="minorHAnsi" w:eastAsia="Times New Roman" w:hAnsiTheme="minorHAnsi" w:cstheme="minorHAnsi"/>
                <w:color w:val="000000"/>
                <w:lang w:val="pt-BR"/>
              </w:rPr>
              <w:t>, Raquel M Costa</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B56A7"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4</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7F359"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2F3D9A2D"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A39EC"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CEF6C"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rPr>
              <w:t>Margaret Arbuthnot</w:t>
            </w:r>
            <w:r>
              <w:rPr>
                <w:rFonts w:asciiTheme="minorHAnsi" w:eastAsia="Times New Roman" w:hAnsiTheme="minorHAnsi" w:cstheme="minorHAnsi"/>
                <w:color w:val="000000"/>
              </w:rPr>
              <w:t>, WWF</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9D029"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38B22"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586E5FEE"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08FE1"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C9B48"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rPr>
              <w:t>Veronique Gerard</w:t>
            </w:r>
            <w:r>
              <w:rPr>
                <w:rFonts w:asciiTheme="minorHAnsi" w:eastAsia="Times New Roman" w:hAnsiTheme="minorHAnsi" w:cstheme="minorHAnsi"/>
                <w:color w:val="000000"/>
              </w:rPr>
              <w:t>, UNDP-Paraguay</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DEC40"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D3DF2"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5C72B97C"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30069"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3728A" w14:textId="77777777" w:rsidR="004336F9" w:rsidRPr="0099292B" w:rsidRDefault="004336F9" w:rsidP="00062DAE">
            <w:pPr>
              <w:spacing w:after="0" w:line="240" w:lineRule="auto"/>
              <w:rPr>
                <w:rFonts w:asciiTheme="minorHAnsi" w:eastAsia="Times New Roman" w:hAnsiTheme="minorHAnsi" w:cstheme="minorHAnsi"/>
                <w:color w:val="000000"/>
              </w:rPr>
            </w:pPr>
            <w:r w:rsidRPr="00654AD3">
              <w:rPr>
                <w:rFonts w:asciiTheme="minorHAnsi" w:eastAsia="Times New Roman" w:hAnsiTheme="minorHAnsi" w:cstheme="minorHAnsi"/>
                <w:color w:val="000000"/>
              </w:rPr>
              <w:t>Charles O’Malley</w:t>
            </w:r>
            <w:r>
              <w:rPr>
                <w:rFonts w:asciiTheme="minorHAnsi" w:eastAsia="Times New Roman" w:hAnsiTheme="minorHAnsi" w:cstheme="minorHAnsi"/>
                <w:color w:val="000000"/>
              </w:rPr>
              <w:t xml:space="preserve">, </w:t>
            </w:r>
            <w:r w:rsidRPr="0099292B">
              <w:rPr>
                <w:rFonts w:asciiTheme="minorHAnsi" w:eastAsia="Times New Roman" w:hAnsiTheme="minorHAnsi" w:cstheme="minorHAnsi"/>
                <w:color w:val="000000"/>
              </w:rPr>
              <w:t>GCP's Senior Partnerships Advisor</w:t>
            </w:r>
            <w:r>
              <w:rPr>
                <w:rFonts w:asciiTheme="minorHAnsi" w:eastAsia="Times New Roman" w:hAnsiTheme="minorHAnsi" w:cstheme="minorHAnsi"/>
                <w:color w:val="000000"/>
              </w:rPr>
              <w:t>, UNDP</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E1364"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B586"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5AF7C18F" w14:textId="77777777" w:rsidTr="00062DAE">
        <w:trPr>
          <w:gridAfter w:val="1"/>
          <w:wAfter w:w="6" w:type="dxa"/>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2A1C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590C1"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rPr>
              <w:t>Rita Samudio</w:t>
            </w:r>
            <w:r>
              <w:rPr>
                <w:rFonts w:asciiTheme="minorHAnsi" w:eastAsia="Times New Roman" w:hAnsiTheme="minorHAnsi" w:cstheme="minorHAnsi"/>
                <w:color w:val="000000"/>
              </w:rPr>
              <w:t>, IFC-Paraguay</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F3C2A"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4016E"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r>
      <w:tr w:rsidR="004336F9" w:rsidRPr="00654AD3" w14:paraId="238F5924" w14:textId="77777777" w:rsidTr="00062DAE">
        <w:trPr>
          <w:gridAfter w:val="1"/>
          <w:wAfter w:w="6" w:type="dxa"/>
          <w:trHeight w:val="315"/>
        </w:trPr>
        <w:tc>
          <w:tcPr>
            <w:tcW w:w="860" w:type="dxa"/>
            <w:tcBorders>
              <w:top w:val="single" w:sz="4" w:space="0" w:color="auto"/>
              <w:left w:val="single" w:sz="4" w:space="0" w:color="auto"/>
              <w:bottom w:val="nil"/>
              <w:right w:val="single" w:sz="4" w:space="0" w:color="auto"/>
            </w:tcBorders>
            <w:shd w:val="clear" w:color="auto" w:fill="auto"/>
            <w:noWrap/>
            <w:vAlign w:val="bottom"/>
            <w:hideMark/>
          </w:tcPr>
          <w:p w14:paraId="6DC97AAA"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5345" w:type="dxa"/>
            <w:tcBorders>
              <w:top w:val="single" w:sz="4" w:space="0" w:color="auto"/>
              <w:left w:val="single" w:sz="4" w:space="0" w:color="auto"/>
              <w:bottom w:val="nil"/>
              <w:right w:val="single" w:sz="4" w:space="0" w:color="auto"/>
            </w:tcBorders>
            <w:shd w:val="clear" w:color="auto" w:fill="auto"/>
            <w:vAlign w:val="center"/>
            <w:hideMark/>
          </w:tcPr>
          <w:p w14:paraId="6573C54A"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rPr>
              <w:t>Dieter Fischer</w:t>
            </w:r>
            <w:r>
              <w:rPr>
                <w:rFonts w:asciiTheme="minorHAnsi" w:eastAsia="Times New Roman" w:hAnsiTheme="minorHAnsi" w:cstheme="minorHAnsi"/>
                <w:color w:val="000000"/>
              </w:rPr>
              <w:t xml:space="preserve">, IFC </w:t>
            </w:r>
          </w:p>
        </w:tc>
        <w:tc>
          <w:tcPr>
            <w:tcW w:w="1010" w:type="dxa"/>
            <w:tcBorders>
              <w:top w:val="single" w:sz="4" w:space="0" w:color="auto"/>
              <w:left w:val="single" w:sz="4" w:space="0" w:color="auto"/>
              <w:bottom w:val="nil"/>
              <w:right w:val="single" w:sz="4" w:space="0" w:color="auto"/>
            </w:tcBorders>
            <w:shd w:val="clear" w:color="auto" w:fill="auto"/>
            <w:noWrap/>
            <w:vAlign w:val="bottom"/>
            <w:hideMark/>
          </w:tcPr>
          <w:p w14:paraId="256499B3" w14:textId="77777777" w:rsidR="004336F9" w:rsidRPr="00654AD3" w:rsidRDefault="004336F9" w:rsidP="00062DAE">
            <w:pPr>
              <w:spacing w:after="0" w:line="240" w:lineRule="auto"/>
              <w:jc w:val="right"/>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1</w:t>
            </w:r>
          </w:p>
        </w:tc>
        <w:tc>
          <w:tcPr>
            <w:tcW w:w="1352" w:type="dxa"/>
            <w:tcBorders>
              <w:top w:val="single" w:sz="4" w:space="0" w:color="auto"/>
              <w:left w:val="single" w:sz="4" w:space="0" w:color="auto"/>
              <w:bottom w:val="nil"/>
              <w:right w:val="single" w:sz="4" w:space="0" w:color="auto"/>
            </w:tcBorders>
            <w:shd w:val="clear" w:color="auto" w:fill="auto"/>
            <w:noWrap/>
            <w:vAlign w:val="bottom"/>
            <w:hideMark/>
          </w:tcPr>
          <w:p w14:paraId="1F693E7F" w14:textId="77777777" w:rsidR="004336F9" w:rsidRPr="00654AD3" w:rsidRDefault="004336F9" w:rsidP="00062DAE">
            <w:pPr>
              <w:spacing w:after="0" w:line="240" w:lineRule="auto"/>
              <w:rPr>
                <w:rFonts w:asciiTheme="minorHAnsi" w:eastAsia="Times New Roman" w:hAnsiTheme="minorHAnsi" w:cstheme="minorHAnsi"/>
                <w:color w:val="000000"/>
                <w:lang w:val="es-ES"/>
              </w:rPr>
            </w:pPr>
            <w:r w:rsidRPr="00654AD3">
              <w:rPr>
                <w:rFonts w:asciiTheme="minorHAnsi" w:eastAsia="Times New Roman" w:hAnsiTheme="minorHAnsi" w:cstheme="minorHAnsi"/>
                <w:color w:val="000000"/>
                <w:lang w:val="es-ES"/>
              </w:rPr>
              <w:t> </w:t>
            </w:r>
          </w:p>
        </w:tc>
      </w:tr>
      <w:tr w:rsidR="004336F9" w:rsidRPr="00654AD3" w14:paraId="404F100D" w14:textId="77777777" w:rsidTr="00062DAE">
        <w:trPr>
          <w:gridAfter w:val="1"/>
          <w:wAfter w:w="6" w:type="dxa"/>
          <w:trHeight w:val="300"/>
        </w:trPr>
        <w:tc>
          <w:tcPr>
            <w:tcW w:w="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5B8D19" w14:textId="77777777" w:rsidR="004336F9" w:rsidRPr="00654AD3" w:rsidRDefault="004336F9" w:rsidP="00062DAE">
            <w:pPr>
              <w:spacing w:after="0" w:line="240" w:lineRule="auto"/>
              <w:jc w:val="right"/>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5</w:t>
            </w:r>
            <w:r>
              <w:rPr>
                <w:rFonts w:asciiTheme="minorHAnsi" w:eastAsia="Times New Roman" w:hAnsiTheme="minorHAnsi" w:cstheme="minorHAnsi"/>
                <w:b/>
                <w:bCs/>
                <w:color w:val="000000"/>
                <w:lang w:val="es-ES"/>
              </w:rPr>
              <w:t>2</w:t>
            </w:r>
          </w:p>
        </w:tc>
        <w:tc>
          <w:tcPr>
            <w:tcW w:w="534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C40DBD0" w14:textId="77777777" w:rsidR="004336F9" w:rsidRPr="00654AD3" w:rsidRDefault="004336F9" w:rsidP="00062DAE">
            <w:pPr>
              <w:spacing w:after="0" w:line="240" w:lineRule="auto"/>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 </w:t>
            </w:r>
          </w:p>
        </w:tc>
        <w:tc>
          <w:tcPr>
            <w:tcW w:w="101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F3D8B55" w14:textId="77777777" w:rsidR="004336F9" w:rsidRPr="00654AD3" w:rsidRDefault="004336F9" w:rsidP="00062DAE">
            <w:pPr>
              <w:spacing w:after="0" w:line="240" w:lineRule="auto"/>
              <w:jc w:val="right"/>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2</w:t>
            </w:r>
            <w:r>
              <w:rPr>
                <w:rFonts w:asciiTheme="minorHAnsi" w:eastAsia="Times New Roman" w:hAnsiTheme="minorHAnsi" w:cstheme="minorHAnsi"/>
                <w:b/>
                <w:bCs/>
                <w:color w:val="000000"/>
                <w:lang w:val="es-ES"/>
              </w:rPr>
              <w:t>6</w:t>
            </w:r>
          </w:p>
        </w:tc>
        <w:tc>
          <w:tcPr>
            <w:tcW w:w="135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71734BD" w14:textId="77777777" w:rsidR="004336F9" w:rsidRPr="00654AD3" w:rsidRDefault="004336F9" w:rsidP="00062DAE">
            <w:pPr>
              <w:spacing w:after="0" w:line="240" w:lineRule="auto"/>
              <w:jc w:val="right"/>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26</w:t>
            </w:r>
          </w:p>
        </w:tc>
      </w:tr>
      <w:tr w:rsidR="004336F9" w:rsidRPr="00654AD3" w14:paraId="7B4C69CE" w14:textId="77777777" w:rsidTr="00062DAE">
        <w:trPr>
          <w:gridAfter w:val="1"/>
          <w:wAfter w:w="6" w:type="dxa"/>
          <w:trHeight w:val="315"/>
        </w:trPr>
        <w:tc>
          <w:tcPr>
            <w:tcW w:w="8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42790F3" w14:textId="77777777" w:rsidR="004336F9" w:rsidRPr="00654AD3" w:rsidRDefault="004336F9" w:rsidP="00062DAE">
            <w:pPr>
              <w:spacing w:after="0" w:line="240" w:lineRule="auto"/>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 </w:t>
            </w:r>
          </w:p>
        </w:tc>
        <w:tc>
          <w:tcPr>
            <w:tcW w:w="5345" w:type="dxa"/>
            <w:tcBorders>
              <w:top w:val="single" w:sz="4" w:space="0" w:color="auto"/>
              <w:left w:val="nil"/>
              <w:bottom w:val="single" w:sz="8" w:space="0" w:color="auto"/>
              <w:right w:val="single" w:sz="4" w:space="0" w:color="auto"/>
            </w:tcBorders>
            <w:shd w:val="clear" w:color="auto" w:fill="auto"/>
            <w:noWrap/>
            <w:vAlign w:val="bottom"/>
            <w:hideMark/>
          </w:tcPr>
          <w:p w14:paraId="6CF08607" w14:textId="77777777" w:rsidR="004336F9" w:rsidRPr="00654AD3" w:rsidRDefault="004336F9" w:rsidP="00062DAE">
            <w:pPr>
              <w:spacing w:after="0" w:line="240" w:lineRule="auto"/>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 </w:t>
            </w:r>
          </w:p>
        </w:tc>
        <w:tc>
          <w:tcPr>
            <w:tcW w:w="1010" w:type="dxa"/>
            <w:tcBorders>
              <w:top w:val="single" w:sz="4" w:space="0" w:color="auto"/>
              <w:left w:val="nil"/>
              <w:bottom w:val="single" w:sz="8" w:space="0" w:color="auto"/>
              <w:right w:val="single" w:sz="4" w:space="0" w:color="auto"/>
            </w:tcBorders>
            <w:shd w:val="clear" w:color="auto" w:fill="auto"/>
            <w:noWrap/>
            <w:vAlign w:val="bottom"/>
            <w:hideMark/>
          </w:tcPr>
          <w:p w14:paraId="6252ACE2" w14:textId="77777777" w:rsidR="004336F9" w:rsidRPr="00654AD3" w:rsidRDefault="004336F9" w:rsidP="00062DAE">
            <w:pPr>
              <w:spacing w:after="0" w:line="240" w:lineRule="auto"/>
              <w:jc w:val="right"/>
              <w:rPr>
                <w:rFonts w:asciiTheme="minorHAnsi" w:eastAsia="Times New Roman" w:hAnsiTheme="minorHAnsi" w:cstheme="minorHAnsi"/>
                <w:b/>
                <w:bCs/>
                <w:color w:val="000000"/>
                <w:lang w:val="es-ES"/>
              </w:rPr>
            </w:pPr>
            <w:r>
              <w:rPr>
                <w:rFonts w:asciiTheme="minorHAnsi" w:eastAsia="Times New Roman" w:hAnsiTheme="minorHAnsi" w:cstheme="minorHAnsi"/>
                <w:b/>
                <w:bCs/>
                <w:color w:val="000000"/>
                <w:lang w:val="es-ES"/>
              </w:rPr>
              <w:t>50</w:t>
            </w:r>
            <w:r w:rsidRPr="00654AD3">
              <w:rPr>
                <w:rFonts w:asciiTheme="minorHAnsi" w:eastAsia="Times New Roman" w:hAnsiTheme="minorHAnsi" w:cstheme="minorHAnsi"/>
                <w:b/>
                <w:bCs/>
                <w:color w:val="000000"/>
                <w:lang w:val="es-ES"/>
              </w:rPr>
              <w:t>%</w:t>
            </w:r>
          </w:p>
        </w:tc>
        <w:tc>
          <w:tcPr>
            <w:tcW w:w="1352" w:type="dxa"/>
            <w:tcBorders>
              <w:top w:val="single" w:sz="4" w:space="0" w:color="auto"/>
              <w:left w:val="nil"/>
              <w:bottom w:val="single" w:sz="8" w:space="0" w:color="auto"/>
              <w:right w:val="single" w:sz="8" w:space="0" w:color="auto"/>
            </w:tcBorders>
            <w:shd w:val="clear" w:color="auto" w:fill="auto"/>
            <w:noWrap/>
            <w:vAlign w:val="bottom"/>
            <w:hideMark/>
          </w:tcPr>
          <w:p w14:paraId="18BF3B23" w14:textId="77777777" w:rsidR="004336F9" w:rsidRPr="00654AD3" w:rsidRDefault="004336F9" w:rsidP="00062DAE">
            <w:pPr>
              <w:spacing w:after="0" w:line="240" w:lineRule="auto"/>
              <w:jc w:val="right"/>
              <w:rPr>
                <w:rFonts w:asciiTheme="minorHAnsi" w:eastAsia="Times New Roman" w:hAnsiTheme="minorHAnsi" w:cstheme="minorHAnsi"/>
                <w:b/>
                <w:bCs/>
                <w:color w:val="000000"/>
                <w:lang w:val="es-ES"/>
              </w:rPr>
            </w:pPr>
            <w:r w:rsidRPr="00654AD3">
              <w:rPr>
                <w:rFonts w:asciiTheme="minorHAnsi" w:eastAsia="Times New Roman" w:hAnsiTheme="minorHAnsi" w:cstheme="minorHAnsi"/>
                <w:b/>
                <w:bCs/>
                <w:color w:val="000000"/>
                <w:lang w:val="es-ES"/>
              </w:rPr>
              <w:t>5</w:t>
            </w:r>
            <w:r>
              <w:rPr>
                <w:rFonts w:asciiTheme="minorHAnsi" w:eastAsia="Times New Roman" w:hAnsiTheme="minorHAnsi" w:cstheme="minorHAnsi"/>
                <w:b/>
                <w:bCs/>
                <w:color w:val="000000"/>
                <w:lang w:val="es-ES"/>
              </w:rPr>
              <w:t>0</w:t>
            </w:r>
            <w:r w:rsidRPr="00654AD3">
              <w:rPr>
                <w:rFonts w:asciiTheme="minorHAnsi" w:eastAsia="Times New Roman" w:hAnsiTheme="minorHAnsi" w:cstheme="minorHAnsi"/>
                <w:b/>
                <w:bCs/>
                <w:color w:val="000000"/>
                <w:lang w:val="es-ES"/>
              </w:rPr>
              <w:t>%</w:t>
            </w:r>
          </w:p>
        </w:tc>
      </w:tr>
    </w:tbl>
    <w:p w14:paraId="3D83F79A" w14:textId="77777777" w:rsidR="004336F9" w:rsidRDefault="004336F9" w:rsidP="004336F9">
      <w:pPr>
        <w:rPr>
          <w:sz w:val="21"/>
        </w:rPr>
      </w:pPr>
    </w:p>
    <w:p w14:paraId="7E9F63CF" w14:textId="2C9FE76A" w:rsidR="00BF58B5" w:rsidRDefault="00BF58B5">
      <w:r>
        <w:br w:type="page"/>
      </w:r>
    </w:p>
    <w:p w14:paraId="1706C9C8" w14:textId="77777777" w:rsidR="00BF58B5" w:rsidRDefault="00BF58B5" w:rsidP="00AF0F35">
      <w:pPr>
        <w:sectPr w:rsidR="00BF58B5" w:rsidSect="00D23CD2">
          <w:pgSz w:w="12240" w:h="15840"/>
          <w:pgMar w:top="1440" w:right="1080" w:bottom="1440" w:left="1080" w:header="0" w:footer="932" w:gutter="0"/>
          <w:cols w:space="720"/>
          <w:docGrid w:linePitch="299"/>
        </w:sectPr>
      </w:pPr>
    </w:p>
    <w:p w14:paraId="0D7DA567" w14:textId="466475C4" w:rsidR="004336F9" w:rsidRDefault="004336F9" w:rsidP="00AF0F35"/>
    <w:p w14:paraId="15F8D0A7" w14:textId="445EE704" w:rsidR="00BF58B5" w:rsidRPr="00647D2F" w:rsidRDefault="00BF58B5" w:rsidP="00BF58B5">
      <w:pPr>
        <w:pStyle w:val="Heading2"/>
      </w:pPr>
      <w:bookmarkStart w:id="122" w:name="_Toc87339426"/>
      <w:bookmarkStart w:id="123" w:name="_Toc88151461"/>
      <w:bookmarkStart w:id="124" w:name="_Toc96772517"/>
      <w:r w:rsidRPr="00647D2F">
        <w:t xml:space="preserve">Annex </w:t>
      </w:r>
      <w:r>
        <w:t>6</w:t>
      </w:r>
      <w:r w:rsidRPr="00647D2F">
        <w:t>. Agenda for TE Implementation</w:t>
      </w:r>
      <w:bookmarkEnd w:id="122"/>
      <w:bookmarkEnd w:id="123"/>
      <w:bookmarkEnd w:id="124"/>
    </w:p>
    <w:p w14:paraId="05695A1B" w14:textId="77777777" w:rsidR="00BF58B5" w:rsidRPr="00B91AD6" w:rsidRDefault="00BF58B5" w:rsidP="00BF58B5">
      <w:pPr>
        <w:rPr>
          <w:rFonts w:asciiTheme="minorHAnsi" w:hAnsiTheme="minorHAnsi" w:cstheme="minorHAnsi"/>
        </w:rPr>
      </w:pPr>
    </w:p>
    <w:p w14:paraId="35B28391" w14:textId="77777777" w:rsidR="00BF58B5" w:rsidRPr="00B91AD6" w:rsidRDefault="00BF58B5" w:rsidP="00BF58B5">
      <w:pPr>
        <w:rPr>
          <w:rFonts w:asciiTheme="minorHAnsi" w:hAnsiTheme="minorHAnsi" w:cstheme="minorHAnsi"/>
          <w:sz w:val="20"/>
          <w:szCs w:val="20"/>
        </w:rPr>
      </w:pPr>
      <w:r w:rsidRPr="00B91AD6">
        <w:rPr>
          <w:rFonts w:asciiTheme="minorHAnsi" w:hAnsiTheme="minorHAnsi" w:cstheme="minorHAnsi"/>
          <w:sz w:val="20"/>
          <w:szCs w:val="20"/>
        </w:rPr>
        <w:t>Participants: UNDP, GGP, representative Stakeholders from components, safeguards, and project management perspectives:</w:t>
      </w:r>
    </w:p>
    <w:p w14:paraId="1C6E2FA3" w14:textId="77777777" w:rsidR="00BF58B5" w:rsidRPr="00B91AD6" w:rsidRDefault="00BF58B5" w:rsidP="00BF58B5">
      <w:pPr>
        <w:rPr>
          <w:rFonts w:asciiTheme="minorHAnsi" w:hAnsiTheme="minorHAnsi" w:cstheme="minorHAnsi"/>
          <w:sz w:val="20"/>
          <w:szCs w:val="20"/>
        </w:rPr>
      </w:pPr>
      <w:r w:rsidRPr="00B91AD6">
        <w:rPr>
          <w:rFonts w:asciiTheme="minorHAnsi" w:hAnsiTheme="minorHAnsi" w:cstheme="minorHAnsi"/>
          <w:sz w:val="20"/>
          <w:szCs w:val="20"/>
        </w:rPr>
        <w:t xml:space="preserve">Objectives: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BF58B5" w:rsidRPr="00B91AD6" w14:paraId="34C5A201" w14:textId="77777777" w:rsidTr="00062DAE">
        <w:tc>
          <w:tcPr>
            <w:tcW w:w="6475" w:type="dxa"/>
          </w:tcPr>
          <w:p w14:paraId="4A265183" w14:textId="77777777" w:rsidR="00BF58B5" w:rsidRPr="00B91AD6" w:rsidRDefault="00BF58B5" w:rsidP="00D80344">
            <w:pPr>
              <w:numPr>
                <w:ilvl w:val="0"/>
                <w:numId w:val="55"/>
              </w:numPr>
              <w:rPr>
                <w:rFonts w:asciiTheme="minorHAnsi" w:hAnsiTheme="minorHAnsi" w:cstheme="minorHAnsi"/>
                <w:sz w:val="20"/>
                <w:szCs w:val="20"/>
              </w:rPr>
            </w:pPr>
            <w:r w:rsidRPr="00B91AD6">
              <w:rPr>
                <w:rFonts w:asciiTheme="minorHAnsi" w:hAnsiTheme="minorHAnsi" w:cstheme="minorHAnsi"/>
                <w:sz w:val="20"/>
                <w:szCs w:val="20"/>
              </w:rPr>
              <w:t xml:space="preserve">Gauge levels of inputs </w:t>
            </w:r>
          </w:p>
          <w:p w14:paraId="3B11EB80" w14:textId="77777777" w:rsidR="00BF58B5" w:rsidRPr="00B91AD6" w:rsidRDefault="00BF58B5" w:rsidP="00D80344">
            <w:pPr>
              <w:numPr>
                <w:ilvl w:val="0"/>
                <w:numId w:val="55"/>
              </w:numPr>
              <w:rPr>
                <w:rFonts w:asciiTheme="minorHAnsi" w:hAnsiTheme="minorHAnsi" w:cstheme="minorHAnsi"/>
                <w:sz w:val="20"/>
                <w:szCs w:val="20"/>
              </w:rPr>
            </w:pPr>
            <w:r w:rsidRPr="00B91AD6">
              <w:rPr>
                <w:rFonts w:asciiTheme="minorHAnsi" w:hAnsiTheme="minorHAnsi" w:cstheme="minorHAnsi"/>
                <w:sz w:val="20"/>
                <w:szCs w:val="20"/>
              </w:rPr>
              <w:t>Obtain multiple perspectives on project execution.</w:t>
            </w:r>
          </w:p>
          <w:p w14:paraId="39847055" w14:textId="77777777" w:rsidR="00BF58B5" w:rsidRPr="00B91AD6" w:rsidRDefault="00BF58B5" w:rsidP="00D80344">
            <w:pPr>
              <w:numPr>
                <w:ilvl w:val="0"/>
                <w:numId w:val="55"/>
              </w:numPr>
              <w:rPr>
                <w:rFonts w:asciiTheme="minorHAnsi" w:hAnsiTheme="minorHAnsi" w:cstheme="minorHAnsi"/>
                <w:sz w:val="20"/>
                <w:szCs w:val="20"/>
              </w:rPr>
            </w:pPr>
            <w:r w:rsidRPr="00B91AD6">
              <w:rPr>
                <w:rFonts w:asciiTheme="minorHAnsi" w:hAnsiTheme="minorHAnsi" w:cstheme="minorHAnsi"/>
                <w:sz w:val="20"/>
                <w:szCs w:val="20"/>
              </w:rPr>
              <w:t>Listen to Gains, Concerns, Opportunities, and Risks.</w:t>
            </w:r>
          </w:p>
          <w:p w14:paraId="28D636C3" w14:textId="77777777" w:rsidR="00BF58B5" w:rsidRPr="00B91AD6" w:rsidRDefault="00BF58B5" w:rsidP="00062DAE">
            <w:pPr>
              <w:rPr>
                <w:rFonts w:asciiTheme="minorHAnsi" w:hAnsiTheme="minorHAnsi" w:cstheme="minorHAnsi"/>
                <w:sz w:val="20"/>
                <w:szCs w:val="20"/>
              </w:rPr>
            </w:pPr>
          </w:p>
        </w:tc>
        <w:tc>
          <w:tcPr>
            <w:tcW w:w="6475" w:type="dxa"/>
          </w:tcPr>
          <w:p w14:paraId="3CFF8E10" w14:textId="77777777" w:rsidR="00BF58B5" w:rsidRPr="00B91AD6" w:rsidRDefault="00BF58B5" w:rsidP="00D80344">
            <w:pPr>
              <w:numPr>
                <w:ilvl w:val="0"/>
                <w:numId w:val="55"/>
              </w:numPr>
              <w:rPr>
                <w:rFonts w:asciiTheme="minorHAnsi" w:hAnsiTheme="minorHAnsi" w:cstheme="minorHAnsi"/>
                <w:sz w:val="20"/>
                <w:szCs w:val="20"/>
              </w:rPr>
            </w:pPr>
            <w:r w:rsidRPr="00B91AD6">
              <w:rPr>
                <w:rFonts w:asciiTheme="minorHAnsi" w:hAnsiTheme="minorHAnsi" w:cstheme="minorHAnsi"/>
                <w:sz w:val="20"/>
                <w:szCs w:val="20"/>
              </w:rPr>
              <w:t>Determine the need for additional evaluation tools to triangulate information.</w:t>
            </w:r>
          </w:p>
          <w:p w14:paraId="32F9D0A2" w14:textId="77777777" w:rsidR="00BF58B5" w:rsidRPr="00B91AD6" w:rsidRDefault="00BF58B5" w:rsidP="00D80344">
            <w:pPr>
              <w:numPr>
                <w:ilvl w:val="0"/>
                <w:numId w:val="55"/>
              </w:numPr>
              <w:rPr>
                <w:rFonts w:asciiTheme="minorHAnsi" w:hAnsiTheme="minorHAnsi" w:cstheme="minorHAnsi"/>
                <w:sz w:val="20"/>
                <w:szCs w:val="20"/>
              </w:rPr>
            </w:pPr>
            <w:r w:rsidRPr="00B91AD6">
              <w:rPr>
                <w:rFonts w:asciiTheme="minorHAnsi" w:hAnsiTheme="minorHAnsi" w:cstheme="minorHAnsi"/>
                <w:sz w:val="20"/>
                <w:szCs w:val="20"/>
              </w:rPr>
              <w:t>Identify lesson learned for the future</w:t>
            </w:r>
          </w:p>
        </w:tc>
      </w:tr>
    </w:tbl>
    <w:p w14:paraId="1CE4E153" w14:textId="77777777" w:rsidR="00BF58B5" w:rsidRPr="00B91AD6" w:rsidRDefault="00BF58B5" w:rsidP="00BF58B5">
      <w:pPr>
        <w:spacing w:after="0"/>
        <w:ind w:left="720"/>
        <w:rPr>
          <w:rFonts w:asciiTheme="minorHAnsi" w:hAnsiTheme="minorHAnsi" w:cstheme="minorHAnsi"/>
        </w:rPr>
      </w:pPr>
    </w:p>
    <w:tbl>
      <w:tblPr>
        <w:tblStyle w:val="GridTable4-Accent6"/>
        <w:tblW w:w="13030" w:type="dxa"/>
        <w:tblLayout w:type="fixed"/>
        <w:tblLook w:val="0420" w:firstRow="1" w:lastRow="0" w:firstColumn="0" w:lastColumn="0" w:noHBand="0" w:noVBand="1"/>
      </w:tblPr>
      <w:tblGrid>
        <w:gridCol w:w="1345"/>
        <w:gridCol w:w="900"/>
        <w:gridCol w:w="630"/>
        <w:gridCol w:w="1800"/>
        <w:gridCol w:w="3510"/>
        <w:gridCol w:w="1260"/>
        <w:gridCol w:w="1355"/>
        <w:gridCol w:w="2230"/>
      </w:tblGrid>
      <w:tr w:rsidR="00BF58B5" w:rsidRPr="00B91AD6" w14:paraId="01254B36" w14:textId="77777777" w:rsidTr="00062DAE">
        <w:trPr>
          <w:cnfStyle w:val="100000000000" w:firstRow="1" w:lastRow="0" w:firstColumn="0" w:lastColumn="0" w:oddVBand="0" w:evenVBand="0" w:oddHBand="0" w:evenHBand="0" w:firstRowFirstColumn="0" w:firstRowLastColumn="0" w:lastRowFirstColumn="0" w:lastRowLastColumn="0"/>
          <w:trHeight w:val="450"/>
          <w:tblHeader/>
        </w:trPr>
        <w:tc>
          <w:tcPr>
            <w:tcW w:w="1345" w:type="dxa"/>
            <w:vMerge w:val="restart"/>
          </w:tcPr>
          <w:p w14:paraId="13A4E248" w14:textId="77777777" w:rsidR="00BF58B5" w:rsidRPr="00B91AD6" w:rsidRDefault="00BF58B5" w:rsidP="00062DAE">
            <w:pPr>
              <w:jc w:val="center"/>
              <w:rPr>
                <w:rFonts w:asciiTheme="minorHAnsi" w:hAnsiTheme="minorHAnsi" w:cstheme="minorHAnsi"/>
                <w:color w:val="auto"/>
                <w:sz w:val="18"/>
                <w:szCs w:val="18"/>
              </w:rPr>
            </w:pPr>
            <w:r w:rsidRPr="00B91AD6">
              <w:rPr>
                <w:rFonts w:asciiTheme="minorHAnsi" w:hAnsiTheme="minorHAnsi" w:cstheme="minorHAnsi"/>
                <w:color w:val="auto"/>
                <w:sz w:val="18"/>
                <w:szCs w:val="18"/>
              </w:rPr>
              <w:t>GEF 9179</w:t>
            </w:r>
          </w:p>
        </w:tc>
        <w:tc>
          <w:tcPr>
            <w:tcW w:w="11685" w:type="dxa"/>
            <w:gridSpan w:val="7"/>
            <w:vMerge w:val="restart"/>
          </w:tcPr>
          <w:p w14:paraId="37898F51" w14:textId="77777777" w:rsidR="00BF58B5" w:rsidRPr="00B91AD6" w:rsidRDefault="00BF58B5" w:rsidP="00062DAE">
            <w:pPr>
              <w:jc w:val="center"/>
              <w:rPr>
                <w:rFonts w:asciiTheme="minorHAnsi" w:hAnsiTheme="minorHAnsi" w:cstheme="minorHAnsi"/>
                <w:color w:val="auto"/>
                <w:sz w:val="24"/>
                <w:szCs w:val="24"/>
              </w:rPr>
            </w:pPr>
            <w:r w:rsidRPr="00B91AD6">
              <w:rPr>
                <w:rFonts w:asciiTheme="minorHAnsi" w:hAnsiTheme="minorHAnsi" w:cstheme="minorHAnsi"/>
                <w:color w:val="auto"/>
                <w:sz w:val="24"/>
                <w:szCs w:val="24"/>
              </w:rPr>
              <w:t xml:space="preserve">Adaptive Management and Learning for the Commodities IAP </w:t>
            </w:r>
          </w:p>
          <w:p w14:paraId="334BE1E1" w14:textId="77777777" w:rsidR="00BF58B5" w:rsidRPr="00B91AD6" w:rsidRDefault="00BF58B5" w:rsidP="00062DAE">
            <w:pPr>
              <w:jc w:val="center"/>
              <w:rPr>
                <w:rFonts w:asciiTheme="minorHAnsi" w:hAnsiTheme="minorHAnsi" w:cstheme="minorHAnsi"/>
                <w:color w:val="auto"/>
                <w:sz w:val="24"/>
                <w:szCs w:val="24"/>
              </w:rPr>
            </w:pPr>
          </w:p>
        </w:tc>
      </w:tr>
      <w:tr w:rsidR="00BF58B5" w:rsidRPr="00B91AD6" w14:paraId="20DD56DF" w14:textId="77777777" w:rsidTr="00062DAE">
        <w:trPr>
          <w:cnfStyle w:val="100000000000" w:firstRow="1" w:lastRow="0" w:firstColumn="0" w:lastColumn="0" w:oddVBand="0" w:evenVBand="0" w:oddHBand="0" w:evenHBand="0" w:firstRowFirstColumn="0" w:firstRowLastColumn="0" w:lastRowFirstColumn="0" w:lastRowLastColumn="0"/>
          <w:trHeight w:val="253"/>
          <w:tblHeader/>
        </w:trPr>
        <w:tc>
          <w:tcPr>
            <w:tcW w:w="1345" w:type="dxa"/>
            <w:vMerge/>
          </w:tcPr>
          <w:p w14:paraId="0EC2FB43" w14:textId="77777777" w:rsidR="00BF58B5" w:rsidRPr="00B91AD6" w:rsidRDefault="00BF58B5" w:rsidP="00062DAE">
            <w:pPr>
              <w:widowControl w:val="0"/>
              <w:pBdr>
                <w:top w:val="nil"/>
                <w:left w:val="nil"/>
                <w:bottom w:val="nil"/>
                <w:right w:val="nil"/>
                <w:between w:val="nil"/>
              </w:pBdr>
              <w:spacing w:line="276" w:lineRule="auto"/>
              <w:rPr>
                <w:rFonts w:asciiTheme="minorHAnsi" w:hAnsiTheme="minorHAnsi" w:cstheme="minorHAnsi"/>
                <w:color w:val="auto"/>
                <w:sz w:val="18"/>
                <w:szCs w:val="18"/>
              </w:rPr>
            </w:pPr>
          </w:p>
        </w:tc>
        <w:tc>
          <w:tcPr>
            <w:tcW w:w="11685" w:type="dxa"/>
            <w:gridSpan w:val="7"/>
            <w:vMerge/>
          </w:tcPr>
          <w:p w14:paraId="692DE5FF" w14:textId="77777777" w:rsidR="00BF58B5" w:rsidRPr="00B91AD6" w:rsidRDefault="00BF58B5" w:rsidP="00062DAE">
            <w:pPr>
              <w:widowControl w:val="0"/>
              <w:pBdr>
                <w:top w:val="nil"/>
                <w:left w:val="nil"/>
                <w:bottom w:val="nil"/>
                <w:right w:val="nil"/>
                <w:between w:val="nil"/>
              </w:pBdr>
              <w:spacing w:line="276" w:lineRule="auto"/>
              <w:rPr>
                <w:rFonts w:asciiTheme="minorHAnsi" w:hAnsiTheme="minorHAnsi" w:cstheme="minorHAnsi"/>
                <w:color w:val="auto"/>
                <w:sz w:val="18"/>
                <w:szCs w:val="18"/>
              </w:rPr>
            </w:pPr>
          </w:p>
        </w:tc>
      </w:tr>
      <w:tr w:rsidR="00BF58B5" w:rsidRPr="00B91AD6" w14:paraId="029FD295" w14:textId="77777777" w:rsidTr="00062DAE">
        <w:trPr>
          <w:cnfStyle w:val="100000000000" w:firstRow="1" w:lastRow="0" w:firstColumn="0" w:lastColumn="0" w:oddVBand="0" w:evenVBand="0" w:oddHBand="0" w:evenHBand="0" w:firstRowFirstColumn="0" w:firstRowLastColumn="0" w:lastRowFirstColumn="0" w:lastRowLastColumn="0"/>
          <w:trHeight w:val="495"/>
          <w:tblHeader/>
        </w:trPr>
        <w:tc>
          <w:tcPr>
            <w:tcW w:w="1345" w:type="dxa"/>
            <w:tcBorders>
              <w:bottom w:val="single" w:sz="4" w:space="0" w:color="auto"/>
            </w:tcBorders>
          </w:tcPr>
          <w:p w14:paraId="665A621B"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Week </w:t>
            </w:r>
          </w:p>
        </w:tc>
        <w:tc>
          <w:tcPr>
            <w:tcW w:w="900" w:type="dxa"/>
            <w:tcBorders>
              <w:bottom w:val="single" w:sz="4" w:space="0" w:color="auto"/>
            </w:tcBorders>
          </w:tcPr>
          <w:p w14:paraId="34728F62"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Date</w:t>
            </w:r>
          </w:p>
        </w:tc>
        <w:tc>
          <w:tcPr>
            <w:tcW w:w="630" w:type="dxa"/>
            <w:tcBorders>
              <w:bottom w:val="single" w:sz="4" w:space="0" w:color="auto"/>
            </w:tcBorders>
          </w:tcPr>
          <w:p w14:paraId="29F379D2"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Time</w:t>
            </w:r>
          </w:p>
        </w:tc>
        <w:tc>
          <w:tcPr>
            <w:tcW w:w="1800" w:type="dxa"/>
            <w:tcBorders>
              <w:bottom w:val="single" w:sz="4" w:space="0" w:color="auto"/>
            </w:tcBorders>
          </w:tcPr>
          <w:p w14:paraId="7C95313F"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Activity/Theme</w:t>
            </w:r>
          </w:p>
        </w:tc>
        <w:tc>
          <w:tcPr>
            <w:tcW w:w="3510" w:type="dxa"/>
            <w:tcBorders>
              <w:bottom w:val="single" w:sz="4" w:space="0" w:color="auto"/>
            </w:tcBorders>
          </w:tcPr>
          <w:p w14:paraId="028F346D"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Participants</w:t>
            </w:r>
          </w:p>
        </w:tc>
        <w:tc>
          <w:tcPr>
            <w:tcW w:w="1260" w:type="dxa"/>
            <w:tcBorders>
              <w:bottom w:val="single" w:sz="4" w:space="0" w:color="auto"/>
            </w:tcBorders>
          </w:tcPr>
          <w:p w14:paraId="4ADAFADC"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Duration (in minutes)</w:t>
            </w:r>
          </w:p>
        </w:tc>
        <w:tc>
          <w:tcPr>
            <w:tcW w:w="1355" w:type="dxa"/>
            <w:tcBorders>
              <w:bottom w:val="single" w:sz="4" w:space="0" w:color="auto"/>
            </w:tcBorders>
          </w:tcPr>
          <w:p w14:paraId="4DD6ABC8"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Modality</w:t>
            </w:r>
          </w:p>
        </w:tc>
        <w:tc>
          <w:tcPr>
            <w:tcW w:w="2230" w:type="dxa"/>
            <w:tcBorders>
              <w:bottom w:val="single" w:sz="4" w:space="0" w:color="auto"/>
            </w:tcBorders>
          </w:tcPr>
          <w:p w14:paraId="3F88EAAD" w14:textId="77777777" w:rsidR="00BF58B5" w:rsidRPr="00B91AD6" w:rsidRDefault="00BF58B5" w:rsidP="00062DAE">
            <w:pPr>
              <w:jc w:val="center"/>
              <w:rPr>
                <w:rFonts w:asciiTheme="minorHAnsi" w:hAnsiTheme="minorHAnsi" w:cstheme="minorHAnsi"/>
                <w:b w:val="0"/>
                <w:color w:val="auto"/>
                <w:sz w:val="18"/>
                <w:szCs w:val="18"/>
              </w:rPr>
            </w:pPr>
            <w:r w:rsidRPr="00B91AD6">
              <w:rPr>
                <w:rFonts w:asciiTheme="minorHAnsi" w:hAnsiTheme="minorHAnsi" w:cstheme="minorHAnsi"/>
                <w:color w:val="auto"/>
                <w:sz w:val="18"/>
                <w:szCs w:val="18"/>
              </w:rPr>
              <w:t>Notes</w:t>
            </w:r>
          </w:p>
        </w:tc>
      </w:tr>
      <w:tr w:rsidR="00BF58B5" w:rsidRPr="00B91AD6" w14:paraId="436000FD" w14:textId="77777777" w:rsidTr="00062DAE">
        <w:trPr>
          <w:cnfStyle w:val="000000100000" w:firstRow="0" w:lastRow="0" w:firstColumn="0" w:lastColumn="0" w:oddVBand="0" w:evenVBand="0" w:oddHBand="1" w:evenHBand="0" w:firstRowFirstColumn="0" w:firstRowLastColumn="0" w:lastRowFirstColumn="0" w:lastRowLastColumn="0"/>
          <w:trHeight w:val="62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485E488A"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11A8A1" w14:textId="77777777" w:rsidR="00BF58B5" w:rsidRPr="00B91AD6" w:rsidRDefault="00BF58B5" w:rsidP="00062DAE">
            <w:pPr>
              <w:rPr>
                <w:rFonts w:asciiTheme="minorHAnsi" w:hAnsiTheme="minorHAnsi" w:cstheme="minorHAnsi"/>
                <w:b/>
                <w:sz w:val="18"/>
                <w:szCs w:val="18"/>
              </w:rPr>
            </w:pPr>
            <w:r w:rsidRPr="00B91AD6">
              <w:rPr>
                <w:rFonts w:asciiTheme="minorHAnsi" w:hAnsiTheme="minorHAnsi" w:cstheme="minorHAnsi"/>
                <w:b/>
                <w:sz w:val="18"/>
                <w:szCs w:val="18"/>
              </w:rPr>
              <w:t>11/8/21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47F18C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9:30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AE77B63"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Kick-Off meeting</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4D757C07" w14:textId="77777777" w:rsidR="00BF58B5" w:rsidRPr="00B91AD6" w:rsidRDefault="00BF58B5" w:rsidP="00062DAE">
            <w:pPr>
              <w:rPr>
                <w:rFonts w:asciiTheme="minorHAnsi" w:hAnsiTheme="minorHAnsi" w:cstheme="minorHAnsi"/>
                <w:b/>
                <w:sz w:val="18"/>
                <w:szCs w:val="18"/>
              </w:rPr>
            </w:pPr>
            <w:r w:rsidRPr="00B91AD6">
              <w:rPr>
                <w:rFonts w:asciiTheme="minorHAnsi" w:hAnsiTheme="minorHAnsi" w:cstheme="minorHAnsi"/>
                <w:b/>
                <w:sz w:val="18"/>
                <w:szCs w:val="18"/>
              </w:rPr>
              <w:t>Andrea Bina, Pascale Bonzom and Lavinia Gasperini</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23E42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EF443D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4BDB9E98" w14:textId="77777777" w:rsidR="00BF58B5" w:rsidRPr="00B91AD6" w:rsidRDefault="00BF58B5" w:rsidP="00062DAE">
            <w:pPr>
              <w:rPr>
                <w:rFonts w:asciiTheme="minorHAnsi" w:hAnsiTheme="minorHAnsi" w:cstheme="minorHAnsi"/>
                <w:bCs/>
                <w:sz w:val="18"/>
                <w:szCs w:val="18"/>
              </w:rPr>
            </w:pPr>
          </w:p>
        </w:tc>
      </w:tr>
      <w:tr w:rsidR="00BF58B5" w:rsidRPr="00B91AD6" w14:paraId="21219675" w14:textId="77777777" w:rsidTr="00062DAE">
        <w:trPr>
          <w:trHeight w:val="62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5512C698"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59A982" w14:textId="77777777" w:rsidR="00BF58B5" w:rsidRPr="00B91AD6" w:rsidRDefault="00BF58B5" w:rsidP="00062DAE">
            <w:pPr>
              <w:rPr>
                <w:rFonts w:asciiTheme="minorHAnsi" w:hAnsiTheme="minorHAnsi" w:cstheme="minorHAnsi"/>
                <w:b/>
                <w:sz w:val="18"/>
                <w:szCs w:val="18"/>
              </w:rPr>
            </w:pPr>
            <w:r w:rsidRPr="00B91AD6">
              <w:rPr>
                <w:rFonts w:asciiTheme="minorHAnsi" w:hAnsiTheme="minorHAnsi" w:cstheme="minorHAnsi"/>
                <w:b/>
                <w:sz w:val="18"/>
                <w:szCs w:val="18"/>
              </w:rPr>
              <w:t>11/8/21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6C8B67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11:00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D0CF60D"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75485677"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Andrew Bovarnick</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2A1C4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18B8BD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517F7112" w14:textId="77777777" w:rsidR="00BF58B5" w:rsidRPr="00B91AD6" w:rsidRDefault="00BF58B5" w:rsidP="00062DAE">
            <w:pPr>
              <w:rPr>
                <w:rFonts w:asciiTheme="minorHAnsi" w:hAnsiTheme="minorHAnsi" w:cstheme="minorHAnsi"/>
                <w:bCs/>
                <w:sz w:val="18"/>
                <w:szCs w:val="18"/>
              </w:rPr>
            </w:pPr>
          </w:p>
        </w:tc>
      </w:tr>
      <w:tr w:rsidR="00BF58B5" w:rsidRPr="00B91AD6" w14:paraId="11098A5F" w14:textId="77777777" w:rsidTr="00062DAE">
        <w:trPr>
          <w:cnfStyle w:val="000000100000" w:firstRow="0" w:lastRow="0" w:firstColumn="0" w:lastColumn="0" w:oddVBand="0" w:evenVBand="0" w:oddHBand="1" w:evenHBand="0" w:firstRowFirstColumn="0" w:firstRowLastColumn="0" w:lastRowFirstColumn="0" w:lastRowLastColumn="0"/>
          <w:trHeight w:val="62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2095D4F5"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F17754D" w14:textId="77777777" w:rsidR="00BF58B5" w:rsidRPr="00B91AD6" w:rsidRDefault="00BF58B5" w:rsidP="00062DAE">
            <w:pPr>
              <w:rPr>
                <w:rFonts w:asciiTheme="minorHAnsi" w:hAnsiTheme="minorHAnsi" w:cstheme="minorHAnsi"/>
                <w:b/>
                <w:sz w:val="18"/>
                <w:szCs w:val="18"/>
              </w:rPr>
            </w:pPr>
            <w:r w:rsidRPr="00B91AD6">
              <w:rPr>
                <w:rFonts w:asciiTheme="minorHAnsi" w:hAnsiTheme="minorHAnsi" w:cstheme="minorHAnsi"/>
                <w:b/>
                <w:sz w:val="18"/>
                <w:szCs w:val="18"/>
              </w:rPr>
              <w:t>13/8/21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1FBCA9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7:00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397BE8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F73FE75" w14:textId="77777777" w:rsidR="00BF58B5" w:rsidRPr="00BF58B5" w:rsidRDefault="00BF58B5" w:rsidP="00062DAE">
            <w:pPr>
              <w:rPr>
                <w:rFonts w:asciiTheme="minorHAnsi" w:hAnsiTheme="minorHAnsi" w:cstheme="minorHAnsi"/>
                <w:bCs/>
                <w:sz w:val="18"/>
                <w:szCs w:val="18"/>
                <w:lang w:val="it-IT"/>
              </w:rPr>
            </w:pPr>
            <w:r w:rsidRPr="00BF58B5">
              <w:rPr>
                <w:rFonts w:asciiTheme="minorHAnsi" w:hAnsiTheme="minorHAnsi" w:cstheme="minorHAnsi"/>
                <w:bCs/>
                <w:sz w:val="18"/>
                <w:szCs w:val="18"/>
                <w:lang w:val="it-IT"/>
              </w:rPr>
              <w:t>Pascale Bonzom and Aline Da Silva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FF58CB1"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A23595D"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9281062" w14:textId="77777777" w:rsidR="00BF58B5" w:rsidRPr="00B91AD6" w:rsidRDefault="00BF58B5" w:rsidP="00062DAE">
            <w:pPr>
              <w:rPr>
                <w:rFonts w:asciiTheme="minorHAnsi" w:hAnsiTheme="minorHAnsi" w:cstheme="minorHAnsi"/>
                <w:bCs/>
                <w:sz w:val="18"/>
                <w:szCs w:val="18"/>
                <w:lang w:val="it-IT"/>
              </w:rPr>
            </w:pPr>
          </w:p>
        </w:tc>
      </w:tr>
      <w:tr w:rsidR="00BF58B5" w:rsidRPr="00B91AD6" w14:paraId="1A0DAB4C" w14:textId="77777777" w:rsidTr="00062DAE">
        <w:trPr>
          <w:trHeight w:val="62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360E2146" w14:textId="77777777" w:rsidR="00BF58B5" w:rsidRPr="00B91AD6" w:rsidRDefault="00BF58B5" w:rsidP="00062DAE">
            <w:pPr>
              <w:jc w:val="center"/>
              <w:rPr>
                <w:rFonts w:asciiTheme="minorHAnsi" w:hAnsiTheme="minorHAnsi" w:cstheme="minorHAnsi"/>
                <w:b/>
                <w:sz w:val="18"/>
                <w:szCs w:val="18"/>
                <w:lang w:val="it-IT"/>
              </w:rPr>
            </w:pPr>
            <w:r w:rsidRPr="00B91AD6">
              <w:rPr>
                <w:rFonts w:asciiTheme="minorHAnsi" w:hAnsiTheme="minorHAnsi" w:cstheme="minorHAnsi"/>
                <w:b/>
                <w:sz w:val="18"/>
                <w:szCs w:val="18"/>
                <w:lang w:val="it-IT"/>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71F4E33" w14:textId="77777777" w:rsidR="00BF58B5" w:rsidRPr="00B91AD6" w:rsidRDefault="00BF58B5" w:rsidP="00062DAE">
            <w:pPr>
              <w:rPr>
                <w:rFonts w:asciiTheme="minorHAnsi" w:hAnsiTheme="minorHAnsi" w:cstheme="minorHAnsi"/>
                <w:b/>
                <w:sz w:val="18"/>
                <w:szCs w:val="18"/>
                <w:lang w:val="it-IT"/>
              </w:rPr>
            </w:pPr>
            <w:r w:rsidRPr="00B91AD6">
              <w:rPr>
                <w:rFonts w:asciiTheme="minorHAnsi" w:hAnsiTheme="minorHAnsi" w:cstheme="minorHAnsi"/>
                <w:b/>
                <w:sz w:val="18"/>
                <w:szCs w:val="18"/>
                <w:lang w:val="it-IT"/>
              </w:rPr>
              <w:t>17/8/21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707D736"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10:00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2D826E8"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29596887" w14:textId="77777777" w:rsidR="00BF58B5" w:rsidRPr="00B91AD6" w:rsidRDefault="00BF58B5" w:rsidP="00062DAE">
            <w:pPr>
              <w:rPr>
                <w:rFonts w:asciiTheme="minorHAnsi" w:hAnsiTheme="minorHAnsi" w:cstheme="minorHAnsi"/>
                <w:bCs/>
                <w:sz w:val="18"/>
                <w:szCs w:val="18"/>
                <w:lang w:val="it-IT"/>
              </w:rPr>
            </w:pPr>
            <w:r w:rsidRPr="00B91AD6">
              <w:rPr>
                <w:rFonts w:asciiTheme="minorHAnsi" w:hAnsiTheme="minorHAnsi" w:cstheme="minorHAnsi"/>
                <w:bCs/>
                <w:sz w:val="18"/>
                <w:szCs w:val="18"/>
                <w:lang w:val="it-IT"/>
              </w:rPr>
              <w:t>Pascal Fabie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0BB924"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ACA7976"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4A28678" w14:textId="77777777" w:rsidR="00BF58B5" w:rsidRPr="00B91AD6" w:rsidRDefault="00BF58B5" w:rsidP="00062DAE">
            <w:pPr>
              <w:rPr>
                <w:rFonts w:asciiTheme="minorHAnsi" w:hAnsiTheme="minorHAnsi" w:cstheme="minorHAnsi"/>
                <w:bCs/>
                <w:sz w:val="18"/>
                <w:szCs w:val="18"/>
                <w:lang w:val="it-IT"/>
              </w:rPr>
            </w:pPr>
          </w:p>
        </w:tc>
      </w:tr>
      <w:tr w:rsidR="00BF58B5" w:rsidRPr="00B91AD6" w14:paraId="79EB1C75" w14:textId="77777777" w:rsidTr="00062DAE">
        <w:trPr>
          <w:cnfStyle w:val="000000100000" w:firstRow="0" w:lastRow="0" w:firstColumn="0" w:lastColumn="0" w:oddVBand="0" w:evenVBand="0" w:oddHBand="1" w:evenHBand="0" w:firstRowFirstColumn="0" w:firstRowLastColumn="0" w:lastRowFirstColumn="0" w:lastRowLastColumn="0"/>
          <w:trHeight w:val="62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19714646" w14:textId="77777777" w:rsidR="00BF58B5" w:rsidRPr="00B91AD6" w:rsidRDefault="00BF58B5" w:rsidP="00062DAE">
            <w:pPr>
              <w:jc w:val="center"/>
              <w:rPr>
                <w:rFonts w:asciiTheme="minorHAnsi" w:hAnsiTheme="minorHAnsi" w:cstheme="minorHAnsi"/>
                <w:b/>
                <w:sz w:val="18"/>
                <w:szCs w:val="18"/>
                <w:lang w:val="it-IT"/>
              </w:rPr>
            </w:pPr>
            <w:r w:rsidRPr="00B91AD6">
              <w:rPr>
                <w:rFonts w:asciiTheme="minorHAnsi" w:hAnsiTheme="minorHAnsi" w:cstheme="minorHAnsi"/>
                <w:b/>
                <w:sz w:val="18"/>
                <w:szCs w:val="18"/>
                <w:lang w:val="it-IT"/>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9A19FBB" w14:textId="77777777" w:rsidR="00BF58B5" w:rsidRPr="00B91AD6" w:rsidRDefault="00BF58B5" w:rsidP="00062DAE">
            <w:pPr>
              <w:rPr>
                <w:rFonts w:asciiTheme="minorHAnsi" w:hAnsiTheme="minorHAnsi" w:cstheme="minorHAnsi"/>
                <w:bCs/>
                <w:sz w:val="18"/>
                <w:szCs w:val="18"/>
                <w:lang w:val="it-IT"/>
              </w:rPr>
            </w:pPr>
            <w:r w:rsidRPr="00B91AD6">
              <w:rPr>
                <w:rFonts w:asciiTheme="minorHAnsi" w:hAnsiTheme="minorHAnsi" w:cstheme="minorHAnsi"/>
                <w:bCs/>
                <w:sz w:val="18"/>
                <w:szCs w:val="18"/>
                <w:lang w:val="it-IT"/>
              </w:rPr>
              <w:t>17/8/21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8799A88"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2:00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C2A25D4"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67FA085C" w14:textId="77777777" w:rsidR="00BF58B5" w:rsidRPr="00B91AD6" w:rsidRDefault="00BF58B5" w:rsidP="00062DAE">
            <w:pPr>
              <w:rPr>
                <w:rFonts w:asciiTheme="minorHAnsi" w:hAnsiTheme="minorHAnsi" w:cstheme="minorHAnsi"/>
                <w:bCs/>
                <w:sz w:val="18"/>
                <w:szCs w:val="18"/>
                <w:lang w:val="it-IT"/>
              </w:rPr>
            </w:pPr>
            <w:r w:rsidRPr="00B91AD6">
              <w:rPr>
                <w:rFonts w:asciiTheme="minorHAnsi" w:hAnsiTheme="minorHAnsi" w:cstheme="minorHAnsi"/>
                <w:bCs/>
                <w:sz w:val="18"/>
                <w:szCs w:val="18"/>
                <w:lang w:val="it-IT"/>
              </w:rPr>
              <w:t xml:space="preserve">Vanessa </w:t>
            </w:r>
            <w:r w:rsidRPr="00B91AD6">
              <w:rPr>
                <w:rFonts w:asciiTheme="minorHAnsi" w:hAnsiTheme="minorHAnsi" w:cstheme="minorHAnsi"/>
                <w:bCs/>
                <w:sz w:val="18"/>
                <w:szCs w:val="18"/>
                <w:lang w:val="es-ES"/>
              </w:rPr>
              <w:t>Briceño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1FA329"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EC351C2"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46244EAD" w14:textId="77777777" w:rsidR="00BF58B5" w:rsidRPr="00B91AD6" w:rsidRDefault="00BF58B5" w:rsidP="00062DAE">
            <w:pPr>
              <w:rPr>
                <w:rFonts w:asciiTheme="minorHAnsi" w:hAnsiTheme="minorHAnsi" w:cstheme="minorHAnsi"/>
                <w:bCs/>
                <w:sz w:val="18"/>
                <w:szCs w:val="18"/>
                <w:lang w:val="it-IT"/>
              </w:rPr>
            </w:pPr>
          </w:p>
        </w:tc>
      </w:tr>
      <w:tr w:rsidR="00BF58B5" w:rsidRPr="00B91AD6" w14:paraId="1E001E1D" w14:textId="77777777" w:rsidTr="00062DAE">
        <w:trPr>
          <w:trHeight w:val="755"/>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4BAFBDFF" w14:textId="77777777" w:rsidR="00BF58B5" w:rsidRPr="00B91AD6" w:rsidRDefault="00BF58B5" w:rsidP="00062DAE">
            <w:pPr>
              <w:jc w:val="center"/>
              <w:rPr>
                <w:rFonts w:asciiTheme="minorHAnsi" w:hAnsiTheme="minorHAnsi" w:cstheme="minorHAnsi"/>
                <w:b/>
                <w:sz w:val="18"/>
                <w:szCs w:val="18"/>
                <w:lang w:val="it-IT"/>
              </w:rPr>
            </w:pPr>
            <w:r w:rsidRPr="00B91AD6">
              <w:rPr>
                <w:rFonts w:asciiTheme="minorHAnsi" w:hAnsiTheme="minorHAnsi" w:cstheme="minorHAnsi"/>
                <w:b/>
                <w:sz w:val="18"/>
                <w:szCs w:val="18"/>
                <w:lang w:val="it-IT"/>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18C577" w14:textId="77777777" w:rsidR="00BF58B5" w:rsidRPr="00B91AD6" w:rsidRDefault="00BF58B5" w:rsidP="00062DAE">
            <w:pPr>
              <w:rPr>
                <w:rFonts w:asciiTheme="minorHAnsi" w:hAnsiTheme="minorHAnsi" w:cstheme="minorHAnsi"/>
                <w:b/>
                <w:sz w:val="18"/>
                <w:szCs w:val="18"/>
                <w:lang w:val="it-IT"/>
              </w:rPr>
            </w:pPr>
            <w:r w:rsidRPr="00B91AD6">
              <w:rPr>
                <w:rFonts w:asciiTheme="minorHAnsi" w:hAnsiTheme="minorHAnsi" w:cstheme="minorHAnsi"/>
                <w:b/>
                <w:sz w:val="18"/>
                <w:szCs w:val="18"/>
                <w:lang w:val="it-IT"/>
              </w:rPr>
              <w:t>18/8/21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15C3A4D"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8:00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A356E2C"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3ED04B6D"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Andrea Bina and Lavinia Gasperini</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EA6C5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74B13F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64A5DDF" w14:textId="77777777" w:rsidR="00BF58B5" w:rsidRPr="00B91AD6" w:rsidRDefault="00BF58B5" w:rsidP="00062DAE">
            <w:pPr>
              <w:rPr>
                <w:rFonts w:asciiTheme="minorHAnsi" w:hAnsiTheme="minorHAnsi" w:cstheme="minorHAnsi"/>
                <w:bCs/>
                <w:sz w:val="18"/>
                <w:szCs w:val="18"/>
              </w:rPr>
            </w:pPr>
          </w:p>
        </w:tc>
      </w:tr>
      <w:tr w:rsidR="00BF58B5" w:rsidRPr="00B91AD6" w14:paraId="0FF31E32" w14:textId="77777777" w:rsidTr="00062DAE">
        <w:trPr>
          <w:cnfStyle w:val="000000100000" w:firstRow="0" w:lastRow="0" w:firstColumn="0" w:lastColumn="0" w:oddVBand="0" w:evenVBand="0" w:oddHBand="1" w:evenHBand="0" w:firstRowFirstColumn="0" w:firstRowLastColumn="0" w:lastRowFirstColumn="0" w:lastRowLastColumn="0"/>
          <w:trHeight w:val="71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058FF9CF"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F6F214F" w14:textId="77777777" w:rsidR="00BF58B5" w:rsidRPr="00B91AD6" w:rsidRDefault="00BF58B5" w:rsidP="00062DAE">
            <w:pPr>
              <w:rPr>
                <w:rFonts w:asciiTheme="minorHAnsi" w:hAnsiTheme="minorHAnsi" w:cstheme="minorHAnsi"/>
                <w:b/>
                <w:sz w:val="18"/>
                <w:szCs w:val="18"/>
              </w:rPr>
            </w:pPr>
            <w:r w:rsidRPr="00B91AD6">
              <w:rPr>
                <w:rFonts w:asciiTheme="minorHAnsi" w:hAnsiTheme="minorHAnsi" w:cstheme="minorHAnsi"/>
                <w:b/>
                <w:sz w:val="18"/>
                <w:szCs w:val="18"/>
              </w:rPr>
              <w:t>18/8/21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55DCCD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11:00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A88E2D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50727665" w14:textId="77777777" w:rsidR="00BF58B5" w:rsidRPr="00B91AD6" w:rsidRDefault="00BF58B5" w:rsidP="00062DAE">
            <w:pPr>
              <w:rPr>
                <w:rFonts w:asciiTheme="minorHAnsi" w:hAnsiTheme="minorHAnsi" w:cstheme="minorHAnsi"/>
                <w:smallCaps/>
                <w:sz w:val="18"/>
                <w:szCs w:val="18"/>
              </w:rPr>
            </w:pPr>
            <w:r w:rsidRPr="00B91AD6">
              <w:rPr>
                <w:rFonts w:asciiTheme="minorHAnsi" w:hAnsiTheme="minorHAnsi" w:cstheme="minorHAnsi"/>
                <w:bCs/>
                <w:sz w:val="18"/>
                <w:szCs w:val="18"/>
                <w:lang w:val="it-IT"/>
              </w:rPr>
              <w:t xml:space="preserve"> Lara Yacob</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34CDF1"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ECD7AC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3BED0C06" w14:textId="77777777" w:rsidR="00BF58B5" w:rsidRPr="00B91AD6" w:rsidRDefault="00BF58B5" w:rsidP="00062DAE">
            <w:pPr>
              <w:rPr>
                <w:rFonts w:asciiTheme="minorHAnsi" w:hAnsiTheme="minorHAnsi" w:cstheme="minorHAnsi"/>
                <w:bCs/>
                <w:sz w:val="18"/>
                <w:szCs w:val="18"/>
              </w:rPr>
            </w:pPr>
          </w:p>
        </w:tc>
      </w:tr>
      <w:tr w:rsidR="00BF58B5" w:rsidRPr="00B91AD6" w14:paraId="2B7CA537" w14:textId="77777777" w:rsidTr="00062DAE">
        <w:trPr>
          <w:trHeight w:val="647"/>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7CDA19BC"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1A3CA1" w14:textId="77777777" w:rsidR="00BF58B5" w:rsidRPr="00B91AD6" w:rsidRDefault="00BF58B5" w:rsidP="00062DAE">
            <w:pPr>
              <w:rPr>
                <w:rFonts w:asciiTheme="minorHAnsi" w:hAnsiTheme="minorHAnsi" w:cstheme="minorHAnsi"/>
                <w:b/>
                <w:sz w:val="18"/>
                <w:szCs w:val="18"/>
              </w:rPr>
            </w:pPr>
            <w:r w:rsidRPr="00B91AD6">
              <w:rPr>
                <w:rFonts w:asciiTheme="minorHAnsi" w:hAnsiTheme="minorHAnsi" w:cstheme="minorHAnsi"/>
                <w:b/>
                <w:sz w:val="18"/>
                <w:szCs w:val="18"/>
              </w:rPr>
              <w:t>19/8/21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794C5BA"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8:30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172573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A88F9B5"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Santiago Fernandez de Cordoba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E0399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C0F4A5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41A32985" w14:textId="77777777" w:rsidR="00BF58B5" w:rsidRPr="00B91AD6" w:rsidRDefault="00BF58B5" w:rsidP="00062DAE">
            <w:pPr>
              <w:rPr>
                <w:rFonts w:asciiTheme="minorHAnsi" w:hAnsiTheme="minorHAnsi" w:cstheme="minorHAnsi"/>
                <w:bCs/>
                <w:sz w:val="18"/>
                <w:szCs w:val="18"/>
              </w:rPr>
            </w:pPr>
          </w:p>
        </w:tc>
      </w:tr>
      <w:tr w:rsidR="00BF58B5" w:rsidRPr="00B91AD6" w14:paraId="4E83F6D0" w14:textId="77777777" w:rsidTr="00062DAE">
        <w:trPr>
          <w:cnfStyle w:val="000000100000" w:firstRow="0" w:lastRow="0" w:firstColumn="0" w:lastColumn="0" w:oddVBand="0" w:evenVBand="0" w:oddHBand="1" w:evenHBand="0" w:firstRowFirstColumn="0" w:firstRowLastColumn="0" w:lastRowFirstColumn="0" w:lastRowLastColumn="0"/>
          <w:trHeight w:val="440"/>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67DAF6E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lastRenderedPageBreak/>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3F30DE"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20/8/21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142A7E3"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8:30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52F973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DC9EEF5"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Alekssandra Atallah</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E0E0C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C1C1FD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6DFE4402" w14:textId="77777777" w:rsidR="00BF58B5" w:rsidRPr="00B91AD6" w:rsidRDefault="00BF58B5" w:rsidP="00062DAE">
            <w:pPr>
              <w:jc w:val="center"/>
              <w:rPr>
                <w:rFonts w:asciiTheme="minorHAnsi" w:hAnsiTheme="minorHAnsi" w:cstheme="minorHAnsi"/>
                <w:bCs/>
                <w:sz w:val="18"/>
                <w:szCs w:val="18"/>
              </w:rPr>
            </w:pPr>
          </w:p>
        </w:tc>
      </w:tr>
      <w:tr w:rsidR="00BF58B5" w:rsidRPr="00B91AD6" w14:paraId="36F144B5"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37A06D9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992681"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23/8/21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E66E4E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9:00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C67403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601650F8" w14:textId="77777777" w:rsidR="00BF58B5" w:rsidRPr="00B91AD6" w:rsidRDefault="00BF58B5" w:rsidP="00062DAE">
            <w:pPr>
              <w:rPr>
                <w:rFonts w:asciiTheme="minorHAnsi" w:hAnsiTheme="minorHAnsi" w:cstheme="minorHAnsi"/>
                <w:bCs/>
                <w:sz w:val="18"/>
                <w:szCs w:val="18"/>
                <w:lang w:val="it-IT"/>
              </w:rPr>
            </w:pPr>
            <w:r w:rsidRPr="00B91AD6">
              <w:rPr>
                <w:rFonts w:asciiTheme="minorHAnsi" w:hAnsiTheme="minorHAnsi" w:cstheme="minorHAnsi"/>
                <w:bCs/>
                <w:sz w:val="18"/>
                <w:szCs w:val="18"/>
                <w:lang w:val="it-IT"/>
              </w:rPr>
              <w:t>Gino Bianco and Luis Iseppe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2D2AA3"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6C98250"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B98FB65" w14:textId="77777777" w:rsidR="00BF58B5" w:rsidRPr="00B91AD6" w:rsidRDefault="00BF58B5" w:rsidP="00062DAE">
            <w:pPr>
              <w:jc w:val="center"/>
              <w:rPr>
                <w:rFonts w:asciiTheme="minorHAnsi" w:hAnsiTheme="minorHAnsi" w:cstheme="minorHAnsi"/>
                <w:bCs/>
                <w:sz w:val="18"/>
                <w:szCs w:val="18"/>
                <w:lang w:val="it-IT"/>
              </w:rPr>
            </w:pPr>
          </w:p>
        </w:tc>
      </w:tr>
      <w:tr w:rsidR="00BF58B5" w:rsidRPr="00B91AD6" w14:paraId="2CDD13EB"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60E5A6B3"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538FDC9"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24/8/21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66D034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11:45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F238CEA"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1E1C9D9" w14:textId="77777777" w:rsidR="00BF58B5" w:rsidRPr="00B91AD6" w:rsidRDefault="00BF58B5" w:rsidP="00062DAE">
            <w:pPr>
              <w:rPr>
                <w:rFonts w:asciiTheme="minorHAnsi" w:hAnsiTheme="minorHAnsi" w:cstheme="minorHAnsi"/>
                <w:bCs/>
                <w:sz w:val="18"/>
                <w:szCs w:val="18"/>
                <w:lang w:val="it-IT"/>
              </w:rPr>
            </w:pPr>
            <w:r w:rsidRPr="00B91AD6">
              <w:rPr>
                <w:rFonts w:asciiTheme="minorHAnsi" w:hAnsiTheme="minorHAnsi" w:cstheme="minorHAnsi"/>
                <w:bCs/>
                <w:sz w:val="18"/>
                <w:szCs w:val="18"/>
                <w:lang w:val="it-IT"/>
              </w:rPr>
              <w:t>Rachel Kaplan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093F55"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3CF6DE1" w14:textId="77777777" w:rsidR="00BF58B5" w:rsidRPr="00B91AD6" w:rsidRDefault="00BF58B5" w:rsidP="00062DAE">
            <w:pPr>
              <w:jc w:val="center"/>
              <w:rPr>
                <w:rFonts w:asciiTheme="minorHAnsi" w:hAnsiTheme="minorHAnsi" w:cstheme="minorHAnsi"/>
                <w:bCs/>
                <w:sz w:val="18"/>
                <w:szCs w:val="18"/>
                <w:lang w:val="it-IT"/>
              </w:rPr>
            </w:pPr>
            <w:r w:rsidRPr="00B91AD6">
              <w:rPr>
                <w:rFonts w:asciiTheme="minorHAnsi" w:hAnsiTheme="minorHAnsi" w:cstheme="minorHAnsi"/>
                <w:bCs/>
                <w:sz w:val="18"/>
                <w:szCs w:val="18"/>
                <w:lang w:val="it-IT"/>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57B744F3" w14:textId="77777777" w:rsidR="00BF58B5" w:rsidRPr="00B91AD6" w:rsidRDefault="00BF58B5" w:rsidP="00062DAE">
            <w:pPr>
              <w:jc w:val="center"/>
              <w:rPr>
                <w:rFonts w:asciiTheme="minorHAnsi" w:hAnsiTheme="minorHAnsi" w:cstheme="minorHAnsi"/>
                <w:bCs/>
                <w:sz w:val="18"/>
                <w:szCs w:val="18"/>
                <w:lang w:val="it-IT"/>
              </w:rPr>
            </w:pPr>
          </w:p>
        </w:tc>
      </w:tr>
      <w:tr w:rsidR="00BF58B5" w:rsidRPr="00B91AD6" w14:paraId="2EA89FB4"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3851D89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EEF7DE"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25/8/21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8A7BF6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9:00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6670F1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5ABAA711"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Margreet Groot and Cristina Baeza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A81C7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D59645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496B2649" w14:textId="77777777" w:rsidR="00BF58B5" w:rsidRPr="00B91AD6" w:rsidRDefault="00BF58B5" w:rsidP="00062DAE">
            <w:pPr>
              <w:jc w:val="center"/>
              <w:rPr>
                <w:rFonts w:asciiTheme="minorHAnsi" w:hAnsiTheme="minorHAnsi" w:cstheme="minorHAnsi"/>
                <w:bCs/>
                <w:sz w:val="18"/>
                <w:szCs w:val="18"/>
              </w:rPr>
            </w:pPr>
          </w:p>
        </w:tc>
      </w:tr>
      <w:tr w:rsidR="00BF58B5" w:rsidRPr="00B91AD6" w14:paraId="19B76C67"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1603866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8A265"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25/8/21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D8AC945"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05827F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1022F03"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Lise Melvin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D2385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AC9436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62C39EF" w14:textId="77777777" w:rsidR="00BF58B5" w:rsidRPr="00B91AD6" w:rsidRDefault="00BF58B5" w:rsidP="00062DAE">
            <w:pPr>
              <w:jc w:val="center"/>
              <w:rPr>
                <w:rFonts w:asciiTheme="minorHAnsi" w:hAnsiTheme="minorHAnsi" w:cstheme="minorHAnsi"/>
                <w:bCs/>
                <w:sz w:val="18"/>
                <w:szCs w:val="18"/>
              </w:rPr>
            </w:pPr>
          </w:p>
        </w:tc>
      </w:tr>
      <w:tr w:rsidR="00BF58B5" w:rsidRPr="00B91AD6" w14:paraId="3B95A974"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2CC67885"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50A5CA2"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26/8/21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990964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10:30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AE2236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2075A2DB"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Robyn Paulekas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F55D03"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EFE116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23EFA4E5" w14:textId="77777777" w:rsidR="00BF58B5" w:rsidRPr="00B91AD6" w:rsidRDefault="00BF58B5" w:rsidP="00062DAE">
            <w:pPr>
              <w:jc w:val="center"/>
              <w:rPr>
                <w:rFonts w:asciiTheme="minorHAnsi" w:hAnsiTheme="minorHAnsi" w:cstheme="minorHAnsi"/>
                <w:bCs/>
                <w:sz w:val="18"/>
                <w:szCs w:val="18"/>
              </w:rPr>
            </w:pPr>
          </w:p>
        </w:tc>
      </w:tr>
      <w:tr w:rsidR="00BF58B5" w:rsidRPr="00B91AD6" w14:paraId="16D012D2"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77928CD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3151A5"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26/8/21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B15FC7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2:00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8211D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59F2D43F"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Jeff Milder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C553B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42A9E9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02126597" w14:textId="77777777" w:rsidR="00BF58B5" w:rsidRPr="00B91AD6" w:rsidRDefault="00BF58B5" w:rsidP="00062DAE">
            <w:pPr>
              <w:jc w:val="center"/>
              <w:rPr>
                <w:rFonts w:asciiTheme="minorHAnsi" w:hAnsiTheme="minorHAnsi" w:cstheme="minorHAnsi"/>
                <w:bCs/>
                <w:sz w:val="18"/>
                <w:szCs w:val="18"/>
              </w:rPr>
            </w:pPr>
          </w:p>
        </w:tc>
      </w:tr>
      <w:tr w:rsidR="00BF58B5" w:rsidRPr="00B91AD6" w14:paraId="0DC8CB19"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476EC84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00608F0"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26/8/21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2919B0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6F646F3"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510C97C2"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Jose Cruz Osorio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26E00A"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D6DD56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09A15865" w14:textId="77777777" w:rsidR="00BF58B5" w:rsidRPr="00B91AD6" w:rsidRDefault="00BF58B5" w:rsidP="00062DAE">
            <w:pPr>
              <w:jc w:val="center"/>
              <w:rPr>
                <w:rFonts w:asciiTheme="minorHAnsi" w:hAnsiTheme="minorHAnsi" w:cstheme="minorHAnsi"/>
                <w:bCs/>
                <w:sz w:val="18"/>
                <w:szCs w:val="18"/>
              </w:rPr>
            </w:pPr>
          </w:p>
        </w:tc>
      </w:tr>
      <w:tr w:rsidR="00BF58B5" w:rsidRPr="00B91AD6" w14:paraId="77C61861"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6B243E9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882361E"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27/8/21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663022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556EA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Focus Group w/Paraguay Team</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B83AFA7" w14:textId="77777777" w:rsidR="00BF58B5" w:rsidRPr="008411B2" w:rsidRDefault="00BF58B5" w:rsidP="00062DAE">
            <w:pPr>
              <w:shd w:val="clear" w:color="auto" w:fill="FFFFFF"/>
              <w:spacing w:line="300" w:lineRule="atLeast"/>
              <w:rPr>
                <w:rFonts w:asciiTheme="minorHAnsi" w:hAnsiTheme="minorHAnsi" w:cstheme="minorHAnsi"/>
                <w:bCs/>
                <w:sz w:val="18"/>
                <w:szCs w:val="18"/>
                <w:lang w:val="es-DO"/>
              </w:rPr>
            </w:pPr>
            <w:r w:rsidRPr="00B91AD6">
              <w:rPr>
                <w:rFonts w:asciiTheme="minorHAnsi" w:eastAsia="Times New Roman" w:hAnsiTheme="minorHAnsi" w:cstheme="minorHAnsi"/>
                <w:spacing w:val="3"/>
                <w:sz w:val="18"/>
                <w:szCs w:val="18"/>
                <w:lang w:val="pt-BR"/>
              </w:rPr>
              <w:t>Enrique Molas</w:t>
            </w:r>
            <w:r>
              <w:rPr>
                <w:rFonts w:asciiTheme="minorHAnsi" w:eastAsia="Times New Roman" w:hAnsiTheme="minorHAnsi" w:cstheme="minorHAnsi"/>
                <w:spacing w:val="3"/>
                <w:sz w:val="18"/>
                <w:szCs w:val="18"/>
                <w:lang w:val="pt-BR"/>
              </w:rPr>
              <w:t xml:space="preserve">, </w:t>
            </w:r>
            <w:r w:rsidRPr="00B91AD6">
              <w:rPr>
                <w:rFonts w:asciiTheme="minorHAnsi" w:eastAsia="Times New Roman" w:hAnsiTheme="minorHAnsi" w:cstheme="minorHAnsi"/>
                <w:spacing w:val="3"/>
                <w:sz w:val="18"/>
                <w:szCs w:val="18"/>
                <w:lang w:val="pt-BR"/>
              </w:rPr>
              <w:t>Mario Zenteno</w:t>
            </w:r>
            <w:r>
              <w:rPr>
                <w:rFonts w:asciiTheme="minorHAnsi" w:eastAsia="Times New Roman" w:hAnsiTheme="minorHAnsi" w:cstheme="minorHAnsi"/>
                <w:spacing w:val="3"/>
                <w:sz w:val="18"/>
                <w:szCs w:val="18"/>
                <w:lang w:val="pt-BR"/>
              </w:rPr>
              <w:t xml:space="preserve">, </w:t>
            </w:r>
            <w:r w:rsidRPr="00B91AD6">
              <w:rPr>
                <w:rFonts w:asciiTheme="minorHAnsi" w:eastAsia="Times New Roman" w:hAnsiTheme="minorHAnsi" w:cstheme="minorHAnsi"/>
                <w:spacing w:val="3"/>
                <w:sz w:val="18"/>
                <w:szCs w:val="18"/>
                <w:lang w:val="es-ES"/>
              </w:rPr>
              <w:t>Oscar Gadea</w:t>
            </w:r>
            <w:r>
              <w:rPr>
                <w:rFonts w:asciiTheme="minorHAnsi" w:eastAsia="Times New Roman" w:hAnsiTheme="minorHAnsi" w:cstheme="minorHAnsi"/>
                <w:spacing w:val="3"/>
                <w:sz w:val="18"/>
                <w:szCs w:val="18"/>
                <w:lang w:val="es-ES"/>
              </w:rPr>
              <w:t xml:space="preserve">, </w:t>
            </w:r>
            <w:r w:rsidRPr="00B91AD6">
              <w:rPr>
                <w:rFonts w:asciiTheme="minorHAnsi" w:eastAsia="Times New Roman" w:hAnsiTheme="minorHAnsi" w:cstheme="minorHAnsi"/>
                <w:spacing w:val="3"/>
                <w:sz w:val="18"/>
                <w:szCs w:val="18"/>
                <w:lang w:val="es-ES"/>
              </w:rPr>
              <w:t>Guillermo Javier Terol</w:t>
            </w:r>
            <w:r>
              <w:rPr>
                <w:rFonts w:asciiTheme="minorHAnsi" w:eastAsia="Times New Roman" w:hAnsiTheme="minorHAnsi" w:cstheme="minorHAnsi"/>
                <w:spacing w:val="3"/>
                <w:sz w:val="18"/>
                <w:szCs w:val="18"/>
                <w:lang w:val="es-ES"/>
              </w:rPr>
              <w:t>, Lourdes L</w:t>
            </w:r>
            <w:r w:rsidRPr="00B91AD6">
              <w:rPr>
                <w:rFonts w:asciiTheme="minorHAnsi" w:eastAsia="Times New Roman" w:hAnsiTheme="minorHAnsi" w:cstheme="minorHAnsi"/>
                <w:spacing w:val="3"/>
                <w:sz w:val="18"/>
                <w:szCs w:val="18"/>
                <w:lang w:val="es-ES"/>
              </w:rPr>
              <w:t>ópez</w:t>
            </w:r>
            <w:r>
              <w:rPr>
                <w:rFonts w:asciiTheme="minorHAnsi" w:eastAsia="Times New Roman" w:hAnsiTheme="minorHAnsi" w:cstheme="minorHAnsi"/>
                <w:spacing w:val="3"/>
                <w:sz w:val="18"/>
                <w:szCs w:val="18"/>
                <w:lang w:val="es-ES"/>
              </w:rPr>
              <w:t>, Viviana Villalba, Veronique Gerard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F6543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60</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60889F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0A151A5" w14:textId="77777777" w:rsidR="00BF58B5" w:rsidRPr="00B91AD6" w:rsidRDefault="00BF58B5" w:rsidP="00062DAE">
            <w:pPr>
              <w:jc w:val="center"/>
              <w:rPr>
                <w:rFonts w:asciiTheme="minorHAnsi" w:hAnsiTheme="minorHAnsi" w:cstheme="minorHAnsi"/>
                <w:bCs/>
                <w:sz w:val="18"/>
                <w:szCs w:val="18"/>
              </w:rPr>
            </w:pPr>
          </w:p>
        </w:tc>
      </w:tr>
      <w:tr w:rsidR="00BF58B5" w:rsidRPr="00B91AD6" w14:paraId="7C19889A"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05A241B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C0DD48"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27/8/21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DF5E30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11:00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D13758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1E8FE0A2"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Monica McBride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A9699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E457FC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5B44DE85" w14:textId="77777777" w:rsidR="00BF58B5" w:rsidRPr="00B91AD6" w:rsidRDefault="00BF58B5" w:rsidP="00062DAE">
            <w:pPr>
              <w:jc w:val="center"/>
              <w:rPr>
                <w:rFonts w:asciiTheme="minorHAnsi" w:hAnsiTheme="minorHAnsi" w:cstheme="minorHAnsi"/>
                <w:bCs/>
                <w:sz w:val="18"/>
                <w:szCs w:val="18"/>
              </w:rPr>
            </w:pPr>
          </w:p>
        </w:tc>
      </w:tr>
      <w:tr w:rsidR="00BF58B5" w:rsidRPr="00B91AD6" w14:paraId="59E23F1A"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7A9A788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0F95C3"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30/8/21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7F119E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77B985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3B914C1A"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Gregory Sampson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021683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2CA91AD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6E76AD46" w14:textId="77777777" w:rsidR="00BF58B5" w:rsidRPr="00B91AD6" w:rsidRDefault="00BF58B5" w:rsidP="00062DAE">
            <w:pPr>
              <w:jc w:val="center"/>
              <w:rPr>
                <w:rFonts w:asciiTheme="minorHAnsi" w:hAnsiTheme="minorHAnsi" w:cstheme="minorHAnsi"/>
                <w:bCs/>
                <w:sz w:val="18"/>
                <w:szCs w:val="18"/>
              </w:rPr>
            </w:pPr>
          </w:p>
        </w:tc>
      </w:tr>
      <w:tr w:rsidR="00BF58B5" w:rsidRPr="00B91AD6" w14:paraId="564CEA4C"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579BBF35"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032A46"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31/8/21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D7986F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7:00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A3C5D4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8D3E7BB"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Vidya Rangan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6DB07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F17ECF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13EBC0B7" w14:textId="77777777" w:rsidR="00BF58B5" w:rsidRPr="00B91AD6" w:rsidRDefault="00BF58B5" w:rsidP="00062DAE">
            <w:pPr>
              <w:jc w:val="center"/>
              <w:rPr>
                <w:rFonts w:asciiTheme="minorHAnsi" w:hAnsiTheme="minorHAnsi" w:cstheme="minorHAnsi"/>
                <w:bCs/>
                <w:sz w:val="18"/>
                <w:szCs w:val="18"/>
              </w:rPr>
            </w:pPr>
          </w:p>
        </w:tc>
      </w:tr>
      <w:tr w:rsidR="00BF58B5" w:rsidRPr="00B91AD6" w14:paraId="76081826"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5FC539D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C485A26"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31/8/21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EB73F5D"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706D1A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2BA547FD"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Rachel Garrett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C76C5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394C8C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3DE785E3" w14:textId="77777777" w:rsidR="00BF58B5" w:rsidRPr="00B91AD6" w:rsidRDefault="00BF58B5" w:rsidP="00062DAE">
            <w:pPr>
              <w:jc w:val="center"/>
              <w:rPr>
                <w:rFonts w:asciiTheme="minorHAnsi" w:hAnsiTheme="minorHAnsi" w:cstheme="minorHAnsi"/>
                <w:bCs/>
                <w:sz w:val="18"/>
                <w:szCs w:val="18"/>
              </w:rPr>
            </w:pPr>
          </w:p>
        </w:tc>
      </w:tr>
      <w:tr w:rsidR="00BF58B5" w:rsidRPr="00B91AD6" w14:paraId="0FCF9BC9" w14:textId="77777777" w:rsidTr="00062DAE">
        <w:trPr>
          <w:trHeight w:val="1358"/>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2F935CF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36276FA"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31/8/21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37B295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6EDC44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Focus Group w/Indonesia Team</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3A8E9654" w14:textId="77777777" w:rsidR="00BF58B5" w:rsidRPr="003762C2" w:rsidRDefault="00BF58B5" w:rsidP="00062DAE">
            <w:pPr>
              <w:spacing w:line="300" w:lineRule="atLeast"/>
              <w:rPr>
                <w:rFonts w:asciiTheme="minorHAnsi" w:hAnsiTheme="minorHAnsi" w:cstheme="minorHAnsi"/>
                <w:bCs/>
                <w:sz w:val="18"/>
                <w:szCs w:val="18"/>
              </w:rPr>
            </w:pPr>
            <w:r w:rsidRPr="003762C2">
              <w:rPr>
                <w:rStyle w:val="chb8o"/>
                <w:rFonts w:asciiTheme="minorHAnsi" w:hAnsiTheme="minorHAnsi" w:cstheme="minorHAnsi"/>
                <w:spacing w:val="3"/>
                <w:sz w:val="18"/>
                <w:szCs w:val="18"/>
                <w:shd w:val="clear" w:color="auto" w:fill="FFFFFF"/>
              </w:rPr>
              <w:t>Anselma Faustina, Lara Yacob, Rini Indrayanti, A. Bayunanda, B.Haraty, Helen Lumban Gaol, Iwan Kurniawan, Nikky Nofari, Tri Widjayanti</w:t>
            </w:r>
            <w:r w:rsidRPr="003762C2">
              <w:rPr>
                <w:rFonts w:ascii="Roboto" w:hAnsi="Roboto"/>
                <w:color w:val="3C4043"/>
                <w:spacing w:val="3"/>
                <w:sz w:val="21"/>
                <w:szCs w:val="21"/>
                <w:shd w:val="clear" w:color="auto" w:fill="FFFFFF"/>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29EE8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60</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2AFAA7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082BB51C" w14:textId="77777777" w:rsidR="00BF58B5" w:rsidRPr="00B91AD6" w:rsidRDefault="00BF58B5" w:rsidP="00062DAE">
            <w:pPr>
              <w:jc w:val="center"/>
              <w:rPr>
                <w:rFonts w:asciiTheme="minorHAnsi" w:hAnsiTheme="minorHAnsi" w:cstheme="minorHAnsi"/>
                <w:bCs/>
                <w:sz w:val="18"/>
                <w:szCs w:val="18"/>
              </w:rPr>
            </w:pPr>
          </w:p>
        </w:tc>
      </w:tr>
      <w:tr w:rsidR="00BF58B5" w:rsidRPr="00B91AD6" w14:paraId="7D9872CB"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2A9832B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BDEF911"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01/9/21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405BF71"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B8E29B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67E33F40"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Felipe Carazzo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FE581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F85212D"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51567A23" w14:textId="77777777" w:rsidR="00BF58B5" w:rsidRPr="00B91AD6" w:rsidRDefault="00BF58B5" w:rsidP="00062DAE">
            <w:pPr>
              <w:jc w:val="center"/>
              <w:rPr>
                <w:rFonts w:asciiTheme="minorHAnsi" w:hAnsiTheme="minorHAnsi" w:cstheme="minorHAnsi"/>
                <w:bCs/>
                <w:sz w:val="18"/>
                <w:szCs w:val="18"/>
              </w:rPr>
            </w:pPr>
          </w:p>
        </w:tc>
      </w:tr>
      <w:tr w:rsidR="00BF58B5" w:rsidRPr="00B91AD6" w14:paraId="05DA8863"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5C78CD0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5E8C57"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02/9/21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33AB6A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11:00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E7EF93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282BA22D"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Paul Hartman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F9611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60F0A9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3A16557E" w14:textId="77777777" w:rsidR="00BF58B5" w:rsidRPr="00B91AD6" w:rsidRDefault="00BF58B5" w:rsidP="00062DAE">
            <w:pPr>
              <w:jc w:val="center"/>
              <w:rPr>
                <w:rFonts w:asciiTheme="minorHAnsi" w:hAnsiTheme="minorHAnsi" w:cstheme="minorHAnsi"/>
                <w:bCs/>
                <w:sz w:val="18"/>
                <w:szCs w:val="18"/>
              </w:rPr>
            </w:pPr>
          </w:p>
        </w:tc>
      </w:tr>
      <w:tr w:rsidR="00BF58B5" w:rsidRPr="00B91AD6" w14:paraId="41EC8332"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2BAEE7A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lastRenderedPageBreak/>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F8BEA9"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03/9/21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4B75BE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8:00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94E306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47A36D5B"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Dorsla Farcarthy and Galah Toto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A70DCE"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AC9783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3E14E045" w14:textId="77777777" w:rsidR="00BF58B5" w:rsidRPr="00B91AD6" w:rsidRDefault="00BF58B5" w:rsidP="00062DAE">
            <w:pPr>
              <w:jc w:val="center"/>
              <w:rPr>
                <w:rFonts w:asciiTheme="minorHAnsi" w:hAnsiTheme="minorHAnsi" w:cstheme="minorHAnsi"/>
                <w:bCs/>
                <w:sz w:val="18"/>
                <w:szCs w:val="18"/>
              </w:rPr>
            </w:pPr>
          </w:p>
        </w:tc>
      </w:tr>
      <w:tr w:rsidR="00BF58B5" w:rsidRPr="00B91AD6" w14:paraId="42868AD4"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2971DD9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04FE90B"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08/9/21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4ABFB0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10:00 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4C9FF94"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445EA7E8"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Amanda Sennert and John Buchanan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5C52A2" w14:textId="77777777" w:rsidR="00BF58B5" w:rsidRPr="00B91AD6" w:rsidRDefault="00BF58B5" w:rsidP="00062DAE">
            <w:pPr>
              <w:jc w:val="center"/>
              <w:rPr>
                <w:rFonts w:asciiTheme="minorHAnsi" w:hAnsiTheme="minorHAnsi" w:cstheme="minorHAnsi"/>
                <w:bCs/>
                <w:sz w:val="18"/>
                <w:szCs w:val="18"/>
              </w:rPr>
            </w:pPr>
            <w:r>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6DB0B83" w14:textId="77777777" w:rsidR="00BF58B5" w:rsidRPr="00B91AD6" w:rsidRDefault="00BF58B5" w:rsidP="00062DAE">
            <w:pPr>
              <w:jc w:val="center"/>
              <w:rPr>
                <w:rFonts w:asciiTheme="minorHAnsi" w:hAnsiTheme="minorHAnsi" w:cstheme="minorHAnsi"/>
                <w:bCs/>
                <w:sz w:val="18"/>
                <w:szCs w:val="18"/>
              </w:rPr>
            </w:pPr>
            <w:r>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0C556168" w14:textId="77777777" w:rsidR="00BF58B5" w:rsidRPr="00B91AD6" w:rsidRDefault="00BF58B5" w:rsidP="00062DAE">
            <w:pPr>
              <w:jc w:val="center"/>
              <w:rPr>
                <w:rFonts w:asciiTheme="minorHAnsi" w:hAnsiTheme="minorHAnsi" w:cstheme="minorHAnsi"/>
                <w:bCs/>
                <w:sz w:val="18"/>
                <w:szCs w:val="18"/>
              </w:rPr>
            </w:pPr>
          </w:p>
        </w:tc>
      </w:tr>
      <w:tr w:rsidR="00BF58B5" w:rsidRPr="00B91AD6" w14:paraId="40AD4433"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3E88BBC3"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E97EC07"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08/9/21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546874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2:00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DBFCA1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Focus Group w/Brazil Team</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01B8A967" w14:textId="25ABB11B" w:rsidR="00BF58B5" w:rsidRPr="0053190F" w:rsidRDefault="00B74C7B" w:rsidP="00062DAE">
            <w:pPr>
              <w:shd w:val="clear" w:color="auto" w:fill="FFFFFF"/>
              <w:spacing w:line="300" w:lineRule="atLeast"/>
              <w:rPr>
                <w:rFonts w:asciiTheme="minorHAnsi" w:hAnsiTheme="minorHAnsi" w:cstheme="minorHAnsi"/>
                <w:bCs/>
                <w:sz w:val="18"/>
                <w:szCs w:val="18"/>
                <w:lang w:val="pt-BR"/>
              </w:rPr>
            </w:pPr>
            <w:r>
              <w:rPr>
                <w:rFonts w:asciiTheme="minorHAnsi" w:eastAsia="Times New Roman" w:hAnsiTheme="minorHAnsi" w:cstheme="minorHAnsi"/>
                <w:spacing w:val="3"/>
                <w:sz w:val="18"/>
                <w:szCs w:val="18"/>
                <w:lang w:val="pt-BR"/>
              </w:rPr>
              <w:t>Cassio</w:t>
            </w:r>
            <w:r w:rsidR="00BF58B5">
              <w:rPr>
                <w:rFonts w:asciiTheme="minorHAnsi" w:eastAsia="Times New Roman" w:hAnsiTheme="minorHAnsi" w:cstheme="minorHAnsi"/>
                <w:spacing w:val="3"/>
                <w:sz w:val="18"/>
                <w:szCs w:val="18"/>
                <w:lang w:val="pt-BR"/>
              </w:rPr>
              <w:t xml:space="preserve"> Franco Moreira, Karine Barcelos, Andre V</w:t>
            </w:r>
            <w:r w:rsidR="00BF58B5" w:rsidRPr="0053190F">
              <w:rPr>
                <w:rFonts w:asciiTheme="minorHAnsi" w:eastAsia="Times New Roman" w:hAnsiTheme="minorHAnsi" w:cstheme="minorHAnsi"/>
                <w:spacing w:val="3"/>
                <w:sz w:val="18"/>
                <w:szCs w:val="18"/>
                <w:lang w:val="pt-BR"/>
              </w:rPr>
              <w:t>asconcelos</w:t>
            </w:r>
            <w:r w:rsidR="00BF58B5">
              <w:rPr>
                <w:rFonts w:asciiTheme="minorHAnsi" w:eastAsia="Times New Roman" w:hAnsiTheme="minorHAnsi" w:cstheme="minorHAnsi"/>
                <w:spacing w:val="3"/>
                <w:sz w:val="18"/>
                <w:szCs w:val="18"/>
                <w:lang w:val="pt-BR"/>
              </w:rPr>
              <w:t>, Edgar Oliveira, Manuel Moraes, Raquel M Costa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478E1D"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60</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823C321"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3F01BC9A" w14:textId="77777777" w:rsidR="00BF58B5" w:rsidRPr="00B91AD6" w:rsidRDefault="00BF58B5" w:rsidP="00062DAE">
            <w:pPr>
              <w:jc w:val="center"/>
              <w:rPr>
                <w:rFonts w:asciiTheme="minorHAnsi" w:hAnsiTheme="minorHAnsi" w:cstheme="minorHAnsi"/>
                <w:bCs/>
                <w:sz w:val="18"/>
                <w:szCs w:val="18"/>
              </w:rPr>
            </w:pPr>
          </w:p>
        </w:tc>
      </w:tr>
      <w:tr w:rsidR="00BF58B5" w:rsidRPr="00B91AD6" w14:paraId="71242CE2"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521E33B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B2CF7D"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16/9/21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5CEF0B6"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EF54B2A"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135143F5"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Margaret Arbuthnot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A8BC3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74A2668"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72B05119" w14:textId="77777777" w:rsidR="00BF58B5" w:rsidRPr="00B91AD6" w:rsidRDefault="00BF58B5" w:rsidP="00062DAE">
            <w:pPr>
              <w:jc w:val="center"/>
              <w:rPr>
                <w:rFonts w:asciiTheme="minorHAnsi" w:hAnsiTheme="minorHAnsi" w:cstheme="minorHAnsi"/>
                <w:bCs/>
                <w:sz w:val="18"/>
                <w:szCs w:val="18"/>
              </w:rPr>
            </w:pPr>
          </w:p>
        </w:tc>
      </w:tr>
      <w:tr w:rsidR="00BF58B5" w:rsidRPr="00B91AD6" w14:paraId="48470296"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13DABD3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9A6643"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16/9/21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351EC6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8E74A5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1C1BCF6A"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Veronique Gerard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1F0C6E2"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D0AC0D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6094D1F1" w14:textId="77777777" w:rsidR="00BF58B5" w:rsidRPr="00B91AD6" w:rsidRDefault="00BF58B5" w:rsidP="00062DAE">
            <w:pPr>
              <w:jc w:val="center"/>
              <w:rPr>
                <w:rFonts w:asciiTheme="minorHAnsi" w:hAnsiTheme="minorHAnsi" w:cstheme="minorHAnsi"/>
                <w:bCs/>
                <w:sz w:val="18"/>
                <w:szCs w:val="18"/>
              </w:rPr>
            </w:pPr>
          </w:p>
        </w:tc>
      </w:tr>
      <w:tr w:rsidR="00BF58B5" w:rsidRPr="00B91AD6" w14:paraId="62A8FCF7"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673B0DE1"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06553"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22/9/21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18C1345"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12:00am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CC0A0B"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6FAA28E0"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Charles O’Malley</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EF1441"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7E8FDA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105687EB" w14:textId="77777777" w:rsidR="00BF58B5" w:rsidRPr="00B91AD6" w:rsidRDefault="00BF58B5" w:rsidP="00062DAE">
            <w:pPr>
              <w:jc w:val="center"/>
              <w:rPr>
                <w:rFonts w:asciiTheme="minorHAnsi" w:hAnsiTheme="minorHAnsi" w:cstheme="minorHAnsi"/>
                <w:bCs/>
                <w:sz w:val="18"/>
                <w:szCs w:val="18"/>
              </w:rPr>
            </w:pPr>
          </w:p>
        </w:tc>
      </w:tr>
      <w:tr w:rsidR="00BF58B5" w:rsidRPr="00B91AD6" w14:paraId="3F3B18CC" w14:textId="77777777" w:rsidTr="00062DAE">
        <w:trPr>
          <w:cnfStyle w:val="000000100000" w:firstRow="0" w:lastRow="0" w:firstColumn="0" w:lastColumn="0" w:oddVBand="0" w:evenVBand="0" w:oddHBand="1" w:evenHBand="0" w:firstRowFirstColumn="0" w:firstRowLastColumn="0" w:lastRowFirstColumn="0" w:lastRowLastColumn="0"/>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07FD6B39"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0714DE"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1/10/21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AB8541A"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3:00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7F3FEA"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58C3BF03"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Rita Samudio</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83A91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DFB7AE7"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53A6C0B1" w14:textId="77777777" w:rsidR="00BF58B5" w:rsidRPr="00B91AD6" w:rsidRDefault="00BF58B5" w:rsidP="00062DAE">
            <w:pPr>
              <w:jc w:val="center"/>
              <w:rPr>
                <w:rFonts w:asciiTheme="minorHAnsi" w:hAnsiTheme="minorHAnsi" w:cstheme="minorHAnsi"/>
                <w:bCs/>
                <w:sz w:val="18"/>
                <w:szCs w:val="18"/>
              </w:rPr>
            </w:pPr>
          </w:p>
        </w:tc>
      </w:tr>
      <w:tr w:rsidR="00BF58B5" w:rsidRPr="00B91AD6" w14:paraId="6F7A1FA9" w14:textId="77777777" w:rsidTr="00062DAE">
        <w:trPr>
          <w:trHeight w:val="422"/>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5933236C"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E2D3DB" w14:textId="77777777" w:rsidR="00BF58B5" w:rsidRPr="00B91AD6" w:rsidRDefault="00BF58B5" w:rsidP="00062DAE">
            <w:pPr>
              <w:jc w:val="center"/>
              <w:rPr>
                <w:rFonts w:asciiTheme="minorHAnsi" w:hAnsiTheme="minorHAnsi" w:cstheme="minorHAnsi"/>
                <w:b/>
                <w:sz w:val="18"/>
                <w:szCs w:val="18"/>
              </w:rPr>
            </w:pPr>
            <w:r w:rsidRPr="00B91AD6">
              <w:rPr>
                <w:rFonts w:asciiTheme="minorHAnsi" w:hAnsiTheme="minorHAnsi" w:cstheme="minorHAnsi"/>
                <w:b/>
                <w:sz w:val="18"/>
                <w:szCs w:val="18"/>
              </w:rPr>
              <w:t>5/10/21</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DE6486F"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4:00 pm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67595ED"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Interview</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18058981" w14:textId="77777777" w:rsidR="00BF58B5" w:rsidRPr="00B91AD6" w:rsidRDefault="00BF58B5" w:rsidP="00062DAE">
            <w:pPr>
              <w:rPr>
                <w:rFonts w:asciiTheme="minorHAnsi" w:hAnsiTheme="minorHAnsi" w:cstheme="minorHAnsi"/>
                <w:bCs/>
                <w:sz w:val="18"/>
                <w:szCs w:val="18"/>
              </w:rPr>
            </w:pPr>
            <w:r w:rsidRPr="00B91AD6">
              <w:rPr>
                <w:rFonts w:asciiTheme="minorHAnsi" w:hAnsiTheme="minorHAnsi" w:cstheme="minorHAnsi"/>
                <w:bCs/>
                <w:sz w:val="18"/>
                <w:szCs w:val="18"/>
              </w:rPr>
              <w:t>Dieter Fischer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778DCA0"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45</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2B4B9E5" w14:textId="77777777" w:rsidR="00BF58B5" w:rsidRPr="00B91AD6" w:rsidRDefault="00BF58B5" w:rsidP="00062DAE">
            <w:pPr>
              <w:jc w:val="center"/>
              <w:rPr>
                <w:rFonts w:asciiTheme="minorHAnsi" w:hAnsiTheme="minorHAnsi" w:cstheme="minorHAnsi"/>
                <w:bCs/>
                <w:sz w:val="18"/>
                <w:szCs w:val="18"/>
              </w:rPr>
            </w:pPr>
            <w:r w:rsidRPr="00B91AD6">
              <w:rPr>
                <w:rFonts w:asciiTheme="minorHAnsi" w:hAnsiTheme="minorHAnsi" w:cstheme="minorHAnsi"/>
                <w:bCs/>
                <w:sz w:val="18"/>
                <w:szCs w:val="18"/>
              </w:rPr>
              <w:t>Zoom</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4A4C62E1" w14:textId="77777777" w:rsidR="00BF58B5" w:rsidRPr="00B91AD6" w:rsidRDefault="00BF58B5" w:rsidP="00062DAE">
            <w:pPr>
              <w:jc w:val="center"/>
              <w:rPr>
                <w:rFonts w:asciiTheme="minorHAnsi" w:hAnsiTheme="minorHAnsi" w:cstheme="minorHAnsi"/>
                <w:bCs/>
                <w:sz w:val="18"/>
                <w:szCs w:val="18"/>
              </w:rPr>
            </w:pPr>
          </w:p>
        </w:tc>
      </w:tr>
    </w:tbl>
    <w:p w14:paraId="3B1D9300" w14:textId="77777777" w:rsidR="00BF58B5" w:rsidRPr="00B91AD6" w:rsidRDefault="00BF58B5" w:rsidP="00BF58B5">
      <w:pPr>
        <w:rPr>
          <w:rFonts w:asciiTheme="minorHAnsi" w:hAnsiTheme="minorHAnsi" w:cstheme="minorHAnsi"/>
        </w:rPr>
      </w:pPr>
    </w:p>
    <w:p w14:paraId="551D005C" w14:textId="77777777" w:rsidR="007E3A78" w:rsidRDefault="007E3A78">
      <w:r>
        <w:br w:type="page"/>
      </w:r>
    </w:p>
    <w:p w14:paraId="23A43F8F" w14:textId="77777777" w:rsidR="007E3A78" w:rsidRDefault="007E3A78">
      <w:pPr>
        <w:sectPr w:rsidR="007E3A78" w:rsidSect="007E3A78">
          <w:pgSz w:w="15840" w:h="12240" w:orient="landscape"/>
          <w:pgMar w:top="1080" w:right="1440" w:bottom="1080" w:left="1440" w:header="0" w:footer="936" w:gutter="0"/>
          <w:cols w:space="720"/>
          <w:docGrid w:linePitch="299"/>
        </w:sectPr>
      </w:pPr>
    </w:p>
    <w:p w14:paraId="606E3114" w14:textId="498D30F0" w:rsidR="007E3A78" w:rsidRDefault="007E3A78"/>
    <w:p w14:paraId="4F6B73E7" w14:textId="0FC7BF3C" w:rsidR="002D653D" w:rsidRPr="00B91AD6" w:rsidRDefault="002D653D" w:rsidP="002D653D">
      <w:pPr>
        <w:pStyle w:val="Heading2"/>
      </w:pPr>
      <w:bookmarkStart w:id="125" w:name="_Annex_7:_List"/>
      <w:bookmarkStart w:id="126" w:name="_Toc87339424"/>
      <w:bookmarkStart w:id="127" w:name="_Toc87991188"/>
      <w:bookmarkStart w:id="128" w:name="_Toc88151448"/>
      <w:bookmarkStart w:id="129" w:name="_Toc96772518"/>
      <w:bookmarkEnd w:id="125"/>
      <w:r w:rsidRPr="00B91AD6">
        <w:t xml:space="preserve">Annex </w:t>
      </w:r>
      <w:r>
        <w:t>7</w:t>
      </w:r>
      <w:r w:rsidRPr="00B91AD6">
        <w:t xml:space="preserve">: </w:t>
      </w:r>
      <w:bookmarkEnd w:id="126"/>
      <w:bookmarkEnd w:id="127"/>
      <w:bookmarkEnd w:id="128"/>
      <w:r>
        <w:t>List of Documents Reviewed</w:t>
      </w:r>
      <w:bookmarkEnd w:id="129"/>
    </w:p>
    <w:tbl>
      <w:tblPr>
        <w:tblStyle w:val="TableGrid"/>
        <w:tblW w:w="0" w:type="auto"/>
        <w:tblLook w:val="04A0" w:firstRow="1" w:lastRow="0" w:firstColumn="1" w:lastColumn="0" w:noHBand="0" w:noVBand="1"/>
      </w:tblPr>
      <w:tblGrid>
        <w:gridCol w:w="988"/>
        <w:gridCol w:w="5217"/>
        <w:gridCol w:w="2610"/>
      </w:tblGrid>
      <w:tr w:rsidR="002D653D" w:rsidRPr="00B91AD6" w14:paraId="77FBD24F" w14:textId="77777777" w:rsidTr="00062DAE">
        <w:tc>
          <w:tcPr>
            <w:tcW w:w="988" w:type="dxa"/>
          </w:tcPr>
          <w:p w14:paraId="684A31CB" w14:textId="77777777" w:rsidR="002D653D" w:rsidRPr="00B91AD6" w:rsidRDefault="002D653D" w:rsidP="00062DAE">
            <w:pPr>
              <w:rPr>
                <w:rFonts w:asciiTheme="minorHAnsi" w:hAnsiTheme="minorHAnsi" w:cstheme="minorHAnsi"/>
                <w:b/>
              </w:rPr>
            </w:pPr>
            <w:r w:rsidRPr="00B91AD6">
              <w:rPr>
                <w:rFonts w:asciiTheme="minorHAnsi" w:hAnsiTheme="minorHAnsi" w:cstheme="minorHAnsi"/>
                <w:b/>
              </w:rPr>
              <w:t>Number</w:t>
            </w:r>
          </w:p>
        </w:tc>
        <w:tc>
          <w:tcPr>
            <w:tcW w:w="5217" w:type="dxa"/>
          </w:tcPr>
          <w:p w14:paraId="01652087" w14:textId="77777777" w:rsidR="002D653D" w:rsidRPr="00B91AD6" w:rsidRDefault="002D653D" w:rsidP="00062DAE">
            <w:pPr>
              <w:rPr>
                <w:rFonts w:asciiTheme="minorHAnsi" w:hAnsiTheme="minorHAnsi" w:cstheme="minorHAnsi"/>
                <w:b/>
              </w:rPr>
            </w:pPr>
            <w:r w:rsidRPr="00B91AD6">
              <w:rPr>
                <w:rFonts w:asciiTheme="minorHAnsi" w:hAnsiTheme="minorHAnsi" w:cstheme="minorHAnsi"/>
                <w:b/>
              </w:rPr>
              <w:t>Document</w:t>
            </w:r>
          </w:p>
        </w:tc>
        <w:tc>
          <w:tcPr>
            <w:tcW w:w="2610" w:type="dxa"/>
          </w:tcPr>
          <w:p w14:paraId="1F9D7E1D" w14:textId="77777777" w:rsidR="002D653D" w:rsidRPr="00B91AD6" w:rsidRDefault="002D653D" w:rsidP="00062DAE">
            <w:pPr>
              <w:rPr>
                <w:rFonts w:asciiTheme="minorHAnsi" w:hAnsiTheme="minorHAnsi" w:cstheme="minorHAnsi"/>
                <w:b/>
              </w:rPr>
            </w:pPr>
            <w:r w:rsidRPr="00B91AD6">
              <w:rPr>
                <w:rFonts w:asciiTheme="minorHAnsi" w:hAnsiTheme="minorHAnsi" w:cstheme="minorHAnsi"/>
                <w:b/>
              </w:rPr>
              <w:t>Status</w:t>
            </w:r>
          </w:p>
        </w:tc>
      </w:tr>
      <w:tr w:rsidR="002D653D" w:rsidRPr="00B91AD6" w14:paraId="7C32A1B1" w14:textId="77777777" w:rsidTr="00062DAE">
        <w:trPr>
          <w:trHeight w:val="328"/>
        </w:trPr>
        <w:tc>
          <w:tcPr>
            <w:tcW w:w="988" w:type="dxa"/>
          </w:tcPr>
          <w:p w14:paraId="12C019C0"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w:t>
            </w:r>
          </w:p>
        </w:tc>
        <w:tc>
          <w:tcPr>
            <w:tcW w:w="5217" w:type="dxa"/>
          </w:tcPr>
          <w:p w14:paraId="6EA88BFA"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PIF</w:t>
            </w:r>
          </w:p>
        </w:tc>
        <w:tc>
          <w:tcPr>
            <w:tcW w:w="2610" w:type="dxa"/>
          </w:tcPr>
          <w:p w14:paraId="530EDC9F"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7A185B0E" w14:textId="77777777" w:rsidTr="00062DAE">
        <w:tc>
          <w:tcPr>
            <w:tcW w:w="988" w:type="dxa"/>
          </w:tcPr>
          <w:p w14:paraId="3D71ECA7"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w:t>
            </w:r>
          </w:p>
        </w:tc>
        <w:tc>
          <w:tcPr>
            <w:tcW w:w="5217" w:type="dxa"/>
            <w:shd w:val="clear" w:color="auto" w:fill="auto"/>
          </w:tcPr>
          <w:p w14:paraId="56908521" w14:textId="77777777" w:rsidR="002D653D" w:rsidRPr="00B91AD6" w:rsidRDefault="002D653D" w:rsidP="00062DAE">
            <w:pPr>
              <w:pStyle w:val="BodyText"/>
              <w:rPr>
                <w:rFonts w:asciiTheme="minorHAnsi" w:eastAsiaTheme="minorHAnsi" w:hAnsiTheme="minorHAnsi" w:cstheme="minorHAnsi"/>
                <w:sz w:val="22"/>
                <w:szCs w:val="22"/>
                <w:highlight w:val="yellow"/>
              </w:rPr>
            </w:pPr>
            <w:r w:rsidRPr="00B91AD6">
              <w:rPr>
                <w:rFonts w:asciiTheme="minorHAnsi" w:eastAsiaTheme="minorHAnsi" w:hAnsiTheme="minorHAnsi" w:cstheme="minorHAnsi"/>
                <w:sz w:val="22"/>
                <w:szCs w:val="22"/>
              </w:rPr>
              <w:t>UNDP Initiation Plan</w:t>
            </w:r>
          </w:p>
        </w:tc>
        <w:tc>
          <w:tcPr>
            <w:tcW w:w="2610" w:type="dxa"/>
          </w:tcPr>
          <w:p w14:paraId="01502141"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5BB773E9" w14:textId="77777777" w:rsidTr="00062DAE">
        <w:tc>
          <w:tcPr>
            <w:tcW w:w="988" w:type="dxa"/>
          </w:tcPr>
          <w:p w14:paraId="136A1AE1"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3</w:t>
            </w:r>
          </w:p>
        </w:tc>
        <w:tc>
          <w:tcPr>
            <w:tcW w:w="5217" w:type="dxa"/>
          </w:tcPr>
          <w:p w14:paraId="6895F33E" w14:textId="77777777" w:rsidR="002D653D" w:rsidRPr="00B91AD6" w:rsidRDefault="002D653D" w:rsidP="00062DAE">
            <w:pPr>
              <w:pStyle w:val="BodyText"/>
              <w:rPr>
                <w:rFonts w:asciiTheme="minorHAnsi" w:eastAsiaTheme="minorHAnsi" w:hAnsiTheme="minorHAnsi" w:cstheme="minorHAnsi"/>
                <w:sz w:val="22"/>
                <w:szCs w:val="22"/>
              </w:rPr>
            </w:pPr>
            <w:r w:rsidRPr="00B91AD6">
              <w:t>Final UNDP-GEF Project Document with all annexes</w:t>
            </w:r>
            <w:r w:rsidRPr="00B91AD6">
              <w:rPr>
                <w:rFonts w:asciiTheme="minorHAnsi" w:eastAsiaTheme="minorHAnsi" w:hAnsiTheme="minorHAnsi" w:cstheme="minorHAnsi"/>
                <w:sz w:val="22"/>
                <w:szCs w:val="22"/>
              </w:rPr>
              <w:t xml:space="preserve"> </w:t>
            </w:r>
          </w:p>
        </w:tc>
        <w:tc>
          <w:tcPr>
            <w:tcW w:w="2610" w:type="dxa"/>
          </w:tcPr>
          <w:p w14:paraId="5BA172A1"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 xml:space="preserve">√ </w:t>
            </w:r>
            <w:r w:rsidRPr="00B91AD6">
              <w:t>NB: please refer to the amended results framework as per the Eval. ToR.</w:t>
            </w:r>
          </w:p>
        </w:tc>
      </w:tr>
      <w:tr w:rsidR="002D653D" w:rsidRPr="00B91AD6" w14:paraId="419A0007" w14:textId="77777777" w:rsidTr="00062DAE">
        <w:tc>
          <w:tcPr>
            <w:tcW w:w="988" w:type="dxa"/>
          </w:tcPr>
          <w:p w14:paraId="27E6A14A"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4</w:t>
            </w:r>
          </w:p>
        </w:tc>
        <w:tc>
          <w:tcPr>
            <w:tcW w:w="5217" w:type="dxa"/>
          </w:tcPr>
          <w:p w14:paraId="55C66015"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CEO Project Endorsement Request</w:t>
            </w:r>
          </w:p>
        </w:tc>
        <w:tc>
          <w:tcPr>
            <w:tcW w:w="2610" w:type="dxa"/>
          </w:tcPr>
          <w:p w14:paraId="3660FB6B"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31B67334" w14:textId="77777777" w:rsidTr="00062DAE">
        <w:tc>
          <w:tcPr>
            <w:tcW w:w="988" w:type="dxa"/>
          </w:tcPr>
          <w:p w14:paraId="4BFFE34F"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5</w:t>
            </w:r>
          </w:p>
        </w:tc>
        <w:tc>
          <w:tcPr>
            <w:tcW w:w="5217" w:type="dxa"/>
            <w:shd w:val="clear" w:color="auto" w:fill="auto"/>
          </w:tcPr>
          <w:p w14:paraId="32C03494"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UNDP Social and Environmental Screening Procedure (SESP)</w:t>
            </w:r>
          </w:p>
        </w:tc>
        <w:tc>
          <w:tcPr>
            <w:tcW w:w="2610" w:type="dxa"/>
          </w:tcPr>
          <w:p w14:paraId="12ADD44E"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6B839F98" w14:textId="77777777" w:rsidTr="00062DAE">
        <w:tc>
          <w:tcPr>
            <w:tcW w:w="988" w:type="dxa"/>
          </w:tcPr>
          <w:p w14:paraId="3F6E5494"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6</w:t>
            </w:r>
          </w:p>
        </w:tc>
        <w:tc>
          <w:tcPr>
            <w:tcW w:w="5217" w:type="dxa"/>
          </w:tcPr>
          <w:p w14:paraId="06AF7E92"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 xml:space="preserve">Project Inception Report </w:t>
            </w:r>
          </w:p>
        </w:tc>
        <w:tc>
          <w:tcPr>
            <w:tcW w:w="2610" w:type="dxa"/>
          </w:tcPr>
          <w:p w14:paraId="1597617C"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345ED370" w14:textId="77777777" w:rsidTr="00062DAE">
        <w:tc>
          <w:tcPr>
            <w:tcW w:w="988" w:type="dxa"/>
          </w:tcPr>
          <w:p w14:paraId="338E8A59"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7</w:t>
            </w:r>
          </w:p>
        </w:tc>
        <w:tc>
          <w:tcPr>
            <w:tcW w:w="5217" w:type="dxa"/>
          </w:tcPr>
          <w:p w14:paraId="7E5E432F" w14:textId="77777777" w:rsidR="002D653D" w:rsidRPr="00B91AD6" w:rsidRDefault="002D653D" w:rsidP="00062DAE">
            <w:pPr>
              <w:pStyle w:val="BodyText"/>
              <w:rPr>
                <w:rFonts w:asciiTheme="minorHAnsi" w:eastAsiaTheme="minorHAnsi" w:hAnsiTheme="minorHAnsi" w:cstheme="minorHAnsi"/>
                <w:sz w:val="22"/>
                <w:szCs w:val="22"/>
              </w:rPr>
            </w:pPr>
            <w:r w:rsidRPr="00B91AD6">
              <w:t>Mid-Term Review report and management response to MTR recommendations</w:t>
            </w:r>
            <w:r w:rsidRPr="00B91AD6">
              <w:rPr>
                <w:rFonts w:asciiTheme="minorHAnsi" w:eastAsiaTheme="minorHAnsi" w:hAnsiTheme="minorHAnsi" w:cstheme="minorHAnsi"/>
                <w:sz w:val="22"/>
                <w:szCs w:val="22"/>
              </w:rPr>
              <w:t xml:space="preserve"> </w:t>
            </w:r>
          </w:p>
        </w:tc>
        <w:tc>
          <w:tcPr>
            <w:tcW w:w="2610" w:type="dxa"/>
          </w:tcPr>
          <w:p w14:paraId="01444D87"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6AECDC91" w14:textId="77777777" w:rsidTr="00062DAE">
        <w:tc>
          <w:tcPr>
            <w:tcW w:w="988" w:type="dxa"/>
          </w:tcPr>
          <w:p w14:paraId="34E24DA6"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8</w:t>
            </w:r>
          </w:p>
        </w:tc>
        <w:tc>
          <w:tcPr>
            <w:tcW w:w="5217" w:type="dxa"/>
          </w:tcPr>
          <w:p w14:paraId="68C9B61A"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All Project Implementation Reports (PIR’s)</w:t>
            </w:r>
          </w:p>
        </w:tc>
        <w:tc>
          <w:tcPr>
            <w:tcW w:w="2610" w:type="dxa"/>
          </w:tcPr>
          <w:p w14:paraId="1D5BEF0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2018, 2019, 2020, 2021</w:t>
            </w:r>
          </w:p>
        </w:tc>
      </w:tr>
      <w:tr w:rsidR="002D653D" w:rsidRPr="00B91AD6" w14:paraId="538FA2BB" w14:textId="77777777" w:rsidTr="00062DAE">
        <w:tc>
          <w:tcPr>
            <w:tcW w:w="988" w:type="dxa"/>
          </w:tcPr>
          <w:p w14:paraId="1BD69366"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9</w:t>
            </w:r>
          </w:p>
        </w:tc>
        <w:tc>
          <w:tcPr>
            <w:tcW w:w="5217" w:type="dxa"/>
            <w:shd w:val="clear" w:color="auto" w:fill="auto"/>
          </w:tcPr>
          <w:p w14:paraId="11E1791D"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Annual Reports to UNDP</w:t>
            </w:r>
          </w:p>
          <w:p w14:paraId="11F004D6"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Annual Work Plans</w:t>
            </w:r>
          </w:p>
          <w:p w14:paraId="3FF63B2B"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Combined Delivery Reports</w:t>
            </w:r>
          </w:p>
          <w:p w14:paraId="6448A7A7" w14:textId="77777777" w:rsidR="002D653D" w:rsidRPr="00B91AD6" w:rsidRDefault="002D653D" w:rsidP="00062DAE">
            <w:pPr>
              <w:rPr>
                <w:rFonts w:asciiTheme="minorHAnsi" w:hAnsiTheme="minorHAnsi" w:cstheme="minorHAnsi"/>
                <w:highlight w:val="yellow"/>
              </w:rPr>
            </w:pPr>
            <w:r w:rsidRPr="00B91AD6">
              <w:rPr>
                <w:rFonts w:asciiTheme="minorHAnsi" w:hAnsiTheme="minorHAnsi" w:cstheme="minorHAnsi"/>
              </w:rPr>
              <w:t xml:space="preserve">Quarterly Project Reports </w:t>
            </w:r>
          </w:p>
        </w:tc>
        <w:tc>
          <w:tcPr>
            <w:tcW w:w="2610" w:type="dxa"/>
          </w:tcPr>
          <w:p w14:paraId="52549300"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 xml:space="preserve">2017, 2018, 2019, 2020, </w:t>
            </w:r>
          </w:p>
          <w:p w14:paraId="11983EF8"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2018, 2019, 2020, 2021</w:t>
            </w:r>
          </w:p>
          <w:p w14:paraId="18B46D03"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2017, 2018, 2019, 2020</w:t>
            </w:r>
          </w:p>
          <w:p w14:paraId="5CC6D96A"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2018, 2019, 2020, 2021</w:t>
            </w:r>
          </w:p>
        </w:tc>
      </w:tr>
      <w:tr w:rsidR="002D653D" w:rsidRPr="00B91AD6" w14:paraId="4D67F4F7" w14:textId="77777777" w:rsidTr="00062DAE">
        <w:tc>
          <w:tcPr>
            <w:tcW w:w="988" w:type="dxa"/>
          </w:tcPr>
          <w:p w14:paraId="4862B700"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10</w:t>
            </w:r>
          </w:p>
        </w:tc>
        <w:tc>
          <w:tcPr>
            <w:tcW w:w="5217" w:type="dxa"/>
          </w:tcPr>
          <w:p w14:paraId="0E135764" w14:textId="77777777" w:rsidR="002D653D" w:rsidRPr="00B91AD6" w:rsidRDefault="002D653D" w:rsidP="00062DAE">
            <w:pPr>
              <w:jc w:val="both"/>
              <w:rPr>
                <w:rFonts w:asciiTheme="minorHAnsi" w:hAnsiTheme="minorHAnsi" w:cstheme="minorHAnsi"/>
              </w:rPr>
            </w:pPr>
            <w:r w:rsidRPr="00B91AD6">
              <w:rPr>
                <w:rFonts w:asciiTheme="minorHAnsi" w:hAnsiTheme="minorHAnsi" w:cstheme="minorHAnsi"/>
              </w:rPr>
              <w:t xml:space="preserve">Oversight mission reports  </w:t>
            </w:r>
          </w:p>
        </w:tc>
        <w:tc>
          <w:tcPr>
            <w:tcW w:w="2610" w:type="dxa"/>
          </w:tcPr>
          <w:p w14:paraId="170C496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2017, 2018, 2019, 2020</w:t>
            </w:r>
          </w:p>
        </w:tc>
      </w:tr>
      <w:tr w:rsidR="002D653D" w:rsidRPr="00B91AD6" w14:paraId="0119867F" w14:textId="77777777" w:rsidTr="00062DAE">
        <w:tc>
          <w:tcPr>
            <w:tcW w:w="988" w:type="dxa"/>
          </w:tcPr>
          <w:p w14:paraId="282D82B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11</w:t>
            </w:r>
          </w:p>
        </w:tc>
        <w:tc>
          <w:tcPr>
            <w:tcW w:w="5217" w:type="dxa"/>
          </w:tcPr>
          <w:p w14:paraId="74FBADC5" w14:textId="77777777" w:rsidR="002D653D" w:rsidRPr="00B91AD6" w:rsidRDefault="002D653D" w:rsidP="00062DAE">
            <w:pPr>
              <w:jc w:val="both"/>
              <w:rPr>
                <w:rFonts w:asciiTheme="minorHAnsi" w:hAnsiTheme="minorHAnsi" w:cstheme="minorHAnsi"/>
              </w:rPr>
            </w:pPr>
            <w:r w:rsidRPr="00B91AD6">
              <w:rPr>
                <w:rFonts w:asciiTheme="minorHAnsi" w:hAnsiTheme="minorHAnsi" w:cstheme="minorHAnsi"/>
              </w:rPr>
              <w:t>Minutes of the Project Board meetings and other meetings (i.e. Steering Committee meetings)</w:t>
            </w:r>
          </w:p>
        </w:tc>
        <w:tc>
          <w:tcPr>
            <w:tcW w:w="2610" w:type="dxa"/>
          </w:tcPr>
          <w:p w14:paraId="764646DD"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2017, 2018, 2019, 2020, 2021</w:t>
            </w:r>
          </w:p>
        </w:tc>
      </w:tr>
      <w:tr w:rsidR="002D653D" w:rsidRPr="00B91AD6" w14:paraId="46971AA5" w14:textId="77777777" w:rsidTr="00062DAE">
        <w:tc>
          <w:tcPr>
            <w:tcW w:w="988" w:type="dxa"/>
          </w:tcPr>
          <w:p w14:paraId="4B497381"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12</w:t>
            </w:r>
          </w:p>
        </w:tc>
        <w:tc>
          <w:tcPr>
            <w:tcW w:w="5217" w:type="dxa"/>
          </w:tcPr>
          <w:p w14:paraId="5BE0ECA3" w14:textId="77777777" w:rsidR="002D653D" w:rsidRPr="00B91AD6" w:rsidRDefault="002D653D" w:rsidP="00062DAE">
            <w:pPr>
              <w:jc w:val="both"/>
              <w:rPr>
                <w:rFonts w:asciiTheme="minorHAnsi" w:hAnsiTheme="minorHAnsi" w:cstheme="minorHAnsi"/>
              </w:rPr>
            </w:pPr>
            <w:r w:rsidRPr="00B91AD6">
              <w:rPr>
                <w:rFonts w:asciiTheme="minorHAnsi" w:hAnsiTheme="minorHAnsi" w:cstheme="minorHAnsi"/>
              </w:rPr>
              <w:t xml:space="preserve">GEF Tracking Tools (from CEO Endorsement) </w:t>
            </w:r>
          </w:p>
        </w:tc>
        <w:tc>
          <w:tcPr>
            <w:tcW w:w="2610" w:type="dxa"/>
          </w:tcPr>
          <w:p w14:paraId="5EE3072C"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1B4070F9" w14:textId="77777777" w:rsidTr="00062DAE">
        <w:tc>
          <w:tcPr>
            <w:tcW w:w="988" w:type="dxa"/>
          </w:tcPr>
          <w:p w14:paraId="2DE608DB"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13</w:t>
            </w:r>
          </w:p>
        </w:tc>
        <w:tc>
          <w:tcPr>
            <w:tcW w:w="5217" w:type="dxa"/>
          </w:tcPr>
          <w:p w14:paraId="6CEE7606" w14:textId="77777777" w:rsidR="002D653D" w:rsidRPr="00B91AD6" w:rsidRDefault="002D653D" w:rsidP="00062DAE">
            <w:pPr>
              <w:jc w:val="both"/>
              <w:rPr>
                <w:rFonts w:asciiTheme="minorHAnsi" w:hAnsiTheme="minorHAnsi" w:cstheme="minorHAnsi"/>
              </w:rPr>
            </w:pPr>
            <w:r w:rsidRPr="00B91AD6">
              <w:rPr>
                <w:rFonts w:asciiTheme="minorHAnsi" w:hAnsiTheme="minorHAnsi" w:cstheme="minorHAnsi"/>
              </w:rPr>
              <w:t xml:space="preserve">GEF Core Indicators </w:t>
            </w:r>
          </w:p>
        </w:tc>
        <w:tc>
          <w:tcPr>
            <w:tcW w:w="2610" w:type="dxa"/>
          </w:tcPr>
          <w:p w14:paraId="1332B46D"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185BBF66" w14:textId="77777777" w:rsidTr="00062DAE">
        <w:tc>
          <w:tcPr>
            <w:tcW w:w="988" w:type="dxa"/>
          </w:tcPr>
          <w:p w14:paraId="123ABCDA" w14:textId="77777777" w:rsidR="002D653D" w:rsidRPr="00B91AD6" w:rsidRDefault="002D653D" w:rsidP="00062DAE">
            <w:pPr>
              <w:rPr>
                <w:rFonts w:asciiTheme="minorHAnsi" w:hAnsiTheme="minorHAnsi" w:cstheme="minorHAnsi"/>
                <w:highlight w:val="yellow"/>
              </w:rPr>
            </w:pPr>
            <w:r w:rsidRPr="00B91AD6">
              <w:rPr>
                <w:rFonts w:asciiTheme="minorHAnsi" w:hAnsiTheme="minorHAnsi" w:cstheme="minorHAnsi"/>
              </w:rPr>
              <w:t>14</w:t>
            </w:r>
          </w:p>
        </w:tc>
        <w:tc>
          <w:tcPr>
            <w:tcW w:w="5217" w:type="dxa"/>
          </w:tcPr>
          <w:p w14:paraId="726BBA1B" w14:textId="77777777" w:rsidR="002D653D" w:rsidRPr="00B91AD6" w:rsidRDefault="002D653D" w:rsidP="00062DAE">
            <w:pPr>
              <w:jc w:val="both"/>
              <w:rPr>
                <w:rFonts w:asciiTheme="minorHAnsi" w:hAnsiTheme="minorHAnsi" w:cstheme="minorHAnsi"/>
                <w:highlight w:val="yellow"/>
              </w:rPr>
            </w:pPr>
            <w:r w:rsidRPr="00B91AD6">
              <w:t>Financial data, including actual expenditures by project outcome, including management costs, and including documentation of any significant budget revisions</w:t>
            </w:r>
          </w:p>
        </w:tc>
        <w:tc>
          <w:tcPr>
            <w:tcW w:w="2610" w:type="dxa"/>
          </w:tcPr>
          <w:p w14:paraId="29CF7F84"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191112DD" w14:textId="77777777" w:rsidTr="00062DAE">
        <w:tc>
          <w:tcPr>
            <w:tcW w:w="988" w:type="dxa"/>
          </w:tcPr>
          <w:p w14:paraId="12CA7ABC"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15</w:t>
            </w:r>
          </w:p>
        </w:tc>
        <w:tc>
          <w:tcPr>
            <w:tcW w:w="5217" w:type="dxa"/>
          </w:tcPr>
          <w:p w14:paraId="7CD32721" w14:textId="77777777" w:rsidR="002D653D" w:rsidRPr="00B91AD6" w:rsidRDefault="002D653D" w:rsidP="00062DAE">
            <w:pPr>
              <w:jc w:val="both"/>
              <w:rPr>
                <w:rFonts w:asciiTheme="minorHAnsi" w:hAnsiTheme="minorHAnsi" w:cstheme="minorHAnsi"/>
              </w:rPr>
            </w:pPr>
            <w:r w:rsidRPr="00B91AD6">
              <w:t>Co-financing data with expected and actual contributions broken down by type of co-financing, source, and whether the contribution is considered as investment mobilized or recurring expenditures</w:t>
            </w:r>
          </w:p>
        </w:tc>
        <w:tc>
          <w:tcPr>
            <w:tcW w:w="2610" w:type="dxa"/>
          </w:tcPr>
          <w:p w14:paraId="4B911CF7"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1E6266" w14:paraId="533F2EA6" w14:textId="77777777" w:rsidTr="00062DAE">
        <w:tc>
          <w:tcPr>
            <w:tcW w:w="988" w:type="dxa"/>
          </w:tcPr>
          <w:p w14:paraId="3F0D67AD"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16</w:t>
            </w:r>
          </w:p>
        </w:tc>
        <w:tc>
          <w:tcPr>
            <w:tcW w:w="5217" w:type="dxa"/>
          </w:tcPr>
          <w:p w14:paraId="004F24F4" w14:textId="77777777" w:rsidR="002D653D" w:rsidRPr="00B91AD6" w:rsidRDefault="002D653D" w:rsidP="00062DAE">
            <w:pPr>
              <w:jc w:val="both"/>
              <w:rPr>
                <w:rFonts w:asciiTheme="minorHAnsi" w:hAnsiTheme="minorHAnsi" w:cstheme="minorHAnsi"/>
              </w:rPr>
            </w:pPr>
            <w:r w:rsidRPr="00B91AD6">
              <w:rPr>
                <w:rFonts w:asciiTheme="minorHAnsi" w:hAnsiTheme="minorHAnsi" w:cstheme="minorHAnsi"/>
              </w:rPr>
              <w:t>Audit reports</w:t>
            </w:r>
          </w:p>
        </w:tc>
        <w:tc>
          <w:tcPr>
            <w:tcW w:w="2610" w:type="dxa"/>
          </w:tcPr>
          <w:p w14:paraId="77495497" w14:textId="77777777" w:rsidR="002D653D" w:rsidRPr="00B91AD6" w:rsidRDefault="002D653D" w:rsidP="00062DAE">
            <w:pPr>
              <w:rPr>
                <w:rFonts w:asciiTheme="minorHAnsi" w:hAnsiTheme="minorHAnsi" w:cstheme="minorHAnsi"/>
                <w:lang w:val="pt-BR"/>
              </w:rPr>
            </w:pPr>
            <w:r w:rsidRPr="00B91AD6">
              <w:rPr>
                <w:rFonts w:asciiTheme="minorHAnsi" w:hAnsiTheme="minorHAnsi" w:cstheme="minorHAnsi"/>
                <w:lang w:val="pt-BR"/>
              </w:rPr>
              <w:t xml:space="preserve">N/A </w:t>
            </w:r>
            <w:r w:rsidRPr="00B91AD6">
              <w:rPr>
                <w:lang w:val="pt-BR"/>
              </w:rPr>
              <w:t xml:space="preserve">N/A; TBC for </w:t>
            </w:r>
            <w:r w:rsidRPr="008252D8">
              <w:rPr>
                <w:lang w:val="pt-BR"/>
              </w:rPr>
              <w:t xml:space="preserve">component </w:t>
            </w:r>
            <w:r w:rsidRPr="00B91AD6">
              <w:rPr>
                <w:lang w:val="pt-BR"/>
              </w:rPr>
              <w:t>2.</w:t>
            </w:r>
          </w:p>
        </w:tc>
      </w:tr>
      <w:tr w:rsidR="002D653D" w:rsidRPr="00B91AD6" w14:paraId="5D1EBF4F" w14:textId="77777777" w:rsidTr="00062DAE">
        <w:tc>
          <w:tcPr>
            <w:tcW w:w="988" w:type="dxa"/>
          </w:tcPr>
          <w:p w14:paraId="39ED8007"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17</w:t>
            </w:r>
          </w:p>
        </w:tc>
        <w:tc>
          <w:tcPr>
            <w:tcW w:w="5217" w:type="dxa"/>
          </w:tcPr>
          <w:p w14:paraId="675571B2" w14:textId="77777777" w:rsidR="002D653D" w:rsidRPr="00B91AD6" w:rsidRDefault="002D653D" w:rsidP="00062DAE">
            <w:pPr>
              <w:jc w:val="both"/>
              <w:rPr>
                <w:rFonts w:asciiTheme="minorHAnsi" w:hAnsiTheme="minorHAnsi" w:cstheme="minorHAnsi"/>
              </w:rPr>
            </w:pPr>
            <w:r w:rsidRPr="00B91AD6">
              <w:rPr>
                <w:rFonts w:asciiTheme="minorHAnsi" w:hAnsiTheme="minorHAnsi" w:cstheme="minorHAnsi"/>
              </w:rPr>
              <w:t xml:space="preserve">Electronic copies of project outputs </w:t>
            </w:r>
            <w:r w:rsidRPr="00B91AD6">
              <w:t>(booklets, manuals, technical reports, articles, etc.)</w:t>
            </w:r>
          </w:p>
        </w:tc>
        <w:tc>
          <w:tcPr>
            <w:tcW w:w="2610" w:type="dxa"/>
          </w:tcPr>
          <w:p w14:paraId="53F79BBF"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See folder 27</w:t>
            </w:r>
          </w:p>
        </w:tc>
      </w:tr>
      <w:tr w:rsidR="002D653D" w:rsidRPr="00B91AD6" w14:paraId="0886BEF5" w14:textId="77777777" w:rsidTr="00062DAE">
        <w:tc>
          <w:tcPr>
            <w:tcW w:w="988" w:type="dxa"/>
          </w:tcPr>
          <w:p w14:paraId="7F9E1A21"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18</w:t>
            </w:r>
          </w:p>
        </w:tc>
        <w:tc>
          <w:tcPr>
            <w:tcW w:w="5217" w:type="dxa"/>
          </w:tcPr>
          <w:p w14:paraId="6F5D5B6C" w14:textId="77777777" w:rsidR="002D653D" w:rsidRPr="00B91AD6" w:rsidRDefault="002D653D" w:rsidP="00062DAE">
            <w:pPr>
              <w:jc w:val="both"/>
              <w:rPr>
                <w:rFonts w:asciiTheme="minorHAnsi" w:hAnsiTheme="minorHAnsi" w:cstheme="minorHAnsi"/>
              </w:rPr>
            </w:pPr>
            <w:r w:rsidRPr="00B91AD6">
              <w:t>Sample of project communications materials</w:t>
            </w:r>
          </w:p>
        </w:tc>
        <w:tc>
          <w:tcPr>
            <w:tcW w:w="2610" w:type="dxa"/>
          </w:tcPr>
          <w:p w14:paraId="6B892CC0"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610C7C58" w14:textId="77777777" w:rsidTr="00062DAE">
        <w:tc>
          <w:tcPr>
            <w:tcW w:w="988" w:type="dxa"/>
          </w:tcPr>
          <w:p w14:paraId="34588490"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19</w:t>
            </w:r>
          </w:p>
        </w:tc>
        <w:tc>
          <w:tcPr>
            <w:tcW w:w="5217" w:type="dxa"/>
          </w:tcPr>
          <w:p w14:paraId="42E24DB2" w14:textId="77777777" w:rsidR="002D653D" w:rsidRPr="00B91AD6" w:rsidRDefault="002D653D" w:rsidP="00062DAE">
            <w:pPr>
              <w:jc w:val="both"/>
              <w:rPr>
                <w:rFonts w:asciiTheme="minorHAnsi" w:hAnsiTheme="minorHAnsi" w:cstheme="minorHAnsi"/>
              </w:rPr>
            </w:pPr>
            <w:r w:rsidRPr="00B91AD6">
              <w:t>Summary list of formal meetings, workshops, etc. held, with date, location, topic, and number of participants</w:t>
            </w:r>
          </w:p>
        </w:tc>
        <w:tc>
          <w:tcPr>
            <w:tcW w:w="2610" w:type="dxa"/>
          </w:tcPr>
          <w:p w14:paraId="7ECB8724"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74D063E2" w14:textId="77777777" w:rsidTr="00062DAE">
        <w:tc>
          <w:tcPr>
            <w:tcW w:w="988" w:type="dxa"/>
          </w:tcPr>
          <w:p w14:paraId="370B170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20</w:t>
            </w:r>
          </w:p>
        </w:tc>
        <w:tc>
          <w:tcPr>
            <w:tcW w:w="5217" w:type="dxa"/>
          </w:tcPr>
          <w:p w14:paraId="3F7E75CD" w14:textId="77777777" w:rsidR="002D653D" w:rsidRPr="00B91AD6" w:rsidRDefault="002D653D" w:rsidP="00062DAE">
            <w:pPr>
              <w:jc w:val="both"/>
              <w:rPr>
                <w:rFonts w:asciiTheme="minorHAnsi" w:hAnsiTheme="minorHAnsi" w:cstheme="minorHAnsi"/>
                <w:lang w:val="it-IT"/>
              </w:rPr>
            </w:pPr>
            <w:r w:rsidRPr="00B91AD6">
              <w:rPr>
                <w:rFonts w:asciiTheme="minorHAnsi" w:hAnsiTheme="minorHAnsi" w:cstheme="minorHAnsi"/>
                <w:lang w:val="it-IT"/>
              </w:rPr>
              <w:t>Relevant socio-economic monitoring data</w:t>
            </w:r>
          </w:p>
        </w:tc>
        <w:tc>
          <w:tcPr>
            <w:tcW w:w="2610" w:type="dxa"/>
          </w:tcPr>
          <w:p w14:paraId="717A1DA6"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7757F0EA" w14:textId="77777777" w:rsidTr="00062DAE">
        <w:tc>
          <w:tcPr>
            <w:tcW w:w="988" w:type="dxa"/>
          </w:tcPr>
          <w:p w14:paraId="7994DB98"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21</w:t>
            </w:r>
          </w:p>
        </w:tc>
        <w:tc>
          <w:tcPr>
            <w:tcW w:w="5217" w:type="dxa"/>
          </w:tcPr>
          <w:p w14:paraId="5EB95838" w14:textId="77777777" w:rsidR="002D653D" w:rsidRPr="00B91AD6" w:rsidRDefault="002D653D" w:rsidP="00062DAE">
            <w:pPr>
              <w:pStyle w:val="BodyText"/>
              <w:rPr>
                <w:rFonts w:asciiTheme="minorHAnsi" w:eastAsiaTheme="minorHAnsi" w:hAnsiTheme="minorHAnsi" w:cstheme="minorHAnsi"/>
                <w:sz w:val="22"/>
                <w:szCs w:val="22"/>
              </w:rPr>
            </w:pPr>
            <w:r w:rsidRPr="00B91AD6">
              <w:t>List of contracts and procurement items over ~US$5,000 (i.e. organizations or companies contracted for project outputs, etc., except in cases of confidential information)</w:t>
            </w:r>
          </w:p>
        </w:tc>
        <w:tc>
          <w:tcPr>
            <w:tcW w:w="2610" w:type="dxa"/>
          </w:tcPr>
          <w:p w14:paraId="077A3BE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38DEE94C" w14:textId="77777777" w:rsidTr="00062DAE">
        <w:tc>
          <w:tcPr>
            <w:tcW w:w="988" w:type="dxa"/>
          </w:tcPr>
          <w:p w14:paraId="03C23A78"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22</w:t>
            </w:r>
          </w:p>
        </w:tc>
        <w:tc>
          <w:tcPr>
            <w:tcW w:w="5217" w:type="dxa"/>
          </w:tcPr>
          <w:p w14:paraId="4D49D201"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List of related projects/initiatives contributing to project objectives approved/started after GEF project approval</w:t>
            </w:r>
          </w:p>
        </w:tc>
        <w:tc>
          <w:tcPr>
            <w:tcW w:w="2610" w:type="dxa"/>
          </w:tcPr>
          <w:p w14:paraId="240A43FC"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739125E8" w14:textId="77777777" w:rsidTr="00062DAE">
        <w:tc>
          <w:tcPr>
            <w:tcW w:w="988" w:type="dxa"/>
          </w:tcPr>
          <w:p w14:paraId="5AA8DEC7"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lastRenderedPageBreak/>
              <w:t>23</w:t>
            </w:r>
          </w:p>
        </w:tc>
        <w:tc>
          <w:tcPr>
            <w:tcW w:w="5217" w:type="dxa"/>
          </w:tcPr>
          <w:p w14:paraId="1B774DCA" w14:textId="77777777" w:rsidR="002D653D" w:rsidRPr="00B91AD6" w:rsidRDefault="002D653D" w:rsidP="00062DAE">
            <w:pPr>
              <w:pStyle w:val="BodyText"/>
              <w:rPr>
                <w:rFonts w:asciiTheme="minorHAnsi" w:eastAsiaTheme="minorHAnsi" w:hAnsiTheme="minorHAnsi" w:cstheme="minorHAnsi"/>
                <w:sz w:val="22"/>
                <w:szCs w:val="22"/>
              </w:rPr>
            </w:pPr>
            <w:r w:rsidRPr="00B91AD6">
              <w:t>Data on relevant project website activity – e.g. number of unique visitors per month, number of page views, etc. over relevant time period, if available</w:t>
            </w:r>
          </w:p>
        </w:tc>
        <w:tc>
          <w:tcPr>
            <w:tcW w:w="2610" w:type="dxa"/>
          </w:tcPr>
          <w:p w14:paraId="4AEFFB86"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0AB8F864" w14:textId="77777777" w:rsidTr="00062DAE">
        <w:tc>
          <w:tcPr>
            <w:tcW w:w="988" w:type="dxa"/>
          </w:tcPr>
          <w:p w14:paraId="22683A8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24</w:t>
            </w:r>
          </w:p>
        </w:tc>
        <w:tc>
          <w:tcPr>
            <w:tcW w:w="5217" w:type="dxa"/>
          </w:tcPr>
          <w:p w14:paraId="13993F35"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UNDP Country Programme Document (CPD) for each country</w:t>
            </w:r>
          </w:p>
        </w:tc>
        <w:tc>
          <w:tcPr>
            <w:tcW w:w="2610" w:type="dxa"/>
          </w:tcPr>
          <w:p w14:paraId="791A8DA5"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0D8DE6F1" w14:textId="77777777" w:rsidTr="00062DAE">
        <w:tc>
          <w:tcPr>
            <w:tcW w:w="988" w:type="dxa"/>
          </w:tcPr>
          <w:p w14:paraId="751DDB2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25</w:t>
            </w:r>
          </w:p>
        </w:tc>
        <w:tc>
          <w:tcPr>
            <w:tcW w:w="5217" w:type="dxa"/>
          </w:tcPr>
          <w:p w14:paraId="156C9A25" w14:textId="77777777" w:rsidR="002D653D" w:rsidRPr="00B91AD6" w:rsidRDefault="002D653D" w:rsidP="00062DAE">
            <w:pPr>
              <w:pStyle w:val="BodyText"/>
              <w:rPr>
                <w:rFonts w:asciiTheme="minorHAnsi" w:eastAsiaTheme="minorHAnsi" w:hAnsiTheme="minorHAnsi" w:cstheme="minorHAnsi"/>
                <w:sz w:val="22"/>
                <w:szCs w:val="22"/>
              </w:rPr>
            </w:pPr>
            <w:r w:rsidRPr="00B91AD6">
              <w:rPr>
                <w:rFonts w:asciiTheme="minorHAnsi" w:eastAsiaTheme="minorHAnsi" w:hAnsiTheme="minorHAnsi" w:cstheme="minorHAnsi"/>
                <w:sz w:val="22"/>
                <w:szCs w:val="22"/>
              </w:rPr>
              <w:t>List/map of project sites, highlighting suggested visits</w:t>
            </w:r>
          </w:p>
        </w:tc>
        <w:tc>
          <w:tcPr>
            <w:tcW w:w="2610" w:type="dxa"/>
          </w:tcPr>
          <w:p w14:paraId="02623B69"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N/A</w:t>
            </w:r>
          </w:p>
        </w:tc>
      </w:tr>
      <w:tr w:rsidR="002D653D" w:rsidRPr="00B91AD6" w14:paraId="6F4765E5" w14:textId="77777777" w:rsidTr="00062DAE">
        <w:tc>
          <w:tcPr>
            <w:tcW w:w="988" w:type="dxa"/>
          </w:tcPr>
          <w:p w14:paraId="17E15D15"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26</w:t>
            </w:r>
          </w:p>
        </w:tc>
        <w:tc>
          <w:tcPr>
            <w:tcW w:w="5217" w:type="dxa"/>
          </w:tcPr>
          <w:p w14:paraId="3BBCBB95" w14:textId="77777777" w:rsidR="002D653D" w:rsidRPr="00B91AD6" w:rsidRDefault="002D653D" w:rsidP="00062DAE">
            <w:pPr>
              <w:pStyle w:val="BodyText"/>
              <w:rPr>
                <w:rFonts w:asciiTheme="minorHAnsi" w:eastAsiaTheme="minorHAnsi" w:hAnsiTheme="minorHAnsi" w:cstheme="minorHAnsi"/>
                <w:sz w:val="22"/>
                <w:szCs w:val="22"/>
              </w:rPr>
            </w:pPr>
            <w:r w:rsidRPr="00B91AD6">
              <w:t>List and contact details for project staff, key project stakeholders, including Project Board members, RTA, Project Team members, and other partners to be consulted (including GGP Organigramme)</w:t>
            </w:r>
          </w:p>
        </w:tc>
        <w:tc>
          <w:tcPr>
            <w:tcW w:w="2610" w:type="dxa"/>
          </w:tcPr>
          <w:p w14:paraId="52750B8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788B018B" w14:textId="77777777" w:rsidTr="00062DAE">
        <w:tc>
          <w:tcPr>
            <w:tcW w:w="988" w:type="dxa"/>
          </w:tcPr>
          <w:p w14:paraId="211D0312"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27</w:t>
            </w:r>
          </w:p>
        </w:tc>
        <w:tc>
          <w:tcPr>
            <w:tcW w:w="5217" w:type="dxa"/>
          </w:tcPr>
          <w:p w14:paraId="710B8D32" w14:textId="77777777" w:rsidR="002D653D" w:rsidRPr="00B91AD6" w:rsidRDefault="002D653D" w:rsidP="00062DAE">
            <w:pPr>
              <w:pStyle w:val="BodyText"/>
              <w:rPr>
                <w:rFonts w:asciiTheme="minorHAnsi" w:eastAsiaTheme="minorHAnsi" w:hAnsiTheme="minorHAnsi" w:cstheme="minorHAnsi"/>
                <w:sz w:val="22"/>
                <w:szCs w:val="22"/>
              </w:rPr>
            </w:pPr>
            <w:r w:rsidRPr="00B91AD6">
              <w:t>Project deliverables that provide documentary evidence of achievement towards project outcomes</w:t>
            </w:r>
          </w:p>
        </w:tc>
        <w:tc>
          <w:tcPr>
            <w:tcW w:w="2610" w:type="dxa"/>
          </w:tcPr>
          <w:p w14:paraId="6334B830"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r w:rsidR="002D653D" w:rsidRPr="00B91AD6" w14:paraId="71EA2184" w14:textId="77777777" w:rsidTr="00062DAE">
        <w:tc>
          <w:tcPr>
            <w:tcW w:w="988" w:type="dxa"/>
          </w:tcPr>
          <w:p w14:paraId="07C73839"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28</w:t>
            </w:r>
          </w:p>
        </w:tc>
        <w:tc>
          <w:tcPr>
            <w:tcW w:w="5217" w:type="dxa"/>
          </w:tcPr>
          <w:p w14:paraId="00C4869A" w14:textId="77777777" w:rsidR="002D653D" w:rsidRPr="00B91AD6" w:rsidRDefault="002D653D" w:rsidP="00062DAE">
            <w:pPr>
              <w:rPr>
                <w:rFonts w:asciiTheme="minorHAnsi" w:hAnsiTheme="minorHAnsi" w:cstheme="minorHAnsi"/>
              </w:rPr>
            </w:pPr>
            <w:r w:rsidRPr="00B91AD6">
              <w:rPr>
                <w:i/>
                <w:iCs/>
              </w:rPr>
              <w:t>Any other additional documents, as relevant</w:t>
            </w:r>
            <w:r w:rsidRPr="00B91AD6">
              <w:rPr>
                <w:rFonts w:asciiTheme="minorHAnsi" w:hAnsiTheme="minorHAnsi" w:cstheme="minorHAnsi"/>
              </w:rPr>
              <w:t xml:space="preserve"> Other relevant documents: Lessons Learnt</w:t>
            </w:r>
          </w:p>
        </w:tc>
        <w:tc>
          <w:tcPr>
            <w:tcW w:w="2610" w:type="dxa"/>
          </w:tcPr>
          <w:p w14:paraId="0E6C75A6" w14:textId="77777777" w:rsidR="002D653D" w:rsidRPr="00B91AD6" w:rsidRDefault="002D653D" w:rsidP="00062DAE">
            <w:pPr>
              <w:rPr>
                <w:rFonts w:asciiTheme="minorHAnsi" w:hAnsiTheme="minorHAnsi" w:cstheme="minorHAnsi"/>
              </w:rPr>
            </w:pPr>
            <w:r w:rsidRPr="00B91AD6">
              <w:rPr>
                <w:rFonts w:asciiTheme="minorHAnsi" w:hAnsiTheme="minorHAnsi" w:cstheme="minorHAnsi"/>
              </w:rPr>
              <w:t>√√</w:t>
            </w:r>
          </w:p>
        </w:tc>
      </w:tr>
    </w:tbl>
    <w:p w14:paraId="3E14C3D8" w14:textId="77777777" w:rsidR="002D653D" w:rsidRDefault="002D653D" w:rsidP="002D653D">
      <w:pPr>
        <w:rPr>
          <w:lang w:val="fr-FR"/>
        </w:rPr>
      </w:pPr>
    </w:p>
    <w:p w14:paraId="61EAC00A" w14:textId="77777777" w:rsidR="00166826" w:rsidRDefault="002D653D" w:rsidP="002D653D">
      <w:pPr>
        <w:rPr>
          <w:lang w:val="fr-FR"/>
        </w:rPr>
      </w:pPr>
      <w:r>
        <w:rPr>
          <w:lang w:val="fr-FR"/>
        </w:rPr>
        <w:br w:type="page"/>
      </w:r>
    </w:p>
    <w:p w14:paraId="06B9B471" w14:textId="77777777" w:rsidR="00166826" w:rsidRDefault="00166826" w:rsidP="002D653D">
      <w:pPr>
        <w:rPr>
          <w:lang w:val="fr-FR"/>
        </w:rPr>
        <w:sectPr w:rsidR="00166826" w:rsidSect="007E3A78">
          <w:pgSz w:w="12240" w:h="15840"/>
          <w:pgMar w:top="1440" w:right="1080" w:bottom="1440" w:left="1080" w:header="0" w:footer="936" w:gutter="0"/>
          <w:cols w:space="720"/>
          <w:docGrid w:linePitch="299"/>
        </w:sectPr>
      </w:pPr>
    </w:p>
    <w:p w14:paraId="04596914" w14:textId="7520CF32" w:rsidR="00166826" w:rsidRDefault="00166826" w:rsidP="002D653D">
      <w:pPr>
        <w:rPr>
          <w:lang w:val="fr-FR"/>
        </w:rPr>
      </w:pPr>
    </w:p>
    <w:p w14:paraId="2749C3F8" w14:textId="03201CF8" w:rsidR="00166826" w:rsidRDefault="00166826" w:rsidP="00166826">
      <w:pPr>
        <w:pStyle w:val="Heading2"/>
      </w:pPr>
      <w:bookmarkStart w:id="130" w:name="_Annex_8._Evaluation"/>
      <w:bookmarkStart w:id="131" w:name="_Toc87991187"/>
      <w:bookmarkStart w:id="132" w:name="_Toc88151447"/>
      <w:bookmarkStart w:id="133" w:name="_Toc96772519"/>
      <w:bookmarkEnd w:id="130"/>
      <w:r>
        <w:t>Annex 8. Evaluation Matrix</w:t>
      </w:r>
      <w:bookmarkEnd w:id="131"/>
      <w:bookmarkEnd w:id="132"/>
      <w:bookmarkEnd w:id="133"/>
    </w:p>
    <w:tbl>
      <w:tblPr>
        <w:tblW w:w="14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35"/>
        <w:gridCol w:w="3595"/>
        <w:gridCol w:w="2864"/>
        <w:gridCol w:w="2256"/>
        <w:gridCol w:w="15"/>
        <w:gridCol w:w="2544"/>
        <w:gridCol w:w="18"/>
        <w:gridCol w:w="24"/>
      </w:tblGrid>
      <w:tr w:rsidR="00166826" w:rsidRPr="00654AD3" w14:paraId="420C0379" w14:textId="77777777" w:rsidTr="00062DAE">
        <w:trPr>
          <w:gridAfter w:val="2"/>
          <w:wAfter w:w="42" w:type="dxa"/>
          <w:trHeight w:val="645"/>
          <w:tblHeader/>
        </w:trPr>
        <w:tc>
          <w:tcPr>
            <w:tcW w:w="3235" w:type="dxa"/>
            <w:tcBorders>
              <w:top w:val="single" w:sz="4" w:space="0" w:color="auto"/>
            </w:tcBorders>
            <w:shd w:val="clear" w:color="auto" w:fill="F2F2F2" w:themeFill="background1" w:themeFillShade="F2"/>
            <w:vAlign w:val="center"/>
            <w:hideMark/>
          </w:tcPr>
          <w:p w14:paraId="53EFBDEF" w14:textId="77777777" w:rsidR="00166826" w:rsidRPr="00654AD3" w:rsidRDefault="00166826" w:rsidP="00062DAE">
            <w:pPr>
              <w:spacing w:after="0" w:line="240" w:lineRule="auto"/>
              <w:rPr>
                <w:rFonts w:asciiTheme="minorHAnsi" w:eastAsiaTheme="minorHAnsi" w:hAnsiTheme="minorHAnsi" w:cstheme="minorHAnsi"/>
                <w:b/>
                <w:bCs/>
                <w:sz w:val="20"/>
                <w:szCs w:val="20"/>
              </w:rPr>
            </w:pPr>
            <w:r w:rsidRPr="00654AD3">
              <w:rPr>
                <w:rFonts w:asciiTheme="minorHAnsi" w:eastAsiaTheme="minorHAnsi" w:hAnsiTheme="minorHAnsi" w:cstheme="minorHAnsi"/>
                <w:b/>
                <w:bCs/>
                <w:sz w:val="20"/>
                <w:szCs w:val="20"/>
              </w:rPr>
              <w:t>Evaluative Criteria Questions</w:t>
            </w:r>
          </w:p>
        </w:tc>
        <w:tc>
          <w:tcPr>
            <w:tcW w:w="3595" w:type="dxa"/>
            <w:tcBorders>
              <w:top w:val="single" w:sz="4" w:space="0" w:color="auto"/>
            </w:tcBorders>
            <w:shd w:val="clear" w:color="auto" w:fill="F2F2F2" w:themeFill="background1" w:themeFillShade="F2"/>
            <w:vAlign w:val="center"/>
            <w:hideMark/>
          </w:tcPr>
          <w:p w14:paraId="2F56668C" w14:textId="77777777" w:rsidR="00166826" w:rsidRPr="00654AD3" w:rsidRDefault="00166826" w:rsidP="00062DAE">
            <w:pPr>
              <w:spacing w:after="0" w:line="240" w:lineRule="auto"/>
              <w:rPr>
                <w:rFonts w:asciiTheme="minorHAnsi" w:eastAsiaTheme="minorHAnsi" w:hAnsiTheme="minorHAnsi" w:cstheme="minorHAnsi"/>
                <w:b/>
                <w:bCs/>
                <w:sz w:val="20"/>
                <w:szCs w:val="20"/>
              </w:rPr>
            </w:pPr>
            <w:r w:rsidRPr="00654AD3">
              <w:rPr>
                <w:rFonts w:asciiTheme="minorHAnsi" w:eastAsiaTheme="minorHAnsi" w:hAnsiTheme="minorHAnsi" w:cstheme="minorHAnsi"/>
                <w:b/>
                <w:bCs/>
                <w:sz w:val="20"/>
                <w:szCs w:val="20"/>
              </w:rPr>
              <w:t>Evaluative Criteria Sub-questions</w:t>
            </w:r>
          </w:p>
        </w:tc>
        <w:tc>
          <w:tcPr>
            <w:tcW w:w="2864" w:type="dxa"/>
            <w:tcBorders>
              <w:top w:val="single" w:sz="4" w:space="0" w:color="auto"/>
            </w:tcBorders>
            <w:shd w:val="clear" w:color="auto" w:fill="F2F2F2" w:themeFill="background1" w:themeFillShade="F2"/>
            <w:vAlign w:val="center"/>
            <w:hideMark/>
          </w:tcPr>
          <w:p w14:paraId="20A8D1D7" w14:textId="77777777" w:rsidR="00166826" w:rsidRPr="00654AD3" w:rsidRDefault="00166826" w:rsidP="00062DAE">
            <w:pPr>
              <w:spacing w:after="0" w:line="240" w:lineRule="auto"/>
              <w:rPr>
                <w:rFonts w:asciiTheme="minorHAnsi" w:eastAsiaTheme="minorHAnsi" w:hAnsiTheme="minorHAnsi" w:cstheme="minorHAnsi"/>
                <w:b/>
                <w:bCs/>
                <w:sz w:val="20"/>
                <w:szCs w:val="20"/>
              </w:rPr>
            </w:pPr>
            <w:r w:rsidRPr="00654AD3">
              <w:rPr>
                <w:rFonts w:asciiTheme="minorHAnsi" w:eastAsiaTheme="minorHAnsi" w:hAnsiTheme="minorHAnsi" w:cstheme="minorHAnsi"/>
                <w:b/>
                <w:bCs/>
                <w:sz w:val="20"/>
                <w:szCs w:val="20"/>
              </w:rPr>
              <w:t>Indicators</w:t>
            </w:r>
          </w:p>
        </w:tc>
        <w:tc>
          <w:tcPr>
            <w:tcW w:w="2256" w:type="dxa"/>
            <w:tcBorders>
              <w:top w:val="single" w:sz="4" w:space="0" w:color="auto"/>
            </w:tcBorders>
            <w:shd w:val="clear" w:color="auto" w:fill="F2F2F2" w:themeFill="background1" w:themeFillShade="F2"/>
            <w:vAlign w:val="center"/>
            <w:hideMark/>
          </w:tcPr>
          <w:p w14:paraId="0786FBCD" w14:textId="77777777" w:rsidR="00166826" w:rsidRPr="00654AD3" w:rsidRDefault="00166826" w:rsidP="00062DAE">
            <w:pPr>
              <w:spacing w:after="0" w:line="240" w:lineRule="auto"/>
              <w:rPr>
                <w:rFonts w:asciiTheme="minorHAnsi" w:eastAsiaTheme="minorHAnsi" w:hAnsiTheme="minorHAnsi" w:cstheme="minorHAnsi"/>
                <w:b/>
                <w:bCs/>
                <w:sz w:val="20"/>
                <w:szCs w:val="20"/>
              </w:rPr>
            </w:pPr>
            <w:r w:rsidRPr="00654AD3">
              <w:rPr>
                <w:rFonts w:asciiTheme="minorHAnsi" w:eastAsiaTheme="minorHAnsi" w:hAnsiTheme="minorHAnsi" w:cstheme="minorHAnsi"/>
                <w:b/>
                <w:bCs/>
                <w:sz w:val="20"/>
                <w:szCs w:val="20"/>
              </w:rPr>
              <w:t>Sources of Info.</w:t>
            </w:r>
          </w:p>
        </w:tc>
        <w:tc>
          <w:tcPr>
            <w:tcW w:w="2559" w:type="dxa"/>
            <w:gridSpan w:val="2"/>
            <w:tcBorders>
              <w:top w:val="single" w:sz="4" w:space="0" w:color="auto"/>
            </w:tcBorders>
            <w:shd w:val="clear" w:color="auto" w:fill="F2F2F2" w:themeFill="background1" w:themeFillShade="F2"/>
            <w:vAlign w:val="center"/>
            <w:hideMark/>
          </w:tcPr>
          <w:p w14:paraId="6076A104" w14:textId="77777777" w:rsidR="00166826" w:rsidRPr="00654AD3" w:rsidRDefault="00166826" w:rsidP="00062DAE">
            <w:pPr>
              <w:spacing w:after="0" w:line="240" w:lineRule="auto"/>
              <w:rPr>
                <w:rFonts w:asciiTheme="minorHAnsi" w:eastAsiaTheme="minorHAnsi" w:hAnsiTheme="minorHAnsi" w:cstheme="minorHAnsi"/>
                <w:b/>
                <w:bCs/>
                <w:sz w:val="20"/>
                <w:szCs w:val="20"/>
              </w:rPr>
            </w:pPr>
            <w:r w:rsidRPr="00654AD3">
              <w:rPr>
                <w:rFonts w:asciiTheme="minorHAnsi" w:eastAsiaTheme="minorHAnsi" w:hAnsiTheme="minorHAnsi" w:cstheme="minorHAnsi"/>
                <w:b/>
                <w:bCs/>
                <w:sz w:val="20"/>
                <w:szCs w:val="20"/>
              </w:rPr>
              <w:t>Methodology</w:t>
            </w:r>
          </w:p>
        </w:tc>
      </w:tr>
      <w:tr w:rsidR="00166826" w:rsidRPr="00654AD3" w14:paraId="06FA7AC6" w14:textId="77777777" w:rsidTr="00062DAE">
        <w:trPr>
          <w:gridAfter w:val="2"/>
          <w:wAfter w:w="42" w:type="dxa"/>
          <w:trHeight w:val="493"/>
        </w:trPr>
        <w:tc>
          <w:tcPr>
            <w:tcW w:w="14509" w:type="dxa"/>
            <w:gridSpan w:val="6"/>
            <w:shd w:val="clear" w:color="000000" w:fill="DDD9C3"/>
            <w:vAlign w:val="center"/>
          </w:tcPr>
          <w:p w14:paraId="61EE1DCF"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i/>
                <w:iCs/>
                <w:sz w:val="20"/>
                <w:szCs w:val="20"/>
                <w:lang w:bidi="en-US"/>
              </w:rPr>
              <w:t>Relevance: How does the project relate to the main objectives of the GEF Focal area, and to the environment and development priorities at the local, regional and national level?</w:t>
            </w:r>
          </w:p>
        </w:tc>
      </w:tr>
      <w:tr w:rsidR="00166826" w:rsidRPr="00654AD3" w14:paraId="12B28EBA" w14:textId="77777777" w:rsidTr="00062DAE">
        <w:trPr>
          <w:gridAfter w:val="2"/>
          <w:wAfter w:w="42" w:type="dxa"/>
          <w:trHeight w:val="530"/>
        </w:trPr>
        <w:tc>
          <w:tcPr>
            <w:tcW w:w="3235" w:type="dxa"/>
            <w:shd w:val="clear" w:color="auto" w:fill="auto"/>
          </w:tcPr>
          <w:p w14:paraId="5244B8F9" w14:textId="77777777" w:rsidR="00166826" w:rsidRPr="00654AD3" w:rsidRDefault="00166826" w:rsidP="00062DAE">
            <w:pPr>
              <w:widowControl w:val="0"/>
              <w:autoSpaceDE w:val="0"/>
              <w:autoSpaceDN w:val="0"/>
              <w:spacing w:after="120" w:line="240" w:lineRule="auto"/>
              <w:ind w:left="16"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To what extent did the project provide added value to the implementation of the other GGP child projects? How does this compare with what expected at project design phase?</w:t>
            </w:r>
          </w:p>
        </w:tc>
        <w:tc>
          <w:tcPr>
            <w:tcW w:w="3595" w:type="dxa"/>
            <w:shd w:val="clear" w:color="auto" w:fill="auto"/>
            <w:vAlign w:val="center"/>
          </w:tcPr>
          <w:p w14:paraId="3179076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project successful in adapting its integrator role to the evolving and emerging needs of the GGP programme throughout implementation? To what extent?</w:t>
            </w:r>
          </w:p>
        </w:tc>
        <w:tc>
          <w:tcPr>
            <w:tcW w:w="2864" w:type="dxa"/>
            <w:shd w:val="clear" w:color="auto" w:fill="auto"/>
          </w:tcPr>
          <w:p w14:paraId="0B1D667E"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jc w:val="both"/>
              <w:rPr>
                <w:rFonts w:asciiTheme="minorHAns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documentation.</w:t>
            </w:r>
          </w:p>
          <w:p w14:paraId="01F1971D"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jc w:val="both"/>
              <w:rPr>
                <w:rFonts w:asciiTheme="minorHAns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Relevant stakeholders.</w:t>
            </w:r>
          </w:p>
        </w:tc>
        <w:tc>
          <w:tcPr>
            <w:tcW w:w="2256" w:type="dxa"/>
            <w:shd w:val="clear" w:color="auto" w:fill="auto"/>
          </w:tcPr>
          <w:p w14:paraId="2C3EF4E0"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Project documentation. </w:t>
            </w:r>
          </w:p>
          <w:p w14:paraId="0644F7D8"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Relevant stakeholders;</w:t>
            </w:r>
          </w:p>
        </w:tc>
        <w:tc>
          <w:tcPr>
            <w:tcW w:w="2559" w:type="dxa"/>
            <w:gridSpan w:val="2"/>
            <w:shd w:val="clear" w:color="auto" w:fill="auto"/>
          </w:tcPr>
          <w:p w14:paraId="1EE4C202"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Desk review.</w:t>
            </w:r>
          </w:p>
          <w:p w14:paraId="48F38478"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 Key Informant Interviews (KIIs)</w:t>
            </w:r>
          </w:p>
          <w:p w14:paraId="412DBCD8"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 Focus Group Discussions (FGDs)</w:t>
            </w:r>
          </w:p>
        </w:tc>
      </w:tr>
      <w:tr w:rsidR="00166826" w:rsidRPr="00654AD3" w14:paraId="7B2073CA" w14:textId="77777777" w:rsidTr="00062DAE">
        <w:trPr>
          <w:gridAfter w:val="2"/>
          <w:wAfter w:w="42" w:type="dxa"/>
          <w:trHeight w:val="530"/>
        </w:trPr>
        <w:tc>
          <w:tcPr>
            <w:tcW w:w="3235" w:type="dxa"/>
            <w:vMerge w:val="restart"/>
            <w:shd w:val="clear" w:color="auto" w:fill="auto"/>
          </w:tcPr>
          <w:p w14:paraId="671A2A65" w14:textId="77777777" w:rsidR="00166826" w:rsidRPr="00654AD3" w:rsidRDefault="00166826" w:rsidP="00062DAE">
            <w:pPr>
              <w:widowControl w:val="0"/>
              <w:autoSpaceDE w:val="0"/>
              <w:autoSpaceDN w:val="0"/>
              <w:spacing w:after="120" w:line="240" w:lineRule="auto"/>
              <w:ind w:left="16"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project successful in supporting the child projects in adapting to emerging national priorities?</w:t>
            </w:r>
          </w:p>
        </w:tc>
        <w:tc>
          <w:tcPr>
            <w:tcW w:w="3595" w:type="dxa"/>
            <w:shd w:val="clear" w:color="auto" w:fill="auto"/>
            <w:vAlign w:val="center"/>
          </w:tcPr>
          <w:p w14:paraId="71D940B3"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How has the project supported programme-level adaptations to emerging national priorities of policies? ? </w:t>
            </w:r>
          </w:p>
          <w:p w14:paraId="36941554"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p>
        </w:tc>
        <w:tc>
          <w:tcPr>
            <w:tcW w:w="2864" w:type="dxa"/>
            <w:shd w:val="clear" w:color="auto" w:fill="auto"/>
          </w:tcPr>
          <w:p w14:paraId="6A030C8F" w14:textId="77777777" w:rsidR="00166826" w:rsidRPr="00654AD3" w:rsidRDefault="00166826" w:rsidP="00062DAE">
            <w:pPr>
              <w:widowControl w:val="0"/>
              <w:autoSpaceDE w:val="0"/>
              <w:autoSpaceDN w:val="0"/>
              <w:spacing w:after="0" w:line="240" w:lineRule="auto"/>
              <w:rPr>
                <w:rFonts w:asciiTheme="minorHAnsi" w:hAnsiTheme="minorHAnsi" w:cstheme="minorHAnsi"/>
                <w:sz w:val="20"/>
                <w:szCs w:val="20"/>
                <w:lang w:eastAsia="en-US" w:bidi="en-US"/>
              </w:rPr>
            </w:pPr>
          </w:p>
          <w:p w14:paraId="1205AA03" w14:textId="77777777" w:rsidR="00166826" w:rsidRPr="00654AD3" w:rsidRDefault="00166826" w:rsidP="00062DAE">
            <w:pPr>
              <w:widowControl w:val="0"/>
              <w:autoSpaceDE w:val="0"/>
              <w:autoSpaceDN w:val="0"/>
              <w:spacing w:after="0" w:line="240" w:lineRule="auto"/>
              <w:rPr>
                <w:rFonts w:asciiTheme="minorHAnsi" w:hAnsiTheme="minorHAnsi" w:cstheme="minorHAnsi"/>
                <w:sz w:val="20"/>
                <w:szCs w:val="20"/>
                <w:lang w:eastAsia="en-US" w:bidi="en-US"/>
              </w:rPr>
            </w:pPr>
            <w:r w:rsidRPr="00654AD3">
              <w:rPr>
                <w:rFonts w:asciiTheme="minorHAnsi" w:hAnsiTheme="minorHAnsi" w:cstheme="minorHAnsi"/>
                <w:sz w:val="20"/>
                <w:szCs w:val="20"/>
                <w:lang w:eastAsia="en-US" w:bidi="en-US"/>
              </w:rPr>
              <w:t xml:space="preserve">Presence or absence of changes in implementation strategy based on external and internal (to GGP) emerging priorities.  </w:t>
            </w:r>
          </w:p>
        </w:tc>
        <w:tc>
          <w:tcPr>
            <w:tcW w:w="2256" w:type="dxa"/>
            <w:shd w:val="clear" w:color="auto" w:fill="auto"/>
          </w:tcPr>
          <w:p w14:paraId="7E57E351"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Adaptive Management Log documentation </w:t>
            </w:r>
          </w:p>
          <w:p w14:paraId="0CB89D67"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Child Project Management</w:t>
            </w:r>
          </w:p>
          <w:p w14:paraId="217B3F61"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National Agency or sector representatives or counterparts. </w:t>
            </w:r>
          </w:p>
          <w:p w14:paraId="103B203E"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Platform Managers from Production Project</w:t>
            </w:r>
          </w:p>
        </w:tc>
        <w:tc>
          <w:tcPr>
            <w:tcW w:w="2559" w:type="dxa"/>
            <w:gridSpan w:val="2"/>
            <w:shd w:val="clear" w:color="auto" w:fill="auto"/>
          </w:tcPr>
          <w:p w14:paraId="4750A03F"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Scoping for changing priorities post-COVID that could accelerate rates of deforestation via expanded commodity financing or economic stimulus and documented adaptations.</w:t>
            </w:r>
          </w:p>
        </w:tc>
      </w:tr>
      <w:tr w:rsidR="00166826" w:rsidRPr="00654AD3" w14:paraId="66C63E77" w14:textId="77777777" w:rsidTr="00062DAE">
        <w:trPr>
          <w:gridAfter w:val="2"/>
          <w:wAfter w:w="42" w:type="dxa"/>
          <w:trHeight w:val="1575"/>
        </w:trPr>
        <w:tc>
          <w:tcPr>
            <w:tcW w:w="3235" w:type="dxa"/>
            <w:vMerge/>
            <w:shd w:val="clear" w:color="auto" w:fill="auto"/>
          </w:tcPr>
          <w:p w14:paraId="27070398" w14:textId="77777777" w:rsidR="00166826" w:rsidRPr="00654AD3" w:rsidRDefault="00166826" w:rsidP="00062DAE">
            <w:pPr>
              <w:widowControl w:val="0"/>
              <w:autoSpaceDE w:val="0"/>
              <w:autoSpaceDN w:val="0"/>
              <w:spacing w:before="20" w:after="120" w:line="240" w:lineRule="auto"/>
              <w:ind w:left="16"/>
              <w:rPr>
                <w:rFonts w:asciiTheme="minorHAnsi" w:eastAsia="Segoe UI" w:hAnsiTheme="minorHAnsi" w:cstheme="minorHAnsi"/>
                <w:sz w:val="20"/>
                <w:szCs w:val="20"/>
                <w:lang w:eastAsia="en-US" w:bidi="en-US"/>
              </w:rPr>
            </w:pPr>
          </w:p>
        </w:tc>
        <w:tc>
          <w:tcPr>
            <w:tcW w:w="3595" w:type="dxa"/>
            <w:shd w:val="clear" w:color="auto" w:fill="auto"/>
            <w:vAlign w:val="center"/>
          </w:tcPr>
          <w:p w14:paraId="5321B7C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To what extend did the A&amp;L project support the programme´s effort to adapt to the operational context resulting from the outbreak of the COVID-19 pandemic? </w:t>
            </w:r>
          </w:p>
        </w:tc>
        <w:tc>
          <w:tcPr>
            <w:tcW w:w="2864" w:type="dxa"/>
            <w:shd w:val="clear" w:color="auto" w:fill="auto"/>
          </w:tcPr>
          <w:p w14:paraId="4F9369A3" w14:textId="77777777" w:rsidR="00166826" w:rsidRPr="00654AD3" w:rsidRDefault="00166826" w:rsidP="00062DAE">
            <w:pPr>
              <w:widowControl w:val="0"/>
              <w:autoSpaceDE w:val="0"/>
              <w:autoSpaceDN w:val="0"/>
              <w:spacing w:after="120" w:line="240" w:lineRule="auto"/>
              <w:rPr>
                <w:rFonts w:asciiTheme="minorHAnsi" w:eastAsia="Segoe UI" w:hAnsiTheme="minorHAnsi" w:cstheme="minorHAnsi"/>
                <w:sz w:val="20"/>
                <w:szCs w:val="20"/>
                <w:lang w:eastAsia="en-US" w:bidi="en-US"/>
              </w:rPr>
            </w:pPr>
            <w:r w:rsidRPr="00654AD3">
              <w:rPr>
                <w:rFonts w:asciiTheme="minorHAnsi" w:hAnsiTheme="minorHAnsi" w:cstheme="minorHAnsi"/>
                <w:sz w:val="20"/>
                <w:szCs w:val="20"/>
                <w:lang w:eastAsia="en-US" w:bidi="en-US"/>
              </w:rPr>
              <w:t>Trendline and total quarterly budget execution</w:t>
            </w:r>
          </w:p>
        </w:tc>
        <w:tc>
          <w:tcPr>
            <w:tcW w:w="2256" w:type="dxa"/>
            <w:shd w:val="clear" w:color="auto" w:fill="auto"/>
          </w:tcPr>
          <w:p w14:paraId="65487C1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Quarterly budget execution per component and Project Management pre. during and post COVID. </w:t>
            </w:r>
          </w:p>
        </w:tc>
        <w:tc>
          <w:tcPr>
            <w:tcW w:w="2559" w:type="dxa"/>
            <w:gridSpan w:val="2"/>
            <w:shd w:val="clear" w:color="auto" w:fill="auto"/>
          </w:tcPr>
          <w:p w14:paraId="28CD4B15"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Analysis of changes in project execution quarterly budget execution pre and post COVID-19</w:t>
            </w:r>
          </w:p>
        </w:tc>
      </w:tr>
      <w:tr w:rsidR="00166826" w:rsidRPr="00654AD3" w14:paraId="2575359D" w14:textId="77777777" w:rsidTr="00062DAE">
        <w:trPr>
          <w:gridAfter w:val="2"/>
          <w:wAfter w:w="42" w:type="dxa"/>
          <w:trHeight w:val="1575"/>
        </w:trPr>
        <w:tc>
          <w:tcPr>
            <w:tcW w:w="3235" w:type="dxa"/>
            <w:shd w:val="clear" w:color="auto" w:fill="auto"/>
          </w:tcPr>
          <w:p w14:paraId="5E575344" w14:textId="77777777" w:rsidR="00166826" w:rsidRPr="00654AD3" w:rsidRDefault="00166826" w:rsidP="00062DAE">
            <w:pPr>
              <w:widowControl w:val="0"/>
              <w:autoSpaceDE w:val="0"/>
              <w:autoSpaceDN w:val="0"/>
              <w:spacing w:before="20" w:after="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How did the project support the GEF focal area(s) and other priority targets?</w:t>
            </w:r>
          </w:p>
        </w:tc>
        <w:tc>
          <w:tcPr>
            <w:tcW w:w="3595" w:type="dxa"/>
            <w:shd w:val="clear" w:color="auto" w:fill="auto"/>
            <w:vAlign w:val="center"/>
          </w:tcPr>
          <w:p w14:paraId="5722311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How did the sector-relevant country representatives and decision-makers participate in the project´s decision-making process? </w:t>
            </w:r>
          </w:p>
          <w:p w14:paraId="55C233F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 xml:space="preserve">Does the upstream-downstream communications process within </w:t>
            </w:r>
            <w:r w:rsidRPr="00654AD3">
              <w:rPr>
                <w:rFonts w:asciiTheme="minorHAnsi" w:eastAsia="Segoe UI" w:hAnsiTheme="minorHAnsi" w:cstheme="minorHAnsi"/>
                <w:sz w:val="20"/>
                <w:szCs w:val="20"/>
                <w:lang w:eastAsia="en-US" w:bidi="en-US"/>
              </w:rPr>
              <w:lastRenderedPageBreak/>
              <w:t>A&amp;L illuminate support to the focal areas? to changing priorities?</w:t>
            </w:r>
          </w:p>
        </w:tc>
        <w:tc>
          <w:tcPr>
            <w:tcW w:w="2864" w:type="dxa"/>
            <w:shd w:val="clear" w:color="auto" w:fill="auto"/>
          </w:tcPr>
          <w:p w14:paraId="164F96AB"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p>
          <w:p w14:paraId="0653EA1A"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Collective Contribution to GEF Core Indicators, SDGs, AICHI targets, determined by A&amp;L.</w:t>
            </w:r>
          </w:p>
        </w:tc>
        <w:tc>
          <w:tcPr>
            <w:tcW w:w="2256" w:type="dxa"/>
            <w:shd w:val="clear" w:color="auto" w:fill="auto"/>
          </w:tcPr>
          <w:p w14:paraId="5C48A1F7"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Composition of child project steering committees</w:t>
            </w:r>
          </w:p>
          <w:p w14:paraId="697A553F"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List of attendees Good Growth Conferences, and International and national </w:t>
            </w:r>
            <w:r w:rsidRPr="00654AD3">
              <w:rPr>
                <w:rFonts w:asciiTheme="minorHAnsi" w:eastAsia="Segoe UI" w:hAnsiTheme="minorHAnsi" w:cstheme="minorHAnsi"/>
                <w:i/>
                <w:iCs/>
                <w:sz w:val="20"/>
                <w:szCs w:val="20"/>
                <w:lang w:eastAsia="en-US" w:bidi="en-US"/>
              </w:rPr>
              <w:t xml:space="preserve">fora e.g. </w:t>
            </w:r>
            <w:r w:rsidRPr="00654AD3">
              <w:rPr>
                <w:rFonts w:asciiTheme="minorHAnsi" w:eastAsia="Segoe UI" w:hAnsiTheme="minorHAnsi" w:cstheme="minorHAnsi"/>
                <w:sz w:val="20"/>
                <w:szCs w:val="20"/>
                <w:lang w:eastAsia="en-US" w:bidi="en-US"/>
              </w:rPr>
              <w:lastRenderedPageBreak/>
              <w:t>RSPO</w:t>
            </w:r>
          </w:p>
          <w:p w14:paraId="15254DE5"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GEF Focal Area Core Indicators</w:t>
            </w:r>
          </w:p>
          <w:p w14:paraId="532A1545"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SDGs, AICHI, NDCs</w:t>
            </w:r>
          </w:p>
        </w:tc>
        <w:tc>
          <w:tcPr>
            <w:tcW w:w="2559" w:type="dxa"/>
            <w:gridSpan w:val="2"/>
            <w:shd w:val="clear" w:color="auto" w:fill="auto"/>
          </w:tcPr>
          <w:p w14:paraId="107ED20F"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lastRenderedPageBreak/>
              <w:t xml:space="preserve">Test the upstream and downstream communication between the A&amp;L Community of Practice and national decision-makers. </w:t>
            </w:r>
          </w:p>
          <w:p w14:paraId="6C4D42B1"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6B0477CF"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lastRenderedPageBreak/>
              <w:t xml:space="preserve">Attendance in national and international, commodity specific </w:t>
            </w:r>
            <w:r w:rsidRPr="00654AD3">
              <w:rPr>
                <w:rFonts w:asciiTheme="minorHAnsi" w:eastAsiaTheme="minorHAnsi" w:hAnsiTheme="minorHAnsi" w:cstheme="minorHAnsi"/>
                <w:i/>
                <w:iCs/>
                <w:sz w:val="20"/>
                <w:szCs w:val="20"/>
                <w:lang w:eastAsia="en-US"/>
              </w:rPr>
              <w:t xml:space="preserve">fora </w:t>
            </w:r>
          </w:p>
        </w:tc>
      </w:tr>
      <w:tr w:rsidR="00166826" w:rsidRPr="00654AD3" w14:paraId="57B0785C" w14:textId="77777777" w:rsidTr="00062DAE">
        <w:trPr>
          <w:gridAfter w:val="2"/>
          <w:wAfter w:w="42" w:type="dxa"/>
          <w:trHeight w:val="493"/>
        </w:trPr>
        <w:tc>
          <w:tcPr>
            <w:tcW w:w="14509" w:type="dxa"/>
            <w:gridSpan w:val="6"/>
            <w:shd w:val="clear" w:color="000000" w:fill="DDD9C3"/>
            <w:vAlign w:val="center"/>
          </w:tcPr>
          <w:p w14:paraId="1C9693CA"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i/>
                <w:iCs/>
                <w:sz w:val="20"/>
                <w:szCs w:val="20"/>
                <w:lang w:bidi="en-US"/>
              </w:rPr>
              <w:lastRenderedPageBreak/>
              <w:t>Effectiveness: Project Strategy and Design</w:t>
            </w:r>
          </w:p>
        </w:tc>
      </w:tr>
      <w:tr w:rsidR="00166826" w:rsidRPr="00654AD3" w14:paraId="002F2129" w14:textId="77777777" w:rsidTr="00062DAE">
        <w:trPr>
          <w:gridAfter w:val="2"/>
          <w:wAfter w:w="42" w:type="dxa"/>
          <w:trHeight w:val="530"/>
        </w:trPr>
        <w:tc>
          <w:tcPr>
            <w:tcW w:w="3235" w:type="dxa"/>
            <w:shd w:val="clear" w:color="auto" w:fill="auto"/>
          </w:tcPr>
          <w:p w14:paraId="2806424E" w14:textId="77777777" w:rsidR="00166826" w:rsidRPr="00654AD3" w:rsidRDefault="00166826" w:rsidP="00062DAE">
            <w:pPr>
              <w:widowControl w:val="0"/>
              <w:autoSpaceDE w:val="0"/>
              <w:autoSpaceDN w:val="0"/>
              <w:spacing w:after="120" w:line="240" w:lineRule="auto"/>
              <w:ind w:left="16"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Do the results developed during the formulation of the project still represent the best strategy to achieve the objectives of the project?</w:t>
            </w:r>
          </w:p>
        </w:tc>
        <w:tc>
          <w:tcPr>
            <w:tcW w:w="3595" w:type="dxa"/>
            <w:shd w:val="clear" w:color="auto" w:fill="auto"/>
            <w:vAlign w:val="center"/>
          </w:tcPr>
          <w:p w14:paraId="132A7ED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 xml:space="preserve">Were the project’s objectives and components clear, practicable and feasible within its time frame? </w:t>
            </w:r>
          </w:p>
          <w:p w14:paraId="60516D3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Is the project addressing emerging and present stakeholder priorities?</w:t>
            </w:r>
          </w:p>
          <w:p w14:paraId="2ED72EF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 xml:space="preserve">Is the project stakeholder-driven? </w:t>
            </w:r>
          </w:p>
        </w:tc>
        <w:tc>
          <w:tcPr>
            <w:tcW w:w="2864" w:type="dxa"/>
            <w:shd w:val="clear" w:color="auto" w:fill="auto"/>
          </w:tcPr>
          <w:p w14:paraId="1031BA16" w14:textId="77777777" w:rsidR="00166826" w:rsidRPr="00654AD3" w:rsidRDefault="00166826" w:rsidP="00062DAE">
            <w:pPr>
              <w:widowControl w:val="0"/>
              <w:autoSpaceDE w:val="0"/>
              <w:autoSpaceDN w:val="0"/>
              <w:spacing w:after="0" w:line="240" w:lineRule="auto"/>
              <w:rPr>
                <w:rFonts w:asciiTheme="minorHAnsi" w:hAnsiTheme="minorHAnsi" w:cstheme="minorHAnsi"/>
                <w:sz w:val="20"/>
                <w:szCs w:val="20"/>
                <w:lang w:eastAsia="en-US" w:bidi="en-US"/>
              </w:rPr>
            </w:pPr>
            <w:r w:rsidRPr="00654AD3">
              <w:rPr>
                <w:rFonts w:asciiTheme="minorHAnsi" w:hAnsiTheme="minorHAnsi" w:cstheme="minorHAnsi"/>
                <w:sz w:val="20"/>
                <w:szCs w:val="20"/>
                <w:lang w:eastAsia="en-US" w:bidi="en-US"/>
              </w:rPr>
              <w:t>Positive responses by project partners affirming the relevance of the strategy.</w:t>
            </w:r>
          </w:p>
        </w:tc>
        <w:tc>
          <w:tcPr>
            <w:tcW w:w="2256" w:type="dxa"/>
            <w:shd w:val="clear" w:color="auto" w:fill="auto"/>
          </w:tcPr>
          <w:p w14:paraId="5EBC973C"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Semi-structured interviews and review of documents</w:t>
            </w:r>
          </w:p>
        </w:tc>
        <w:tc>
          <w:tcPr>
            <w:tcW w:w="2559" w:type="dxa"/>
            <w:gridSpan w:val="2"/>
            <w:shd w:val="clear" w:color="auto" w:fill="auto"/>
          </w:tcPr>
          <w:p w14:paraId="0402D050"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Analyzing the degree of acceptance of the different stakeholders interviewed.</w:t>
            </w:r>
          </w:p>
          <w:p w14:paraId="7AFE35AC"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055DF290" w14:textId="77777777" w:rsidR="00166826" w:rsidRPr="00654AD3" w:rsidRDefault="00166826" w:rsidP="00062DAE">
            <w:pPr>
              <w:spacing w:after="0" w:line="240" w:lineRule="auto"/>
              <w:rPr>
                <w:rFonts w:asciiTheme="minorHAnsi" w:eastAsiaTheme="minorHAnsi" w:hAnsiTheme="minorHAnsi" w:cstheme="minorHAnsi"/>
                <w:sz w:val="20"/>
                <w:szCs w:val="20"/>
                <w:lang w:eastAsia="en-US" w:bidi="en-US"/>
              </w:rPr>
            </w:pPr>
            <w:r w:rsidRPr="00654AD3">
              <w:rPr>
                <w:rFonts w:asciiTheme="minorHAnsi" w:eastAsiaTheme="minorHAnsi" w:hAnsiTheme="minorHAnsi" w:cstheme="minorHAnsi"/>
                <w:sz w:val="20"/>
                <w:szCs w:val="20"/>
                <w:lang w:eastAsia="en-US"/>
              </w:rPr>
              <w:t>Matching of results to emerging country strategies and priorities.</w:t>
            </w:r>
          </w:p>
        </w:tc>
      </w:tr>
      <w:tr w:rsidR="00166826" w:rsidRPr="00654AD3" w14:paraId="31714C38" w14:textId="77777777" w:rsidTr="00062DAE">
        <w:trPr>
          <w:gridAfter w:val="2"/>
          <w:wAfter w:w="42" w:type="dxa"/>
          <w:trHeight w:val="45"/>
        </w:trPr>
        <w:tc>
          <w:tcPr>
            <w:tcW w:w="3235" w:type="dxa"/>
            <w:shd w:val="clear" w:color="auto" w:fill="auto"/>
          </w:tcPr>
          <w:p w14:paraId="2B17C0C4"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Results Framework modified per the results of the MTR recommendations?</w:t>
            </w:r>
          </w:p>
        </w:tc>
        <w:tc>
          <w:tcPr>
            <w:tcW w:w="3595" w:type="dxa"/>
            <w:shd w:val="clear" w:color="auto" w:fill="auto"/>
            <w:vAlign w:val="center"/>
          </w:tcPr>
          <w:p w14:paraId="494AF2C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there revisions to the Results Framework?</w:t>
            </w:r>
          </w:p>
          <w:p w14:paraId="5B4F85E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If so, were the revisions to the results framework sound and sensible given the context of the project</w:t>
            </w:r>
          </w:p>
          <w:p w14:paraId="14D15DD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To the contrary, was the results framework was sound given the context of the project?</w:t>
            </w:r>
          </w:p>
          <w:p w14:paraId="3F0ACACA" w14:textId="77777777" w:rsidR="00166826" w:rsidRPr="00654AD3" w:rsidRDefault="00166826" w:rsidP="00062DAE">
            <w:pPr>
              <w:widowControl w:val="0"/>
              <w:autoSpaceDE w:val="0"/>
              <w:autoSpaceDN w:val="0"/>
              <w:spacing w:after="120" w:line="240" w:lineRule="auto"/>
              <w:rPr>
                <w:rFonts w:asciiTheme="minorHAnsi" w:eastAsia="Segoe UI" w:hAnsiTheme="minorHAnsi" w:cstheme="minorHAnsi"/>
                <w:sz w:val="20"/>
                <w:szCs w:val="20"/>
                <w:lang w:eastAsia="en-US" w:bidi="en-US"/>
              </w:rPr>
            </w:pPr>
          </w:p>
        </w:tc>
        <w:tc>
          <w:tcPr>
            <w:tcW w:w="2864" w:type="dxa"/>
            <w:shd w:val="clear" w:color="auto" w:fill="auto"/>
          </w:tcPr>
          <w:p w14:paraId="1C12899E" w14:textId="77777777" w:rsidR="00166826" w:rsidRPr="00654AD3" w:rsidRDefault="00166826" w:rsidP="00062DAE">
            <w:pPr>
              <w:widowControl w:val="0"/>
              <w:autoSpaceDE w:val="0"/>
              <w:autoSpaceDN w:val="0"/>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The number and types of revisions at the output or outcome level.</w:t>
            </w:r>
          </w:p>
          <w:p w14:paraId="0E362AE6" w14:textId="77777777" w:rsidR="00166826" w:rsidRPr="00654AD3" w:rsidRDefault="00166826" w:rsidP="00062DAE">
            <w:pPr>
              <w:widowControl w:val="0"/>
              <w:autoSpaceDE w:val="0"/>
              <w:autoSpaceDN w:val="0"/>
              <w:spacing w:after="120" w:line="240" w:lineRule="auto"/>
              <w:jc w:val="center"/>
              <w:rPr>
                <w:rFonts w:asciiTheme="minorHAnsi" w:eastAsia="Segoe UI" w:hAnsiTheme="minorHAnsi" w:cstheme="minorHAnsi"/>
                <w:sz w:val="20"/>
                <w:szCs w:val="20"/>
                <w:lang w:eastAsia="en-US" w:bidi="en-US"/>
              </w:rPr>
            </w:pPr>
          </w:p>
        </w:tc>
        <w:tc>
          <w:tcPr>
            <w:tcW w:w="2256" w:type="dxa"/>
            <w:shd w:val="clear" w:color="auto" w:fill="auto"/>
          </w:tcPr>
          <w:p w14:paraId="4F186B6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Results Frameworks</w:t>
            </w:r>
          </w:p>
          <w:p w14:paraId="76DC606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management response documents</w:t>
            </w:r>
          </w:p>
          <w:p w14:paraId="7F6BF68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Board minutes</w:t>
            </w:r>
          </w:p>
          <w:p w14:paraId="6BDEB85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5A53E80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w:t>
            </w:r>
          </w:p>
        </w:tc>
        <w:tc>
          <w:tcPr>
            <w:tcW w:w="2559" w:type="dxa"/>
            <w:gridSpan w:val="2"/>
            <w:shd w:val="clear" w:color="auto" w:fill="auto"/>
          </w:tcPr>
          <w:p w14:paraId="5FFA4F4E"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Review the approved modified version of the RF if applicable.</w:t>
            </w:r>
          </w:p>
          <w:p w14:paraId="20C14498"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Scoping of the revisions to project design; analysis of effectiveness following the evaluation of project outputs</w:t>
            </w:r>
          </w:p>
        </w:tc>
      </w:tr>
      <w:tr w:rsidR="00166826" w:rsidRPr="00654AD3" w14:paraId="3CA6380C" w14:textId="77777777" w:rsidTr="00062DAE">
        <w:trPr>
          <w:gridAfter w:val="2"/>
          <w:wAfter w:w="42" w:type="dxa"/>
          <w:trHeight w:val="548"/>
        </w:trPr>
        <w:tc>
          <w:tcPr>
            <w:tcW w:w="3235" w:type="dxa"/>
            <w:shd w:val="clear" w:color="auto" w:fill="auto"/>
          </w:tcPr>
          <w:p w14:paraId="6285C161" w14:textId="77777777" w:rsidR="00166826" w:rsidRPr="00654AD3" w:rsidRDefault="00166826" w:rsidP="00062DAE">
            <w:pPr>
              <w:widowControl w:val="0"/>
              <w:autoSpaceDE w:val="0"/>
              <w:autoSpaceDN w:val="0"/>
              <w:spacing w:before="23" w:after="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Was the Theory of Change confirmed by the results of the project? </w:t>
            </w:r>
          </w:p>
        </w:tc>
        <w:tc>
          <w:tcPr>
            <w:tcW w:w="3595" w:type="dxa"/>
            <w:shd w:val="clear" w:color="auto" w:fill="auto"/>
            <w:vAlign w:val="center"/>
          </w:tcPr>
          <w:p w14:paraId="4058998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Theory of Change based on an adequate problem analysis, barriers and risks?</w:t>
            </w:r>
          </w:p>
          <w:p w14:paraId="2207A4F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What new problems or barriers have arisen that might alter the Theory of Change?  Are these factors isolated by country or </w:t>
            </w:r>
            <w:r w:rsidRPr="00654AD3">
              <w:rPr>
                <w:rFonts w:asciiTheme="minorHAnsi" w:eastAsia="Segoe UI" w:hAnsiTheme="minorHAnsi" w:cstheme="minorHAnsi"/>
                <w:sz w:val="20"/>
                <w:szCs w:val="20"/>
                <w:lang w:eastAsia="en-US" w:bidi="en-US"/>
              </w:rPr>
              <w:lastRenderedPageBreak/>
              <w:t>systemic across a given commodity?</w:t>
            </w:r>
          </w:p>
        </w:tc>
        <w:tc>
          <w:tcPr>
            <w:tcW w:w="2864" w:type="dxa"/>
            <w:shd w:val="clear" w:color="auto" w:fill="auto"/>
          </w:tcPr>
          <w:p w14:paraId="1A508368"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The number of new problems, barriers or risks identified that relate to the TOC.</w:t>
            </w:r>
          </w:p>
        </w:tc>
        <w:tc>
          <w:tcPr>
            <w:tcW w:w="2256" w:type="dxa"/>
            <w:shd w:val="clear" w:color="auto" w:fill="auto"/>
          </w:tcPr>
          <w:p w14:paraId="1DCDE0EF"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Approved Project Documents</w:t>
            </w:r>
          </w:p>
          <w:p w14:paraId="7E3AF47B"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 QRs</w:t>
            </w:r>
          </w:p>
          <w:p w14:paraId="36C213B6"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Minutes PSC</w:t>
            </w:r>
          </w:p>
          <w:p w14:paraId="4E7AFEDD"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w:t>
            </w:r>
          </w:p>
        </w:tc>
        <w:tc>
          <w:tcPr>
            <w:tcW w:w="2559" w:type="dxa"/>
            <w:gridSpan w:val="2"/>
            <w:shd w:val="clear" w:color="auto" w:fill="auto"/>
          </w:tcPr>
          <w:p w14:paraId="5F9044A4"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The TE will not re-litigate the underpinnings of the project, rather focus on new risks, barriers, and new information on problems.  Within that context, the problem analysis can be reviewed for lessons learned.</w:t>
            </w:r>
          </w:p>
        </w:tc>
      </w:tr>
      <w:tr w:rsidR="00166826" w:rsidRPr="00654AD3" w14:paraId="0FEFC086" w14:textId="77777777" w:rsidTr="00062DAE">
        <w:trPr>
          <w:gridAfter w:val="2"/>
          <w:wAfter w:w="42" w:type="dxa"/>
          <w:trHeight w:val="1052"/>
        </w:trPr>
        <w:tc>
          <w:tcPr>
            <w:tcW w:w="3235" w:type="dxa"/>
            <w:shd w:val="clear" w:color="auto" w:fill="auto"/>
          </w:tcPr>
          <w:p w14:paraId="4FC0F07C" w14:textId="77777777" w:rsidR="00166826" w:rsidRPr="00654AD3" w:rsidRDefault="00166826" w:rsidP="00062DAE">
            <w:pPr>
              <w:widowControl w:val="0"/>
              <w:autoSpaceDE w:val="0"/>
              <w:autoSpaceDN w:val="0"/>
              <w:spacing w:before="23" w:after="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the indicators in the Results Framework SMART?</w:t>
            </w:r>
          </w:p>
        </w:tc>
        <w:tc>
          <w:tcPr>
            <w:tcW w:w="3595" w:type="dxa"/>
            <w:shd w:val="clear" w:color="auto" w:fill="auto"/>
            <w:vAlign w:val="center"/>
          </w:tcPr>
          <w:p w14:paraId="37D6B3D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Did the indicators select support management decision-making?</w:t>
            </w:r>
          </w:p>
          <w:p w14:paraId="42BF17E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the indicators the best for the project outcomes and objective? What are the lessons learned?</w:t>
            </w:r>
          </w:p>
          <w:p w14:paraId="3805B57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Is the evidence to support the estimate of progress per indicator relevant and valid?</w:t>
            </w:r>
          </w:p>
        </w:tc>
        <w:tc>
          <w:tcPr>
            <w:tcW w:w="2864" w:type="dxa"/>
            <w:shd w:val="clear" w:color="auto" w:fill="auto"/>
          </w:tcPr>
          <w:p w14:paraId="4E1066CF"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The number of indicators that have/do not have SMART characteristics. </w:t>
            </w:r>
          </w:p>
        </w:tc>
        <w:tc>
          <w:tcPr>
            <w:tcW w:w="2256" w:type="dxa"/>
            <w:shd w:val="clear" w:color="auto" w:fill="auto"/>
          </w:tcPr>
          <w:p w14:paraId="6644EA57"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Approved or modified Results Framework</w:t>
            </w:r>
          </w:p>
          <w:p w14:paraId="7CDEEEF5"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p>
        </w:tc>
        <w:tc>
          <w:tcPr>
            <w:tcW w:w="2559" w:type="dxa"/>
            <w:gridSpan w:val="2"/>
            <w:shd w:val="clear" w:color="auto" w:fill="auto"/>
          </w:tcPr>
          <w:p w14:paraId="0F8227AA"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Analysis of indicators at the Objective and Outcome Levels.</w:t>
            </w:r>
          </w:p>
          <w:p w14:paraId="0F386593"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019D7074"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Interviews with KIIs</w:t>
            </w:r>
          </w:p>
        </w:tc>
      </w:tr>
      <w:tr w:rsidR="00166826" w:rsidRPr="00654AD3" w14:paraId="05C9200B" w14:textId="77777777" w:rsidTr="00062DAE">
        <w:trPr>
          <w:gridAfter w:val="2"/>
          <w:wAfter w:w="42" w:type="dxa"/>
          <w:trHeight w:val="530"/>
        </w:trPr>
        <w:tc>
          <w:tcPr>
            <w:tcW w:w="3235" w:type="dxa"/>
            <w:shd w:val="clear" w:color="auto" w:fill="auto"/>
          </w:tcPr>
          <w:p w14:paraId="7BB998DD"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project captured the lessons learned, failures/lost opportunities to date?</w:t>
            </w:r>
          </w:p>
        </w:tc>
        <w:tc>
          <w:tcPr>
            <w:tcW w:w="3595" w:type="dxa"/>
            <w:shd w:val="clear" w:color="auto" w:fill="auto"/>
            <w:vAlign w:val="center"/>
          </w:tcPr>
          <w:p w14:paraId="1A2A46D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What might have been done better or differently?</w:t>
            </w:r>
          </w:p>
          <w:p w14:paraId="62ED762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Did the project have an effective exit strategy?</w:t>
            </w:r>
          </w:p>
        </w:tc>
        <w:tc>
          <w:tcPr>
            <w:tcW w:w="2864" w:type="dxa"/>
            <w:shd w:val="clear" w:color="auto" w:fill="auto"/>
          </w:tcPr>
          <w:p w14:paraId="4ADACF9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Functionality and impact of key knowledge products that were used to help share lessons and experiences</w:t>
            </w:r>
          </w:p>
        </w:tc>
        <w:tc>
          <w:tcPr>
            <w:tcW w:w="2256" w:type="dxa"/>
            <w:shd w:val="clear" w:color="auto" w:fill="auto"/>
          </w:tcPr>
          <w:p w14:paraId="475BE09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Evidensia</w:t>
            </w:r>
          </w:p>
          <w:p w14:paraId="2AC4459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GGP Good Growth Conferences</w:t>
            </w:r>
          </w:p>
          <w:p w14:paraId="46AF97C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with PMU, Child Project and Component 2 M&amp;E authorities</w:t>
            </w:r>
          </w:p>
          <w:p w14:paraId="595EEE9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Steering Committee and technical consultants, PSC</w:t>
            </w:r>
          </w:p>
          <w:p w14:paraId="29F4A26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GEF lessons learned workshop</w:t>
            </w:r>
          </w:p>
          <w:p w14:paraId="2907FB9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Knowledge product on the integrated approach (to be finalized in Sept-Oct)</w:t>
            </w:r>
          </w:p>
        </w:tc>
        <w:tc>
          <w:tcPr>
            <w:tcW w:w="2559" w:type="dxa"/>
            <w:gridSpan w:val="2"/>
            <w:shd w:val="clear" w:color="auto" w:fill="auto"/>
          </w:tcPr>
          <w:p w14:paraId="324B1749"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Assess knowledge products and management results and impacts, lessons, best practices, portfolio/</w:t>
            </w:r>
          </w:p>
        </w:tc>
      </w:tr>
      <w:tr w:rsidR="00166826" w:rsidRPr="00654AD3" w14:paraId="2EE9FF02" w14:textId="77777777" w:rsidTr="00062DAE">
        <w:trPr>
          <w:gridAfter w:val="2"/>
          <w:wAfter w:w="42" w:type="dxa"/>
          <w:trHeight w:val="1575"/>
        </w:trPr>
        <w:tc>
          <w:tcPr>
            <w:tcW w:w="3235" w:type="dxa"/>
            <w:shd w:val="clear" w:color="auto" w:fill="auto"/>
          </w:tcPr>
          <w:p w14:paraId="0FDEF547"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Do the outcomes support the incremental reasoning?</w:t>
            </w:r>
          </w:p>
        </w:tc>
        <w:tc>
          <w:tcPr>
            <w:tcW w:w="3595" w:type="dxa"/>
            <w:shd w:val="clear" w:color="auto" w:fill="auto"/>
            <w:vAlign w:val="center"/>
          </w:tcPr>
          <w:p w14:paraId="77746FD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Are there quality quantitative and verifiable data demonstrating GEF additionality? </w:t>
            </w:r>
          </w:p>
        </w:tc>
        <w:tc>
          <w:tcPr>
            <w:tcW w:w="2864" w:type="dxa"/>
            <w:shd w:val="clear" w:color="auto" w:fill="auto"/>
          </w:tcPr>
          <w:p w14:paraId="48F4980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Evidence of the outcomes achieved in creating a more supportive environment as envisaged at the endorsement stage?</w:t>
            </w:r>
          </w:p>
        </w:tc>
        <w:tc>
          <w:tcPr>
            <w:tcW w:w="2256" w:type="dxa"/>
            <w:shd w:val="clear" w:color="auto" w:fill="auto"/>
          </w:tcPr>
          <w:p w14:paraId="6A7817A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1C316CB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w:t>
            </w:r>
          </w:p>
          <w:p w14:paraId="2F238D2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with selected members of each stakeholder group</w:t>
            </w:r>
          </w:p>
        </w:tc>
        <w:tc>
          <w:tcPr>
            <w:tcW w:w="2559" w:type="dxa"/>
            <w:gridSpan w:val="2"/>
            <w:shd w:val="clear" w:color="auto" w:fill="auto"/>
          </w:tcPr>
          <w:p w14:paraId="01EAFC9F"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Comparison of the business-as-usual scenario with the EOP scenario including co-financing.</w:t>
            </w:r>
          </w:p>
        </w:tc>
      </w:tr>
      <w:tr w:rsidR="00166826" w:rsidRPr="00654AD3" w14:paraId="32005DFA" w14:textId="77777777" w:rsidTr="00062DAE">
        <w:trPr>
          <w:gridAfter w:val="2"/>
          <w:wAfter w:w="42" w:type="dxa"/>
          <w:trHeight w:val="890"/>
        </w:trPr>
        <w:tc>
          <w:tcPr>
            <w:tcW w:w="3235" w:type="dxa"/>
            <w:shd w:val="clear" w:color="auto" w:fill="auto"/>
          </w:tcPr>
          <w:p w14:paraId="61E8BFC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Were the assumptions that must hold true for outcomes to be achieved realized? </w:t>
            </w:r>
          </w:p>
          <w:p w14:paraId="3911194B" w14:textId="77777777" w:rsidR="00166826" w:rsidRPr="00654AD3" w:rsidRDefault="00166826" w:rsidP="00062DAE">
            <w:pPr>
              <w:widowControl w:val="0"/>
              <w:tabs>
                <w:tab w:val="left" w:pos="452"/>
              </w:tabs>
              <w:autoSpaceDE w:val="0"/>
              <w:autoSpaceDN w:val="0"/>
              <w:spacing w:after="0"/>
              <w:ind w:left="451" w:right="106"/>
              <w:jc w:val="both"/>
              <w:rPr>
                <w:rFonts w:asciiTheme="minorHAnsi" w:eastAsia="Segoe UI" w:hAnsiTheme="minorHAnsi" w:cstheme="minorHAnsi"/>
                <w:sz w:val="20"/>
                <w:szCs w:val="20"/>
                <w:lang w:eastAsia="en-US" w:bidi="en-US"/>
              </w:rPr>
            </w:pPr>
          </w:p>
        </w:tc>
        <w:tc>
          <w:tcPr>
            <w:tcW w:w="3595" w:type="dxa"/>
            <w:shd w:val="clear" w:color="auto" w:fill="auto"/>
            <w:vAlign w:val="center"/>
          </w:tcPr>
          <w:p w14:paraId="6004255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the assumptions clearly identified in the PIF and project document?</w:t>
            </w:r>
          </w:p>
          <w:p w14:paraId="1A19654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Since the MTR, are there new assumptions that were not identified or that emerged without being previously foreseen?</w:t>
            </w:r>
          </w:p>
          <w:p w14:paraId="5B502DF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Were the assumptions adjusted following the MTR? </w:t>
            </w:r>
          </w:p>
        </w:tc>
        <w:tc>
          <w:tcPr>
            <w:tcW w:w="2864" w:type="dxa"/>
            <w:shd w:val="clear" w:color="auto" w:fill="auto"/>
          </w:tcPr>
          <w:p w14:paraId="2E0115C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In the case of unattained outputs, the presence of absence of assumptions required to realize the expected outcome. </w:t>
            </w:r>
          </w:p>
        </w:tc>
        <w:tc>
          <w:tcPr>
            <w:tcW w:w="2256" w:type="dxa"/>
            <w:shd w:val="clear" w:color="auto" w:fill="auto"/>
          </w:tcPr>
          <w:p w14:paraId="7AAD6F7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Achievement of Results from Effectiveness evaluation</w:t>
            </w:r>
          </w:p>
          <w:p w14:paraId="6A9967C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w:t>
            </w:r>
          </w:p>
          <w:p w14:paraId="1A2FA87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 QRs</w:t>
            </w:r>
          </w:p>
          <w:p w14:paraId="315FCA2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per component </w:t>
            </w:r>
          </w:p>
        </w:tc>
        <w:tc>
          <w:tcPr>
            <w:tcW w:w="2559" w:type="dxa"/>
            <w:gridSpan w:val="2"/>
            <w:shd w:val="clear" w:color="auto" w:fill="auto"/>
          </w:tcPr>
          <w:p w14:paraId="42DA4475"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Component by Component review of unrealized outputs if any seeking unidentified or triggered assumptions.</w:t>
            </w:r>
          </w:p>
          <w:p w14:paraId="4A8108A1"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5334F74E"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If new assumption is identified, explore effects on project implementation at the outcome level.</w:t>
            </w:r>
          </w:p>
        </w:tc>
      </w:tr>
      <w:tr w:rsidR="00166826" w:rsidRPr="00654AD3" w14:paraId="4E3914DD" w14:textId="77777777" w:rsidTr="00062DAE">
        <w:trPr>
          <w:gridAfter w:val="2"/>
          <w:wAfter w:w="42" w:type="dxa"/>
          <w:trHeight w:val="440"/>
        </w:trPr>
        <w:tc>
          <w:tcPr>
            <w:tcW w:w="3235" w:type="dxa"/>
            <w:shd w:val="clear" w:color="auto" w:fill="auto"/>
          </w:tcPr>
          <w:p w14:paraId="53221636"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lang w:eastAsia="en-US"/>
              </w:rPr>
              <w:t>Were the risks identified in the project document and PIRs the most important? risk ratings were applied appropriately?</w:t>
            </w:r>
          </w:p>
        </w:tc>
        <w:tc>
          <w:tcPr>
            <w:tcW w:w="3595" w:type="dxa"/>
            <w:shd w:val="clear" w:color="auto" w:fill="auto"/>
            <w:vAlign w:val="center"/>
          </w:tcPr>
          <w:p w14:paraId="5DBB000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Were all risks clearly identified and realistically assessed during project formulation and MTR? </w:t>
            </w:r>
          </w:p>
          <w:p w14:paraId="69FC709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Were any risks overlooked and what were the consequences of that?</w:t>
            </w:r>
          </w:p>
          <w:p w14:paraId="14785A9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 xml:space="preserve">What systems and tools were used to identify, prioritize, monitor and manage those risks? Were action plans developed and followed? Was escalation necessary? </w:t>
            </w:r>
          </w:p>
          <w:p w14:paraId="68378DB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 xml:space="preserve">Was the project’s risk register properly maintained during implementation? </w:t>
            </w:r>
          </w:p>
        </w:tc>
        <w:tc>
          <w:tcPr>
            <w:tcW w:w="2864" w:type="dxa"/>
            <w:shd w:val="clear" w:color="auto" w:fill="auto"/>
          </w:tcPr>
          <w:p w14:paraId="3643CCC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Presence/absence or the number of new identified risks and changes in risk ratings.</w:t>
            </w:r>
          </w:p>
          <w:p w14:paraId="621352A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Mitigation strategies have been implemented as planned.</w:t>
            </w:r>
          </w:p>
        </w:tc>
        <w:tc>
          <w:tcPr>
            <w:tcW w:w="2256" w:type="dxa"/>
            <w:shd w:val="clear" w:color="auto" w:fill="auto"/>
          </w:tcPr>
          <w:p w14:paraId="1A565CCF" w14:textId="77777777" w:rsidR="00166826" w:rsidRPr="00654AD3" w:rsidRDefault="00166826" w:rsidP="00062DAE">
            <w:pPr>
              <w:widowControl w:val="0"/>
              <w:tabs>
                <w:tab w:val="left" w:pos="227"/>
              </w:tabs>
              <w:autoSpaceDE w:val="0"/>
              <w:autoSpaceDN w:val="0"/>
              <w:adjustRightInd w:val="0"/>
              <w:spacing w:after="0" w:line="240" w:lineRule="auto"/>
              <w:ind w:left="207" w:hanging="207"/>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t>
            </w:r>
            <w:r w:rsidRPr="00654AD3">
              <w:rPr>
                <w:rFonts w:asciiTheme="minorHAnsi" w:eastAsia="Segoe UI" w:hAnsiTheme="minorHAnsi" w:cstheme="minorHAnsi"/>
                <w:sz w:val="20"/>
                <w:szCs w:val="20"/>
                <w:lang w:eastAsia="en-US" w:bidi="en-US"/>
              </w:rPr>
              <w:tab/>
              <w:t>PRODOC Risk Table</w:t>
            </w:r>
          </w:p>
          <w:p w14:paraId="7E333501" w14:textId="77777777" w:rsidR="00166826" w:rsidRPr="00654AD3" w:rsidRDefault="00166826" w:rsidP="00062DAE">
            <w:pPr>
              <w:widowControl w:val="0"/>
              <w:tabs>
                <w:tab w:val="left" w:pos="227"/>
              </w:tabs>
              <w:autoSpaceDE w:val="0"/>
              <w:autoSpaceDN w:val="0"/>
              <w:adjustRightInd w:val="0"/>
              <w:spacing w:after="0" w:line="240" w:lineRule="auto"/>
              <w:ind w:left="207" w:hanging="207"/>
              <w:rPr>
                <w:rFonts w:asciiTheme="minorHAnsi" w:eastAsia="Segoe UI" w:hAnsiTheme="minorHAnsi" w:cstheme="minorHAnsi"/>
                <w:sz w:val="20"/>
                <w:szCs w:val="20"/>
                <w:lang w:eastAsia="en-US" w:bidi="en-US"/>
              </w:rPr>
            </w:pPr>
          </w:p>
          <w:p w14:paraId="0D857654" w14:textId="77777777" w:rsidR="00166826" w:rsidRPr="00654AD3" w:rsidRDefault="00166826" w:rsidP="00062DAE">
            <w:pPr>
              <w:widowControl w:val="0"/>
              <w:tabs>
                <w:tab w:val="left" w:pos="227"/>
              </w:tabs>
              <w:autoSpaceDE w:val="0"/>
              <w:autoSpaceDN w:val="0"/>
              <w:adjustRightInd w:val="0"/>
              <w:spacing w:after="0" w:line="240" w:lineRule="auto"/>
              <w:ind w:left="207" w:hanging="207"/>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t>
            </w:r>
            <w:r w:rsidRPr="00654AD3">
              <w:rPr>
                <w:rFonts w:asciiTheme="minorHAnsi" w:eastAsia="Segoe UI" w:hAnsiTheme="minorHAnsi" w:cstheme="minorHAnsi"/>
                <w:sz w:val="20"/>
                <w:szCs w:val="20"/>
                <w:lang w:eastAsia="en-US" w:bidi="en-US"/>
              </w:rPr>
              <w:tab/>
              <w:t>QPRs, PIR, UNDP annual reports</w:t>
            </w:r>
          </w:p>
          <w:p w14:paraId="54193DDF" w14:textId="77777777" w:rsidR="00166826" w:rsidRPr="00654AD3" w:rsidRDefault="00166826" w:rsidP="00062DAE">
            <w:pPr>
              <w:widowControl w:val="0"/>
              <w:tabs>
                <w:tab w:val="left" w:pos="227"/>
              </w:tabs>
              <w:autoSpaceDE w:val="0"/>
              <w:autoSpaceDN w:val="0"/>
              <w:adjustRightInd w:val="0"/>
              <w:spacing w:after="0" w:line="240" w:lineRule="auto"/>
              <w:ind w:left="207" w:hanging="207"/>
              <w:rPr>
                <w:rFonts w:asciiTheme="minorHAnsi" w:eastAsia="Segoe UI" w:hAnsiTheme="minorHAnsi" w:cstheme="minorHAnsi"/>
                <w:sz w:val="20"/>
                <w:szCs w:val="20"/>
                <w:lang w:eastAsia="en-US" w:bidi="en-US"/>
              </w:rPr>
            </w:pPr>
          </w:p>
          <w:p w14:paraId="6767672E" w14:textId="77777777" w:rsidR="00166826" w:rsidRPr="00654AD3" w:rsidRDefault="00166826" w:rsidP="00062DAE">
            <w:pPr>
              <w:widowControl w:val="0"/>
              <w:tabs>
                <w:tab w:val="left" w:pos="227"/>
              </w:tabs>
              <w:autoSpaceDE w:val="0"/>
              <w:autoSpaceDN w:val="0"/>
              <w:adjustRightInd w:val="0"/>
              <w:spacing w:after="0" w:line="240" w:lineRule="auto"/>
              <w:ind w:left="207" w:hanging="207"/>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t>
            </w:r>
            <w:r w:rsidRPr="00654AD3">
              <w:rPr>
                <w:rFonts w:asciiTheme="minorHAnsi" w:eastAsia="Segoe UI" w:hAnsiTheme="minorHAnsi" w:cstheme="minorHAnsi"/>
                <w:sz w:val="20"/>
                <w:szCs w:val="20"/>
                <w:lang w:eastAsia="en-US" w:bidi="en-US"/>
              </w:rPr>
              <w:tab/>
              <w:t>KIIs with M&amp;E specialists</w:t>
            </w:r>
          </w:p>
          <w:p w14:paraId="04EE4162" w14:textId="77777777" w:rsidR="00166826" w:rsidRPr="00654AD3" w:rsidRDefault="00166826" w:rsidP="00062DAE">
            <w:pPr>
              <w:widowControl w:val="0"/>
              <w:tabs>
                <w:tab w:val="left" w:pos="227"/>
              </w:tabs>
              <w:autoSpaceDE w:val="0"/>
              <w:autoSpaceDN w:val="0"/>
              <w:adjustRightInd w:val="0"/>
              <w:spacing w:after="0" w:line="240" w:lineRule="auto"/>
              <w:ind w:left="207" w:hanging="207"/>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t>
            </w:r>
            <w:r w:rsidRPr="00654AD3">
              <w:rPr>
                <w:rFonts w:asciiTheme="minorHAnsi" w:eastAsia="Segoe UI" w:hAnsiTheme="minorHAnsi" w:cstheme="minorHAnsi"/>
                <w:sz w:val="20"/>
                <w:szCs w:val="20"/>
                <w:lang w:eastAsia="en-US" w:bidi="en-US"/>
              </w:rPr>
              <w:tab/>
            </w:r>
          </w:p>
        </w:tc>
        <w:tc>
          <w:tcPr>
            <w:tcW w:w="2559" w:type="dxa"/>
            <w:gridSpan w:val="2"/>
            <w:shd w:val="clear" w:color="auto" w:fill="auto"/>
          </w:tcPr>
          <w:p w14:paraId="434EEEC5" w14:textId="77777777" w:rsidR="00166826" w:rsidRPr="00654AD3" w:rsidRDefault="00166826" w:rsidP="00062DAE">
            <w:pPr>
              <w:widowControl w:val="0"/>
              <w:tabs>
                <w:tab w:val="left" w:pos="110"/>
              </w:tabs>
              <w:autoSpaceDE w:val="0"/>
              <w:autoSpaceDN w:val="0"/>
              <w:adjustRightInd w:val="0"/>
              <w:spacing w:after="0" w:line="240" w:lineRule="auto"/>
              <w:ind w:left="20" w:hanging="7"/>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•Document Review</w:t>
            </w:r>
          </w:p>
          <w:p w14:paraId="462ACED0" w14:textId="77777777" w:rsidR="00166826" w:rsidRPr="00654AD3" w:rsidRDefault="00166826" w:rsidP="00062DAE">
            <w:pPr>
              <w:widowControl w:val="0"/>
              <w:tabs>
                <w:tab w:val="left" w:pos="110"/>
              </w:tabs>
              <w:autoSpaceDE w:val="0"/>
              <w:autoSpaceDN w:val="0"/>
              <w:adjustRightInd w:val="0"/>
              <w:spacing w:after="0" w:line="240" w:lineRule="auto"/>
              <w:ind w:left="20" w:hanging="7"/>
              <w:rPr>
                <w:rFonts w:asciiTheme="minorHAnsi" w:eastAsia="Segoe UI" w:hAnsiTheme="minorHAnsi" w:cstheme="minorHAnsi"/>
                <w:sz w:val="20"/>
                <w:szCs w:val="20"/>
                <w:lang w:eastAsia="en-US" w:bidi="en-US"/>
              </w:rPr>
            </w:pPr>
          </w:p>
          <w:p w14:paraId="734CD3D5" w14:textId="77777777" w:rsidR="00166826" w:rsidRPr="00654AD3" w:rsidRDefault="00166826" w:rsidP="00062DAE">
            <w:pPr>
              <w:widowControl w:val="0"/>
              <w:tabs>
                <w:tab w:val="left" w:pos="110"/>
              </w:tabs>
              <w:autoSpaceDE w:val="0"/>
              <w:autoSpaceDN w:val="0"/>
              <w:adjustRightInd w:val="0"/>
              <w:spacing w:after="0" w:line="240" w:lineRule="auto"/>
              <w:ind w:left="20" w:hanging="7"/>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Contact with sectoral experts</w:t>
            </w:r>
          </w:p>
          <w:p w14:paraId="65677D26" w14:textId="77777777" w:rsidR="00166826" w:rsidRPr="00654AD3" w:rsidRDefault="00166826" w:rsidP="00062DAE">
            <w:pPr>
              <w:widowControl w:val="0"/>
              <w:tabs>
                <w:tab w:val="left" w:pos="1681"/>
              </w:tabs>
              <w:autoSpaceDE w:val="0"/>
              <w:autoSpaceDN w:val="0"/>
              <w:spacing w:after="0" w:line="240" w:lineRule="auto"/>
              <w:ind w:right="1006"/>
              <w:rPr>
                <w:rFonts w:asciiTheme="minorHAnsi" w:eastAsia="Segoe UI" w:hAnsiTheme="minorHAnsi" w:cstheme="minorHAnsi"/>
                <w:sz w:val="20"/>
                <w:szCs w:val="20"/>
                <w:lang w:eastAsia="en-US" w:bidi="en-US"/>
              </w:rPr>
            </w:pPr>
          </w:p>
        </w:tc>
      </w:tr>
      <w:tr w:rsidR="00166826" w:rsidRPr="00654AD3" w14:paraId="7A09AF2A" w14:textId="77777777" w:rsidTr="00062DAE">
        <w:trPr>
          <w:gridAfter w:val="2"/>
          <w:wAfter w:w="42" w:type="dxa"/>
          <w:trHeight w:val="1070"/>
        </w:trPr>
        <w:tc>
          <w:tcPr>
            <w:tcW w:w="3235" w:type="dxa"/>
            <w:shd w:val="clear" w:color="auto" w:fill="auto"/>
            <w:vAlign w:val="center"/>
          </w:tcPr>
          <w:p w14:paraId="7EE23800"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lastRenderedPageBreak/>
              <w:t>Were there any other unforeseen factors beyond the control of the Project that have influenced the development of the outcomes (relevant externalities)? How effective were the Project's strategies against balancing these factors?</w:t>
            </w:r>
          </w:p>
        </w:tc>
        <w:tc>
          <w:tcPr>
            <w:tcW w:w="3595" w:type="dxa"/>
            <w:shd w:val="clear" w:color="auto" w:fill="auto"/>
            <w:vAlign w:val="center"/>
          </w:tcPr>
          <w:p w14:paraId="478B5069"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Were any other factors (+) or (-) identified? Have new risks emerged? </w:t>
            </w:r>
          </w:p>
          <w:p w14:paraId="4698A21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If applicable, Has the project adapted with actions in response to new risks identified? (See adaptive management).</w:t>
            </w:r>
          </w:p>
          <w:p w14:paraId="688F0CF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If so, how effective? </w:t>
            </w:r>
          </w:p>
          <w:p w14:paraId="52F0696B"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p>
        </w:tc>
        <w:tc>
          <w:tcPr>
            <w:tcW w:w="2864" w:type="dxa"/>
            <w:shd w:val="clear" w:color="auto" w:fill="auto"/>
            <w:vAlign w:val="center"/>
          </w:tcPr>
          <w:p w14:paraId="6C090EF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Presence/absence or the number of new identified risks and changes in risk ratings.</w:t>
            </w:r>
          </w:p>
          <w:p w14:paraId="3290763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Mitigation strategies have been implemented as planned.</w:t>
            </w:r>
          </w:p>
        </w:tc>
        <w:tc>
          <w:tcPr>
            <w:tcW w:w="2256" w:type="dxa"/>
            <w:shd w:val="clear" w:color="auto" w:fill="auto"/>
          </w:tcPr>
          <w:p w14:paraId="6B15183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w:t>
            </w:r>
          </w:p>
          <w:p w14:paraId="234FD5B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w:t>
            </w:r>
          </w:p>
          <w:p w14:paraId="48C5D91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w:t>
            </w:r>
          </w:p>
          <w:p w14:paraId="69272A5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Adaptive management practices table</w:t>
            </w:r>
          </w:p>
        </w:tc>
        <w:tc>
          <w:tcPr>
            <w:tcW w:w="2559" w:type="dxa"/>
            <w:gridSpan w:val="2"/>
            <w:shd w:val="clear" w:color="auto" w:fill="auto"/>
          </w:tcPr>
          <w:p w14:paraId="1E91232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Document analysis </w:t>
            </w:r>
          </w:p>
          <w:p w14:paraId="40FE623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Sample of adaptations registered in PIR to define effectiveness of the response</w:t>
            </w:r>
          </w:p>
        </w:tc>
      </w:tr>
      <w:tr w:rsidR="00166826" w:rsidRPr="00654AD3" w14:paraId="55B45656" w14:textId="77777777" w:rsidTr="00062DAE">
        <w:trPr>
          <w:gridAfter w:val="2"/>
          <w:wAfter w:w="42" w:type="dxa"/>
          <w:trHeight w:val="493"/>
        </w:trPr>
        <w:tc>
          <w:tcPr>
            <w:tcW w:w="14509" w:type="dxa"/>
            <w:gridSpan w:val="6"/>
            <w:shd w:val="clear" w:color="000000" w:fill="DDD9C3"/>
            <w:vAlign w:val="center"/>
          </w:tcPr>
          <w:p w14:paraId="6091D564"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i/>
                <w:iCs/>
                <w:sz w:val="20"/>
                <w:szCs w:val="20"/>
                <w:lang w:bidi="en-US"/>
              </w:rPr>
              <w:t>Effectiveness: To what extent have the expected objective and outcomes of the project been achieved?</w:t>
            </w:r>
          </w:p>
        </w:tc>
      </w:tr>
      <w:tr w:rsidR="00166826" w:rsidRPr="00654AD3" w14:paraId="190F13AA" w14:textId="77777777" w:rsidTr="00062DAE">
        <w:trPr>
          <w:gridAfter w:val="2"/>
          <w:wAfter w:w="42" w:type="dxa"/>
          <w:trHeight w:val="1575"/>
        </w:trPr>
        <w:tc>
          <w:tcPr>
            <w:tcW w:w="3235" w:type="dxa"/>
            <w:shd w:val="clear" w:color="auto" w:fill="auto"/>
          </w:tcPr>
          <w:p w14:paraId="0261087F" w14:textId="77777777" w:rsidR="00166826" w:rsidRPr="00654AD3" w:rsidRDefault="00166826" w:rsidP="00062DAE">
            <w:pPr>
              <w:widowControl w:val="0"/>
              <w:autoSpaceDE w:val="0"/>
              <w:autoSpaceDN w:val="0"/>
              <w:spacing w:before="20" w:after="0" w:line="240" w:lineRule="auto"/>
              <w:ind w:left="16"/>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project delivered coordinated management of the Commodities Integrated Approach Pilot?</w:t>
            </w:r>
          </w:p>
        </w:tc>
        <w:tc>
          <w:tcPr>
            <w:tcW w:w="3595" w:type="dxa"/>
            <w:shd w:val="clear" w:color="auto" w:fill="auto"/>
            <w:vAlign w:val="center"/>
          </w:tcPr>
          <w:p w14:paraId="5F8FAF2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To what extent has the project produced a logical technical sequencing of activities across the child projects, program-level M&amp;E and overall resilience?</w:t>
            </w:r>
          </w:p>
        </w:tc>
        <w:tc>
          <w:tcPr>
            <w:tcW w:w="2864" w:type="dxa"/>
            <w:shd w:val="clear" w:color="auto" w:fill="auto"/>
          </w:tcPr>
          <w:p w14:paraId="263F3BC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of monthly GGP Secretariat Calls</w:t>
            </w:r>
          </w:p>
          <w:p w14:paraId="62E5B64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#Annual national and global level intervention plans </w:t>
            </w:r>
          </w:p>
          <w:p w14:paraId="218FCD3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Program-level M&amp;E and lessons learned</w:t>
            </w:r>
          </w:p>
          <w:p w14:paraId="24BF982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Adaptive management monitoring</w:t>
            </w:r>
          </w:p>
        </w:tc>
        <w:tc>
          <w:tcPr>
            <w:tcW w:w="2256" w:type="dxa"/>
            <w:shd w:val="clear" w:color="auto" w:fill="auto"/>
          </w:tcPr>
          <w:p w14:paraId="653C2731"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4FB870A5"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Minutes from Calls: Secretariat and Steering Committee</w:t>
            </w:r>
          </w:p>
          <w:p w14:paraId="71C64EB8"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Intervention Plans</w:t>
            </w:r>
          </w:p>
          <w:p w14:paraId="5FC6CE72"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Program-level results framework</w:t>
            </w:r>
          </w:p>
          <w:p w14:paraId="68EAD0F1"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GEF lessons learned workshop</w:t>
            </w:r>
          </w:p>
          <w:p w14:paraId="135E8C1D"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KIIss</w:t>
            </w:r>
          </w:p>
        </w:tc>
        <w:tc>
          <w:tcPr>
            <w:tcW w:w="2559" w:type="dxa"/>
            <w:gridSpan w:val="2"/>
            <w:shd w:val="clear" w:color="auto" w:fill="auto"/>
          </w:tcPr>
          <w:p w14:paraId="2D31F0DB" w14:textId="77777777" w:rsidR="00166826" w:rsidRPr="00654AD3" w:rsidRDefault="00166826" w:rsidP="00062DAE">
            <w:pPr>
              <w:spacing w:after="0" w:line="240" w:lineRule="auto"/>
              <w:ind w:left="130"/>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w:t>
            </w:r>
            <w:r w:rsidRPr="00654AD3">
              <w:rPr>
                <w:rFonts w:asciiTheme="minorHAnsi" w:eastAsiaTheme="minorHAnsi" w:hAnsiTheme="minorHAnsi" w:cstheme="minorHAnsi"/>
                <w:sz w:val="20"/>
                <w:szCs w:val="20"/>
                <w:lang w:eastAsia="en-US"/>
              </w:rPr>
              <w:tab/>
              <w:t>Audit the Secretariat calls and Steering Committee meetings</w:t>
            </w:r>
          </w:p>
          <w:p w14:paraId="6FF1BD80" w14:textId="77777777" w:rsidR="00166826" w:rsidRPr="00654AD3" w:rsidRDefault="00166826" w:rsidP="00062DAE">
            <w:pPr>
              <w:spacing w:after="0" w:line="240" w:lineRule="auto"/>
              <w:ind w:left="130"/>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w:t>
            </w:r>
            <w:r w:rsidRPr="00654AD3">
              <w:rPr>
                <w:rFonts w:asciiTheme="minorHAnsi" w:eastAsiaTheme="minorHAnsi" w:hAnsiTheme="minorHAnsi" w:cstheme="minorHAnsi"/>
                <w:sz w:val="20"/>
                <w:szCs w:val="20"/>
                <w:lang w:eastAsia="en-US"/>
              </w:rPr>
              <w:tab/>
              <w:t>Review intervention plans and reports of integrated planning workshops</w:t>
            </w:r>
          </w:p>
          <w:p w14:paraId="27FFBD54" w14:textId="77777777" w:rsidR="00166826" w:rsidRPr="00654AD3" w:rsidRDefault="00166826" w:rsidP="00062DAE">
            <w:pPr>
              <w:spacing w:after="0" w:line="240" w:lineRule="auto"/>
              <w:ind w:left="130"/>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w:t>
            </w:r>
            <w:r w:rsidRPr="00654AD3">
              <w:rPr>
                <w:rFonts w:asciiTheme="minorHAnsi" w:eastAsiaTheme="minorHAnsi" w:hAnsiTheme="minorHAnsi" w:cstheme="minorHAnsi"/>
                <w:sz w:val="20"/>
                <w:szCs w:val="20"/>
                <w:lang w:eastAsia="en-US"/>
              </w:rPr>
              <w:tab/>
              <w:t>Examine the quality of response related to Brazil and Paraguay for improvements</w:t>
            </w:r>
          </w:p>
        </w:tc>
      </w:tr>
      <w:tr w:rsidR="00166826" w:rsidRPr="00654AD3" w14:paraId="5BFA149B" w14:textId="77777777" w:rsidTr="00062DAE">
        <w:trPr>
          <w:gridAfter w:val="2"/>
          <w:wAfter w:w="42" w:type="dxa"/>
          <w:trHeight w:val="1575"/>
        </w:trPr>
        <w:tc>
          <w:tcPr>
            <w:tcW w:w="3235" w:type="dxa"/>
            <w:shd w:val="clear" w:color="auto" w:fill="auto"/>
          </w:tcPr>
          <w:p w14:paraId="7272138E" w14:textId="77777777" w:rsidR="00166826" w:rsidRPr="00654AD3" w:rsidRDefault="00166826" w:rsidP="00062DAE">
            <w:pPr>
              <w:widowControl w:val="0"/>
              <w:autoSpaceDE w:val="0"/>
              <w:autoSpaceDN w:val="0"/>
              <w:spacing w:before="20" w:after="120" w:line="240" w:lineRule="auto"/>
              <w:ind w:left="16"/>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project intervention led to increased understanding of the impacts of voluntary sustainability standards (VSS) and VSS-like mechanisms on deforestation, biodiversity habitat, and other social and environmental outcomes across different geographies and contexts, to promote adaptive management and to increase the effectiveness of these mechanisms? To what extent?</w:t>
            </w:r>
          </w:p>
        </w:tc>
        <w:tc>
          <w:tcPr>
            <w:tcW w:w="3595" w:type="dxa"/>
            <w:shd w:val="clear" w:color="auto" w:fill="auto"/>
            <w:vAlign w:val="center"/>
          </w:tcPr>
          <w:p w14:paraId="1D6534A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Is Global Impact Platform effective? </w:t>
            </w:r>
          </w:p>
        </w:tc>
        <w:tc>
          <w:tcPr>
            <w:tcW w:w="2864" w:type="dxa"/>
            <w:shd w:val="clear" w:color="auto" w:fill="auto"/>
          </w:tcPr>
          <w:p w14:paraId="4EA1030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Platforms live online</w:t>
            </w:r>
          </w:p>
          <w:p w14:paraId="11FE8ED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Number of new syntheses and summaries of evidence uploaded to the Platform and associated audience-specific communications created and disseminated </w:t>
            </w:r>
          </w:p>
          <w:p w14:paraId="6DB9CF4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of visitors to the platform.</w:t>
            </w:r>
          </w:p>
        </w:tc>
        <w:tc>
          <w:tcPr>
            <w:tcW w:w="2256" w:type="dxa"/>
            <w:shd w:val="clear" w:color="auto" w:fill="auto"/>
          </w:tcPr>
          <w:p w14:paraId="0C50B69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MOUs</w:t>
            </w:r>
          </w:p>
          <w:p w14:paraId="0F79D83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 partnerships</w:t>
            </w:r>
          </w:p>
          <w:p w14:paraId="506948A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Recognition</w:t>
            </w:r>
          </w:p>
          <w:p w14:paraId="72159DE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Data from systems administration</w:t>
            </w:r>
          </w:p>
          <w:p w14:paraId="4257F306"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in WWF and ISEAL</w:t>
            </w:r>
          </w:p>
        </w:tc>
        <w:tc>
          <w:tcPr>
            <w:tcW w:w="2559" w:type="dxa"/>
            <w:gridSpan w:val="2"/>
            <w:shd w:val="clear" w:color="auto" w:fill="auto"/>
          </w:tcPr>
          <w:p w14:paraId="4312FEED"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Review the IT characteristics and throughput (visitors, downloads) of the system. </w:t>
            </w:r>
          </w:p>
          <w:p w14:paraId="4ACAAA75"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Review system outputs</w:t>
            </w:r>
          </w:p>
        </w:tc>
      </w:tr>
      <w:tr w:rsidR="00166826" w:rsidRPr="00654AD3" w14:paraId="22F44F0D" w14:textId="77777777" w:rsidTr="00062DAE">
        <w:trPr>
          <w:gridAfter w:val="2"/>
          <w:wAfter w:w="42" w:type="dxa"/>
          <w:trHeight w:val="890"/>
        </w:trPr>
        <w:tc>
          <w:tcPr>
            <w:tcW w:w="3235" w:type="dxa"/>
            <w:shd w:val="clear" w:color="auto" w:fill="auto"/>
          </w:tcPr>
          <w:p w14:paraId="23F570CD" w14:textId="77777777" w:rsidR="00166826" w:rsidRPr="00654AD3" w:rsidRDefault="00166826" w:rsidP="00062DAE">
            <w:pPr>
              <w:widowControl w:val="0"/>
              <w:autoSpaceDE w:val="0"/>
              <w:autoSpaceDN w:val="0"/>
              <w:spacing w:before="20" w:after="120" w:line="240" w:lineRule="auto"/>
              <w:ind w:left="16"/>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Has the global online database and knowledge platform on the impacts of VSS and VSS-like mechanisms led to low deforestation commodity production?</w:t>
            </w:r>
          </w:p>
        </w:tc>
        <w:tc>
          <w:tcPr>
            <w:tcW w:w="3595" w:type="dxa"/>
            <w:shd w:val="clear" w:color="auto" w:fill="auto"/>
            <w:vAlign w:val="center"/>
          </w:tcPr>
          <w:p w14:paraId="19F530E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data translated into reduced deforestation?</w:t>
            </w:r>
          </w:p>
        </w:tc>
        <w:tc>
          <w:tcPr>
            <w:tcW w:w="2864" w:type="dxa"/>
            <w:shd w:val="clear" w:color="auto" w:fill="auto"/>
          </w:tcPr>
          <w:p w14:paraId="6E62E6B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documented cases of lower deforestation</w:t>
            </w:r>
          </w:p>
          <w:p w14:paraId="633AB70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confirmation of linkage in the process.</w:t>
            </w:r>
          </w:p>
        </w:tc>
        <w:tc>
          <w:tcPr>
            <w:tcW w:w="2256" w:type="dxa"/>
            <w:shd w:val="clear" w:color="auto" w:fill="auto"/>
          </w:tcPr>
          <w:p w14:paraId="5E8D583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Interactive website</w:t>
            </w:r>
          </w:p>
          <w:p w14:paraId="6F7D5445" w14:textId="77777777" w:rsidR="00166826" w:rsidRPr="00654AD3" w:rsidRDefault="00166826" w:rsidP="00D80344">
            <w:pPr>
              <w:pStyle w:val="ListParagraph"/>
              <w:numPr>
                <w:ilvl w:val="0"/>
                <w:numId w:val="57"/>
              </w:numPr>
              <w:spacing w:before="0"/>
              <w:rPr>
                <w:rFonts w:asciiTheme="minorHAnsi" w:hAnsiTheme="minorHAnsi" w:cstheme="minorHAnsi"/>
                <w:sz w:val="20"/>
                <w:szCs w:val="20"/>
              </w:rPr>
            </w:pPr>
            <w:r w:rsidRPr="00654AD3">
              <w:rPr>
                <w:rFonts w:asciiTheme="minorHAnsi" w:hAnsiTheme="minorHAnsi" w:cstheme="minorHAnsi"/>
                <w:sz w:val="20"/>
                <w:szCs w:val="20"/>
              </w:rPr>
              <w:t>KIIs at the country level of relevant countries to the GGP as proxies: Brazil, Paraguay, Indonesia, Liberia.</w:t>
            </w:r>
          </w:p>
          <w:p w14:paraId="3616E0A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Evidensia synthesis documents</w:t>
            </w:r>
          </w:p>
        </w:tc>
        <w:tc>
          <w:tcPr>
            <w:tcW w:w="2559" w:type="dxa"/>
            <w:gridSpan w:val="2"/>
            <w:shd w:val="clear" w:color="auto" w:fill="auto"/>
          </w:tcPr>
          <w:p w14:paraId="26B5AE81"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Sample of downloaders or user survey to ID a scenario where deforestation was fostered by information on the platform.</w:t>
            </w:r>
          </w:p>
        </w:tc>
      </w:tr>
      <w:tr w:rsidR="00166826" w:rsidRPr="00654AD3" w14:paraId="5A3A7DE0" w14:textId="77777777" w:rsidTr="00062DAE">
        <w:trPr>
          <w:gridAfter w:val="2"/>
          <w:wAfter w:w="42" w:type="dxa"/>
          <w:trHeight w:val="818"/>
        </w:trPr>
        <w:tc>
          <w:tcPr>
            <w:tcW w:w="3235" w:type="dxa"/>
            <w:shd w:val="clear" w:color="auto" w:fill="auto"/>
            <w:vAlign w:val="center"/>
          </w:tcPr>
          <w:p w14:paraId="11896471" w14:textId="77777777" w:rsidR="00166826" w:rsidRPr="00654AD3" w:rsidRDefault="00166826" w:rsidP="00062DAE">
            <w:pPr>
              <w:widowControl w:val="0"/>
              <w:autoSpaceDE w:val="0"/>
              <w:autoSpaceDN w:val="0"/>
              <w:spacing w:before="1" w:after="0"/>
              <w:ind w:left="105"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project implementation of the knowledge management, partnership development and communications functions maximized learning, fostered synergies, and promoted replication and upscaling of actions to address deforestation in commodity supply chains?</w:t>
            </w:r>
          </w:p>
        </w:tc>
        <w:tc>
          <w:tcPr>
            <w:tcW w:w="3595" w:type="dxa"/>
            <w:shd w:val="clear" w:color="auto" w:fill="auto"/>
            <w:vAlign w:val="center"/>
          </w:tcPr>
          <w:p w14:paraId="5EDEF7CC"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Is knowledge sharing taking place?</w:t>
            </w:r>
          </w:p>
          <w:p w14:paraId="2AD54885"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Have participants in the community of practice changed programs practices or Policies?</w:t>
            </w:r>
          </w:p>
          <w:p w14:paraId="534BD003"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What is the level of engagement with the GGP?</w:t>
            </w:r>
          </w:p>
          <w:p w14:paraId="1E77D7B0"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How effective was the outreach of GGP?</w:t>
            </w:r>
          </w:p>
        </w:tc>
        <w:tc>
          <w:tcPr>
            <w:tcW w:w="2864" w:type="dxa"/>
            <w:shd w:val="clear" w:color="auto" w:fill="auto"/>
          </w:tcPr>
          <w:p w14:paraId="769A312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Number of knowledge products on GGP to share GGP insights and learnings</w:t>
            </w:r>
          </w:p>
          <w:p w14:paraId="145DC56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Percentage of participants of Community of Practice events that have changed their programs, practices and/or policies based on GGP learning</w:t>
            </w:r>
          </w:p>
          <w:p w14:paraId="6C6A8E2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Number of active partners with which the GGP is engaged at a programmatic level </w:t>
            </w:r>
          </w:p>
          <w:p w14:paraId="4EDB6B0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Communications data (number of articles, communications statistics such as use of the website etc)</w:t>
            </w:r>
          </w:p>
        </w:tc>
        <w:tc>
          <w:tcPr>
            <w:tcW w:w="2256" w:type="dxa"/>
            <w:shd w:val="clear" w:color="auto" w:fill="auto"/>
          </w:tcPr>
          <w:p w14:paraId="52A663E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documentation; relevant stakeholders</w:t>
            </w:r>
          </w:p>
          <w:p w14:paraId="5454809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Reports and survey or evaluations of the two face-to-face CoP Global events</w:t>
            </w:r>
          </w:p>
          <w:p w14:paraId="48D7217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Results from GCC consultations</w:t>
            </w:r>
          </w:p>
          <w:p w14:paraId="002B939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Communication outputs and GGP website</w:t>
            </w:r>
          </w:p>
          <w:p w14:paraId="22C90A8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GCC Digital Community</w:t>
            </w:r>
          </w:p>
          <w:p w14:paraId="15A4AEC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p>
        </w:tc>
        <w:tc>
          <w:tcPr>
            <w:tcW w:w="2559" w:type="dxa"/>
            <w:gridSpan w:val="2"/>
            <w:shd w:val="clear" w:color="auto" w:fill="auto"/>
          </w:tcPr>
          <w:p w14:paraId="69D1440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Survey</w:t>
            </w:r>
          </w:p>
          <w:p w14:paraId="1C2BD4E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Desk review; KIIs</w:t>
            </w:r>
          </w:p>
          <w:p w14:paraId="58936E45" w14:textId="77777777" w:rsidR="00166826" w:rsidRPr="00654AD3" w:rsidRDefault="00166826" w:rsidP="00D80344">
            <w:pPr>
              <w:widowControl w:val="0"/>
              <w:numPr>
                <w:ilvl w:val="0"/>
                <w:numId w:val="57"/>
              </w:numPr>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Survey of participants of each of the two face-to-face CoP Global events</w:t>
            </w:r>
          </w:p>
          <w:p w14:paraId="2AFA2A6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Assess two-way sharing of information, expertise, or tools; collaboration to increase impacts; implementation of delivery services, or provision of co-financing</w:t>
            </w:r>
          </w:p>
        </w:tc>
      </w:tr>
      <w:tr w:rsidR="00166826" w:rsidRPr="00654AD3" w14:paraId="27AFF7AA" w14:textId="77777777" w:rsidTr="00062DAE">
        <w:trPr>
          <w:trHeight w:val="493"/>
        </w:trPr>
        <w:tc>
          <w:tcPr>
            <w:tcW w:w="14551" w:type="dxa"/>
            <w:gridSpan w:val="8"/>
            <w:shd w:val="clear" w:color="000000" w:fill="DDD9C3"/>
            <w:vAlign w:val="center"/>
          </w:tcPr>
          <w:p w14:paraId="10FBD1E5"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sz w:val="20"/>
                <w:szCs w:val="20"/>
                <w:lang w:bidi="en-US"/>
              </w:rPr>
            </w:pPr>
            <w:r w:rsidRPr="00654AD3">
              <w:rPr>
                <w:rFonts w:asciiTheme="minorHAnsi" w:eastAsia="Times New Roman" w:hAnsiTheme="minorHAnsi" w:cstheme="minorHAnsi"/>
                <w:b/>
                <w:bCs/>
                <w:sz w:val="20"/>
                <w:szCs w:val="20"/>
                <w:lang w:bidi="en-US"/>
              </w:rPr>
              <w:t>Effectiveness: Project Implementation and Adaptive Management</w:t>
            </w:r>
            <w:r w:rsidRPr="00654AD3">
              <w:rPr>
                <w:rStyle w:val="FootnoteReference"/>
                <w:rFonts w:asciiTheme="minorHAnsi" w:eastAsia="Times New Roman" w:hAnsiTheme="minorHAnsi" w:cstheme="minorHAnsi"/>
                <w:b/>
                <w:bCs/>
                <w:sz w:val="20"/>
                <w:szCs w:val="20"/>
                <w:lang w:bidi="en-US"/>
              </w:rPr>
              <w:footnoteReference w:id="7"/>
            </w:r>
            <w:r w:rsidRPr="00654AD3">
              <w:rPr>
                <w:rFonts w:asciiTheme="minorHAnsi" w:eastAsia="Times New Roman" w:hAnsiTheme="minorHAnsi" w:cstheme="minorHAnsi"/>
                <w:b/>
                <w:bCs/>
                <w:sz w:val="20"/>
                <w:szCs w:val="20"/>
                <w:lang w:bidi="en-US"/>
              </w:rPr>
              <w:t xml:space="preserve">: </w:t>
            </w:r>
          </w:p>
        </w:tc>
      </w:tr>
      <w:tr w:rsidR="00166826" w:rsidRPr="00654AD3" w14:paraId="69518DE2" w14:textId="77777777" w:rsidTr="00062DAE">
        <w:trPr>
          <w:gridAfter w:val="1"/>
          <w:wAfter w:w="24" w:type="dxa"/>
          <w:trHeight w:val="998"/>
        </w:trPr>
        <w:tc>
          <w:tcPr>
            <w:tcW w:w="3235" w:type="dxa"/>
            <w:shd w:val="clear" w:color="auto" w:fill="auto"/>
            <w:vAlign w:val="center"/>
          </w:tcPr>
          <w:p w14:paraId="24BCF473"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lastRenderedPageBreak/>
              <w:t>To what extent did UNDP deliver effectively on activities related to oversight, supervision, completion, and evaluation</w:t>
            </w:r>
          </w:p>
        </w:tc>
        <w:tc>
          <w:tcPr>
            <w:tcW w:w="3595" w:type="dxa"/>
            <w:shd w:val="clear" w:color="auto" w:fill="auto"/>
            <w:vAlign w:val="center"/>
          </w:tcPr>
          <w:p w14:paraId="7FFAA263" w14:textId="77777777" w:rsidR="00166826" w:rsidRPr="00654AD3" w:rsidRDefault="00166826" w:rsidP="00D80344">
            <w:pPr>
              <w:widowControl w:val="0"/>
              <w:numPr>
                <w:ilvl w:val="0"/>
                <w:numId w:val="59"/>
              </w:numPr>
              <w:autoSpaceDE w:val="0"/>
              <w:autoSpaceDN w:val="0"/>
              <w:spacing w:after="0" w:line="240" w:lineRule="auto"/>
              <w:rPr>
                <w:rFonts w:asciiTheme="minorHAnsi" w:eastAsia="Times New Roman" w:hAnsiTheme="minorHAnsi" w:cstheme="minorHAnsi"/>
                <w:sz w:val="20"/>
                <w:szCs w:val="20"/>
              </w:rPr>
            </w:pPr>
            <w:r w:rsidRPr="00654AD3">
              <w:rPr>
                <w:rFonts w:asciiTheme="minorHAnsi" w:eastAsia="Times New Roman" w:hAnsiTheme="minorHAnsi" w:cstheme="minorHAnsi"/>
                <w:sz w:val="20"/>
                <w:szCs w:val="20"/>
              </w:rPr>
              <w:t>How was oversight undertaken within the A&amp;L workplan?</w:t>
            </w:r>
          </w:p>
          <w:p w14:paraId="4D349C29" w14:textId="77777777" w:rsidR="00166826" w:rsidRPr="00654AD3" w:rsidRDefault="00166826" w:rsidP="00062DAE">
            <w:pPr>
              <w:spacing w:after="0" w:line="240" w:lineRule="auto"/>
              <w:ind w:left="720"/>
              <w:rPr>
                <w:rFonts w:asciiTheme="minorHAnsi" w:eastAsia="Times New Roman" w:hAnsiTheme="minorHAnsi" w:cstheme="minorHAnsi"/>
                <w:sz w:val="20"/>
                <w:szCs w:val="20"/>
              </w:rPr>
            </w:pPr>
          </w:p>
          <w:p w14:paraId="7657B5D2" w14:textId="77777777" w:rsidR="00166826" w:rsidRPr="00654AD3" w:rsidRDefault="00166826" w:rsidP="00D80344">
            <w:pPr>
              <w:widowControl w:val="0"/>
              <w:numPr>
                <w:ilvl w:val="0"/>
                <w:numId w:val="59"/>
              </w:numPr>
              <w:autoSpaceDE w:val="0"/>
              <w:autoSpaceDN w:val="0"/>
              <w:spacing w:after="0" w:line="240" w:lineRule="auto"/>
              <w:rPr>
                <w:rFonts w:asciiTheme="minorHAnsi" w:eastAsia="Times New Roman" w:hAnsiTheme="minorHAnsi" w:cstheme="minorHAnsi"/>
                <w:sz w:val="20"/>
                <w:szCs w:val="20"/>
              </w:rPr>
            </w:pPr>
            <w:r w:rsidRPr="00654AD3">
              <w:rPr>
                <w:rFonts w:asciiTheme="minorHAnsi" w:eastAsia="Times New Roman" w:hAnsiTheme="minorHAnsi" w:cstheme="minorHAnsi"/>
                <w:sz w:val="20"/>
                <w:szCs w:val="20"/>
              </w:rPr>
              <w:t>What was the quality of upstream and downstream communication across all management actors?</w:t>
            </w:r>
          </w:p>
          <w:p w14:paraId="1DE72CD5" w14:textId="77777777" w:rsidR="00166826" w:rsidRPr="00654AD3" w:rsidRDefault="00166826" w:rsidP="00D80344">
            <w:pPr>
              <w:widowControl w:val="0"/>
              <w:numPr>
                <w:ilvl w:val="0"/>
                <w:numId w:val="59"/>
              </w:numPr>
              <w:autoSpaceDE w:val="0"/>
              <w:autoSpaceDN w:val="0"/>
              <w:spacing w:after="0" w:line="240" w:lineRule="auto"/>
              <w:rPr>
                <w:rFonts w:asciiTheme="minorHAnsi" w:eastAsia="Times New Roman" w:hAnsiTheme="minorHAnsi" w:cstheme="minorHAnsi"/>
                <w:sz w:val="20"/>
                <w:szCs w:val="20"/>
              </w:rPr>
            </w:pPr>
            <w:r w:rsidRPr="00654AD3">
              <w:rPr>
                <w:rFonts w:asciiTheme="minorHAnsi" w:eastAsia="Times New Roman" w:hAnsiTheme="minorHAnsi" w:cstheme="minorHAnsi"/>
                <w:sz w:val="20"/>
                <w:szCs w:val="20"/>
              </w:rPr>
              <w:t>Was the implementing agency responsive to concerns by the executing and co-implementing partners? (See Adaptive Management)</w:t>
            </w:r>
          </w:p>
          <w:p w14:paraId="48AF9E73" w14:textId="77777777" w:rsidR="00166826" w:rsidRPr="00654AD3" w:rsidRDefault="00166826" w:rsidP="00D80344">
            <w:pPr>
              <w:widowControl w:val="0"/>
              <w:numPr>
                <w:ilvl w:val="0"/>
                <w:numId w:val="59"/>
              </w:numPr>
              <w:autoSpaceDE w:val="0"/>
              <w:autoSpaceDN w:val="0"/>
              <w:spacing w:after="0" w:line="240" w:lineRule="auto"/>
              <w:rPr>
                <w:rFonts w:asciiTheme="minorHAnsi" w:eastAsia="Times New Roman" w:hAnsiTheme="minorHAnsi" w:cstheme="minorHAnsi"/>
                <w:sz w:val="20"/>
                <w:szCs w:val="20"/>
              </w:rPr>
            </w:pPr>
            <w:r w:rsidRPr="00654AD3">
              <w:rPr>
                <w:rFonts w:asciiTheme="minorHAnsi" w:eastAsia="Times New Roman" w:hAnsiTheme="minorHAnsi" w:cstheme="minorHAnsi"/>
                <w:sz w:val="20"/>
                <w:szCs w:val="20"/>
              </w:rPr>
              <w:t>How and to what extent has the project implementation process, coordination with stakeholders and important aspects affected the timely start, execution, and closure of the project?</w:t>
            </w:r>
          </w:p>
        </w:tc>
        <w:tc>
          <w:tcPr>
            <w:tcW w:w="2864" w:type="dxa"/>
            <w:shd w:val="clear" w:color="auto" w:fill="auto"/>
            <w:vAlign w:val="center"/>
          </w:tcPr>
          <w:p w14:paraId="145E8F07"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The number of oversight interventions (site visits, virtual group meetings).</w:t>
            </w:r>
          </w:p>
          <w:p w14:paraId="0AA1AC94"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The number of adaptations generated from Implementing agency oversight or technical assistance.</w:t>
            </w:r>
          </w:p>
          <w:p w14:paraId="7766639B"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imes New Roman" w:hAnsiTheme="minorHAnsi" w:cstheme="minorHAnsi"/>
                <w:sz w:val="20"/>
                <w:szCs w:val="20"/>
              </w:rPr>
            </w:pPr>
            <w:r w:rsidRPr="00654AD3">
              <w:rPr>
                <w:rFonts w:asciiTheme="minorHAnsi" w:eastAsiaTheme="minorHAnsi" w:hAnsiTheme="minorHAnsi" w:cstheme="minorHAnsi"/>
                <w:sz w:val="20"/>
                <w:szCs w:val="20"/>
              </w:rPr>
              <w:t>The number and type of training opportunities and experiences organized by the implementing agency.</w:t>
            </w:r>
          </w:p>
        </w:tc>
        <w:tc>
          <w:tcPr>
            <w:tcW w:w="2271" w:type="dxa"/>
            <w:gridSpan w:val="2"/>
            <w:shd w:val="clear" w:color="auto" w:fill="auto"/>
            <w:vAlign w:val="center"/>
          </w:tcPr>
          <w:p w14:paraId="2E083A34"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Management Arrangements</w:t>
            </w:r>
          </w:p>
          <w:p w14:paraId="0CADB157"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Operations Manual</w:t>
            </w:r>
          </w:p>
          <w:p w14:paraId="7E78FEEA"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Organizational charts and flow diagrams</w:t>
            </w:r>
          </w:p>
          <w:p w14:paraId="02D84C93"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KIIs between secretariat and child project PMUs and Component 2 PMU.</w:t>
            </w:r>
          </w:p>
          <w:p w14:paraId="3EFE56BB"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imes New Roman" w:hAnsiTheme="minorHAnsi" w:cstheme="minorHAnsi"/>
                <w:sz w:val="20"/>
                <w:szCs w:val="20"/>
              </w:rPr>
            </w:pPr>
            <w:r w:rsidRPr="00654AD3">
              <w:rPr>
                <w:rFonts w:asciiTheme="minorHAnsi" w:eastAsiaTheme="minorHAnsi" w:hAnsiTheme="minorHAnsi" w:cstheme="minorHAnsi"/>
                <w:sz w:val="20"/>
                <w:szCs w:val="20"/>
              </w:rPr>
              <w:t>KII Project Steering Committee.</w:t>
            </w:r>
          </w:p>
        </w:tc>
        <w:tc>
          <w:tcPr>
            <w:tcW w:w="2562" w:type="dxa"/>
            <w:gridSpan w:val="2"/>
            <w:shd w:val="clear" w:color="auto" w:fill="auto"/>
            <w:vAlign w:val="center"/>
          </w:tcPr>
          <w:p w14:paraId="3E5207AC"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 Assess the functionality of the management arrangements specific to oversight and feedback.</w:t>
            </w:r>
          </w:p>
          <w:p w14:paraId="6BFD23C1"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Assess the upstream and downstream concerns by the implementing/executing agencies and responses. </w:t>
            </w:r>
          </w:p>
        </w:tc>
      </w:tr>
      <w:tr w:rsidR="00166826" w:rsidRPr="00654AD3" w14:paraId="3304D08A" w14:textId="77777777" w:rsidTr="00062DAE">
        <w:trPr>
          <w:gridAfter w:val="1"/>
          <w:wAfter w:w="24" w:type="dxa"/>
          <w:trHeight w:val="1575"/>
        </w:trPr>
        <w:tc>
          <w:tcPr>
            <w:tcW w:w="3235" w:type="dxa"/>
            <w:shd w:val="clear" w:color="auto" w:fill="auto"/>
            <w:vAlign w:val="center"/>
          </w:tcPr>
          <w:p w14:paraId="78BD1128"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What was the quality, strengths and weaknesses of the partnerships within the management modality? Lessons learned?</w:t>
            </w:r>
          </w:p>
        </w:tc>
        <w:tc>
          <w:tcPr>
            <w:tcW w:w="3595" w:type="dxa"/>
            <w:shd w:val="clear" w:color="auto" w:fill="auto"/>
            <w:vAlign w:val="center"/>
          </w:tcPr>
          <w:p w14:paraId="0848279E" w14:textId="77777777" w:rsidR="00166826" w:rsidRPr="00654AD3" w:rsidRDefault="00166826" w:rsidP="00D80344">
            <w:pPr>
              <w:widowControl w:val="0"/>
              <w:numPr>
                <w:ilvl w:val="0"/>
                <w:numId w:val="59"/>
              </w:numPr>
              <w:autoSpaceDE w:val="0"/>
              <w:autoSpaceDN w:val="0"/>
              <w:spacing w:after="0" w:line="240" w:lineRule="auto"/>
              <w:rPr>
                <w:rFonts w:asciiTheme="minorHAnsi" w:eastAsia="Times New Roman" w:hAnsiTheme="minorHAnsi" w:cstheme="minorHAnsi"/>
                <w:sz w:val="20"/>
                <w:szCs w:val="20"/>
              </w:rPr>
            </w:pPr>
            <w:r w:rsidRPr="00654AD3">
              <w:rPr>
                <w:rFonts w:asciiTheme="minorHAnsi" w:eastAsia="Times New Roman" w:hAnsiTheme="minorHAnsi" w:cstheme="minorHAnsi"/>
                <w:sz w:val="20"/>
                <w:szCs w:val="20"/>
              </w:rPr>
              <w:t>How did the child projects and executing agencies benefit from training, systems, knowledge management?</w:t>
            </w:r>
          </w:p>
        </w:tc>
        <w:tc>
          <w:tcPr>
            <w:tcW w:w="2864" w:type="dxa"/>
            <w:shd w:val="clear" w:color="auto" w:fill="auto"/>
            <w:vAlign w:val="center"/>
          </w:tcPr>
          <w:p w14:paraId="53248415" w14:textId="77777777" w:rsidR="00166826" w:rsidRPr="00654AD3" w:rsidRDefault="00166826" w:rsidP="00062DAE">
            <w:pPr>
              <w:widowControl w:val="0"/>
              <w:autoSpaceDE w:val="0"/>
              <w:autoSpaceDN w:val="0"/>
              <w:spacing w:after="0" w:line="240" w:lineRule="auto"/>
              <w:jc w:val="center"/>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The nature and types of benefits by implementing agency and by executing partners and co-implementers</w:t>
            </w:r>
          </w:p>
        </w:tc>
        <w:tc>
          <w:tcPr>
            <w:tcW w:w="2271" w:type="dxa"/>
            <w:gridSpan w:val="2"/>
            <w:shd w:val="clear" w:color="auto" w:fill="auto"/>
            <w:vAlign w:val="center"/>
          </w:tcPr>
          <w:p w14:paraId="3AEBEF7F"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KIIs implementing agency/PMU</w:t>
            </w:r>
          </w:p>
          <w:p w14:paraId="084FBB20"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KIIs child project PMUs and PMU of Component 2. </w:t>
            </w:r>
          </w:p>
          <w:p w14:paraId="75CA61E2"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imes New Roman" w:hAnsiTheme="minorHAnsi" w:cstheme="minorHAnsi"/>
                <w:sz w:val="20"/>
                <w:szCs w:val="20"/>
                <w:lang w:val="es-ES"/>
              </w:rPr>
            </w:pPr>
            <w:r w:rsidRPr="00654AD3">
              <w:rPr>
                <w:rFonts w:asciiTheme="minorHAnsi" w:eastAsiaTheme="minorHAnsi" w:hAnsiTheme="minorHAnsi" w:cstheme="minorHAnsi"/>
                <w:sz w:val="20"/>
                <w:szCs w:val="20"/>
              </w:rPr>
              <w:t xml:space="preserve">KII Project Steering Committee. </w:t>
            </w:r>
          </w:p>
        </w:tc>
        <w:tc>
          <w:tcPr>
            <w:tcW w:w="2562" w:type="dxa"/>
            <w:gridSpan w:val="2"/>
            <w:shd w:val="clear" w:color="auto" w:fill="auto"/>
            <w:vAlign w:val="center"/>
          </w:tcPr>
          <w:p w14:paraId="701A2232"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Assess the mutual benefits Strengths and Weaknesses since MTR and management response </w:t>
            </w:r>
          </w:p>
          <w:p w14:paraId="359EC530"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Anecdotal exchange of benefits</w:t>
            </w:r>
          </w:p>
          <w:p w14:paraId="26FF8101"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Document survey of the clarity and effectiveness of management systems in facilitating execution of project activities.</w:t>
            </w:r>
          </w:p>
        </w:tc>
      </w:tr>
      <w:tr w:rsidR="00166826" w:rsidRPr="00654AD3" w14:paraId="7E7C1B1B" w14:textId="77777777" w:rsidTr="00062DAE">
        <w:trPr>
          <w:gridAfter w:val="1"/>
          <w:wAfter w:w="24" w:type="dxa"/>
          <w:trHeight w:val="710"/>
        </w:trPr>
        <w:tc>
          <w:tcPr>
            <w:tcW w:w="3235" w:type="dxa"/>
            <w:shd w:val="clear" w:color="auto" w:fill="auto"/>
            <w:vAlign w:val="center"/>
          </w:tcPr>
          <w:p w14:paraId="5AC11B6B"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Have the Implementing and executing agencies established a productive  and safe workplace?</w:t>
            </w:r>
          </w:p>
        </w:tc>
        <w:tc>
          <w:tcPr>
            <w:tcW w:w="3595" w:type="dxa"/>
            <w:shd w:val="clear" w:color="auto" w:fill="auto"/>
            <w:vAlign w:val="center"/>
          </w:tcPr>
          <w:p w14:paraId="3D45B72E" w14:textId="77777777" w:rsidR="00166826" w:rsidRPr="00654AD3" w:rsidRDefault="00166826" w:rsidP="00D80344">
            <w:pPr>
              <w:widowControl w:val="0"/>
              <w:numPr>
                <w:ilvl w:val="0"/>
                <w:numId w:val="58"/>
              </w:numPr>
              <w:tabs>
                <w:tab w:val="left" w:pos="439"/>
                <w:tab w:val="left" w:pos="440"/>
              </w:tabs>
              <w:autoSpaceDE w:val="0"/>
              <w:autoSpaceDN w:val="0"/>
              <w:spacing w:after="0" w:line="240" w:lineRule="auto"/>
              <w:ind w:right="111"/>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standards (drug-free, abuse free, etc.) for workplace safety and harmony in place and monitored?</w:t>
            </w:r>
          </w:p>
          <w:p w14:paraId="36913B59" w14:textId="77777777" w:rsidR="00166826" w:rsidRPr="00654AD3" w:rsidRDefault="00166826" w:rsidP="00062DAE">
            <w:pPr>
              <w:widowControl w:val="0"/>
              <w:tabs>
                <w:tab w:val="left" w:pos="439"/>
                <w:tab w:val="left" w:pos="440"/>
              </w:tabs>
              <w:autoSpaceDE w:val="0"/>
              <w:autoSpaceDN w:val="0"/>
              <w:spacing w:after="0"/>
              <w:ind w:left="439" w:right="111"/>
              <w:rPr>
                <w:rFonts w:asciiTheme="minorHAnsi" w:eastAsia="Segoe UI" w:hAnsiTheme="minorHAnsi" w:cstheme="minorHAnsi"/>
                <w:sz w:val="20"/>
                <w:szCs w:val="20"/>
                <w:lang w:eastAsia="en-US" w:bidi="en-US"/>
              </w:rPr>
            </w:pPr>
          </w:p>
          <w:p w14:paraId="7C9EA4CA" w14:textId="77777777" w:rsidR="00166826" w:rsidRPr="00654AD3" w:rsidRDefault="00166826" w:rsidP="00D80344">
            <w:pPr>
              <w:widowControl w:val="0"/>
              <w:numPr>
                <w:ilvl w:val="0"/>
                <w:numId w:val="58"/>
              </w:numPr>
              <w:tabs>
                <w:tab w:val="left" w:pos="439"/>
                <w:tab w:val="left" w:pos="440"/>
              </w:tabs>
              <w:autoSpaceDE w:val="0"/>
              <w:autoSpaceDN w:val="0"/>
              <w:spacing w:after="0" w:line="240" w:lineRule="auto"/>
              <w:ind w:right="111"/>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there higher than usual turn-over in key positions?</w:t>
            </w:r>
          </w:p>
          <w:p w14:paraId="6D24C2F4" w14:textId="77777777" w:rsidR="00166826" w:rsidRPr="00654AD3" w:rsidRDefault="00166826" w:rsidP="00062DAE">
            <w:pPr>
              <w:widowControl w:val="0"/>
              <w:tabs>
                <w:tab w:val="left" w:pos="439"/>
                <w:tab w:val="left" w:pos="440"/>
              </w:tabs>
              <w:autoSpaceDE w:val="0"/>
              <w:autoSpaceDN w:val="0"/>
              <w:spacing w:after="0"/>
              <w:ind w:left="439" w:right="111"/>
              <w:rPr>
                <w:rFonts w:asciiTheme="minorHAnsi" w:eastAsia="Segoe UI" w:hAnsiTheme="minorHAnsi" w:cstheme="minorHAnsi"/>
                <w:sz w:val="20"/>
                <w:szCs w:val="20"/>
                <w:lang w:eastAsia="en-US" w:bidi="en-US"/>
              </w:rPr>
            </w:pPr>
          </w:p>
          <w:p w14:paraId="3658084C" w14:textId="77777777" w:rsidR="00166826" w:rsidRPr="00654AD3" w:rsidRDefault="00166826" w:rsidP="00D80344">
            <w:pPr>
              <w:widowControl w:val="0"/>
              <w:numPr>
                <w:ilvl w:val="0"/>
                <w:numId w:val="58"/>
              </w:numPr>
              <w:tabs>
                <w:tab w:val="left" w:pos="439"/>
                <w:tab w:val="left" w:pos="440"/>
              </w:tabs>
              <w:autoSpaceDE w:val="0"/>
              <w:autoSpaceDN w:val="0"/>
              <w:spacing w:after="0" w:line="240" w:lineRule="auto"/>
              <w:ind w:right="111"/>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 xml:space="preserve">Was training on filing grievances </w:t>
            </w:r>
            <w:r w:rsidRPr="00654AD3">
              <w:rPr>
                <w:rFonts w:asciiTheme="minorHAnsi" w:eastAsia="Times New Roman" w:hAnsiTheme="minorHAnsi" w:cstheme="minorHAnsi"/>
                <w:sz w:val="20"/>
                <w:szCs w:val="20"/>
                <w:lang w:bidi="en-US"/>
              </w:rPr>
              <w:lastRenderedPageBreak/>
              <w:t>provided?</w:t>
            </w:r>
          </w:p>
          <w:p w14:paraId="6A43169C" w14:textId="77777777" w:rsidR="00166826" w:rsidRPr="00654AD3" w:rsidRDefault="00166826" w:rsidP="00D80344">
            <w:pPr>
              <w:widowControl w:val="0"/>
              <w:numPr>
                <w:ilvl w:val="0"/>
                <w:numId w:val="58"/>
              </w:numPr>
              <w:tabs>
                <w:tab w:val="left" w:pos="439"/>
                <w:tab w:val="left" w:pos="440"/>
              </w:tabs>
              <w:autoSpaceDE w:val="0"/>
              <w:autoSpaceDN w:val="0"/>
              <w:spacing w:after="0" w:line="240" w:lineRule="auto"/>
              <w:ind w:right="111"/>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Were there any grievances filed by implementing partners, executing agencies or employees? (See Grievance Mechanism).</w:t>
            </w:r>
          </w:p>
        </w:tc>
        <w:tc>
          <w:tcPr>
            <w:tcW w:w="2864" w:type="dxa"/>
            <w:shd w:val="clear" w:color="auto" w:fill="auto"/>
            <w:vAlign w:val="center"/>
          </w:tcPr>
          <w:p w14:paraId="2AC7580F"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imes New Roman" w:hAnsiTheme="minorHAnsi" w:cstheme="minorHAnsi"/>
                <w:sz w:val="20"/>
                <w:szCs w:val="20"/>
              </w:rPr>
            </w:pPr>
            <w:r w:rsidRPr="00654AD3">
              <w:rPr>
                <w:rFonts w:asciiTheme="minorHAnsi" w:eastAsiaTheme="minorHAnsi" w:hAnsiTheme="minorHAnsi" w:cstheme="minorHAnsi"/>
                <w:sz w:val="20"/>
                <w:szCs w:val="20"/>
              </w:rPr>
              <w:lastRenderedPageBreak/>
              <w:t>The quality and visibility of documentation of workplace standards</w:t>
            </w:r>
          </w:p>
          <w:p w14:paraId="3C89F4D1"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imes New Roman" w:hAnsiTheme="minorHAnsi" w:cstheme="minorHAnsi"/>
                <w:sz w:val="20"/>
                <w:szCs w:val="20"/>
              </w:rPr>
            </w:pPr>
            <w:r w:rsidRPr="00654AD3">
              <w:rPr>
                <w:rFonts w:asciiTheme="minorHAnsi" w:eastAsiaTheme="minorHAnsi" w:hAnsiTheme="minorHAnsi" w:cstheme="minorHAnsi"/>
                <w:sz w:val="20"/>
                <w:szCs w:val="20"/>
              </w:rPr>
              <w:t>Measures in force to address grievances</w:t>
            </w:r>
          </w:p>
          <w:p w14:paraId="1381C6B4"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imes New Roman" w:hAnsiTheme="minorHAnsi" w:cstheme="minorHAnsi"/>
                <w:sz w:val="20"/>
                <w:szCs w:val="20"/>
              </w:rPr>
            </w:pPr>
            <w:r w:rsidRPr="00654AD3">
              <w:rPr>
                <w:rFonts w:asciiTheme="minorHAnsi" w:eastAsiaTheme="minorHAnsi" w:hAnsiTheme="minorHAnsi" w:cstheme="minorHAnsi"/>
                <w:sz w:val="20"/>
                <w:szCs w:val="20"/>
              </w:rPr>
              <w:t>Measures in force to provide and receive feedback.</w:t>
            </w:r>
          </w:p>
        </w:tc>
        <w:tc>
          <w:tcPr>
            <w:tcW w:w="2271" w:type="dxa"/>
            <w:gridSpan w:val="2"/>
            <w:shd w:val="clear" w:color="auto" w:fill="auto"/>
            <w:vAlign w:val="center"/>
          </w:tcPr>
          <w:p w14:paraId="74B09385"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Operations Manual</w:t>
            </w:r>
          </w:p>
          <w:p w14:paraId="351854FF"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KIIs Implementing PMU</w:t>
            </w:r>
          </w:p>
          <w:p w14:paraId="018181E6"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KIIs child project PMUs and PMU of Component 2. </w:t>
            </w:r>
          </w:p>
          <w:p w14:paraId="6060FE10" w14:textId="77777777" w:rsidR="00166826" w:rsidRPr="00654AD3" w:rsidRDefault="00166826" w:rsidP="00062DAE">
            <w:pPr>
              <w:widowControl w:val="0"/>
              <w:autoSpaceDE w:val="0"/>
              <w:autoSpaceDN w:val="0"/>
              <w:spacing w:after="0" w:line="240" w:lineRule="auto"/>
              <w:ind w:firstLineChars="200" w:firstLine="400"/>
              <w:rPr>
                <w:rFonts w:asciiTheme="minorHAnsi" w:eastAsia="Times New Roman" w:hAnsiTheme="minorHAnsi" w:cstheme="minorHAnsi"/>
                <w:sz w:val="20"/>
                <w:szCs w:val="20"/>
                <w:lang w:bidi="en-US"/>
              </w:rPr>
            </w:pPr>
          </w:p>
        </w:tc>
        <w:tc>
          <w:tcPr>
            <w:tcW w:w="2562" w:type="dxa"/>
            <w:gridSpan w:val="2"/>
            <w:shd w:val="clear" w:color="auto" w:fill="auto"/>
            <w:vAlign w:val="center"/>
          </w:tcPr>
          <w:p w14:paraId="03FF9DC9"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Assess the controls and/or rewards used to maintain a quality workplace. </w:t>
            </w:r>
          </w:p>
          <w:p w14:paraId="0054CB2A"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Assess directives</w:t>
            </w:r>
          </w:p>
          <w:p w14:paraId="5002C500" w14:textId="77777777" w:rsidR="00166826" w:rsidRPr="00654AD3" w:rsidRDefault="00166826" w:rsidP="00D80344">
            <w:pPr>
              <w:widowControl w:val="0"/>
              <w:numPr>
                <w:ilvl w:val="0"/>
                <w:numId w:val="59"/>
              </w:numPr>
              <w:autoSpaceDE w:val="0"/>
              <w:autoSpaceDN w:val="0"/>
              <w:spacing w:after="0" w:line="240" w:lineRule="auto"/>
              <w:ind w:left="223" w:hanging="18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Assess the grievance redress mechanism to register complaints, especially by non UNDP </w:t>
            </w:r>
            <w:r w:rsidRPr="00654AD3">
              <w:rPr>
                <w:rFonts w:asciiTheme="minorHAnsi" w:eastAsiaTheme="minorHAnsi" w:hAnsiTheme="minorHAnsi" w:cstheme="minorHAnsi"/>
                <w:sz w:val="20"/>
                <w:szCs w:val="20"/>
              </w:rPr>
              <w:lastRenderedPageBreak/>
              <w:t xml:space="preserve">Partners. </w:t>
            </w:r>
          </w:p>
          <w:p w14:paraId="154C7A6E" w14:textId="77777777" w:rsidR="00166826" w:rsidRPr="00654AD3" w:rsidRDefault="00166826" w:rsidP="00D80344">
            <w:pPr>
              <w:widowControl w:val="0"/>
              <w:numPr>
                <w:ilvl w:val="0"/>
                <w:numId w:val="59"/>
              </w:numPr>
              <w:autoSpaceDE w:val="0"/>
              <w:autoSpaceDN w:val="0"/>
              <w:spacing w:after="0" w:line="240" w:lineRule="auto"/>
              <w:ind w:left="916" w:hanging="270"/>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Assess the feedback and performance response function</w:t>
            </w:r>
          </w:p>
          <w:p w14:paraId="32017F44" w14:textId="77777777" w:rsidR="00166826" w:rsidRPr="00654AD3" w:rsidRDefault="00166826" w:rsidP="00062DAE">
            <w:pPr>
              <w:spacing w:after="0" w:line="240" w:lineRule="auto"/>
              <w:rPr>
                <w:rFonts w:asciiTheme="minorHAnsi" w:eastAsiaTheme="minorHAnsi" w:hAnsiTheme="minorHAnsi" w:cstheme="minorHAnsi"/>
                <w:sz w:val="20"/>
                <w:szCs w:val="20"/>
              </w:rPr>
            </w:pPr>
          </w:p>
        </w:tc>
      </w:tr>
      <w:tr w:rsidR="00166826" w:rsidRPr="00654AD3" w14:paraId="2AB0C680" w14:textId="77777777" w:rsidTr="00062DAE">
        <w:trPr>
          <w:gridAfter w:val="2"/>
          <w:wAfter w:w="42" w:type="dxa"/>
          <w:trHeight w:val="980"/>
        </w:trPr>
        <w:tc>
          <w:tcPr>
            <w:tcW w:w="3235" w:type="dxa"/>
            <w:shd w:val="clear" w:color="auto" w:fill="auto"/>
            <w:vAlign w:val="center"/>
          </w:tcPr>
          <w:p w14:paraId="7A28DEFB"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lastRenderedPageBreak/>
              <w:t>What was the quality of upstream/downstream communication on project achievements and changing scenarios?</w:t>
            </w:r>
          </w:p>
        </w:tc>
        <w:tc>
          <w:tcPr>
            <w:tcW w:w="3595" w:type="dxa"/>
            <w:shd w:val="clear" w:color="auto" w:fill="auto"/>
            <w:vAlign w:val="center"/>
          </w:tcPr>
          <w:p w14:paraId="0CFF2CE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Times New Roman" w:hAnsiTheme="minorHAnsi" w:cstheme="minorHAnsi"/>
                <w:sz w:val="20"/>
                <w:szCs w:val="20"/>
                <w:lang w:bidi="en-US"/>
              </w:rPr>
              <w:t>Did the Project Team keep the Project Board informed of new risks, changes to existing risks and the escalation of risks?</w:t>
            </w:r>
          </w:p>
        </w:tc>
        <w:tc>
          <w:tcPr>
            <w:tcW w:w="2864" w:type="dxa"/>
            <w:shd w:val="clear" w:color="auto" w:fill="auto"/>
            <w:vAlign w:val="center"/>
          </w:tcPr>
          <w:p w14:paraId="346AA58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Presence (#) or absence of risks reported and mitigated vs. TE risk assessment.</w:t>
            </w:r>
          </w:p>
        </w:tc>
        <w:tc>
          <w:tcPr>
            <w:tcW w:w="2256" w:type="dxa"/>
            <w:shd w:val="clear" w:color="auto" w:fill="auto"/>
          </w:tcPr>
          <w:p w14:paraId="7A5C554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PRODOC Risk Assessment</w:t>
            </w:r>
          </w:p>
          <w:p w14:paraId="4340519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 Risk Assessment</w:t>
            </w:r>
          </w:p>
          <w:p w14:paraId="1587151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 Risk Assessment and UNDP annual reports</w:t>
            </w:r>
          </w:p>
          <w:p w14:paraId="7A415AF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with M&amp;E specialists KIIs with the Steering committee and Project Board.</w:t>
            </w:r>
          </w:p>
          <w:p w14:paraId="384B8B6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Board and Steering Committee meeting minutes/reports and presentations</w:t>
            </w:r>
          </w:p>
        </w:tc>
        <w:tc>
          <w:tcPr>
            <w:tcW w:w="2559" w:type="dxa"/>
            <w:gridSpan w:val="2"/>
            <w:shd w:val="clear" w:color="auto" w:fill="auto"/>
          </w:tcPr>
          <w:p w14:paraId="452EAD0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Analyze how risks were communicated upstream and responded to downstream</w:t>
            </w:r>
          </w:p>
        </w:tc>
      </w:tr>
      <w:tr w:rsidR="00166826" w:rsidRPr="00654AD3" w14:paraId="1CB13C95" w14:textId="77777777" w:rsidTr="00062DAE">
        <w:trPr>
          <w:gridAfter w:val="2"/>
          <w:wAfter w:w="42" w:type="dxa"/>
          <w:trHeight w:val="890"/>
        </w:trPr>
        <w:tc>
          <w:tcPr>
            <w:tcW w:w="3235" w:type="dxa"/>
            <w:shd w:val="clear" w:color="auto" w:fill="auto"/>
            <w:vAlign w:val="center"/>
          </w:tcPr>
          <w:p w14:paraId="5ABBF7FC"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What changes did the project undergo as a result of recommendations? from the Mid-Term Review and/or changing and emerging situations.? </w:t>
            </w:r>
          </w:p>
        </w:tc>
        <w:tc>
          <w:tcPr>
            <w:tcW w:w="3595" w:type="dxa"/>
            <w:shd w:val="clear" w:color="auto" w:fill="auto"/>
            <w:vAlign w:val="center"/>
          </w:tcPr>
          <w:p w14:paraId="7825766E"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What was the process and implications? (Consider presenting the MTR recommendations, management responses to the recommendations, and TE team comments in a table format</w:t>
            </w:r>
          </w:p>
          <w:p w14:paraId="503D4BC7"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Did the changes affect the project outcomes?</w:t>
            </w:r>
          </w:p>
          <w:p w14:paraId="5A90E7D5"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What is the involvement of the Secretariat and Steering Committee and Project Board in authorizing changes?</w:t>
            </w:r>
          </w:p>
        </w:tc>
        <w:tc>
          <w:tcPr>
            <w:tcW w:w="2864" w:type="dxa"/>
            <w:shd w:val="clear" w:color="auto" w:fill="auto"/>
          </w:tcPr>
          <w:p w14:paraId="041ACEB8"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lastRenderedPageBreak/>
              <w:t xml:space="preserve">The # of successful adaptive management practices that address bottlenecks in implementation or in response to MTR recommendations. </w:t>
            </w:r>
          </w:p>
        </w:tc>
        <w:tc>
          <w:tcPr>
            <w:tcW w:w="2256" w:type="dxa"/>
            <w:shd w:val="clear" w:color="auto" w:fill="auto"/>
          </w:tcPr>
          <w:p w14:paraId="1379116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 Report and annexes/recommendations</w:t>
            </w:r>
          </w:p>
          <w:p w14:paraId="269C9A5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Log of adaptations</w:t>
            </w:r>
          </w:p>
          <w:p w14:paraId="60D9EF3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 Management response documents</w:t>
            </w:r>
          </w:p>
          <w:p w14:paraId="23BB1B9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minutes of GGP </w:t>
            </w:r>
            <w:r w:rsidRPr="00654AD3">
              <w:rPr>
                <w:rFonts w:asciiTheme="minorHAnsi" w:eastAsia="Segoe UI" w:hAnsiTheme="minorHAnsi" w:cstheme="minorHAnsi"/>
                <w:sz w:val="20"/>
                <w:szCs w:val="20"/>
                <w:lang w:eastAsia="en-US" w:bidi="en-US"/>
              </w:rPr>
              <w:lastRenderedPageBreak/>
              <w:t>Secretariat, Steering Committee and Project Board meetings</w:t>
            </w:r>
          </w:p>
        </w:tc>
        <w:tc>
          <w:tcPr>
            <w:tcW w:w="2559" w:type="dxa"/>
            <w:gridSpan w:val="2"/>
            <w:shd w:val="clear" w:color="auto" w:fill="auto"/>
          </w:tcPr>
          <w:p w14:paraId="5C1E97C5" w14:textId="77777777" w:rsidR="00166826" w:rsidRPr="00654AD3" w:rsidRDefault="00166826" w:rsidP="00062DAE">
            <w:pPr>
              <w:widowControl w:val="0"/>
              <w:tabs>
                <w:tab w:val="left" w:pos="1681"/>
              </w:tabs>
              <w:autoSpaceDE w:val="0"/>
              <w:autoSpaceDN w:val="0"/>
              <w:spacing w:after="0" w:line="240" w:lineRule="auto"/>
              <w:ind w:right="-74"/>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lastRenderedPageBreak/>
              <w:t>Test for effectiveness and instrumentation of feedback loops</w:t>
            </w:r>
          </w:p>
        </w:tc>
      </w:tr>
      <w:tr w:rsidR="00166826" w:rsidRPr="00654AD3" w14:paraId="4483E744" w14:textId="77777777" w:rsidTr="00062DAE">
        <w:trPr>
          <w:gridAfter w:val="2"/>
          <w:wAfter w:w="42" w:type="dxa"/>
          <w:trHeight w:val="1575"/>
        </w:trPr>
        <w:tc>
          <w:tcPr>
            <w:tcW w:w="3235" w:type="dxa"/>
            <w:shd w:val="clear" w:color="auto" w:fill="auto"/>
          </w:tcPr>
          <w:p w14:paraId="566DD5B4" w14:textId="77777777" w:rsidR="00166826" w:rsidRPr="00654AD3" w:rsidRDefault="00166826" w:rsidP="00062DAE">
            <w:pPr>
              <w:widowControl w:val="0"/>
              <w:autoSpaceDE w:val="0"/>
              <w:autoSpaceDN w:val="0"/>
              <w:spacing w:before="20" w:after="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How did the PMU guide adaptations to challenges faced during implementation? (Cross-cutting with Component 1)</w:t>
            </w:r>
          </w:p>
        </w:tc>
        <w:tc>
          <w:tcPr>
            <w:tcW w:w="3595" w:type="dxa"/>
            <w:shd w:val="clear" w:color="auto" w:fill="auto"/>
            <w:vAlign w:val="center"/>
          </w:tcPr>
          <w:p w14:paraId="4EAC2F5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what was the role of the A&amp;L project in adaptively managing practices addressed bottlenecks in implementing or attainment of Program goals? </w:t>
            </w:r>
          </w:p>
        </w:tc>
        <w:tc>
          <w:tcPr>
            <w:tcW w:w="2864" w:type="dxa"/>
            <w:shd w:val="clear" w:color="auto" w:fill="auto"/>
          </w:tcPr>
          <w:p w14:paraId="3EA1B58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the number of successful adaptive management practices addressing bottlenecks</w:t>
            </w:r>
          </w:p>
        </w:tc>
        <w:tc>
          <w:tcPr>
            <w:tcW w:w="2256" w:type="dxa"/>
            <w:shd w:val="clear" w:color="auto" w:fill="auto"/>
          </w:tcPr>
          <w:p w14:paraId="5CBD3B4E"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QR</w:t>
            </w:r>
          </w:p>
          <w:p w14:paraId="6298FB92"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w:t>
            </w:r>
          </w:p>
          <w:p w14:paraId="21F800E2"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Minutes GGP PSC</w:t>
            </w:r>
          </w:p>
          <w:p w14:paraId="4246A6B5"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Minutes Secretariat</w:t>
            </w:r>
          </w:p>
          <w:p w14:paraId="2B7647F8"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GEF lessons learned Workshop</w:t>
            </w:r>
          </w:p>
          <w:p w14:paraId="73B3C33E"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Adaptive management practices log</w:t>
            </w:r>
          </w:p>
          <w:p w14:paraId="52560CAC"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w:t>
            </w:r>
          </w:p>
        </w:tc>
        <w:tc>
          <w:tcPr>
            <w:tcW w:w="2559" w:type="dxa"/>
            <w:gridSpan w:val="2"/>
            <w:shd w:val="clear" w:color="auto" w:fill="auto"/>
          </w:tcPr>
          <w:p w14:paraId="4A30F2BB"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Audit of the number of adaptive management practices documented.</w:t>
            </w:r>
          </w:p>
          <w:p w14:paraId="52DCDE61"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7E4BFF09"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Targeted interviews in each country to validate if/how bottlenecks were removed.</w:t>
            </w:r>
          </w:p>
        </w:tc>
      </w:tr>
      <w:tr w:rsidR="00166826" w:rsidRPr="00654AD3" w14:paraId="664B0DD1" w14:textId="77777777" w:rsidTr="00062DAE">
        <w:trPr>
          <w:trHeight w:val="493"/>
        </w:trPr>
        <w:tc>
          <w:tcPr>
            <w:tcW w:w="14551" w:type="dxa"/>
            <w:gridSpan w:val="8"/>
            <w:shd w:val="clear" w:color="000000" w:fill="DDD9C3"/>
            <w:vAlign w:val="center"/>
          </w:tcPr>
          <w:p w14:paraId="134C043B"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sz w:val="20"/>
                <w:szCs w:val="20"/>
                <w:lang w:bidi="en-US"/>
              </w:rPr>
            </w:pPr>
            <w:r w:rsidRPr="00654AD3">
              <w:rPr>
                <w:rFonts w:asciiTheme="minorHAnsi" w:eastAsia="Times New Roman" w:hAnsiTheme="minorHAnsi" w:cstheme="minorHAnsi"/>
                <w:b/>
                <w:bCs/>
                <w:sz w:val="20"/>
                <w:szCs w:val="20"/>
                <w:lang w:bidi="en-US"/>
              </w:rPr>
              <w:t xml:space="preserve"> Effectiveness: Project Implementation: Execution of the Monitoring and Evaluation</w:t>
            </w:r>
            <w:r w:rsidRPr="00654AD3">
              <w:rPr>
                <w:rStyle w:val="FootnoteReference"/>
                <w:rFonts w:asciiTheme="minorHAnsi" w:eastAsia="Times New Roman" w:hAnsiTheme="minorHAnsi" w:cstheme="minorHAnsi"/>
                <w:b/>
                <w:bCs/>
                <w:sz w:val="20"/>
                <w:szCs w:val="20"/>
                <w:lang w:bidi="en-US"/>
              </w:rPr>
              <w:footnoteReference w:id="8"/>
            </w:r>
            <w:r w:rsidRPr="00654AD3">
              <w:rPr>
                <w:rFonts w:asciiTheme="minorHAnsi" w:eastAsia="Times New Roman" w:hAnsiTheme="minorHAnsi" w:cstheme="minorHAnsi"/>
                <w:b/>
                <w:bCs/>
                <w:sz w:val="20"/>
                <w:szCs w:val="20"/>
                <w:lang w:bidi="en-US"/>
              </w:rPr>
              <w:t xml:space="preserve"> Plan</w:t>
            </w:r>
          </w:p>
        </w:tc>
      </w:tr>
      <w:tr w:rsidR="00166826" w:rsidRPr="00654AD3" w14:paraId="0B3E455E" w14:textId="77777777" w:rsidTr="00062DAE">
        <w:trPr>
          <w:trHeight w:val="1575"/>
        </w:trPr>
        <w:tc>
          <w:tcPr>
            <w:tcW w:w="3235" w:type="dxa"/>
            <w:shd w:val="clear" w:color="auto" w:fill="auto"/>
            <w:vAlign w:val="center"/>
          </w:tcPr>
          <w:p w14:paraId="685E0894" w14:textId="77777777" w:rsidR="00166826" w:rsidRPr="00654AD3" w:rsidRDefault="00166826" w:rsidP="00062DAE">
            <w:pPr>
              <w:widowControl w:val="0"/>
              <w:tabs>
                <w:tab w:val="left" w:pos="449"/>
              </w:tabs>
              <w:autoSpaceDE w:val="0"/>
              <w:autoSpaceDN w:val="0"/>
              <w:spacing w:before="1" w:after="0"/>
              <w:ind w:left="451"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M&amp;E plan well-designed, practical, and sufficient at CEO endorsement to monitor results and track progress toward achieving objectives of a complex multi-stakeholder project?</w:t>
            </w:r>
          </w:p>
        </w:tc>
        <w:tc>
          <w:tcPr>
            <w:tcW w:w="3595" w:type="dxa"/>
            <w:shd w:val="clear" w:color="auto" w:fill="auto"/>
            <w:vAlign w:val="center"/>
          </w:tcPr>
          <w:p w14:paraId="7A7C070E"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Is the Project M&amp;E function compliant with GEF and UNDP Policy for Project monitoring and evaluation</w:t>
            </w:r>
            <w:r w:rsidRPr="00654AD3">
              <w:rPr>
                <w:rFonts w:asciiTheme="minorHAnsi" w:eastAsia="Segoe UI" w:hAnsiTheme="minorHAnsi" w:cstheme="minorHAnsi"/>
                <w:sz w:val="20"/>
                <w:szCs w:val="20"/>
                <w:vertAlign w:val="superscript"/>
                <w:lang w:eastAsia="en-US" w:bidi="en-US"/>
              </w:rPr>
              <w:footnoteReference w:id="9"/>
            </w:r>
            <w:r w:rsidRPr="00654AD3">
              <w:rPr>
                <w:rFonts w:asciiTheme="minorHAnsi" w:eastAsia="Segoe UI" w:hAnsiTheme="minorHAnsi" w:cstheme="minorHAnsi"/>
                <w:sz w:val="20"/>
                <w:szCs w:val="20"/>
                <w:lang w:eastAsia="en-US" w:bidi="en-US"/>
              </w:rPr>
              <w:t>?</w:t>
            </w:r>
          </w:p>
          <w:p w14:paraId="03279681"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Did the M&amp;E plan specify how the project will keep the GEF OFPs informed and involved? </w:t>
            </w:r>
          </w:p>
        </w:tc>
        <w:tc>
          <w:tcPr>
            <w:tcW w:w="2864" w:type="dxa"/>
            <w:shd w:val="clear" w:color="auto" w:fill="auto"/>
            <w:vAlign w:val="center"/>
          </w:tcPr>
          <w:p w14:paraId="20C5946E"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Comparison with terms in guidelines</w:t>
            </w:r>
          </w:p>
          <w:p w14:paraId="56DBF0F7"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Extent of compliance with progress and financial reporting requirements, including quality and timeliness of reports </w:t>
            </w:r>
          </w:p>
        </w:tc>
        <w:tc>
          <w:tcPr>
            <w:tcW w:w="2256" w:type="dxa"/>
            <w:shd w:val="clear" w:color="auto" w:fill="auto"/>
            <w:vAlign w:val="center"/>
          </w:tcPr>
          <w:p w14:paraId="4EB81CA1"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M&amp;E Plan</w:t>
            </w:r>
          </w:p>
          <w:p w14:paraId="082F31B8"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Operations Manual</w:t>
            </w:r>
          </w:p>
          <w:p w14:paraId="15932288"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from PMU, Child projects and component 2 actors: WWF and I</w:t>
            </w:r>
            <w:r>
              <w:rPr>
                <w:rFonts w:asciiTheme="minorHAnsi" w:eastAsia="Segoe UI" w:hAnsiTheme="minorHAnsi" w:cstheme="minorHAnsi"/>
                <w:sz w:val="20"/>
                <w:szCs w:val="20"/>
                <w:lang w:eastAsia="en-US" w:bidi="en-US"/>
              </w:rPr>
              <w:t>SEAL</w:t>
            </w:r>
            <w:r w:rsidRPr="00654AD3">
              <w:rPr>
                <w:rFonts w:asciiTheme="minorHAnsi" w:eastAsia="Segoe UI" w:hAnsiTheme="minorHAnsi" w:cstheme="minorHAnsi"/>
                <w:sz w:val="20"/>
                <w:szCs w:val="20"/>
                <w:lang w:eastAsia="en-US" w:bidi="en-US"/>
              </w:rPr>
              <w:t xml:space="preserve">, and OFPs. </w:t>
            </w:r>
          </w:p>
        </w:tc>
        <w:tc>
          <w:tcPr>
            <w:tcW w:w="2601" w:type="dxa"/>
            <w:gridSpan w:val="4"/>
            <w:shd w:val="clear" w:color="auto" w:fill="auto"/>
            <w:vAlign w:val="center"/>
          </w:tcPr>
          <w:p w14:paraId="48A08835"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Assessment of the M&amp;E Design at Entry:</w:t>
            </w:r>
          </w:p>
          <w:p w14:paraId="51963A0F"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Audit for compliance with UNDP/GEF guidance and policy</w:t>
            </w:r>
          </w:p>
        </w:tc>
      </w:tr>
      <w:tr w:rsidR="00166826" w:rsidRPr="00654AD3" w14:paraId="7946F12F" w14:textId="77777777" w:rsidTr="00062DAE">
        <w:trPr>
          <w:trHeight w:val="1322"/>
        </w:trPr>
        <w:tc>
          <w:tcPr>
            <w:tcW w:w="3235" w:type="dxa"/>
            <w:shd w:val="clear" w:color="auto" w:fill="auto"/>
            <w:vAlign w:val="center"/>
          </w:tcPr>
          <w:p w14:paraId="6EF7DA8C" w14:textId="77777777" w:rsidR="00166826" w:rsidRPr="00654AD3" w:rsidRDefault="00166826" w:rsidP="00062DAE">
            <w:pPr>
              <w:widowControl w:val="0"/>
              <w:autoSpaceDE w:val="0"/>
              <w:autoSpaceDN w:val="0"/>
              <w:spacing w:after="0" w:line="240" w:lineRule="auto"/>
              <w:jc w:val="center"/>
              <w:rPr>
                <w:rFonts w:asciiTheme="minorHAnsi" w:eastAsia="Times New Roman" w:hAnsiTheme="minorHAnsi" w:cstheme="minorHAnsi"/>
                <w:sz w:val="20"/>
                <w:szCs w:val="20"/>
                <w:lang w:bidi="en-US"/>
              </w:rPr>
            </w:pPr>
          </w:p>
        </w:tc>
        <w:tc>
          <w:tcPr>
            <w:tcW w:w="3595" w:type="dxa"/>
            <w:shd w:val="clear" w:color="auto" w:fill="auto"/>
            <w:vAlign w:val="center"/>
          </w:tcPr>
          <w:p w14:paraId="35881DED"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 xml:space="preserve">Was the M&amp;E Plan sufficiently budgeted during project design? </w:t>
            </w:r>
          </w:p>
          <w:p w14:paraId="41F0EAAF"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Was it sufficiently funded during project implementation?</w:t>
            </w:r>
            <w:r w:rsidRPr="00654AD3">
              <w:rPr>
                <w:rFonts w:asciiTheme="minorHAnsi" w:eastAsia="Times New Roman" w:hAnsiTheme="minorHAnsi" w:cstheme="minorHAnsi"/>
                <w:sz w:val="20"/>
                <w:szCs w:val="20"/>
                <w:lang w:bidi="en-US"/>
              </w:rPr>
              <w:t xml:space="preserve"> </w:t>
            </w:r>
          </w:p>
        </w:tc>
        <w:tc>
          <w:tcPr>
            <w:tcW w:w="2864" w:type="dxa"/>
            <w:shd w:val="clear" w:color="auto" w:fill="auto"/>
            <w:vAlign w:val="center"/>
          </w:tcPr>
          <w:p w14:paraId="52681064"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Amount deployed for Project M&amp;E</w:t>
            </w:r>
          </w:p>
        </w:tc>
        <w:tc>
          <w:tcPr>
            <w:tcW w:w="2256" w:type="dxa"/>
            <w:shd w:val="clear" w:color="auto" w:fill="auto"/>
            <w:vAlign w:val="center"/>
          </w:tcPr>
          <w:p w14:paraId="7D49BDD7"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M&amp;E plan</w:t>
            </w:r>
          </w:p>
          <w:p w14:paraId="1104E86E"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M&amp;E Budget</w:t>
            </w:r>
          </w:p>
          <w:p w14:paraId="0455793D"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in M&amp;E</w:t>
            </w:r>
          </w:p>
        </w:tc>
        <w:tc>
          <w:tcPr>
            <w:tcW w:w="2601" w:type="dxa"/>
            <w:gridSpan w:val="4"/>
            <w:shd w:val="clear" w:color="auto" w:fill="auto"/>
            <w:vAlign w:val="center"/>
          </w:tcPr>
          <w:p w14:paraId="5E18D241"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Cost assessment of M&amp;E Plan vs. Budget </w:t>
            </w:r>
          </w:p>
        </w:tc>
      </w:tr>
      <w:tr w:rsidR="00166826" w:rsidRPr="00654AD3" w14:paraId="03C6F9BF" w14:textId="77777777" w:rsidTr="00062DAE">
        <w:trPr>
          <w:trHeight w:val="350"/>
        </w:trPr>
        <w:tc>
          <w:tcPr>
            <w:tcW w:w="3235" w:type="dxa"/>
            <w:shd w:val="clear" w:color="auto" w:fill="auto"/>
            <w:vAlign w:val="center"/>
          </w:tcPr>
          <w:p w14:paraId="319F95A8"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p>
        </w:tc>
        <w:tc>
          <w:tcPr>
            <w:tcW w:w="3595" w:type="dxa"/>
            <w:shd w:val="clear" w:color="auto" w:fill="auto"/>
            <w:vAlign w:val="center"/>
          </w:tcPr>
          <w:p w14:paraId="523D11FE"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Were the M&amp;E system users trained for the M&amp;E activities to </w:t>
            </w:r>
            <w:r w:rsidRPr="00654AD3">
              <w:rPr>
                <w:rFonts w:asciiTheme="minorHAnsi" w:eastAsia="Segoe UI" w:hAnsiTheme="minorHAnsi" w:cstheme="minorHAnsi"/>
                <w:sz w:val="20"/>
                <w:szCs w:val="20"/>
                <w:lang w:eastAsia="en-US" w:bidi="en-US"/>
              </w:rPr>
              <w:lastRenderedPageBreak/>
              <w:t>ensure effective data collection and use during and after project closure</w:t>
            </w:r>
          </w:p>
          <w:p w14:paraId="0BE80D73"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What is the extent to which the Project Team used inclusive, innovative, and participatory monitoring systems?</w:t>
            </w:r>
          </w:p>
          <w:p w14:paraId="6058B5E3"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Are lessons learned being documented by the Project Team on a continual basis?</w:t>
            </w:r>
          </w:p>
        </w:tc>
        <w:tc>
          <w:tcPr>
            <w:tcW w:w="2864" w:type="dxa"/>
            <w:shd w:val="clear" w:color="auto" w:fill="auto"/>
            <w:vAlign w:val="center"/>
          </w:tcPr>
          <w:p w14:paraId="4646BFBF"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lastRenderedPageBreak/>
              <w:t xml:space="preserve">Presence or absence of training and plan to sustain information </w:t>
            </w:r>
            <w:r w:rsidRPr="00654AD3">
              <w:rPr>
                <w:rFonts w:asciiTheme="minorHAnsi" w:eastAsia="Times New Roman" w:hAnsiTheme="minorHAnsi" w:cstheme="minorHAnsi"/>
                <w:sz w:val="20"/>
                <w:szCs w:val="20"/>
                <w:lang w:bidi="en-US"/>
              </w:rPr>
              <w:lastRenderedPageBreak/>
              <w:t>collection and interpretation activities.</w:t>
            </w:r>
          </w:p>
        </w:tc>
        <w:tc>
          <w:tcPr>
            <w:tcW w:w="2256" w:type="dxa"/>
            <w:shd w:val="clear" w:color="auto" w:fill="auto"/>
            <w:vAlign w:val="center"/>
          </w:tcPr>
          <w:p w14:paraId="2336ED03"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KIIs</w:t>
            </w:r>
          </w:p>
          <w:p w14:paraId="0D2F51C7"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PIRs, QRs</w:t>
            </w:r>
          </w:p>
          <w:p w14:paraId="6B60EFEB"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Lessons learned database</w:t>
            </w:r>
          </w:p>
        </w:tc>
        <w:tc>
          <w:tcPr>
            <w:tcW w:w="2601" w:type="dxa"/>
            <w:gridSpan w:val="4"/>
            <w:shd w:val="clear" w:color="auto" w:fill="auto"/>
            <w:vAlign w:val="center"/>
          </w:tcPr>
          <w:p w14:paraId="00E10628" w14:textId="77777777" w:rsidR="00166826" w:rsidRPr="00654AD3" w:rsidRDefault="00166826" w:rsidP="00D80344">
            <w:pPr>
              <w:widowControl w:val="0"/>
              <w:numPr>
                <w:ilvl w:val="0"/>
                <w:numId w:val="57"/>
              </w:numPr>
              <w:autoSpaceDE w:val="0"/>
              <w:autoSpaceDN w:val="0"/>
              <w:spacing w:after="120" w:line="240" w:lineRule="auto"/>
              <w:ind w:left="380"/>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Assess capacity building to support M&amp;E</w:t>
            </w:r>
          </w:p>
          <w:p w14:paraId="53B5E2B4" w14:textId="77777777" w:rsidR="00166826" w:rsidRPr="00654AD3" w:rsidRDefault="00166826" w:rsidP="00D80344">
            <w:pPr>
              <w:widowControl w:val="0"/>
              <w:numPr>
                <w:ilvl w:val="0"/>
                <w:numId w:val="57"/>
              </w:numPr>
              <w:autoSpaceDE w:val="0"/>
              <w:autoSpaceDN w:val="0"/>
              <w:spacing w:after="120" w:line="240" w:lineRule="auto"/>
              <w:ind w:left="380"/>
              <w:rPr>
                <w:rFonts w:asciiTheme="minorHAnsi" w:eastAsia="Segoe UI" w:hAnsiTheme="minorHAnsi" w:cstheme="minorHAnsi"/>
                <w:sz w:val="20"/>
                <w:szCs w:val="20"/>
                <w:lang w:eastAsia="en-US" w:bidi="en-US"/>
              </w:rPr>
            </w:pPr>
          </w:p>
        </w:tc>
      </w:tr>
      <w:tr w:rsidR="00166826" w:rsidRPr="00654AD3" w14:paraId="41D53F27" w14:textId="77777777" w:rsidTr="00062DAE">
        <w:trPr>
          <w:gridAfter w:val="2"/>
          <w:wAfter w:w="42" w:type="dxa"/>
          <w:trHeight w:val="493"/>
        </w:trPr>
        <w:tc>
          <w:tcPr>
            <w:tcW w:w="14509" w:type="dxa"/>
            <w:gridSpan w:val="6"/>
            <w:shd w:val="clear" w:color="000000" w:fill="DDD9C3"/>
            <w:vAlign w:val="center"/>
          </w:tcPr>
          <w:p w14:paraId="0367D7FA"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bookmarkStart w:id="134" w:name="_Hlk78819471"/>
            <w:r w:rsidRPr="00654AD3">
              <w:rPr>
                <w:rFonts w:asciiTheme="minorHAnsi" w:eastAsia="Times New Roman" w:hAnsiTheme="minorHAnsi" w:cstheme="minorHAnsi"/>
                <w:b/>
                <w:bCs/>
                <w:i/>
                <w:iCs/>
                <w:sz w:val="20"/>
                <w:szCs w:val="20"/>
                <w:lang w:bidi="en-US"/>
              </w:rPr>
              <w:lastRenderedPageBreak/>
              <w:t>Efficiency: Have the project´s assets been deployed efficiently and to International Norms and Standards (Rating Required)</w:t>
            </w:r>
          </w:p>
        </w:tc>
      </w:tr>
      <w:bookmarkEnd w:id="134"/>
      <w:tr w:rsidR="00166826" w:rsidRPr="00654AD3" w14:paraId="38FCE488" w14:textId="77777777" w:rsidTr="00062DAE">
        <w:trPr>
          <w:gridAfter w:val="2"/>
          <w:wAfter w:w="42" w:type="dxa"/>
          <w:trHeight w:val="530"/>
        </w:trPr>
        <w:tc>
          <w:tcPr>
            <w:tcW w:w="3235" w:type="dxa"/>
            <w:vMerge w:val="restart"/>
            <w:shd w:val="clear" w:color="auto" w:fill="auto"/>
            <w:vAlign w:val="center"/>
          </w:tcPr>
          <w:p w14:paraId="2CE490E3" w14:textId="77777777" w:rsidR="00166826" w:rsidRPr="00654AD3" w:rsidRDefault="00166826" w:rsidP="00062DAE">
            <w:pPr>
              <w:widowControl w:val="0"/>
              <w:autoSpaceDE w:val="0"/>
              <w:autoSpaceDN w:val="0"/>
              <w:spacing w:before="1" w:after="0"/>
              <w:ind w:left="15"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project implemented efficiently in-line with international and national norms and standards?</w:t>
            </w:r>
          </w:p>
        </w:tc>
        <w:tc>
          <w:tcPr>
            <w:tcW w:w="3595" w:type="dxa"/>
            <w:shd w:val="clear" w:color="auto" w:fill="auto"/>
            <w:vAlign w:val="center"/>
          </w:tcPr>
          <w:p w14:paraId="57972683"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p w14:paraId="5CAD4575"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To what extent is the relationship between inputs, outputs, outcomes and objectives timely, cost-effective, and to expected standards?</w:t>
            </w:r>
          </w:p>
          <w:p w14:paraId="7E4E797C"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there delays in implementation that affected cost effectiveness?</w:t>
            </w:r>
          </w:p>
        </w:tc>
        <w:tc>
          <w:tcPr>
            <w:tcW w:w="2864" w:type="dxa"/>
            <w:shd w:val="clear" w:color="auto" w:fill="auto"/>
          </w:tcPr>
          <w:p w14:paraId="23977E0A"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Quarterly Budget execution by Output </w:t>
            </w:r>
          </w:p>
          <w:p w14:paraId="05CB0001"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Changes per component registered in the budget approved at CEO endorsement and at TE.</w:t>
            </w:r>
          </w:p>
          <w:p w14:paraId="57CBECF2" w14:textId="77777777" w:rsidR="00166826" w:rsidRPr="00654AD3" w:rsidRDefault="00166826" w:rsidP="00D80344">
            <w:pPr>
              <w:widowControl w:val="0"/>
              <w:numPr>
                <w:ilvl w:val="0"/>
                <w:numId w:val="57"/>
              </w:numPr>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The quarterly budget execution rate per component, project management, and M&amp;E</w:t>
            </w:r>
          </w:p>
          <w:p w14:paraId="454DDDCD"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Number of authorized changes in the Project Budget that changed the balance of inputs to components?</w:t>
            </w:r>
          </w:p>
        </w:tc>
        <w:tc>
          <w:tcPr>
            <w:tcW w:w="2256" w:type="dxa"/>
            <w:shd w:val="clear" w:color="auto" w:fill="auto"/>
          </w:tcPr>
          <w:p w14:paraId="5742CBC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Recorded annual approved workplans and budget.</w:t>
            </w:r>
          </w:p>
          <w:p w14:paraId="3891588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Recorded annual/quarterly expenditures</w:t>
            </w:r>
          </w:p>
          <w:p w14:paraId="3AFD2F5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Recorded dates of liquidation/disbursement.</w:t>
            </w:r>
          </w:p>
          <w:p w14:paraId="1E0D2A3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7A1865A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Annual Work Plans</w:t>
            </w:r>
          </w:p>
          <w:p w14:paraId="14FFA47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Approved Budget corrections if applicable.</w:t>
            </w:r>
          </w:p>
        </w:tc>
        <w:tc>
          <w:tcPr>
            <w:tcW w:w="2559" w:type="dxa"/>
            <w:gridSpan w:val="2"/>
            <w:shd w:val="clear" w:color="auto" w:fill="auto"/>
          </w:tcPr>
          <w:p w14:paraId="2E54132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Trend analysis of budget execution rate </w:t>
            </w:r>
          </w:p>
          <w:p w14:paraId="6A6FE7C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Comparative analysis of budget efficiency (annual budget vs. executed budget)</w:t>
            </w:r>
          </w:p>
          <w:p w14:paraId="621ACB7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Analyze efficiency in timeliness of completion of inputs and realization of outputs.</w:t>
            </w:r>
          </w:p>
        </w:tc>
      </w:tr>
      <w:tr w:rsidR="00166826" w:rsidRPr="00654AD3" w14:paraId="6D474A4A" w14:textId="77777777" w:rsidTr="00062DAE">
        <w:trPr>
          <w:gridAfter w:val="2"/>
          <w:wAfter w:w="42" w:type="dxa"/>
          <w:trHeight w:val="530"/>
        </w:trPr>
        <w:tc>
          <w:tcPr>
            <w:tcW w:w="3235" w:type="dxa"/>
            <w:vMerge/>
            <w:shd w:val="clear" w:color="auto" w:fill="auto"/>
            <w:vAlign w:val="center"/>
          </w:tcPr>
          <w:p w14:paraId="58D80DBF" w14:textId="77777777" w:rsidR="00166826" w:rsidRPr="00654AD3" w:rsidRDefault="00166826" w:rsidP="00062DAE">
            <w:pPr>
              <w:widowControl w:val="0"/>
              <w:tabs>
                <w:tab w:val="left" w:pos="449"/>
              </w:tabs>
              <w:autoSpaceDE w:val="0"/>
              <w:autoSpaceDN w:val="0"/>
              <w:spacing w:before="1" w:after="0"/>
              <w:ind w:left="451" w:right="108"/>
              <w:rPr>
                <w:rFonts w:asciiTheme="minorHAnsi" w:eastAsia="Segoe UI" w:hAnsiTheme="minorHAnsi" w:cstheme="minorHAnsi"/>
                <w:sz w:val="20"/>
                <w:szCs w:val="20"/>
                <w:lang w:eastAsia="en-US" w:bidi="en-US"/>
              </w:rPr>
            </w:pPr>
          </w:p>
        </w:tc>
        <w:tc>
          <w:tcPr>
            <w:tcW w:w="3595" w:type="dxa"/>
            <w:shd w:val="clear" w:color="auto" w:fill="auto"/>
            <w:vAlign w:val="center"/>
          </w:tcPr>
          <w:p w14:paraId="73943824"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Do the outcomes of the program represent value for money?</w:t>
            </w:r>
          </w:p>
          <w:p w14:paraId="183AC287"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tc>
        <w:tc>
          <w:tcPr>
            <w:tcW w:w="2864" w:type="dxa"/>
            <w:shd w:val="clear" w:color="auto" w:fill="auto"/>
          </w:tcPr>
          <w:p w14:paraId="21457BDA" w14:textId="77777777" w:rsidR="00166826" w:rsidRPr="00654AD3" w:rsidRDefault="00166826" w:rsidP="00062DAE">
            <w:pPr>
              <w:widowControl w:val="0"/>
              <w:autoSpaceDE w:val="0"/>
              <w:autoSpaceDN w:val="0"/>
              <w:spacing w:after="120" w:line="240" w:lineRule="auto"/>
              <w:ind w:left="111" w:right="105"/>
              <w:rPr>
                <w:rFonts w:asciiTheme="minorHAnsi" w:eastAsia="Segoe UI" w:hAnsiTheme="minorHAnsi" w:cstheme="minorHAnsi"/>
                <w:sz w:val="20"/>
                <w:szCs w:val="20"/>
                <w:lang w:eastAsia="en-US" w:bidi="en-US"/>
              </w:rPr>
            </w:pPr>
          </w:p>
          <w:p w14:paraId="01AD26A0" w14:textId="77777777" w:rsidR="00166826" w:rsidRPr="00654AD3" w:rsidRDefault="00166826" w:rsidP="00062DAE">
            <w:pPr>
              <w:widowControl w:val="0"/>
              <w:autoSpaceDE w:val="0"/>
              <w:autoSpaceDN w:val="0"/>
              <w:spacing w:after="120" w:line="240" w:lineRule="auto"/>
              <w:ind w:left="111"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Estimate of the value of services vs. the cost of services.</w:t>
            </w:r>
          </w:p>
        </w:tc>
        <w:tc>
          <w:tcPr>
            <w:tcW w:w="2256" w:type="dxa"/>
            <w:shd w:val="clear" w:color="auto" w:fill="auto"/>
          </w:tcPr>
          <w:p w14:paraId="6AAF861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documentation</w:t>
            </w:r>
          </w:p>
          <w:p w14:paraId="6AB8028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institutional and private sector </w:t>
            </w:r>
            <w:r w:rsidRPr="00654AD3">
              <w:rPr>
                <w:rFonts w:asciiTheme="minorHAnsi" w:eastAsia="Segoe UI" w:hAnsiTheme="minorHAnsi" w:cstheme="minorHAnsi"/>
                <w:sz w:val="20"/>
                <w:szCs w:val="20"/>
                <w:lang w:eastAsia="en-US" w:bidi="en-US"/>
              </w:rPr>
              <w:lastRenderedPageBreak/>
              <w:t>stakeholders</w:t>
            </w:r>
          </w:p>
        </w:tc>
        <w:tc>
          <w:tcPr>
            <w:tcW w:w="2559" w:type="dxa"/>
            <w:gridSpan w:val="2"/>
            <w:shd w:val="clear" w:color="auto" w:fill="auto"/>
          </w:tcPr>
          <w:p w14:paraId="30454A7C" w14:textId="77777777" w:rsidR="00166826" w:rsidRPr="00654AD3" w:rsidRDefault="00166826" w:rsidP="00062DAE">
            <w:pPr>
              <w:widowControl w:val="0"/>
              <w:tabs>
                <w:tab w:val="left" w:pos="1681"/>
              </w:tabs>
              <w:autoSpaceDE w:val="0"/>
              <w:autoSpaceDN w:val="0"/>
              <w:spacing w:after="0" w:line="240" w:lineRule="auto"/>
              <w:ind w:right="-74"/>
              <w:rPr>
                <w:rFonts w:asciiTheme="minorHAnsi" w:eastAsia="Times New Roman" w:hAnsiTheme="minorHAnsi" w:cstheme="minorHAnsi"/>
                <w:sz w:val="20"/>
                <w:szCs w:val="20"/>
                <w:lang w:bidi="en-US"/>
              </w:rPr>
            </w:pPr>
          </w:p>
        </w:tc>
      </w:tr>
      <w:tr w:rsidR="00166826" w:rsidRPr="00654AD3" w14:paraId="0649AD71" w14:textId="77777777" w:rsidTr="00062DAE">
        <w:trPr>
          <w:gridAfter w:val="2"/>
          <w:wAfter w:w="42" w:type="dxa"/>
          <w:trHeight w:val="1575"/>
        </w:trPr>
        <w:tc>
          <w:tcPr>
            <w:tcW w:w="3235" w:type="dxa"/>
            <w:shd w:val="clear" w:color="auto" w:fill="auto"/>
            <w:vAlign w:val="center"/>
          </w:tcPr>
          <w:p w14:paraId="62F9F184" w14:textId="77777777" w:rsidR="00166826" w:rsidRPr="00654AD3" w:rsidRDefault="00166826" w:rsidP="00062DAE">
            <w:pPr>
              <w:widowControl w:val="0"/>
              <w:autoSpaceDE w:val="0"/>
              <w:autoSpaceDN w:val="0"/>
              <w:spacing w:before="1" w:after="0"/>
              <w:ind w:left="105"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project implementation approach efficient for delivering the planned results?</w:t>
            </w:r>
          </w:p>
        </w:tc>
        <w:tc>
          <w:tcPr>
            <w:tcW w:w="3595" w:type="dxa"/>
            <w:shd w:val="clear" w:color="auto" w:fill="auto"/>
            <w:vAlign w:val="center"/>
          </w:tcPr>
          <w:p w14:paraId="29B33FE1"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the implementation structure and mechanisms for coordination and communication effective in delivering timely results?</w:t>
            </w:r>
          </w:p>
        </w:tc>
        <w:tc>
          <w:tcPr>
            <w:tcW w:w="2864" w:type="dxa"/>
            <w:shd w:val="clear" w:color="auto" w:fill="auto"/>
          </w:tcPr>
          <w:p w14:paraId="5CA655EE"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 xml:space="preserve">Quality and adequacy of project monitoring mechanisms. </w:t>
            </w:r>
          </w:p>
        </w:tc>
        <w:tc>
          <w:tcPr>
            <w:tcW w:w="2256" w:type="dxa"/>
            <w:shd w:val="clear" w:color="auto" w:fill="auto"/>
          </w:tcPr>
          <w:p w14:paraId="743B785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across upstream and downstream stakeholders</w:t>
            </w:r>
          </w:p>
          <w:p w14:paraId="28842BC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QRs</w:t>
            </w:r>
          </w:p>
          <w:p w14:paraId="7190FF8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 and UNDP annual reports</w:t>
            </w:r>
          </w:p>
        </w:tc>
        <w:tc>
          <w:tcPr>
            <w:tcW w:w="2559" w:type="dxa"/>
            <w:gridSpan w:val="2"/>
            <w:shd w:val="clear" w:color="auto" w:fill="auto"/>
          </w:tcPr>
          <w:p w14:paraId="62A8F19B" w14:textId="77777777" w:rsidR="00166826" w:rsidRPr="00654AD3" w:rsidRDefault="00166826" w:rsidP="00062DAE">
            <w:pPr>
              <w:widowControl w:val="0"/>
              <w:tabs>
                <w:tab w:val="left" w:pos="1681"/>
              </w:tabs>
              <w:autoSpaceDE w:val="0"/>
              <w:autoSpaceDN w:val="0"/>
              <w:spacing w:after="0" w:line="240" w:lineRule="auto"/>
              <w:ind w:right="-74"/>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Analyze oversight, quality and timeliness of reporting and responses</w:t>
            </w:r>
          </w:p>
        </w:tc>
      </w:tr>
      <w:tr w:rsidR="00166826" w:rsidRPr="00654AD3" w14:paraId="37B81504" w14:textId="77777777" w:rsidTr="00062DAE">
        <w:trPr>
          <w:gridAfter w:val="2"/>
          <w:wAfter w:w="42" w:type="dxa"/>
          <w:trHeight w:val="1575"/>
        </w:trPr>
        <w:tc>
          <w:tcPr>
            <w:tcW w:w="3235" w:type="dxa"/>
            <w:shd w:val="clear" w:color="auto" w:fill="auto"/>
            <w:vAlign w:val="center"/>
          </w:tcPr>
          <w:p w14:paraId="538F6B44" w14:textId="77777777" w:rsidR="00166826" w:rsidRPr="00654AD3" w:rsidRDefault="00166826" w:rsidP="00062DAE">
            <w:pPr>
              <w:widowControl w:val="0"/>
              <w:autoSpaceDE w:val="0"/>
              <w:autoSpaceDN w:val="0"/>
              <w:spacing w:before="1" w:after="0"/>
              <w:ind w:left="105"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co-financing mobilized as expected?</w:t>
            </w:r>
          </w:p>
        </w:tc>
        <w:tc>
          <w:tcPr>
            <w:tcW w:w="3595" w:type="dxa"/>
            <w:shd w:val="clear" w:color="auto" w:fill="auto"/>
            <w:vAlign w:val="center"/>
          </w:tcPr>
          <w:p w14:paraId="4012F7C7"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Did the sources of co-financing and leveraged and associated financing materialize? </w:t>
            </w:r>
          </w:p>
          <w:p w14:paraId="32B87299"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additional, leveraged resources committed?</w:t>
            </w:r>
          </w:p>
        </w:tc>
        <w:tc>
          <w:tcPr>
            <w:tcW w:w="2864" w:type="dxa"/>
            <w:shd w:val="clear" w:color="auto" w:fill="auto"/>
          </w:tcPr>
          <w:p w14:paraId="6911213C"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The reported amount and type of co-financing in $U.S.</w:t>
            </w:r>
          </w:p>
          <w:p w14:paraId="5134E9D7"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p>
          <w:p w14:paraId="75FBBE49"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The number of leveraged resources, financial or in-kind, from other donors, NGOs, foundations, governments, communities or the private sector.</w:t>
            </w:r>
          </w:p>
        </w:tc>
        <w:tc>
          <w:tcPr>
            <w:tcW w:w="2256" w:type="dxa"/>
            <w:shd w:val="clear" w:color="auto" w:fill="auto"/>
          </w:tcPr>
          <w:p w14:paraId="55BFE6E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3E0A642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Reports of co-financing</w:t>
            </w:r>
          </w:p>
          <w:p w14:paraId="2FB1923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Co-financing letters of commitment.</w:t>
            </w:r>
          </w:p>
          <w:p w14:paraId="4A427A6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Transactions records</w:t>
            </w:r>
          </w:p>
        </w:tc>
        <w:tc>
          <w:tcPr>
            <w:tcW w:w="2559" w:type="dxa"/>
            <w:gridSpan w:val="2"/>
            <w:shd w:val="clear" w:color="auto" w:fill="auto"/>
          </w:tcPr>
          <w:p w14:paraId="735FA7DF" w14:textId="77777777" w:rsidR="00166826" w:rsidRPr="00654AD3" w:rsidRDefault="00166826" w:rsidP="00062DAE">
            <w:pPr>
              <w:widowControl w:val="0"/>
              <w:tabs>
                <w:tab w:val="left" w:pos="1681"/>
              </w:tabs>
              <w:autoSpaceDE w:val="0"/>
              <w:autoSpaceDN w:val="0"/>
              <w:spacing w:after="0" w:line="240" w:lineRule="auto"/>
              <w:ind w:right="-74"/>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Audit of co-financing reported</w:t>
            </w:r>
          </w:p>
        </w:tc>
      </w:tr>
      <w:tr w:rsidR="00166826" w:rsidRPr="00654AD3" w14:paraId="3F69DAAE" w14:textId="77777777" w:rsidTr="00062DAE">
        <w:trPr>
          <w:gridAfter w:val="2"/>
          <w:wAfter w:w="42" w:type="dxa"/>
          <w:trHeight w:val="493"/>
        </w:trPr>
        <w:tc>
          <w:tcPr>
            <w:tcW w:w="14509" w:type="dxa"/>
            <w:gridSpan w:val="6"/>
            <w:shd w:val="clear" w:color="000000" w:fill="DDD9C3"/>
            <w:vAlign w:val="center"/>
          </w:tcPr>
          <w:p w14:paraId="2C0B0FCC"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i/>
                <w:iCs/>
                <w:sz w:val="20"/>
                <w:szCs w:val="20"/>
                <w:lang w:bidi="en-US"/>
              </w:rPr>
              <w:t>Impact: Are there indications that the project has contributed to, or enabled, progress towards reduced environmental stress and/or improved ecological status?</w:t>
            </w:r>
          </w:p>
        </w:tc>
      </w:tr>
      <w:tr w:rsidR="00166826" w:rsidRPr="00654AD3" w14:paraId="1451DAAB" w14:textId="77777777" w:rsidTr="00062DAE">
        <w:trPr>
          <w:gridAfter w:val="2"/>
          <w:wAfter w:w="42" w:type="dxa"/>
          <w:trHeight w:val="1925"/>
        </w:trPr>
        <w:tc>
          <w:tcPr>
            <w:tcW w:w="3235" w:type="dxa"/>
            <w:shd w:val="clear" w:color="auto" w:fill="auto"/>
          </w:tcPr>
          <w:p w14:paraId="5AF70952" w14:textId="77777777" w:rsidR="00166826" w:rsidRPr="00654AD3" w:rsidRDefault="00166826" w:rsidP="00062DAE">
            <w:pPr>
              <w:widowControl w:val="0"/>
              <w:autoSpaceDE w:val="0"/>
              <w:autoSpaceDN w:val="0"/>
              <w:spacing w:before="20" w:after="0" w:line="240" w:lineRule="auto"/>
              <w:ind w:left="16"/>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project effectively leveraged demand, transactions, and support to production to ensure successful implementation of the Commodities GGP program?</w:t>
            </w:r>
          </w:p>
        </w:tc>
        <w:tc>
          <w:tcPr>
            <w:tcW w:w="3595" w:type="dxa"/>
            <w:shd w:val="clear" w:color="auto" w:fill="auto"/>
            <w:vAlign w:val="center"/>
          </w:tcPr>
          <w:p w14:paraId="522D6CE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project created connectivity between finance, demand and production sector stakeholders for soy, beef, and oil palm in the 4 GGP target countries?</w:t>
            </w:r>
          </w:p>
        </w:tc>
        <w:tc>
          <w:tcPr>
            <w:tcW w:w="2864" w:type="dxa"/>
            <w:shd w:val="clear" w:color="auto" w:fill="auto"/>
          </w:tcPr>
          <w:p w14:paraId="33B792CA"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The number of partnerships between producers, buyers and finance providers fostering sustainable commodity supply chains. </w:t>
            </w:r>
          </w:p>
          <w:p w14:paraId="2487240E"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p>
          <w:p w14:paraId="6F7EEA4D"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Activities from integrated workplans implemented</w:t>
            </w:r>
          </w:p>
        </w:tc>
        <w:tc>
          <w:tcPr>
            <w:tcW w:w="2256" w:type="dxa"/>
            <w:shd w:val="clear" w:color="auto" w:fill="auto"/>
          </w:tcPr>
          <w:p w14:paraId="72EF752B"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Signed agreements</w:t>
            </w:r>
          </w:p>
          <w:p w14:paraId="676EF3B8"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Project documentation (including from other child projects)</w:t>
            </w:r>
          </w:p>
          <w:p w14:paraId="2688D8D9"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Integrated workplans</w:t>
            </w:r>
          </w:p>
          <w:p w14:paraId="6AF3D219"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from child projects</w:t>
            </w:r>
          </w:p>
        </w:tc>
        <w:tc>
          <w:tcPr>
            <w:tcW w:w="2559" w:type="dxa"/>
            <w:gridSpan w:val="2"/>
            <w:shd w:val="clear" w:color="auto" w:fill="auto"/>
          </w:tcPr>
          <w:p w14:paraId="26CFFE0C"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Validate the number of formal or partnerships through KIIs.</w:t>
            </w:r>
          </w:p>
        </w:tc>
      </w:tr>
      <w:tr w:rsidR="00166826" w:rsidRPr="00654AD3" w14:paraId="6A942085" w14:textId="77777777" w:rsidTr="00062DAE">
        <w:trPr>
          <w:gridAfter w:val="2"/>
          <w:wAfter w:w="42" w:type="dxa"/>
          <w:trHeight w:val="1575"/>
        </w:trPr>
        <w:tc>
          <w:tcPr>
            <w:tcW w:w="3235" w:type="dxa"/>
            <w:shd w:val="clear" w:color="auto" w:fill="auto"/>
          </w:tcPr>
          <w:p w14:paraId="233E9077" w14:textId="77777777" w:rsidR="00166826" w:rsidRPr="00654AD3" w:rsidRDefault="00166826" w:rsidP="00062DAE">
            <w:pPr>
              <w:widowControl w:val="0"/>
              <w:autoSpaceDE w:val="0"/>
              <w:autoSpaceDN w:val="0"/>
              <w:spacing w:before="20" w:after="0" w:line="240" w:lineRule="auto"/>
              <w:ind w:left="16"/>
              <w:jc w:val="both"/>
              <w:rPr>
                <w:rFonts w:asciiTheme="minorHAnsi" w:eastAsia="Segoe UI" w:hAnsiTheme="minorHAnsi" w:cstheme="minorHAnsi"/>
                <w:sz w:val="20"/>
                <w:szCs w:val="20"/>
                <w:lang w:eastAsia="en-US" w:bidi="en-US"/>
              </w:rPr>
            </w:pPr>
          </w:p>
        </w:tc>
        <w:tc>
          <w:tcPr>
            <w:tcW w:w="3595" w:type="dxa"/>
            <w:shd w:val="clear" w:color="auto" w:fill="auto"/>
            <w:vAlign w:val="center"/>
          </w:tcPr>
          <w:p w14:paraId="3238DD8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What is the level of engagement of GGP with global commodity initiatives, key partners, as well as with practitioners and producers from the GGP target countries (Indonesia, Liberia, Paraguay, </w:t>
            </w:r>
            <w:r w:rsidRPr="00654AD3">
              <w:rPr>
                <w:rFonts w:asciiTheme="minorHAnsi" w:eastAsia="Segoe UI" w:hAnsiTheme="minorHAnsi" w:cstheme="minorHAnsi"/>
                <w:sz w:val="20"/>
                <w:szCs w:val="20"/>
                <w:lang w:eastAsia="en-US" w:bidi="en-US"/>
              </w:rPr>
              <w:lastRenderedPageBreak/>
              <w:t>Brazil) Have representatives of major global initiatives recognized the value of GGP and its learnings?</w:t>
            </w:r>
          </w:p>
        </w:tc>
        <w:tc>
          <w:tcPr>
            <w:tcW w:w="2864" w:type="dxa"/>
            <w:shd w:val="clear" w:color="auto" w:fill="auto"/>
          </w:tcPr>
          <w:p w14:paraId="4A96612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 xml:space="preserve">Level of engagement between the GGP and other global initiatives, key partners, and country practitioners, through the global community of </w:t>
            </w:r>
            <w:r w:rsidRPr="00654AD3">
              <w:rPr>
                <w:rFonts w:asciiTheme="minorHAnsi" w:eastAsia="Segoe UI" w:hAnsiTheme="minorHAnsi" w:cstheme="minorHAnsi"/>
                <w:sz w:val="20"/>
                <w:szCs w:val="20"/>
                <w:lang w:eastAsia="en-US" w:bidi="en-US"/>
              </w:rPr>
              <w:lastRenderedPageBreak/>
              <w:t>practice</w:t>
            </w:r>
          </w:p>
          <w:p w14:paraId="0619CCF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of Global community of practice events</w:t>
            </w:r>
          </w:p>
          <w:p w14:paraId="26D9EC1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Level of satisfaction reported after the global CoP events.</w:t>
            </w:r>
          </w:p>
        </w:tc>
        <w:tc>
          <w:tcPr>
            <w:tcW w:w="2256" w:type="dxa"/>
            <w:shd w:val="clear" w:color="auto" w:fill="auto"/>
          </w:tcPr>
          <w:p w14:paraId="1143E516"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 xml:space="preserve">Records of attendance in GGP events </w:t>
            </w:r>
          </w:p>
          <w:p w14:paraId="74B83A95"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Evaluations of GGP events</w:t>
            </w:r>
          </w:p>
          <w:p w14:paraId="5AAC4BCE"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Targeted KIIs</w:t>
            </w:r>
          </w:p>
          <w:p w14:paraId="1EE50A69" w14:textId="77777777" w:rsidR="00166826" w:rsidRPr="00654AD3" w:rsidRDefault="00166826" w:rsidP="00D80344">
            <w:pPr>
              <w:widowControl w:val="0"/>
              <w:numPr>
                <w:ilvl w:val="0"/>
                <w:numId w:val="56"/>
              </w:numPr>
              <w:tabs>
                <w:tab w:val="left" w:pos="227"/>
              </w:tabs>
              <w:autoSpaceDE w:val="0"/>
              <w:autoSpaceDN w:val="0"/>
              <w:adjustRightInd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GCC consultations</w:t>
            </w:r>
          </w:p>
        </w:tc>
        <w:tc>
          <w:tcPr>
            <w:tcW w:w="2559" w:type="dxa"/>
            <w:gridSpan w:val="2"/>
            <w:shd w:val="clear" w:color="auto" w:fill="auto"/>
          </w:tcPr>
          <w:p w14:paraId="53CD1930"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Assess the frequency of engagement through a sample of members of the GGP</w:t>
            </w:r>
          </w:p>
          <w:p w14:paraId="7E4C255E"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4A428CAC"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Assess # of events</w:t>
            </w:r>
          </w:p>
          <w:p w14:paraId="761B7055"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p w14:paraId="15B16285"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r w:rsidRPr="00654AD3">
              <w:rPr>
                <w:rFonts w:asciiTheme="minorHAnsi" w:eastAsiaTheme="minorHAnsi" w:hAnsiTheme="minorHAnsi" w:cstheme="minorHAnsi"/>
                <w:sz w:val="20"/>
                <w:szCs w:val="20"/>
                <w:lang w:eastAsia="en-US"/>
              </w:rPr>
              <w:t>Survey satisfaction or audit evaluations from the Good Growth Conference.</w:t>
            </w:r>
          </w:p>
          <w:p w14:paraId="511D42AF" w14:textId="77777777" w:rsidR="00166826" w:rsidRPr="00654AD3" w:rsidRDefault="00166826" w:rsidP="00062DAE">
            <w:pPr>
              <w:spacing w:after="0" w:line="240" w:lineRule="auto"/>
              <w:rPr>
                <w:rFonts w:asciiTheme="minorHAnsi" w:eastAsiaTheme="minorHAnsi" w:hAnsiTheme="minorHAnsi" w:cstheme="minorHAnsi"/>
                <w:sz w:val="20"/>
                <w:szCs w:val="20"/>
                <w:lang w:eastAsia="en-US"/>
              </w:rPr>
            </w:pPr>
          </w:p>
        </w:tc>
      </w:tr>
      <w:tr w:rsidR="00166826" w:rsidRPr="00654AD3" w14:paraId="3E33D138" w14:textId="77777777" w:rsidTr="00062DAE">
        <w:trPr>
          <w:gridAfter w:val="2"/>
          <w:wAfter w:w="42" w:type="dxa"/>
          <w:trHeight w:val="493"/>
        </w:trPr>
        <w:tc>
          <w:tcPr>
            <w:tcW w:w="14509" w:type="dxa"/>
            <w:gridSpan w:val="6"/>
            <w:shd w:val="clear" w:color="000000" w:fill="DDD9C3"/>
            <w:vAlign w:val="center"/>
          </w:tcPr>
          <w:p w14:paraId="4FB06C33"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sz w:val="20"/>
                <w:szCs w:val="20"/>
                <w:lang w:bidi="en-US"/>
              </w:rPr>
              <w:lastRenderedPageBreak/>
              <w:t>Sustainability: To what extent are there financial, institutional, socio-political, and/or environmental risks to sustaining long-term project results?</w:t>
            </w:r>
          </w:p>
        </w:tc>
      </w:tr>
      <w:tr w:rsidR="00166826" w:rsidRPr="00654AD3" w14:paraId="07BF0045" w14:textId="77777777" w:rsidTr="00062DAE">
        <w:trPr>
          <w:gridAfter w:val="2"/>
          <w:wAfter w:w="42" w:type="dxa"/>
          <w:trHeight w:val="1160"/>
        </w:trPr>
        <w:tc>
          <w:tcPr>
            <w:tcW w:w="3235" w:type="dxa"/>
            <w:shd w:val="clear" w:color="auto" w:fill="auto"/>
          </w:tcPr>
          <w:p w14:paraId="64EE3260"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Financial sustainability</w:t>
            </w:r>
          </w:p>
        </w:tc>
        <w:tc>
          <w:tcPr>
            <w:tcW w:w="3595" w:type="dxa"/>
            <w:shd w:val="clear" w:color="auto" w:fill="auto"/>
            <w:vAlign w:val="center"/>
          </w:tcPr>
          <w:p w14:paraId="210F6F5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Have financial and economic instruments and mechanisms been installed to ensure the ongoing flow of benefits once the GEF assistance ends? </w:t>
            </w:r>
          </w:p>
          <w:p w14:paraId="682EDD4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What additional factors are needed to create an enabling environment for continued financing?</w:t>
            </w:r>
          </w:p>
        </w:tc>
        <w:tc>
          <w:tcPr>
            <w:tcW w:w="2864" w:type="dxa"/>
            <w:shd w:val="clear" w:color="auto" w:fill="auto"/>
          </w:tcPr>
          <w:p w14:paraId="68EBDEF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The recurrent cost of operation of a coordinating body; Community of Practice and Evidensia.</w:t>
            </w:r>
          </w:p>
          <w:p w14:paraId="3BD63C7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Presence or absence of new linkages to support the financial sustainability</w:t>
            </w:r>
          </w:p>
        </w:tc>
        <w:tc>
          <w:tcPr>
            <w:tcW w:w="2256" w:type="dxa"/>
            <w:shd w:val="clear" w:color="auto" w:fill="auto"/>
          </w:tcPr>
          <w:p w14:paraId="24DB8A8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w:t>
            </w:r>
          </w:p>
          <w:p w14:paraId="155E7EA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Minutes from calls</w:t>
            </w:r>
          </w:p>
          <w:p w14:paraId="652E11E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Concept notes</w:t>
            </w:r>
          </w:p>
        </w:tc>
        <w:tc>
          <w:tcPr>
            <w:tcW w:w="2559" w:type="dxa"/>
            <w:gridSpan w:val="2"/>
            <w:shd w:val="clear" w:color="auto" w:fill="auto"/>
          </w:tcPr>
          <w:p w14:paraId="3370C193"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Based on MTR high risk rating, scoping for income generating activities, and trends that may indicate that it is likely that there will be adequate financial resources for sustaining project outcomes</w:t>
            </w:r>
          </w:p>
        </w:tc>
      </w:tr>
      <w:tr w:rsidR="00166826" w:rsidRPr="00654AD3" w14:paraId="4B984B17" w14:textId="77777777" w:rsidTr="00062DAE">
        <w:trPr>
          <w:gridAfter w:val="2"/>
          <w:wAfter w:w="42" w:type="dxa"/>
          <w:trHeight w:val="1430"/>
        </w:trPr>
        <w:tc>
          <w:tcPr>
            <w:tcW w:w="3235" w:type="dxa"/>
            <w:shd w:val="clear" w:color="auto" w:fill="auto"/>
          </w:tcPr>
          <w:p w14:paraId="4579FEB4"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Socio-political Sustainability</w:t>
            </w:r>
          </w:p>
        </w:tc>
        <w:tc>
          <w:tcPr>
            <w:tcW w:w="3595" w:type="dxa"/>
            <w:shd w:val="clear" w:color="auto" w:fill="auto"/>
            <w:vAlign w:val="center"/>
          </w:tcPr>
          <w:p w14:paraId="742D1C9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Will stakeholder ownership be sufficient to allow for the project outcomes/benefits to be sustained?</w:t>
            </w:r>
          </w:p>
          <w:p w14:paraId="01AF184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Do the various key stakeholders see that it is in their interest that the project benefits continue to flow?</w:t>
            </w:r>
          </w:p>
        </w:tc>
        <w:tc>
          <w:tcPr>
            <w:tcW w:w="2864" w:type="dxa"/>
            <w:shd w:val="clear" w:color="auto" w:fill="auto"/>
          </w:tcPr>
          <w:p w14:paraId="3543885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Positive or negative responses by industry and government stakeholders indicating benefits and positive outlook</w:t>
            </w:r>
          </w:p>
          <w:p w14:paraId="7AD2CAB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Post COVID economic stimulus</w:t>
            </w:r>
          </w:p>
        </w:tc>
        <w:tc>
          <w:tcPr>
            <w:tcW w:w="2256" w:type="dxa"/>
            <w:shd w:val="clear" w:color="auto" w:fill="auto"/>
          </w:tcPr>
          <w:p w14:paraId="03B9015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Industry</w:t>
            </w:r>
          </w:p>
          <w:p w14:paraId="6B762FE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national governments: Indonesia, Paraguay, Li</w:t>
            </w:r>
            <w:r>
              <w:rPr>
                <w:rFonts w:asciiTheme="minorHAnsi" w:eastAsia="Segoe UI" w:hAnsiTheme="minorHAnsi" w:cstheme="minorHAnsi"/>
                <w:sz w:val="20"/>
                <w:szCs w:val="20"/>
                <w:lang w:eastAsia="en-US" w:bidi="en-US"/>
              </w:rPr>
              <w:t>b</w:t>
            </w:r>
            <w:r w:rsidRPr="00654AD3">
              <w:rPr>
                <w:rFonts w:asciiTheme="minorHAnsi" w:eastAsia="Segoe UI" w:hAnsiTheme="minorHAnsi" w:cstheme="minorHAnsi"/>
                <w:sz w:val="20"/>
                <w:szCs w:val="20"/>
                <w:lang w:eastAsia="en-US" w:bidi="en-US"/>
              </w:rPr>
              <w:t>eria as proxy to general sustainability</w:t>
            </w:r>
          </w:p>
        </w:tc>
        <w:tc>
          <w:tcPr>
            <w:tcW w:w="2559" w:type="dxa"/>
            <w:gridSpan w:val="2"/>
            <w:shd w:val="clear" w:color="auto" w:fill="auto"/>
          </w:tcPr>
          <w:p w14:paraId="301909C3"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Assess for the key stakeholder groups their stake and the commitments supporting it.</w:t>
            </w:r>
          </w:p>
        </w:tc>
      </w:tr>
      <w:tr w:rsidR="00166826" w:rsidRPr="00654AD3" w14:paraId="3692AEA9" w14:textId="77777777" w:rsidTr="00062DAE">
        <w:trPr>
          <w:gridAfter w:val="2"/>
          <w:wAfter w:w="42" w:type="dxa"/>
          <w:trHeight w:val="1575"/>
        </w:trPr>
        <w:tc>
          <w:tcPr>
            <w:tcW w:w="3235" w:type="dxa"/>
            <w:shd w:val="clear" w:color="auto" w:fill="auto"/>
          </w:tcPr>
          <w:p w14:paraId="2C85959C"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p>
        </w:tc>
        <w:tc>
          <w:tcPr>
            <w:tcW w:w="3595" w:type="dxa"/>
            <w:shd w:val="clear" w:color="auto" w:fill="auto"/>
            <w:vAlign w:val="center"/>
          </w:tcPr>
          <w:p w14:paraId="1BC95CD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Are there any social or political risks that can undermine the longevity of project outcomes?</w:t>
            </w:r>
          </w:p>
        </w:tc>
        <w:tc>
          <w:tcPr>
            <w:tcW w:w="2864" w:type="dxa"/>
            <w:shd w:val="clear" w:color="auto" w:fill="auto"/>
          </w:tcPr>
          <w:p w14:paraId="16FC3FF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Presents of absence of risks such as competing platforms developing that could outcompete the GCC. etc.</w:t>
            </w:r>
          </w:p>
          <w:p w14:paraId="662D8FC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Government policies that could exacerbate deforestation in exchange for post COVID economic </w:t>
            </w:r>
            <w:r w:rsidRPr="00654AD3">
              <w:rPr>
                <w:rFonts w:asciiTheme="minorHAnsi" w:eastAsia="Segoe UI" w:hAnsiTheme="minorHAnsi" w:cstheme="minorHAnsi"/>
                <w:sz w:val="20"/>
                <w:szCs w:val="20"/>
                <w:lang w:eastAsia="en-US" w:bidi="en-US"/>
              </w:rPr>
              <w:lastRenderedPageBreak/>
              <w:t>expansion</w:t>
            </w:r>
          </w:p>
        </w:tc>
        <w:tc>
          <w:tcPr>
            <w:tcW w:w="2256" w:type="dxa"/>
            <w:shd w:val="clear" w:color="auto" w:fill="auto"/>
          </w:tcPr>
          <w:p w14:paraId="7CF100C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KIIs</w:t>
            </w:r>
          </w:p>
          <w:p w14:paraId="44B8DE4A"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MTR and TEs as applicable of child projects</w:t>
            </w:r>
          </w:p>
          <w:p w14:paraId="033495A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Industry publications and consultations.</w:t>
            </w:r>
          </w:p>
        </w:tc>
        <w:tc>
          <w:tcPr>
            <w:tcW w:w="2559" w:type="dxa"/>
            <w:gridSpan w:val="2"/>
            <w:shd w:val="clear" w:color="auto" w:fill="auto"/>
          </w:tcPr>
          <w:p w14:paraId="135ECAB1"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Scoping for new industry related social or political risks or from the countries where child projects are being implemented.  </w:t>
            </w:r>
          </w:p>
        </w:tc>
      </w:tr>
      <w:tr w:rsidR="00166826" w:rsidRPr="00654AD3" w14:paraId="341C3906" w14:textId="77777777" w:rsidTr="00062DAE">
        <w:trPr>
          <w:gridAfter w:val="2"/>
          <w:wAfter w:w="42" w:type="dxa"/>
          <w:trHeight w:val="1575"/>
        </w:trPr>
        <w:tc>
          <w:tcPr>
            <w:tcW w:w="3235" w:type="dxa"/>
            <w:shd w:val="clear" w:color="auto" w:fill="auto"/>
          </w:tcPr>
          <w:p w14:paraId="34436961"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Institutional framework and governance sustainability</w:t>
            </w:r>
          </w:p>
        </w:tc>
        <w:tc>
          <w:tcPr>
            <w:tcW w:w="3595" w:type="dxa"/>
            <w:shd w:val="clear" w:color="auto" w:fill="auto"/>
            <w:vAlign w:val="center"/>
          </w:tcPr>
          <w:p w14:paraId="192E7BD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Is there sufficient public/ stakeholder awareness in support of the long-term objectives of the project?</w:t>
            </w:r>
          </w:p>
        </w:tc>
        <w:tc>
          <w:tcPr>
            <w:tcW w:w="2864" w:type="dxa"/>
            <w:shd w:val="clear" w:color="auto" w:fill="auto"/>
          </w:tcPr>
          <w:p w14:paraId="2752AE0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Positive or negative affirmation by KIIs in each stakeholder group</w:t>
            </w:r>
          </w:p>
        </w:tc>
        <w:tc>
          <w:tcPr>
            <w:tcW w:w="2256" w:type="dxa"/>
            <w:shd w:val="clear" w:color="auto" w:fill="auto"/>
          </w:tcPr>
          <w:p w14:paraId="29EABC6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structured questions</w:t>
            </w:r>
          </w:p>
          <w:p w14:paraId="2D4A72F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Good Growth Conferences reports and GCC consultations </w:t>
            </w:r>
          </w:p>
          <w:p w14:paraId="1C2851E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government and Industry publications and consultations</w:t>
            </w:r>
          </w:p>
        </w:tc>
        <w:tc>
          <w:tcPr>
            <w:tcW w:w="2559" w:type="dxa"/>
            <w:gridSpan w:val="2"/>
            <w:shd w:val="clear" w:color="auto" w:fill="auto"/>
          </w:tcPr>
          <w:p w14:paraId="51DA05C5"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Evaluate the underpinnings of continued effort to the project, program and overarching support from key institutions.</w:t>
            </w:r>
          </w:p>
        </w:tc>
      </w:tr>
      <w:tr w:rsidR="00166826" w:rsidRPr="00654AD3" w14:paraId="48C69A79" w14:textId="77777777" w:rsidTr="00062DAE">
        <w:trPr>
          <w:gridAfter w:val="2"/>
          <w:wAfter w:w="42" w:type="dxa"/>
          <w:trHeight w:val="1575"/>
        </w:trPr>
        <w:tc>
          <w:tcPr>
            <w:tcW w:w="3235" w:type="dxa"/>
            <w:shd w:val="clear" w:color="auto" w:fill="auto"/>
          </w:tcPr>
          <w:p w14:paraId="39C46895"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p>
        </w:tc>
        <w:tc>
          <w:tcPr>
            <w:tcW w:w="3595" w:type="dxa"/>
            <w:shd w:val="clear" w:color="auto" w:fill="auto"/>
            <w:vAlign w:val="center"/>
          </w:tcPr>
          <w:p w14:paraId="3EECE7F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Has the programme achieved stakeholders’ consensus regarding courses of action on programme activities after the closure date? What was the role of the A&amp;L project?</w:t>
            </w:r>
          </w:p>
        </w:tc>
        <w:tc>
          <w:tcPr>
            <w:tcW w:w="2864" w:type="dxa"/>
            <w:shd w:val="clear" w:color="auto" w:fill="auto"/>
          </w:tcPr>
          <w:p w14:paraId="218B74F4"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GGP Partners, Government and private sector conformation of post project course of action. </w:t>
            </w:r>
          </w:p>
        </w:tc>
        <w:tc>
          <w:tcPr>
            <w:tcW w:w="2256" w:type="dxa"/>
            <w:shd w:val="clear" w:color="auto" w:fill="auto"/>
          </w:tcPr>
          <w:p w14:paraId="7E126B0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GGP SC</w:t>
            </w:r>
          </w:p>
          <w:p w14:paraId="23A13387"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Secretariat</w:t>
            </w:r>
          </w:p>
          <w:p w14:paraId="7A42943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National level PMUs </w:t>
            </w:r>
          </w:p>
        </w:tc>
        <w:tc>
          <w:tcPr>
            <w:tcW w:w="2559" w:type="dxa"/>
            <w:gridSpan w:val="2"/>
            <w:shd w:val="clear" w:color="auto" w:fill="auto"/>
          </w:tcPr>
          <w:p w14:paraId="673DCBF6"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Appreciation of the forward landscape through targeted interviews</w:t>
            </w:r>
          </w:p>
        </w:tc>
      </w:tr>
      <w:tr w:rsidR="00166826" w:rsidRPr="00654AD3" w14:paraId="1030ADD8" w14:textId="77777777" w:rsidTr="00062DAE">
        <w:trPr>
          <w:gridAfter w:val="2"/>
          <w:wAfter w:w="42" w:type="dxa"/>
          <w:trHeight w:val="620"/>
        </w:trPr>
        <w:tc>
          <w:tcPr>
            <w:tcW w:w="3235" w:type="dxa"/>
            <w:shd w:val="clear" w:color="auto" w:fill="auto"/>
          </w:tcPr>
          <w:p w14:paraId="0620E256" w14:textId="77777777" w:rsidR="00166826" w:rsidRPr="00654AD3" w:rsidRDefault="00166826" w:rsidP="00062DAE">
            <w:pPr>
              <w:widowControl w:val="0"/>
              <w:autoSpaceDE w:val="0"/>
              <w:autoSpaceDN w:val="0"/>
              <w:spacing w:before="20" w:after="120" w:line="240" w:lineRule="auto"/>
              <w:ind w:left="16"/>
              <w:jc w:val="both"/>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Environmental Sustainability</w:t>
            </w:r>
          </w:p>
        </w:tc>
        <w:tc>
          <w:tcPr>
            <w:tcW w:w="3595" w:type="dxa"/>
            <w:shd w:val="clear" w:color="auto" w:fill="auto"/>
            <w:vAlign w:val="center"/>
          </w:tcPr>
          <w:p w14:paraId="3697B092"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Are there environmental factors that could undermine the future flow of environmental benefits or limit the possibility of the GGP in reducing deforestation?</w:t>
            </w:r>
          </w:p>
          <w:p w14:paraId="745D94C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Will certain activities in the project area pose a threat to the environmental sustainability of project outcomes?</w:t>
            </w:r>
          </w:p>
          <w:p w14:paraId="4521519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How did the project track and process environmental issues?</w:t>
            </w:r>
          </w:p>
        </w:tc>
        <w:tc>
          <w:tcPr>
            <w:tcW w:w="2864" w:type="dxa"/>
            <w:shd w:val="clear" w:color="auto" w:fill="auto"/>
          </w:tcPr>
          <w:p w14:paraId="2A42CED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Documented climate risks that could exacerbate deforestation (see also policy and post COVID economic stimulus)</w:t>
            </w:r>
          </w:p>
        </w:tc>
        <w:tc>
          <w:tcPr>
            <w:tcW w:w="2256" w:type="dxa"/>
            <w:shd w:val="clear" w:color="auto" w:fill="auto"/>
          </w:tcPr>
          <w:p w14:paraId="6006CE0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Threat assessments from child projects</w:t>
            </w:r>
          </w:p>
          <w:p w14:paraId="001B936E"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w:t>
            </w:r>
          </w:p>
        </w:tc>
        <w:tc>
          <w:tcPr>
            <w:tcW w:w="2559" w:type="dxa"/>
            <w:gridSpan w:val="2"/>
            <w:shd w:val="clear" w:color="auto" w:fill="auto"/>
          </w:tcPr>
          <w:p w14:paraId="3CF39A1C"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Investigate climate drivers such as recent drought, typhoons, etc. that might lead to wildfires or land conversion following disturbances, etc.</w:t>
            </w:r>
          </w:p>
          <w:p w14:paraId="686BF206" w14:textId="77777777" w:rsidR="00166826" w:rsidRPr="00654AD3" w:rsidRDefault="00166826" w:rsidP="00062DAE">
            <w:pPr>
              <w:spacing w:after="12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Review how the project collected and synthesized environmental concerns. </w:t>
            </w:r>
          </w:p>
        </w:tc>
      </w:tr>
      <w:tr w:rsidR="00166826" w:rsidRPr="00654AD3" w14:paraId="6451D439" w14:textId="77777777" w:rsidTr="00062DAE">
        <w:trPr>
          <w:gridAfter w:val="2"/>
          <w:wAfter w:w="42" w:type="dxa"/>
          <w:trHeight w:val="493"/>
        </w:trPr>
        <w:tc>
          <w:tcPr>
            <w:tcW w:w="14509" w:type="dxa"/>
            <w:gridSpan w:val="6"/>
            <w:shd w:val="clear" w:color="000000" w:fill="DDD9C3"/>
            <w:vAlign w:val="center"/>
          </w:tcPr>
          <w:p w14:paraId="3689ECE5"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i/>
                <w:iCs/>
                <w:sz w:val="20"/>
                <w:szCs w:val="20"/>
                <w:lang w:bidi="en-US"/>
              </w:rPr>
              <w:lastRenderedPageBreak/>
              <w:t xml:space="preserve">Gender </w:t>
            </w:r>
            <w:r w:rsidRPr="00654AD3">
              <w:rPr>
                <w:rFonts w:asciiTheme="minorHAnsi" w:hAnsiTheme="minorHAnsi" w:cstheme="minorHAnsi"/>
                <w:sz w:val="20"/>
                <w:szCs w:val="20"/>
              </w:rPr>
              <w:t xml:space="preserve">equality and women’s empowerment: How did the project contribute to gender equality and women’s empowerment?  </w:t>
            </w:r>
          </w:p>
        </w:tc>
      </w:tr>
      <w:tr w:rsidR="00166826" w:rsidRPr="00654AD3" w14:paraId="2EF0746E" w14:textId="77777777" w:rsidTr="00062DAE">
        <w:trPr>
          <w:gridAfter w:val="2"/>
          <w:wAfter w:w="42" w:type="dxa"/>
          <w:trHeight w:val="1250"/>
        </w:trPr>
        <w:tc>
          <w:tcPr>
            <w:tcW w:w="3235" w:type="dxa"/>
            <w:shd w:val="clear" w:color="auto" w:fill="auto"/>
            <w:vAlign w:val="center"/>
          </w:tcPr>
          <w:p w14:paraId="3247700A" w14:textId="77777777" w:rsidR="00166826" w:rsidRPr="00654AD3" w:rsidRDefault="00166826" w:rsidP="00062DAE">
            <w:pPr>
              <w:widowControl w:val="0"/>
              <w:tabs>
                <w:tab w:val="left" w:pos="451"/>
              </w:tabs>
              <w:autoSpaceDE w:val="0"/>
              <w:autoSpaceDN w:val="0"/>
              <w:spacing w:before="1" w:after="0"/>
              <w:ind w:left="451"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Did the project contribute to advancing gender equality and women’s empowerment as part of GGP´s programme? To what extent?</w:t>
            </w:r>
          </w:p>
        </w:tc>
        <w:tc>
          <w:tcPr>
            <w:tcW w:w="3595" w:type="dxa"/>
            <w:shd w:val="clear" w:color="auto" w:fill="auto"/>
            <w:vAlign w:val="center"/>
          </w:tcPr>
          <w:p w14:paraId="79A20798"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Were women’s groups, NGOs, civil society orgs and women’s ministries adequately consulted and involved in project design? </w:t>
            </w:r>
          </w:p>
          <w:p w14:paraId="580A5BDC"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a Gender Action Plan included in the project design?</w:t>
            </w:r>
          </w:p>
          <w:p w14:paraId="2072FAB0"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it implemented successfully? What was the role of the A&amp;L project? What are the lessons learned?</w:t>
            </w:r>
          </w:p>
          <w:p w14:paraId="7607FDC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How did gender empowerment contribute to the project´s outcomes? What are the lessons learned?</w:t>
            </w:r>
          </w:p>
          <w:p w14:paraId="2B9F1B26"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Were there any gaps in gender expertise during project design? Implementation?</w:t>
            </w:r>
          </w:p>
          <w:p w14:paraId="11E15DA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Were the learning products on gender mainstreaming through the GGP Program as it relates to commodity supply chain actions accessible?</w:t>
            </w:r>
          </w:p>
        </w:tc>
        <w:tc>
          <w:tcPr>
            <w:tcW w:w="2864" w:type="dxa"/>
            <w:shd w:val="clear" w:color="auto" w:fill="auto"/>
          </w:tcPr>
          <w:p w14:paraId="0DD23872"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Budget execution of the Gender mainstreaming actions</w:t>
            </w:r>
          </w:p>
          <w:p w14:paraId="54CC150D"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p w14:paraId="345070EF"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Indicators from Gender Action Plan</w:t>
            </w:r>
          </w:p>
          <w:p w14:paraId="0D09592B"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p w14:paraId="3AAE8004"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For any stakeholder workshops, were women-only sessions held, if appropriate, and/or were other considerations made to ensure women’s meaningful participation</w:t>
            </w:r>
          </w:p>
          <w:p w14:paraId="5371F889"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p w14:paraId="56588CDD"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Presence or absence of data to support the UNDP Gender Marker rating assigned to the project during formulation. </w:t>
            </w:r>
          </w:p>
          <w:p w14:paraId="1E20E61C"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p w14:paraId="6F288242" w14:textId="77777777" w:rsidR="00166826" w:rsidRPr="00654AD3" w:rsidRDefault="00166826" w:rsidP="00D80344">
            <w:pPr>
              <w:widowControl w:val="0"/>
              <w:numPr>
                <w:ilvl w:val="0"/>
                <w:numId w:val="57"/>
              </w:numPr>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 of project documents, publications, training materials, and presentations that include a discussion of gender issues</w:t>
            </w:r>
          </w:p>
        </w:tc>
        <w:tc>
          <w:tcPr>
            <w:tcW w:w="2256" w:type="dxa"/>
            <w:shd w:val="clear" w:color="auto" w:fill="auto"/>
          </w:tcPr>
          <w:p w14:paraId="0019FFC3"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Gender Action Plan budget and indicators,</w:t>
            </w:r>
          </w:p>
          <w:p w14:paraId="007590F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PIRs and QRs</w:t>
            </w:r>
          </w:p>
          <w:p w14:paraId="39472541"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KIIs</w:t>
            </w:r>
          </w:p>
          <w:p w14:paraId="796D0870"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the Project Results Framework.</w:t>
            </w:r>
          </w:p>
          <w:p w14:paraId="66E99D55"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Reports from workshops</w:t>
            </w:r>
          </w:p>
          <w:p w14:paraId="2B45AE6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Gender knowledge product</w:t>
            </w:r>
          </w:p>
          <w:p w14:paraId="2B408E2B"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GEF lessons learned workshop</w:t>
            </w:r>
          </w:p>
        </w:tc>
        <w:tc>
          <w:tcPr>
            <w:tcW w:w="2559" w:type="dxa"/>
            <w:gridSpan w:val="2"/>
            <w:shd w:val="clear" w:color="auto" w:fill="auto"/>
          </w:tcPr>
          <w:p w14:paraId="669ADEE9" w14:textId="77777777" w:rsidR="00166826" w:rsidRPr="00654AD3" w:rsidRDefault="00166826" w:rsidP="00062DAE">
            <w:pPr>
              <w:widowControl w:val="0"/>
              <w:tabs>
                <w:tab w:val="left" w:pos="1681"/>
              </w:tabs>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 xml:space="preserve">Tracking of the implementation of the gender action plans. Qualitative information through selected interviews. </w:t>
            </w:r>
          </w:p>
          <w:p w14:paraId="5E6681EF" w14:textId="77777777" w:rsidR="00166826" w:rsidRPr="00654AD3" w:rsidRDefault="00166826" w:rsidP="00062DAE">
            <w:pPr>
              <w:widowControl w:val="0"/>
              <w:tabs>
                <w:tab w:val="left" w:pos="1681"/>
              </w:tabs>
              <w:autoSpaceDE w:val="0"/>
              <w:autoSpaceDN w:val="0"/>
              <w:spacing w:after="0" w:line="240" w:lineRule="auto"/>
              <w:rPr>
                <w:rFonts w:asciiTheme="minorHAnsi" w:eastAsia="Times New Roman" w:hAnsiTheme="minorHAnsi" w:cstheme="minorHAnsi"/>
                <w:sz w:val="20"/>
                <w:szCs w:val="20"/>
                <w:lang w:bidi="en-US"/>
              </w:rPr>
            </w:pPr>
          </w:p>
          <w:p w14:paraId="1D93A03E" w14:textId="77777777" w:rsidR="00166826" w:rsidRPr="00654AD3" w:rsidRDefault="00166826" w:rsidP="00062DAE">
            <w:pPr>
              <w:widowControl w:val="0"/>
              <w:tabs>
                <w:tab w:val="left" w:pos="1681"/>
              </w:tabs>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Probe each of the stakeholder groups in the Plan with KIIs.</w:t>
            </w:r>
          </w:p>
          <w:p w14:paraId="43772C03" w14:textId="77777777" w:rsidR="00166826" w:rsidRPr="00654AD3" w:rsidRDefault="00166826" w:rsidP="00062DAE">
            <w:pPr>
              <w:widowControl w:val="0"/>
              <w:tabs>
                <w:tab w:val="left" w:pos="1681"/>
              </w:tabs>
              <w:autoSpaceDE w:val="0"/>
              <w:autoSpaceDN w:val="0"/>
              <w:spacing w:after="0" w:line="240" w:lineRule="auto"/>
              <w:rPr>
                <w:rFonts w:asciiTheme="minorHAnsi" w:eastAsia="Times New Roman" w:hAnsiTheme="minorHAnsi" w:cstheme="minorHAnsi"/>
                <w:sz w:val="20"/>
                <w:szCs w:val="20"/>
                <w:lang w:bidi="en-US"/>
              </w:rPr>
            </w:pPr>
          </w:p>
          <w:p w14:paraId="4DE03F7D" w14:textId="77777777" w:rsidR="00166826" w:rsidRPr="00654AD3" w:rsidRDefault="00166826" w:rsidP="00062DAE">
            <w:pPr>
              <w:widowControl w:val="0"/>
              <w:tabs>
                <w:tab w:val="left" w:pos="1681"/>
              </w:tabs>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Test the level of analysis and reporting on Gender issues</w:t>
            </w:r>
          </w:p>
        </w:tc>
      </w:tr>
      <w:tr w:rsidR="00166826" w:rsidRPr="00654AD3" w14:paraId="00A203F5" w14:textId="77777777" w:rsidTr="00062DAE">
        <w:trPr>
          <w:trHeight w:val="800"/>
        </w:trPr>
        <w:tc>
          <w:tcPr>
            <w:tcW w:w="3235" w:type="dxa"/>
            <w:shd w:val="clear" w:color="auto" w:fill="auto"/>
            <w:vAlign w:val="center"/>
          </w:tcPr>
          <w:p w14:paraId="59AF6784" w14:textId="77777777" w:rsidR="00166826" w:rsidRPr="00654AD3" w:rsidRDefault="00166826" w:rsidP="00062DAE">
            <w:pPr>
              <w:widowControl w:val="0"/>
              <w:autoSpaceDE w:val="0"/>
              <w:autoSpaceDN w:val="0"/>
              <w:spacing w:after="0" w:line="240" w:lineRule="auto"/>
              <w:ind w:firstLineChars="8" w:firstLine="16"/>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•Did the Gender action plan empower gender inclusiveness and access to the project´s benefits?</w:t>
            </w:r>
          </w:p>
        </w:tc>
        <w:tc>
          <w:tcPr>
            <w:tcW w:w="3595" w:type="dxa"/>
            <w:shd w:val="clear" w:color="auto" w:fill="auto"/>
            <w:vAlign w:val="center"/>
          </w:tcPr>
          <w:p w14:paraId="39231EB3"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Was learning gender sensitive and mainstreamed through the GGP Program as it relates to commodity supply chain actions.</w:t>
            </w:r>
          </w:p>
        </w:tc>
        <w:tc>
          <w:tcPr>
            <w:tcW w:w="2864" w:type="dxa"/>
            <w:shd w:val="clear" w:color="auto" w:fill="auto"/>
            <w:vAlign w:val="center"/>
          </w:tcPr>
          <w:p w14:paraId="135D9A83"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 of project documents, publications, training materials and presentations that include a discussion of gender issues</w:t>
            </w:r>
          </w:p>
        </w:tc>
        <w:tc>
          <w:tcPr>
            <w:tcW w:w="2256" w:type="dxa"/>
            <w:shd w:val="clear" w:color="auto" w:fill="auto"/>
            <w:vAlign w:val="center"/>
          </w:tcPr>
          <w:p w14:paraId="08FD5322"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Desk review</w:t>
            </w:r>
          </w:p>
          <w:p w14:paraId="796AF406"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Organizational Charts</w:t>
            </w:r>
          </w:p>
          <w:p w14:paraId="17207E9F"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Training Records</w:t>
            </w:r>
          </w:p>
          <w:p w14:paraId="54A657BA"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GGP Good Growth Conference</w:t>
            </w:r>
          </w:p>
          <w:p w14:paraId="0C805CBB"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Green Commodities Community workshops</w:t>
            </w:r>
          </w:p>
          <w:p w14:paraId="33722376"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Evidensia gender specific resources.</w:t>
            </w:r>
          </w:p>
          <w:p w14:paraId="3CC7422E"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w:t>
            </w:r>
          </w:p>
        </w:tc>
        <w:tc>
          <w:tcPr>
            <w:tcW w:w="2601" w:type="dxa"/>
            <w:gridSpan w:val="4"/>
            <w:shd w:val="clear" w:color="auto" w:fill="auto"/>
            <w:vAlign w:val="center"/>
          </w:tcPr>
          <w:p w14:paraId="4342B028"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lastRenderedPageBreak/>
              <w:t>Analysis of the “level of engagement” through participation of actors that represent national-level constituencies</w:t>
            </w:r>
          </w:p>
          <w:p w14:paraId="706CD960" w14:textId="77777777" w:rsidR="00166826" w:rsidRPr="00654AD3" w:rsidRDefault="00166826" w:rsidP="00062DAE">
            <w:pPr>
              <w:spacing w:after="0" w:line="240" w:lineRule="auto"/>
              <w:rPr>
                <w:rFonts w:asciiTheme="minorHAnsi" w:eastAsiaTheme="minorHAnsi" w:hAnsiTheme="minorHAnsi" w:cstheme="minorHAnsi"/>
                <w:sz w:val="20"/>
                <w:szCs w:val="20"/>
              </w:rPr>
            </w:pPr>
          </w:p>
          <w:p w14:paraId="1ADC38D4"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 xml:space="preserve">Track communication of the event through the invitees’ </w:t>
            </w:r>
            <w:r w:rsidRPr="00654AD3">
              <w:rPr>
                <w:rFonts w:asciiTheme="minorHAnsi" w:eastAsiaTheme="minorHAnsi" w:hAnsiTheme="minorHAnsi" w:cstheme="minorHAnsi"/>
                <w:sz w:val="20"/>
                <w:szCs w:val="20"/>
              </w:rPr>
              <w:lastRenderedPageBreak/>
              <w:t>communications to their constituencies via websites, bulletins, etc.</w:t>
            </w:r>
          </w:p>
          <w:p w14:paraId="0D7CE7B9" w14:textId="77777777" w:rsidR="00166826" w:rsidRPr="00654AD3" w:rsidRDefault="00166826" w:rsidP="00062DAE">
            <w:pPr>
              <w:spacing w:after="0" w:line="240" w:lineRule="auto"/>
              <w:rPr>
                <w:rFonts w:asciiTheme="minorHAnsi" w:eastAsiaTheme="minorHAnsi" w:hAnsiTheme="minorHAnsi" w:cstheme="minorHAnsi"/>
                <w:sz w:val="20"/>
                <w:szCs w:val="20"/>
              </w:rPr>
            </w:pPr>
          </w:p>
          <w:p w14:paraId="0BD25B5C"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Interviews of GGP Members</w:t>
            </w:r>
          </w:p>
          <w:p w14:paraId="20077FE9" w14:textId="77777777" w:rsidR="00166826" w:rsidRPr="00654AD3" w:rsidRDefault="00166826" w:rsidP="00062DAE">
            <w:pPr>
              <w:spacing w:after="0" w:line="240" w:lineRule="auto"/>
              <w:rPr>
                <w:rFonts w:asciiTheme="minorHAnsi" w:eastAsiaTheme="minorHAnsi" w:hAnsiTheme="minorHAnsi" w:cstheme="minorHAnsi"/>
                <w:sz w:val="20"/>
                <w:szCs w:val="20"/>
              </w:rPr>
            </w:pPr>
          </w:p>
          <w:p w14:paraId="5AC2DCEB"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A follow-up interview with a select group of responders. Satisfaction reported after events may not reflect satisfaction with the value of GGP</w:t>
            </w:r>
          </w:p>
        </w:tc>
      </w:tr>
      <w:tr w:rsidR="00166826" w:rsidRPr="00654AD3" w14:paraId="7C7F2892" w14:textId="77777777" w:rsidTr="00062DAE">
        <w:trPr>
          <w:trHeight w:val="800"/>
        </w:trPr>
        <w:tc>
          <w:tcPr>
            <w:tcW w:w="3235" w:type="dxa"/>
            <w:shd w:val="clear" w:color="auto" w:fill="auto"/>
            <w:vAlign w:val="center"/>
          </w:tcPr>
          <w:p w14:paraId="627E86A6" w14:textId="77777777" w:rsidR="00166826" w:rsidRPr="00654AD3" w:rsidRDefault="00166826" w:rsidP="00062DAE">
            <w:pPr>
              <w:widowControl w:val="0"/>
              <w:autoSpaceDE w:val="0"/>
              <w:autoSpaceDN w:val="0"/>
              <w:spacing w:after="0" w:line="240" w:lineRule="auto"/>
              <w:ind w:firstLineChars="8" w:firstLine="16"/>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lastRenderedPageBreak/>
              <w:t>Was gender mainstreaming effectively monitored during implementation?</w:t>
            </w:r>
          </w:p>
        </w:tc>
        <w:tc>
          <w:tcPr>
            <w:tcW w:w="3595" w:type="dxa"/>
            <w:shd w:val="clear" w:color="auto" w:fill="auto"/>
            <w:vAlign w:val="center"/>
          </w:tcPr>
          <w:p w14:paraId="2B00746F"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How were perspectives of women and men involved and affected by the project monitored and assessed?</w:t>
            </w:r>
          </w:p>
          <w:p w14:paraId="4B7F9B5E" w14:textId="77777777" w:rsidR="00166826" w:rsidRPr="00654AD3" w:rsidRDefault="00166826" w:rsidP="00062DAE">
            <w:pPr>
              <w:widowControl w:val="0"/>
              <w:autoSpaceDE w:val="0"/>
              <w:autoSpaceDN w:val="0"/>
              <w:spacing w:after="120" w:line="240" w:lineRule="auto"/>
              <w:ind w:left="451" w:right="105"/>
              <w:rPr>
                <w:rFonts w:asciiTheme="minorHAnsi" w:eastAsia="Times New Roman" w:hAnsiTheme="minorHAnsi" w:cstheme="minorHAnsi"/>
                <w:sz w:val="20"/>
                <w:szCs w:val="20"/>
                <w:lang w:bidi="en-US"/>
              </w:rPr>
            </w:pPr>
          </w:p>
        </w:tc>
        <w:tc>
          <w:tcPr>
            <w:tcW w:w="2864" w:type="dxa"/>
            <w:shd w:val="clear" w:color="auto" w:fill="auto"/>
            <w:vAlign w:val="center"/>
          </w:tcPr>
          <w:p w14:paraId="79784534"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Presence and quality of Information streamed through child projects to the PMU and Reports filed per M&amp;E Plans</w:t>
            </w:r>
          </w:p>
        </w:tc>
        <w:tc>
          <w:tcPr>
            <w:tcW w:w="2256" w:type="dxa"/>
            <w:shd w:val="clear" w:color="auto" w:fill="auto"/>
            <w:vAlign w:val="center"/>
          </w:tcPr>
          <w:p w14:paraId="1603D6DA"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Gender Action Plan and Social and Environmental Safeguards documents from child projects.</w:t>
            </w:r>
          </w:p>
          <w:p w14:paraId="2C561F85"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7F03FF3D"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GCC consultations</w:t>
            </w:r>
          </w:p>
          <w:p w14:paraId="5763C3C4"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GGC survey</w:t>
            </w:r>
          </w:p>
          <w:p w14:paraId="295A12BE" w14:textId="77777777" w:rsidR="00166826" w:rsidRPr="00654AD3" w:rsidRDefault="00166826" w:rsidP="00062DAE">
            <w:pPr>
              <w:widowControl w:val="0"/>
              <w:autoSpaceDE w:val="0"/>
              <w:autoSpaceDN w:val="0"/>
              <w:spacing w:after="0" w:line="240" w:lineRule="auto"/>
              <w:ind w:firstLineChars="200" w:firstLine="400"/>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KIIs</w:t>
            </w:r>
          </w:p>
        </w:tc>
        <w:tc>
          <w:tcPr>
            <w:tcW w:w="2601" w:type="dxa"/>
            <w:gridSpan w:val="4"/>
            <w:shd w:val="clear" w:color="auto" w:fill="auto"/>
            <w:vAlign w:val="center"/>
          </w:tcPr>
          <w:p w14:paraId="7F8DC302"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Assess the quality of the M&amp;E data stream and consolidation of information through the child projects and reporting function related to safeguards</w:t>
            </w:r>
          </w:p>
        </w:tc>
      </w:tr>
      <w:tr w:rsidR="00166826" w:rsidRPr="00654AD3" w14:paraId="1CD0FDE9" w14:textId="77777777" w:rsidTr="00062DAE">
        <w:trPr>
          <w:gridAfter w:val="2"/>
          <w:wAfter w:w="42" w:type="dxa"/>
          <w:trHeight w:val="493"/>
        </w:trPr>
        <w:tc>
          <w:tcPr>
            <w:tcW w:w="14509" w:type="dxa"/>
            <w:gridSpan w:val="6"/>
            <w:shd w:val="clear" w:color="000000" w:fill="DDD9C3"/>
            <w:vAlign w:val="center"/>
          </w:tcPr>
          <w:p w14:paraId="35446B31"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b/>
                <w:bCs/>
                <w:i/>
                <w:iCs/>
                <w:sz w:val="20"/>
                <w:szCs w:val="20"/>
                <w:lang w:bidi="en-US"/>
              </w:rPr>
            </w:pPr>
            <w:r w:rsidRPr="00654AD3">
              <w:rPr>
                <w:rFonts w:asciiTheme="minorHAnsi" w:eastAsia="Times New Roman" w:hAnsiTheme="minorHAnsi" w:cstheme="minorHAnsi"/>
                <w:b/>
                <w:bCs/>
                <w:i/>
                <w:iCs/>
                <w:sz w:val="20"/>
                <w:szCs w:val="20"/>
                <w:lang w:bidi="en-US"/>
              </w:rPr>
              <w:t>Safeguards: Stakeholder engagement and Participation</w:t>
            </w:r>
          </w:p>
        </w:tc>
      </w:tr>
      <w:tr w:rsidR="00166826" w:rsidRPr="00654AD3" w14:paraId="5D24DE24" w14:textId="77777777" w:rsidTr="00062DAE">
        <w:trPr>
          <w:gridAfter w:val="2"/>
          <w:wAfter w:w="42" w:type="dxa"/>
          <w:trHeight w:val="710"/>
        </w:trPr>
        <w:tc>
          <w:tcPr>
            <w:tcW w:w="3235" w:type="dxa"/>
            <w:shd w:val="clear" w:color="auto" w:fill="auto"/>
            <w:vAlign w:val="center"/>
          </w:tcPr>
          <w:p w14:paraId="18A99596"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How were different layers of stakeholders taken into account during project design?</w:t>
            </w:r>
          </w:p>
        </w:tc>
        <w:tc>
          <w:tcPr>
            <w:tcW w:w="3595" w:type="dxa"/>
            <w:shd w:val="clear" w:color="auto" w:fill="auto"/>
            <w:vAlign w:val="center"/>
          </w:tcPr>
          <w:p w14:paraId="3CDC48F9"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the planned stakeholder interactions, as set out in the project document´s Stakeholder Engagement Plan?</w:t>
            </w:r>
          </w:p>
          <w:p w14:paraId="69E85C1C" w14:textId="77777777" w:rsidR="00166826" w:rsidRPr="00654AD3" w:rsidRDefault="00166826" w:rsidP="00062DAE">
            <w:pPr>
              <w:widowControl w:val="0"/>
              <w:autoSpaceDE w:val="0"/>
              <w:autoSpaceDN w:val="0"/>
              <w:spacing w:after="0" w:line="240" w:lineRule="auto"/>
              <w:ind w:left="451"/>
              <w:rPr>
                <w:rFonts w:asciiTheme="minorHAnsi" w:eastAsia="Segoe UI" w:hAnsiTheme="minorHAnsi" w:cstheme="minorHAnsi"/>
                <w:sz w:val="20"/>
                <w:szCs w:val="20"/>
                <w:lang w:eastAsia="en-US" w:bidi="en-US"/>
              </w:rPr>
            </w:pPr>
          </w:p>
          <w:p w14:paraId="12228E58" w14:textId="77777777" w:rsidR="00166826" w:rsidRPr="00654AD3" w:rsidRDefault="00166826" w:rsidP="00062DAE">
            <w:pPr>
              <w:widowControl w:val="0"/>
              <w:autoSpaceDE w:val="0"/>
              <w:autoSpaceDN w:val="0"/>
              <w:spacing w:after="0" w:line="240" w:lineRule="auto"/>
              <w:ind w:left="451"/>
              <w:rPr>
                <w:rFonts w:asciiTheme="minorHAnsi" w:eastAsia="Times New Roman" w:hAnsiTheme="minorHAnsi" w:cstheme="minorHAnsi"/>
                <w:sz w:val="20"/>
                <w:szCs w:val="20"/>
                <w:lang w:bidi="en-US"/>
              </w:rPr>
            </w:pPr>
          </w:p>
        </w:tc>
        <w:tc>
          <w:tcPr>
            <w:tcW w:w="2864" w:type="dxa"/>
            <w:shd w:val="clear" w:color="auto" w:fill="auto"/>
          </w:tcPr>
          <w:p w14:paraId="52BB7639"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The degree of implementation of the Stakeholder Engagement Plan</w:t>
            </w:r>
          </w:p>
        </w:tc>
        <w:tc>
          <w:tcPr>
            <w:tcW w:w="2256" w:type="dxa"/>
            <w:shd w:val="clear" w:color="auto" w:fill="auto"/>
          </w:tcPr>
          <w:p w14:paraId="7CB341A5"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Stakeholder engagement plan</w:t>
            </w:r>
          </w:p>
          <w:p w14:paraId="03EA4816"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PIRs, QRs. </w:t>
            </w:r>
          </w:p>
          <w:p w14:paraId="4DDC3242"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KIIs </w:t>
            </w:r>
          </w:p>
          <w:p w14:paraId="1380E5A5"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Consultation with selected stakeholders at the country level.</w:t>
            </w:r>
          </w:p>
        </w:tc>
        <w:tc>
          <w:tcPr>
            <w:tcW w:w="2559" w:type="dxa"/>
            <w:gridSpan w:val="2"/>
            <w:shd w:val="clear" w:color="auto" w:fill="auto"/>
          </w:tcPr>
          <w:p w14:paraId="52F6B259"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Evidence and magnitude of upstream and downstream communication on project decision-making</w:t>
            </w:r>
          </w:p>
        </w:tc>
      </w:tr>
      <w:tr w:rsidR="00166826" w:rsidRPr="00654AD3" w14:paraId="52D4AD61" w14:textId="77777777" w:rsidTr="00062DAE">
        <w:trPr>
          <w:gridAfter w:val="2"/>
          <w:wAfter w:w="42" w:type="dxa"/>
          <w:trHeight w:val="1575"/>
        </w:trPr>
        <w:tc>
          <w:tcPr>
            <w:tcW w:w="3235" w:type="dxa"/>
            <w:shd w:val="clear" w:color="auto" w:fill="auto"/>
            <w:vAlign w:val="center"/>
          </w:tcPr>
          <w:p w14:paraId="6A6AF4CD" w14:textId="77777777" w:rsidR="00166826" w:rsidRPr="00654AD3" w:rsidRDefault="00166826" w:rsidP="00062DAE">
            <w:pPr>
              <w:spacing w:after="0" w:line="240" w:lineRule="auto"/>
              <w:rPr>
                <w:rFonts w:asciiTheme="minorHAnsi" w:eastAsiaTheme="minorHAnsi" w:hAnsiTheme="minorHAnsi" w:cstheme="minorHAnsi"/>
                <w:sz w:val="20"/>
                <w:szCs w:val="20"/>
              </w:rPr>
            </w:pPr>
          </w:p>
        </w:tc>
        <w:tc>
          <w:tcPr>
            <w:tcW w:w="3595" w:type="dxa"/>
            <w:shd w:val="clear" w:color="auto" w:fill="auto"/>
            <w:vAlign w:val="center"/>
          </w:tcPr>
          <w:p w14:paraId="243E41A1"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Did the project develop and leverage the necessary and appropriate partnerships with direct and tangential stakeholders? </w:t>
            </w:r>
          </w:p>
        </w:tc>
        <w:tc>
          <w:tcPr>
            <w:tcW w:w="2864" w:type="dxa"/>
            <w:shd w:val="clear" w:color="auto" w:fill="auto"/>
          </w:tcPr>
          <w:p w14:paraId="03687936"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Completeness of partnerships. Presence or absence of important partners not considered at this stage.</w:t>
            </w:r>
          </w:p>
        </w:tc>
        <w:tc>
          <w:tcPr>
            <w:tcW w:w="2256" w:type="dxa"/>
            <w:shd w:val="clear" w:color="auto" w:fill="auto"/>
          </w:tcPr>
          <w:p w14:paraId="59FEB72D"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w:t>
            </w:r>
          </w:p>
          <w:p w14:paraId="1BC619C8"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 QRs</w:t>
            </w:r>
          </w:p>
          <w:p w14:paraId="19D7DEBB"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Steering Committee meetings minutes</w:t>
            </w:r>
          </w:p>
        </w:tc>
        <w:tc>
          <w:tcPr>
            <w:tcW w:w="2559" w:type="dxa"/>
            <w:gridSpan w:val="2"/>
            <w:shd w:val="clear" w:color="auto" w:fill="auto"/>
          </w:tcPr>
          <w:p w14:paraId="098873F1"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Assess gaps in the stakeholder profile</w:t>
            </w:r>
          </w:p>
        </w:tc>
      </w:tr>
      <w:tr w:rsidR="00166826" w:rsidRPr="00654AD3" w14:paraId="62705B95" w14:textId="77777777" w:rsidTr="00062DAE">
        <w:trPr>
          <w:gridAfter w:val="2"/>
          <w:wAfter w:w="42" w:type="dxa"/>
          <w:trHeight w:val="1575"/>
        </w:trPr>
        <w:tc>
          <w:tcPr>
            <w:tcW w:w="3235" w:type="dxa"/>
            <w:shd w:val="clear" w:color="auto" w:fill="auto"/>
            <w:vAlign w:val="center"/>
          </w:tcPr>
          <w:p w14:paraId="440C515B"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How did actual stakeholder interaction under implementation compare to what was planned in the project document and Stakeholder Engagement Plan?</w:t>
            </w:r>
          </w:p>
        </w:tc>
        <w:tc>
          <w:tcPr>
            <w:tcW w:w="3595" w:type="dxa"/>
            <w:shd w:val="clear" w:color="auto" w:fill="auto"/>
            <w:vAlign w:val="center"/>
          </w:tcPr>
          <w:p w14:paraId="2799F836"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How did the partners benefit from the relationship? Are they stronger because of it? </w:t>
            </w:r>
          </w:p>
        </w:tc>
        <w:tc>
          <w:tcPr>
            <w:tcW w:w="2864" w:type="dxa"/>
            <w:shd w:val="clear" w:color="auto" w:fill="auto"/>
          </w:tcPr>
          <w:p w14:paraId="58D3F586"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p>
          <w:p w14:paraId="567F0193" w14:textId="77777777" w:rsidR="00166826" w:rsidRPr="00654AD3" w:rsidRDefault="00166826" w:rsidP="00062DAE">
            <w:pPr>
              <w:widowControl w:val="0"/>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Qualification of benefits</w:t>
            </w:r>
          </w:p>
        </w:tc>
        <w:tc>
          <w:tcPr>
            <w:tcW w:w="2256" w:type="dxa"/>
            <w:shd w:val="clear" w:color="auto" w:fill="auto"/>
          </w:tcPr>
          <w:p w14:paraId="616C53D2"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KIIs from each stakeholder group</w:t>
            </w:r>
          </w:p>
          <w:p w14:paraId="13D87CF4"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GCC consultations</w:t>
            </w:r>
          </w:p>
          <w:p w14:paraId="733E5210"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Evidensia users’ surveys</w:t>
            </w:r>
          </w:p>
        </w:tc>
        <w:tc>
          <w:tcPr>
            <w:tcW w:w="2559" w:type="dxa"/>
            <w:gridSpan w:val="2"/>
            <w:shd w:val="clear" w:color="auto" w:fill="auto"/>
          </w:tcPr>
          <w:p w14:paraId="38DF1D35"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assess the benefits per stakeholder group through semi-structured interviews.</w:t>
            </w:r>
          </w:p>
        </w:tc>
      </w:tr>
      <w:tr w:rsidR="00166826" w:rsidRPr="00654AD3" w14:paraId="42D7554B" w14:textId="77777777" w:rsidTr="00062DAE">
        <w:trPr>
          <w:gridAfter w:val="2"/>
          <w:wAfter w:w="42" w:type="dxa"/>
          <w:trHeight w:val="1575"/>
        </w:trPr>
        <w:tc>
          <w:tcPr>
            <w:tcW w:w="3235" w:type="dxa"/>
            <w:shd w:val="clear" w:color="auto" w:fill="auto"/>
            <w:vAlign w:val="center"/>
          </w:tcPr>
          <w:p w14:paraId="0B766176" w14:textId="77777777" w:rsidR="00166826" w:rsidRPr="00654AD3" w:rsidRDefault="00166826" w:rsidP="00062DAE">
            <w:pPr>
              <w:spacing w:after="0" w:line="240" w:lineRule="auto"/>
              <w:rPr>
                <w:rFonts w:asciiTheme="minorHAnsi" w:eastAsiaTheme="minorHAnsi" w:hAnsiTheme="minorHAnsi" w:cstheme="minorHAnsi"/>
                <w:sz w:val="20"/>
                <w:szCs w:val="20"/>
              </w:rPr>
            </w:pPr>
            <w:r w:rsidRPr="00654AD3">
              <w:rPr>
                <w:rFonts w:asciiTheme="minorHAnsi" w:eastAsiaTheme="minorHAnsi" w:hAnsiTheme="minorHAnsi" w:cstheme="minorHAnsi"/>
                <w:sz w:val="20"/>
                <w:szCs w:val="20"/>
              </w:rPr>
              <w:t>Were the linkages between project and other sector interventions established?</w:t>
            </w:r>
          </w:p>
        </w:tc>
        <w:tc>
          <w:tcPr>
            <w:tcW w:w="3595" w:type="dxa"/>
            <w:shd w:val="clear" w:color="auto" w:fill="auto"/>
            <w:vAlign w:val="center"/>
          </w:tcPr>
          <w:p w14:paraId="5785A8C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Were dedicated linkages established with other complementary projects during implementation?</w:t>
            </w:r>
          </w:p>
        </w:tc>
        <w:tc>
          <w:tcPr>
            <w:tcW w:w="2864" w:type="dxa"/>
            <w:shd w:val="clear" w:color="auto" w:fill="auto"/>
            <w:vAlign w:val="center"/>
          </w:tcPr>
          <w:p w14:paraId="3DA8F459"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Demonstrated linkages with other focal area initiatives</w:t>
            </w:r>
          </w:p>
          <w:p w14:paraId="15B2BF32" w14:textId="77777777" w:rsidR="00166826" w:rsidRPr="00654AD3" w:rsidRDefault="00166826" w:rsidP="00062DAE">
            <w:pPr>
              <w:widowControl w:val="0"/>
              <w:tabs>
                <w:tab w:val="left" w:pos="452"/>
              </w:tabs>
              <w:autoSpaceDE w:val="0"/>
              <w:autoSpaceDN w:val="0"/>
              <w:spacing w:after="120" w:line="240" w:lineRule="auto"/>
              <w:ind w:left="451" w:right="105"/>
              <w:rPr>
                <w:rFonts w:asciiTheme="minorHAnsi" w:eastAsia="Segoe UI" w:hAnsiTheme="minorHAnsi" w:cstheme="minorHAnsi"/>
                <w:sz w:val="20"/>
                <w:szCs w:val="20"/>
                <w:lang w:eastAsia="en-US" w:bidi="en-US"/>
              </w:rPr>
            </w:pPr>
          </w:p>
        </w:tc>
        <w:tc>
          <w:tcPr>
            <w:tcW w:w="2256" w:type="dxa"/>
            <w:shd w:val="clear" w:color="auto" w:fill="auto"/>
          </w:tcPr>
          <w:p w14:paraId="055D91D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Baseline in PRODOC</w:t>
            </w:r>
          </w:p>
          <w:p w14:paraId="71B1CE0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4D3A07A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 from within PMU and associated child projects</w:t>
            </w:r>
          </w:p>
        </w:tc>
        <w:tc>
          <w:tcPr>
            <w:tcW w:w="2559" w:type="dxa"/>
            <w:gridSpan w:val="2"/>
            <w:shd w:val="clear" w:color="auto" w:fill="auto"/>
          </w:tcPr>
          <w:p w14:paraId="4645AB4D"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Review of alliances and strategic partnerships for cooperation or mutual support to common objectives.</w:t>
            </w:r>
          </w:p>
          <w:p w14:paraId="79C983E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Explore benefits to other projects generated by A&amp;L</w:t>
            </w:r>
          </w:p>
        </w:tc>
      </w:tr>
      <w:tr w:rsidR="00166826" w:rsidRPr="00654AD3" w14:paraId="3B0F5C5E" w14:textId="77777777" w:rsidTr="00062DAE">
        <w:trPr>
          <w:gridAfter w:val="2"/>
          <w:wAfter w:w="42" w:type="dxa"/>
          <w:trHeight w:val="1331"/>
        </w:trPr>
        <w:tc>
          <w:tcPr>
            <w:tcW w:w="3235" w:type="dxa"/>
            <w:shd w:val="clear" w:color="auto" w:fill="auto"/>
            <w:vAlign w:val="center"/>
          </w:tcPr>
          <w:p w14:paraId="59F0069F" w14:textId="77777777" w:rsidR="00166826" w:rsidRPr="00654AD3" w:rsidRDefault="00166826" w:rsidP="00062DAE">
            <w:pPr>
              <w:spacing w:after="0" w:line="240" w:lineRule="auto"/>
              <w:rPr>
                <w:rFonts w:asciiTheme="minorHAnsi" w:eastAsiaTheme="minorHAnsi" w:hAnsiTheme="minorHAnsi" w:cstheme="minorHAnsi"/>
                <w:sz w:val="20"/>
                <w:szCs w:val="20"/>
              </w:rPr>
            </w:pPr>
          </w:p>
        </w:tc>
        <w:tc>
          <w:tcPr>
            <w:tcW w:w="3595" w:type="dxa"/>
            <w:shd w:val="clear" w:color="auto" w:fill="auto"/>
            <w:vAlign w:val="center"/>
          </w:tcPr>
          <w:p w14:paraId="683ADC93" w14:textId="77777777" w:rsidR="00166826" w:rsidRPr="00654AD3" w:rsidRDefault="00166826" w:rsidP="00D80344">
            <w:pPr>
              <w:widowControl w:val="0"/>
              <w:numPr>
                <w:ilvl w:val="0"/>
                <w:numId w:val="57"/>
              </w:numPr>
              <w:autoSpaceDE w:val="0"/>
              <w:autoSpaceDN w:val="0"/>
              <w:spacing w:after="0" w:line="240" w:lineRule="auto"/>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Did new linkages come online with other relevant focal area projects and/or other initiatives?</w:t>
            </w:r>
          </w:p>
          <w:p w14:paraId="352CD2F0" w14:textId="77777777" w:rsidR="00166826" w:rsidRPr="00654AD3" w:rsidRDefault="00166826" w:rsidP="00062DAE">
            <w:pPr>
              <w:widowControl w:val="0"/>
              <w:tabs>
                <w:tab w:val="left" w:pos="452"/>
              </w:tabs>
              <w:autoSpaceDE w:val="0"/>
              <w:autoSpaceDN w:val="0"/>
              <w:spacing w:after="120" w:line="240" w:lineRule="auto"/>
              <w:ind w:left="451" w:right="105"/>
              <w:rPr>
                <w:rFonts w:asciiTheme="minorHAnsi" w:eastAsia="Segoe UI" w:hAnsiTheme="minorHAnsi" w:cstheme="minorHAnsi"/>
                <w:sz w:val="20"/>
                <w:szCs w:val="20"/>
                <w:lang w:eastAsia="en-US" w:bidi="en-US"/>
              </w:rPr>
            </w:pPr>
          </w:p>
        </w:tc>
        <w:tc>
          <w:tcPr>
            <w:tcW w:w="2864" w:type="dxa"/>
            <w:shd w:val="clear" w:color="auto" w:fill="auto"/>
            <w:vAlign w:val="center"/>
          </w:tcPr>
          <w:p w14:paraId="13A50B5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New linkages established</w:t>
            </w:r>
          </w:p>
        </w:tc>
        <w:tc>
          <w:tcPr>
            <w:tcW w:w="2256" w:type="dxa"/>
            <w:shd w:val="clear" w:color="auto" w:fill="auto"/>
          </w:tcPr>
          <w:p w14:paraId="3DB1E83F"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PIRs</w:t>
            </w:r>
          </w:p>
          <w:p w14:paraId="6D277D38"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KII from within PMU and associated child projects</w:t>
            </w:r>
          </w:p>
        </w:tc>
        <w:tc>
          <w:tcPr>
            <w:tcW w:w="2559" w:type="dxa"/>
            <w:gridSpan w:val="2"/>
            <w:shd w:val="clear" w:color="auto" w:fill="auto"/>
          </w:tcPr>
          <w:p w14:paraId="1EFBC05C" w14:textId="77777777" w:rsidR="00166826" w:rsidRPr="00654AD3" w:rsidRDefault="00166826" w:rsidP="00D80344">
            <w:pPr>
              <w:widowControl w:val="0"/>
              <w:numPr>
                <w:ilvl w:val="0"/>
                <w:numId w:val="57"/>
              </w:numPr>
              <w:tabs>
                <w:tab w:val="left" w:pos="452"/>
              </w:tabs>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Same as above</w:t>
            </w:r>
          </w:p>
        </w:tc>
      </w:tr>
      <w:tr w:rsidR="00166826" w:rsidRPr="00654AD3" w14:paraId="693D57F0" w14:textId="77777777" w:rsidTr="00062DAE">
        <w:trPr>
          <w:gridAfter w:val="2"/>
          <w:wAfter w:w="42" w:type="dxa"/>
          <w:trHeight w:val="1575"/>
        </w:trPr>
        <w:tc>
          <w:tcPr>
            <w:tcW w:w="3235" w:type="dxa"/>
            <w:shd w:val="clear" w:color="auto" w:fill="auto"/>
            <w:vAlign w:val="center"/>
          </w:tcPr>
          <w:p w14:paraId="57575EE9" w14:textId="77777777" w:rsidR="00166826" w:rsidRPr="00654AD3" w:rsidRDefault="00166826" w:rsidP="00062DAE">
            <w:pPr>
              <w:widowControl w:val="0"/>
              <w:tabs>
                <w:tab w:val="left" w:pos="449"/>
              </w:tabs>
              <w:autoSpaceDE w:val="0"/>
              <w:autoSpaceDN w:val="0"/>
              <w:spacing w:before="1" w:after="0"/>
              <w:ind w:left="451" w:right="108"/>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Is there a functional and accessible grievance mechanism in place?</w:t>
            </w:r>
          </w:p>
        </w:tc>
        <w:tc>
          <w:tcPr>
            <w:tcW w:w="3595" w:type="dxa"/>
            <w:shd w:val="clear" w:color="auto" w:fill="auto"/>
            <w:vAlign w:val="center"/>
          </w:tcPr>
          <w:p w14:paraId="4DE0E58A"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Was a functional Grievance Mechanism in place at Project Start-up</w:t>
            </w:r>
          </w:p>
          <w:p w14:paraId="47D2B141" w14:textId="77777777" w:rsidR="00166826" w:rsidRPr="00654AD3" w:rsidRDefault="00166826" w:rsidP="00D80344">
            <w:pPr>
              <w:widowControl w:val="0"/>
              <w:numPr>
                <w:ilvl w:val="0"/>
                <w:numId w:val="57"/>
              </w:numPr>
              <w:autoSpaceDE w:val="0"/>
              <w:autoSpaceDN w:val="0"/>
              <w:spacing w:after="120" w:line="240" w:lineRule="auto"/>
              <w:ind w:right="105"/>
              <w:rPr>
                <w:rFonts w:asciiTheme="minorHAnsi" w:eastAsia="Segoe UI" w:hAnsiTheme="minorHAnsi" w:cstheme="minorHAnsi"/>
                <w:sz w:val="20"/>
                <w:szCs w:val="20"/>
                <w:lang w:eastAsia="en-US" w:bidi="en-US"/>
              </w:rPr>
            </w:pPr>
            <w:r w:rsidRPr="00654AD3">
              <w:rPr>
                <w:rFonts w:asciiTheme="minorHAnsi" w:eastAsia="Segoe UI" w:hAnsiTheme="minorHAnsi" w:cstheme="minorHAnsi"/>
                <w:sz w:val="20"/>
                <w:szCs w:val="20"/>
                <w:lang w:eastAsia="en-US" w:bidi="en-US"/>
              </w:rPr>
              <w:t xml:space="preserve">Does the PMU scope and manage grievances from across the suite of stakeholders? </w:t>
            </w:r>
          </w:p>
          <w:p w14:paraId="78E6E772" w14:textId="77777777" w:rsidR="00166826" w:rsidRPr="00654AD3" w:rsidRDefault="00166826" w:rsidP="00062DAE">
            <w:pPr>
              <w:widowControl w:val="0"/>
              <w:tabs>
                <w:tab w:val="left" w:pos="449"/>
              </w:tabs>
              <w:autoSpaceDE w:val="0"/>
              <w:autoSpaceDN w:val="0"/>
              <w:spacing w:after="0" w:line="256" w:lineRule="auto"/>
              <w:ind w:left="448" w:right="112"/>
              <w:jc w:val="both"/>
              <w:rPr>
                <w:rFonts w:asciiTheme="minorHAnsi" w:eastAsia="Times New Roman" w:hAnsiTheme="minorHAnsi" w:cstheme="minorHAnsi"/>
                <w:sz w:val="20"/>
                <w:szCs w:val="20"/>
                <w:lang w:bidi="en-US"/>
              </w:rPr>
            </w:pPr>
          </w:p>
        </w:tc>
        <w:tc>
          <w:tcPr>
            <w:tcW w:w="2864" w:type="dxa"/>
            <w:shd w:val="clear" w:color="auto" w:fill="auto"/>
          </w:tcPr>
          <w:p w14:paraId="4D4A02A4"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Affirmation or Negation of knowledge of grievance mechanism</w:t>
            </w:r>
          </w:p>
          <w:p w14:paraId="2B541BBB"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p>
          <w:p w14:paraId="54B899B8" w14:textId="77777777" w:rsidR="00166826" w:rsidRPr="00654AD3" w:rsidRDefault="00166826" w:rsidP="00062DAE">
            <w:pPr>
              <w:widowControl w:val="0"/>
              <w:autoSpaceDE w:val="0"/>
              <w:autoSpaceDN w:val="0"/>
              <w:spacing w:after="0" w:line="240" w:lineRule="auto"/>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Presence or absence of an accessible pathway to report grievances</w:t>
            </w:r>
          </w:p>
        </w:tc>
        <w:tc>
          <w:tcPr>
            <w:tcW w:w="2256" w:type="dxa"/>
            <w:shd w:val="clear" w:color="auto" w:fill="auto"/>
          </w:tcPr>
          <w:p w14:paraId="48EDF7F1" w14:textId="77777777" w:rsidR="00166826" w:rsidRPr="00654AD3" w:rsidRDefault="00166826" w:rsidP="00ED3F83">
            <w:pPr>
              <w:widowControl w:val="0"/>
              <w:tabs>
                <w:tab w:val="left" w:pos="452"/>
              </w:tabs>
              <w:autoSpaceDE w:val="0"/>
              <w:autoSpaceDN w:val="0"/>
              <w:spacing w:after="120" w:line="240" w:lineRule="auto"/>
              <w:ind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Project Document SESP</w:t>
            </w:r>
          </w:p>
          <w:p w14:paraId="6C4DB90E" w14:textId="77777777" w:rsidR="00166826" w:rsidRPr="00654AD3" w:rsidRDefault="00166826" w:rsidP="00ED3F83">
            <w:pPr>
              <w:widowControl w:val="0"/>
              <w:tabs>
                <w:tab w:val="left" w:pos="452"/>
              </w:tabs>
              <w:autoSpaceDE w:val="0"/>
              <w:autoSpaceDN w:val="0"/>
              <w:spacing w:after="120" w:line="240" w:lineRule="auto"/>
              <w:ind w:left="91"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PIR</w:t>
            </w:r>
          </w:p>
          <w:p w14:paraId="7CC14C7D" w14:textId="77777777" w:rsidR="00166826" w:rsidRPr="00654AD3" w:rsidRDefault="00166826" w:rsidP="0063508B">
            <w:pPr>
              <w:widowControl w:val="0"/>
              <w:tabs>
                <w:tab w:val="left" w:pos="452"/>
              </w:tabs>
              <w:autoSpaceDE w:val="0"/>
              <w:autoSpaceDN w:val="0"/>
              <w:spacing w:after="120" w:line="240" w:lineRule="auto"/>
              <w:ind w:left="91" w:right="105"/>
              <w:rPr>
                <w:rFonts w:asciiTheme="minorHAnsi" w:eastAsia="Times New Roman" w:hAnsiTheme="minorHAnsi" w:cstheme="minorHAnsi"/>
                <w:sz w:val="20"/>
                <w:szCs w:val="20"/>
                <w:lang w:bidi="en-US"/>
              </w:rPr>
            </w:pPr>
            <w:r w:rsidRPr="00654AD3">
              <w:rPr>
                <w:rFonts w:asciiTheme="minorHAnsi" w:eastAsia="Segoe UI" w:hAnsiTheme="minorHAnsi" w:cstheme="minorHAnsi"/>
                <w:sz w:val="20"/>
                <w:szCs w:val="20"/>
                <w:lang w:eastAsia="en-US" w:bidi="en-US"/>
              </w:rPr>
              <w:t>Grievance Mechanism in Operations Manual</w:t>
            </w:r>
          </w:p>
          <w:p w14:paraId="1EA041BC" w14:textId="77777777" w:rsidR="00166826" w:rsidRPr="00654AD3" w:rsidRDefault="00166826" w:rsidP="00062DAE">
            <w:pPr>
              <w:widowControl w:val="0"/>
              <w:tabs>
                <w:tab w:val="left" w:pos="452"/>
              </w:tabs>
              <w:autoSpaceDE w:val="0"/>
              <w:autoSpaceDN w:val="0"/>
              <w:spacing w:after="120" w:line="240" w:lineRule="auto"/>
              <w:ind w:left="451" w:right="105"/>
              <w:rPr>
                <w:rFonts w:asciiTheme="minorHAnsi" w:eastAsia="Times New Roman" w:hAnsiTheme="minorHAnsi" w:cstheme="minorHAnsi"/>
                <w:sz w:val="20"/>
                <w:szCs w:val="20"/>
                <w:lang w:bidi="en-US"/>
              </w:rPr>
            </w:pPr>
          </w:p>
        </w:tc>
        <w:tc>
          <w:tcPr>
            <w:tcW w:w="2559" w:type="dxa"/>
            <w:gridSpan w:val="2"/>
            <w:shd w:val="clear" w:color="auto" w:fill="auto"/>
          </w:tcPr>
          <w:p w14:paraId="0506998D" w14:textId="77777777" w:rsidR="00166826" w:rsidRPr="00654AD3" w:rsidRDefault="00166826" w:rsidP="00062DAE">
            <w:pPr>
              <w:widowControl w:val="0"/>
              <w:tabs>
                <w:tab w:val="left" w:pos="1681"/>
              </w:tabs>
              <w:autoSpaceDE w:val="0"/>
              <w:autoSpaceDN w:val="0"/>
              <w:spacing w:after="0" w:line="240" w:lineRule="auto"/>
              <w:ind w:right="-74"/>
              <w:rPr>
                <w:rFonts w:asciiTheme="minorHAnsi" w:eastAsia="Times New Roman" w:hAnsiTheme="minorHAnsi" w:cstheme="minorHAnsi"/>
                <w:sz w:val="20"/>
                <w:szCs w:val="20"/>
                <w:lang w:bidi="en-US"/>
              </w:rPr>
            </w:pPr>
            <w:r w:rsidRPr="00654AD3">
              <w:rPr>
                <w:rFonts w:asciiTheme="minorHAnsi" w:eastAsia="Times New Roman" w:hAnsiTheme="minorHAnsi" w:cstheme="minorHAnsi"/>
                <w:sz w:val="20"/>
                <w:szCs w:val="20"/>
                <w:lang w:bidi="en-US"/>
              </w:rPr>
              <w:t>Scoping across stakeholder groups for knowledge of Project Grievance Mechanism</w:t>
            </w:r>
          </w:p>
        </w:tc>
      </w:tr>
    </w:tbl>
    <w:p w14:paraId="1CF96169" w14:textId="77777777" w:rsidR="00ED3F83" w:rsidRDefault="00ED3F83" w:rsidP="00166826">
      <w:pPr>
        <w:rPr>
          <w:sz w:val="21"/>
        </w:rPr>
        <w:sectPr w:rsidR="00ED3F83" w:rsidSect="00166826">
          <w:pgSz w:w="20160" w:h="12240" w:orient="landscape" w:code="5"/>
          <w:pgMar w:top="1080" w:right="1440" w:bottom="1080" w:left="1440" w:header="0" w:footer="936" w:gutter="0"/>
          <w:cols w:space="720"/>
          <w:docGrid w:linePitch="299"/>
        </w:sectPr>
      </w:pPr>
    </w:p>
    <w:p w14:paraId="21B313C6" w14:textId="261AB9A9" w:rsidR="00ED3F83" w:rsidRDefault="00ED3F83" w:rsidP="00166826">
      <w:pPr>
        <w:rPr>
          <w:sz w:val="21"/>
        </w:rPr>
      </w:pPr>
    </w:p>
    <w:p w14:paraId="6A514AEE" w14:textId="0B21BB7D" w:rsidR="00ED3F83" w:rsidRDefault="00ED3F83" w:rsidP="00166826">
      <w:pPr>
        <w:rPr>
          <w:sz w:val="21"/>
        </w:rPr>
      </w:pPr>
    </w:p>
    <w:p w14:paraId="0C402324" w14:textId="150E4692" w:rsidR="00ED3F83" w:rsidRPr="00ED3F83" w:rsidRDefault="00ED3F83" w:rsidP="00ED3F83">
      <w:pPr>
        <w:pStyle w:val="Heading2"/>
      </w:pPr>
      <w:bookmarkStart w:id="135" w:name="_Annex_9._Semi-structure"/>
      <w:bookmarkStart w:id="136" w:name="_Annex_9._Semi-structured"/>
      <w:bookmarkStart w:id="137" w:name="_Toc87991189"/>
      <w:bookmarkStart w:id="138" w:name="_Toc88151449"/>
      <w:bookmarkStart w:id="139" w:name="_Toc96772520"/>
      <w:bookmarkEnd w:id="135"/>
      <w:bookmarkEnd w:id="136"/>
      <w:r w:rsidRPr="00ED3F83">
        <w:t xml:space="preserve">Annex </w:t>
      </w:r>
      <w:r>
        <w:t>9</w:t>
      </w:r>
      <w:r w:rsidRPr="00ED3F83">
        <w:t>. Semi-structure</w:t>
      </w:r>
      <w:r w:rsidR="008D2F5D">
        <w:t>d</w:t>
      </w:r>
      <w:r w:rsidRPr="00ED3F83">
        <w:t xml:space="preserve"> Interview </w:t>
      </w:r>
      <w:r w:rsidR="008D2F5D">
        <w:t>Q</w:t>
      </w:r>
      <w:r w:rsidRPr="00ED3F83">
        <w:t>uestionnaire</w:t>
      </w:r>
      <w:bookmarkEnd w:id="137"/>
      <w:bookmarkEnd w:id="138"/>
      <w:bookmarkEnd w:id="139"/>
    </w:p>
    <w:p w14:paraId="1390D9E6" w14:textId="77777777" w:rsidR="00ED3F83" w:rsidRPr="00ED3F83" w:rsidRDefault="00ED3F83" w:rsidP="00ED3F83">
      <w:pPr>
        <w:rPr>
          <w:rFonts w:asciiTheme="minorHAnsi" w:hAnsiTheme="minorHAnsi" w:cstheme="minorHAnsi"/>
        </w:rPr>
      </w:pPr>
    </w:p>
    <w:p w14:paraId="3703FA69" w14:textId="77777777" w:rsidR="00ED3F83" w:rsidRPr="00B91AD6" w:rsidRDefault="00ED3F83" w:rsidP="00ED3F83">
      <w:pPr>
        <w:rPr>
          <w:rFonts w:asciiTheme="minorHAnsi" w:hAnsiTheme="minorHAnsi" w:cstheme="minorHAnsi"/>
          <w:lang w:eastAsia="en-US"/>
        </w:rPr>
      </w:pPr>
      <w:r>
        <w:rPr>
          <w:rFonts w:asciiTheme="minorHAnsi" w:hAnsiTheme="minorHAnsi" w:cstheme="minorHAnsi"/>
          <w:b/>
          <w:lang w:eastAsia="en-US"/>
        </w:rPr>
        <w:t xml:space="preserve">Indicative Questions </w:t>
      </w:r>
      <w:r w:rsidRPr="00B91AD6">
        <w:rPr>
          <w:rFonts w:asciiTheme="minorHAnsi" w:hAnsiTheme="minorHAnsi" w:cstheme="minorHAnsi"/>
          <w:b/>
          <w:lang w:eastAsia="en-US"/>
        </w:rPr>
        <w:t xml:space="preserve">for Project </w:t>
      </w:r>
      <w:r>
        <w:rPr>
          <w:rFonts w:asciiTheme="minorHAnsi" w:hAnsiTheme="minorHAnsi" w:cstheme="minorHAnsi"/>
          <w:b/>
          <w:lang w:eastAsia="en-US"/>
        </w:rPr>
        <w:t>S</w:t>
      </w:r>
      <w:r w:rsidRPr="00B91AD6">
        <w:rPr>
          <w:rFonts w:asciiTheme="minorHAnsi" w:hAnsiTheme="minorHAnsi" w:cstheme="minorHAnsi"/>
          <w:b/>
          <w:lang w:eastAsia="en-US"/>
        </w:rPr>
        <w:t>takeholders</w:t>
      </w:r>
      <w:r>
        <w:rPr>
          <w:rFonts w:asciiTheme="minorHAnsi" w:hAnsiTheme="minorHAnsi" w:cstheme="minorHAnsi"/>
          <w:b/>
          <w:lang w:eastAsia="en-US"/>
        </w:rPr>
        <w:t xml:space="preserve"> (Project staff, Secretariat, PSC, child project staff, key contractors, private sector, etc.) – 4 to 6 questions will be selected from the following list of indicative questions. </w:t>
      </w:r>
      <w:r w:rsidRPr="00B91AD6">
        <w:rPr>
          <w:rFonts w:asciiTheme="minorHAnsi" w:hAnsiTheme="minorHAnsi" w:cstheme="minorHAnsi"/>
          <w:b/>
          <w:lang w:eastAsia="en-US"/>
        </w:rPr>
        <w:t xml:space="preserve">  </w:t>
      </w:r>
    </w:p>
    <w:p w14:paraId="2EAA6E47" w14:textId="77777777" w:rsidR="00ED3F83" w:rsidRPr="00B91AD6" w:rsidRDefault="00ED3F83" w:rsidP="00ED3F83">
      <w:pPr>
        <w:rPr>
          <w:rFonts w:asciiTheme="minorHAnsi" w:hAnsiTheme="minorHAnsi" w:cstheme="minorHAnsi"/>
          <w:b/>
          <w:lang w:eastAsia="en-US"/>
        </w:rPr>
      </w:pPr>
    </w:p>
    <w:tbl>
      <w:tblPr>
        <w:tblW w:w="8603" w:type="dxa"/>
        <w:tblInd w:w="-34" w:type="dxa"/>
        <w:tblCellMar>
          <w:left w:w="10" w:type="dxa"/>
          <w:right w:w="10" w:type="dxa"/>
        </w:tblCellMar>
        <w:tblLook w:val="0000" w:firstRow="0" w:lastRow="0" w:firstColumn="0" w:lastColumn="0" w:noHBand="0" w:noVBand="0"/>
      </w:tblPr>
      <w:tblGrid>
        <w:gridCol w:w="1800"/>
        <w:gridCol w:w="6803"/>
      </w:tblGrid>
      <w:tr w:rsidR="00ED3F83" w:rsidRPr="00B91AD6" w14:paraId="7A7C748D"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55755B"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Date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3FC8C" w14:textId="77777777" w:rsidR="00ED3F83" w:rsidRPr="00B91AD6" w:rsidRDefault="00ED3F83" w:rsidP="00062DAE">
            <w:pPr>
              <w:rPr>
                <w:rFonts w:asciiTheme="minorHAnsi" w:hAnsiTheme="minorHAnsi" w:cstheme="minorHAnsi"/>
                <w:b/>
                <w:bCs/>
                <w:lang w:val="en-GB" w:eastAsia="en-US"/>
              </w:rPr>
            </w:pPr>
          </w:p>
        </w:tc>
      </w:tr>
      <w:tr w:rsidR="00ED3F83" w:rsidRPr="00B91AD6" w14:paraId="67B1DCB3"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390426E"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 xml:space="preserve">Interviewees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13D85" w14:textId="77777777" w:rsidR="00ED3F83" w:rsidRPr="00B91AD6" w:rsidRDefault="00ED3F83" w:rsidP="00062DAE">
            <w:pPr>
              <w:rPr>
                <w:rFonts w:asciiTheme="minorHAnsi" w:hAnsiTheme="minorHAnsi" w:cstheme="minorHAnsi"/>
                <w:bCs/>
                <w:lang w:val="en-GB" w:eastAsia="en-US"/>
              </w:rPr>
            </w:pPr>
          </w:p>
        </w:tc>
      </w:tr>
      <w:tr w:rsidR="00ED3F83" w:rsidRPr="00B91AD6" w14:paraId="00A4AA08"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6CA083"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Name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68121" w14:textId="77777777" w:rsidR="00ED3F83" w:rsidRPr="00B91AD6" w:rsidRDefault="00ED3F83" w:rsidP="00062DAE">
            <w:pPr>
              <w:rPr>
                <w:rFonts w:asciiTheme="minorHAnsi" w:hAnsiTheme="minorHAnsi" w:cstheme="minorHAnsi"/>
                <w:bCs/>
                <w:lang w:val="es-ES" w:eastAsia="en-US"/>
              </w:rPr>
            </w:pPr>
          </w:p>
        </w:tc>
      </w:tr>
      <w:tr w:rsidR="00ED3F83" w:rsidRPr="00B91AD6" w14:paraId="48CB3673"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81B9C9E"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 xml:space="preserve">Position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43D94" w14:textId="77777777" w:rsidR="00ED3F83" w:rsidRPr="00B91AD6" w:rsidRDefault="00ED3F83" w:rsidP="00062DAE">
            <w:pPr>
              <w:rPr>
                <w:rFonts w:asciiTheme="minorHAnsi" w:hAnsiTheme="minorHAnsi" w:cstheme="minorHAnsi"/>
                <w:bCs/>
                <w:lang w:val="es-ES" w:eastAsia="en-US"/>
              </w:rPr>
            </w:pPr>
          </w:p>
        </w:tc>
      </w:tr>
      <w:tr w:rsidR="00ED3F83" w:rsidRPr="00B91AD6" w14:paraId="551FB671"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6F4B1E5"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Address</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9690B" w14:textId="77777777" w:rsidR="00ED3F83" w:rsidRPr="00B91AD6" w:rsidRDefault="00ED3F83" w:rsidP="00062DAE">
            <w:pPr>
              <w:rPr>
                <w:rFonts w:asciiTheme="minorHAnsi" w:hAnsiTheme="minorHAnsi" w:cstheme="minorHAnsi"/>
                <w:bCs/>
                <w:lang w:val="en-GB" w:eastAsia="en-US"/>
              </w:rPr>
            </w:pPr>
          </w:p>
        </w:tc>
      </w:tr>
      <w:tr w:rsidR="00ED3F83" w:rsidRPr="00B91AD6" w14:paraId="2402436F"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CA6F906"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 xml:space="preserve">Tel.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C2B33" w14:textId="77777777" w:rsidR="00ED3F83" w:rsidRPr="00B91AD6" w:rsidRDefault="00ED3F83" w:rsidP="00062DAE">
            <w:pPr>
              <w:rPr>
                <w:rFonts w:asciiTheme="minorHAnsi" w:hAnsiTheme="minorHAnsi" w:cstheme="minorHAnsi"/>
                <w:bCs/>
                <w:lang w:val="en-GB" w:eastAsia="en-US"/>
              </w:rPr>
            </w:pPr>
          </w:p>
        </w:tc>
      </w:tr>
      <w:tr w:rsidR="00ED3F83" w:rsidRPr="00B91AD6" w14:paraId="4758CF55" w14:textId="77777777" w:rsidTr="00EC27ED">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5E1AF34" w14:textId="77777777" w:rsidR="00ED3F83" w:rsidRPr="00B91AD6" w:rsidRDefault="00ED3F83" w:rsidP="00062DAE">
            <w:pPr>
              <w:rPr>
                <w:rFonts w:asciiTheme="minorHAnsi" w:hAnsiTheme="minorHAnsi" w:cstheme="minorHAnsi"/>
                <w:b/>
                <w:bCs/>
                <w:lang w:val="en-GB" w:eastAsia="en-US"/>
              </w:rPr>
            </w:pPr>
            <w:r w:rsidRPr="00B91AD6">
              <w:rPr>
                <w:rFonts w:asciiTheme="minorHAnsi" w:hAnsiTheme="minorHAnsi" w:cstheme="minorHAnsi"/>
                <w:b/>
                <w:bCs/>
                <w:lang w:val="en-GB" w:eastAsia="en-US"/>
              </w:rPr>
              <w:t>Mail</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B0202" w14:textId="77777777" w:rsidR="00ED3F83" w:rsidRPr="00B91AD6" w:rsidRDefault="00ED3F83" w:rsidP="00062DAE">
            <w:pPr>
              <w:rPr>
                <w:rFonts w:asciiTheme="minorHAnsi" w:hAnsiTheme="minorHAnsi" w:cstheme="minorHAnsi"/>
                <w:bCs/>
                <w:lang w:val="en-GB" w:eastAsia="en-US"/>
              </w:rPr>
            </w:pPr>
          </w:p>
        </w:tc>
      </w:tr>
    </w:tbl>
    <w:p w14:paraId="3516CA18" w14:textId="77777777" w:rsidR="00ED3F83" w:rsidRPr="00B91AD6" w:rsidRDefault="00ED3F83" w:rsidP="00ED3F83">
      <w:pPr>
        <w:rPr>
          <w:rFonts w:asciiTheme="minorHAnsi" w:hAnsiTheme="minorHAnsi" w:cstheme="minorHAnsi"/>
          <w:b/>
          <w:lang w:val="es-ES" w:eastAsia="en-US"/>
        </w:rPr>
      </w:pPr>
    </w:p>
    <w:p w14:paraId="4653C8DE" w14:textId="77777777" w:rsidR="00ED3F83" w:rsidRPr="00B91AD6" w:rsidRDefault="00ED3F83" w:rsidP="00ED3F83">
      <w:pPr>
        <w:rPr>
          <w:rFonts w:asciiTheme="minorHAnsi" w:hAnsiTheme="minorHAnsi" w:cstheme="minorHAnsi"/>
          <w:bCs/>
          <w:lang w:eastAsia="en-US"/>
        </w:rPr>
      </w:pPr>
      <w:r w:rsidRPr="00B91AD6">
        <w:rPr>
          <w:rFonts w:asciiTheme="minorHAnsi" w:hAnsiTheme="minorHAnsi" w:cstheme="minorHAnsi"/>
          <w:bCs/>
          <w:lang w:eastAsia="en-US"/>
        </w:rPr>
        <w:t>Introduction:</w:t>
      </w:r>
    </w:p>
    <w:p w14:paraId="174DD7CC"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 xml:space="preserve">Thank interviewees / participants for their availability for the interview. </w:t>
      </w:r>
    </w:p>
    <w:p w14:paraId="205C7D36"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 xml:space="preserve">Brief presentation.  </w:t>
      </w:r>
    </w:p>
    <w:p w14:paraId="173C3AC4"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 xml:space="preserve">Brief introduction of the evaluations main objective and how information is going to be obtained. </w:t>
      </w:r>
    </w:p>
    <w:p w14:paraId="7CA722E1" w14:textId="77777777" w:rsidR="00ED3F83" w:rsidRPr="00B91AD6" w:rsidRDefault="00ED3F83" w:rsidP="00ED3F83">
      <w:pPr>
        <w:rPr>
          <w:rFonts w:asciiTheme="minorHAnsi" w:hAnsiTheme="minorHAnsi" w:cstheme="minorHAnsi"/>
        </w:rPr>
      </w:pPr>
      <w:r w:rsidRPr="00B91AD6">
        <w:rPr>
          <w:rFonts w:asciiTheme="minorHAnsi" w:hAnsiTheme="minorHAnsi" w:cstheme="minorHAnsi"/>
        </w:rPr>
        <w:t>This TE report will assess the achievement of project results against what was expected to be achieved and draw lessons that can both improve the sustainability of benefits from this project and aid in the overall enhancement of UNDP programming, through informing future project design and implementation. The TE report promotes accountability and transparency and assesses the extent of project accomplishments, including through adaptation to the outbreak of the COVID-19 pandemic. The TE will also review the project’s strategy and its risks to sustainability.</w:t>
      </w:r>
    </w:p>
    <w:p w14:paraId="32F1FBFD"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 xml:space="preserve">Ask if the interviewee has any specific question or doubt before starting the interview. </w:t>
      </w:r>
    </w:p>
    <w:p w14:paraId="085CE245"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 xml:space="preserve">Clarify that the information gathered will be strictly confidential.    </w:t>
      </w:r>
    </w:p>
    <w:p w14:paraId="6E611DDF"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 xml:space="preserve">Ask if the interviewee gives his/her consent to record the interview; indicate that the interview will be recorded to better capture the information. If the interviewee does not feel comfortable ensure that the interview will not be recorded. </w:t>
      </w:r>
    </w:p>
    <w:p w14:paraId="1EC3E5AE" w14:textId="77777777" w:rsidR="00ED3F83" w:rsidRPr="00B91AD6" w:rsidRDefault="00ED3F83" w:rsidP="00D80344">
      <w:pPr>
        <w:numPr>
          <w:ilvl w:val="0"/>
          <w:numId w:val="62"/>
        </w:numPr>
        <w:suppressAutoHyphens/>
        <w:autoSpaceDN w:val="0"/>
        <w:spacing w:after="0" w:line="240" w:lineRule="auto"/>
        <w:rPr>
          <w:rFonts w:asciiTheme="minorHAnsi" w:hAnsiTheme="minorHAnsi" w:cstheme="minorHAnsi"/>
          <w:bCs/>
          <w:lang w:eastAsia="en-US"/>
        </w:rPr>
      </w:pPr>
      <w:r w:rsidRPr="00B91AD6">
        <w:rPr>
          <w:rFonts w:asciiTheme="minorHAnsi" w:hAnsiTheme="minorHAnsi" w:cstheme="minorHAnsi"/>
          <w:bCs/>
          <w:lang w:eastAsia="en-US"/>
        </w:rPr>
        <w:t>Mark responses as M or F for Male/Female to disaggregate opinions</w:t>
      </w:r>
    </w:p>
    <w:p w14:paraId="5C4F0CD1" w14:textId="77777777" w:rsidR="00ED3F83" w:rsidRPr="00B91AD6" w:rsidRDefault="00ED3F83" w:rsidP="00ED3F83">
      <w:pPr>
        <w:ind w:left="720"/>
        <w:rPr>
          <w:rFonts w:asciiTheme="minorHAnsi" w:hAnsiTheme="minorHAnsi" w:cstheme="minorHAnsi"/>
          <w:bCs/>
          <w:lang w:eastAsia="en-US"/>
        </w:rPr>
      </w:pPr>
    </w:p>
    <w:p w14:paraId="5FAB8823" w14:textId="77777777" w:rsidR="00ED3F83" w:rsidRPr="00B91AD6" w:rsidRDefault="00ED3F83" w:rsidP="00ED3F83">
      <w:pPr>
        <w:spacing w:after="120"/>
        <w:rPr>
          <w:rFonts w:asciiTheme="minorHAnsi" w:hAnsiTheme="minorHAnsi" w:cstheme="minorHAnsi"/>
          <w:b/>
          <w:lang w:eastAsia="en-US"/>
        </w:rPr>
      </w:pPr>
      <w:r w:rsidRPr="00B91AD6">
        <w:rPr>
          <w:rFonts w:asciiTheme="minorHAnsi" w:hAnsiTheme="minorHAnsi" w:cstheme="minorHAnsi"/>
          <w:b/>
          <w:lang w:eastAsia="en-US"/>
        </w:rPr>
        <w:t>Part I: General Information</w:t>
      </w:r>
    </w:p>
    <w:p w14:paraId="52929B3A"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lang w:eastAsia="en-US"/>
        </w:rPr>
      </w:pPr>
      <w:r w:rsidRPr="00B91AD6">
        <w:rPr>
          <w:rFonts w:asciiTheme="minorHAnsi" w:hAnsiTheme="minorHAnsi" w:cstheme="minorHAnsi"/>
          <w:lang w:eastAsia="en-US"/>
        </w:rPr>
        <w:t>Please briefly explain the work of your organization and your relationship with the project.</w:t>
      </w:r>
    </w:p>
    <w:p w14:paraId="5D59EB37" w14:textId="77777777" w:rsidR="00ED3F83" w:rsidRPr="00B91AD6" w:rsidRDefault="00ED3F83" w:rsidP="00ED3F83">
      <w:pPr>
        <w:spacing w:line="254" w:lineRule="auto"/>
        <w:rPr>
          <w:rFonts w:asciiTheme="minorHAnsi" w:hAnsiTheme="minorHAnsi" w:cstheme="minorHAnsi"/>
          <w:i/>
          <w:lang w:eastAsia="en-US"/>
        </w:rPr>
      </w:pPr>
      <w:r w:rsidRPr="00B91AD6">
        <w:rPr>
          <w:rFonts w:asciiTheme="minorHAnsi" w:hAnsiTheme="minorHAnsi" w:cstheme="minorHAnsi"/>
          <w:i/>
          <w:lang w:eastAsia="en-US"/>
        </w:rPr>
        <w:lastRenderedPageBreak/>
        <w:t xml:space="preserve">Note: It is important here to know exactly who we are talking to: Is it a representative of the Government directly involved in the implementation of the project? A representative of another Project collaborating with the Project. A member of an CSO? A beneficiary of the project? Depending on the nature of the collaboration, the questions </w:t>
      </w:r>
      <w:r>
        <w:rPr>
          <w:rFonts w:asciiTheme="minorHAnsi" w:hAnsiTheme="minorHAnsi" w:cstheme="minorHAnsi"/>
          <w:i/>
          <w:lang w:eastAsia="en-US"/>
        </w:rPr>
        <w:t xml:space="preserve">will be </w:t>
      </w:r>
      <w:r w:rsidRPr="00B91AD6">
        <w:rPr>
          <w:rFonts w:asciiTheme="minorHAnsi" w:hAnsiTheme="minorHAnsi" w:cstheme="minorHAnsi"/>
          <w:i/>
          <w:lang w:eastAsia="en-US"/>
        </w:rPr>
        <w:t>be adapted to make them more specific</w:t>
      </w:r>
      <w:r>
        <w:rPr>
          <w:rFonts w:asciiTheme="minorHAnsi" w:hAnsiTheme="minorHAnsi" w:cstheme="minorHAnsi"/>
          <w:i/>
          <w:lang w:eastAsia="en-US"/>
        </w:rPr>
        <w:t xml:space="preserve"> to the interviewee</w:t>
      </w:r>
      <w:r w:rsidRPr="00B91AD6">
        <w:rPr>
          <w:rFonts w:asciiTheme="minorHAnsi" w:hAnsiTheme="minorHAnsi" w:cstheme="minorHAnsi"/>
          <w:i/>
          <w:lang w:eastAsia="en-US"/>
        </w:rPr>
        <w:t>.</w:t>
      </w:r>
    </w:p>
    <w:p w14:paraId="5DA19371" w14:textId="77777777" w:rsidR="00ED3F83" w:rsidRPr="00B91AD6" w:rsidRDefault="00ED3F83" w:rsidP="00ED3F83">
      <w:pPr>
        <w:spacing w:line="254" w:lineRule="auto"/>
        <w:rPr>
          <w:rFonts w:asciiTheme="minorHAnsi" w:hAnsiTheme="minorHAnsi" w:cstheme="minorHAnsi"/>
          <w:i/>
          <w:lang w:eastAsia="en-US"/>
        </w:rPr>
      </w:pPr>
      <w:r w:rsidRPr="00B91AD6">
        <w:rPr>
          <w:rFonts w:asciiTheme="minorHAnsi" w:hAnsiTheme="minorHAnsi" w:cstheme="minorHAnsi"/>
          <w:i/>
          <w:lang w:eastAsia="en-US"/>
        </w:rPr>
        <w:t>Important information:</w:t>
      </w:r>
    </w:p>
    <w:p w14:paraId="1AA23690" w14:textId="77777777" w:rsidR="00ED3F83" w:rsidRPr="00B91AD6" w:rsidRDefault="00ED3F83" w:rsidP="00D80344">
      <w:pPr>
        <w:pStyle w:val="ListParagraph"/>
        <w:numPr>
          <w:ilvl w:val="0"/>
          <w:numId w:val="61"/>
        </w:numPr>
        <w:suppressAutoHyphens/>
        <w:spacing w:before="0" w:line="254" w:lineRule="auto"/>
        <w:textAlignment w:val="baseline"/>
        <w:rPr>
          <w:rFonts w:asciiTheme="minorHAnsi" w:hAnsiTheme="minorHAnsi" w:cstheme="minorHAnsi"/>
          <w:i/>
        </w:rPr>
      </w:pPr>
      <w:r w:rsidRPr="00B91AD6">
        <w:rPr>
          <w:rFonts w:asciiTheme="minorHAnsi" w:hAnsiTheme="minorHAnsi" w:cstheme="minorHAnsi"/>
          <w:i/>
        </w:rPr>
        <w:t>What sort of relationship do you have with the project?</w:t>
      </w:r>
    </w:p>
    <w:p w14:paraId="5C13E3FD" w14:textId="77777777" w:rsidR="00ED3F83" w:rsidRPr="00B91AD6" w:rsidRDefault="00ED3F83" w:rsidP="00D80344">
      <w:pPr>
        <w:numPr>
          <w:ilvl w:val="0"/>
          <w:numId w:val="61"/>
        </w:numPr>
        <w:suppressAutoHyphens/>
        <w:autoSpaceDN w:val="0"/>
        <w:spacing w:line="254" w:lineRule="auto"/>
        <w:textAlignment w:val="baseline"/>
        <w:rPr>
          <w:rFonts w:asciiTheme="minorHAnsi" w:hAnsiTheme="minorHAnsi" w:cstheme="minorHAnsi"/>
          <w:i/>
          <w:lang w:eastAsia="en-US"/>
        </w:rPr>
      </w:pPr>
      <w:r w:rsidRPr="00B91AD6">
        <w:rPr>
          <w:rFonts w:asciiTheme="minorHAnsi" w:hAnsiTheme="minorHAnsi" w:cstheme="minorHAnsi"/>
          <w:i/>
          <w:lang w:eastAsia="en-US"/>
        </w:rPr>
        <w:t xml:space="preserve">Is there any sort of evidence of the relationship, do you have an agreement perhaps? </w:t>
      </w:r>
    </w:p>
    <w:p w14:paraId="021E4B2A" w14:textId="77777777" w:rsidR="00ED3F83" w:rsidRDefault="00ED3F83" w:rsidP="00D80344">
      <w:pPr>
        <w:pStyle w:val="ListParagraph"/>
        <w:numPr>
          <w:ilvl w:val="0"/>
          <w:numId w:val="60"/>
        </w:numPr>
        <w:suppressAutoHyphens/>
        <w:spacing w:before="0" w:after="120"/>
        <w:ind w:left="360"/>
        <w:textAlignment w:val="baseline"/>
        <w:rPr>
          <w:rFonts w:asciiTheme="minorHAnsi" w:hAnsiTheme="minorHAnsi" w:cstheme="minorHAnsi"/>
        </w:rPr>
      </w:pPr>
      <w:r w:rsidRPr="00B91AD6">
        <w:rPr>
          <w:rFonts w:asciiTheme="minorHAnsi" w:hAnsiTheme="minorHAnsi" w:cstheme="minorHAnsi"/>
        </w:rPr>
        <w:t>Please explain if you consider that the Project with its main objective to Effectively leverage demand, transactions, and support to production to ensure successful implementation of the Commodities IAP program, is well aligned and relevant</w:t>
      </w:r>
      <w:r>
        <w:rPr>
          <w:rFonts w:asciiTheme="minorHAnsi" w:hAnsiTheme="minorHAnsi" w:cstheme="minorHAnsi"/>
        </w:rPr>
        <w:t xml:space="preserve"> to existing national priorities</w:t>
      </w:r>
      <w:r w:rsidRPr="00B91AD6">
        <w:rPr>
          <w:rFonts w:asciiTheme="minorHAnsi" w:hAnsiTheme="minorHAnsi" w:cstheme="minorHAnsi"/>
        </w:rPr>
        <w:t>?</w:t>
      </w:r>
    </w:p>
    <w:p w14:paraId="5F362D19" w14:textId="77777777" w:rsidR="00ED3F83" w:rsidRPr="00B91AD6" w:rsidRDefault="00ED3F83" w:rsidP="00D80344">
      <w:pPr>
        <w:pStyle w:val="ListParagraph"/>
        <w:numPr>
          <w:ilvl w:val="0"/>
          <w:numId w:val="60"/>
        </w:numPr>
        <w:suppressAutoHyphens/>
        <w:spacing w:before="0" w:after="120"/>
        <w:ind w:left="360"/>
        <w:textAlignment w:val="baseline"/>
        <w:rPr>
          <w:rFonts w:asciiTheme="minorHAnsi" w:hAnsiTheme="minorHAnsi" w:cstheme="minorHAnsi"/>
        </w:rPr>
      </w:pPr>
      <w:r>
        <w:rPr>
          <w:rFonts w:asciiTheme="minorHAnsi" w:hAnsiTheme="minorHAnsi" w:cstheme="minorHAnsi"/>
        </w:rPr>
        <w:t xml:space="preserve">Are there emerging national priorities? Is the project relevant to these? </w:t>
      </w:r>
      <w:r w:rsidRPr="00B91AD6">
        <w:rPr>
          <w:rFonts w:asciiTheme="minorHAnsi" w:hAnsiTheme="minorHAnsi" w:cstheme="minorHAnsi"/>
        </w:rPr>
        <w:t xml:space="preserve">  </w:t>
      </w:r>
    </w:p>
    <w:p w14:paraId="3C6D03AF" w14:textId="77777777" w:rsidR="00ED3F83" w:rsidRPr="00B91AD6" w:rsidRDefault="00ED3F83" w:rsidP="00D80344">
      <w:pPr>
        <w:numPr>
          <w:ilvl w:val="0"/>
          <w:numId w:val="60"/>
        </w:numPr>
        <w:suppressAutoHyphens/>
        <w:autoSpaceDN w:val="0"/>
        <w:spacing w:after="120" w:line="240" w:lineRule="auto"/>
        <w:ind w:left="360"/>
        <w:textAlignment w:val="baseline"/>
        <w:rPr>
          <w:rFonts w:asciiTheme="minorHAnsi" w:hAnsiTheme="minorHAnsi" w:cstheme="minorHAnsi"/>
          <w:lang w:eastAsia="en-US"/>
        </w:rPr>
      </w:pPr>
      <w:r w:rsidRPr="00B91AD6">
        <w:rPr>
          <w:rFonts w:asciiTheme="minorHAnsi" w:hAnsiTheme="minorHAnsi" w:cstheme="minorHAnsi"/>
          <w:lang w:eastAsia="en-US"/>
        </w:rPr>
        <w:t>Did you or someone from your unit/organization participate in the project formulation process? Please describe the process (n/a with certain partners and actors)</w:t>
      </w:r>
    </w:p>
    <w:p w14:paraId="3D3314C2" w14:textId="77777777" w:rsidR="00ED3F83" w:rsidRPr="00647D2F" w:rsidRDefault="00ED3F83" w:rsidP="00D80344">
      <w:pPr>
        <w:numPr>
          <w:ilvl w:val="0"/>
          <w:numId w:val="60"/>
        </w:numPr>
        <w:spacing w:before="100" w:beforeAutospacing="1" w:after="100" w:afterAutospacing="1" w:line="240" w:lineRule="auto"/>
        <w:rPr>
          <w:rFonts w:asciiTheme="minorHAnsi" w:eastAsia="Times New Roman" w:hAnsiTheme="minorHAnsi" w:cstheme="minorHAnsi"/>
        </w:rPr>
      </w:pPr>
      <w:r w:rsidRPr="00647D2F">
        <w:rPr>
          <w:rFonts w:asciiTheme="minorHAnsi" w:eastAsia="Times New Roman" w:hAnsiTheme="minorHAnsi" w:cstheme="minorHAnsi"/>
        </w:rPr>
        <w:t>To what extent has the A&amp;L implementation fostered coherence, through the promotion of synergies, interlinkages between its interventions, partnerships, external relations, and through its governance structures?</w:t>
      </w:r>
      <w:r>
        <w:rPr>
          <w:rFonts w:asciiTheme="minorHAnsi" w:eastAsia="Times New Roman" w:hAnsiTheme="minorHAnsi" w:cstheme="minorHAnsi"/>
        </w:rPr>
        <w:t xml:space="preserve"> How could the process be improved?</w:t>
      </w:r>
    </w:p>
    <w:p w14:paraId="6BB03B8D"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sidRPr="00B91AD6">
        <w:rPr>
          <w:rFonts w:asciiTheme="minorHAnsi" w:hAnsiTheme="minorHAnsi" w:cstheme="minorHAnsi"/>
        </w:rPr>
        <w:t>?</w:t>
      </w:r>
      <w:r>
        <w:rPr>
          <w:rFonts w:asciiTheme="minorHAnsi" w:hAnsiTheme="minorHAnsi" w:cstheme="minorHAnsi"/>
        </w:rPr>
        <w:t>How would you rate the quality of communication on a scale of 1 to 5, with one being dysfunctional to 5 being excellent?</w:t>
      </w:r>
    </w:p>
    <w:p w14:paraId="62E991B2" w14:textId="77777777" w:rsidR="00ED3F83"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Are you a member of the Green Commodities Community? Have you participated in any events? Did you access any of the tools or knowledge products? if so, how did these help you in your work</w:t>
      </w:r>
    </w:p>
    <w:p w14:paraId="35875512"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Did you make any changes in your activities or programming based on learning from the Green Commodities Community?</w:t>
      </w:r>
    </w:p>
    <w:p w14:paraId="23D77399" w14:textId="77777777" w:rsidR="00ED3F83"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Have you heard of Evidensia? Have you accessed any information on VSS?</w:t>
      </w:r>
    </w:p>
    <w:p w14:paraId="1B7A892E"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What is the volume of information available in Evidensia?  How many synthesis reports have been compiled?  How many users have accessed these products and what type of users?</w:t>
      </w:r>
    </w:p>
    <w:p w14:paraId="46ED5FF5"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How would you characterize the project´s M+E system?  Was it useful in providing information to support decision-making?  Could the process be improved?</w:t>
      </w:r>
    </w:p>
    <w:p w14:paraId="1B872754"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Is the A&amp;L project providing the benefits that you expected at the onset?  How has the project adapted to challenges?</w:t>
      </w:r>
    </w:p>
    <w:p w14:paraId="2AFC7584"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Pr>
          <w:rFonts w:asciiTheme="minorHAnsi" w:hAnsiTheme="minorHAnsi" w:cstheme="minorHAnsi"/>
        </w:rPr>
        <w:t>Is a connector project useful or necessary in an IAP or could each child project stand on its own</w:t>
      </w:r>
      <w:r w:rsidRPr="00B91AD6">
        <w:rPr>
          <w:rFonts w:asciiTheme="minorHAnsi" w:hAnsiTheme="minorHAnsi" w:cstheme="minorHAnsi"/>
        </w:rPr>
        <w:t xml:space="preserve">? </w:t>
      </w:r>
      <w:r>
        <w:rPr>
          <w:rFonts w:asciiTheme="minorHAnsi" w:hAnsiTheme="minorHAnsi" w:cstheme="minorHAnsi"/>
        </w:rPr>
        <w:t>What were the benefits?</w:t>
      </w:r>
    </w:p>
    <w:p w14:paraId="3235250B" w14:textId="77777777" w:rsidR="00ED3F83" w:rsidRPr="00647D2F" w:rsidRDefault="00ED3F83" w:rsidP="00D80344">
      <w:pPr>
        <w:pStyle w:val="ListParagraph"/>
        <w:numPr>
          <w:ilvl w:val="0"/>
          <w:numId w:val="60"/>
        </w:numPr>
        <w:spacing w:before="0"/>
        <w:rPr>
          <w:rFonts w:asciiTheme="minorHAnsi" w:eastAsia="Times New Roman" w:hAnsiTheme="minorHAnsi" w:cstheme="minorHAnsi"/>
        </w:rPr>
      </w:pPr>
      <w:r w:rsidRPr="00647D2F">
        <w:rPr>
          <w:rFonts w:asciiTheme="minorHAnsi" w:eastAsia="Times New Roman" w:hAnsiTheme="minorHAnsi" w:cstheme="minorHAnsi"/>
        </w:rPr>
        <w:t>To what extent have the benefits provided by partnerships contributed to foster sustainable commodity supply chains practices?  How are these changes measured?</w:t>
      </w:r>
    </w:p>
    <w:p w14:paraId="3BDAD38A" w14:textId="77777777" w:rsidR="00ED3F83" w:rsidRPr="00B91AD6" w:rsidRDefault="00ED3F83" w:rsidP="00ED3F83">
      <w:pPr>
        <w:rPr>
          <w:rFonts w:asciiTheme="minorHAnsi" w:hAnsiTheme="minorHAnsi" w:cstheme="minorHAnsi"/>
          <w:i/>
        </w:rPr>
      </w:pPr>
      <w:r w:rsidRPr="00B91AD6">
        <w:rPr>
          <w:rFonts w:asciiTheme="minorHAnsi" w:hAnsiTheme="minorHAnsi" w:cstheme="minorHAnsi"/>
          <w:i/>
        </w:rPr>
        <w:t xml:space="preserve">Reference the identified risks </w:t>
      </w:r>
    </w:p>
    <w:p w14:paraId="54F225FB" w14:textId="77777777" w:rsidR="00ED3F83" w:rsidRPr="00B91AD6" w:rsidRDefault="00ED3F83" w:rsidP="00D80344">
      <w:pPr>
        <w:pStyle w:val="ListParagraph"/>
        <w:numPr>
          <w:ilvl w:val="0"/>
          <w:numId w:val="63"/>
        </w:numPr>
        <w:spacing w:before="0"/>
        <w:rPr>
          <w:rFonts w:asciiTheme="minorHAnsi" w:hAnsiTheme="minorHAnsi" w:cstheme="minorHAnsi"/>
        </w:rPr>
      </w:pPr>
      <w:r w:rsidRPr="00B91AD6">
        <w:rPr>
          <w:rFonts w:asciiTheme="minorHAnsi" w:hAnsiTheme="minorHAnsi" w:cstheme="minorHAnsi"/>
        </w:rPr>
        <w:t>Financial risk especially for the CoP and the established structures to maintain good partnerships is high to ensure those infrastructures are maintained and further capacitated</w:t>
      </w:r>
    </w:p>
    <w:p w14:paraId="68A7E7A5" w14:textId="77777777" w:rsidR="00ED3F83" w:rsidRPr="00B91AD6" w:rsidRDefault="00ED3F83" w:rsidP="00D80344">
      <w:pPr>
        <w:pStyle w:val="ListParagraph"/>
        <w:numPr>
          <w:ilvl w:val="0"/>
          <w:numId w:val="63"/>
        </w:numPr>
        <w:spacing w:before="0"/>
        <w:rPr>
          <w:rFonts w:asciiTheme="minorHAnsi" w:hAnsiTheme="minorHAnsi" w:cstheme="minorHAnsi"/>
        </w:rPr>
      </w:pPr>
      <w:r w:rsidRPr="00647D2F">
        <w:rPr>
          <w:rFonts w:asciiTheme="minorHAnsi" w:eastAsia="Symbol" w:hAnsiTheme="minorHAnsi" w:cstheme="minorHAnsi"/>
          <w:kern w:val="24"/>
        </w:rPr>
        <w:t xml:space="preserve">Institutional risks for integration: </w:t>
      </w:r>
      <w:r w:rsidRPr="00B91AD6">
        <w:rPr>
          <w:rFonts w:asciiTheme="minorHAnsi" w:hAnsiTheme="minorHAnsi" w:cstheme="minorHAnsi"/>
        </w:rPr>
        <w:t>significant delays and inconsistencies in implementation due to interdependencies between components and child projects; lack of willingness to collaborate, and too many existing initiatives in the same thematic which might decrease the added value of GGP</w:t>
      </w:r>
    </w:p>
    <w:p w14:paraId="0C6EA080"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At your discretion, does the results framework or budget include gender-relevant outputs and activities? Please specify.</w:t>
      </w:r>
    </w:p>
    <w:p w14:paraId="0B101623"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Do you believe that the results and output indicators were well designed and can be measured?</w:t>
      </w:r>
    </w:p>
    <w:p w14:paraId="032DE2B5" w14:textId="77777777" w:rsidR="00ED3F83" w:rsidRPr="00B91AD6" w:rsidRDefault="00ED3F83" w:rsidP="00D80344">
      <w:pPr>
        <w:numPr>
          <w:ilvl w:val="0"/>
          <w:numId w:val="60"/>
        </w:numPr>
        <w:suppressAutoHyphens/>
        <w:autoSpaceDN w:val="0"/>
        <w:spacing w:after="0" w:line="240" w:lineRule="auto"/>
        <w:textAlignment w:val="baseline"/>
        <w:rPr>
          <w:rFonts w:asciiTheme="minorHAnsi" w:hAnsiTheme="minorHAnsi" w:cstheme="minorHAnsi"/>
        </w:rPr>
      </w:pPr>
      <w:r w:rsidRPr="00B91AD6">
        <w:rPr>
          <w:rFonts w:asciiTheme="minorHAnsi" w:hAnsiTheme="minorHAnsi" w:cstheme="minorHAnsi"/>
        </w:rPr>
        <w:lastRenderedPageBreak/>
        <w:t xml:space="preserve">Does UNDP (or the ISEAL Alliance, WWF, UNEP FI, IFC, CI) have a good system of financial tracking, budgeting, spending and expense forecasting of the system itself? </w:t>
      </w:r>
    </w:p>
    <w:p w14:paraId="125EF0C1"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What have been the main obstacles to achieving the results? Please explain.</w:t>
      </w:r>
    </w:p>
    <w:p w14:paraId="5F46DC07"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What are the facilitating factors for the achievement of the results? Please explain</w:t>
      </w:r>
    </w:p>
    <w:p w14:paraId="3C73E710"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Has the project achieved an appropriate/effective partnership strategy? Should any other partners or key players be added to the process? Please explain</w:t>
      </w:r>
    </w:p>
    <w:p w14:paraId="45742794"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In which way does the information shared through Evidensia and CoP help in decision-making on your sector? How can it be improved?</w:t>
      </w:r>
    </w:p>
    <w:p w14:paraId="141F3FA5"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What staff and budget does your organization have to ensure the continuity of this conservation approach once the project has completed?</w:t>
      </w:r>
    </w:p>
    <w:p w14:paraId="0DD95F7B" w14:textId="77777777" w:rsidR="00ED3F83" w:rsidRPr="00B91AD6" w:rsidRDefault="00ED3F83" w:rsidP="00ED3F83">
      <w:pPr>
        <w:spacing w:after="120"/>
        <w:rPr>
          <w:rFonts w:asciiTheme="minorHAnsi" w:hAnsiTheme="minorHAnsi" w:cstheme="minorHAnsi"/>
          <w:b/>
        </w:rPr>
      </w:pPr>
      <w:r w:rsidRPr="00B91AD6">
        <w:rPr>
          <w:rFonts w:asciiTheme="minorHAnsi" w:hAnsiTheme="minorHAnsi" w:cstheme="minorHAnsi"/>
          <w:b/>
        </w:rPr>
        <w:t>Part II: Project Implementation &amp; adaptive management</w:t>
      </w:r>
    </w:p>
    <w:p w14:paraId="6730B08C"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 xml:space="preserve">Do you think that the structure and organization of the Project were adequate (central office, regional office)? Does the project had enough human and technical equipment and resources to achieve the results?  </w:t>
      </w:r>
    </w:p>
    <w:p w14:paraId="51F1D3E8" w14:textId="77777777" w:rsidR="00ED3F83" w:rsidRPr="00B91AD6" w:rsidRDefault="00ED3F83" w:rsidP="00ED3F83">
      <w:pPr>
        <w:spacing w:line="254" w:lineRule="auto"/>
        <w:rPr>
          <w:rFonts w:asciiTheme="minorHAnsi" w:hAnsiTheme="minorHAnsi" w:cstheme="minorHAnsi"/>
          <w:i/>
        </w:rPr>
      </w:pPr>
      <w:r w:rsidRPr="00B91AD6">
        <w:rPr>
          <w:rFonts w:asciiTheme="minorHAnsi" w:hAnsiTheme="minorHAnsi" w:cstheme="minorHAnsi"/>
          <w:i/>
        </w:rPr>
        <w:t>Note: If you do not know, ask if the interviewee has been informed of changes in the project and if you have been able to influence or transmit concerns to the different coordination bodies</w:t>
      </w:r>
    </w:p>
    <w:p w14:paraId="455B5E72" w14:textId="77777777" w:rsidR="00ED3F83"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Have there been any substantive changes to the project and has the project been able to adapt to these changes?  Were you aware (or informed) of changes before they happened (</w:t>
      </w:r>
      <w:r w:rsidRPr="00B91AD6">
        <w:rPr>
          <w:rFonts w:asciiTheme="minorHAnsi" w:hAnsiTheme="minorHAnsi" w:cstheme="minorHAnsi"/>
          <w:i/>
          <w:iCs/>
        </w:rPr>
        <w:t>if not answered above</w:t>
      </w:r>
      <w:r w:rsidRPr="00B91AD6">
        <w:rPr>
          <w:rFonts w:asciiTheme="minorHAnsi" w:hAnsiTheme="minorHAnsi" w:cstheme="minorHAnsi"/>
        </w:rPr>
        <w:t>?)</w:t>
      </w:r>
    </w:p>
    <w:p w14:paraId="5D431C38"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Pr>
          <w:rFonts w:asciiTheme="minorHAnsi" w:hAnsiTheme="minorHAnsi" w:cstheme="minorHAnsi"/>
        </w:rPr>
        <w:t>Were your opinions or criticisms taken into account? Could you express yourself without pressure? An open environment for communication?</w:t>
      </w:r>
    </w:p>
    <w:p w14:paraId="729E8441" w14:textId="77777777" w:rsidR="00ED3F83" w:rsidRPr="00B91AD6" w:rsidRDefault="00ED3F83" w:rsidP="00D80344">
      <w:pPr>
        <w:numPr>
          <w:ilvl w:val="0"/>
          <w:numId w:val="60"/>
        </w:numPr>
        <w:suppressAutoHyphens/>
        <w:autoSpaceDN w:val="0"/>
        <w:spacing w:line="254" w:lineRule="auto"/>
        <w:ind w:left="360"/>
        <w:textAlignment w:val="baseline"/>
        <w:rPr>
          <w:rFonts w:asciiTheme="minorHAnsi" w:hAnsiTheme="minorHAnsi" w:cstheme="minorHAnsi"/>
        </w:rPr>
      </w:pPr>
      <w:r w:rsidRPr="00B91AD6">
        <w:rPr>
          <w:rFonts w:asciiTheme="minorHAnsi" w:hAnsiTheme="minorHAnsi" w:cstheme="minorHAnsi"/>
        </w:rPr>
        <w:t>How has coordination been between actors? Have the different coordination committees worked? (Steering Committee, GGP Secretariat, committees at national level) Can it be improved? (n/</w:t>
      </w:r>
      <w:r>
        <w:rPr>
          <w:rFonts w:asciiTheme="minorHAnsi" w:hAnsiTheme="minorHAnsi" w:cstheme="minorHAnsi"/>
        </w:rPr>
        <w:t xml:space="preserve">a </w:t>
      </w:r>
      <w:r w:rsidRPr="00B91AD6">
        <w:rPr>
          <w:rFonts w:asciiTheme="minorHAnsi" w:hAnsiTheme="minorHAnsi" w:cstheme="minorHAnsi"/>
        </w:rPr>
        <w:t xml:space="preserve">for certain actors) </w:t>
      </w:r>
    </w:p>
    <w:p w14:paraId="4644B1BE" w14:textId="77777777" w:rsidR="00ED3F83" w:rsidRPr="00B91AD6" w:rsidRDefault="00ED3F83" w:rsidP="00ED3F83">
      <w:pPr>
        <w:spacing w:line="254" w:lineRule="auto"/>
        <w:rPr>
          <w:rFonts w:asciiTheme="minorHAnsi" w:hAnsiTheme="minorHAnsi" w:cstheme="minorHAnsi"/>
          <w:b/>
        </w:rPr>
      </w:pPr>
      <w:r w:rsidRPr="00B91AD6">
        <w:rPr>
          <w:rFonts w:asciiTheme="minorHAnsi" w:hAnsiTheme="minorHAnsi" w:cstheme="minorHAnsi"/>
          <w:b/>
        </w:rPr>
        <w:t xml:space="preserve">FOR STAKEHOLDER ENGAGEMENT </w:t>
      </w:r>
    </w:p>
    <w:p w14:paraId="546390E0" w14:textId="77777777" w:rsidR="00ED3F83" w:rsidRPr="00B91AD6" w:rsidRDefault="00ED3F83" w:rsidP="00D80344">
      <w:pPr>
        <w:pStyle w:val="ListParagraph"/>
        <w:numPr>
          <w:ilvl w:val="0"/>
          <w:numId w:val="60"/>
        </w:numPr>
        <w:spacing w:before="0" w:after="120"/>
        <w:rPr>
          <w:rFonts w:asciiTheme="minorHAnsi" w:hAnsiTheme="minorHAnsi" w:cstheme="minorHAnsi"/>
        </w:rPr>
      </w:pPr>
      <w:r>
        <w:rPr>
          <w:rFonts w:asciiTheme="minorHAnsi" w:hAnsiTheme="minorHAnsi" w:cstheme="minorHAnsi"/>
        </w:rPr>
        <w:t>Has the project achieved stakeholder consensus regarding courses of action on project activities</w:t>
      </w:r>
      <w:r w:rsidRPr="00B91AD6">
        <w:rPr>
          <w:rFonts w:asciiTheme="minorHAnsi" w:hAnsiTheme="minorHAnsi" w:cstheme="minorHAnsi"/>
        </w:rPr>
        <w:t>?</w:t>
      </w:r>
    </w:p>
    <w:p w14:paraId="0AB9CCD3"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What are</w:t>
      </w:r>
      <w:r w:rsidRPr="00B91AD6">
        <w:rPr>
          <w:rFonts w:asciiTheme="minorHAnsi" w:hAnsiTheme="minorHAnsi" w:cstheme="minorHAnsi"/>
          <w:spacing w:val="-26"/>
        </w:rPr>
        <w:t xml:space="preserve"> </w:t>
      </w:r>
      <w:r w:rsidRPr="00B91AD6">
        <w:rPr>
          <w:rFonts w:asciiTheme="minorHAnsi" w:hAnsiTheme="minorHAnsi" w:cstheme="minorHAnsi"/>
        </w:rPr>
        <w:t>key issues faced by (</w:t>
      </w:r>
      <w:r w:rsidRPr="00B91AD6">
        <w:rPr>
          <w:rFonts w:asciiTheme="minorHAnsi" w:hAnsiTheme="minorHAnsi" w:cstheme="minorHAnsi"/>
          <w:i/>
          <w:iCs/>
          <w:u w:val="single"/>
        </w:rPr>
        <w:t>name of stakeholder</w:t>
      </w:r>
      <w:r w:rsidRPr="00B91AD6">
        <w:rPr>
          <w:rFonts w:asciiTheme="minorHAnsi" w:hAnsiTheme="minorHAnsi" w:cstheme="minorHAnsi"/>
        </w:rPr>
        <w:t xml:space="preserve">) in achieving </w:t>
      </w:r>
      <w:r w:rsidRPr="00B91AD6">
        <w:rPr>
          <w:rFonts w:asciiTheme="minorHAnsi" w:hAnsiTheme="minorHAnsi" w:cstheme="minorHAnsi"/>
          <w:spacing w:val="-3"/>
        </w:rPr>
        <w:t xml:space="preserve">its </w:t>
      </w:r>
      <w:r w:rsidRPr="00B91AD6">
        <w:rPr>
          <w:rFonts w:asciiTheme="minorHAnsi" w:hAnsiTheme="minorHAnsi" w:cstheme="minorHAnsi"/>
        </w:rPr>
        <w:t>commitments? What are proposed</w:t>
      </w:r>
      <w:r w:rsidRPr="00B91AD6">
        <w:rPr>
          <w:rFonts w:asciiTheme="minorHAnsi" w:hAnsiTheme="minorHAnsi" w:cstheme="minorHAnsi"/>
          <w:spacing w:val="-10"/>
        </w:rPr>
        <w:t xml:space="preserve"> </w:t>
      </w:r>
      <w:r w:rsidRPr="00B91AD6">
        <w:rPr>
          <w:rFonts w:asciiTheme="minorHAnsi" w:hAnsiTheme="minorHAnsi" w:cstheme="minorHAnsi"/>
        </w:rPr>
        <w:t>solutions?</w:t>
      </w:r>
    </w:p>
    <w:p w14:paraId="14F38044"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0709A2">
        <w:rPr>
          <w:rFonts w:asciiTheme="minorHAnsi" w:hAnsiTheme="minorHAnsi" w:cstheme="minorHAnsi"/>
        </w:rPr>
        <w:t>•</w:t>
      </w:r>
      <w:r w:rsidRPr="000709A2">
        <w:rPr>
          <w:rFonts w:asciiTheme="minorHAnsi" w:hAnsiTheme="minorHAnsi" w:cstheme="minorHAnsi"/>
        </w:rPr>
        <w:tab/>
        <w:t>What additional factors are needed to create an enabling environment</w:t>
      </w:r>
      <w:r>
        <w:rPr>
          <w:rFonts w:asciiTheme="minorHAnsi" w:hAnsiTheme="minorHAnsi" w:cstheme="minorHAnsi"/>
        </w:rPr>
        <w:t>? …for continued financing for GCC? for Evidensia?</w:t>
      </w:r>
      <w:r w:rsidRPr="00B91AD6">
        <w:rPr>
          <w:rFonts w:asciiTheme="minorHAnsi" w:hAnsiTheme="minorHAnsi" w:cstheme="minorHAnsi"/>
        </w:rPr>
        <w:t>?</w:t>
      </w:r>
    </w:p>
    <w:p w14:paraId="5C8C5A5D" w14:textId="77777777" w:rsidR="00ED3F83" w:rsidRPr="00B91AD6" w:rsidRDefault="00ED3F83" w:rsidP="00D80344">
      <w:pPr>
        <w:pStyle w:val="TableParagraph"/>
        <w:numPr>
          <w:ilvl w:val="0"/>
          <w:numId w:val="60"/>
        </w:numPr>
        <w:spacing w:after="120"/>
        <w:ind w:left="446" w:right="101"/>
        <w:rPr>
          <w:rFonts w:asciiTheme="minorHAnsi" w:hAnsiTheme="minorHAnsi" w:cstheme="minorHAnsi"/>
        </w:rPr>
      </w:pPr>
      <w:r w:rsidRPr="00B91AD6">
        <w:rPr>
          <w:rFonts w:asciiTheme="minorHAnsi" w:hAnsiTheme="minorHAnsi" w:cstheme="minorHAnsi"/>
        </w:rPr>
        <w:t>How</w:t>
      </w:r>
      <w:r w:rsidRPr="00B91AD6">
        <w:rPr>
          <w:rFonts w:asciiTheme="minorHAnsi" w:hAnsiTheme="minorHAnsi" w:cstheme="minorHAnsi"/>
          <w:spacing w:val="-7"/>
        </w:rPr>
        <w:t xml:space="preserve"> </w:t>
      </w:r>
      <w:r w:rsidRPr="00B91AD6">
        <w:rPr>
          <w:rFonts w:asciiTheme="minorHAnsi" w:hAnsiTheme="minorHAnsi" w:cstheme="minorHAnsi"/>
        </w:rPr>
        <w:t>does</w:t>
      </w:r>
      <w:r w:rsidRPr="00B91AD6">
        <w:rPr>
          <w:rFonts w:asciiTheme="minorHAnsi" w:hAnsiTheme="minorHAnsi" w:cstheme="minorHAnsi"/>
          <w:spacing w:val="-10"/>
        </w:rPr>
        <w:t xml:space="preserve"> </w:t>
      </w:r>
      <w:r>
        <w:rPr>
          <w:rFonts w:asciiTheme="minorHAnsi" w:hAnsiTheme="minorHAnsi" w:cstheme="minorHAnsi"/>
        </w:rPr>
        <w:t>A&amp;L support the child projects to</w:t>
      </w:r>
      <w:r w:rsidRPr="00B91AD6">
        <w:rPr>
          <w:rFonts w:asciiTheme="minorHAnsi" w:hAnsiTheme="minorHAnsi" w:cstheme="minorHAnsi"/>
          <w:spacing w:val="-8"/>
        </w:rPr>
        <w:t xml:space="preserve"> </w:t>
      </w:r>
      <w:r w:rsidRPr="00B91AD6">
        <w:rPr>
          <w:rFonts w:asciiTheme="minorHAnsi" w:hAnsiTheme="minorHAnsi" w:cstheme="minorHAnsi"/>
        </w:rPr>
        <w:t>help</w:t>
      </w:r>
      <w:r w:rsidRPr="00B91AD6">
        <w:rPr>
          <w:rFonts w:asciiTheme="minorHAnsi" w:hAnsiTheme="minorHAnsi" w:cstheme="minorHAnsi"/>
          <w:spacing w:val="-7"/>
        </w:rPr>
        <w:t xml:space="preserve"> </w:t>
      </w:r>
      <w:r w:rsidRPr="00B91AD6">
        <w:rPr>
          <w:rFonts w:asciiTheme="minorHAnsi" w:hAnsiTheme="minorHAnsi" w:cstheme="minorHAnsi"/>
        </w:rPr>
        <w:t>governments</w:t>
      </w:r>
      <w:r w:rsidRPr="00B91AD6">
        <w:rPr>
          <w:rFonts w:asciiTheme="minorHAnsi" w:hAnsiTheme="minorHAnsi" w:cstheme="minorHAnsi"/>
          <w:spacing w:val="-10"/>
        </w:rPr>
        <w:t xml:space="preserve"> </w:t>
      </w:r>
      <w:r w:rsidRPr="00B91AD6">
        <w:rPr>
          <w:rFonts w:asciiTheme="minorHAnsi" w:hAnsiTheme="minorHAnsi" w:cstheme="minorHAnsi"/>
        </w:rPr>
        <w:t>in</w:t>
      </w:r>
      <w:r w:rsidRPr="00B91AD6">
        <w:rPr>
          <w:rFonts w:asciiTheme="minorHAnsi" w:hAnsiTheme="minorHAnsi" w:cstheme="minorHAnsi"/>
          <w:spacing w:val="-10"/>
        </w:rPr>
        <w:t xml:space="preserve"> </w:t>
      </w:r>
      <w:r w:rsidRPr="00B91AD6">
        <w:rPr>
          <w:rFonts w:asciiTheme="minorHAnsi" w:hAnsiTheme="minorHAnsi" w:cstheme="minorHAnsi"/>
        </w:rPr>
        <w:t>the</w:t>
      </w:r>
      <w:r w:rsidRPr="00B91AD6">
        <w:rPr>
          <w:rFonts w:asciiTheme="minorHAnsi" w:hAnsiTheme="minorHAnsi" w:cstheme="minorHAnsi"/>
          <w:spacing w:val="-9"/>
        </w:rPr>
        <w:t xml:space="preserve"> </w:t>
      </w:r>
      <w:r w:rsidRPr="00B91AD6">
        <w:rPr>
          <w:rFonts w:asciiTheme="minorHAnsi" w:hAnsiTheme="minorHAnsi" w:cstheme="minorHAnsi"/>
        </w:rPr>
        <w:t>region</w:t>
      </w:r>
      <w:r w:rsidRPr="00B91AD6">
        <w:rPr>
          <w:rFonts w:asciiTheme="minorHAnsi" w:hAnsiTheme="minorHAnsi" w:cstheme="minorHAnsi"/>
          <w:spacing w:val="-8"/>
        </w:rPr>
        <w:t xml:space="preserve"> </w:t>
      </w:r>
      <w:r w:rsidRPr="00B91AD6">
        <w:rPr>
          <w:rFonts w:asciiTheme="minorHAnsi" w:hAnsiTheme="minorHAnsi" w:cstheme="minorHAnsi"/>
          <w:spacing w:val="-3"/>
        </w:rPr>
        <w:t xml:space="preserve">in </w:t>
      </w:r>
      <w:r w:rsidRPr="00B91AD6">
        <w:rPr>
          <w:rFonts w:asciiTheme="minorHAnsi" w:hAnsiTheme="minorHAnsi" w:cstheme="minorHAnsi"/>
        </w:rPr>
        <w:t>aligning policies with sustainability objectives</w:t>
      </w:r>
      <w:r w:rsidRPr="00B91AD6">
        <w:rPr>
          <w:rFonts w:asciiTheme="minorHAnsi" w:hAnsiTheme="minorHAnsi" w:cstheme="minorHAnsi"/>
          <w:spacing w:val="-39"/>
        </w:rPr>
        <w:t xml:space="preserve"> </w:t>
      </w:r>
      <w:r w:rsidRPr="00B91AD6">
        <w:rPr>
          <w:rFonts w:asciiTheme="minorHAnsi" w:hAnsiTheme="minorHAnsi" w:cstheme="minorHAnsi"/>
        </w:rPr>
        <w:t xml:space="preserve">for palm oil, in addition </w:t>
      </w:r>
      <w:r w:rsidRPr="00B91AD6">
        <w:rPr>
          <w:rFonts w:asciiTheme="minorHAnsi" w:hAnsiTheme="minorHAnsi" w:cstheme="minorHAnsi"/>
          <w:spacing w:val="-3"/>
        </w:rPr>
        <w:t xml:space="preserve">to </w:t>
      </w:r>
      <w:r w:rsidRPr="00B91AD6">
        <w:rPr>
          <w:rFonts w:asciiTheme="minorHAnsi" w:hAnsiTheme="minorHAnsi" w:cstheme="minorHAnsi"/>
        </w:rPr>
        <w:t xml:space="preserve">national or regional objectives such as increasing production </w:t>
      </w:r>
      <w:r>
        <w:rPr>
          <w:rFonts w:asciiTheme="minorHAnsi" w:hAnsiTheme="minorHAnsi" w:cstheme="minorHAnsi"/>
        </w:rPr>
        <w:t xml:space="preserve">for smallholders or </w:t>
      </w:r>
      <w:r w:rsidRPr="00B91AD6">
        <w:rPr>
          <w:rFonts w:asciiTheme="minorHAnsi" w:hAnsiTheme="minorHAnsi" w:cstheme="minorHAnsi"/>
        </w:rPr>
        <w:t>meeting</w:t>
      </w:r>
      <w:r w:rsidRPr="00B91AD6">
        <w:rPr>
          <w:rFonts w:asciiTheme="minorHAnsi" w:hAnsiTheme="minorHAnsi" w:cstheme="minorHAnsi"/>
          <w:spacing w:val="-14"/>
        </w:rPr>
        <w:t xml:space="preserve"> </w:t>
      </w:r>
      <w:r w:rsidRPr="00B91AD6">
        <w:rPr>
          <w:rFonts w:asciiTheme="minorHAnsi" w:hAnsiTheme="minorHAnsi" w:cstheme="minorHAnsi"/>
        </w:rPr>
        <w:t>domestic</w:t>
      </w:r>
      <w:r w:rsidRPr="00B91AD6">
        <w:rPr>
          <w:rFonts w:asciiTheme="minorHAnsi" w:hAnsiTheme="minorHAnsi" w:cstheme="minorHAnsi"/>
          <w:spacing w:val="-14"/>
        </w:rPr>
        <w:t xml:space="preserve"> </w:t>
      </w:r>
      <w:r w:rsidRPr="00B91AD6">
        <w:rPr>
          <w:rFonts w:asciiTheme="minorHAnsi" w:hAnsiTheme="minorHAnsi" w:cstheme="minorHAnsi"/>
        </w:rPr>
        <w:t>or</w:t>
      </w:r>
      <w:r w:rsidRPr="00B91AD6">
        <w:rPr>
          <w:rFonts w:asciiTheme="minorHAnsi" w:hAnsiTheme="minorHAnsi" w:cstheme="minorHAnsi"/>
          <w:spacing w:val="-14"/>
        </w:rPr>
        <w:t xml:space="preserve"> </w:t>
      </w:r>
      <w:r w:rsidRPr="00B91AD6">
        <w:rPr>
          <w:rFonts w:asciiTheme="minorHAnsi" w:hAnsiTheme="minorHAnsi" w:cstheme="minorHAnsi"/>
        </w:rPr>
        <w:t>international</w:t>
      </w:r>
      <w:r w:rsidRPr="00B91AD6">
        <w:rPr>
          <w:rFonts w:asciiTheme="minorHAnsi" w:hAnsiTheme="minorHAnsi" w:cstheme="minorHAnsi"/>
          <w:spacing w:val="-14"/>
        </w:rPr>
        <w:t xml:space="preserve"> </w:t>
      </w:r>
      <w:r w:rsidRPr="00B91AD6">
        <w:rPr>
          <w:rFonts w:asciiTheme="minorHAnsi" w:hAnsiTheme="minorHAnsi" w:cstheme="minorHAnsi"/>
        </w:rPr>
        <w:t>demand?</w:t>
      </w:r>
    </w:p>
    <w:p w14:paraId="0F737B54" w14:textId="77777777" w:rsidR="00ED3F83" w:rsidRPr="00B91AD6" w:rsidRDefault="00ED3F83" w:rsidP="00D80344">
      <w:pPr>
        <w:pStyle w:val="TableParagraph"/>
        <w:numPr>
          <w:ilvl w:val="0"/>
          <w:numId w:val="60"/>
        </w:numPr>
        <w:spacing w:after="120"/>
        <w:ind w:left="446" w:right="101"/>
        <w:rPr>
          <w:rFonts w:asciiTheme="minorHAnsi" w:hAnsiTheme="minorHAnsi" w:cstheme="minorHAnsi"/>
        </w:rPr>
      </w:pPr>
      <w:r w:rsidRPr="00B91AD6">
        <w:rPr>
          <w:rFonts w:asciiTheme="minorHAnsi" w:hAnsiTheme="minorHAnsi" w:cstheme="minorHAnsi"/>
        </w:rPr>
        <w:t>From your experience in the region, what policies are important to remove barriers or disincentives to sustainable</w:t>
      </w:r>
      <w:r w:rsidRPr="00B91AD6">
        <w:rPr>
          <w:rFonts w:asciiTheme="minorHAnsi" w:hAnsiTheme="minorHAnsi" w:cstheme="minorHAnsi"/>
          <w:spacing w:val="-6"/>
        </w:rPr>
        <w:t xml:space="preserve"> </w:t>
      </w:r>
      <w:r w:rsidRPr="00B91AD6">
        <w:rPr>
          <w:rFonts w:asciiTheme="minorHAnsi" w:hAnsiTheme="minorHAnsi" w:cstheme="minorHAnsi"/>
        </w:rPr>
        <w:t>sourcing?</w:t>
      </w:r>
      <w:r w:rsidRPr="00B91AD6">
        <w:rPr>
          <w:rFonts w:asciiTheme="minorHAnsi" w:hAnsiTheme="minorHAnsi" w:cstheme="minorHAnsi"/>
          <w:spacing w:val="-9"/>
        </w:rPr>
        <w:t xml:space="preserve"> </w:t>
      </w:r>
      <w:r>
        <w:rPr>
          <w:rFonts w:asciiTheme="minorHAnsi" w:hAnsiTheme="minorHAnsi" w:cstheme="minorHAnsi"/>
          <w:spacing w:val="-9"/>
        </w:rPr>
        <w:t>Attendance in GCC activities? Accessed Evidensia?</w:t>
      </w:r>
    </w:p>
    <w:p w14:paraId="5C4EFB50" w14:textId="77777777" w:rsidR="00ED3F83" w:rsidRPr="00B91AD6" w:rsidRDefault="00ED3F83" w:rsidP="00D80344">
      <w:pPr>
        <w:pStyle w:val="TableParagraph"/>
        <w:numPr>
          <w:ilvl w:val="0"/>
          <w:numId w:val="60"/>
        </w:numPr>
        <w:spacing w:after="120"/>
        <w:ind w:left="446" w:right="101"/>
        <w:rPr>
          <w:rFonts w:asciiTheme="minorHAnsi" w:hAnsiTheme="minorHAnsi" w:cstheme="minorHAnsi"/>
        </w:rPr>
      </w:pPr>
      <w:r w:rsidRPr="00B91AD6">
        <w:rPr>
          <w:rFonts w:asciiTheme="minorHAnsi" w:hAnsiTheme="minorHAnsi" w:cstheme="minorHAnsi"/>
        </w:rPr>
        <w:t>How</w:t>
      </w:r>
      <w:r w:rsidRPr="00B91AD6">
        <w:rPr>
          <w:rFonts w:asciiTheme="minorHAnsi" w:hAnsiTheme="minorHAnsi" w:cstheme="minorHAnsi"/>
          <w:spacing w:val="-6"/>
        </w:rPr>
        <w:t xml:space="preserve"> </w:t>
      </w:r>
      <w:r w:rsidRPr="00B91AD6">
        <w:rPr>
          <w:rFonts w:asciiTheme="minorHAnsi" w:hAnsiTheme="minorHAnsi" w:cstheme="minorHAnsi"/>
        </w:rPr>
        <w:t>does</w:t>
      </w:r>
      <w:r w:rsidRPr="00B91AD6">
        <w:rPr>
          <w:rFonts w:asciiTheme="minorHAnsi" w:hAnsiTheme="minorHAnsi" w:cstheme="minorHAnsi"/>
          <w:spacing w:val="-11"/>
        </w:rPr>
        <w:t xml:space="preserve"> </w:t>
      </w:r>
      <w:r>
        <w:rPr>
          <w:rFonts w:asciiTheme="minorHAnsi" w:hAnsiTheme="minorHAnsi" w:cstheme="minorHAnsi"/>
          <w:spacing w:val="-4"/>
        </w:rPr>
        <w:t xml:space="preserve">A&amp;L </w:t>
      </w:r>
      <w:r w:rsidRPr="00B91AD6">
        <w:rPr>
          <w:rFonts w:asciiTheme="minorHAnsi" w:hAnsiTheme="minorHAnsi" w:cstheme="minorHAnsi"/>
        </w:rPr>
        <w:t>ensure</w:t>
      </w:r>
      <w:r w:rsidRPr="00B91AD6">
        <w:rPr>
          <w:rFonts w:asciiTheme="minorHAnsi" w:hAnsiTheme="minorHAnsi" w:cstheme="minorHAnsi"/>
          <w:spacing w:val="-9"/>
        </w:rPr>
        <w:t xml:space="preserve"> </w:t>
      </w:r>
      <w:r w:rsidRPr="00B91AD6">
        <w:rPr>
          <w:rFonts w:asciiTheme="minorHAnsi" w:hAnsiTheme="minorHAnsi" w:cstheme="minorHAnsi"/>
        </w:rPr>
        <w:t xml:space="preserve">that the production, demand and finance </w:t>
      </w:r>
      <w:r>
        <w:rPr>
          <w:rFonts w:asciiTheme="minorHAnsi" w:hAnsiTheme="minorHAnsi" w:cstheme="minorHAnsi"/>
        </w:rPr>
        <w:t xml:space="preserve">issues and </w:t>
      </w:r>
      <w:r w:rsidRPr="00B91AD6">
        <w:rPr>
          <w:rFonts w:asciiTheme="minorHAnsi" w:hAnsiTheme="minorHAnsi" w:cstheme="minorHAnsi"/>
        </w:rPr>
        <w:t>stakeholder needs are voiced and discussed with governments in the region?</w:t>
      </w:r>
    </w:p>
    <w:p w14:paraId="5D0C15EF"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Pr>
          <w:rFonts w:asciiTheme="minorHAnsi" w:hAnsiTheme="minorHAnsi" w:cstheme="minorHAnsi"/>
        </w:rPr>
        <w:t>Has there</w:t>
      </w:r>
      <w:r w:rsidRPr="00B91AD6">
        <w:rPr>
          <w:rFonts w:asciiTheme="minorHAnsi" w:hAnsiTheme="minorHAnsi" w:cstheme="minorHAnsi"/>
        </w:rPr>
        <w:t xml:space="preserve"> been duplication</w:t>
      </w:r>
      <w:r>
        <w:rPr>
          <w:rFonts w:asciiTheme="minorHAnsi" w:hAnsiTheme="minorHAnsi" w:cstheme="minorHAnsi"/>
        </w:rPr>
        <w:t xml:space="preserve"> of efforts</w:t>
      </w:r>
      <w:r w:rsidRPr="00B91AD6">
        <w:rPr>
          <w:rFonts w:asciiTheme="minorHAnsi" w:hAnsiTheme="minorHAnsi" w:cstheme="minorHAnsi"/>
        </w:rPr>
        <w:t xml:space="preserve"> between child projects?</w:t>
      </w:r>
    </w:p>
    <w:p w14:paraId="33B264EA"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lastRenderedPageBreak/>
        <w:t>Do governments support the project's objectives, and do they have an active role in decision-making?</w:t>
      </w:r>
    </w:p>
    <w:p w14:paraId="5DD63ED8"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bookmarkStart w:id="140" w:name="_Hlk61401054"/>
      <w:r w:rsidRPr="00B91AD6">
        <w:rPr>
          <w:rFonts w:asciiTheme="minorHAnsi" w:hAnsiTheme="minorHAnsi" w:cstheme="minorHAnsi"/>
        </w:rPr>
        <w:t>Have you or the organization you represent been involved in making decisions with respect to the project?</w:t>
      </w:r>
      <w:r>
        <w:rPr>
          <w:rFonts w:asciiTheme="minorHAnsi" w:hAnsiTheme="minorHAnsi" w:cstheme="minorHAnsi"/>
        </w:rPr>
        <w:t xml:space="preserve"> Is the decision-making structure effective?</w:t>
      </w:r>
    </w:p>
    <w:p w14:paraId="7F35DC80" w14:textId="77777777" w:rsidR="00ED3F83" w:rsidRPr="00B91AD6" w:rsidRDefault="00ED3F83" w:rsidP="00D80344">
      <w:pPr>
        <w:numPr>
          <w:ilvl w:val="0"/>
          <w:numId w:val="60"/>
        </w:numPr>
        <w:suppressAutoHyphens/>
        <w:autoSpaceDN w:val="0"/>
        <w:spacing w:after="120" w:line="240" w:lineRule="auto"/>
        <w:textAlignment w:val="baseline"/>
        <w:rPr>
          <w:rFonts w:asciiTheme="minorHAnsi" w:hAnsiTheme="minorHAnsi" w:cstheme="minorHAnsi"/>
        </w:rPr>
      </w:pPr>
      <w:bookmarkStart w:id="141" w:name="_Hlk61401171"/>
      <w:bookmarkEnd w:id="140"/>
      <w:r w:rsidRPr="00B91AD6">
        <w:rPr>
          <w:rFonts w:asciiTheme="minorHAnsi" w:hAnsiTheme="minorHAnsi" w:cstheme="minorHAnsi"/>
        </w:rPr>
        <w:t>Have you or the organization you represent been involved in monitoring the project</w:t>
      </w:r>
      <w:bookmarkEnd w:id="141"/>
      <w:r w:rsidRPr="00B91AD6">
        <w:rPr>
          <w:rFonts w:asciiTheme="minorHAnsi" w:hAnsiTheme="minorHAnsi" w:cstheme="minorHAnsi"/>
        </w:rPr>
        <w:t>? Do you think it has been effective? Can it be improved? Do you know if national data, statistics, nationally generated information are being used?</w:t>
      </w:r>
    </w:p>
    <w:p w14:paraId="50591A41"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 xml:space="preserve">Have there been any complaints about the project that have been corrected? Or not corrected? If you have an issue, what do you do? </w:t>
      </w:r>
    </w:p>
    <w:p w14:paraId="0550FDEB" w14:textId="77777777" w:rsidR="00ED3F83" w:rsidRPr="00B91AD6" w:rsidRDefault="00ED3F83" w:rsidP="00ED3F83">
      <w:pPr>
        <w:spacing w:after="120"/>
        <w:rPr>
          <w:rFonts w:asciiTheme="minorHAnsi" w:hAnsiTheme="minorHAnsi" w:cstheme="minorHAnsi"/>
          <w:b/>
        </w:rPr>
      </w:pPr>
      <w:r w:rsidRPr="00B91AD6">
        <w:rPr>
          <w:rFonts w:asciiTheme="minorHAnsi" w:hAnsiTheme="minorHAnsi" w:cstheme="minorHAnsi"/>
          <w:b/>
        </w:rPr>
        <w:t>Part III: Sustainability</w:t>
      </w:r>
    </w:p>
    <w:p w14:paraId="0F29CCBB" w14:textId="77777777" w:rsidR="00ED3F83" w:rsidRPr="00A27BDF" w:rsidRDefault="00ED3F83" w:rsidP="00D80344">
      <w:pPr>
        <w:pStyle w:val="ListParagraph"/>
        <w:numPr>
          <w:ilvl w:val="0"/>
          <w:numId w:val="60"/>
        </w:numPr>
        <w:spacing w:before="0"/>
        <w:rPr>
          <w:rFonts w:asciiTheme="minorHAnsi" w:eastAsia="Calibri" w:hAnsiTheme="minorHAnsi" w:cstheme="minorHAnsi"/>
          <w:lang w:eastAsia="es-ES"/>
        </w:rPr>
      </w:pPr>
      <w:r w:rsidRPr="00A27BDF">
        <w:rPr>
          <w:rFonts w:asciiTheme="minorHAnsi" w:eastAsia="Calibri" w:hAnsiTheme="minorHAnsi" w:cstheme="minorHAnsi"/>
          <w:lang w:eastAsia="es-ES"/>
        </w:rPr>
        <w:t>Sustainability: To what extent are there financial, institutional, socio-political, and/or environmental risks to sustaining long-term project results?</w:t>
      </w:r>
      <w:r>
        <w:rPr>
          <w:rFonts w:asciiTheme="minorHAnsi" w:eastAsia="Calibri" w:hAnsiTheme="minorHAnsi" w:cstheme="minorHAnsi"/>
          <w:lang w:eastAsia="es-ES"/>
        </w:rPr>
        <w:t xml:space="preserve"> </w:t>
      </w:r>
    </w:p>
    <w:p w14:paraId="519FE9CA" w14:textId="77777777" w:rsidR="00ED3F83" w:rsidRPr="00B91AD6" w:rsidRDefault="00ED3F83" w:rsidP="00D80344">
      <w:pPr>
        <w:numPr>
          <w:ilvl w:val="0"/>
          <w:numId w:val="60"/>
        </w:numPr>
        <w:suppressAutoHyphens/>
        <w:autoSpaceDN w:val="0"/>
        <w:spacing w:after="120" w:line="240" w:lineRule="auto"/>
        <w:textAlignment w:val="baseline"/>
        <w:rPr>
          <w:rFonts w:asciiTheme="minorHAnsi" w:hAnsiTheme="minorHAnsi" w:cstheme="minorHAnsi"/>
        </w:rPr>
      </w:pPr>
      <w:r w:rsidRPr="00B91AD6">
        <w:rPr>
          <w:rFonts w:asciiTheme="minorHAnsi" w:hAnsiTheme="minorHAnsi" w:cstheme="minorHAnsi"/>
        </w:rPr>
        <w:t xml:space="preserve">Once the Project and the financial support of the GEF is concluded, will the Governments, NGOs partnering with UNDP, GGP be able to continue promoting this initiative and guarantee the advances towards the project objective? </w:t>
      </w:r>
      <w:r>
        <w:rPr>
          <w:rFonts w:asciiTheme="minorHAnsi" w:hAnsiTheme="minorHAnsi" w:cstheme="minorHAnsi"/>
        </w:rPr>
        <w:t>Are they willing to contribute to recurring costs of a Secretariat? GCC? Evidensia?</w:t>
      </w:r>
    </w:p>
    <w:p w14:paraId="7ED8CBA3" w14:textId="77777777" w:rsidR="00ED3F83" w:rsidRPr="006B524D" w:rsidRDefault="00ED3F83" w:rsidP="00D80344">
      <w:pPr>
        <w:numPr>
          <w:ilvl w:val="0"/>
          <w:numId w:val="60"/>
        </w:numPr>
        <w:suppressAutoHyphens/>
        <w:autoSpaceDN w:val="0"/>
        <w:spacing w:before="120" w:after="120" w:line="240" w:lineRule="auto"/>
        <w:textAlignment w:val="baseline"/>
        <w:rPr>
          <w:rFonts w:asciiTheme="minorHAnsi" w:hAnsiTheme="minorHAnsi" w:cstheme="minorHAnsi"/>
        </w:rPr>
      </w:pPr>
      <w:r w:rsidRPr="006B524D">
        <w:rPr>
          <w:rFonts w:asciiTheme="minorHAnsi" w:hAnsiTheme="minorHAnsi" w:cstheme="minorHAnsi"/>
        </w:rPr>
        <w:t>Have the Project partners contributed non-GEF resources for operations? How is it being followed up?</w:t>
      </w:r>
    </w:p>
    <w:p w14:paraId="5E092393" w14:textId="77777777" w:rsidR="00ED3F83" w:rsidRPr="00B91AD6" w:rsidRDefault="00ED3F83" w:rsidP="00D80344">
      <w:pPr>
        <w:numPr>
          <w:ilvl w:val="0"/>
          <w:numId w:val="60"/>
        </w:numPr>
        <w:suppressAutoHyphens/>
        <w:autoSpaceDN w:val="0"/>
        <w:spacing w:line="254" w:lineRule="auto"/>
        <w:textAlignment w:val="baseline"/>
        <w:rPr>
          <w:rFonts w:asciiTheme="minorHAnsi" w:hAnsiTheme="minorHAnsi" w:cstheme="minorHAnsi"/>
        </w:rPr>
      </w:pPr>
      <w:r w:rsidRPr="00B91AD6">
        <w:rPr>
          <w:rFonts w:asciiTheme="minorHAnsi" w:hAnsiTheme="minorHAnsi" w:cstheme="minorHAnsi"/>
        </w:rPr>
        <w:t xml:space="preserve">Are there new risks to be considered for the sustainability of the project? </w:t>
      </w:r>
      <w:r>
        <w:rPr>
          <w:rFonts w:asciiTheme="minorHAnsi" w:hAnsiTheme="minorHAnsi" w:cstheme="minorHAnsi"/>
        </w:rPr>
        <w:t xml:space="preserve">Were these identified? </w:t>
      </w:r>
      <w:r w:rsidRPr="00B91AD6">
        <w:rPr>
          <w:rFonts w:asciiTheme="minorHAnsi" w:hAnsiTheme="minorHAnsi" w:cstheme="minorHAnsi"/>
        </w:rPr>
        <w:t xml:space="preserve">What measures </w:t>
      </w:r>
      <w:r>
        <w:rPr>
          <w:rFonts w:asciiTheme="minorHAnsi" w:hAnsiTheme="minorHAnsi" w:cstheme="minorHAnsi"/>
        </w:rPr>
        <w:t>were/</w:t>
      </w:r>
      <w:r w:rsidRPr="00B91AD6">
        <w:rPr>
          <w:rFonts w:asciiTheme="minorHAnsi" w:hAnsiTheme="minorHAnsi" w:cstheme="minorHAnsi"/>
        </w:rPr>
        <w:t>could be taken to mitigate these risks?</w:t>
      </w:r>
    </w:p>
    <w:p w14:paraId="1FA6A5E1" w14:textId="77777777" w:rsidR="00ED3F83" w:rsidRPr="00B91AD6" w:rsidRDefault="00ED3F83" w:rsidP="00D80344">
      <w:pPr>
        <w:numPr>
          <w:ilvl w:val="0"/>
          <w:numId w:val="60"/>
        </w:numPr>
        <w:suppressAutoHyphens/>
        <w:autoSpaceDN w:val="0"/>
        <w:spacing w:before="120" w:after="120" w:line="276" w:lineRule="auto"/>
        <w:textAlignment w:val="baseline"/>
        <w:rPr>
          <w:rFonts w:asciiTheme="minorHAnsi" w:hAnsiTheme="minorHAnsi" w:cstheme="minorHAnsi"/>
        </w:rPr>
      </w:pPr>
      <w:r w:rsidRPr="00B91AD6">
        <w:rPr>
          <w:rFonts w:asciiTheme="minorHAnsi" w:hAnsiTheme="minorHAnsi" w:cstheme="minorHAnsi"/>
        </w:rPr>
        <w:t xml:space="preserve">Are there institutional changes expected that could create a risk to the project?  That could be an asset to the project sustainability? </w:t>
      </w:r>
    </w:p>
    <w:p w14:paraId="57367CA8" w14:textId="77777777" w:rsidR="00ED3F83" w:rsidRPr="00CD5A26" w:rsidRDefault="00ED3F83" w:rsidP="00D80344">
      <w:pPr>
        <w:numPr>
          <w:ilvl w:val="0"/>
          <w:numId w:val="60"/>
        </w:numPr>
        <w:suppressAutoHyphens/>
        <w:autoSpaceDN w:val="0"/>
        <w:spacing w:before="120" w:after="120" w:line="276" w:lineRule="auto"/>
        <w:textAlignment w:val="baseline"/>
        <w:rPr>
          <w:rFonts w:asciiTheme="minorHAnsi" w:hAnsiTheme="minorHAnsi" w:cstheme="minorHAnsi"/>
        </w:rPr>
      </w:pPr>
      <w:r w:rsidRPr="00CD5A26">
        <w:rPr>
          <w:rFonts w:asciiTheme="minorHAnsi" w:hAnsiTheme="minorHAnsi" w:cstheme="minorHAnsi"/>
        </w:rPr>
        <w:t>Do you have anything else you’d like to add?</w:t>
      </w:r>
    </w:p>
    <w:p w14:paraId="376799E6" w14:textId="77777777" w:rsidR="00ED3F83" w:rsidRDefault="00ED3F83" w:rsidP="00166826">
      <w:pPr>
        <w:rPr>
          <w:sz w:val="21"/>
        </w:rPr>
      </w:pPr>
    </w:p>
    <w:p w14:paraId="647A55FC" w14:textId="323EF0EF" w:rsidR="008D2F5D" w:rsidRDefault="008D2F5D">
      <w:pPr>
        <w:rPr>
          <w:sz w:val="21"/>
        </w:rPr>
      </w:pPr>
      <w:r>
        <w:rPr>
          <w:sz w:val="21"/>
        </w:rPr>
        <w:br w:type="page"/>
      </w:r>
    </w:p>
    <w:p w14:paraId="7F0BD059" w14:textId="6B2B4E90" w:rsidR="008D2F5D" w:rsidRDefault="008D2F5D" w:rsidP="008D2F5D">
      <w:pPr>
        <w:pStyle w:val="Heading2"/>
      </w:pPr>
      <w:bookmarkStart w:id="142" w:name="_Annex_10._TE"/>
      <w:bookmarkStart w:id="143" w:name="_Toc96772521"/>
      <w:bookmarkEnd w:id="142"/>
      <w:r>
        <w:lastRenderedPageBreak/>
        <w:t>Annex 10. TE Report Structure by Compoonent and Criteria</w:t>
      </w:r>
      <w:bookmarkEnd w:id="143"/>
    </w:p>
    <w:p w14:paraId="33ADCF17" w14:textId="77777777" w:rsidR="00ED3F83" w:rsidRDefault="00ED3F83" w:rsidP="00166826">
      <w:pPr>
        <w:rPr>
          <w:sz w:val="21"/>
        </w:rPr>
      </w:pPr>
    </w:p>
    <w:p w14:paraId="1FF6E998" w14:textId="2393641F" w:rsidR="008D2F5D" w:rsidRDefault="008D2F5D" w:rsidP="008D2F5D">
      <w:pPr>
        <w:rPr>
          <w:rFonts w:asciiTheme="minorHAnsi" w:hAnsiTheme="minorHAnsi" w:cstheme="minorHAnsi"/>
        </w:rPr>
      </w:pPr>
      <w:r>
        <w:rPr>
          <w:rFonts w:asciiTheme="minorHAnsi" w:hAnsiTheme="minorHAnsi" w:cstheme="minorHAnsi"/>
        </w:rPr>
        <w:t xml:space="preserve">Table   </w:t>
      </w:r>
    </w:p>
    <w:tbl>
      <w:tblPr>
        <w:tblW w:w="0" w:type="auto"/>
        <w:tblCellMar>
          <w:left w:w="0" w:type="dxa"/>
          <w:right w:w="0" w:type="dxa"/>
        </w:tblCellMar>
        <w:tblLook w:val="04A0" w:firstRow="1" w:lastRow="0" w:firstColumn="1" w:lastColumn="0" w:noHBand="0" w:noVBand="1"/>
      </w:tblPr>
      <w:tblGrid>
        <w:gridCol w:w="2960"/>
        <w:gridCol w:w="2956"/>
        <w:gridCol w:w="3909"/>
      </w:tblGrid>
      <w:tr w:rsidR="008D2F5D" w:rsidRPr="007B0011" w14:paraId="1964CDEA" w14:textId="77777777" w:rsidTr="00024F45">
        <w:trPr>
          <w:trHeight w:val="615"/>
        </w:trPr>
        <w:tc>
          <w:tcPr>
            <w:tcW w:w="2960" w:type="dxa"/>
            <w:tcBorders>
              <w:top w:val="single" w:sz="18" w:space="0" w:color="A5A5A5"/>
              <w:left w:val="single" w:sz="8" w:space="0" w:color="A5A5A5"/>
              <w:bottom w:val="single" w:sz="8" w:space="0" w:color="A5A5A5"/>
              <w:right w:val="single" w:sz="8" w:space="0" w:color="A5A5A5"/>
            </w:tcBorders>
            <w:shd w:val="clear" w:color="auto" w:fill="F0F0F0"/>
            <w:tcMar>
              <w:top w:w="15" w:type="dxa"/>
              <w:left w:w="48" w:type="dxa"/>
              <w:bottom w:w="0" w:type="dxa"/>
              <w:right w:w="48" w:type="dxa"/>
            </w:tcMar>
            <w:hideMark/>
          </w:tcPr>
          <w:p w14:paraId="5E6C3EFA" w14:textId="77777777" w:rsidR="008D2F5D" w:rsidRPr="007B0011" w:rsidRDefault="008D2F5D" w:rsidP="00024F45">
            <w:pPr>
              <w:rPr>
                <w:rFonts w:asciiTheme="minorHAnsi" w:hAnsiTheme="minorHAnsi" w:cstheme="minorHAnsi"/>
                <w:sz w:val="20"/>
                <w:szCs w:val="20"/>
                <w:lang w:val="es-ES"/>
              </w:rPr>
            </w:pPr>
            <w:r w:rsidRPr="007B0011">
              <w:rPr>
                <w:rFonts w:asciiTheme="minorHAnsi" w:hAnsiTheme="minorHAnsi" w:cstheme="minorHAnsi"/>
                <w:b/>
                <w:bCs/>
                <w:sz w:val="20"/>
                <w:szCs w:val="20"/>
              </w:rPr>
              <w:t>Project Design/Formulatio</w:t>
            </w:r>
            <w:r w:rsidRPr="00E463EE">
              <w:rPr>
                <w:rFonts w:asciiTheme="minorHAnsi" w:hAnsiTheme="minorHAnsi" w:cstheme="minorHAnsi"/>
                <w:b/>
                <w:bCs/>
                <w:sz w:val="20"/>
                <w:szCs w:val="20"/>
              </w:rPr>
              <w:t>n</w:t>
            </w:r>
          </w:p>
        </w:tc>
        <w:tc>
          <w:tcPr>
            <w:tcW w:w="2471" w:type="dxa"/>
            <w:tcBorders>
              <w:top w:val="single" w:sz="18" w:space="0" w:color="A5A5A5"/>
              <w:left w:val="single" w:sz="8" w:space="0" w:color="A5A5A5"/>
              <w:bottom w:val="single" w:sz="8" w:space="0" w:color="A5A5A5"/>
              <w:right w:val="single" w:sz="8" w:space="0" w:color="A5A5A5"/>
            </w:tcBorders>
            <w:shd w:val="clear" w:color="auto" w:fill="F0F0F0"/>
            <w:tcMar>
              <w:top w:w="15" w:type="dxa"/>
              <w:left w:w="48" w:type="dxa"/>
              <w:bottom w:w="0" w:type="dxa"/>
              <w:right w:w="48" w:type="dxa"/>
            </w:tcMar>
            <w:hideMark/>
          </w:tcPr>
          <w:p w14:paraId="79B8DB57" w14:textId="77777777" w:rsidR="008D2F5D" w:rsidRPr="007B0011" w:rsidRDefault="008D2F5D" w:rsidP="00024F45">
            <w:pPr>
              <w:rPr>
                <w:rFonts w:asciiTheme="minorHAnsi" w:hAnsiTheme="minorHAnsi" w:cstheme="minorHAnsi"/>
                <w:sz w:val="20"/>
                <w:szCs w:val="20"/>
                <w:lang w:val="es-ES"/>
              </w:rPr>
            </w:pPr>
            <w:r w:rsidRPr="00E463EE">
              <w:rPr>
                <w:rFonts w:asciiTheme="minorHAnsi" w:hAnsiTheme="minorHAnsi" w:cstheme="minorHAnsi"/>
                <w:b/>
                <w:bCs/>
                <w:sz w:val="20"/>
                <w:szCs w:val="20"/>
              </w:rPr>
              <w:t>Project Implementation</w:t>
            </w:r>
          </w:p>
          <w:p w14:paraId="43C38AF2" w14:textId="77777777" w:rsidR="008D2F5D" w:rsidRPr="007B0011" w:rsidRDefault="008D2F5D" w:rsidP="00024F45">
            <w:pPr>
              <w:rPr>
                <w:rFonts w:asciiTheme="minorHAnsi" w:hAnsiTheme="minorHAnsi" w:cstheme="minorHAnsi"/>
                <w:sz w:val="20"/>
                <w:szCs w:val="20"/>
                <w:lang w:val="es-ES"/>
              </w:rPr>
            </w:pPr>
          </w:p>
        </w:tc>
        <w:tc>
          <w:tcPr>
            <w:tcW w:w="3909" w:type="dxa"/>
            <w:tcBorders>
              <w:top w:val="single" w:sz="18" w:space="0" w:color="A5A5A5"/>
              <w:left w:val="single" w:sz="8" w:space="0" w:color="A5A5A5"/>
              <w:bottom w:val="single" w:sz="8" w:space="0" w:color="A5A5A5"/>
              <w:right w:val="single" w:sz="8" w:space="0" w:color="A5A5A5"/>
            </w:tcBorders>
            <w:shd w:val="clear" w:color="auto" w:fill="F0F0F0"/>
            <w:tcMar>
              <w:top w:w="15" w:type="dxa"/>
              <w:left w:w="48" w:type="dxa"/>
              <w:bottom w:w="0" w:type="dxa"/>
              <w:right w:w="48" w:type="dxa"/>
            </w:tcMar>
            <w:hideMark/>
          </w:tcPr>
          <w:p w14:paraId="3FB646F2" w14:textId="77777777" w:rsidR="008D2F5D" w:rsidRPr="007B0011" w:rsidRDefault="008D2F5D" w:rsidP="00024F45">
            <w:pPr>
              <w:rPr>
                <w:rFonts w:asciiTheme="minorHAnsi" w:hAnsiTheme="minorHAnsi" w:cstheme="minorHAnsi"/>
                <w:sz w:val="20"/>
                <w:szCs w:val="20"/>
                <w:lang w:val="es-ES"/>
              </w:rPr>
            </w:pPr>
            <w:r w:rsidRPr="007B0011">
              <w:rPr>
                <w:rFonts w:asciiTheme="minorHAnsi" w:hAnsiTheme="minorHAnsi" w:cstheme="minorHAnsi"/>
                <w:b/>
                <w:bCs/>
                <w:sz w:val="20"/>
                <w:szCs w:val="20"/>
              </w:rPr>
              <w:t>Project Results</w:t>
            </w:r>
          </w:p>
          <w:p w14:paraId="4ECC945F" w14:textId="77777777" w:rsidR="008D2F5D" w:rsidRPr="007B0011" w:rsidRDefault="008D2F5D" w:rsidP="00024F45">
            <w:pPr>
              <w:rPr>
                <w:rFonts w:asciiTheme="minorHAnsi" w:hAnsiTheme="minorHAnsi" w:cstheme="minorHAnsi"/>
                <w:sz w:val="20"/>
                <w:szCs w:val="20"/>
                <w:lang w:val="es-ES"/>
              </w:rPr>
            </w:pPr>
          </w:p>
        </w:tc>
      </w:tr>
      <w:tr w:rsidR="008D2F5D" w:rsidRPr="007B0011" w14:paraId="4CA12613" w14:textId="77777777" w:rsidTr="00024F45">
        <w:trPr>
          <w:trHeight w:val="685"/>
        </w:trPr>
        <w:tc>
          <w:tcPr>
            <w:tcW w:w="2960" w:type="dxa"/>
            <w:tcBorders>
              <w:top w:val="single" w:sz="8" w:space="0" w:color="A5A5A5"/>
              <w:left w:val="single" w:sz="8" w:space="0" w:color="A5A5A5"/>
              <w:bottom w:val="single" w:sz="8" w:space="0" w:color="A5A5A5"/>
              <w:right w:val="single" w:sz="8" w:space="0" w:color="A5A5A5"/>
            </w:tcBorders>
            <w:shd w:val="clear" w:color="auto" w:fill="auto"/>
            <w:tcMar>
              <w:top w:w="15" w:type="dxa"/>
              <w:left w:w="48" w:type="dxa"/>
              <w:bottom w:w="0" w:type="dxa"/>
              <w:right w:w="48" w:type="dxa"/>
            </w:tcMar>
            <w:hideMark/>
          </w:tcPr>
          <w:p w14:paraId="4B3C55D6"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National priorities and country drivenness</w:t>
            </w:r>
          </w:p>
          <w:p w14:paraId="64B5C5B0" w14:textId="77777777" w:rsidR="008D2F5D" w:rsidRPr="007B0011" w:rsidRDefault="008D2F5D" w:rsidP="00D80344">
            <w:pPr>
              <w:numPr>
                <w:ilvl w:val="0"/>
                <w:numId w:val="41"/>
              </w:numPr>
              <w:rPr>
                <w:rFonts w:asciiTheme="minorHAnsi" w:hAnsiTheme="minorHAnsi" w:cstheme="minorHAnsi"/>
                <w:sz w:val="20"/>
                <w:szCs w:val="20"/>
                <w:lang w:val="es-ES"/>
              </w:rPr>
            </w:pPr>
            <w:r w:rsidRPr="007B0011">
              <w:rPr>
                <w:rFonts w:asciiTheme="minorHAnsi" w:hAnsiTheme="minorHAnsi" w:cstheme="minorHAnsi"/>
                <w:sz w:val="20"/>
                <w:szCs w:val="20"/>
              </w:rPr>
              <w:t>Theory of Change</w:t>
            </w:r>
          </w:p>
          <w:p w14:paraId="2C6DCDB3"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Gender equality and women’s empowerment*</w:t>
            </w:r>
          </w:p>
          <w:p w14:paraId="0B7920ED" w14:textId="77777777" w:rsidR="008D2F5D" w:rsidRPr="007B0011" w:rsidRDefault="008D2F5D" w:rsidP="00D80344">
            <w:pPr>
              <w:numPr>
                <w:ilvl w:val="0"/>
                <w:numId w:val="41"/>
              </w:numPr>
              <w:rPr>
                <w:rFonts w:asciiTheme="minorHAnsi" w:hAnsiTheme="minorHAnsi" w:cstheme="minorHAnsi"/>
                <w:sz w:val="20"/>
                <w:szCs w:val="20"/>
                <w:lang w:val="es-ES"/>
              </w:rPr>
            </w:pPr>
            <w:r w:rsidRPr="007B0011">
              <w:rPr>
                <w:rFonts w:asciiTheme="minorHAnsi" w:hAnsiTheme="minorHAnsi" w:cstheme="minorHAnsi"/>
                <w:sz w:val="20"/>
                <w:szCs w:val="20"/>
              </w:rPr>
              <w:t>Social and Environmental Safeguards*</w:t>
            </w:r>
          </w:p>
          <w:p w14:paraId="40F0CFDB"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Analysis of Results Framework: project logic and strategy, indicators</w:t>
            </w:r>
          </w:p>
          <w:p w14:paraId="7162E164" w14:textId="77777777" w:rsidR="008D2F5D" w:rsidRPr="007B0011" w:rsidRDefault="008D2F5D" w:rsidP="00D80344">
            <w:pPr>
              <w:numPr>
                <w:ilvl w:val="0"/>
                <w:numId w:val="41"/>
              </w:numPr>
              <w:rPr>
                <w:rFonts w:asciiTheme="minorHAnsi" w:hAnsiTheme="minorHAnsi" w:cstheme="minorHAnsi"/>
                <w:sz w:val="20"/>
                <w:szCs w:val="20"/>
                <w:lang w:val="es-ES"/>
              </w:rPr>
            </w:pPr>
            <w:r w:rsidRPr="007B0011">
              <w:rPr>
                <w:rFonts w:asciiTheme="minorHAnsi" w:hAnsiTheme="minorHAnsi" w:cstheme="minorHAnsi"/>
                <w:sz w:val="20"/>
                <w:szCs w:val="20"/>
              </w:rPr>
              <w:t>Assumptions and Risks*</w:t>
            </w:r>
          </w:p>
          <w:p w14:paraId="796DBB8D"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Lessons from other relevant projects (e.g., same focal area) incorporated into project design</w:t>
            </w:r>
          </w:p>
          <w:p w14:paraId="01C104BE" w14:textId="77777777" w:rsidR="008D2F5D" w:rsidRPr="007B0011" w:rsidRDefault="008D2F5D" w:rsidP="00D80344">
            <w:pPr>
              <w:numPr>
                <w:ilvl w:val="0"/>
                <w:numId w:val="41"/>
              </w:numPr>
              <w:rPr>
                <w:rFonts w:asciiTheme="minorHAnsi" w:hAnsiTheme="minorHAnsi" w:cstheme="minorHAnsi"/>
                <w:sz w:val="20"/>
                <w:szCs w:val="20"/>
                <w:lang w:val="es-ES"/>
              </w:rPr>
            </w:pPr>
            <w:r w:rsidRPr="007B0011">
              <w:rPr>
                <w:rFonts w:asciiTheme="minorHAnsi" w:hAnsiTheme="minorHAnsi" w:cstheme="minorHAnsi"/>
                <w:sz w:val="20"/>
                <w:szCs w:val="20"/>
              </w:rPr>
              <w:t>Planned stakeholder participation</w:t>
            </w:r>
          </w:p>
          <w:p w14:paraId="64DF8B84"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Linkages between project and other interventions within the sector; and</w:t>
            </w:r>
          </w:p>
          <w:p w14:paraId="6EF84462" w14:textId="77777777" w:rsidR="008D2F5D" w:rsidRPr="007B0011" w:rsidRDefault="008D2F5D" w:rsidP="00D80344">
            <w:pPr>
              <w:numPr>
                <w:ilvl w:val="0"/>
                <w:numId w:val="41"/>
              </w:numPr>
              <w:rPr>
                <w:rFonts w:asciiTheme="minorHAnsi" w:hAnsiTheme="minorHAnsi" w:cstheme="minorHAnsi"/>
                <w:sz w:val="20"/>
                <w:szCs w:val="20"/>
                <w:lang w:val="es-ES"/>
              </w:rPr>
            </w:pPr>
            <w:r w:rsidRPr="007B0011">
              <w:rPr>
                <w:rFonts w:asciiTheme="minorHAnsi" w:hAnsiTheme="minorHAnsi" w:cstheme="minorHAnsi"/>
                <w:sz w:val="20"/>
                <w:szCs w:val="20"/>
              </w:rPr>
              <w:t>Management arrangements</w:t>
            </w:r>
          </w:p>
        </w:tc>
        <w:tc>
          <w:tcPr>
            <w:tcW w:w="2471" w:type="dxa"/>
            <w:tcBorders>
              <w:top w:val="single" w:sz="8" w:space="0" w:color="A5A5A5"/>
              <w:left w:val="single" w:sz="8" w:space="0" w:color="A5A5A5"/>
              <w:bottom w:val="single" w:sz="8" w:space="0" w:color="A5A5A5"/>
              <w:right w:val="single" w:sz="8" w:space="0" w:color="A5A5A5"/>
            </w:tcBorders>
            <w:shd w:val="clear" w:color="auto" w:fill="auto"/>
            <w:tcMar>
              <w:top w:w="15" w:type="dxa"/>
              <w:left w:w="48" w:type="dxa"/>
              <w:bottom w:w="0" w:type="dxa"/>
              <w:right w:w="48" w:type="dxa"/>
            </w:tcMar>
            <w:hideMark/>
          </w:tcPr>
          <w:p w14:paraId="456456FE"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Adaptive management* (changes to the project design and project outputs during implementation)</w:t>
            </w:r>
          </w:p>
          <w:p w14:paraId="356A1DA0"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Actual stakeholder participation and partnership arrangements</w:t>
            </w:r>
          </w:p>
          <w:p w14:paraId="42FF4450" w14:textId="77777777" w:rsidR="008D2F5D" w:rsidRPr="007B0011" w:rsidRDefault="008D2F5D" w:rsidP="00D80344">
            <w:pPr>
              <w:numPr>
                <w:ilvl w:val="0"/>
                <w:numId w:val="41"/>
              </w:numPr>
              <w:rPr>
                <w:rFonts w:asciiTheme="minorHAnsi" w:hAnsiTheme="minorHAnsi" w:cstheme="minorHAnsi"/>
                <w:sz w:val="20"/>
                <w:szCs w:val="20"/>
                <w:lang w:val="es-ES"/>
              </w:rPr>
            </w:pPr>
            <w:r w:rsidRPr="007B0011">
              <w:rPr>
                <w:rFonts w:asciiTheme="minorHAnsi" w:hAnsiTheme="minorHAnsi" w:cstheme="minorHAnsi"/>
                <w:sz w:val="20"/>
                <w:szCs w:val="20"/>
              </w:rPr>
              <w:t>Project Finance and Co-finance</w:t>
            </w:r>
          </w:p>
          <w:p w14:paraId="55EC8BF3"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 xml:space="preserve">Monitoring &amp; Evaluation: design at entry*, implementation*, and overall assessment of M&amp;E* </w:t>
            </w:r>
          </w:p>
          <w:p w14:paraId="6EC1CFC7"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 xml:space="preserve">Implementing Agency (UNDP)* and Executing Agency*, overall project oversight/implementation and execution*, and </w:t>
            </w:r>
          </w:p>
          <w:p w14:paraId="1C4CF1B7" w14:textId="77777777" w:rsidR="008D2F5D" w:rsidRPr="007B0011" w:rsidRDefault="008D2F5D" w:rsidP="00D80344">
            <w:pPr>
              <w:numPr>
                <w:ilvl w:val="0"/>
                <w:numId w:val="41"/>
              </w:numPr>
              <w:rPr>
                <w:rFonts w:asciiTheme="minorHAnsi" w:hAnsiTheme="minorHAnsi" w:cstheme="minorHAnsi"/>
                <w:sz w:val="20"/>
                <w:szCs w:val="20"/>
              </w:rPr>
            </w:pPr>
            <w:r w:rsidRPr="007B0011">
              <w:rPr>
                <w:rFonts w:asciiTheme="minorHAnsi" w:hAnsiTheme="minorHAnsi" w:cstheme="minorHAnsi"/>
                <w:sz w:val="20"/>
                <w:szCs w:val="20"/>
              </w:rPr>
              <w:t>Risk Management, including Social and Environmental Standards*</w:t>
            </w:r>
          </w:p>
          <w:p w14:paraId="4EE1CD06" w14:textId="77777777" w:rsidR="008D2F5D" w:rsidRPr="007B0011" w:rsidRDefault="008D2F5D" w:rsidP="00024F45">
            <w:pPr>
              <w:rPr>
                <w:rFonts w:asciiTheme="minorHAnsi" w:hAnsiTheme="minorHAnsi" w:cstheme="minorHAnsi"/>
                <w:sz w:val="20"/>
                <w:szCs w:val="20"/>
              </w:rPr>
            </w:pPr>
            <w:r w:rsidRPr="007B0011">
              <w:rPr>
                <w:rFonts w:asciiTheme="minorHAnsi" w:hAnsiTheme="minorHAnsi" w:cstheme="minorHAnsi"/>
                <w:sz w:val="20"/>
                <w:szCs w:val="20"/>
              </w:rPr>
              <w:t> </w:t>
            </w:r>
          </w:p>
        </w:tc>
        <w:tc>
          <w:tcPr>
            <w:tcW w:w="3909" w:type="dxa"/>
            <w:tcBorders>
              <w:top w:val="single" w:sz="8" w:space="0" w:color="A5A5A5"/>
              <w:left w:val="single" w:sz="8" w:space="0" w:color="A5A5A5"/>
              <w:bottom w:val="single" w:sz="8" w:space="0" w:color="A5A5A5"/>
              <w:right w:val="single" w:sz="8" w:space="0" w:color="A5A5A5"/>
            </w:tcBorders>
            <w:shd w:val="clear" w:color="auto" w:fill="auto"/>
            <w:tcMar>
              <w:top w:w="15" w:type="dxa"/>
              <w:left w:w="48" w:type="dxa"/>
              <w:bottom w:w="0" w:type="dxa"/>
              <w:right w:w="48" w:type="dxa"/>
            </w:tcMar>
            <w:hideMark/>
          </w:tcPr>
          <w:p w14:paraId="47834D53" w14:textId="77777777" w:rsidR="008D2F5D" w:rsidRPr="007B0011" w:rsidRDefault="008D2F5D" w:rsidP="00D80344">
            <w:pPr>
              <w:numPr>
                <w:ilvl w:val="0"/>
                <w:numId w:val="42"/>
              </w:numPr>
              <w:rPr>
                <w:rFonts w:asciiTheme="minorHAnsi" w:hAnsiTheme="minorHAnsi" w:cstheme="minorHAnsi"/>
                <w:sz w:val="20"/>
                <w:szCs w:val="20"/>
              </w:rPr>
            </w:pPr>
            <w:r w:rsidRPr="007B0011">
              <w:rPr>
                <w:rFonts w:asciiTheme="minorHAnsi" w:hAnsiTheme="minorHAnsi" w:cstheme="minorHAnsi"/>
                <w:sz w:val="20"/>
                <w:szCs w:val="20"/>
              </w:rPr>
              <w:t>Assess the achievement of outcomes against indicators by reporting on the level of progress for each objective and outcome indicator at the time of the TE and noting final achievements</w:t>
            </w:r>
          </w:p>
          <w:p w14:paraId="133A4372" w14:textId="77777777" w:rsidR="008D2F5D" w:rsidRPr="007B0011" w:rsidRDefault="008D2F5D" w:rsidP="00D80344">
            <w:pPr>
              <w:numPr>
                <w:ilvl w:val="0"/>
                <w:numId w:val="42"/>
              </w:numPr>
              <w:rPr>
                <w:rFonts w:asciiTheme="minorHAnsi" w:hAnsiTheme="minorHAnsi" w:cstheme="minorHAnsi"/>
                <w:sz w:val="20"/>
                <w:szCs w:val="20"/>
              </w:rPr>
            </w:pPr>
            <w:r w:rsidRPr="007B0011">
              <w:rPr>
                <w:rFonts w:asciiTheme="minorHAnsi" w:hAnsiTheme="minorHAnsi" w:cstheme="minorHAnsi"/>
                <w:sz w:val="20"/>
                <w:szCs w:val="20"/>
              </w:rPr>
              <w:t>Relevance*, Effectiveness*, Efficiency* and overall project outcome*</w:t>
            </w:r>
          </w:p>
          <w:p w14:paraId="3D3A1B2B" w14:textId="77777777" w:rsidR="008D2F5D" w:rsidRPr="007B0011" w:rsidRDefault="008D2F5D" w:rsidP="00D80344">
            <w:pPr>
              <w:numPr>
                <w:ilvl w:val="0"/>
                <w:numId w:val="42"/>
              </w:numPr>
              <w:rPr>
                <w:rFonts w:asciiTheme="minorHAnsi" w:hAnsiTheme="minorHAnsi" w:cstheme="minorHAnsi"/>
                <w:sz w:val="20"/>
                <w:szCs w:val="20"/>
              </w:rPr>
            </w:pPr>
            <w:r w:rsidRPr="007B0011">
              <w:rPr>
                <w:rFonts w:asciiTheme="minorHAnsi" w:hAnsiTheme="minorHAnsi" w:cstheme="minorHAnsi"/>
                <w:sz w:val="20"/>
                <w:szCs w:val="20"/>
              </w:rPr>
              <w:t>Sustainability: financial*, socio-political*, institutional framework and governance*, environmental*, overall likelihood of sustainability*</w:t>
            </w:r>
          </w:p>
          <w:p w14:paraId="793127A5" w14:textId="77777777" w:rsidR="008D2F5D" w:rsidRPr="007B0011" w:rsidRDefault="008D2F5D" w:rsidP="00D80344">
            <w:pPr>
              <w:numPr>
                <w:ilvl w:val="0"/>
                <w:numId w:val="42"/>
              </w:numPr>
              <w:rPr>
                <w:rFonts w:asciiTheme="minorHAnsi" w:hAnsiTheme="minorHAnsi" w:cstheme="minorHAnsi"/>
                <w:sz w:val="20"/>
                <w:szCs w:val="20"/>
                <w:lang w:val="es-ES"/>
              </w:rPr>
            </w:pPr>
            <w:r w:rsidRPr="007B0011">
              <w:rPr>
                <w:rFonts w:asciiTheme="minorHAnsi" w:hAnsiTheme="minorHAnsi" w:cstheme="minorHAnsi"/>
                <w:sz w:val="20"/>
                <w:szCs w:val="20"/>
              </w:rPr>
              <w:t>Gender equality and women’s empowerment</w:t>
            </w:r>
          </w:p>
          <w:p w14:paraId="6DCADBC6" w14:textId="77777777" w:rsidR="008D2F5D" w:rsidRPr="007B0011" w:rsidRDefault="008D2F5D" w:rsidP="00D80344">
            <w:pPr>
              <w:numPr>
                <w:ilvl w:val="0"/>
                <w:numId w:val="42"/>
              </w:numPr>
              <w:rPr>
                <w:rFonts w:asciiTheme="minorHAnsi" w:hAnsiTheme="minorHAnsi" w:cstheme="minorHAnsi"/>
                <w:sz w:val="20"/>
                <w:szCs w:val="20"/>
              </w:rPr>
            </w:pPr>
            <w:r w:rsidRPr="007B0011">
              <w:rPr>
                <w:rFonts w:asciiTheme="minorHAnsi" w:hAnsiTheme="minorHAnsi" w:cstheme="minorHAnsi"/>
                <w:sz w:val="20"/>
                <w:szCs w:val="20"/>
              </w:rPr>
              <w:t>Cross-cutting issues (poverty alleviation, improved governance, climate change mitigation and adaptation, disaster prevention and recovery, human rights, capacity development, South-South cooperation, knowledge management, volunteerism, etc., as relevant)</w:t>
            </w:r>
          </w:p>
          <w:p w14:paraId="1A5E3E6E" w14:textId="77777777" w:rsidR="008D2F5D" w:rsidRPr="007B0011" w:rsidRDefault="008D2F5D" w:rsidP="00D80344">
            <w:pPr>
              <w:numPr>
                <w:ilvl w:val="0"/>
                <w:numId w:val="42"/>
              </w:numPr>
              <w:rPr>
                <w:rFonts w:asciiTheme="minorHAnsi" w:hAnsiTheme="minorHAnsi" w:cstheme="minorHAnsi"/>
                <w:sz w:val="20"/>
                <w:szCs w:val="20"/>
                <w:lang w:val="es-ES"/>
              </w:rPr>
            </w:pPr>
            <w:r w:rsidRPr="007B0011">
              <w:rPr>
                <w:rFonts w:asciiTheme="minorHAnsi" w:hAnsiTheme="minorHAnsi" w:cstheme="minorHAnsi"/>
                <w:sz w:val="20"/>
                <w:szCs w:val="20"/>
              </w:rPr>
              <w:t>GEF Additionality</w:t>
            </w:r>
          </w:p>
          <w:p w14:paraId="2C8DD369" w14:textId="77777777" w:rsidR="008D2F5D" w:rsidRPr="007B0011" w:rsidRDefault="008D2F5D" w:rsidP="00D80344">
            <w:pPr>
              <w:numPr>
                <w:ilvl w:val="0"/>
                <w:numId w:val="42"/>
              </w:numPr>
              <w:rPr>
                <w:rFonts w:asciiTheme="minorHAnsi" w:hAnsiTheme="minorHAnsi" w:cstheme="minorHAnsi"/>
                <w:sz w:val="20"/>
                <w:szCs w:val="20"/>
                <w:lang w:val="es-ES"/>
              </w:rPr>
            </w:pPr>
            <w:r w:rsidRPr="007B0011">
              <w:rPr>
                <w:rFonts w:asciiTheme="minorHAnsi" w:hAnsiTheme="minorHAnsi" w:cstheme="minorHAnsi"/>
                <w:sz w:val="20"/>
                <w:szCs w:val="20"/>
              </w:rPr>
              <w:t>Catalytic Role / Replication Effect; and</w:t>
            </w:r>
          </w:p>
          <w:p w14:paraId="57F427A1" w14:textId="77777777" w:rsidR="008D2F5D" w:rsidRPr="007B0011" w:rsidRDefault="008D2F5D" w:rsidP="00D80344">
            <w:pPr>
              <w:numPr>
                <w:ilvl w:val="0"/>
                <w:numId w:val="42"/>
              </w:numPr>
              <w:rPr>
                <w:rFonts w:asciiTheme="minorHAnsi" w:hAnsiTheme="minorHAnsi" w:cstheme="minorHAnsi"/>
                <w:sz w:val="20"/>
                <w:szCs w:val="20"/>
              </w:rPr>
            </w:pPr>
            <w:r w:rsidRPr="007B0011">
              <w:rPr>
                <w:rFonts w:asciiTheme="minorHAnsi" w:hAnsiTheme="minorHAnsi" w:cstheme="minorHAnsi"/>
                <w:sz w:val="20"/>
                <w:szCs w:val="20"/>
              </w:rPr>
              <w:t>Progress to impact at the project objective and outcome levels with an analysis of the outputs not yet completed at the MTR stage</w:t>
            </w:r>
            <w:r w:rsidRPr="00E463EE">
              <w:rPr>
                <w:rFonts w:asciiTheme="minorHAnsi" w:hAnsiTheme="minorHAnsi" w:cstheme="minorHAnsi"/>
                <w:sz w:val="20"/>
                <w:szCs w:val="20"/>
              </w:rPr>
              <w:t xml:space="preserve">. </w:t>
            </w:r>
          </w:p>
        </w:tc>
      </w:tr>
    </w:tbl>
    <w:p w14:paraId="5D3E97E5" w14:textId="77777777" w:rsidR="008D2F5D" w:rsidRDefault="008D2F5D" w:rsidP="008D2F5D">
      <w:pPr>
        <w:rPr>
          <w:rFonts w:asciiTheme="minorHAnsi" w:hAnsiTheme="minorHAnsi" w:cstheme="minorHAnsi"/>
        </w:rPr>
      </w:pPr>
    </w:p>
    <w:p w14:paraId="3A6F48B6" w14:textId="0FB3B846" w:rsidR="008D1C35" w:rsidRDefault="008D1C35" w:rsidP="00BF58B5">
      <w:pPr>
        <w:sectPr w:rsidR="008D1C35" w:rsidSect="00ED3F83">
          <w:pgSz w:w="12240" w:h="15840" w:code="1"/>
          <w:pgMar w:top="1440" w:right="1080" w:bottom="1440" w:left="1080" w:header="0" w:footer="936" w:gutter="0"/>
          <w:cols w:space="720"/>
          <w:docGrid w:linePitch="299"/>
        </w:sectPr>
      </w:pPr>
    </w:p>
    <w:p w14:paraId="58945F0F" w14:textId="4F0FB5B0" w:rsidR="0070579C" w:rsidRDefault="0070579C" w:rsidP="00D70CD3"/>
    <w:p w14:paraId="78FE0425" w14:textId="406BDD10" w:rsidR="0070579C" w:rsidRDefault="0070579C" w:rsidP="0070579C">
      <w:pPr>
        <w:pStyle w:val="Heading2"/>
      </w:pPr>
      <w:bookmarkStart w:id="144" w:name="_Toc88213935"/>
      <w:bookmarkStart w:id="145" w:name="_Toc96772522"/>
      <w:r>
        <w:t xml:space="preserve">Annex 11. </w:t>
      </w:r>
      <w:r w:rsidRPr="0013241D">
        <w:t>A&amp;L Project Results Rat</w:t>
      </w:r>
      <w:r>
        <w:t>ings</w:t>
      </w:r>
      <w:bookmarkEnd w:id="144"/>
      <w:bookmarkEnd w:id="145"/>
    </w:p>
    <w:tbl>
      <w:tblPr>
        <w:tblW w:w="13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5"/>
        <w:gridCol w:w="1530"/>
        <w:gridCol w:w="1530"/>
        <w:gridCol w:w="1710"/>
        <w:gridCol w:w="1350"/>
        <w:gridCol w:w="1890"/>
        <w:gridCol w:w="8"/>
        <w:gridCol w:w="1432"/>
        <w:gridCol w:w="8"/>
      </w:tblGrid>
      <w:tr w:rsidR="0070579C" w:rsidRPr="00297AED" w14:paraId="0BA5BF68" w14:textId="77777777" w:rsidTr="00062DAE">
        <w:trPr>
          <w:gridAfter w:val="1"/>
          <w:wAfter w:w="8" w:type="dxa"/>
          <w:trHeight w:val="780"/>
        </w:trPr>
        <w:tc>
          <w:tcPr>
            <w:tcW w:w="3865" w:type="dxa"/>
            <w:shd w:val="clear" w:color="000000" w:fill="4472C4"/>
            <w:vAlign w:val="center"/>
            <w:hideMark/>
          </w:tcPr>
          <w:p w14:paraId="43F1F8AD" w14:textId="77777777" w:rsidR="0070579C" w:rsidRPr="00297AED" w:rsidRDefault="0070579C" w:rsidP="00062DAE">
            <w:pPr>
              <w:spacing w:after="0" w:line="240" w:lineRule="auto"/>
              <w:jc w:val="center"/>
              <w:rPr>
                <w:rFonts w:eastAsia="Times New Roman"/>
                <w:b/>
                <w:bCs/>
                <w:color w:val="FFFFFF"/>
                <w:sz w:val="20"/>
                <w:szCs w:val="20"/>
              </w:rPr>
            </w:pPr>
            <w:r w:rsidRPr="00297AED">
              <w:rPr>
                <w:rFonts w:eastAsia="Times New Roman"/>
                <w:b/>
                <w:bCs/>
                <w:color w:val="FFFFFF"/>
                <w:sz w:val="20"/>
                <w:szCs w:val="20"/>
              </w:rPr>
              <w:t>Indicator</w:t>
            </w:r>
          </w:p>
        </w:tc>
        <w:tc>
          <w:tcPr>
            <w:tcW w:w="1530" w:type="dxa"/>
            <w:shd w:val="clear" w:color="000000" w:fill="4472C4"/>
            <w:vAlign w:val="center"/>
            <w:hideMark/>
          </w:tcPr>
          <w:p w14:paraId="34DDDACB" w14:textId="77777777" w:rsidR="0070579C" w:rsidRPr="00297AED" w:rsidRDefault="0070579C" w:rsidP="00062DAE">
            <w:pPr>
              <w:spacing w:after="0" w:line="240" w:lineRule="auto"/>
              <w:jc w:val="center"/>
              <w:rPr>
                <w:rFonts w:eastAsia="Times New Roman"/>
                <w:b/>
                <w:bCs/>
                <w:color w:val="FFFFFF"/>
                <w:sz w:val="20"/>
                <w:szCs w:val="20"/>
              </w:rPr>
            </w:pPr>
            <w:r w:rsidRPr="00297AED">
              <w:rPr>
                <w:rFonts w:eastAsia="Times New Roman"/>
                <w:b/>
                <w:bCs/>
                <w:color w:val="FFFFFF"/>
                <w:sz w:val="20"/>
                <w:szCs w:val="20"/>
              </w:rPr>
              <w:t>Baseline</w:t>
            </w:r>
          </w:p>
        </w:tc>
        <w:tc>
          <w:tcPr>
            <w:tcW w:w="1530" w:type="dxa"/>
            <w:shd w:val="clear" w:color="000000" w:fill="4472C4"/>
            <w:vAlign w:val="center"/>
          </w:tcPr>
          <w:p w14:paraId="3E1F5E56" w14:textId="77777777" w:rsidR="0070579C" w:rsidRPr="00297AED" w:rsidRDefault="0070579C" w:rsidP="00062DAE">
            <w:pPr>
              <w:spacing w:after="0" w:line="240" w:lineRule="auto"/>
              <w:jc w:val="center"/>
              <w:rPr>
                <w:rFonts w:eastAsia="Times New Roman"/>
                <w:b/>
                <w:bCs/>
                <w:color w:val="FFFFFF"/>
                <w:sz w:val="20"/>
                <w:szCs w:val="20"/>
              </w:rPr>
            </w:pPr>
            <w:r>
              <w:rPr>
                <w:rFonts w:eastAsia="Times New Roman"/>
                <w:b/>
                <w:bCs/>
                <w:color w:val="FFFFFF"/>
                <w:sz w:val="20"/>
                <w:szCs w:val="20"/>
              </w:rPr>
              <w:t>Unit</w:t>
            </w:r>
          </w:p>
        </w:tc>
        <w:tc>
          <w:tcPr>
            <w:tcW w:w="1710" w:type="dxa"/>
            <w:shd w:val="clear" w:color="000000" w:fill="4472C4"/>
            <w:vAlign w:val="center"/>
            <w:hideMark/>
          </w:tcPr>
          <w:p w14:paraId="5472D2BF" w14:textId="77777777" w:rsidR="0070579C" w:rsidRPr="00297AED" w:rsidRDefault="0070579C" w:rsidP="00062DAE">
            <w:pPr>
              <w:spacing w:after="0" w:line="240" w:lineRule="auto"/>
              <w:jc w:val="center"/>
              <w:rPr>
                <w:rFonts w:eastAsia="Times New Roman"/>
                <w:b/>
                <w:bCs/>
                <w:color w:val="FFFFFF"/>
                <w:sz w:val="20"/>
                <w:szCs w:val="20"/>
              </w:rPr>
            </w:pPr>
            <w:r w:rsidRPr="00297AED">
              <w:rPr>
                <w:rFonts w:eastAsia="Times New Roman"/>
                <w:b/>
                <w:bCs/>
                <w:color w:val="FFFFFF"/>
                <w:sz w:val="20"/>
                <w:szCs w:val="20"/>
              </w:rPr>
              <w:t>End of the Project Target</w:t>
            </w:r>
          </w:p>
        </w:tc>
        <w:tc>
          <w:tcPr>
            <w:tcW w:w="1350" w:type="dxa"/>
            <w:shd w:val="clear" w:color="000000" w:fill="4472C4"/>
            <w:vAlign w:val="center"/>
          </w:tcPr>
          <w:p w14:paraId="540BCA7E" w14:textId="77777777" w:rsidR="0070579C" w:rsidRPr="00297AED" w:rsidRDefault="0070579C" w:rsidP="00062DAE">
            <w:pPr>
              <w:spacing w:after="0" w:line="240" w:lineRule="auto"/>
              <w:jc w:val="center"/>
              <w:rPr>
                <w:rFonts w:eastAsia="Times New Roman"/>
                <w:b/>
                <w:bCs/>
                <w:color w:val="FFFFFF"/>
                <w:sz w:val="20"/>
                <w:szCs w:val="20"/>
              </w:rPr>
            </w:pPr>
            <w:r>
              <w:rPr>
                <w:rFonts w:eastAsia="Times New Roman"/>
                <w:b/>
                <w:bCs/>
                <w:color w:val="FFFFFF"/>
                <w:sz w:val="20"/>
                <w:szCs w:val="20"/>
              </w:rPr>
              <w:t>Achieved</w:t>
            </w:r>
          </w:p>
        </w:tc>
        <w:tc>
          <w:tcPr>
            <w:tcW w:w="1890" w:type="dxa"/>
            <w:shd w:val="clear" w:color="000000" w:fill="4472C4"/>
            <w:vAlign w:val="center"/>
            <w:hideMark/>
          </w:tcPr>
          <w:p w14:paraId="63642D32" w14:textId="77777777" w:rsidR="0070579C" w:rsidRPr="00297AED" w:rsidRDefault="0070579C" w:rsidP="00062DAE">
            <w:pPr>
              <w:spacing w:after="0" w:line="240" w:lineRule="auto"/>
              <w:jc w:val="center"/>
              <w:rPr>
                <w:rFonts w:eastAsia="Times New Roman"/>
                <w:b/>
                <w:bCs/>
                <w:color w:val="FFFFFF"/>
                <w:sz w:val="20"/>
                <w:szCs w:val="20"/>
              </w:rPr>
            </w:pPr>
            <w:r>
              <w:rPr>
                <w:rFonts w:eastAsia="Times New Roman"/>
                <w:b/>
                <w:bCs/>
                <w:color w:val="FFFFFF"/>
                <w:sz w:val="20"/>
                <w:szCs w:val="20"/>
              </w:rPr>
              <w:t>Percent Achieved at TE</w:t>
            </w:r>
          </w:p>
        </w:tc>
        <w:tc>
          <w:tcPr>
            <w:tcW w:w="1440" w:type="dxa"/>
            <w:gridSpan w:val="2"/>
            <w:shd w:val="clear" w:color="000000" w:fill="4472C4"/>
            <w:vAlign w:val="center"/>
            <w:hideMark/>
          </w:tcPr>
          <w:p w14:paraId="1526C6CF" w14:textId="77777777" w:rsidR="0070579C" w:rsidRPr="00297AED" w:rsidRDefault="0070579C" w:rsidP="00062DAE">
            <w:pPr>
              <w:spacing w:after="0" w:line="240" w:lineRule="auto"/>
              <w:jc w:val="center"/>
              <w:rPr>
                <w:rFonts w:eastAsia="Times New Roman"/>
                <w:b/>
                <w:bCs/>
                <w:color w:val="FFFFFF"/>
                <w:sz w:val="20"/>
                <w:szCs w:val="20"/>
              </w:rPr>
            </w:pPr>
            <w:r>
              <w:rPr>
                <w:rFonts w:eastAsia="Times New Roman"/>
                <w:b/>
                <w:bCs/>
                <w:color w:val="FFFFFF"/>
                <w:sz w:val="20"/>
                <w:szCs w:val="20"/>
              </w:rPr>
              <w:t>Ratings</w:t>
            </w:r>
          </w:p>
        </w:tc>
      </w:tr>
      <w:tr w:rsidR="0070579C" w:rsidRPr="00EC42A4" w14:paraId="1B260B6B" w14:textId="77777777" w:rsidTr="009422BC">
        <w:trPr>
          <w:gridAfter w:val="1"/>
          <w:wAfter w:w="8" w:type="dxa"/>
          <w:trHeight w:val="1718"/>
        </w:trPr>
        <w:tc>
          <w:tcPr>
            <w:tcW w:w="3865" w:type="dxa"/>
            <w:tcBorders>
              <w:bottom w:val="single" w:sz="4" w:space="0" w:color="auto"/>
            </w:tcBorders>
            <w:shd w:val="clear" w:color="auto" w:fill="FFFFFF" w:themeFill="background1"/>
            <w:vAlign w:val="center"/>
            <w:hideMark/>
          </w:tcPr>
          <w:p w14:paraId="70ACA1D7"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Objective Indicator 1:  Connectivity between finance, demand, and production sector stakeholders for soy, beef and oil palm in the 4 GGP target countries, as measured by the number of partnerships between producers, buyers and finance providers, fostering sustainable commodity supply chains.</w:t>
            </w:r>
          </w:p>
        </w:tc>
        <w:tc>
          <w:tcPr>
            <w:tcW w:w="1530" w:type="dxa"/>
            <w:tcBorders>
              <w:bottom w:val="single" w:sz="4" w:space="0" w:color="auto"/>
            </w:tcBorders>
            <w:shd w:val="clear" w:color="auto" w:fill="auto"/>
            <w:vAlign w:val="center"/>
            <w:hideMark/>
          </w:tcPr>
          <w:p w14:paraId="29C9A3A0"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0</w:t>
            </w:r>
          </w:p>
        </w:tc>
        <w:tc>
          <w:tcPr>
            <w:tcW w:w="1530" w:type="dxa"/>
            <w:tcBorders>
              <w:bottom w:val="single" w:sz="4" w:space="0" w:color="auto"/>
            </w:tcBorders>
            <w:vAlign w:val="center"/>
          </w:tcPr>
          <w:p w14:paraId="379707F8"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 Partnerships</w:t>
            </w:r>
          </w:p>
        </w:tc>
        <w:tc>
          <w:tcPr>
            <w:tcW w:w="1710" w:type="dxa"/>
            <w:tcBorders>
              <w:bottom w:val="single" w:sz="4" w:space="0" w:color="auto"/>
            </w:tcBorders>
            <w:shd w:val="clear" w:color="auto" w:fill="auto"/>
            <w:vAlign w:val="center"/>
            <w:hideMark/>
          </w:tcPr>
          <w:p w14:paraId="38197C93"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At least 1 partnership per country (total of at least 4 partnerships)</w:t>
            </w:r>
          </w:p>
        </w:tc>
        <w:tc>
          <w:tcPr>
            <w:tcW w:w="1350" w:type="dxa"/>
            <w:tcBorders>
              <w:bottom w:val="single" w:sz="4" w:space="0" w:color="auto"/>
            </w:tcBorders>
            <w:vAlign w:val="center"/>
          </w:tcPr>
          <w:p w14:paraId="44CCF82E" w14:textId="1347936E" w:rsidR="0070579C" w:rsidRPr="00297AED" w:rsidRDefault="008419F8" w:rsidP="00062DAE">
            <w:pPr>
              <w:spacing w:after="0" w:line="240" w:lineRule="auto"/>
              <w:jc w:val="center"/>
              <w:rPr>
                <w:rFonts w:eastAsia="Times New Roman"/>
                <w:color w:val="000000"/>
                <w:sz w:val="20"/>
                <w:szCs w:val="20"/>
              </w:rPr>
            </w:pPr>
            <w:r>
              <w:rPr>
                <w:rFonts w:eastAsia="Times New Roman"/>
                <w:color w:val="000000"/>
                <w:sz w:val="20"/>
                <w:szCs w:val="20"/>
              </w:rPr>
              <w:t>4</w:t>
            </w:r>
          </w:p>
        </w:tc>
        <w:tc>
          <w:tcPr>
            <w:tcW w:w="1890" w:type="dxa"/>
            <w:tcBorders>
              <w:bottom w:val="single" w:sz="4" w:space="0" w:color="auto"/>
            </w:tcBorders>
            <w:shd w:val="clear" w:color="auto" w:fill="00B050"/>
            <w:vAlign w:val="center"/>
            <w:hideMark/>
          </w:tcPr>
          <w:p w14:paraId="0659E251" w14:textId="3BEF9C22" w:rsidR="0070579C" w:rsidRPr="00297AED" w:rsidRDefault="008419F8" w:rsidP="00062DAE">
            <w:pPr>
              <w:spacing w:after="0" w:line="240" w:lineRule="auto"/>
              <w:jc w:val="center"/>
              <w:rPr>
                <w:rFonts w:eastAsia="Times New Roman"/>
                <w:color w:val="000000"/>
                <w:sz w:val="20"/>
                <w:szCs w:val="20"/>
              </w:rPr>
            </w:pPr>
            <w:r w:rsidRPr="009422BC">
              <w:rPr>
                <w:rFonts w:eastAsia="Times New Roman"/>
                <w:color w:val="FFFFFF" w:themeColor="background1"/>
                <w:sz w:val="20"/>
                <w:szCs w:val="20"/>
              </w:rPr>
              <w:t>100</w:t>
            </w:r>
          </w:p>
        </w:tc>
        <w:tc>
          <w:tcPr>
            <w:tcW w:w="1440" w:type="dxa"/>
            <w:gridSpan w:val="2"/>
            <w:tcBorders>
              <w:bottom w:val="single" w:sz="4" w:space="0" w:color="auto"/>
            </w:tcBorders>
            <w:shd w:val="clear" w:color="auto" w:fill="auto"/>
            <w:vAlign w:val="center"/>
            <w:hideMark/>
          </w:tcPr>
          <w:p w14:paraId="414BFC97" w14:textId="72458E87" w:rsidR="0070579C" w:rsidRPr="00EC42A4" w:rsidRDefault="008419F8" w:rsidP="00062DAE">
            <w:pPr>
              <w:spacing w:after="0" w:line="240" w:lineRule="auto"/>
              <w:jc w:val="center"/>
              <w:rPr>
                <w:rFonts w:eastAsia="Times New Roman"/>
                <w:sz w:val="20"/>
                <w:szCs w:val="20"/>
              </w:rPr>
            </w:pPr>
            <w:r>
              <w:rPr>
                <w:rFonts w:eastAsia="Times New Roman"/>
                <w:sz w:val="20"/>
                <w:szCs w:val="20"/>
              </w:rPr>
              <w:t>HS</w:t>
            </w:r>
          </w:p>
        </w:tc>
      </w:tr>
      <w:tr w:rsidR="0070579C" w:rsidRPr="00297AED" w14:paraId="78E842AA" w14:textId="77777777" w:rsidTr="00062DAE">
        <w:trPr>
          <w:gridAfter w:val="1"/>
          <w:wAfter w:w="8" w:type="dxa"/>
          <w:trHeight w:val="255"/>
        </w:trPr>
        <w:tc>
          <w:tcPr>
            <w:tcW w:w="3865" w:type="dxa"/>
            <w:tcBorders>
              <w:top w:val="single" w:sz="4" w:space="0" w:color="auto"/>
              <w:left w:val="single" w:sz="4" w:space="0" w:color="auto"/>
              <w:bottom w:val="nil"/>
              <w:right w:val="single" w:sz="4" w:space="0" w:color="auto"/>
            </w:tcBorders>
            <w:shd w:val="clear" w:color="auto" w:fill="auto"/>
            <w:vAlign w:val="center"/>
            <w:hideMark/>
          </w:tcPr>
          <w:p w14:paraId="1D90C431"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 xml:space="preserve">Objective Indicator 2: </w:t>
            </w:r>
            <w:r w:rsidRPr="00297AED">
              <w:rPr>
                <w:rFonts w:eastAsia="Times New Roman"/>
                <w:color w:val="000000"/>
                <w:sz w:val="20"/>
                <w:szCs w:val="20"/>
              </w:rPr>
              <w:t>Level of engagement of GGP with global commodity initiatives, key partners, as well as with practitioners and producers from the GGP target countries (Indonesia, Liberia, Paraguay, Brazil), as measured by:</w:t>
            </w:r>
          </w:p>
        </w:tc>
        <w:tc>
          <w:tcPr>
            <w:tcW w:w="1530" w:type="dxa"/>
            <w:vMerge w:val="restart"/>
            <w:tcBorders>
              <w:top w:val="single" w:sz="4" w:space="0" w:color="auto"/>
              <w:left w:val="single" w:sz="4" w:space="0" w:color="auto"/>
              <w:right w:val="single" w:sz="4" w:space="0" w:color="auto"/>
            </w:tcBorders>
            <w:shd w:val="clear" w:color="auto" w:fill="auto"/>
            <w:hideMark/>
          </w:tcPr>
          <w:p w14:paraId="55C347BE" w14:textId="77777777" w:rsidR="0070579C" w:rsidRDefault="0070579C" w:rsidP="00062DAE">
            <w:pPr>
              <w:spacing w:after="0" w:line="240" w:lineRule="auto"/>
              <w:jc w:val="center"/>
              <w:rPr>
                <w:rFonts w:eastAsia="Times New Roman"/>
                <w:color w:val="000000"/>
                <w:sz w:val="20"/>
                <w:szCs w:val="20"/>
              </w:rPr>
            </w:pPr>
          </w:p>
          <w:p w14:paraId="3FA429DA" w14:textId="77777777" w:rsidR="0070579C" w:rsidRDefault="0070579C" w:rsidP="00062DAE">
            <w:pPr>
              <w:spacing w:after="0" w:line="240" w:lineRule="auto"/>
              <w:jc w:val="center"/>
              <w:rPr>
                <w:rFonts w:eastAsia="Times New Roman"/>
                <w:color w:val="000000"/>
                <w:sz w:val="20"/>
                <w:szCs w:val="20"/>
              </w:rPr>
            </w:pPr>
          </w:p>
          <w:p w14:paraId="17E66445" w14:textId="77777777" w:rsidR="0070579C" w:rsidRDefault="0070579C" w:rsidP="00062DAE">
            <w:pPr>
              <w:spacing w:after="0" w:line="240" w:lineRule="auto"/>
              <w:jc w:val="center"/>
              <w:rPr>
                <w:rFonts w:eastAsia="Times New Roman"/>
                <w:color w:val="000000"/>
                <w:sz w:val="20"/>
                <w:szCs w:val="20"/>
              </w:rPr>
            </w:pPr>
          </w:p>
          <w:p w14:paraId="7CA156E5"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0</w:t>
            </w:r>
          </w:p>
          <w:p w14:paraId="548F995C" w14:textId="77777777" w:rsidR="0070579C" w:rsidRPr="00297AED" w:rsidRDefault="0070579C" w:rsidP="00062DAE">
            <w:pPr>
              <w:spacing w:after="0" w:line="240" w:lineRule="auto"/>
              <w:jc w:val="center"/>
              <w:rPr>
                <w:rFonts w:eastAsia="Times New Roman"/>
                <w:color w:val="000000"/>
                <w:sz w:val="20"/>
                <w:szCs w:val="20"/>
              </w:rPr>
            </w:pPr>
          </w:p>
          <w:p w14:paraId="23FB362A" w14:textId="77777777" w:rsidR="0070579C" w:rsidRPr="00297AED" w:rsidRDefault="0070579C" w:rsidP="00062DAE">
            <w:pPr>
              <w:spacing w:after="0" w:line="240" w:lineRule="auto"/>
              <w:jc w:val="center"/>
              <w:rPr>
                <w:rFonts w:eastAsia="Times New Roman"/>
                <w:color w:val="000000"/>
                <w:sz w:val="20"/>
                <w:szCs w:val="20"/>
              </w:rPr>
            </w:pPr>
          </w:p>
        </w:tc>
        <w:tc>
          <w:tcPr>
            <w:tcW w:w="1530" w:type="dxa"/>
            <w:tcBorders>
              <w:top w:val="single" w:sz="4" w:space="0" w:color="auto"/>
              <w:left w:val="single" w:sz="4" w:space="0" w:color="auto"/>
              <w:bottom w:val="nil"/>
              <w:right w:val="single" w:sz="4" w:space="0" w:color="auto"/>
            </w:tcBorders>
            <w:vAlign w:val="center"/>
          </w:tcPr>
          <w:p w14:paraId="7759B7A1" w14:textId="77777777" w:rsidR="0070579C" w:rsidRPr="00297AED" w:rsidRDefault="0070579C" w:rsidP="00062DAE">
            <w:pPr>
              <w:spacing w:after="0" w:line="240" w:lineRule="auto"/>
              <w:jc w:val="center"/>
              <w:rPr>
                <w:rFonts w:eastAsia="Times New Roman"/>
                <w:color w:val="000000"/>
                <w:sz w:val="20"/>
                <w:szCs w:val="20"/>
              </w:rPr>
            </w:pPr>
          </w:p>
        </w:tc>
        <w:tc>
          <w:tcPr>
            <w:tcW w:w="1710" w:type="dxa"/>
            <w:tcBorders>
              <w:top w:val="single" w:sz="4" w:space="0" w:color="auto"/>
              <w:left w:val="single" w:sz="4" w:space="0" w:color="auto"/>
              <w:bottom w:val="nil"/>
              <w:right w:val="single" w:sz="4" w:space="0" w:color="auto"/>
            </w:tcBorders>
            <w:shd w:val="clear" w:color="auto" w:fill="auto"/>
            <w:vAlign w:val="center"/>
            <w:hideMark/>
          </w:tcPr>
          <w:p w14:paraId="47E69B8A" w14:textId="77777777" w:rsidR="0070579C" w:rsidRPr="00297AED" w:rsidRDefault="0070579C" w:rsidP="00062DAE">
            <w:pPr>
              <w:spacing w:after="0" w:line="240" w:lineRule="auto"/>
              <w:jc w:val="center"/>
              <w:rPr>
                <w:rFonts w:eastAsia="Times New Roman"/>
                <w:color w:val="000000"/>
                <w:sz w:val="20"/>
                <w:szCs w:val="20"/>
              </w:rPr>
            </w:pPr>
          </w:p>
        </w:tc>
        <w:tc>
          <w:tcPr>
            <w:tcW w:w="1350" w:type="dxa"/>
            <w:tcBorders>
              <w:top w:val="single" w:sz="4" w:space="0" w:color="auto"/>
              <w:left w:val="single" w:sz="4" w:space="0" w:color="auto"/>
              <w:bottom w:val="nil"/>
              <w:right w:val="single" w:sz="4" w:space="0" w:color="auto"/>
            </w:tcBorders>
            <w:vAlign w:val="center"/>
          </w:tcPr>
          <w:p w14:paraId="74E9E74E" w14:textId="77777777" w:rsidR="0070579C" w:rsidRPr="00F6036B" w:rsidRDefault="0070579C" w:rsidP="00062DAE">
            <w:pPr>
              <w:spacing w:after="0" w:line="240" w:lineRule="auto"/>
              <w:jc w:val="center"/>
              <w:rPr>
                <w:rFonts w:eastAsia="Times New Roman"/>
                <w:sz w:val="20"/>
                <w:szCs w:val="20"/>
              </w:rPr>
            </w:pPr>
          </w:p>
        </w:tc>
        <w:tc>
          <w:tcPr>
            <w:tcW w:w="1890" w:type="dxa"/>
            <w:tcBorders>
              <w:top w:val="single" w:sz="4" w:space="0" w:color="auto"/>
              <w:left w:val="single" w:sz="4" w:space="0" w:color="auto"/>
              <w:bottom w:val="nil"/>
              <w:right w:val="single" w:sz="4" w:space="0" w:color="auto"/>
            </w:tcBorders>
            <w:shd w:val="clear" w:color="000000" w:fill="00B050"/>
            <w:noWrap/>
            <w:vAlign w:val="center"/>
            <w:hideMark/>
          </w:tcPr>
          <w:p w14:paraId="4C5B83EF" w14:textId="77777777" w:rsidR="0070579C" w:rsidRPr="00297AED" w:rsidRDefault="0070579C" w:rsidP="00062DAE">
            <w:pPr>
              <w:spacing w:after="0" w:line="240" w:lineRule="auto"/>
              <w:jc w:val="center"/>
              <w:rPr>
                <w:rFonts w:eastAsia="Times New Roman"/>
                <w:color w:val="000000"/>
                <w:sz w:val="20"/>
                <w:szCs w:val="20"/>
              </w:rPr>
            </w:pPr>
          </w:p>
        </w:tc>
        <w:tc>
          <w:tcPr>
            <w:tcW w:w="1440" w:type="dxa"/>
            <w:gridSpan w:val="2"/>
            <w:tcBorders>
              <w:top w:val="single" w:sz="4" w:space="0" w:color="auto"/>
              <w:left w:val="single" w:sz="4" w:space="0" w:color="auto"/>
              <w:bottom w:val="nil"/>
              <w:right w:val="single" w:sz="4" w:space="0" w:color="auto"/>
            </w:tcBorders>
            <w:shd w:val="clear" w:color="auto" w:fill="auto"/>
            <w:vAlign w:val="center"/>
            <w:hideMark/>
          </w:tcPr>
          <w:p w14:paraId="6DE1578A" w14:textId="77777777" w:rsidR="0070579C" w:rsidRPr="00297AED" w:rsidRDefault="0070579C" w:rsidP="00062DAE">
            <w:pPr>
              <w:spacing w:after="0" w:line="240" w:lineRule="auto"/>
              <w:jc w:val="center"/>
              <w:rPr>
                <w:rFonts w:eastAsia="Times New Roman"/>
                <w:sz w:val="20"/>
                <w:szCs w:val="20"/>
              </w:rPr>
            </w:pPr>
          </w:p>
        </w:tc>
      </w:tr>
      <w:tr w:rsidR="0070579C" w:rsidRPr="00297AED" w14:paraId="6DF060F5" w14:textId="77777777" w:rsidTr="00062DAE">
        <w:trPr>
          <w:gridAfter w:val="1"/>
          <w:wAfter w:w="8" w:type="dxa"/>
          <w:trHeight w:val="65"/>
        </w:trPr>
        <w:tc>
          <w:tcPr>
            <w:tcW w:w="3865" w:type="dxa"/>
            <w:tcBorders>
              <w:top w:val="nil"/>
              <w:left w:val="single" w:sz="4" w:space="0" w:color="auto"/>
              <w:bottom w:val="nil"/>
              <w:right w:val="single" w:sz="4" w:space="0" w:color="auto"/>
            </w:tcBorders>
            <w:shd w:val="clear" w:color="auto" w:fill="auto"/>
            <w:vAlign w:val="center"/>
            <w:hideMark/>
          </w:tcPr>
          <w:p w14:paraId="01526594"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color w:val="000000"/>
                <w:sz w:val="20"/>
                <w:szCs w:val="20"/>
              </w:rPr>
              <w:t xml:space="preserve">a) quarterly engagement between the GGP and other global and national initiatives, key partners and country practitioners, through the global community of practice.  </w:t>
            </w:r>
          </w:p>
        </w:tc>
        <w:tc>
          <w:tcPr>
            <w:tcW w:w="1530" w:type="dxa"/>
            <w:vMerge/>
            <w:tcBorders>
              <w:left w:val="single" w:sz="4" w:space="0" w:color="auto"/>
              <w:right w:val="single" w:sz="4" w:space="0" w:color="auto"/>
            </w:tcBorders>
            <w:shd w:val="clear" w:color="auto" w:fill="FFFFFF" w:themeFill="background1"/>
            <w:vAlign w:val="center"/>
            <w:hideMark/>
          </w:tcPr>
          <w:p w14:paraId="510F8EF2" w14:textId="77777777" w:rsidR="0070579C" w:rsidRPr="00297AED" w:rsidRDefault="0070579C" w:rsidP="00062DAE">
            <w:pPr>
              <w:spacing w:after="0" w:line="240" w:lineRule="auto"/>
              <w:jc w:val="both"/>
              <w:rPr>
                <w:rFonts w:eastAsia="Times New Roman"/>
                <w:color w:val="000000"/>
                <w:sz w:val="20"/>
                <w:szCs w:val="20"/>
              </w:rPr>
            </w:pPr>
          </w:p>
        </w:tc>
        <w:tc>
          <w:tcPr>
            <w:tcW w:w="1530" w:type="dxa"/>
            <w:tcBorders>
              <w:top w:val="nil"/>
              <w:left w:val="single" w:sz="4" w:space="0" w:color="auto"/>
              <w:bottom w:val="nil"/>
              <w:right w:val="single" w:sz="4" w:space="0" w:color="auto"/>
            </w:tcBorders>
          </w:tcPr>
          <w:p w14:paraId="5CEBABE3" w14:textId="77777777" w:rsidR="0070579C" w:rsidRPr="00297AED" w:rsidRDefault="0070579C" w:rsidP="00062DAE">
            <w:pPr>
              <w:spacing w:after="0" w:line="240" w:lineRule="auto"/>
              <w:rPr>
                <w:rFonts w:eastAsia="Times New Roman"/>
                <w:color w:val="000000"/>
                <w:sz w:val="20"/>
                <w:szCs w:val="20"/>
              </w:rPr>
            </w:pPr>
            <w:r>
              <w:rPr>
                <w:rFonts w:eastAsia="Times New Roman"/>
                <w:color w:val="000000"/>
                <w:sz w:val="20"/>
                <w:szCs w:val="20"/>
              </w:rPr>
              <w:t># Quarters</w:t>
            </w:r>
          </w:p>
        </w:tc>
        <w:tc>
          <w:tcPr>
            <w:tcW w:w="1710" w:type="dxa"/>
            <w:tcBorders>
              <w:top w:val="nil"/>
              <w:left w:val="single" w:sz="4" w:space="0" w:color="auto"/>
              <w:bottom w:val="nil"/>
              <w:right w:val="single" w:sz="4" w:space="0" w:color="auto"/>
            </w:tcBorders>
            <w:shd w:val="clear" w:color="auto" w:fill="auto"/>
            <w:noWrap/>
            <w:hideMark/>
          </w:tcPr>
          <w:p w14:paraId="582DFDD4"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a) 12</w:t>
            </w:r>
          </w:p>
        </w:tc>
        <w:tc>
          <w:tcPr>
            <w:tcW w:w="1350" w:type="dxa"/>
            <w:tcBorders>
              <w:top w:val="nil"/>
              <w:left w:val="single" w:sz="4" w:space="0" w:color="auto"/>
              <w:bottom w:val="nil"/>
              <w:right w:val="single" w:sz="4" w:space="0" w:color="auto"/>
            </w:tcBorders>
          </w:tcPr>
          <w:p w14:paraId="776F8A19" w14:textId="46B612BA" w:rsidR="0070579C" w:rsidRPr="00F6036B" w:rsidRDefault="0070579C" w:rsidP="00062DAE">
            <w:pPr>
              <w:spacing w:after="0" w:line="240" w:lineRule="auto"/>
              <w:rPr>
                <w:rFonts w:eastAsia="Times New Roman"/>
                <w:sz w:val="20"/>
                <w:szCs w:val="20"/>
              </w:rPr>
            </w:pPr>
            <w:r w:rsidRPr="00F6036B">
              <w:rPr>
                <w:rFonts w:eastAsia="Times New Roman"/>
                <w:sz w:val="20"/>
                <w:szCs w:val="20"/>
              </w:rPr>
              <w:t>a)</w:t>
            </w:r>
            <w:r>
              <w:rPr>
                <w:rFonts w:eastAsia="Times New Roman"/>
                <w:sz w:val="20"/>
                <w:szCs w:val="20"/>
              </w:rPr>
              <w:t>1</w:t>
            </w:r>
            <w:r w:rsidR="008F40BB">
              <w:rPr>
                <w:rFonts w:eastAsia="Times New Roman"/>
                <w:sz w:val="20"/>
                <w:szCs w:val="20"/>
              </w:rPr>
              <w:t>6</w:t>
            </w:r>
          </w:p>
        </w:tc>
        <w:tc>
          <w:tcPr>
            <w:tcW w:w="1890" w:type="dxa"/>
            <w:tcBorders>
              <w:top w:val="nil"/>
              <w:left w:val="single" w:sz="4" w:space="0" w:color="auto"/>
              <w:bottom w:val="nil"/>
              <w:right w:val="single" w:sz="4" w:space="0" w:color="auto"/>
            </w:tcBorders>
            <w:shd w:val="clear" w:color="000000" w:fill="00B050"/>
            <w:noWrap/>
            <w:hideMark/>
          </w:tcPr>
          <w:p w14:paraId="0D11EA5B" w14:textId="77777777" w:rsidR="0070579C" w:rsidRPr="00297AED" w:rsidRDefault="0070579C" w:rsidP="00062DAE">
            <w:pPr>
              <w:spacing w:after="0" w:line="240" w:lineRule="auto"/>
              <w:jc w:val="center"/>
              <w:rPr>
                <w:rFonts w:eastAsia="Times New Roman"/>
                <w:color w:val="000000"/>
                <w:sz w:val="20"/>
                <w:szCs w:val="20"/>
              </w:rPr>
            </w:pPr>
            <w:r w:rsidRPr="000204C6">
              <w:rPr>
                <w:rFonts w:eastAsia="Times New Roman"/>
                <w:color w:val="FFFFFF" w:themeColor="background1"/>
                <w:sz w:val="20"/>
                <w:szCs w:val="20"/>
              </w:rPr>
              <w:t>&gt;100</w:t>
            </w:r>
          </w:p>
        </w:tc>
        <w:tc>
          <w:tcPr>
            <w:tcW w:w="1440" w:type="dxa"/>
            <w:gridSpan w:val="2"/>
            <w:tcBorders>
              <w:top w:val="nil"/>
              <w:left w:val="single" w:sz="4" w:space="0" w:color="auto"/>
              <w:bottom w:val="nil"/>
              <w:right w:val="single" w:sz="4" w:space="0" w:color="auto"/>
            </w:tcBorders>
            <w:shd w:val="clear" w:color="auto" w:fill="auto"/>
            <w:hideMark/>
          </w:tcPr>
          <w:p w14:paraId="03584F8C"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 xml:space="preserve"> HS</w:t>
            </w:r>
          </w:p>
        </w:tc>
      </w:tr>
      <w:tr w:rsidR="0070579C" w:rsidRPr="00297AED" w14:paraId="29CF1EF4" w14:textId="77777777" w:rsidTr="00062DAE">
        <w:trPr>
          <w:gridAfter w:val="1"/>
          <w:wAfter w:w="8" w:type="dxa"/>
          <w:trHeight w:val="998"/>
        </w:trPr>
        <w:tc>
          <w:tcPr>
            <w:tcW w:w="3865" w:type="dxa"/>
            <w:tcBorders>
              <w:top w:val="nil"/>
              <w:left w:val="single" w:sz="4" w:space="0" w:color="auto"/>
              <w:bottom w:val="nil"/>
              <w:right w:val="single" w:sz="4" w:space="0" w:color="auto"/>
            </w:tcBorders>
            <w:shd w:val="clear" w:color="auto" w:fill="auto"/>
            <w:vAlign w:val="center"/>
            <w:hideMark/>
          </w:tcPr>
          <w:p w14:paraId="39C49290"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 xml:space="preserve">b) global community of practice event. </w:t>
            </w:r>
          </w:p>
        </w:tc>
        <w:tc>
          <w:tcPr>
            <w:tcW w:w="1530" w:type="dxa"/>
            <w:vMerge/>
            <w:tcBorders>
              <w:left w:val="single" w:sz="4" w:space="0" w:color="auto"/>
              <w:right w:val="single" w:sz="4" w:space="0" w:color="auto"/>
            </w:tcBorders>
            <w:shd w:val="clear" w:color="auto" w:fill="FFFFFF" w:themeFill="background1"/>
            <w:vAlign w:val="center"/>
            <w:hideMark/>
          </w:tcPr>
          <w:p w14:paraId="45376605" w14:textId="77777777" w:rsidR="0070579C" w:rsidRPr="00297AED" w:rsidRDefault="0070579C" w:rsidP="00062DAE">
            <w:pPr>
              <w:spacing w:after="0" w:line="240" w:lineRule="auto"/>
              <w:jc w:val="both"/>
              <w:rPr>
                <w:rFonts w:eastAsia="Times New Roman"/>
                <w:color w:val="000000"/>
                <w:sz w:val="20"/>
                <w:szCs w:val="20"/>
              </w:rPr>
            </w:pPr>
          </w:p>
        </w:tc>
        <w:tc>
          <w:tcPr>
            <w:tcW w:w="1530" w:type="dxa"/>
            <w:tcBorders>
              <w:top w:val="nil"/>
              <w:left w:val="single" w:sz="4" w:space="0" w:color="auto"/>
              <w:bottom w:val="nil"/>
              <w:right w:val="single" w:sz="4" w:space="0" w:color="auto"/>
            </w:tcBorders>
            <w:vAlign w:val="center"/>
          </w:tcPr>
          <w:p w14:paraId="7951A122" w14:textId="77777777" w:rsidR="0070579C" w:rsidRPr="00297AED" w:rsidRDefault="0070579C" w:rsidP="00062DAE">
            <w:pPr>
              <w:spacing w:after="0" w:line="240" w:lineRule="auto"/>
              <w:rPr>
                <w:rFonts w:eastAsia="Times New Roman"/>
                <w:color w:val="000000"/>
                <w:sz w:val="20"/>
                <w:szCs w:val="20"/>
              </w:rPr>
            </w:pPr>
            <w:r>
              <w:rPr>
                <w:rFonts w:eastAsia="Times New Roman"/>
                <w:color w:val="000000"/>
                <w:sz w:val="20"/>
                <w:szCs w:val="20"/>
              </w:rPr>
              <w:t># Events</w:t>
            </w:r>
          </w:p>
        </w:tc>
        <w:tc>
          <w:tcPr>
            <w:tcW w:w="1710" w:type="dxa"/>
            <w:tcBorders>
              <w:top w:val="nil"/>
              <w:left w:val="single" w:sz="4" w:space="0" w:color="auto"/>
              <w:bottom w:val="nil"/>
              <w:right w:val="single" w:sz="4" w:space="0" w:color="auto"/>
            </w:tcBorders>
            <w:shd w:val="clear" w:color="auto" w:fill="auto"/>
            <w:vAlign w:val="center"/>
            <w:hideMark/>
          </w:tcPr>
          <w:p w14:paraId="4B9F94F4"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b)2</w:t>
            </w:r>
          </w:p>
        </w:tc>
        <w:tc>
          <w:tcPr>
            <w:tcW w:w="1350" w:type="dxa"/>
            <w:tcBorders>
              <w:top w:val="nil"/>
              <w:left w:val="single" w:sz="4" w:space="0" w:color="auto"/>
              <w:bottom w:val="nil"/>
              <w:right w:val="single" w:sz="4" w:space="0" w:color="auto"/>
            </w:tcBorders>
            <w:vAlign w:val="center"/>
          </w:tcPr>
          <w:p w14:paraId="44223B5E"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sz w:val="20"/>
                <w:szCs w:val="20"/>
              </w:rPr>
              <w:t>b)2</w:t>
            </w:r>
            <w:r>
              <w:rPr>
                <w:rFonts w:eastAsia="Times New Roman"/>
                <w:color w:val="FFFFFF"/>
                <w:sz w:val="20"/>
                <w:szCs w:val="20"/>
              </w:rPr>
              <w:t>b</w:t>
            </w:r>
          </w:p>
        </w:tc>
        <w:tc>
          <w:tcPr>
            <w:tcW w:w="1890" w:type="dxa"/>
            <w:tcBorders>
              <w:top w:val="nil"/>
              <w:left w:val="single" w:sz="4" w:space="0" w:color="auto"/>
              <w:bottom w:val="nil"/>
              <w:right w:val="single" w:sz="4" w:space="0" w:color="auto"/>
            </w:tcBorders>
            <w:shd w:val="clear" w:color="000000" w:fill="00B050"/>
            <w:vAlign w:val="center"/>
            <w:hideMark/>
          </w:tcPr>
          <w:p w14:paraId="704C601C"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color w:val="FFFFFF"/>
                <w:sz w:val="20"/>
                <w:szCs w:val="20"/>
              </w:rPr>
              <w:t>100</w:t>
            </w:r>
          </w:p>
        </w:tc>
        <w:tc>
          <w:tcPr>
            <w:tcW w:w="1440" w:type="dxa"/>
            <w:gridSpan w:val="2"/>
            <w:tcBorders>
              <w:top w:val="nil"/>
              <w:left w:val="single" w:sz="4" w:space="0" w:color="auto"/>
              <w:bottom w:val="nil"/>
              <w:right w:val="single" w:sz="4" w:space="0" w:color="auto"/>
            </w:tcBorders>
            <w:shd w:val="clear" w:color="auto" w:fill="auto"/>
            <w:vAlign w:val="center"/>
            <w:hideMark/>
          </w:tcPr>
          <w:p w14:paraId="3D0FFFA5" w14:textId="77777777" w:rsidR="0070579C" w:rsidRPr="00297AED" w:rsidRDefault="0070579C" w:rsidP="00062DAE">
            <w:pPr>
              <w:spacing w:after="0" w:line="240" w:lineRule="auto"/>
              <w:jc w:val="center"/>
              <w:rPr>
                <w:rFonts w:eastAsia="Times New Roman"/>
                <w:sz w:val="20"/>
                <w:szCs w:val="20"/>
              </w:rPr>
            </w:pPr>
            <w:r w:rsidRPr="00297AED">
              <w:rPr>
                <w:rFonts w:eastAsia="Times New Roman"/>
                <w:sz w:val="20"/>
                <w:szCs w:val="20"/>
              </w:rPr>
              <w:t> </w:t>
            </w:r>
            <w:r>
              <w:rPr>
                <w:rFonts w:eastAsia="Times New Roman"/>
                <w:sz w:val="20"/>
                <w:szCs w:val="20"/>
              </w:rPr>
              <w:t xml:space="preserve"> HS</w:t>
            </w:r>
          </w:p>
        </w:tc>
      </w:tr>
      <w:tr w:rsidR="0070579C" w:rsidRPr="00297AED" w14:paraId="20458384" w14:textId="77777777" w:rsidTr="00062DAE">
        <w:trPr>
          <w:gridAfter w:val="1"/>
          <w:wAfter w:w="8" w:type="dxa"/>
          <w:trHeight w:val="593"/>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09E35175"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color w:val="000000"/>
                <w:sz w:val="20"/>
                <w:szCs w:val="20"/>
              </w:rPr>
              <w:t>c) recognition from representatives of major global initiatives of the value of GGP and its learnings, as measured by satisfaction reported after the global community of practice events</w:t>
            </w:r>
          </w:p>
        </w:tc>
        <w:tc>
          <w:tcPr>
            <w:tcW w:w="1530" w:type="dxa"/>
            <w:vMerge/>
            <w:tcBorders>
              <w:left w:val="single" w:sz="4" w:space="0" w:color="auto"/>
              <w:bottom w:val="single" w:sz="4" w:space="0" w:color="auto"/>
              <w:right w:val="single" w:sz="4" w:space="0" w:color="auto"/>
            </w:tcBorders>
            <w:shd w:val="clear" w:color="auto" w:fill="auto"/>
            <w:vAlign w:val="center"/>
            <w:hideMark/>
          </w:tcPr>
          <w:p w14:paraId="70B8AEAC" w14:textId="77777777" w:rsidR="0070579C" w:rsidRPr="00297AED" w:rsidRDefault="0070579C" w:rsidP="00062DAE">
            <w:pPr>
              <w:spacing w:after="0" w:line="240" w:lineRule="auto"/>
              <w:jc w:val="both"/>
              <w:rPr>
                <w:rFonts w:eastAsia="Times New Roman"/>
                <w:color w:val="000000"/>
                <w:sz w:val="20"/>
                <w:szCs w:val="20"/>
              </w:rPr>
            </w:pPr>
          </w:p>
        </w:tc>
        <w:tc>
          <w:tcPr>
            <w:tcW w:w="1530" w:type="dxa"/>
            <w:tcBorders>
              <w:top w:val="nil"/>
              <w:left w:val="single" w:sz="4" w:space="0" w:color="auto"/>
              <w:bottom w:val="single" w:sz="4" w:space="0" w:color="auto"/>
              <w:right w:val="single" w:sz="4" w:space="0" w:color="auto"/>
            </w:tcBorders>
          </w:tcPr>
          <w:p w14:paraId="7811ED06" w14:textId="77777777" w:rsidR="0070579C" w:rsidRPr="00297AED" w:rsidRDefault="0070579C" w:rsidP="00062DAE">
            <w:pPr>
              <w:spacing w:after="0" w:line="240" w:lineRule="auto"/>
              <w:rPr>
                <w:rFonts w:eastAsia="Times New Roman"/>
                <w:color w:val="000000"/>
                <w:sz w:val="20"/>
                <w:szCs w:val="20"/>
              </w:rPr>
            </w:pPr>
            <w:r>
              <w:rPr>
                <w:rFonts w:eastAsia="Times New Roman"/>
                <w:color w:val="000000"/>
                <w:sz w:val="20"/>
                <w:szCs w:val="20"/>
              </w:rPr>
              <w:t>% Satisfaction</w:t>
            </w:r>
          </w:p>
        </w:tc>
        <w:tc>
          <w:tcPr>
            <w:tcW w:w="1710" w:type="dxa"/>
            <w:tcBorders>
              <w:top w:val="nil"/>
              <w:left w:val="single" w:sz="4" w:space="0" w:color="auto"/>
              <w:bottom w:val="single" w:sz="4" w:space="0" w:color="auto"/>
              <w:right w:val="single" w:sz="4" w:space="0" w:color="auto"/>
            </w:tcBorders>
            <w:shd w:val="clear" w:color="auto" w:fill="auto"/>
            <w:hideMark/>
          </w:tcPr>
          <w:p w14:paraId="62BEF8C9"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c) 60%</w:t>
            </w:r>
          </w:p>
        </w:tc>
        <w:tc>
          <w:tcPr>
            <w:tcW w:w="1350" w:type="dxa"/>
            <w:tcBorders>
              <w:top w:val="nil"/>
              <w:left w:val="single" w:sz="4" w:space="0" w:color="auto"/>
              <w:bottom w:val="single" w:sz="4" w:space="0" w:color="auto"/>
              <w:right w:val="single" w:sz="4" w:space="0" w:color="auto"/>
            </w:tcBorders>
          </w:tcPr>
          <w:p w14:paraId="535B2FBA" w14:textId="77777777" w:rsidR="0070579C" w:rsidRPr="000204C6" w:rsidRDefault="0070579C" w:rsidP="00062DAE">
            <w:pPr>
              <w:spacing w:after="0" w:line="240" w:lineRule="auto"/>
              <w:jc w:val="center"/>
              <w:rPr>
                <w:rFonts w:eastAsia="Times New Roman"/>
                <w:sz w:val="20"/>
                <w:szCs w:val="20"/>
              </w:rPr>
            </w:pPr>
            <w:r>
              <w:rPr>
                <w:rFonts w:eastAsia="Times New Roman"/>
                <w:sz w:val="20"/>
                <w:szCs w:val="20"/>
              </w:rPr>
              <w:t>c)74%</w:t>
            </w:r>
          </w:p>
        </w:tc>
        <w:tc>
          <w:tcPr>
            <w:tcW w:w="1890" w:type="dxa"/>
            <w:tcBorders>
              <w:top w:val="nil"/>
              <w:left w:val="single" w:sz="4" w:space="0" w:color="auto"/>
              <w:bottom w:val="single" w:sz="4" w:space="0" w:color="auto"/>
              <w:right w:val="single" w:sz="4" w:space="0" w:color="auto"/>
            </w:tcBorders>
            <w:shd w:val="clear" w:color="000000" w:fill="00B050"/>
            <w:hideMark/>
          </w:tcPr>
          <w:p w14:paraId="6C42E44F"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color w:val="FFFFFF"/>
                <w:sz w:val="20"/>
                <w:szCs w:val="20"/>
              </w:rPr>
              <w:t>&gt;100</w:t>
            </w:r>
          </w:p>
        </w:tc>
        <w:tc>
          <w:tcPr>
            <w:tcW w:w="1440" w:type="dxa"/>
            <w:gridSpan w:val="2"/>
            <w:tcBorders>
              <w:top w:val="nil"/>
              <w:left w:val="single" w:sz="4" w:space="0" w:color="auto"/>
              <w:bottom w:val="single" w:sz="4" w:space="0" w:color="auto"/>
              <w:right w:val="single" w:sz="4" w:space="0" w:color="auto"/>
            </w:tcBorders>
            <w:shd w:val="clear" w:color="auto" w:fill="auto"/>
            <w:hideMark/>
          </w:tcPr>
          <w:p w14:paraId="5D3DA08F"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HS</w:t>
            </w:r>
          </w:p>
        </w:tc>
      </w:tr>
      <w:tr w:rsidR="0070579C" w:rsidRPr="00297AED" w14:paraId="0E0DEBF1" w14:textId="77777777" w:rsidTr="00062DAE">
        <w:trPr>
          <w:gridAfter w:val="1"/>
          <w:wAfter w:w="8" w:type="dxa"/>
          <w:trHeight w:val="1817"/>
        </w:trPr>
        <w:tc>
          <w:tcPr>
            <w:tcW w:w="3865" w:type="dxa"/>
            <w:tcBorders>
              <w:top w:val="single" w:sz="4" w:space="0" w:color="auto"/>
            </w:tcBorders>
            <w:shd w:val="clear" w:color="auto" w:fill="auto"/>
            <w:vAlign w:val="center"/>
            <w:hideMark/>
          </w:tcPr>
          <w:p w14:paraId="25D31235"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Objective Indicator 3 Learning on gender mainstreaming through the GGP Program as it relates to commodity supply chain actions (as measured by # of project documents, publications, training materials and presentations that include a discussion of gender issues).</w:t>
            </w:r>
          </w:p>
        </w:tc>
        <w:tc>
          <w:tcPr>
            <w:tcW w:w="1530" w:type="dxa"/>
            <w:tcBorders>
              <w:top w:val="single" w:sz="4" w:space="0" w:color="auto"/>
            </w:tcBorders>
            <w:shd w:val="clear" w:color="auto" w:fill="auto"/>
            <w:noWrap/>
            <w:vAlign w:val="center"/>
            <w:hideMark/>
          </w:tcPr>
          <w:p w14:paraId="2D6E3806" w14:textId="77777777" w:rsidR="0070579C" w:rsidRPr="00297AED" w:rsidRDefault="0070579C" w:rsidP="00062DAE">
            <w:pPr>
              <w:spacing w:after="0" w:line="240" w:lineRule="auto"/>
              <w:jc w:val="center"/>
              <w:rPr>
                <w:rFonts w:eastAsia="Times New Roman"/>
                <w:color w:val="000000"/>
                <w:sz w:val="20"/>
                <w:szCs w:val="20"/>
              </w:rPr>
            </w:pPr>
          </w:p>
        </w:tc>
        <w:tc>
          <w:tcPr>
            <w:tcW w:w="1530" w:type="dxa"/>
            <w:tcBorders>
              <w:top w:val="single" w:sz="4" w:space="0" w:color="auto"/>
            </w:tcBorders>
            <w:vAlign w:val="center"/>
          </w:tcPr>
          <w:p w14:paraId="7867FD91"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#pieces on gender</w:t>
            </w:r>
          </w:p>
        </w:tc>
        <w:tc>
          <w:tcPr>
            <w:tcW w:w="1710" w:type="dxa"/>
            <w:tcBorders>
              <w:top w:val="single" w:sz="4" w:space="0" w:color="auto"/>
            </w:tcBorders>
            <w:shd w:val="clear" w:color="auto" w:fill="auto"/>
            <w:vAlign w:val="center"/>
            <w:hideMark/>
          </w:tcPr>
          <w:p w14:paraId="48779724"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6</w:t>
            </w:r>
          </w:p>
        </w:tc>
        <w:tc>
          <w:tcPr>
            <w:tcW w:w="1350" w:type="dxa"/>
            <w:tcBorders>
              <w:top w:val="single" w:sz="4" w:space="0" w:color="auto"/>
            </w:tcBorders>
            <w:vAlign w:val="center"/>
          </w:tcPr>
          <w:p w14:paraId="2EEE1679" w14:textId="51F95312" w:rsidR="0070579C" w:rsidRPr="00297AED" w:rsidRDefault="0070579C" w:rsidP="00062DAE">
            <w:pPr>
              <w:spacing w:after="0" w:line="240" w:lineRule="auto"/>
              <w:jc w:val="center"/>
              <w:rPr>
                <w:rFonts w:eastAsia="Times New Roman"/>
                <w:color w:val="FFFFFF"/>
                <w:sz w:val="20"/>
                <w:szCs w:val="20"/>
              </w:rPr>
            </w:pPr>
            <w:r w:rsidRPr="000204C6">
              <w:rPr>
                <w:rFonts w:eastAsia="Times New Roman"/>
                <w:sz w:val="20"/>
                <w:szCs w:val="20"/>
              </w:rPr>
              <w:t>1</w:t>
            </w:r>
            <w:r w:rsidR="008F40BB">
              <w:rPr>
                <w:rFonts w:eastAsia="Times New Roman"/>
                <w:sz w:val="20"/>
                <w:szCs w:val="20"/>
              </w:rPr>
              <w:t>2</w:t>
            </w:r>
          </w:p>
        </w:tc>
        <w:tc>
          <w:tcPr>
            <w:tcW w:w="1890" w:type="dxa"/>
            <w:tcBorders>
              <w:top w:val="single" w:sz="4" w:space="0" w:color="auto"/>
            </w:tcBorders>
            <w:shd w:val="clear" w:color="000000" w:fill="00B050"/>
            <w:vAlign w:val="center"/>
            <w:hideMark/>
          </w:tcPr>
          <w:p w14:paraId="7EE0E3FD"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color w:val="FFFFFF"/>
                <w:sz w:val="20"/>
                <w:szCs w:val="20"/>
              </w:rPr>
              <w:t>&gt;100</w:t>
            </w:r>
          </w:p>
        </w:tc>
        <w:tc>
          <w:tcPr>
            <w:tcW w:w="1440" w:type="dxa"/>
            <w:gridSpan w:val="2"/>
            <w:tcBorders>
              <w:top w:val="single" w:sz="4" w:space="0" w:color="auto"/>
            </w:tcBorders>
            <w:shd w:val="clear" w:color="auto" w:fill="auto"/>
            <w:noWrap/>
            <w:vAlign w:val="center"/>
            <w:hideMark/>
          </w:tcPr>
          <w:p w14:paraId="14975E6B"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HS</w:t>
            </w:r>
          </w:p>
        </w:tc>
      </w:tr>
      <w:tr w:rsidR="0070579C" w:rsidRPr="00297AED" w14:paraId="61B386B5" w14:textId="77777777" w:rsidTr="00062DAE">
        <w:trPr>
          <w:gridAfter w:val="1"/>
          <w:wAfter w:w="8" w:type="dxa"/>
          <w:trHeight w:val="520"/>
        </w:trPr>
        <w:tc>
          <w:tcPr>
            <w:tcW w:w="11875" w:type="dxa"/>
            <w:gridSpan w:val="6"/>
            <w:shd w:val="clear" w:color="auto" w:fill="FFFFFF" w:themeFill="background1"/>
            <w:vAlign w:val="center"/>
            <w:hideMark/>
          </w:tcPr>
          <w:p w14:paraId="47213173"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lastRenderedPageBreak/>
              <w:t> The progress of the objective can be described as:</w:t>
            </w:r>
          </w:p>
          <w:p w14:paraId="5F72EBC2"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t> </w:t>
            </w:r>
          </w:p>
          <w:p w14:paraId="56CB494B" w14:textId="77777777" w:rsidR="0070579C" w:rsidRPr="00B420BA" w:rsidRDefault="0070579C" w:rsidP="00062DAE">
            <w:pPr>
              <w:spacing w:after="0" w:line="240" w:lineRule="auto"/>
              <w:jc w:val="right"/>
              <w:rPr>
                <w:rFonts w:eastAsia="Times New Roman"/>
                <w:sz w:val="20"/>
                <w:szCs w:val="20"/>
              </w:rPr>
            </w:pPr>
            <w:r>
              <w:rPr>
                <w:rFonts w:eastAsia="Times New Roman"/>
                <w:sz w:val="20"/>
                <w:szCs w:val="20"/>
              </w:rPr>
              <w:t>Satisfactory</w:t>
            </w:r>
            <w:r w:rsidRPr="00B420BA">
              <w:rPr>
                <w:rFonts w:eastAsia="Times New Roman"/>
                <w:sz w:val="20"/>
                <w:szCs w:val="20"/>
              </w:rPr>
              <w:t> </w:t>
            </w:r>
          </w:p>
          <w:p w14:paraId="4FC79797" w14:textId="77777777" w:rsidR="0070579C" w:rsidRPr="00B420BA" w:rsidRDefault="0070579C" w:rsidP="00062DAE">
            <w:pPr>
              <w:spacing w:after="0" w:line="240" w:lineRule="auto"/>
              <w:jc w:val="right"/>
              <w:rPr>
                <w:rFonts w:eastAsia="Times New Roman"/>
                <w:sz w:val="20"/>
                <w:szCs w:val="20"/>
              </w:rPr>
            </w:pPr>
          </w:p>
        </w:tc>
        <w:tc>
          <w:tcPr>
            <w:tcW w:w="1440" w:type="dxa"/>
            <w:gridSpan w:val="2"/>
            <w:shd w:val="clear" w:color="auto" w:fill="auto"/>
            <w:noWrap/>
            <w:vAlign w:val="center"/>
            <w:hideMark/>
          </w:tcPr>
          <w:p w14:paraId="370F516D" w14:textId="77777777" w:rsidR="0070579C" w:rsidRPr="00297AED" w:rsidRDefault="0070579C" w:rsidP="00062DAE">
            <w:pPr>
              <w:spacing w:after="0" w:line="240" w:lineRule="auto"/>
              <w:jc w:val="center"/>
              <w:rPr>
                <w:rFonts w:eastAsia="Times New Roman"/>
                <w:sz w:val="20"/>
                <w:szCs w:val="20"/>
              </w:rPr>
            </w:pPr>
            <w:r w:rsidRPr="00297AED">
              <w:rPr>
                <w:rFonts w:eastAsia="Times New Roman"/>
                <w:sz w:val="20"/>
                <w:szCs w:val="20"/>
              </w:rPr>
              <w:t> </w:t>
            </w:r>
            <w:r>
              <w:rPr>
                <w:rFonts w:eastAsia="Times New Roman"/>
                <w:sz w:val="20"/>
                <w:szCs w:val="20"/>
              </w:rPr>
              <w:t>Average: 95% achieved = S</w:t>
            </w:r>
          </w:p>
        </w:tc>
      </w:tr>
      <w:tr w:rsidR="0070579C" w:rsidRPr="00297AED" w14:paraId="22251C85" w14:textId="77777777" w:rsidTr="00062DAE">
        <w:trPr>
          <w:gridAfter w:val="1"/>
          <w:wAfter w:w="8" w:type="dxa"/>
          <w:trHeight w:val="818"/>
        </w:trPr>
        <w:tc>
          <w:tcPr>
            <w:tcW w:w="13315" w:type="dxa"/>
            <w:gridSpan w:val="8"/>
            <w:shd w:val="clear" w:color="auto" w:fill="auto"/>
            <w:vAlign w:val="center"/>
            <w:hideMark/>
          </w:tcPr>
          <w:p w14:paraId="3F43ABDD" w14:textId="77777777" w:rsidR="0070579C" w:rsidRPr="00390213" w:rsidRDefault="0070579C" w:rsidP="00062DAE">
            <w:pPr>
              <w:spacing w:after="0" w:line="240" w:lineRule="auto"/>
              <w:rPr>
                <w:rFonts w:eastAsia="Times New Roman"/>
              </w:rPr>
            </w:pPr>
            <w:bookmarkStart w:id="146" w:name="_Hlk88084551"/>
            <w:r w:rsidRPr="00390213">
              <w:rPr>
                <w:rFonts w:eastAsia="Times New Roman"/>
                <w:color w:val="000000"/>
              </w:rPr>
              <w:t xml:space="preserve">Outcome Indicator 1.1 </w:t>
            </w:r>
            <w:r w:rsidRPr="00390213">
              <w:rPr>
                <w:rFonts w:eastAsia="Times New Roman"/>
                <w:b/>
                <w:bCs/>
                <w:color w:val="000000"/>
              </w:rPr>
              <w:t>Coordinated management of the Commodities IAP program leading to logical technical sequencing of activities, Program-level monitoring and evaluation and overall resilience</w:t>
            </w:r>
            <w:r>
              <w:rPr>
                <w:rFonts w:eastAsia="Times New Roman"/>
                <w:b/>
                <w:bCs/>
                <w:color w:val="000000"/>
              </w:rPr>
              <w:t xml:space="preserve"> </w:t>
            </w:r>
            <w:r w:rsidRPr="00390213">
              <w:rPr>
                <w:rFonts w:eastAsia="Times New Roman"/>
              </w:rPr>
              <w:t> </w:t>
            </w:r>
          </w:p>
        </w:tc>
      </w:tr>
      <w:tr w:rsidR="0070579C" w:rsidRPr="00297AED" w14:paraId="7A7400EF" w14:textId="77777777" w:rsidTr="00062DAE">
        <w:trPr>
          <w:gridAfter w:val="1"/>
          <w:wAfter w:w="8" w:type="dxa"/>
          <w:trHeight w:val="270"/>
        </w:trPr>
        <w:tc>
          <w:tcPr>
            <w:tcW w:w="3865" w:type="dxa"/>
            <w:shd w:val="clear" w:color="auto" w:fill="4472C4" w:themeFill="accent1"/>
            <w:vAlign w:val="center"/>
          </w:tcPr>
          <w:p w14:paraId="04C3EEFD"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Indicator</w:t>
            </w:r>
          </w:p>
        </w:tc>
        <w:tc>
          <w:tcPr>
            <w:tcW w:w="1530" w:type="dxa"/>
            <w:shd w:val="clear" w:color="auto" w:fill="4472C4" w:themeFill="accent1"/>
            <w:noWrap/>
            <w:vAlign w:val="center"/>
          </w:tcPr>
          <w:p w14:paraId="6BB41D20"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Baseline</w:t>
            </w:r>
          </w:p>
        </w:tc>
        <w:tc>
          <w:tcPr>
            <w:tcW w:w="1530" w:type="dxa"/>
            <w:shd w:val="clear" w:color="auto" w:fill="4472C4" w:themeFill="accent1"/>
            <w:vAlign w:val="center"/>
          </w:tcPr>
          <w:p w14:paraId="77CE3DD2" w14:textId="77777777" w:rsidR="0070579C" w:rsidRPr="00297AED" w:rsidRDefault="0070579C" w:rsidP="00062DAE">
            <w:pPr>
              <w:spacing w:after="0" w:line="240" w:lineRule="auto"/>
              <w:rPr>
                <w:rFonts w:eastAsia="Times New Roman"/>
                <w:color w:val="000000"/>
                <w:sz w:val="20"/>
                <w:szCs w:val="20"/>
              </w:rPr>
            </w:pPr>
            <w:r>
              <w:rPr>
                <w:rFonts w:eastAsia="Times New Roman"/>
                <w:b/>
                <w:bCs/>
                <w:color w:val="FFFFFF"/>
                <w:sz w:val="20"/>
                <w:szCs w:val="20"/>
              </w:rPr>
              <w:t>Unit</w:t>
            </w:r>
          </w:p>
        </w:tc>
        <w:tc>
          <w:tcPr>
            <w:tcW w:w="1710" w:type="dxa"/>
            <w:shd w:val="clear" w:color="auto" w:fill="4472C4" w:themeFill="accent1"/>
            <w:noWrap/>
            <w:vAlign w:val="center"/>
          </w:tcPr>
          <w:p w14:paraId="3E26A264"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End of the Project Target</w:t>
            </w:r>
          </w:p>
        </w:tc>
        <w:tc>
          <w:tcPr>
            <w:tcW w:w="1350" w:type="dxa"/>
            <w:shd w:val="clear" w:color="auto" w:fill="4472C4" w:themeFill="accent1"/>
            <w:vAlign w:val="center"/>
          </w:tcPr>
          <w:p w14:paraId="6B30AEF7"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b/>
                <w:bCs/>
                <w:color w:val="FFFFFF"/>
                <w:sz w:val="20"/>
                <w:szCs w:val="20"/>
              </w:rPr>
              <w:t>Achieved</w:t>
            </w:r>
          </w:p>
        </w:tc>
        <w:tc>
          <w:tcPr>
            <w:tcW w:w="1890" w:type="dxa"/>
            <w:shd w:val="clear" w:color="auto" w:fill="4472C4" w:themeFill="accent1"/>
            <w:vAlign w:val="center"/>
          </w:tcPr>
          <w:p w14:paraId="45B5355D"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b/>
                <w:bCs/>
                <w:color w:val="FFFFFF"/>
                <w:sz w:val="20"/>
                <w:szCs w:val="20"/>
              </w:rPr>
              <w:t>Percent Achieved at TE</w:t>
            </w:r>
          </w:p>
        </w:tc>
        <w:tc>
          <w:tcPr>
            <w:tcW w:w="1440" w:type="dxa"/>
            <w:gridSpan w:val="2"/>
            <w:shd w:val="clear" w:color="auto" w:fill="4472C4" w:themeFill="accent1"/>
            <w:noWrap/>
            <w:vAlign w:val="center"/>
          </w:tcPr>
          <w:p w14:paraId="53CCFF89" w14:textId="77777777" w:rsidR="0070579C" w:rsidRDefault="0070579C" w:rsidP="00062DAE">
            <w:pPr>
              <w:spacing w:after="0" w:line="240" w:lineRule="auto"/>
              <w:rPr>
                <w:rFonts w:eastAsia="Times New Roman"/>
                <w:sz w:val="20"/>
                <w:szCs w:val="20"/>
              </w:rPr>
            </w:pPr>
            <w:r>
              <w:rPr>
                <w:rFonts w:eastAsia="Times New Roman"/>
                <w:b/>
                <w:bCs/>
                <w:color w:val="FFFFFF"/>
                <w:sz w:val="20"/>
                <w:szCs w:val="20"/>
              </w:rPr>
              <w:t>Ratings</w:t>
            </w:r>
          </w:p>
        </w:tc>
      </w:tr>
      <w:tr w:rsidR="0070579C" w:rsidRPr="00297AED" w14:paraId="0738A6BD" w14:textId="77777777" w:rsidTr="00062DAE">
        <w:trPr>
          <w:gridAfter w:val="1"/>
          <w:wAfter w:w="8" w:type="dxa"/>
          <w:trHeight w:val="270"/>
        </w:trPr>
        <w:tc>
          <w:tcPr>
            <w:tcW w:w="3865" w:type="dxa"/>
            <w:shd w:val="clear" w:color="auto" w:fill="auto"/>
            <w:vAlign w:val="center"/>
            <w:hideMark/>
          </w:tcPr>
          <w:p w14:paraId="4F54CCAE" w14:textId="77777777" w:rsidR="0070579C" w:rsidRPr="00390213" w:rsidRDefault="0070579C" w:rsidP="00D80344">
            <w:pPr>
              <w:pStyle w:val="ListParagraph"/>
              <w:widowControl/>
              <w:numPr>
                <w:ilvl w:val="1"/>
                <w:numId w:val="39"/>
              </w:numPr>
              <w:autoSpaceDE/>
              <w:autoSpaceDN/>
              <w:spacing w:before="0"/>
              <w:contextualSpacing/>
              <w:jc w:val="center"/>
              <w:rPr>
                <w:rFonts w:eastAsia="Times New Roman"/>
                <w:color w:val="000000"/>
                <w:sz w:val="20"/>
                <w:szCs w:val="20"/>
              </w:rPr>
            </w:pPr>
            <w:r w:rsidRPr="00390213">
              <w:rPr>
                <w:rFonts w:eastAsia="Times New Roman"/>
                <w:color w:val="000000"/>
                <w:sz w:val="20"/>
                <w:szCs w:val="20"/>
              </w:rPr>
              <w:t>Level of logical technical sequencing of key interventions and milestones across individual child projects, as measured by the number of monthly GGP Secretariat calls and annual national level intervention plans to achieve expected Program goals and their effective implementation.</w:t>
            </w:r>
          </w:p>
        </w:tc>
        <w:tc>
          <w:tcPr>
            <w:tcW w:w="1530" w:type="dxa"/>
            <w:shd w:val="clear" w:color="auto" w:fill="auto"/>
            <w:noWrap/>
            <w:vAlign w:val="center"/>
            <w:hideMark/>
          </w:tcPr>
          <w:p w14:paraId="033D12CB"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Without the Adaptive Management &amp; Learning project, the workplans would not have connectivity between each other.</w:t>
            </w:r>
          </w:p>
        </w:tc>
        <w:tc>
          <w:tcPr>
            <w:tcW w:w="1530" w:type="dxa"/>
            <w:vAlign w:val="center"/>
          </w:tcPr>
          <w:p w14:paraId="5906B895"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#calls and #plans</w:t>
            </w:r>
          </w:p>
        </w:tc>
        <w:tc>
          <w:tcPr>
            <w:tcW w:w="1710" w:type="dxa"/>
            <w:shd w:val="clear" w:color="auto" w:fill="auto"/>
            <w:noWrap/>
            <w:vAlign w:val="center"/>
            <w:hideMark/>
          </w:tcPr>
          <w:p w14:paraId="71E406DE"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40 calls, 12 National plans, 4 global plans</w:t>
            </w:r>
          </w:p>
        </w:tc>
        <w:tc>
          <w:tcPr>
            <w:tcW w:w="1350" w:type="dxa"/>
            <w:vAlign w:val="center"/>
          </w:tcPr>
          <w:p w14:paraId="53E86237" w14:textId="7179CA80" w:rsidR="0070579C" w:rsidRPr="00297AED" w:rsidRDefault="0070579C" w:rsidP="00062DAE">
            <w:pPr>
              <w:spacing w:after="0" w:line="240" w:lineRule="auto"/>
              <w:jc w:val="center"/>
              <w:rPr>
                <w:rFonts w:eastAsia="Times New Roman"/>
                <w:color w:val="FFFFFF"/>
                <w:sz w:val="20"/>
                <w:szCs w:val="20"/>
              </w:rPr>
            </w:pPr>
            <w:r w:rsidRPr="00390213">
              <w:rPr>
                <w:rFonts w:eastAsia="Times New Roman"/>
                <w:sz w:val="20"/>
                <w:szCs w:val="20"/>
              </w:rPr>
              <w:t>4</w:t>
            </w:r>
            <w:r w:rsidR="002D61D6">
              <w:rPr>
                <w:rFonts w:eastAsia="Times New Roman"/>
                <w:sz w:val="20"/>
                <w:szCs w:val="20"/>
              </w:rPr>
              <w:t>9</w:t>
            </w:r>
            <w:r>
              <w:rPr>
                <w:rFonts w:eastAsia="Times New Roman"/>
                <w:sz w:val="20"/>
                <w:szCs w:val="20"/>
              </w:rPr>
              <w:t xml:space="preserve"> calls, 16 plans</w:t>
            </w:r>
          </w:p>
        </w:tc>
        <w:tc>
          <w:tcPr>
            <w:tcW w:w="1890" w:type="dxa"/>
            <w:shd w:val="clear" w:color="000000" w:fill="00B050"/>
            <w:vAlign w:val="center"/>
            <w:hideMark/>
          </w:tcPr>
          <w:p w14:paraId="150CC3A8"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color w:val="FFFFFF"/>
                <w:sz w:val="20"/>
                <w:szCs w:val="20"/>
              </w:rPr>
              <w:t>100</w:t>
            </w:r>
          </w:p>
        </w:tc>
        <w:tc>
          <w:tcPr>
            <w:tcW w:w="1440" w:type="dxa"/>
            <w:gridSpan w:val="2"/>
            <w:shd w:val="clear" w:color="auto" w:fill="auto"/>
            <w:noWrap/>
            <w:vAlign w:val="center"/>
            <w:hideMark/>
          </w:tcPr>
          <w:p w14:paraId="25BAB82F"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HS</w:t>
            </w:r>
          </w:p>
        </w:tc>
      </w:tr>
      <w:tr w:rsidR="0070579C" w:rsidRPr="00297AED" w14:paraId="300F4F6F" w14:textId="77777777" w:rsidTr="00062DAE">
        <w:trPr>
          <w:gridAfter w:val="1"/>
          <w:wAfter w:w="8" w:type="dxa"/>
          <w:trHeight w:val="255"/>
        </w:trPr>
        <w:tc>
          <w:tcPr>
            <w:tcW w:w="3865" w:type="dxa"/>
            <w:shd w:val="clear" w:color="auto" w:fill="auto"/>
            <w:vAlign w:val="center"/>
            <w:hideMark/>
          </w:tcPr>
          <w:p w14:paraId="236154F6" w14:textId="77777777" w:rsidR="0070579C" w:rsidRPr="00390213" w:rsidRDefault="0070579C" w:rsidP="00D80344">
            <w:pPr>
              <w:pStyle w:val="ListParagraph"/>
              <w:widowControl/>
              <w:numPr>
                <w:ilvl w:val="1"/>
                <w:numId w:val="39"/>
              </w:numPr>
              <w:autoSpaceDE/>
              <w:autoSpaceDN/>
              <w:spacing w:before="0"/>
              <w:contextualSpacing/>
              <w:jc w:val="center"/>
              <w:rPr>
                <w:rFonts w:eastAsia="Times New Roman"/>
                <w:color w:val="000000"/>
                <w:sz w:val="20"/>
                <w:szCs w:val="20"/>
              </w:rPr>
            </w:pPr>
            <w:r w:rsidRPr="00390213">
              <w:rPr>
                <w:rFonts w:eastAsia="Times New Roman"/>
                <w:color w:val="000000"/>
                <w:sz w:val="20"/>
                <w:szCs w:val="20"/>
              </w:rPr>
              <w:t>Effectiveness of adaptive management within the GGP as measured by the number of successful adaptive management practices that address bottlenecks in implementation or in attainment of Program goals.</w:t>
            </w:r>
          </w:p>
        </w:tc>
        <w:tc>
          <w:tcPr>
            <w:tcW w:w="1530" w:type="dxa"/>
            <w:shd w:val="clear" w:color="auto" w:fill="auto"/>
            <w:noWrap/>
            <w:vAlign w:val="center"/>
            <w:hideMark/>
          </w:tcPr>
          <w:p w14:paraId="680532F6"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N/A because GGP not yet under implementation</w:t>
            </w:r>
          </w:p>
        </w:tc>
        <w:tc>
          <w:tcPr>
            <w:tcW w:w="1530" w:type="dxa"/>
            <w:vAlign w:val="center"/>
          </w:tcPr>
          <w:p w14:paraId="2A810027"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 practices</w:t>
            </w:r>
          </w:p>
        </w:tc>
        <w:tc>
          <w:tcPr>
            <w:tcW w:w="1710" w:type="dxa"/>
            <w:shd w:val="clear" w:color="auto" w:fill="auto"/>
            <w:noWrap/>
            <w:vAlign w:val="center"/>
            <w:hideMark/>
          </w:tcPr>
          <w:p w14:paraId="31EFAA84"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At least 2 adaptive management practices implemented per year</w:t>
            </w:r>
          </w:p>
        </w:tc>
        <w:tc>
          <w:tcPr>
            <w:tcW w:w="1350" w:type="dxa"/>
            <w:vAlign w:val="center"/>
          </w:tcPr>
          <w:p w14:paraId="526D5555" w14:textId="19227277" w:rsidR="0070579C" w:rsidRPr="00297AED" w:rsidRDefault="00685A0C" w:rsidP="00062DAE">
            <w:pPr>
              <w:spacing w:after="0" w:line="240" w:lineRule="auto"/>
              <w:jc w:val="center"/>
              <w:rPr>
                <w:rFonts w:eastAsia="Times New Roman"/>
                <w:color w:val="FFFFFF"/>
                <w:sz w:val="20"/>
                <w:szCs w:val="20"/>
              </w:rPr>
            </w:pPr>
            <w:r>
              <w:rPr>
                <w:rFonts w:eastAsia="Times New Roman"/>
                <w:sz w:val="20"/>
                <w:szCs w:val="20"/>
              </w:rPr>
              <w:t>59</w:t>
            </w:r>
            <w:r w:rsidR="0070579C" w:rsidRPr="00390213">
              <w:rPr>
                <w:rFonts w:eastAsia="Times New Roman"/>
                <w:sz w:val="20"/>
                <w:szCs w:val="20"/>
              </w:rPr>
              <w:t>4</w:t>
            </w:r>
          </w:p>
        </w:tc>
        <w:tc>
          <w:tcPr>
            <w:tcW w:w="1890" w:type="dxa"/>
            <w:shd w:val="clear" w:color="000000" w:fill="00B050"/>
            <w:vAlign w:val="center"/>
            <w:hideMark/>
          </w:tcPr>
          <w:p w14:paraId="476F6D61"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color w:val="FFFFFF"/>
                <w:sz w:val="20"/>
                <w:szCs w:val="20"/>
              </w:rPr>
              <w:t>&gt;100</w:t>
            </w:r>
          </w:p>
        </w:tc>
        <w:tc>
          <w:tcPr>
            <w:tcW w:w="1440" w:type="dxa"/>
            <w:gridSpan w:val="2"/>
            <w:shd w:val="clear" w:color="auto" w:fill="auto"/>
            <w:noWrap/>
            <w:vAlign w:val="center"/>
            <w:hideMark/>
          </w:tcPr>
          <w:p w14:paraId="18C3F15E"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HS</w:t>
            </w:r>
          </w:p>
        </w:tc>
      </w:tr>
      <w:tr w:rsidR="0070579C" w:rsidRPr="00297AED" w14:paraId="7993902F" w14:textId="77777777" w:rsidTr="00062DAE">
        <w:trPr>
          <w:gridAfter w:val="1"/>
          <w:wAfter w:w="8" w:type="dxa"/>
          <w:trHeight w:val="160"/>
        </w:trPr>
        <w:tc>
          <w:tcPr>
            <w:tcW w:w="11875" w:type="dxa"/>
            <w:gridSpan w:val="6"/>
            <w:shd w:val="clear" w:color="auto" w:fill="auto"/>
            <w:vAlign w:val="center"/>
          </w:tcPr>
          <w:p w14:paraId="56671636"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t> The progress of the objective can be described as:</w:t>
            </w:r>
          </w:p>
          <w:p w14:paraId="4BCBFAFF"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t> </w:t>
            </w:r>
          </w:p>
          <w:p w14:paraId="6B68D942" w14:textId="77777777" w:rsidR="0070579C" w:rsidRPr="00297AED" w:rsidRDefault="0070579C" w:rsidP="00062DAE">
            <w:pPr>
              <w:spacing w:after="0" w:line="240" w:lineRule="auto"/>
              <w:jc w:val="right"/>
              <w:rPr>
                <w:rFonts w:eastAsia="Times New Roman"/>
                <w:color w:val="FFFFFF"/>
                <w:sz w:val="20"/>
                <w:szCs w:val="20"/>
              </w:rPr>
            </w:pPr>
            <w:r>
              <w:rPr>
                <w:rFonts w:eastAsia="Times New Roman"/>
                <w:sz w:val="20"/>
                <w:szCs w:val="20"/>
              </w:rPr>
              <w:t>Highly Satisfactory</w:t>
            </w:r>
            <w:r w:rsidRPr="00B420BA">
              <w:rPr>
                <w:rFonts w:eastAsia="Times New Roman"/>
                <w:sz w:val="20"/>
                <w:szCs w:val="20"/>
              </w:rPr>
              <w:t> </w:t>
            </w:r>
          </w:p>
        </w:tc>
        <w:tc>
          <w:tcPr>
            <w:tcW w:w="1440" w:type="dxa"/>
            <w:gridSpan w:val="2"/>
            <w:shd w:val="clear" w:color="auto" w:fill="auto"/>
            <w:noWrap/>
            <w:vAlign w:val="center"/>
          </w:tcPr>
          <w:p w14:paraId="3063A3E7" w14:textId="77777777" w:rsidR="0070579C" w:rsidRPr="00297AED" w:rsidRDefault="0070579C" w:rsidP="00062DAE">
            <w:pPr>
              <w:spacing w:after="0" w:line="240" w:lineRule="auto"/>
              <w:rPr>
                <w:rFonts w:eastAsia="Times New Roman"/>
                <w:sz w:val="20"/>
                <w:szCs w:val="20"/>
              </w:rPr>
            </w:pPr>
            <w:r>
              <w:rPr>
                <w:rFonts w:eastAsia="Times New Roman"/>
                <w:sz w:val="20"/>
                <w:szCs w:val="20"/>
              </w:rPr>
              <w:t>100% = HS</w:t>
            </w:r>
          </w:p>
        </w:tc>
      </w:tr>
      <w:bookmarkEnd w:id="146"/>
      <w:tr w:rsidR="0070579C" w:rsidRPr="00E970C1" w14:paraId="3F5339F4" w14:textId="77777777" w:rsidTr="00062DAE">
        <w:trPr>
          <w:gridAfter w:val="1"/>
          <w:wAfter w:w="8" w:type="dxa"/>
          <w:trHeight w:val="160"/>
        </w:trPr>
        <w:tc>
          <w:tcPr>
            <w:tcW w:w="13315" w:type="dxa"/>
            <w:gridSpan w:val="8"/>
            <w:vAlign w:val="center"/>
          </w:tcPr>
          <w:p w14:paraId="2D0F4EEA" w14:textId="77777777" w:rsidR="0070579C" w:rsidRPr="00E970C1" w:rsidRDefault="0070579C" w:rsidP="00062DAE">
            <w:pPr>
              <w:spacing w:after="0" w:line="240" w:lineRule="auto"/>
              <w:rPr>
                <w:rFonts w:eastAsia="Times New Roman"/>
                <w:b/>
                <w:bCs/>
              </w:rPr>
            </w:pPr>
            <w:r w:rsidRPr="00E970C1">
              <w:rPr>
                <w:rFonts w:eastAsia="Times New Roman"/>
                <w:b/>
                <w:bCs/>
              </w:rPr>
              <w:t>Component/Outcome 2: Increased understanding of the impacts of voluntary sustainability standards (VSS) and VSS- like mechanisms to increase the effectiveness of these mechanisms for taking deforestation out of commodity supply chains</w:t>
            </w:r>
          </w:p>
        </w:tc>
      </w:tr>
      <w:tr w:rsidR="0070579C" w:rsidRPr="00297AED" w14:paraId="54528EEB" w14:textId="77777777" w:rsidTr="00062DAE">
        <w:trPr>
          <w:gridAfter w:val="1"/>
          <w:wAfter w:w="8" w:type="dxa"/>
          <w:trHeight w:val="160"/>
        </w:trPr>
        <w:tc>
          <w:tcPr>
            <w:tcW w:w="3865" w:type="dxa"/>
            <w:shd w:val="clear" w:color="auto" w:fill="2F5496" w:themeFill="accent1" w:themeFillShade="BF"/>
            <w:vAlign w:val="center"/>
            <w:hideMark/>
          </w:tcPr>
          <w:p w14:paraId="76E32266"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b/>
                <w:bCs/>
                <w:color w:val="FFFFFF"/>
                <w:sz w:val="20"/>
                <w:szCs w:val="20"/>
              </w:rPr>
              <w:t>Indicator</w:t>
            </w:r>
          </w:p>
        </w:tc>
        <w:tc>
          <w:tcPr>
            <w:tcW w:w="1530" w:type="dxa"/>
            <w:shd w:val="clear" w:color="auto" w:fill="2F5496" w:themeFill="accent1" w:themeFillShade="BF"/>
            <w:vAlign w:val="center"/>
            <w:hideMark/>
          </w:tcPr>
          <w:p w14:paraId="02AB9E51"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Baseline</w:t>
            </w:r>
          </w:p>
        </w:tc>
        <w:tc>
          <w:tcPr>
            <w:tcW w:w="1530" w:type="dxa"/>
            <w:shd w:val="clear" w:color="auto" w:fill="2F5496" w:themeFill="accent1" w:themeFillShade="BF"/>
            <w:vAlign w:val="center"/>
          </w:tcPr>
          <w:p w14:paraId="0CE53543" w14:textId="77777777" w:rsidR="0070579C" w:rsidRPr="00297AED" w:rsidRDefault="0070579C" w:rsidP="00062DAE">
            <w:pPr>
              <w:spacing w:after="0" w:line="240" w:lineRule="auto"/>
              <w:rPr>
                <w:rFonts w:eastAsia="Times New Roman"/>
                <w:color w:val="000000"/>
                <w:sz w:val="20"/>
                <w:szCs w:val="20"/>
              </w:rPr>
            </w:pPr>
            <w:r>
              <w:rPr>
                <w:rFonts w:eastAsia="Times New Roman"/>
                <w:b/>
                <w:bCs/>
                <w:color w:val="FFFFFF"/>
                <w:sz w:val="20"/>
                <w:szCs w:val="20"/>
              </w:rPr>
              <w:t>Unit</w:t>
            </w:r>
          </w:p>
        </w:tc>
        <w:tc>
          <w:tcPr>
            <w:tcW w:w="1710" w:type="dxa"/>
            <w:shd w:val="clear" w:color="auto" w:fill="2F5496" w:themeFill="accent1" w:themeFillShade="BF"/>
            <w:vAlign w:val="center"/>
            <w:hideMark/>
          </w:tcPr>
          <w:p w14:paraId="503908C8"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End of the Project Target</w:t>
            </w:r>
          </w:p>
        </w:tc>
        <w:tc>
          <w:tcPr>
            <w:tcW w:w="1350" w:type="dxa"/>
            <w:shd w:val="clear" w:color="auto" w:fill="2F5496" w:themeFill="accent1" w:themeFillShade="BF"/>
            <w:vAlign w:val="center"/>
          </w:tcPr>
          <w:p w14:paraId="3712CF64"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b/>
                <w:bCs/>
                <w:color w:val="FFFFFF"/>
                <w:sz w:val="20"/>
                <w:szCs w:val="20"/>
              </w:rPr>
              <w:t>Achieved</w:t>
            </w:r>
          </w:p>
        </w:tc>
        <w:tc>
          <w:tcPr>
            <w:tcW w:w="1890" w:type="dxa"/>
            <w:shd w:val="clear" w:color="auto" w:fill="2F5496" w:themeFill="accent1" w:themeFillShade="BF"/>
            <w:vAlign w:val="center"/>
            <w:hideMark/>
          </w:tcPr>
          <w:p w14:paraId="67AB0BB6"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b/>
                <w:bCs/>
                <w:color w:val="FFFFFF"/>
                <w:sz w:val="20"/>
                <w:szCs w:val="20"/>
              </w:rPr>
              <w:t>Percent Achieved at TE</w:t>
            </w:r>
          </w:p>
        </w:tc>
        <w:tc>
          <w:tcPr>
            <w:tcW w:w="1440" w:type="dxa"/>
            <w:gridSpan w:val="2"/>
            <w:shd w:val="clear" w:color="auto" w:fill="2F5496" w:themeFill="accent1" w:themeFillShade="BF"/>
            <w:noWrap/>
            <w:vAlign w:val="center"/>
            <w:hideMark/>
          </w:tcPr>
          <w:p w14:paraId="27ED43E6" w14:textId="77777777" w:rsidR="0070579C" w:rsidRPr="00297AED" w:rsidRDefault="0070579C" w:rsidP="00062DAE">
            <w:pPr>
              <w:spacing w:after="0" w:line="240" w:lineRule="auto"/>
              <w:rPr>
                <w:rFonts w:eastAsia="Times New Roman"/>
                <w:sz w:val="20"/>
                <w:szCs w:val="20"/>
              </w:rPr>
            </w:pPr>
            <w:r>
              <w:rPr>
                <w:rFonts w:eastAsia="Times New Roman"/>
                <w:b/>
                <w:bCs/>
                <w:color w:val="FFFFFF"/>
                <w:sz w:val="20"/>
                <w:szCs w:val="20"/>
              </w:rPr>
              <w:t>Ratings</w:t>
            </w:r>
          </w:p>
        </w:tc>
      </w:tr>
      <w:tr w:rsidR="0070579C" w:rsidRPr="00297AED" w14:paraId="200C95FD" w14:textId="77777777" w:rsidTr="00062DAE">
        <w:trPr>
          <w:gridAfter w:val="1"/>
          <w:wAfter w:w="8" w:type="dxa"/>
          <w:trHeight w:val="255"/>
        </w:trPr>
        <w:tc>
          <w:tcPr>
            <w:tcW w:w="3865" w:type="dxa"/>
            <w:vAlign w:val="center"/>
            <w:hideMark/>
          </w:tcPr>
          <w:p w14:paraId="7E41A855" w14:textId="77777777" w:rsidR="0070579C" w:rsidRPr="00297AED" w:rsidRDefault="0070579C" w:rsidP="00062DAE">
            <w:pPr>
              <w:spacing w:after="0" w:line="240" w:lineRule="auto"/>
              <w:rPr>
                <w:rFonts w:eastAsia="Times New Roman"/>
                <w:color w:val="000000"/>
                <w:sz w:val="20"/>
                <w:szCs w:val="20"/>
              </w:rPr>
            </w:pPr>
            <w:r>
              <w:rPr>
                <w:rFonts w:eastAsia="Times New Roman"/>
                <w:color w:val="000000"/>
                <w:sz w:val="20"/>
                <w:szCs w:val="20"/>
              </w:rPr>
              <w:t xml:space="preserve">Outcome Indicator 2.1 </w:t>
            </w:r>
            <w:r w:rsidRPr="00297AED">
              <w:rPr>
                <w:rFonts w:eastAsia="Times New Roman"/>
                <w:color w:val="000000"/>
                <w:sz w:val="20"/>
                <w:szCs w:val="20"/>
              </w:rPr>
              <w:t>Establishment and effective functioning of the Global Impact Platform.</w:t>
            </w:r>
          </w:p>
          <w:p w14:paraId="37E3B25A" w14:textId="77777777" w:rsidR="0070579C" w:rsidRPr="00297AED" w:rsidRDefault="0070579C" w:rsidP="00062DAE">
            <w:pPr>
              <w:spacing w:after="0" w:line="240" w:lineRule="auto"/>
              <w:rPr>
                <w:rFonts w:eastAsia="Times New Roman"/>
                <w:color w:val="000000"/>
                <w:sz w:val="20"/>
                <w:szCs w:val="20"/>
              </w:rPr>
            </w:pPr>
          </w:p>
        </w:tc>
        <w:tc>
          <w:tcPr>
            <w:tcW w:w="1530" w:type="dxa"/>
            <w:vMerge w:val="restart"/>
            <w:vAlign w:val="center"/>
            <w:hideMark/>
          </w:tcPr>
          <w:p w14:paraId="353DE8B5"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color w:val="000000"/>
                <w:sz w:val="20"/>
                <w:szCs w:val="20"/>
              </w:rPr>
              <w:t xml:space="preserve">A Global Impacts platform does not exist </w:t>
            </w:r>
          </w:p>
          <w:p w14:paraId="23154292"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color w:val="000000"/>
                <w:sz w:val="20"/>
                <w:szCs w:val="20"/>
              </w:rPr>
              <w:t> </w:t>
            </w:r>
          </w:p>
        </w:tc>
        <w:tc>
          <w:tcPr>
            <w:tcW w:w="1530" w:type="dxa"/>
          </w:tcPr>
          <w:p w14:paraId="01A79437"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#platform #docs #visitors</w:t>
            </w:r>
          </w:p>
        </w:tc>
        <w:tc>
          <w:tcPr>
            <w:tcW w:w="1710" w:type="dxa"/>
            <w:vMerge w:val="restart"/>
            <w:vAlign w:val="center"/>
          </w:tcPr>
          <w:p w14:paraId="14EDA5CD" w14:textId="77777777" w:rsidR="0070579C"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Platform is a leading repository of research documents, with 150 documents or abstracts uploaded and 5000 annual visitors.</w:t>
            </w:r>
            <w:r>
              <w:rPr>
                <w:rFonts w:eastAsia="Times New Roman"/>
                <w:color w:val="000000"/>
                <w:sz w:val="20"/>
                <w:szCs w:val="20"/>
              </w:rPr>
              <w:t xml:space="preserve"> </w:t>
            </w:r>
          </w:p>
          <w:p w14:paraId="7BFE5634" w14:textId="77777777" w:rsidR="0070579C" w:rsidRDefault="0070579C" w:rsidP="00062DAE">
            <w:pPr>
              <w:spacing w:after="0" w:line="240" w:lineRule="auto"/>
              <w:jc w:val="center"/>
              <w:rPr>
                <w:rFonts w:eastAsia="Times New Roman"/>
                <w:color w:val="000000"/>
                <w:sz w:val="20"/>
                <w:szCs w:val="20"/>
              </w:rPr>
            </w:pPr>
          </w:p>
          <w:p w14:paraId="673DFF17"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12</w:t>
            </w:r>
          </w:p>
        </w:tc>
        <w:tc>
          <w:tcPr>
            <w:tcW w:w="1350" w:type="dxa"/>
            <w:vMerge w:val="restart"/>
            <w:vAlign w:val="center"/>
          </w:tcPr>
          <w:p w14:paraId="506FF0B1" w14:textId="77777777" w:rsidR="0070579C" w:rsidRDefault="0070579C" w:rsidP="00062DAE">
            <w:pPr>
              <w:spacing w:after="0" w:line="240" w:lineRule="auto"/>
              <w:jc w:val="center"/>
              <w:rPr>
                <w:rFonts w:eastAsia="Times New Roman"/>
                <w:sz w:val="20"/>
                <w:szCs w:val="20"/>
              </w:rPr>
            </w:pPr>
            <w:r w:rsidRPr="00737E9B">
              <w:rPr>
                <w:rFonts w:eastAsia="Times New Roman"/>
                <w:sz w:val="20"/>
                <w:szCs w:val="20"/>
              </w:rPr>
              <w:lastRenderedPageBreak/>
              <w:t>1</w:t>
            </w:r>
            <w:r>
              <w:rPr>
                <w:rFonts w:eastAsia="Times New Roman"/>
                <w:sz w:val="20"/>
                <w:szCs w:val="20"/>
              </w:rPr>
              <w:t xml:space="preserve"> Platform, 900 docs, 14,000 visitors</w:t>
            </w:r>
          </w:p>
          <w:p w14:paraId="7171A03F" w14:textId="77777777" w:rsidR="0070579C" w:rsidRDefault="0070579C" w:rsidP="00062DAE">
            <w:pPr>
              <w:spacing w:after="0" w:line="240" w:lineRule="auto"/>
              <w:jc w:val="center"/>
              <w:rPr>
                <w:rFonts w:eastAsia="Times New Roman"/>
                <w:sz w:val="20"/>
                <w:szCs w:val="20"/>
              </w:rPr>
            </w:pPr>
          </w:p>
          <w:p w14:paraId="2F1D8AF2" w14:textId="77777777" w:rsidR="0070579C" w:rsidRDefault="0070579C" w:rsidP="00062DAE">
            <w:pPr>
              <w:spacing w:after="0" w:line="240" w:lineRule="auto"/>
              <w:jc w:val="center"/>
              <w:rPr>
                <w:rFonts w:eastAsia="Times New Roman"/>
                <w:sz w:val="20"/>
                <w:szCs w:val="20"/>
              </w:rPr>
            </w:pPr>
          </w:p>
          <w:p w14:paraId="1B683BB6" w14:textId="77777777" w:rsidR="0070579C" w:rsidRDefault="0070579C" w:rsidP="00062DAE">
            <w:pPr>
              <w:spacing w:after="0" w:line="240" w:lineRule="auto"/>
              <w:jc w:val="center"/>
              <w:rPr>
                <w:rFonts w:eastAsia="Times New Roman"/>
                <w:sz w:val="20"/>
                <w:szCs w:val="20"/>
              </w:rPr>
            </w:pPr>
          </w:p>
          <w:p w14:paraId="08C767C6" w14:textId="77777777" w:rsidR="0070579C" w:rsidRDefault="0070579C" w:rsidP="00062DAE">
            <w:pPr>
              <w:spacing w:after="0" w:line="240" w:lineRule="auto"/>
              <w:jc w:val="center"/>
              <w:rPr>
                <w:rFonts w:eastAsia="Times New Roman"/>
                <w:sz w:val="20"/>
                <w:szCs w:val="20"/>
              </w:rPr>
            </w:pPr>
          </w:p>
          <w:p w14:paraId="64E4C250" w14:textId="77777777" w:rsidR="0070579C" w:rsidRDefault="0070579C" w:rsidP="00062DAE">
            <w:pPr>
              <w:spacing w:after="0" w:line="240" w:lineRule="auto"/>
              <w:jc w:val="center"/>
              <w:rPr>
                <w:rFonts w:eastAsia="Times New Roman"/>
                <w:sz w:val="20"/>
                <w:szCs w:val="20"/>
              </w:rPr>
            </w:pPr>
          </w:p>
          <w:p w14:paraId="36FF576C" w14:textId="77777777" w:rsidR="0070579C" w:rsidRDefault="0070579C" w:rsidP="00062DAE">
            <w:pPr>
              <w:spacing w:after="0" w:line="240" w:lineRule="auto"/>
              <w:jc w:val="center"/>
              <w:rPr>
                <w:rFonts w:eastAsia="Times New Roman"/>
                <w:sz w:val="20"/>
                <w:szCs w:val="20"/>
              </w:rPr>
            </w:pPr>
          </w:p>
          <w:p w14:paraId="7CC99456" w14:textId="77777777" w:rsidR="0070579C" w:rsidRPr="00737E9B" w:rsidRDefault="0070579C" w:rsidP="00062DAE">
            <w:pPr>
              <w:spacing w:after="0" w:line="240" w:lineRule="auto"/>
              <w:jc w:val="center"/>
              <w:rPr>
                <w:rFonts w:eastAsia="Times New Roman"/>
                <w:sz w:val="20"/>
                <w:szCs w:val="20"/>
              </w:rPr>
            </w:pPr>
            <w:r>
              <w:rPr>
                <w:rFonts w:eastAsia="Times New Roman"/>
                <w:sz w:val="20"/>
                <w:szCs w:val="20"/>
              </w:rPr>
              <w:t>13</w:t>
            </w:r>
          </w:p>
        </w:tc>
        <w:tc>
          <w:tcPr>
            <w:tcW w:w="1890" w:type="dxa"/>
            <w:vMerge w:val="restart"/>
            <w:shd w:val="clear" w:color="auto" w:fill="00B050"/>
            <w:vAlign w:val="center"/>
            <w:hideMark/>
          </w:tcPr>
          <w:p w14:paraId="5C4C99BB" w14:textId="77777777" w:rsidR="0070579C" w:rsidRPr="00737E9B" w:rsidRDefault="0070579C" w:rsidP="00062DAE">
            <w:pPr>
              <w:spacing w:after="0" w:line="240" w:lineRule="auto"/>
              <w:jc w:val="center"/>
              <w:rPr>
                <w:rFonts w:eastAsia="Times New Roman"/>
                <w:color w:val="FFFFFF" w:themeColor="background1"/>
                <w:sz w:val="20"/>
                <w:szCs w:val="20"/>
              </w:rPr>
            </w:pPr>
            <w:r w:rsidRPr="00737E9B">
              <w:rPr>
                <w:rFonts w:eastAsia="Times New Roman"/>
                <w:color w:val="FFFFFF" w:themeColor="background1"/>
                <w:sz w:val="20"/>
                <w:szCs w:val="20"/>
              </w:rPr>
              <w:lastRenderedPageBreak/>
              <w:t>&gt;100</w:t>
            </w:r>
          </w:p>
          <w:p w14:paraId="01B289C2" w14:textId="77777777" w:rsidR="0070579C" w:rsidRPr="00737E9B" w:rsidRDefault="0070579C" w:rsidP="00062DAE">
            <w:pPr>
              <w:spacing w:after="0" w:line="240" w:lineRule="auto"/>
              <w:jc w:val="center"/>
              <w:rPr>
                <w:rFonts w:eastAsia="Times New Roman"/>
                <w:color w:val="FFFFFF" w:themeColor="background1"/>
                <w:sz w:val="20"/>
                <w:szCs w:val="20"/>
              </w:rPr>
            </w:pPr>
          </w:p>
          <w:p w14:paraId="395B7D64" w14:textId="77777777" w:rsidR="0070579C" w:rsidRPr="00737E9B" w:rsidRDefault="0070579C" w:rsidP="00062DAE">
            <w:pPr>
              <w:spacing w:after="0" w:line="240" w:lineRule="auto"/>
              <w:jc w:val="center"/>
              <w:rPr>
                <w:rFonts w:eastAsia="Times New Roman"/>
                <w:color w:val="FFFFFF" w:themeColor="background1"/>
                <w:sz w:val="20"/>
                <w:szCs w:val="20"/>
              </w:rPr>
            </w:pPr>
          </w:p>
          <w:p w14:paraId="05E63BBA" w14:textId="77777777" w:rsidR="0070579C" w:rsidRPr="00737E9B" w:rsidRDefault="0070579C" w:rsidP="00062DAE">
            <w:pPr>
              <w:spacing w:after="0" w:line="240" w:lineRule="auto"/>
              <w:jc w:val="center"/>
              <w:rPr>
                <w:rFonts w:eastAsia="Times New Roman"/>
                <w:color w:val="FFFFFF" w:themeColor="background1"/>
                <w:sz w:val="20"/>
                <w:szCs w:val="20"/>
              </w:rPr>
            </w:pPr>
          </w:p>
          <w:p w14:paraId="6C8E033E" w14:textId="77777777" w:rsidR="0070579C" w:rsidRPr="00737E9B" w:rsidRDefault="0070579C" w:rsidP="00062DAE">
            <w:pPr>
              <w:spacing w:after="0" w:line="240" w:lineRule="auto"/>
              <w:jc w:val="center"/>
              <w:rPr>
                <w:rFonts w:eastAsia="Times New Roman"/>
                <w:color w:val="FFFFFF" w:themeColor="background1"/>
                <w:sz w:val="20"/>
                <w:szCs w:val="20"/>
              </w:rPr>
            </w:pPr>
          </w:p>
          <w:p w14:paraId="1F1F55F7" w14:textId="77777777" w:rsidR="0070579C" w:rsidRPr="00737E9B" w:rsidRDefault="0070579C" w:rsidP="00062DAE">
            <w:pPr>
              <w:spacing w:after="0" w:line="240" w:lineRule="auto"/>
              <w:jc w:val="center"/>
              <w:rPr>
                <w:rFonts w:eastAsia="Times New Roman"/>
                <w:color w:val="FFFFFF" w:themeColor="background1"/>
                <w:sz w:val="20"/>
                <w:szCs w:val="20"/>
              </w:rPr>
            </w:pPr>
          </w:p>
          <w:p w14:paraId="1031A2B3" w14:textId="77777777" w:rsidR="0070579C" w:rsidRPr="00737E9B" w:rsidRDefault="0070579C" w:rsidP="00062DAE">
            <w:pPr>
              <w:spacing w:after="0" w:line="240" w:lineRule="auto"/>
              <w:jc w:val="center"/>
              <w:rPr>
                <w:rFonts w:eastAsia="Times New Roman"/>
                <w:color w:val="FFFFFF" w:themeColor="background1"/>
                <w:sz w:val="20"/>
                <w:szCs w:val="20"/>
              </w:rPr>
            </w:pPr>
          </w:p>
          <w:p w14:paraId="5B3B68D2" w14:textId="77777777" w:rsidR="0070579C" w:rsidRPr="00737E9B" w:rsidRDefault="0070579C" w:rsidP="00062DAE">
            <w:pPr>
              <w:spacing w:after="0" w:line="240" w:lineRule="auto"/>
              <w:jc w:val="center"/>
              <w:rPr>
                <w:rFonts w:eastAsia="Times New Roman"/>
                <w:color w:val="FFFFFF" w:themeColor="background1"/>
                <w:sz w:val="20"/>
                <w:szCs w:val="20"/>
              </w:rPr>
            </w:pPr>
          </w:p>
          <w:p w14:paraId="1131182F" w14:textId="77777777" w:rsidR="0070579C" w:rsidRPr="00737E9B" w:rsidRDefault="0070579C" w:rsidP="00062DAE">
            <w:pPr>
              <w:spacing w:after="0" w:line="240" w:lineRule="auto"/>
              <w:jc w:val="center"/>
              <w:rPr>
                <w:rFonts w:eastAsia="Times New Roman"/>
                <w:color w:val="FFFFFF" w:themeColor="background1"/>
                <w:sz w:val="20"/>
                <w:szCs w:val="20"/>
              </w:rPr>
            </w:pPr>
          </w:p>
          <w:p w14:paraId="23797906" w14:textId="77777777" w:rsidR="0070579C" w:rsidRPr="00737E9B" w:rsidRDefault="0070579C" w:rsidP="00062DAE">
            <w:pPr>
              <w:spacing w:after="0" w:line="240" w:lineRule="auto"/>
              <w:jc w:val="center"/>
              <w:rPr>
                <w:rFonts w:eastAsia="Times New Roman"/>
                <w:sz w:val="20"/>
                <w:szCs w:val="20"/>
              </w:rPr>
            </w:pPr>
            <w:r w:rsidRPr="00737E9B">
              <w:rPr>
                <w:rFonts w:eastAsia="Times New Roman"/>
                <w:color w:val="FFFFFF" w:themeColor="background1"/>
                <w:sz w:val="20"/>
                <w:szCs w:val="20"/>
              </w:rPr>
              <w:t>100</w:t>
            </w:r>
          </w:p>
        </w:tc>
        <w:tc>
          <w:tcPr>
            <w:tcW w:w="1440" w:type="dxa"/>
            <w:gridSpan w:val="2"/>
            <w:vMerge w:val="restart"/>
            <w:shd w:val="clear" w:color="auto" w:fill="auto"/>
            <w:noWrap/>
            <w:vAlign w:val="center"/>
            <w:hideMark/>
          </w:tcPr>
          <w:p w14:paraId="0624ACA1" w14:textId="77777777" w:rsidR="0070579C" w:rsidRPr="00737E9B" w:rsidRDefault="0070579C" w:rsidP="00062DAE">
            <w:pPr>
              <w:spacing w:after="0" w:line="240" w:lineRule="auto"/>
              <w:jc w:val="center"/>
              <w:rPr>
                <w:rFonts w:eastAsia="Times New Roman"/>
                <w:sz w:val="20"/>
                <w:szCs w:val="20"/>
              </w:rPr>
            </w:pPr>
            <w:r w:rsidRPr="00737E9B">
              <w:rPr>
                <w:rFonts w:eastAsia="Times New Roman"/>
                <w:sz w:val="20"/>
                <w:szCs w:val="20"/>
              </w:rPr>
              <w:lastRenderedPageBreak/>
              <w:t>&gt;100% = HS</w:t>
            </w:r>
          </w:p>
          <w:p w14:paraId="47FF60F9" w14:textId="77777777" w:rsidR="0070579C" w:rsidRPr="00737E9B" w:rsidRDefault="0070579C" w:rsidP="00062DAE">
            <w:pPr>
              <w:spacing w:after="0" w:line="240" w:lineRule="auto"/>
              <w:jc w:val="center"/>
              <w:rPr>
                <w:rFonts w:eastAsia="Times New Roman"/>
                <w:sz w:val="20"/>
                <w:szCs w:val="20"/>
              </w:rPr>
            </w:pPr>
          </w:p>
          <w:p w14:paraId="2B380B0C" w14:textId="77777777" w:rsidR="0070579C" w:rsidRPr="00737E9B" w:rsidRDefault="0070579C" w:rsidP="00062DAE">
            <w:pPr>
              <w:spacing w:after="0" w:line="240" w:lineRule="auto"/>
              <w:jc w:val="center"/>
              <w:rPr>
                <w:rFonts w:eastAsia="Times New Roman"/>
                <w:sz w:val="20"/>
                <w:szCs w:val="20"/>
              </w:rPr>
            </w:pPr>
          </w:p>
        </w:tc>
      </w:tr>
      <w:tr w:rsidR="0070579C" w:rsidRPr="00297AED" w14:paraId="418A01F1" w14:textId="77777777" w:rsidTr="00062DAE">
        <w:trPr>
          <w:gridAfter w:val="1"/>
          <w:wAfter w:w="8" w:type="dxa"/>
          <w:trHeight w:val="977"/>
        </w:trPr>
        <w:tc>
          <w:tcPr>
            <w:tcW w:w="3865" w:type="dxa"/>
            <w:tcBorders>
              <w:bottom w:val="single" w:sz="4" w:space="0" w:color="auto"/>
            </w:tcBorders>
            <w:shd w:val="clear" w:color="auto" w:fill="auto"/>
            <w:vAlign w:val="center"/>
            <w:hideMark/>
          </w:tcPr>
          <w:p w14:paraId="1DE2E174"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color w:val="000000"/>
                <w:sz w:val="20"/>
                <w:szCs w:val="20"/>
              </w:rPr>
              <w:t xml:space="preserve">Outcome Indicator 2.2 </w:t>
            </w:r>
          </w:p>
          <w:p w14:paraId="23EFF11D"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color w:val="000000"/>
                <w:sz w:val="20"/>
                <w:szCs w:val="20"/>
              </w:rPr>
              <w:t xml:space="preserve">Number of new syntheses and summaries of evidence uploaded to the Platform and associated audience-specific communications </w:t>
            </w:r>
          </w:p>
        </w:tc>
        <w:tc>
          <w:tcPr>
            <w:tcW w:w="1530" w:type="dxa"/>
            <w:vMerge/>
            <w:tcBorders>
              <w:bottom w:val="single" w:sz="4" w:space="0" w:color="auto"/>
            </w:tcBorders>
            <w:vAlign w:val="center"/>
            <w:hideMark/>
          </w:tcPr>
          <w:p w14:paraId="4701B46F" w14:textId="77777777" w:rsidR="0070579C" w:rsidRPr="00297AED" w:rsidRDefault="0070579C" w:rsidP="00062DAE">
            <w:pPr>
              <w:spacing w:after="0" w:line="240" w:lineRule="auto"/>
              <w:rPr>
                <w:rFonts w:eastAsia="Times New Roman"/>
                <w:color w:val="000000"/>
                <w:sz w:val="20"/>
                <w:szCs w:val="20"/>
              </w:rPr>
            </w:pPr>
          </w:p>
        </w:tc>
        <w:tc>
          <w:tcPr>
            <w:tcW w:w="1530" w:type="dxa"/>
            <w:tcBorders>
              <w:bottom w:val="single" w:sz="4" w:space="0" w:color="auto"/>
            </w:tcBorders>
            <w:vAlign w:val="bottom"/>
          </w:tcPr>
          <w:p w14:paraId="2773EA6E"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 Syntheses</w:t>
            </w:r>
          </w:p>
        </w:tc>
        <w:tc>
          <w:tcPr>
            <w:tcW w:w="1710" w:type="dxa"/>
            <w:vMerge/>
            <w:tcBorders>
              <w:bottom w:val="single" w:sz="4" w:space="0" w:color="auto"/>
            </w:tcBorders>
            <w:vAlign w:val="center"/>
          </w:tcPr>
          <w:p w14:paraId="24F54B37" w14:textId="77777777" w:rsidR="0070579C" w:rsidRPr="00297AED" w:rsidRDefault="0070579C" w:rsidP="00062DAE">
            <w:pPr>
              <w:spacing w:after="0" w:line="240" w:lineRule="auto"/>
              <w:rPr>
                <w:rFonts w:eastAsia="Times New Roman"/>
                <w:color w:val="000000"/>
                <w:sz w:val="20"/>
                <w:szCs w:val="20"/>
              </w:rPr>
            </w:pPr>
          </w:p>
        </w:tc>
        <w:tc>
          <w:tcPr>
            <w:tcW w:w="1350" w:type="dxa"/>
            <w:vMerge/>
            <w:tcBorders>
              <w:bottom w:val="single" w:sz="4" w:space="0" w:color="auto"/>
            </w:tcBorders>
          </w:tcPr>
          <w:p w14:paraId="71533ADE" w14:textId="77777777" w:rsidR="0070579C" w:rsidRPr="00737E9B" w:rsidRDefault="0070579C" w:rsidP="00062DAE">
            <w:pPr>
              <w:spacing w:after="0" w:line="240" w:lineRule="auto"/>
              <w:rPr>
                <w:rFonts w:eastAsia="Times New Roman"/>
                <w:sz w:val="20"/>
                <w:szCs w:val="20"/>
              </w:rPr>
            </w:pPr>
          </w:p>
        </w:tc>
        <w:tc>
          <w:tcPr>
            <w:tcW w:w="1890" w:type="dxa"/>
            <w:vMerge/>
            <w:tcBorders>
              <w:bottom w:val="single" w:sz="4" w:space="0" w:color="auto"/>
            </w:tcBorders>
            <w:shd w:val="clear" w:color="auto" w:fill="00B050"/>
            <w:vAlign w:val="center"/>
            <w:hideMark/>
          </w:tcPr>
          <w:p w14:paraId="21065834" w14:textId="77777777" w:rsidR="0070579C" w:rsidRPr="00737E9B" w:rsidRDefault="0070579C" w:rsidP="00062DAE">
            <w:pPr>
              <w:spacing w:after="0" w:line="240" w:lineRule="auto"/>
              <w:rPr>
                <w:rFonts w:eastAsia="Times New Roman"/>
                <w:sz w:val="20"/>
                <w:szCs w:val="20"/>
              </w:rPr>
            </w:pPr>
          </w:p>
        </w:tc>
        <w:tc>
          <w:tcPr>
            <w:tcW w:w="1440" w:type="dxa"/>
            <w:gridSpan w:val="2"/>
            <w:vMerge/>
            <w:tcBorders>
              <w:bottom w:val="single" w:sz="4" w:space="0" w:color="auto"/>
            </w:tcBorders>
            <w:shd w:val="clear" w:color="auto" w:fill="auto"/>
            <w:noWrap/>
            <w:vAlign w:val="bottom"/>
            <w:hideMark/>
          </w:tcPr>
          <w:p w14:paraId="0B72789E" w14:textId="77777777" w:rsidR="0070579C" w:rsidRPr="00737E9B" w:rsidRDefault="0070579C" w:rsidP="00062DAE">
            <w:pPr>
              <w:spacing w:after="0" w:line="240" w:lineRule="auto"/>
              <w:rPr>
                <w:rFonts w:eastAsia="Times New Roman"/>
                <w:sz w:val="20"/>
                <w:szCs w:val="20"/>
              </w:rPr>
            </w:pPr>
          </w:p>
        </w:tc>
      </w:tr>
      <w:tr w:rsidR="0070579C" w:rsidRPr="00297AED" w14:paraId="1D717C10" w14:textId="77777777" w:rsidTr="00062DAE">
        <w:trPr>
          <w:gridAfter w:val="1"/>
          <w:wAfter w:w="8" w:type="dxa"/>
          <w:trHeight w:val="1035"/>
        </w:trPr>
        <w:tc>
          <w:tcPr>
            <w:tcW w:w="11875" w:type="dxa"/>
            <w:gridSpan w:val="6"/>
            <w:shd w:val="clear" w:color="auto" w:fill="auto"/>
            <w:noWrap/>
            <w:vAlign w:val="center"/>
          </w:tcPr>
          <w:p w14:paraId="66794B65"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t> The progress of the objective can be described as:</w:t>
            </w:r>
          </w:p>
          <w:p w14:paraId="564E6185"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t> </w:t>
            </w:r>
          </w:p>
          <w:p w14:paraId="18000083" w14:textId="77777777" w:rsidR="0070579C" w:rsidRPr="00297AED" w:rsidRDefault="0070579C" w:rsidP="00062DAE">
            <w:pPr>
              <w:spacing w:after="0" w:line="240" w:lineRule="auto"/>
              <w:jc w:val="right"/>
              <w:rPr>
                <w:rFonts w:eastAsia="Times New Roman"/>
                <w:sz w:val="20"/>
                <w:szCs w:val="20"/>
              </w:rPr>
            </w:pPr>
            <w:r>
              <w:rPr>
                <w:rFonts w:eastAsia="Times New Roman"/>
                <w:sz w:val="20"/>
                <w:szCs w:val="20"/>
              </w:rPr>
              <w:t>Highly Satisfactory</w:t>
            </w:r>
            <w:r w:rsidRPr="00B420BA">
              <w:rPr>
                <w:rFonts w:eastAsia="Times New Roman"/>
                <w:sz w:val="20"/>
                <w:szCs w:val="20"/>
              </w:rPr>
              <w:t> </w:t>
            </w:r>
          </w:p>
        </w:tc>
        <w:tc>
          <w:tcPr>
            <w:tcW w:w="1440" w:type="dxa"/>
            <w:gridSpan w:val="2"/>
            <w:noWrap/>
            <w:vAlign w:val="center"/>
          </w:tcPr>
          <w:p w14:paraId="53206938"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100% = HS</w:t>
            </w:r>
          </w:p>
        </w:tc>
      </w:tr>
      <w:tr w:rsidR="0070579C" w:rsidRPr="00297AED" w14:paraId="1877737B" w14:textId="77777777" w:rsidTr="00062DAE">
        <w:trPr>
          <w:gridAfter w:val="1"/>
          <w:wAfter w:w="8" w:type="dxa"/>
          <w:trHeight w:val="737"/>
        </w:trPr>
        <w:tc>
          <w:tcPr>
            <w:tcW w:w="13315" w:type="dxa"/>
            <w:gridSpan w:val="8"/>
            <w:shd w:val="clear" w:color="auto" w:fill="auto"/>
            <w:noWrap/>
            <w:vAlign w:val="center"/>
          </w:tcPr>
          <w:p w14:paraId="25B128D0" w14:textId="77777777" w:rsidR="0070579C" w:rsidRPr="00297AED" w:rsidRDefault="0070579C" w:rsidP="00062DAE">
            <w:pPr>
              <w:spacing w:after="0" w:line="240" w:lineRule="auto"/>
              <w:rPr>
                <w:rFonts w:eastAsia="Times New Roman"/>
                <w:sz w:val="20"/>
                <w:szCs w:val="20"/>
              </w:rPr>
            </w:pPr>
            <w:bookmarkStart w:id="147" w:name="_Hlk88087328"/>
            <w:r w:rsidRPr="00E970C1">
              <w:rPr>
                <w:rFonts w:eastAsia="Times New Roman"/>
                <w:b/>
                <w:bCs/>
              </w:rPr>
              <w:t xml:space="preserve">Component/Outcome </w:t>
            </w:r>
            <w:r>
              <w:rPr>
                <w:rFonts w:eastAsia="Times New Roman"/>
                <w:b/>
                <w:bCs/>
              </w:rPr>
              <w:t xml:space="preserve">3: </w:t>
            </w:r>
            <w:r w:rsidRPr="00BD7A5B">
              <w:rPr>
                <w:rFonts w:eastAsia="Times New Roman"/>
                <w:b/>
                <w:bCs/>
              </w:rPr>
              <w:t>Knowledge management, partnerships and communications activities implemented to maximize learning, foster synergies and promote upscaling of actions to take deforestation out of commodity supply chains</w:t>
            </w:r>
          </w:p>
        </w:tc>
      </w:tr>
      <w:tr w:rsidR="0070579C" w:rsidRPr="00297AED" w14:paraId="64CA0427" w14:textId="77777777" w:rsidTr="00062DAE">
        <w:trPr>
          <w:gridAfter w:val="1"/>
          <w:wAfter w:w="8" w:type="dxa"/>
          <w:trHeight w:val="1035"/>
        </w:trPr>
        <w:tc>
          <w:tcPr>
            <w:tcW w:w="3865" w:type="dxa"/>
            <w:shd w:val="clear" w:color="auto" w:fill="2F5496" w:themeFill="accent1" w:themeFillShade="BF"/>
            <w:noWrap/>
            <w:vAlign w:val="center"/>
            <w:hideMark/>
          </w:tcPr>
          <w:p w14:paraId="3995E6D6"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Indicator</w:t>
            </w:r>
          </w:p>
        </w:tc>
        <w:tc>
          <w:tcPr>
            <w:tcW w:w="1530" w:type="dxa"/>
            <w:shd w:val="clear" w:color="auto" w:fill="2F5496" w:themeFill="accent1" w:themeFillShade="BF"/>
            <w:noWrap/>
            <w:vAlign w:val="center"/>
            <w:hideMark/>
          </w:tcPr>
          <w:p w14:paraId="46C57F93"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Baseline</w:t>
            </w:r>
          </w:p>
        </w:tc>
        <w:tc>
          <w:tcPr>
            <w:tcW w:w="1530" w:type="dxa"/>
            <w:shd w:val="clear" w:color="auto" w:fill="2F5496" w:themeFill="accent1" w:themeFillShade="BF"/>
            <w:vAlign w:val="center"/>
          </w:tcPr>
          <w:p w14:paraId="21BC1075" w14:textId="77777777" w:rsidR="0070579C" w:rsidRPr="00297AED" w:rsidRDefault="0070579C" w:rsidP="00062DAE">
            <w:pPr>
              <w:spacing w:after="0" w:line="240" w:lineRule="auto"/>
              <w:rPr>
                <w:rFonts w:eastAsia="Times New Roman"/>
                <w:color w:val="000000"/>
                <w:sz w:val="20"/>
                <w:szCs w:val="20"/>
              </w:rPr>
            </w:pPr>
            <w:r>
              <w:rPr>
                <w:rFonts w:eastAsia="Times New Roman"/>
                <w:b/>
                <w:bCs/>
                <w:color w:val="FFFFFF"/>
                <w:sz w:val="20"/>
                <w:szCs w:val="20"/>
              </w:rPr>
              <w:t>Unit</w:t>
            </w:r>
          </w:p>
        </w:tc>
        <w:tc>
          <w:tcPr>
            <w:tcW w:w="1710" w:type="dxa"/>
            <w:shd w:val="clear" w:color="auto" w:fill="2F5496" w:themeFill="accent1" w:themeFillShade="BF"/>
            <w:noWrap/>
            <w:vAlign w:val="center"/>
            <w:hideMark/>
          </w:tcPr>
          <w:p w14:paraId="46D01B1D" w14:textId="77777777" w:rsidR="0070579C" w:rsidRPr="00297AED" w:rsidRDefault="0070579C" w:rsidP="00062DAE">
            <w:pPr>
              <w:spacing w:after="0" w:line="240" w:lineRule="auto"/>
              <w:rPr>
                <w:rFonts w:eastAsia="Times New Roman"/>
                <w:color w:val="000000"/>
                <w:sz w:val="20"/>
                <w:szCs w:val="20"/>
              </w:rPr>
            </w:pPr>
            <w:r w:rsidRPr="00297AED">
              <w:rPr>
                <w:rFonts w:eastAsia="Times New Roman"/>
                <w:b/>
                <w:bCs/>
                <w:color w:val="FFFFFF"/>
                <w:sz w:val="20"/>
                <w:szCs w:val="20"/>
              </w:rPr>
              <w:t>End of the Project Target</w:t>
            </w:r>
          </w:p>
        </w:tc>
        <w:tc>
          <w:tcPr>
            <w:tcW w:w="1350" w:type="dxa"/>
            <w:shd w:val="clear" w:color="auto" w:fill="2F5496" w:themeFill="accent1" w:themeFillShade="BF"/>
            <w:vAlign w:val="center"/>
          </w:tcPr>
          <w:p w14:paraId="38AD13BB" w14:textId="77777777" w:rsidR="0070579C" w:rsidRPr="00297AED" w:rsidRDefault="0070579C" w:rsidP="00062DAE">
            <w:pPr>
              <w:spacing w:after="0" w:line="240" w:lineRule="auto"/>
              <w:jc w:val="center"/>
              <w:rPr>
                <w:rFonts w:eastAsia="Times New Roman"/>
                <w:sz w:val="20"/>
                <w:szCs w:val="20"/>
              </w:rPr>
            </w:pPr>
            <w:r>
              <w:rPr>
                <w:rFonts w:eastAsia="Times New Roman"/>
                <w:b/>
                <w:bCs/>
                <w:color w:val="FFFFFF"/>
                <w:sz w:val="20"/>
                <w:szCs w:val="20"/>
              </w:rPr>
              <w:t>Achieved</w:t>
            </w:r>
          </w:p>
        </w:tc>
        <w:tc>
          <w:tcPr>
            <w:tcW w:w="1890" w:type="dxa"/>
            <w:shd w:val="clear" w:color="auto" w:fill="2F5496" w:themeFill="accent1" w:themeFillShade="BF"/>
            <w:vAlign w:val="center"/>
            <w:hideMark/>
          </w:tcPr>
          <w:p w14:paraId="62DAD1DC" w14:textId="77777777" w:rsidR="0070579C" w:rsidRPr="00297AED" w:rsidRDefault="0070579C" w:rsidP="00062DAE">
            <w:pPr>
              <w:spacing w:after="0" w:line="240" w:lineRule="auto"/>
              <w:jc w:val="center"/>
              <w:rPr>
                <w:rFonts w:eastAsia="Times New Roman"/>
                <w:color w:val="FFFFFF"/>
                <w:sz w:val="20"/>
                <w:szCs w:val="20"/>
              </w:rPr>
            </w:pPr>
            <w:r>
              <w:rPr>
                <w:rFonts w:eastAsia="Times New Roman"/>
                <w:b/>
                <w:bCs/>
                <w:color w:val="FFFFFF"/>
                <w:sz w:val="20"/>
                <w:szCs w:val="20"/>
              </w:rPr>
              <w:t>Percent Achieved at TE</w:t>
            </w:r>
          </w:p>
        </w:tc>
        <w:tc>
          <w:tcPr>
            <w:tcW w:w="1440" w:type="dxa"/>
            <w:gridSpan w:val="2"/>
            <w:shd w:val="clear" w:color="auto" w:fill="2F5496" w:themeFill="accent1" w:themeFillShade="BF"/>
            <w:noWrap/>
            <w:vAlign w:val="center"/>
            <w:hideMark/>
          </w:tcPr>
          <w:p w14:paraId="7FB1D875" w14:textId="77777777" w:rsidR="0070579C" w:rsidRPr="00297AED" w:rsidRDefault="0070579C" w:rsidP="00062DAE">
            <w:pPr>
              <w:spacing w:after="0" w:line="240" w:lineRule="auto"/>
              <w:rPr>
                <w:rFonts w:eastAsia="Times New Roman"/>
                <w:sz w:val="20"/>
                <w:szCs w:val="20"/>
              </w:rPr>
            </w:pPr>
            <w:r>
              <w:rPr>
                <w:rFonts w:eastAsia="Times New Roman"/>
                <w:b/>
                <w:bCs/>
                <w:color w:val="FFFFFF"/>
                <w:sz w:val="20"/>
                <w:szCs w:val="20"/>
              </w:rPr>
              <w:t>Ratings</w:t>
            </w:r>
          </w:p>
        </w:tc>
      </w:tr>
      <w:tr w:rsidR="0070579C" w:rsidRPr="00297AED" w14:paraId="1DFF9D1F" w14:textId="77777777" w:rsidTr="00062DAE">
        <w:trPr>
          <w:trHeight w:val="55"/>
        </w:trPr>
        <w:tc>
          <w:tcPr>
            <w:tcW w:w="3865" w:type="dxa"/>
            <w:shd w:val="clear" w:color="auto" w:fill="auto"/>
            <w:noWrap/>
            <w:vAlign w:val="center"/>
            <w:hideMark/>
          </w:tcPr>
          <w:p w14:paraId="350E2B8D" w14:textId="77777777" w:rsidR="0070579C" w:rsidRPr="00297AED" w:rsidRDefault="0070579C" w:rsidP="00062DAE">
            <w:pPr>
              <w:spacing w:after="0" w:line="240" w:lineRule="auto"/>
              <w:jc w:val="center"/>
              <w:rPr>
                <w:rFonts w:eastAsia="Times New Roman"/>
                <w:sz w:val="20"/>
                <w:szCs w:val="20"/>
              </w:rPr>
            </w:pPr>
            <w:r>
              <w:rPr>
                <w:rFonts w:eastAsia="Times New Roman"/>
                <w:color w:val="000000"/>
                <w:sz w:val="20"/>
                <w:szCs w:val="20"/>
              </w:rPr>
              <w:t>Outcome indicator 3.1: #</w:t>
            </w:r>
            <w:r w:rsidRPr="00297AED">
              <w:rPr>
                <w:rFonts w:eastAsia="Times New Roman"/>
                <w:color w:val="000000"/>
                <w:sz w:val="20"/>
                <w:szCs w:val="20"/>
              </w:rPr>
              <w:t>Number of knowledge products on GGP to share GGP insights and learnings.</w:t>
            </w:r>
          </w:p>
        </w:tc>
        <w:tc>
          <w:tcPr>
            <w:tcW w:w="1530" w:type="dxa"/>
            <w:tcBorders>
              <w:bottom w:val="single" w:sz="4" w:space="0" w:color="auto"/>
            </w:tcBorders>
            <w:shd w:val="clear" w:color="auto" w:fill="auto"/>
            <w:noWrap/>
            <w:vAlign w:val="center"/>
            <w:hideMark/>
          </w:tcPr>
          <w:p w14:paraId="7BA9A2D3"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0</w:t>
            </w:r>
          </w:p>
        </w:tc>
        <w:tc>
          <w:tcPr>
            <w:tcW w:w="1530" w:type="dxa"/>
            <w:vAlign w:val="center"/>
          </w:tcPr>
          <w:p w14:paraId="35D87A5B" w14:textId="77777777" w:rsidR="0070579C" w:rsidRPr="00BD7A5B" w:rsidRDefault="0070579C" w:rsidP="00062DAE">
            <w:pPr>
              <w:spacing w:after="0" w:line="240" w:lineRule="auto"/>
              <w:jc w:val="center"/>
              <w:rPr>
                <w:rFonts w:eastAsia="Times New Roman"/>
                <w:sz w:val="20"/>
                <w:szCs w:val="20"/>
              </w:rPr>
            </w:pPr>
            <w:r>
              <w:rPr>
                <w:rFonts w:eastAsia="Times New Roman"/>
                <w:sz w:val="20"/>
                <w:szCs w:val="20"/>
              </w:rPr>
              <w:t># products</w:t>
            </w:r>
          </w:p>
        </w:tc>
        <w:tc>
          <w:tcPr>
            <w:tcW w:w="1710" w:type="dxa"/>
            <w:shd w:val="clear" w:color="auto" w:fill="auto"/>
            <w:noWrap/>
            <w:vAlign w:val="center"/>
            <w:hideMark/>
          </w:tcPr>
          <w:p w14:paraId="4CDAB8B8"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3</w:t>
            </w:r>
          </w:p>
        </w:tc>
        <w:tc>
          <w:tcPr>
            <w:tcW w:w="1350" w:type="dxa"/>
            <w:vAlign w:val="center"/>
          </w:tcPr>
          <w:p w14:paraId="7DED4581" w14:textId="2E989253" w:rsidR="0070579C" w:rsidRPr="00297AED" w:rsidRDefault="002D61D6" w:rsidP="00062DAE">
            <w:pPr>
              <w:spacing w:after="0" w:line="240" w:lineRule="auto"/>
              <w:jc w:val="center"/>
              <w:rPr>
                <w:rFonts w:eastAsia="Times New Roman"/>
                <w:sz w:val="20"/>
                <w:szCs w:val="20"/>
              </w:rPr>
            </w:pPr>
            <w:r>
              <w:rPr>
                <w:rFonts w:eastAsia="Times New Roman"/>
                <w:sz w:val="20"/>
                <w:szCs w:val="20"/>
              </w:rPr>
              <w:t>2</w:t>
            </w:r>
          </w:p>
        </w:tc>
        <w:tc>
          <w:tcPr>
            <w:tcW w:w="1898" w:type="dxa"/>
            <w:gridSpan w:val="2"/>
            <w:shd w:val="clear" w:color="000000" w:fill="FFFF00"/>
            <w:noWrap/>
            <w:vAlign w:val="center"/>
            <w:hideMark/>
          </w:tcPr>
          <w:p w14:paraId="12905DD4" w14:textId="2E3233C6" w:rsidR="0070579C" w:rsidRPr="00297AED" w:rsidRDefault="002D61D6" w:rsidP="00062DAE">
            <w:pPr>
              <w:spacing w:after="0" w:line="240" w:lineRule="auto"/>
              <w:jc w:val="center"/>
              <w:rPr>
                <w:rFonts w:eastAsia="Times New Roman"/>
                <w:sz w:val="20"/>
                <w:szCs w:val="20"/>
              </w:rPr>
            </w:pPr>
            <w:r>
              <w:rPr>
                <w:rFonts w:eastAsia="Times New Roman"/>
                <w:sz w:val="20"/>
                <w:szCs w:val="20"/>
              </w:rPr>
              <w:t>67</w:t>
            </w:r>
          </w:p>
        </w:tc>
        <w:tc>
          <w:tcPr>
            <w:tcW w:w="1440" w:type="dxa"/>
            <w:gridSpan w:val="2"/>
            <w:shd w:val="clear" w:color="auto" w:fill="auto"/>
            <w:vAlign w:val="center"/>
          </w:tcPr>
          <w:p w14:paraId="476C3A26" w14:textId="56F9008E" w:rsidR="0070579C" w:rsidRPr="00297AED" w:rsidRDefault="002D61D6" w:rsidP="009422BC">
            <w:r>
              <w:rPr>
                <w:rFonts w:eastAsia="Times New Roman"/>
                <w:sz w:val="20"/>
                <w:szCs w:val="20"/>
              </w:rPr>
              <w:t>MS</w:t>
            </w:r>
          </w:p>
        </w:tc>
      </w:tr>
      <w:tr w:rsidR="0070579C" w:rsidRPr="00297AED" w14:paraId="1BEC7235" w14:textId="77777777" w:rsidTr="00062DAE">
        <w:trPr>
          <w:gridAfter w:val="1"/>
          <w:wAfter w:w="8" w:type="dxa"/>
          <w:trHeight w:val="255"/>
        </w:trPr>
        <w:tc>
          <w:tcPr>
            <w:tcW w:w="3865" w:type="dxa"/>
            <w:tcBorders>
              <w:right w:val="single" w:sz="4" w:space="0" w:color="auto"/>
            </w:tcBorders>
            <w:vAlign w:val="center"/>
            <w:hideMark/>
          </w:tcPr>
          <w:p w14:paraId="723B7584"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 xml:space="preserve">Outcome Indicator 3.2: </w:t>
            </w:r>
            <w:r w:rsidRPr="00297AED">
              <w:rPr>
                <w:rFonts w:eastAsia="Times New Roman"/>
                <w:color w:val="000000"/>
                <w:sz w:val="20"/>
                <w:szCs w:val="20"/>
              </w:rPr>
              <w:t xml:space="preserve"> Percentage of participants of Community of Practice events that have changed their programs, practices and/or policies based on GGP learning (as measured by a survey of participants of each of the two face-to-face CoP global events).</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E183F30" w14:textId="77777777" w:rsidR="0070579C" w:rsidRPr="00297AED"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0</w:t>
            </w:r>
          </w:p>
          <w:p w14:paraId="333D068E" w14:textId="77777777" w:rsidR="0070579C" w:rsidRPr="00297AED" w:rsidRDefault="0070579C" w:rsidP="00062DAE">
            <w:pPr>
              <w:spacing w:after="0" w:line="240" w:lineRule="auto"/>
              <w:jc w:val="center"/>
              <w:rPr>
                <w:rFonts w:eastAsia="Times New Roman"/>
                <w:color w:val="000000"/>
                <w:sz w:val="20"/>
                <w:szCs w:val="20"/>
              </w:rPr>
            </w:pPr>
          </w:p>
        </w:tc>
        <w:tc>
          <w:tcPr>
            <w:tcW w:w="1530" w:type="dxa"/>
            <w:tcBorders>
              <w:left w:val="single" w:sz="4" w:space="0" w:color="auto"/>
            </w:tcBorders>
            <w:vAlign w:val="center"/>
          </w:tcPr>
          <w:p w14:paraId="473141A3"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Percentage</w:t>
            </w:r>
          </w:p>
        </w:tc>
        <w:tc>
          <w:tcPr>
            <w:tcW w:w="1710" w:type="dxa"/>
            <w:vAlign w:val="center"/>
            <w:hideMark/>
          </w:tcPr>
          <w:p w14:paraId="47AFF211" w14:textId="77777777" w:rsidR="0070579C" w:rsidRPr="00297AED" w:rsidRDefault="0070579C" w:rsidP="00062DAE">
            <w:pPr>
              <w:spacing w:after="0" w:line="240" w:lineRule="auto"/>
              <w:jc w:val="center"/>
              <w:rPr>
                <w:rFonts w:eastAsia="Times New Roman"/>
                <w:color w:val="000000"/>
                <w:sz w:val="20"/>
                <w:szCs w:val="20"/>
              </w:rPr>
            </w:pPr>
            <w:r>
              <w:rPr>
                <w:rFonts w:eastAsia="Times New Roman"/>
                <w:color w:val="000000"/>
                <w:sz w:val="20"/>
                <w:szCs w:val="20"/>
              </w:rPr>
              <w:t>60%</w:t>
            </w:r>
          </w:p>
        </w:tc>
        <w:tc>
          <w:tcPr>
            <w:tcW w:w="1350" w:type="dxa"/>
            <w:vAlign w:val="center"/>
          </w:tcPr>
          <w:p w14:paraId="43E64693"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64.5%</w:t>
            </w:r>
          </w:p>
        </w:tc>
        <w:tc>
          <w:tcPr>
            <w:tcW w:w="1890" w:type="dxa"/>
            <w:shd w:val="clear" w:color="auto" w:fill="00B050"/>
            <w:vAlign w:val="center"/>
            <w:hideMark/>
          </w:tcPr>
          <w:p w14:paraId="742E4B6B" w14:textId="77777777" w:rsidR="0070579C" w:rsidRPr="00297AED" w:rsidRDefault="0070579C" w:rsidP="00062DAE">
            <w:pPr>
              <w:spacing w:after="0" w:line="240" w:lineRule="auto"/>
              <w:jc w:val="center"/>
              <w:rPr>
                <w:rFonts w:eastAsia="Times New Roman"/>
                <w:sz w:val="20"/>
                <w:szCs w:val="20"/>
              </w:rPr>
            </w:pPr>
            <w:r w:rsidRPr="00FB2791">
              <w:rPr>
                <w:rFonts w:eastAsia="Times New Roman"/>
                <w:color w:val="FFFFFF" w:themeColor="background1"/>
                <w:sz w:val="20"/>
                <w:szCs w:val="20"/>
              </w:rPr>
              <w:t>100</w:t>
            </w:r>
          </w:p>
        </w:tc>
        <w:tc>
          <w:tcPr>
            <w:tcW w:w="1440" w:type="dxa"/>
            <w:gridSpan w:val="2"/>
            <w:shd w:val="clear" w:color="auto" w:fill="auto"/>
            <w:noWrap/>
            <w:vAlign w:val="center"/>
            <w:hideMark/>
          </w:tcPr>
          <w:p w14:paraId="2F1035CB" w14:textId="77777777" w:rsidR="0070579C" w:rsidRPr="00297AED" w:rsidRDefault="0070579C" w:rsidP="00062DAE">
            <w:pPr>
              <w:spacing w:after="0" w:line="240" w:lineRule="auto"/>
              <w:jc w:val="center"/>
              <w:rPr>
                <w:rFonts w:eastAsia="Times New Roman"/>
                <w:sz w:val="20"/>
                <w:szCs w:val="20"/>
              </w:rPr>
            </w:pPr>
            <w:r>
              <w:rPr>
                <w:rFonts w:eastAsia="Times New Roman"/>
                <w:sz w:val="20"/>
                <w:szCs w:val="20"/>
              </w:rPr>
              <w:t>HS</w:t>
            </w:r>
          </w:p>
        </w:tc>
      </w:tr>
      <w:tr w:rsidR="0070579C" w:rsidRPr="00FB2791" w14:paraId="20CBCFC1" w14:textId="77777777" w:rsidTr="00062DAE">
        <w:trPr>
          <w:gridAfter w:val="1"/>
          <w:wAfter w:w="8" w:type="dxa"/>
          <w:trHeight w:val="255"/>
        </w:trPr>
        <w:tc>
          <w:tcPr>
            <w:tcW w:w="3865" w:type="dxa"/>
            <w:tcBorders>
              <w:right w:val="single" w:sz="4" w:space="0" w:color="auto"/>
            </w:tcBorders>
            <w:vAlign w:val="center"/>
          </w:tcPr>
          <w:p w14:paraId="58E61D57" w14:textId="77777777" w:rsidR="0070579C" w:rsidRDefault="0070579C" w:rsidP="00062DAE">
            <w:pPr>
              <w:spacing w:after="0" w:line="240" w:lineRule="auto"/>
              <w:jc w:val="center"/>
              <w:rPr>
                <w:rFonts w:eastAsia="Times New Roman"/>
                <w:color w:val="000000"/>
                <w:sz w:val="20"/>
                <w:szCs w:val="20"/>
              </w:rPr>
            </w:pPr>
            <w:r w:rsidRPr="00297AED">
              <w:rPr>
                <w:rFonts w:eastAsia="Times New Roman"/>
                <w:color w:val="000000"/>
                <w:sz w:val="20"/>
                <w:szCs w:val="20"/>
              </w:rPr>
              <w:t>Outcome Indicator 3.3 Number of active partners with which the GGP is engaged at a programmatic level (through two-way sharing of information, expertise or tools; collaboration to increase impacts; implementation of delivery services, or provision of co-financing).</w:t>
            </w:r>
          </w:p>
        </w:tc>
        <w:tc>
          <w:tcPr>
            <w:tcW w:w="1530" w:type="dxa"/>
            <w:tcBorders>
              <w:top w:val="single" w:sz="4" w:space="0" w:color="auto"/>
              <w:left w:val="single" w:sz="4" w:space="0" w:color="auto"/>
              <w:bottom w:val="single" w:sz="4" w:space="0" w:color="auto"/>
              <w:right w:val="single" w:sz="4" w:space="0" w:color="auto"/>
            </w:tcBorders>
            <w:noWrap/>
            <w:vAlign w:val="center"/>
          </w:tcPr>
          <w:p w14:paraId="0F007464" w14:textId="77777777" w:rsidR="0070579C" w:rsidRPr="00FB2791" w:rsidRDefault="0070579C" w:rsidP="00062DAE">
            <w:pPr>
              <w:spacing w:after="0" w:line="240" w:lineRule="auto"/>
              <w:jc w:val="center"/>
              <w:rPr>
                <w:rFonts w:eastAsia="Times New Roman"/>
                <w:sz w:val="20"/>
                <w:szCs w:val="20"/>
              </w:rPr>
            </w:pPr>
          </w:p>
        </w:tc>
        <w:tc>
          <w:tcPr>
            <w:tcW w:w="1530" w:type="dxa"/>
            <w:tcBorders>
              <w:left w:val="single" w:sz="4" w:space="0" w:color="auto"/>
            </w:tcBorders>
            <w:vAlign w:val="center"/>
          </w:tcPr>
          <w:p w14:paraId="1F7DD561" w14:textId="77777777" w:rsidR="0070579C" w:rsidRPr="00FB2791" w:rsidRDefault="0070579C" w:rsidP="00062DAE">
            <w:pPr>
              <w:spacing w:after="0" w:line="240" w:lineRule="auto"/>
              <w:jc w:val="center"/>
              <w:rPr>
                <w:rFonts w:eastAsia="Times New Roman"/>
                <w:sz w:val="20"/>
                <w:szCs w:val="20"/>
              </w:rPr>
            </w:pPr>
            <w:r>
              <w:rPr>
                <w:rFonts w:eastAsia="Times New Roman"/>
                <w:sz w:val="20"/>
                <w:szCs w:val="20"/>
              </w:rPr>
              <w:t># partners</w:t>
            </w:r>
          </w:p>
        </w:tc>
        <w:tc>
          <w:tcPr>
            <w:tcW w:w="1710" w:type="dxa"/>
            <w:vAlign w:val="center"/>
          </w:tcPr>
          <w:p w14:paraId="396FB4CB" w14:textId="77777777" w:rsidR="0070579C" w:rsidRPr="00FB2791" w:rsidRDefault="0070579C" w:rsidP="00062DAE">
            <w:pPr>
              <w:spacing w:after="0" w:line="240" w:lineRule="auto"/>
              <w:jc w:val="center"/>
              <w:rPr>
                <w:rFonts w:eastAsia="Times New Roman"/>
                <w:sz w:val="20"/>
                <w:szCs w:val="20"/>
              </w:rPr>
            </w:pPr>
            <w:r>
              <w:rPr>
                <w:rFonts w:eastAsia="Times New Roman"/>
                <w:sz w:val="20"/>
                <w:szCs w:val="20"/>
              </w:rPr>
              <w:t>6</w:t>
            </w:r>
          </w:p>
        </w:tc>
        <w:tc>
          <w:tcPr>
            <w:tcW w:w="1350" w:type="dxa"/>
            <w:vAlign w:val="center"/>
          </w:tcPr>
          <w:p w14:paraId="0D779F53" w14:textId="77777777" w:rsidR="0070579C" w:rsidRPr="00FB2791" w:rsidRDefault="0070579C" w:rsidP="00062DAE">
            <w:pPr>
              <w:spacing w:after="0" w:line="240" w:lineRule="auto"/>
              <w:jc w:val="center"/>
              <w:rPr>
                <w:rFonts w:eastAsia="Times New Roman"/>
                <w:sz w:val="20"/>
                <w:szCs w:val="20"/>
              </w:rPr>
            </w:pPr>
            <w:r>
              <w:rPr>
                <w:rFonts w:eastAsia="Times New Roman"/>
                <w:sz w:val="20"/>
                <w:szCs w:val="20"/>
              </w:rPr>
              <w:t>11</w:t>
            </w:r>
          </w:p>
        </w:tc>
        <w:tc>
          <w:tcPr>
            <w:tcW w:w="1890" w:type="dxa"/>
            <w:shd w:val="clear" w:color="auto" w:fill="00B050"/>
            <w:vAlign w:val="center"/>
          </w:tcPr>
          <w:p w14:paraId="4127E2E2" w14:textId="77777777" w:rsidR="0070579C" w:rsidRPr="00FB2791" w:rsidRDefault="0070579C" w:rsidP="00062DAE">
            <w:pPr>
              <w:spacing w:after="0" w:line="240" w:lineRule="auto"/>
              <w:jc w:val="center"/>
              <w:rPr>
                <w:rFonts w:eastAsia="Times New Roman"/>
                <w:sz w:val="20"/>
                <w:szCs w:val="20"/>
              </w:rPr>
            </w:pPr>
            <w:r w:rsidRPr="00FB2791">
              <w:rPr>
                <w:rFonts w:eastAsia="Times New Roman"/>
                <w:color w:val="FFFFFF" w:themeColor="background1"/>
                <w:sz w:val="20"/>
                <w:szCs w:val="20"/>
              </w:rPr>
              <w:t>100</w:t>
            </w:r>
          </w:p>
        </w:tc>
        <w:tc>
          <w:tcPr>
            <w:tcW w:w="1440" w:type="dxa"/>
            <w:gridSpan w:val="2"/>
            <w:shd w:val="clear" w:color="auto" w:fill="auto"/>
            <w:noWrap/>
            <w:vAlign w:val="center"/>
          </w:tcPr>
          <w:p w14:paraId="3237C6A1" w14:textId="77777777" w:rsidR="0070579C" w:rsidRPr="00FB2791" w:rsidRDefault="0070579C" w:rsidP="00062DAE">
            <w:pPr>
              <w:spacing w:after="0" w:line="240" w:lineRule="auto"/>
              <w:jc w:val="center"/>
              <w:rPr>
                <w:rFonts w:eastAsia="Times New Roman"/>
                <w:sz w:val="20"/>
                <w:szCs w:val="20"/>
              </w:rPr>
            </w:pPr>
            <w:r>
              <w:rPr>
                <w:rFonts w:eastAsia="Times New Roman"/>
                <w:sz w:val="20"/>
                <w:szCs w:val="20"/>
              </w:rPr>
              <w:t>HS</w:t>
            </w:r>
          </w:p>
        </w:tc>
      </w:tr>
      <w:tr w:rsidR="0070579C" w:rsidRPr="00FB2791" w14:paraId="72D20188" w14:textId="77777777" w:rsidTr="00062DAE">
        <w:trPr>
          <w:gridAfter w:val="1"/>
          <w:wAfter w:w="8" w:type="dxa"/>
          <w:trHeight w:val="255"/>
        </w:trPr>
        <w:tc>
          <w:tcPr>
            <w:tcW w:w="11875" w:type="dxa"/>
            <w:gridSpan w:val="6"/>
            <w:vAlign w:val="center"/>
          </w:tcPr>
          <w:p w14:paraId="45EDDA9B" w14:textId="77777777" w:rsidR="0070579C" w:rsidRPr="00B420BA" w:rsidRDefault="0070579C" w:rsidP="00062DAE">
            <w:pPr>
              <w:spacing w:after="0" w:line="240" w:lineRule="auto"/>
              <w:jc w:val="right"/>
              <w:rPr>
                <w:rFonts w:eastAsia="Times New Roman"/>
                <w:sz w:val="20"/>
                <w:szCs w:val="20"/>
              </w:rPr>
            </w:pPr>
            <w:r w:rsidRPr="00B420BA">
              <w:rPr>
                <w:rFonts w:eastAsia="Times New Roman"/>
                <w:sz w:val="20"/>
                <w:szCs w:val="20"/>
              </w:rPr>
              <w:t> The progress of the objective can be described as:</w:t>
            </w:r>
          </w:p>
          <w:p w14:paraId="50E84EB0" w14:textId="29972852" w:rsidR="0070579C" w:rsidRPr="00B420BA" w:rsidRDefault="0070579C" w:rsidP="009422BC">
            <w:pPr>
              <w:spacing w:after="0" w:line="240" w:lineRule="auto"/>
              <w:jc w:val="center"/>
              <w:rPr>
                <w:rFonts w:eastAsia="Times New Roman"/>
                <w:sz w:val="20"/>
                <w:szCs w:val="20"/>
              </w:rPr>
            </w:pPr>
            <w:r>
              <w:rPr>
                <w:rFonts w:eastAsia="Times New Roman"/>
                <w:sz w:val="20"/>
                <w:szCs w:val="20"/>
              </w:rPr>
              <w:t xml:space="preserve"> Satisfactory</w:t>
            </w:r>
            <w:r w:rsidRPr="00B420BA">
              <w:rPr>
                <w:rFonts w:eastAsia="Times New Roman"/>
                <w:sz w:val="20"/>
                <w:szCs w:val="20"/>
              </w:rPr>
              <w:t> </w:t>
            </w:r>
          </w:p>
          <w:p w14:paraId="7B1FA2BB" w14:textId="77777777" w:rsidR="0070579C" w:rsidRDefault="0070579C" w:rsidP="00062DAE">
            <w:pPr>
              <w:spacing w:after="0" w:line="240" w:lineRule="auto"/>
              <w:jc w:val="center"/>
              <w:rPr>
                <w:rFonts w:eastAsia="Times New Roman"/>
                <w:sz w:val="20"/>
                <w:szCs w:val="20"/>
              </w:rPr>
            </w:pPr>
          </w:p>
        </w:tc>
        <w:tc>
          <w:tcPr>
            <w:tcW w:w="1440" w:type="dxa"/>
            <w:gridSpan w:val="2"/>
            <w:shd w:val="clear" w:color="auto" w:fill="auto"/>
            <w:noWrap/>
            <w:vAlign w:val="center"/>
          </w:tcPr>
          <w:p w14:paraId="07B2D640" w14:textId="43CC5266" w:rsidR="0070579C" w:rsidRDefault="0070579C" w:rsidP="00062DAE">
            <w:pPr>
              <w:spacing w:after="0" w:line="240" w:lineRule="auto"/>
              <w:jc w:val="center"/>
              <w:rPr>
                <w:rFonts w:eastAsia="Times New Roman"/>
                <w:sz w:val="20"/>
                <w:szCs w:val="20"/>
              </w:rPr>
            </w:pPr>
            <w:r>
              <w:rPr>
                <w:rFonts w:eastAsia="Times New Roman"/>
                <w:sz w:val="20"/>
                <w:szCs w:val="20"/>
              </w:rPr>
              <w:t xml:space="preserve">Average </w:t>
            </w:r>
            <w:r w:rsidR="002D61D6">
              <w:rPr>
                <w:rFonts w:eastAsia="Times New Roman"/>
                <w:sz w:val="20"/>
                <w:szCs w:val="20"/>
              </w:rPr>
              <w:t>89</w:t>
            </w:r>
            <w:r>
              <w:rPr>
                <w:rFonts w:eastAsia="Times New Roman"/>
                <w:sz w:val="20"/>
                <w:szCs w:val="20"/>
              </w:rPr>
              <w:t xml:space="preserve">% = </w:t>
            </w:r>
            <w:r w:rsidR="002D61D6">
              <w:rPr>
                <w:rFonts w:eastAsia="Times New Roman"/>
                <w:sz w:val="20"/>
                <w:szCs w:val="20"/>
              </w:rPr>
              <w:t>S</w:t>
            </w:r>
          </w:p>
        </w:tc>
      </w:tr>
      <w:bookmarkEnd w:id="147"/>
    </w:tbl>
    <w:p w14:paraId="7D91A5A7" w14:textId="77777777" w:rsidR="0070579C" w:rsidRPr="0013241D" w:rsidRDefault="0070579C" w:rsidP="0070579C"/>
    <w:p w14:paraId="578D038F" w14:textId="77777777" w:rsidR="0070579C" w:rsidRPr="0013241D" w:rsidRDefault="0070579C" w:rsidP="0070579C"/>
    <w:p w14:paraId="47C62AB8" w14:textId="687640D1" w:rsidR="0070579C" w:rsidRDefault="0070579C" w:rsidP="00D70CD3"/>
    <w:p w14:paraId="4B8CE300" w14:textId="5109D0C3" w:rsidR="009849B9" w:rsidRPr="00CD19E0" w:rsidRDefault="009849B9" w:rsidP="009849B9">
      <w:pPr>
        <w:pStyle w:val="Heading2"/>
      </w:pPr>
      <w:bookmarkStart w:id="148" w:name="_Toc88213932"/>
      <w:bookmarkStart w:id="149" w:name="_Toc96772523"/>
      <w:r w:rsidRPr="00CD19E0">
        <w:lastRenderedPageBreak/>
        <w:t xml:space="preserve">Annex </w:t>
      </w:r>
      <w:r>
        <w:t>12</w:t>
      </w:r>
      <w:r w:rsidRPr="00CD19E0">
        <w:t>. Project Risks</w:t>
      </w:r>
      <w:r>
        <w:t xml:space="preserve"> Management</w:t>
      </w:r>
      <w:r w:rsidRPr="00CD19E0">
        <w:t xml:space="preserve"> in the PIRs</w:t>
      </w:r>
      <w:bookmarkEnd w:id="148"/>
      <w:bookmarkEnd w:id="149"/>
    </w:p>
    <w:p w14:paraId="76ED4E97" w14:textId="06694873" w:rsidR="009849B9" w:rsidRDefault="009849B9" w:rsidP="009849B9">
      <w:pPr>
        <w:jc w:val="both"/>
      </w:pPr>
      <w:bookmarkStart w:id="150" w:name="_Hlk88111980"/>
      <w:r>
        <w:t>Risks Management (as reported in PIRs)</w:t>
      </w:r>
    </w:p>
    <w:bookmarkEnd w:id="150"/>
    <w:tbl>
      <w:tblPr>
        <w:tblStyle w:val="TableGrid"/>
        <w:tblW w:w="0" w:type="auto"/>
        <w:tblLook w:val="04A0" w:firstRow="1" w:lastRow="0" w:firstColumn="1" w:lastColumn="0" w:noHBand="0" w:noVBand="1"/>
      </w:tblPr>
      <w:tblGrid>
        <w:gridCol w:w="1165"/>
        <w:gridCol w:w="3510"/>
        <w:gridCol w:w="6210"/>
        <w:gridCol w:w="1710"/>
      </w:tblGrid>
      <w:tr w:rsidR="009849B9" w:rsidRPr="00E9398B" w14:paraId="4B93EFDB" w14:textId="77777777" w:rsidTr="00062DAE">
        <w:trPr>
          <w:trHeight w:val="300"/>
        </w:trPr>
        <w:tc>
          <w:tcPr>
            <w:tcW w:w="1165" w:type="dxa"/>
            <w:noWrap/>
            <w:hideMark/>
          </w:tcPr>
          <w:p w14:paraId="08ECDDA9" w14:textId="77777777" w:rsidR="009849B9" w:rsidRPr="00E9398B" w:rsidRDefault="009849B9" w:rsidP="00062DAE">
            <w:pPr>
              <w:rPr>
                <w:rFonts w:asciiTheme="minorHAnsi" w:hAnsiTheme="minorHAnsi" w:cstheme="minorHAnsi"/>
                <w:b/>
                <w:bCs/>
                <w:sz w:val="18"/>
                <w:szCs w:val="18"/>
              </w:rPr>
            </w:pPr>
          </w:p>
        </w:tc>
        <w:tc>
          <w:tcPr>
            <w:tcW w:w="3510" w:type="dxa"/>
            <w:noWrap/>
            <w:hideMark/>
          </w:tcPr>
          <w:p w14:paraId="020057F7" w14:textId="77777777" w:rsidR="009849B9" w:rsidRPr="00E9398B" w:rsidRDefault="009849B9" w:rsidP="00062DAE">
            <w:pPr>
              <w:rPr>
                <w:rFonts w:asciiTheme="minorHAnsi" w:hAnsiTheme="minorHAnsi" w:cstheme="minorHAnsi"/>
                <w:b/>
                <w:bCs/>
                <w:sz w:val="18"/>
                <w:szCs w:val="18"/>
              </w:rPr>
            </w:pPr>
            <w:r w:rsidRPr="00E9398B">
              <w:rPr>
                <w:rFonts w:asciiTheme="minorHAnsi" w:hAnsiTheme="minorHAnsi" w:cstheme="minorHAnsi"/>
                <w:b/>
                <w:bCs/>
                <w:sz w:val="18"/>
                <w:szCs w:val="18"/>
              </w:rPr>
              <w:t>RISK</w:t>
            </w:r>
          </w:p>
        </w:tc>
        <w:tc>
          <w:tcPr>
            <w:tcW w:w="6210" w:type="dxa"/>
            <w:noWrap/>
            <w:hideMark/>
          </w:tcPr>
          <w:p w14:paraId="623B61B7" w14:textId="77777777" w:rsidR="009849B9" w:rsidRPr="00E9398B" w:rsidRDefault="009849B9" w:rsidP="00062DAE">
            <w:pPr>
              <w:rPr>
                <w:rFonts w:asciiTheme="minorHAnsi" w:hAnsiTheme="minorHAnsi" w:cstheme="minorHAnsi"/>
                <w:b/>
                <w:bCs/>
                <w:sz w:val="18"/>
                <w:szCs w:val="18"/>
              </w:rPr>
            </w:pPr>
            <w:r w:rsidRPr="00E9398B">
              <w:rPr>
                <w:rFonts w:asciiTheme="minorHAnsi" w:hAnsiTheme="minorHAnsi" w:cstheme="minorHAnsi"/>
                <w:b/>
                <w:bCs/>
                <w:sz w:val="18"/>
                <w:szCs w:val="18"/>
              </w:rPr>
              <w:t>MANAGEMENT RESPONSE</w:t>
            </w:r>
          </w:p>
        </w:tc>
        <w:tc>
          <w:tcPr>
            <w:tcW w:w="1710" w:type="dxa"/>
            <w:hideMark/>
          </w:tcPr>
          <w:p w14:paraId="1B209229" w14:textId="77777777" w:rsidR="009849B9" w:rsidRPr="00E9398B" w:rsidRDefault="009849B9" w:rsidP="00062DAE">
            <w:pPr>
              <w:rPr>
                <w:rFonts w:asciiTheme="minorHAnsi" w:hAnsiTheme="minorHAnsi" w:cstheme="minorHAnsi"/>
                <w:b/>
                <w:bCs/>
                <w:sz w:val="18"/>
                <w:szCs w:val="18"/>
              </w:rPr>
            </w:pPr>
            <w:r w:rsidRPr="00E9398B">
              <w:rPr>
                <w:rFonts w:asciiTheme="minorHAnsi" w:hAnsiTheme="minorHAnsi" w:cstheme="minorHAnsi"/>
                <w:b/>
                <w:bCs/>
                <w:sz w:val="18"/>
                <w:szCs w:val="18"/>
              </w:rPr>
              <w:t>OVERALL RISK RATING</w:t>
            </w:r>
          </w:p>
        </w:tc>
      </w:tr>
      <w:tr w:rsidR="009849B9" w:rsidRPr="00E9398B" w14:paraId="07300204" w14:textId="77777777" w:rsidTr="00062DAE">
        <w:trPr>
          <w:trHeight w:val="728"/>
        </w:trPr>
        <w:tc>
          <w:tcPr>
            <w:tcW w:w="1165" w:type="dxa"/>
            <w:vMerge w:val="restart"/>
            <w:noWrap/>
            <w:vAlign w:val="center"/>
            <w:hideMark/>
          </w:tcPr>
          <w:p w14:paraId="056590E9" w14:textId="77777777" w:rsidR="009849B9" w:rsidRPr="00E9398B" w:rsidRDefault="009849B9" w:rsidP="00062DAE">
            <w:pPr>
              <w:jc w:val="center"/>
              <w:rPr>
                <w:rFonts w:asciiTheme="minorHAnsi" w:hAnsiTheme="minorHAnsi" w:cstheme="minorHAnsi"/>
                <w:sz w:val="18"/>
                <w:szCs w:val="18"/>
              </w:rPr>
            </w:pPr>
            <w:r w:rsidRPr="00E9398B">
              <w:rPr>
                <w:rFonts w:asciiTheme="minorHAnsi" w:hAnsiTheme="minorHAnsi" w:cstheme="minorHAnsi"/>
                <w:sz w:val="18"/>
                <w:szCs w:val="18"/>
              </w:rPr>
              <w:t>PIR 2019</w:t>
            </w:r>
          </w:p>
          <w:p w14:paraId="2474E0C9" w14:textId="77777777" w:rsidR="009849B9" w:rsidRPr="00E9398B" w:rsidRDefault="009849B9" w:rsidP="00062DAE">
            <w:pPr>
              <w:jc w:val="center"/>
              <w:rPr>
                <w:rFonts w:asciiTheme="minorHAnsi" w:hAnsiTheme="minorHAnsi" w:cstheme="minorHAnsi"/>
                <w:sz w:val="18"/>
                <w:szCs w:val="18"/>
              </w:rPr>
            </w:pPr>
          </w:p>
          <w:p w14:paraId="32E043F4" w14:textId="77777777" w:rsidR="009849B9" w:rsidRPr="00E9398B" w:rsidRDefault="009849B9" w:rsidP="00062DAE">
            <w:pPr>
              <w:jc w:val="center"/>
              <w:rPr>
                <w:rFonts w:asciiTheme="minorHAnsi" w:hAnsiTheme="minorHAnsi" w:cstheme="minorHAnsi"/>
                <w:sz w:val="18"/>
                <w:szCs w:val="18"/>
              </w:rPr>
            </w:pPr>
          </w:p>
          <w:p w14:paraId="609BC5AD" w14:textId="77777777" w:rsidR="009849B9" w:rsidRPr="00E9398B" w:rsidRDefault="009849B9" w:rsidP="00062DAE">
            <w:pPr>
              <w:jc w:val="center"/>
              <w:rPr>
                <w:rFonts w:asciiTheme="minorHAnsi" w:hAnsiTheme="minorHAnsi" w:cstheme="minorHAnsi"/>
                <w:sz w:val="18"/>
                <w:szCs w:val="18"/>
              </w:rPr>
            </w:pPr>
          </w:p>
          <w:p w14:paraId="52FB561D" w14:textId="77777777" w:rsidR="009849B9" w:rsidRPr="00E9398B" w:rsidRDefault="009849B9" w:rsidP="00062DAE">
            <w:pPr>
              <w:jc w:val="center"/>
              <w:rPr>
                <w:rFonts w:asciiTheme="minorHAnsi" w:hAnsiTheme="minorHAnsi" w:cstheme="minorHAnsi"/>
                <w:sz w:val="18"/>
                <w:szCs w:val="18"/>
              </w:rPr>
            </w:pPr>
          </w:p>
          <w:p w14:paraId="0F236F54" w14:textId="77777777" w:rsidR="009849B9" w:rsidRPr="00E9398B" w:rsidRDefault="009849B9" w:rsidP="00062DAE">
            <w:pPr>
              <w:jc w:val="center"/>
              <w:rPr>
                <w:rFonts w:asciiTheme="minorHAnsi" w:hAnsiTheme="minorHAnsi" w:cstheme="minorHAnsi"/>
                <w:sz w:val="18"/>
                <w:szCs w:val="18"/>
              </w:rPr>
            </w:pPr>
          </w:p>
          <w:p w14:paraId="5D72A65B" w14:textId="77777777" w:rsidR="009849B9" w:rsidRPr="00E9398B" w:rsidRDefault="009849B9" w:rsidP="00062DAE">
            <w:pPr>
              <w:jc w:val="center"/>
              <w:rPr>
                <w:rFonts w:asciiTheme="minorHAnsi" w:hAnsiTheme="minorHAnsi" w:cstheme="minorHAnsi"/>
                <w:sz w:val="18"/>
                <w:szCs w:val="18"/>
              </w:rPr>
            </w:pPr>
          </w:p>
          <w:p w14:paraId="1264DDC8" w14:textId="77777777" w:rsidR="009849B9" w:rsidRPr="00E9398B" w:rsidRDefault="009849B9" w:rsidP="00062DAE">
            <w:pPr>
              <w:jc w:val="center"/>
              <w:rPr>
                <w:rFonts w:asciiTheme="minorHAnsi" w:hAnsiTheme="minorHAnsi" w:cstheme="minorHAnsi"/>
                <w:sz w:val="18"/>
                <w:szCs w:val="18"/>
              </w:rPr>
            </w:pPr>
          </w:p>
        </w:tc>
        <w:tc>
          <w:tcPr>
            <w:tcW w:w="3510" w:type="dxa"/>
            <w:vMerge w:val="restart"/>
            <w:vAlign w:val="center"/>
            <w:hideMark/>
          </w:tcPr>
          <w:p w14:paraId="429D0AA3"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New Risk identified during project implementation (PIRs 2019 and 2020): </w:t>
            </w:r>
          </w:p>
          <w:p w14:paraId="1DADE5E9" w14:textId="77777777" w:rsidR="009849B9" w:rsidRPr="00E9398B" w:rsidRDefault="009849B9" w:rsidP="00062DAE">
            <w:pPr>
              <w:rPr>
                <w:rFonts w:asciiTheme="minorHAnsi" w:hAnsiTheme="minorHAnsi" w:cstheme="minorHAnsi"/>
                <w:sz w:val="18"/>
                <w:szCs w:val="18"/>
              </w:rPr>
            </w:pPr>
          </w:p>
          <w:p w14:paraId="3359D531"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 Risk: GGP Partners could disengage from GGP programme-level, coordination and integration activities. </w:t>
            </w:r>
          </w:p>
          <w:p w14:paraId="18547F76" w14:textId="77777777" w:rsidR="009849B9" w:rsidRPr="00E9398B" w:rsidRDefault="009849B9" w:rsidP="00062DAE">
            <w:pPr>
              <w:rPr>
                <w:rFonts w:asciiTheme="minorHAnsi" w:hAnsiTheme="minorHAnsi" w:cstheme="minorHAnsi"/>
                <w:sz w:val="18"/>
                <w:szCs w:val="18"/>
              </w:rPr>
            </w:pPr>
          </w:p>
          <w:p w14:paraId="7CAA905B"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This could be due to lack of appropriate budgeting and prioritization of programme-level activities as well as activities related to coordination and integration by other GGP child projects and partners.</w:t>
            </w:r>
          </w:p>
          <w:p w14:paraId="3670DFA1" w14:textId="77777777" w:rsidR="009849B9" w:rsidRPr="00E9398B" w:rsidRDefault="009849B9" w:rsidP="00062DAE">
            <w:pPr>
              <w:rPr>
                <w:rFonts w:asciiTheme="minorHAnsi" w:hAnsiTheme="minorHAnsi" w:cstheme="minorHAnsi"/>
                <w:sz w:val="18"/>
                <w:szCs w:val="18"/>
              </w:rPr>
            </w:pPr>
          </w:p>
          <w:p w14:paraId="234004F9"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The impact of this risk materializing would be not achieving a full integrated approach along the supply chain.</w:t>
            </w:r>
          </w:p>
          <w:p w14:paraId="6A0B83FE" w14:textId="77777777" w:rsidR="009849B9" w:rsidRPr="00E9398B" w:rsidRDefault="009849B9" w:rsidP="00062DAE">
            <w:pPr>
              <w:jc w:val="center"/>
              <w:rPr>
                <w:rFonts w:asciiTheme="minorHAnsi" w:hAnsiTheme="minorHAnsi" w:cstheme="minorHAnsi"/>
                <w:sz w:val="18"/>
                <w:szCs w:val="18"/>
              </w:rPr>
            </w:pPr>
          </w:p>
          <w:p w14:paraId="56D3A8AC" w14:textId="77777777" w:rsidR="009849B9" w:rsidRPr="00E9398B" w:rsidRDefault="009849B9" w:rsidP="00062DAE">
            <w:pPr>
              <w:jc w:val="center"/>
              <w:rPr>
                <w:rFonts w:asciiTheme="minorHAnsi" w:hAnsiTheme="minorHAnsi" w:cstheme="minorHAnsi"/>
                <w:sz w:val="18"/>
                <w:szCs w:val="18"/>
              </w:rPr>
            </w:pPr>
          </w:p>
          <w:p w14:paraId="10FAC2ED" w14:textId="77777777" w:rsidR="009849B9" w:rsidRPr="00E9398B" w:rsidRDefault="009849B9" w:rsidP="00062DAE">
            <w:pPr>
              <w:jc w:val="center"/>
              <w:rPr>
                <w:rFonts w:asciiTheme="minorHAnsi" w:hAnsiTheme="minorHAnsi" w:cstheme="minorHAnsi"/>
                <w:sz w:val="18"/>
                <w:szCs w:val="18"/>
              </w:rPr>
            </w:pPr>
          </w:p>
          <w:p w14:paraId="7F14BBE9" w14:textId="77777777" w:rsidR="009849B9" w:rsidRPr="00E9398B" w:rsidRDefault="009849B9" w:rsidP="00062DAE">
            <w:pPr>
              <w:jc w:val="center"/>
              <w:rPr>
                <w:rFonts w:asciiTheme="minorHAnsi" w:hAnsiTheme="minorHAnsi" w:cstheme="minorHAnsi"/>
                <w:sz w:val="18"/>
                <w:szCs w:val="18"/>
              </w:rPr>
            </w:pPr>
          </w:p>
          <w:p w14:paraId="5979D43A" w14:textId="77777777" w:rsidR="009849B9" w:rsidRPr="00E9398B" w:rsidRDefault="009849B9" w:rsidP="00062DAE">
            <w:pPr>
              <w:jc w:val="center"/>
              <w:rPr>
                <w:rFonts w:asciiTheme="minorHAnsi" w:hAnsiTheme="minorHAnsi" w:cstheme="minorHAnsi"/>
                <w:sz w:val="18"/>
                <w:szCs w:val="18"/>
              </w:rPr>
            </w:pPr>
          </w:p>
          <w:p w14:paraId="31CF9534" w14:textId="77777777" w:rsidR="009849B9" w:rsidRPr="00E9398B" w:rsidRDefault="009849B9" w:rsidP="00062DAE">
            <w:pPr>
              <w:jc w:val="center"/>
              <w:rPr>
                <w:rFonts w:asciiTheme="minorHAnsi" w:hAnsiTheme="minorHAnsi" w:cstheme="minorHAnsi"/>
                <w:sz w:val="18"/>
                <w:szCs w:val="18"/>
              </w:rPr>
            </w:pPr>
          </w:p>
          <w:p w14:paraId="039BC775" w14:textId="77777777" w:rsidR="009849B9" w:rsidRPr="00E9398B" w:rsidRDefault="009849B9" w:rsidP="00062DAE">
            <w:pPr>
              <w:jc w:val="center"/>
              <w:rPr>
                <w:rFonts w:asciiTheme="minorHAnsi" w:hAnsiTheme="minorHAnsi" w:cstheme="minorHAnsi"/>
                <w:sz w:val="18"/>
                <w:szCs w:val="18"/>
              </w:rPr>
            </w:pPr>
          </w:p>
        </w:tc>
        <w:tc>
          <w:tcPr>
            <w:tcW w:w="6210" w:type="dxa"/>
            <w:hideMark/>
          </w:tcPr>
          <w:p w14:paraId="0A3F85A2"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The A&amp;L team will look for efficiency gains and opportunities for burden reduction on the coordination side. This included so far: </w:t>
            </w:r>
          </w:p>
        </w:tc>
        <w:tc>
          <w:tcPr>
            <w:tcW w:w="1710" w:type="dxa"/>
            <w:vMerge w:val="restart"/>
            <w:noWrap/>
            <w:vAlign w:val="center"/>
            <w:hideMark/>
          </w:tcPr>
          <w:p w14:paraId="41F65F2F" w14:textId="77777777" w:rsidR="009849B9" w:rsidRPr="00E9398B" w:rsidRDefault="009849B9" w:rsidP="00062DAE">
            <w:pPr>
              <w:jc w:val="center"/>
              <w:rPr>
                <w:rFonts w:asciiTheme="minorHAnsi" w:hAnsiTheme="minorHAnsi" w:cstheme="minorHAnsi"/>
                <w:sz w:val="18"/>
                <w:szCs w:val="18"/>
              </w:rPr>
            </w:pPr>
            <w:r w:rsidRPr="00E9398B">
              <w:rPr>
                <w:rFonts w:asciiTheme="minorHAnsi" w:hAnsiTheme="minorHAnsi" w:cstheme="minorHAnsi"/>
                <w:sz w:val="18"/>
                <w:szCs w:val="18"/>
              </w:rPr>
              <w:t>Low</w:t>
            </w:r>
          </w:p>
          <w:p w14:paraId="23AE64EB" w14:textId="77777777" w:rsidR="009849B9" w:rsidRPr="00E9398B" w:rsidRDefault="009849B9" w:rsidP="00062DAE">
            <w:pPr>
              <w:jc w:val="center"/>
              <w:rPr>
                <w:rFonts w:asciiTheme="minorHAnsi" w:hAnsiTheme="minorHAnsi" w:cstheme="minorHAnsi"/>
                <w:sz w:val="18"/>
                <w:szCs w:val="18"/>
              </w:rPr>
            </w:pPr>
          </w:p>
          <w:p w14:paraId="746252DA" w14:textId="77777777" w:rsidR="009849B9" w:rsidRPr="00E9398B" w:rsidRDefault="009849B9" w:rsidP="00062DAE">
            <w:pPr>
              <w:jc w:val="center"/>
              <w:rPr>
                <w:rFonts w:asciiTheme="minorHAnsi" w:hAnsiTheme="minorHAnsi" w:cstheme="minorHAnsi"/>
                <w:sz w:val="18"/>
                <w:szCs w:val="18"/>
              </w:rPr>
            </w:pPr>
          </w:p>
          <w:p w14:paraId="7B1159F8" w14:textId="77777777" w:rsidR="009849B9" w:rsidRPr="00E9398B" w:rsidRDefault="009849B9" w:rsidP="00062DAE">
            <w:pPr>
              <w:jc w:val="center"/>
              <w:rPr>
                <w:rFonts w:asciiTheme="minorHAnsi" w:hAnsiTheme="minorHAnsi" w:cstheme="minorHAnsi"/>
                <w:sz w:val="18"/>
                <w:szCs w:val="18"/>
              </w:rPr>
            </w:pPr>
          </w:p>
          <w:p w14:paraId="63B58B22" w14:textId="77777777" w:rsidR="009849B9" w:rsidRPr="00E9398B" w:rsidRDefault="009849B9" w:rsidP="00062DAE">
            <w:pPr>
              <w:jc w:val="center"/>
              <w:rPr>
                <w:rFonts w:asciiTheme="minorHAnsi" w:hAnsiTheme="minorHAnsi" w:cstheme="minorHAnsi"/>
                <w:sz w:val="18"/>
                <w:szCs w:val="18"/>
              </w:rPr>
            </w:pPr>
          </w:p>
          <w:p w14:paraId="46A783EC" w14:textId="77777777" w:rsidR="009849B9" w:rsidRPr="00E9398B" w:rsidRDefault="009849B9" w:rsidP="00062DAE">
            <w:pPr>
              <w:jc w:val="center"/>
              <w:rPr>
                <w:rFonts w:asciiTheme="minorHAnsi" w:hAnsiTheme="minorHAnsi" w:cstheme="minorHAnsi"/>
                <w:sz w:val="18"/>
                <w:szCs w:val="18"/>
              </w:rPr>
            </w:pPr>
          </w:p>
          <w:p w14:paraId="237CD625" w14:textId="77777777" w:rsidR="009849B9" w:rsidRPr="00E9398B" w:rsidRDefault="009849B9" w:rsidP="00062DAE">
            <w:pPr>
              <w:jc w:val="center"/>
              <w:rPr>
                <w:rFonts w:asciiTheme="minorHAnsi" w:hAnsiTheme="minorHAnsi" w:cstheme="minorHAnsi"/>
                <w:sz w:val="18"/>
                <w:szCs w:val="18"/>
              </w:rPr>
            </w:pPr>
          </w:p>
        </w:tc>
      </w:tr>
      <w:tr w:rsidR="009849B9" w:rsidRPr="00E9398B" w14:paraId="10697434" w14:textId="77777777" w:rsidTr="00062DAE">
        <w:trPr>
          <w:trHeight w:val="510"/>
        </w:trPr>
        <w:tc>
          <w:tcPr>
            <w:tcW w:w="1165" w:type="dxa"/>
            <w:vMerge/>
            <w:noWrap/>
            <w:hideMark/>
          </w:tcPr>
          <w:p w14:paraId="57CA0C3F" w14:textId="77777777" w:rsidR="009849B9" w:rsidRPr="00E9398B" w:rsidRDefault="009849B9" w:rsidP="00062DAE">
            <w:pPr>
              <w:rPr>
                <w:rFonts w:asciiTheme="minorHAnsi" w:hAnsiTheme="minorHAnsi" w:cstheme="minorHAnsi"/>
                <w:sz w:val="18"/>
                <w:szCs w:val="18"/>
              </w:rPr>
            </w:pPr>
          </w:p>
        </w:tc>
        <w:tc>
          <w:tcPr>
            <w:tcW w:w="3510" w:type="dxa"/>
            <w:vMerge/>
            <w:hideMark/>
          </w:tcPr>
          <w:p w14:paraId="7D44C0F2" w14:textId="77777777" w:rsidR="009849B9" w:rsidRPr="00E9398B" w:rsidRDefault="009849B9" w:rsidP="00062DAE">
            <w:pPr>
              <w:rPr>
                <w:rFonts w:asciiTheme="minorHAnsi" w:hAnsiTheme="minorHAnsi" w:cstheme="minorHAnsi"/>
                <w:sz w:val="18"/>
                <w:szCs w:val="18"/>
              </w:rPr>
            </w:pPr>
          </w:p>
        </w:tc>
        <w:tc>
          <w:tcPr>
            <w:tcW w:w="6210" w:type="dxa"/>
            <w:hideMark/>
          </w:tcPr>
          <w:p w14:paraId="51AB11FA" w14:textId="77777777" w:rsidR="009849B9" w:rsidRPr="00E9398B" w:rsidRDefault="009849B9" w:rsidP="00D80344">
            <w:pPr>
              <w:pStyle w:val="ListParagraph"/>
              <w:widowControl/>
              <w:numPr>
                <w:ilvl w:val="0"/>
                <w:numId w:val="64"/>
              </w:numPr>
              <w:autoSpaceDE/>
              <w:autoSpaceDN/>
              <w:spacing w:before="0"/>
              <w:contextualSpacing/>
              <w:rPr>
                <w:rFonts w:asciiTheme="minorHAnsi" w:hAnsiTheme="minorHAnsi" w:cstheme="minorHAnsi"/>
                <w:sz w:val="18"/>
                <w:szCs w:val="18"/>
              </w:rPr>
            </w:pPr>
            <w:r w:rsidRPr="00E9398B">
              <w:rPr>
                <w:rFonts w:asciiTheme="minorHAnsi" w:hAnsiTheme="minorHAnsi" w:cstheme="minorHAnsi"/>
                <w:sz w:val="18"/>
                <w:szCs w:val="18"/>
              </w:rPr>
              <w:t xml:space="preserve">Provision of support for the production of the inter-agency integrated workplans at the country level, </w:t>
            </w:r>
          </w:p>
        </w:tc>
        <w:tc>
          <w:tcPr>
            <w:tcW w:w="1710" w:type="dxa"/>
            <w:vMerge/>
            <w:noWrap/>
            <w:hideMark/>
          </w:tcPr>
          <w:p w14:paraId="2ADD8CA6" w14:textId="77777777" w:rsidR="009849B9" w:rsidRPr="00E9398B" w:rsidRDefault="009849B9" w:rsidP="00062DAE">
            <w:pPr>
              <w:rPr>
                <w:rFonts w:asciiTheme="minorHAnsi" w:hAnsiTheme="minorHAnsi" w:cstheme="minorHAnsi"/>
                <w:sz w:val="18"/>
                <w:szCs w:val="18"/>
              </w:rPr>
            </w:pPr>
          </w:p>
        </w:tc>
      </w:tr>
      <w:tr w:rsidR="009849B9" w:rsidRPr="00E9398B" w14:paraId="6E90BCA3" w14:textId="77777777" w:rsidTr="00062DAE">
        <w:trPr>
          <w:trHeight w:val="510"/>
        </w:trPr>
        <w:tc>
          <w:tcPr>
            <w:tcW w:w="1165" w:type="dxa"/>
            <w:vMerge/>
            <w:noWrap/>
            <w:hideMark/>
          </w:tcPr>
          <w:p w14:paraId="389BB5B3" w14:textId="77777777" w:rsidR="009849B9" w:rsidRPr="00E9398B" w:rsidRDefault="009849B9" w:rsidP="00062DAE">
            <w:pPr>
              <w:rPr>
                <w:rFonts w:asciiTheme="minorHAnsi" w:hAnsiTheme="minorHAnsi" w:cstheme="minorHAnsi"/>
                <w:sz w:val="18"/>
                <w:szCs w:val="18"/>
              </w:rPr>
            </w:pPr>
          </w:p>
        </w:tc>
        <w:tc>
          <w:tcPr>
            <w:tcW w:w="3510" w:type="dxa"/>
            <w:vMerge/>
            <w:hideMark/>
          </w:tcPr>
          <w:p w14:paraId="48966074" w14:textId="77777777" w:rsidR="009849B9" w:rsidRPr="00E9398B" w:rsidRDefault="009849B9" w:rsidP="00062DAE">
            <w:pPr>
              <w:rPr>
                <w:rFonts w:asciiTheme="minorHAnsi" w:hAnsiTheme="minorHAnsi" w:cstheme="minorHAnsi"/>
                <w:sz w:val="18"/>
                <w:szCs w:val="18"/>
              </w:rPr>
            </w:pPr>
          </w:p>
        </w:tc>
        <w:tc>
          <w:tcPr>
            <w:tcW w:w="6210" w:type="dxa"/>
            <w:hideMark/>
          </w:tcPr>
          <w:p w14:paraId="4BFF2678" w14:textId="77777777" w:rsidR="009849B9" w:rsidRPr="00E9398B" w:rsidRDefault="009849B9" w:rsidP="00D80344">
            <w:pPr>
              <w:pStyle w:val="ListParagraph"/>
              <w:widowControl/>
              <w:numPr>
                <w:ilvl w:val="0"/>
                <w:numId w:val="64"/>
              </w:numPr>
              <w:autoSpaceDE/>
              <w:autoSpaceDN/>
              <w:spacing w:before="0"/>
              <w:contextualSpacing/>
              <w:rPr>
                <w:rFonts w:asciiTheme="minorHAnsi" w:hAnsiTheme="minorHAnsi" w:cstheme="minorHAnsi"/>
                <w:sz w:val="18"/>
                <w:szCs w:val="18"/>
              </w:rPr>
            </w:pPr>
            <w:r w:rsidRPr="00E9398B">
              <w:rPr>
                <w:rFonts w:asciiTheme="minorHAnsi" w:hAnsiTheme="minorHAnsi" w:cstheme="minorHAnsi"/>
                <w:sz w:val="18"/>
                <w:szCs w:val="18"/>
              </w:rPr>
              <w:t xml:space="preserve">Evolution of the format of the GGP Secretariat calls (these are not any more mandatory for country teams every month) </w:t>
            </w:r>
          </w:p>
        </w:tc>
        <w:tc>
          <w:tcPr>
            <w:tcW w:w="1710" w:type="dxa"/>
            <w:vMerge/>
            <w:noWrap/>
            <w:hideMark/>
          </w:tcPr>
          <w:p w14:paraId="1673ABC1" w14:textId="77777777" w:rsidR="009849B9" w:rsidRPr="00E9398B" w:rsidRDefault="009849B9" w:rsidP="00062DAE">
            <w:pPr>
              <w:rPr>
                <w:rFonts w:asciiTheme="minorHAnsi" w:hAnsiTheme="minorHAnsi" w:cstheme="minorHAnsi"/>
                <w:sz w:val="18"/>
                <w:szCs w:val="18"/>
              </w:rPr>
            </w:pPr>
          </w:p>
        </w:tc>
      </w:tr>
      <w:tr w:rsidR="009849B9" w:rsidRPr="00E9398B" w14:paraId="0C983EFA" w14:textId="77777777" w:rsidTr="00062DAE">
        <w:trPr>
          <w:trHeight w:val="300"/>
        </w:trPr>
        <w:tc>
          <w:tcPr>
            <w:tcW w:w="1165" w:type="dxa"/>
            <w:vMerge/>
            <w:noWrap/>
            <w:hideMark/>
          </w:tcPr>
          <w:p w14:paraId="41A1BBE4" w14:textId="77777777" w:rsidR="009849B9" w:rsidRPr="00E9398B" w:rsidRDefault="009849B9" w:rsidP="00062DAE">
            <w:pPr>
              <w:rPr>
                <w:rFonts w:asciiTheme="minorHAnsi" w:hAnsiTheme="minorHAnsi" w:cstheme="minorHAnsi"/>
                <w:sz w:val="18"/>
                <w:szCs w:val="18"/>
              </w:rPr>
            </w:pPr>
          </w:p>
        </w:tc>
        <w:tc>
          <w:tcPr>
            <w:tcW w:w="3510" w:type="dxa"/>
            <w:vMerge/>
            <w:hideMark/>
          </w:tcPr>
          <w:p w14:paraId="74B1EB46" w14:textId="77777777" w:rsidR="009849B9" w:rsidRPr="00E9398B" w:rsidRDefault="009849B9" w:rsidP="00062DAE">
            <w:pPr>
              <w:rPr>
                <w:rFonts w:asciiTheme="minorHAnsi" w:hAnsiTheme="minorHAnsi" w:cstheme="minorHAnsi"/>
                <w:sz w:val="18"/>
                <w:szCs w:val="18"/>
              </w:rPr>
            </w:pPr>
          </w:p>
        </w:tc>
        <w:tc>
          <w:tcPr>
            <w:tcW w:w="6210" w:type="dxa"/>
            <w:hideMark/>
          </w:tcPr>
          <w:p w14:paraId="689BC746" w14:textId="77777777" w:rsidR="009849B9" w:rsidRPr="00E9398B" w:rsidRDefault="009849B9" w:rsidP="00D80344">
            <w:pPr>
              <w:pStyle w:val="ListParagraph"/>
              <w:widowControl/>
              <w:numPr>
                <w:ilvl w:val="0"/>
                <w:numId w:val="64"/>
              </w:numPr>
              <w:autoSpaceDE/>
              <w:autoSpaceDN/>
              <w:spacing w:before="0"/>
              <w:contextualSpacing/>
              <w:rPr>
                <w:rFonts w:asciiTheme="minorHAnsi" w:hAnsiTheme="minorHAnsi" w:cstheme="minorHAnsi"/>
                <w:sz w:val="18"/>
                <w:szCs w:val="18"/>
              </w:rPr>
            </w:pPr>
            <w:r w:rsidRPr="00E9398B">
              <w:rPr>
                <w:rFonts w:asciiTheme="minorHAnsi" w:hAnsiTheme="minorHAnsi" w:cstheme="minorHAnsi"/>
                <w:sz w:val="18"/>
                <w:szCs w:val="18"/>
              </w:rPr>
              <w:t xml:space="preserve">Requests to review documents rather than to provide inputs </w:t>
            </w:r>
          </w:p>
        </w:tc>
        <w:tc>
          <w:tcPr>
            <w:tcW w:w="1710" w:type="dxa"/>
            <w:vMerge/>
            <w:noWrap/>
            <w:hideMark/>
          </w:tcPr>
          <w:p w14:paraId="3B38C988" w14:textId="77777777" w:rsidR="009849B9" w:rsidRPr="00E9398B" w:rsidRDefault="009849B9" w:rsidP="00062DAE">
            <w:pPr>
              <w:rPr>
                <w:rFonts w:asciiTheme="minorHAnsi" w:hAnsiTheme="minorHAnsi" w:cstheme="minorHAnsi"/>
                <w:sz w:val="18"/>
                <w:szCs w:val="18"/>
              </w:rPr>
            </w:pPr>
          </w:p>
        </w:tc>
      </w:tr>
      <w:tr w:rsidR="009849B9" w:rsidRPr="00E9398B" w14:paraId="308821CB" w14:textId="77777777" w:rsidTr="00062DAE">
        <w:trPr>
          <w:trHeight w:val="765"/>
        </w:trPr>
        <w:tc>
          <w:tcPr>
            <w:tcW w:w="1165" w:type="dxa"/>
            <w:vMerge/>
            <w:noWrap/>
            <w:hideMark/>
          </w:tcPr>
          <w:p w14:paraId="47B4A4C2" w14:textId="77777777" w:rsidR="009849B9" w:rsidRPr="00E9398B" w:rsidRDefault="009849B9" w:rsidP="00062DAE">
            <w:pPr>
              <w:rPr>
                <w:rFonts w:asciiTheme="minorHAnsi" w:hAnsiTheme="minorHAnsi" w:cstheme="minorHAnsi"/>
                <w:sz w:val="18"/>
                <w:szCs w:val="18"/>
              </w:rPr>
            </w:pPr>
          </w:p>
        </w:tc>
        <w:tc>
          <w:tcPr>
            <w:tcW w:w="3510" w:type="dxa"/>
            <w:vMerge/>
            <w:hideMark/>
          </w:tcPr>
          <w:p w14:paraId="78217932" w14:textId="77777777" w:rsidR="009849B9" w:rsidRPr="00E9398B" w:rsidRDefault="009849B9" w:rsidP="00062DAE">
            <w:pPr>
              <w:rPr>
                <w:rFonts w:asciiTheme="minorHAnsi" w:hAnsiTheme="minorHAnsi" w:cstheme="minorHAnsi"/>
                <w:sz w:val="18"/>
                <w:szCs w:val="18"/>
              </w:rPr>
            </w:pPr>
          </w:p>
        </w:tc>
        <w:tc>
          <w:tcPr>
            <w:tcW w:w="6210" w:type="dxa"/>
            <w:hideMark/>
          </w:tcPr>
          <w:p w14:paraId="37336162" w14:textId="77777777" w:rsidR="009849B9" w:rsidRPr="00E9398B" w:rsidRDefault="009849B9" w:rsidP="00D80344">
            <w:pPr>
              <w:pStyle w:val="ListParagraph"/>
              <w:widowControl/>
              <w:numPr>
                <w:ilvl w:val="0"/>
                <w:numId w:val="64"/>
              </w:numPr>
              <w:autoSpaceDE/>
              <w:autoSpaceDN/>
              <w:spacing w:before="0"/>
              <w:contextualSpacing/>
              <w:rPr>
                <w:rFonts w:asciiTheme="minorHAnsi" w:hAnsiTheme="minorHAnsi" w:cstheme="minorHAnsi"/>
                <w:sz w:val="18"/>
                <w:szCs w:val="18"/>
              </w:rPr>
            </w:pPr>
            <w:r w:rsidRPr="00E9398B">
              <w:rPr>
                <w:rFonts w:asciiTheme="minorHAnsi" w:hAnsiTheme="minorHAnsi" w:cstheme="minorHAnsi"/>
                <w:sz w:val="18"/>
                <w:szCs w:val="18"/>
              </w:rPr>
              <w:t xml:space="preserve">Creation of the quarterly calendar of inputs requested so that GGP Partners are aware in advance of GGP requests and can better integrate them in their workplan  </w:t>
            </w:r>
          </w:p>
        </w:tc>
        <w:tc>
          <w:tcPr>
            <w:tcW w:w="1710" w:type="dxa"/>
            <w:vMerge/>
            <w:noWrap/>
            <w:hideMark/>
          </w:tcPr>
          <w:p w14:paraId="492BCDEF" w14:textId="77777777" w:rsidR="009849B9" w:rsidRPr="00E9398B" w:rsidRDefault="009849B9" w:rsidP="00062DAE">
            <w:pPr>
              <w:rPr>
                <w:rFonts w:asciiTheme="minorHAnsi" w:hAnsiTheme="minorHAnsi" w:cstheme="minorHAnsi"/>
                <w:sz w:val="18"/>
                <w:szCs w:val="18"/>
              </w:rPr>
            </w:pPr>
          </w:p>
        </w:tc>
      </w:tr>
      <w:tr w:rsidR="009849B9" w:rsidRPr="00E9398B" w14:paraId="1B2548BB" w14:textId="77777777" w:rsidTr="00062DAE">
        <w:trPr>
          <w:trHeight w:val="765"/>
        </w:trPr>
        <w:tc>
          <w:tcPr>
            <w:tcW w:w="1165" w:type="dxa"/>
            <w:vMerge/>
            <w:noWrap/>
            <w:hideMark/>
          </w:tcPr>
          <w:p w14:paraId="718525A9" w14:textId="77777777" w:rsidR="009849B9" w:rsidRPr="00E9398B" w:rsidRDefault="009849B9" w:rsidP="00062DAE">
            <w:pPr>
              <w:rPr>
                <w:rFonts w:asciiTheme="minorHAnsi" w:hAnsiTheme="minorHAnsi" w:cstheme="minorHAnsi"/>
                <w:sz w:val="18"/>
                <w:szCs w:val="18"/>
              </w:rPr>
            </w:pPr>
          </w:p>
        </w:tc>
        <w:tc>
          <w:tcPr>
            <w:tcW w:w="3510" w:type="dxa"/>
            <w:vMerge/>
            <w:hideMark/>
          </w:tcPr>
          <w:p w14:paraId="1C02B816" w14:textId="77777777" w:rsidR="009849B9" w:rsidRPr="00E9398B" w:rsidRDefault="009849B9" w:rsidP="00062DAE">
            <w:pPr>
              <w:rPr>
                <w:rFonts w:asciiTheme="minorHAnsi" w:hAnsiTheme="minorHAnsi" w:cstheme="minorHAnsi"/>
                <w:sz w:val="18"/>
                <w:szCs w:val="18"/>
              </w:rPr>
            </w:pPr>
          </w:p>
        </w:tc>
        <w:tc>
          <w:tcPr>
            <w:tcW w:w="6210" w:type="dxa"/>
            <w:hideMark/>
          </w:tcPr>
          <w:p w14:paraId="2F5CE8DA" w14:textId="77777777" w:rsidR="009849B9" w:rsidRPr="00E9398B" w:rsidRDefault="009849B9" w:rsidP="00D80344">
            <w:pPr>
              <w:pStyle w:val="ListParagraph"/>
              <w:widowControl/>
              <w:numPr>
                <w:ilvl w:val="0"/>
                <w:numId w:val="64"/>
              </w:numPr>
              <w:autoSpaceDE/>
              <w:autoSpaceDN/>
              <w:spacing w:before="0"/>
              <w:contextualSpacing/>
              <w:rPr>
                <w:rFonts w:asciiTheme="minorHAnsi" w:hAnsiTheme="minorHAnsi" w:cstheme="minorHAnsi"/>
                <w:sz w:val="18"/>
                <w:szCs w:val="18"/>
              </w:rPr>
            </w:pPr>
            <w:r w:rsidRPr="00E9398B">
              <w:rPr>
                <w:rFonts w:asciiTheme="minorHAnsi" w:hAnsiTheme="minorHAnsi" w:cstheme="minorHAnsi"/>
                <w:sz w:val="18"/>
                <w:szCs w:val="18"/>
              </w:rPr>
              <w:t xml:space="preserve">Definition of priority programme-level activities for 2019 defined during the A&amp;L workshop and to be similarly defined at the beginning of 2020 and 2021 with GGP Partners. </w:t>
            </w:r>
          </w:p>
        </w:tc>
        <w:tc>
          <w:tcPr>
            <w:tcW w:w="1710" w:type="dxa"/>
            <w:vMerge/>
            <w:noWrap/>
            <w:hideMark/>
          </w:tcPr>
          <w:p w14:paraId="1A5DCA44" w14:textId="77777777" w:rsidR="009849B9" w:rsidRPr="00E9398B" w:rsidRDefault="009849B9" w:rsidP="00062DAE">
            <w:pPr>
              <w:rPr>
                <w:rFonts w:asciiTheme="minorHAnsi" w:hAnsiTheme="minorHAnsi" w:cstheme="minorHAnsi"/>
                <w:sz w:val="18"/>
                <w:szCs w:val="18"/>
              </w:rPr>
            </w:pPr>
          </w:p>
        </w:tc>
      </w:tr>
      <w:tr w:rsidR="009849B9" w:rsidRPr="00E9398B" w14:paraId="5F67C7A1" w14:textId="77777777" w:rsidTr="00062DAE">
        <w:trPr>
          <w:trHeight w:val="300"/>
        </w:trPr>
        <w:tc>
          <w:tcPr>
            <w:tcW w:w="1165" w:type="dxa"/>
            <w:vMerge/>
            <w:noWrap/>
            <w:hideMark/>
          </w:tcPr>
          <w:p w14:paraId="0063DFFD" w14:textId="77777777" w:rsidR="009849B9" w:rsidRPr="00E9398B" w:rsidRDefault="009849B9" w:rsidP="00062DAE">
            <w:pPr>
              <w:rPr>
                <w:rFonts w:asciiTheme="minorHAnsi" w:hAnsiTheme="minorHAnsi" w:cstheme="minorHAnsi"/>
                <w:sz w:val="18"/>
                <w:szCs w:val="18"/>
              </w:rPr>
            </w:pPr>
          </w:p>
        </w:tc>
        <w:tc>
          <w:tcPr>
            <w:tcW w:w="3510" w:type="dxa"/>
            <w:vMerge/>
            <w:hideMark/>
          </w:tcPr>
          <w:p w14:paraId="1294AD47" w14:textId="77777777" w:rsidR="009849B9" w:rsidRPr="00E9398B" w:rsidRDefault="009849B9" w:rsidP="00062DAE">
            <w:pPr>
              <w:rPr>
                <w:rFonts w:asciiTheme="minorHAnsi" w:hAnsiTheme="minorHAnsi" w:cstheme="minorHAnsi"/>
                <w:sz w:val="18"/>
                <w:szCs w:val="18"/>
              </w:rPr>
            </w:pPr>
          </w:p>
        </w:tc>
        <w:tc>
          <w:tcPr>
            <w:tcW w:w="6210" w:type="dxa"/>
            <w:hideMark/>
          </w:tcPr>
          <w:p w14:paraId="6CC83164"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Coordination and integration efforts will be prioritized at the country level.  </w:t>
            </w:r>
          </w:p>
        </w:tc>
        <w:tc>
          <w:tcPr>
            <w:tcW w:w="1710" w:type="dxa"/>
            <w:vMerge/>
            <w:noWrap/>
            <w:hideMark/>
          </w:tcPr>
          <w:p w14:paraId="571BC52A" w14:textId="77777777" w:rsidR="009849B9" w:rsidRPr="00E9398B" w:rsidRDefault="009849B9" w:rsidP="00062DAE">
            <w:pPr>
              <w:rPr>
                <w:rFonts w:asciiTheme="minorHAnsi" w:hAnsiTheme="minorHAnsi" w:cstheme="minorHAnsi"/>
                <w:sz w:val="18"/>
                <w:szCs w:val="18"/>
              </w:rPr>
            </w:pPr>
          </w:p>
        </w:tc>
      </w:tr>
      <w:tr w:rsidR="009849B9" w:rsidRPr="00E9398B" w14:paraId="2596CE13" w14:textId="77777777" w:rsidTr="00062DAE">
        <w:trPr>
          <w:trHeight w:val="1275"/>
        </w:trPr>
        <w:tc>
          <w:tcPr>
            <w:tcW w:w="1165" w:type="dxa"/>
            <w:vMerge/>
            <w:noWrap/>
            <w:hideMark/>
          </w:tcPr>
          <w:p w14:paraId="2B62507E" w14:textId="77777777" w:rsidR="009849B9" w:rsidRPr="00E9398B" w:rsidRDefault="009849B9" w:rsidP="00062DAE">
            <w:pPr>
              <w:rPr>
                <w:rFonts w:asciiTheme="minorHAnsi" w:hAnsiTheme="minorHAnsi" w:cstheme="minorHAnsi"/>
                <w:sz w:val="18"/>
                <w:szCs w:val="18"/>
              </w:rPr>
            </w:pPr>
          </w:p>
        </w:tc>
        <w:tc>
          <w:tcPr>
            <w:tcW w:w="3510" w:type="dxa"/>
            <w:vMerge/>
            <w:hideMark/>
          </w:tcPr>
          <w:p w14:paraId="75B6C5EA" w14:textId="77777777" w:rsidR="009849B9" w:rsidRPr="00E9398B" w:rsidRDefault="009849B9" w:rsidP="00062DAE">
            <w:pPr>
              <w:rPr>
                <w:rFonts w:asciiTheme="minorHAnsi" w:hAnsiTheme="minorHAnsi" w:cstheme="minorHAnsi"/>
                <w:sz w:val="18"/>
                <w:szCs w:val="18"/>
              </w:rPr>
            </w:pPr>
          </w:p>
        </w:tc>
        <w:tc>
          <w:tcPr>
            <w:tcW w:w="6210" w:type="dxa"/>
            <w:hideMark/>
          </w:tcPr>
          <w:p w14:paraId="7FD3A188"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It was agreed during the June GGP Steering Committee that an internal working document capturing GGP Reflections &amp; Actions on Integration will be produced reviewing progress achieved so far related to integration, and exploring challenges faced by GGP Partners at the global and country levels to make integration happen. </w:t>
            </w:r>
          </w:p>
        </w:tc>
        <w:tc>
          <w:tcPr>
            <w:tcW w:w="1710" w:type="dxa"/>
            <w:noWrap/>
            <w:hideMark/>
          </w:tcPr>
          <w:p w14:paraId="74E8E49A"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w:t>
            </w:r>
          </w:p>
        </w:tc>
      </w:tr>
      <w:tr w:rsidR="009849B9" w:rsidRPr="00E9398B" w14:paraId="1BBAA171" w14:textId="77777777" w:rsidTr="00062DAE">
        <w:trPr>
          <w:trHeight w:val="1250"/>
        </w:trPr>
        <w:tc>
          <w:tcPr>
            <w:tcW w:w="1165" w:type="dxa"/>
            <w:noWrap/>
            <w:hideMark/>
          </w:tcPr>
          <w:p w14:paraId="256C788F"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PIR 2020</w:t>
            </w:r>
          </w:p>
        </w:tc>
        <w:tc>
          <w:tcPr>
            <w:tcW w:w="3510" w:type="dxa"/>
            <w:hideMark/>
          </w:tcPr>
          <w:p w14:paraId="4D59CEA1"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Risk: GGP Partners could disengage from GGP programme-level coordination and integration activities, considering that these activities are not budgeted in other GGP child projects and not considered as a priority for them. </w:t>
            </w:r>
          </w:p>
          <w:p w14:paraId="0958D7AD" w14:textId="77777777" w:rsidR="009849B9" w:rsidRPr="00E9398B" w:rsidRDefault="009849B9" w:rsidP="00062DAE">
            <w:pPr>
              <w:rPr>
                <w:rFonts w:asciiTheme="minorHAnsi" w:hAnsiTheme="minorHAnsi" w:cstheme="minorHAnsi"/>
                <w:sz w:val="18"/>
                <w:szCs w:val="18"/>
              </w:rPr>
            </w:pPr>
          </w:p>
          <w:p w14:paraId="3056AB84"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Programme-level activities will not represent the whole GGP programme if inputs from some child projects are missing, and coordination and integration could not effectively happen if all GGP Partners are not collaborating.</w:t>
            </w:r>
          </w:p>
        </w:tc>
        <w:tc>
          <w:tcPr>
            <w:tcW w:w="6210" w:type="dxa"/>
            <w:hideMark/>
          </w:tcPr>
          <w:p w14:paraId="07FEAC1E"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Management Response: A discussion on potential solutions to address this risk was started during the A&amp;L workshop (7-8 February 2019) and it was agreed that the A&amp;L team will look for efficiency gains and opportunities for burden reduction on the coordination side and that coordination and integration efforts will be prioritized at the country level. Priority programme-level activities for 2019 and 2020 were also defined during the A&amp;L workshop and will similarly be defined at the beginning of 2021 with GGP Partners. A mechanism aiming at helping GGP Partners in terms of work planning was established in 2019 with a quarterly calendar informing the Partners of the inputs that will be requested from them in the next quarter, and several reporting activities to the GGP Steering Committee were streamlined and replaced by monthly updates selected by the A&amp;L team from GGP Secretariat calls. With the COVID-19 pandemic and the increased workload of all the Partners needing to focus on the implementation and adaptation of their own child project, GGP Partners were given the opportunity to review the 2020 integrated annual workplan and to remove some joint activities </w:t>
            </w:r>
            <w:r w:rsidRPr="00E9398B">
              <w:rPr>
                <w:rFonts w:asciiTheme="minorHAnsi" w:hAnsiTheme="minorHAnsi" w:cstheme="minorHAnsi"/>
                <w:sz w:val="18"/>
                <w:szCs w:val="18"/>
              </w:rPr>
              <w:lastRenderedPageBreak/>
              <w:t>discussed at the A&amp;L workshop at the beginning of 2020. An internal paper capturing successes, challenges and lessons learned related to GGP integration was also drafted in 2019 and finalized in 2020 in order to continue this reflection and ensure these learnings will be taken into consideration in future project design. This design challenge and related lesson learned was also communicated during the Integrated Approach Pilot (IAP) Technical workshop organized in May 2020 by the GEF.</w:t>
            </w:r>
          </w:p>
        </w:tc>
        <w:tc>
          <w:tcPr>
            <w:tcW w:w="1710" w:type="dxa"/>
            <w:noWrap/>
            <w:hideMark/>
          </w:tcPr>
          <w:p w14:paraId="501DA11C"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lastRenderedPageBreak/>
              <w:t>Level: Substantial</w:t>
            </w:r>
          </w:p>
        </w:tc>
      </w:tr>
      <w:tr w:rsidR="009849B9" w:rsidRPr="00E9398B" w14:paraId="1AEE3449" w14:textId="77777777" w:rsidTr="00062DAE">
        <w:trPr>
          <w:trHeight w:val="2700"/>
        </w:trPr>
        <w:tc>
          <w:tcPr>
            <w:tcW w:w="1165" w:type="dxa"/>
            <w:noWrap/>
            <w:hideMark/>
          </w:tcPr>
          <w:p w14:paraId="61D01F9A"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PIR 2021</w:t>
            </w:r>
          </w:p>
        </w:tc>
        <w:tc>
          <w:tcPr>
            <w:tcW w:w="3510" w:type="dxa"/>
            <w:hideMark/>
          </w:tcPr>
          <w:p w14:paraId="08592F97" w14:textId="3662921B"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xml:space="preserve">one additional risk was entered in the Risk Register in relation to not achieving the objective-level target on supply chain partnership facilitated in GGP countries (one per country), given the difficulties faced for the concretization of such partnerships in Brazil, Liberia, and Paraguay. </w:t>
            </w:r>
          </w:p>
        </w:tc>
        <w:tc>
          <w:tcPr>
            <w:tcW w:w="6210" w:type="dxa"/>
            <w:noWrap/>
            <w:hideMark/>
          </w:tcPr>
          <w:p w14:paraId="608362C2" w14:textId="616B10B5"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 </w:t>
            </w:r>
            <w:r w:rsidR="00776FEC" w:rsidRPr="00E9398B">
              <w:rPr>
                <w:rFonts w:asciiTheme="minorHAnsi" w:hAnsiTheme="minorHAnsi" w:cstheme="minorHAnsi"/>
                <w:sz w:val="18"/>
                <w:szCs w:val="18"/>
              </w:rPr>
              <w:t xml:space="preserve">A discussion on this target was organized at the GGP Steering Committee meeting in October 2020, and regular follow up with each country team has been done to maximize the project chances of achieving it. This has born fruits since </w:t>
            </w:r>
            <w:r w:rsidR="00DF3C0D">
              <w:rPr>
                <w:rFonts w:asciiTheme="minorHAnsi" w:hAnsiTheme="minorHAnsi" w:cstheme="minorHAnsi"/>
                <w:sz w:val="18"/>
                <w:szCs w:val="18"/>
              </w:rPr>
              <w:t xml:space="preserve"> the project is</w:t>
            </w:r>
            <w:r w:rsidR="00776FEC" w:rsidRPr="00E9398B">
              <w:rPr>
                <w:rFonts w:asciiTheme="minorHAnsi" w:hAnsiTheme="minorHAnsi" w:cstheme="minorHAnsi"/>
                <w:sz w:val="18"/>
                <w:szCs w:val="18"/>
              </w:rPr>
              <w:t xml:space="preserve"> now on track to achieve the target and likely to exceed it by project end.</w:t>
            </w:r>
          </w:p>
        </w:tc>
        <w:tc>
          <w:tcPr>
            <w:tcW w:w="1710" w:type="dxa"/>
            <w:noWrap/>
            <w:hideMark/>
          </w:tcPr>
          <w:p w14:paraId="2B70A171" w14:textId="77777777" w:rsidR="009849B9" w:rsidRPr="00E9398B" w:rsidRDefault="009849B9" w:rsidP="00062DAE">
            <w:pPr>
              <w:rPr>
                <w:rFonts w:asciiTheme="minorHAnsi" w:hAnsiTheme="minorHAnsi" w:cstheme="minorHAnsi"/>
                <w:sz w:val="18"/>
                <w:szCs w:val="18"/>
              </w:rPr>
            </w:pPr>
            <w:r w:rsidRPr="00E9398B">
              <w:rPr>
                <w:rFonts w:asciiTheme="minorHAnsi" w:hAnsiTheme="minorHAnsi" w:cstheme="minorHAnsi"/>
                <w:sz w:val="18"/>
                <w:szCs w:val="18"/>
              </w:rPr>
              <w:t>Low</w:t>
            </w:r>
          </w:p>
        </w:tc>
      </w:tr>
    </w:tbl>
    <w:p w14:paraId="3F588BE4" w14:textId="77777777" w:rsidR="009849B9" w:rsidRDefault="009849B9" w:rsidP="009849B9"/>
    <w:p w14:paraId="42FB8C95" w14:textId="2560023E" w:rsidR="009849B9" w:rsidRDefault="009849B9" w:rsidP="009849B9"/>
    <w:p w14:paraId="6F42BE4A" w14:textId="6E8B1ECE" w:rsidR="007E41B9" w:rsidRDefault="007E41B9" w:rsidP="009849B9"/>
    <w:p w14:paraId="6A29C3D6" w14:textId="5F4AE472" w:rsidR="007E41B9" w:rsidRDefault="007E41B9" w:rsidP="009849B9"/>
    <w:p w14:paraId="572AE558" w14:textId="23AD4B72" w:rsidR="007E41B9" w:rsidRDefault="007E41B9" w:rsidP="009849B9"/>
    <w:p w14:paraId="4A340C29" w14:textId="49C36021" w:rsidR="007E41B9" w:rsidRDefault="007E41B9" w:rsidP="009849B9"/>
    <w:p w14:paraId="674BA6A8" w14:textId="5C455E9C" w:rsidR="007E41B9" w:rsidRDefault="007E41B9" w:rsidP="009849B9"/>
    <w:p w14:paraId="6C4B6FDE" w14:textId="250F98C0" w:rsidR="007E41B9" w:rsidRDefault="007E41B9" w:rsidP="009849B9"/>
    <w:p w14:paraId="6263D663" w14:textId="2B248F99" w:rsidR="007E41B9" w:rsidRDefault="007E41B9" w:rsidP="009849B9"/>
    <w:p w14:paraId="34A5AF2F" w14:textId="533E664E" w:rsidR="007E41B9" w:rsidRDefault="007E41B9" w:rsidP="009849B9"/>
    <w:p w14:paraId="1BE79C13" w14:textId="1F5B414C" w:rsidR="007E41B9" w:rsidRDefault="007E41B9" w:rsidP="009849B9"/>
    <w:p w14:paraId="0AE4C386" w14:textId="052DA707" w:rsidR="007E41B9" w:rsidRDefault="007E41B9" w:rsidP="009849B9"/>
    <w:p w14:paraId="436D65A0" w14:textId="56E079CC" w:rsidR="007E41B9" w:rsidRDefault="007E41B9" w:rsidP="009849B9"/>
    <w:p w14:paraId="5F5C798E" w14:textId="77777777" w:rsidR="007E41B9" w:rsidRPr="0013241D" w:rsidRDefault="007E41B9" w:rsidP="007E41B9"/>
    <w:p w14:paraId="79B01539" w14:textId="45954D5B" w:rsidR="007E41B9" w:rsidRDefault="007E41B9" w:rsidP="007E41B9">
      <w:pPr>
        <w:pStyle w:val="Heading2"/>
      </w:pPr>
      <w:bookmarkStart w:id="151" w:name="_Toc88213936"/>
      <w:bookmarkStart w:id="152" w:name="_Toc96772524"/>
      <w:r>
        <w:t>Annex 13. Programme KPIs Status by June 2021</w:t>
      </w:r>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0"/>
      </w:tblGrid>
      <w:tr w:rsidR="007E41B9" w:rsidRPr="005F50D6" w14:paraId="5991035B" w14:textId="77777777" w:rsidTr="00062DAE">
        <w:trPr>
          <w:trHeight w:val="300"/>
        </w:trPr>
        <w:tc>
          <w:tcPr>
            <w:tcW w:w="5000" w:type="pct"/>
            <w:shd w:val="clear" w:color="auto" w:fill="auto"/>
            <w:noWrap/>
            <w:vAlign w:val="bottom"/>
            <w:hideMark/>
          </w:tcPr>
          <w:p w14:paraId="732B2756" w14:textId="77777777" w:rsidR="007E41B9" w:rsidRPr="005F50D6" w:rsidRDefault="007E41B9" w:rsidP="00062DAE">
            <w:pPr>
              <w:spacing w:after="0" w:line="240" w:lineRule="auto"/>
              <w:rPr>
                <w:rFonts w:ascii="Times New Roman" w:eastAsia="Times New Roman" w:hAnsi="Times New Roman" w:cs="Times New Roman"/>
                <w:sz w:val="24"/>
                <w:szCs w:val="24"/>
              </w:rPr>
            </w:pPr>
          </w:p>
        </w:tc>
      </w:tr>
      <w:tr w:rsidR="007E41B9" w:rsidRPr="005F50D6" w14:paraId="00BEB670" w14:textId="77777777" w:rsidTr="00062DAE">
        <w:trPr>
          <w:trHeight w:val="300"/>
        </w:trPr>
        <w:tc>
          <w:tcPr>
            <w:tcW w:w="5000" w:type="pct"/>
            <w:shd w:val="clear" w:color="auto" w:fill="F7CAAC" w:themeFill="accent2" w:themeFillTint="66"/>
            <w:noWrap/>
            <w:vAlign w:val="bottom"/>
          </w:tcPr>
          <w:p w14:paraId="2B3A904D" w14:textId="77777777" w:rsidR="007E41B9" w:rsidRPr="005F50D6" w:rsidRDefault="007E41B9" w:rsidP="00062DAE">
            <w:pPr>
              <w:spacing w:after="0" w:line="240" w:lineRule="auto"/>
              <w:rPr>
                <w:rFonts w:ascii="Arial" w:eastAsia="Times New Roman" w:hAnsi="Arial" w:cs="Arial"/>
                <w:b/>
                <w:bCs/>
                <w:color w:val="000000"/>
                <w:sz w:val="20"/>
                <w:szCs w:val="20"/>
              </w:rPr>
            </w:pPr>
            <w:r w:rsidRPr="00391E48">
              <w:rPr>
                <w:rFonts w:ascii="Arial" w:eastAsia="Times New Roman" w:hAnsi="Arial" w:cs="Arial"/>
                <w:b/>
                <w:bCs/>
                <w:color w:val="000000"/>
                <w:sz w:val="20"/>
                <w:szCs w:val="20"/>
              </w:rPr>
              <w:t>Strengthening the enabling environment to facilitate reduced deforestation in commodity supply chains through responsible demand, adequate policymaking, and increased financing to sustainable commodity production</w:t>
            </w:r>
          </w:p>
        </w:tc>
      </w:tr>
      <w:tr w:rsidR="007E41B9" w:rsidRPr="005F50D6" w14:paraId="0220C55D" w14:textId="77777777" w:rsidTr="00062DAE">
        <w:trPr>
          <w:trHeight w:val="300"/>
        </w:trPr>
        <w:tc>
          <w:tcPr>
            <w:tcW w:w="5000" w:type="pct"/>
            <w:shd w:val="clear" w:color="auto" w:fill="F7CAAC" w:themeFill="accent2" w:themeFillTint="66"/>
            <w:noWrap/>
            <w:vAlign w:val="bottom"/>
            <w:hideMark/>
          </w:tcPr>
          <w:p w14:paraId="2F699FB6" w14:textId="77777777" w:rsidR="007E41B9" w:rsidRPr="005F50D6" w:rsidRDefault="007E41B9" w:rsidP="00062DAE">
            <w:pPr>
              <w:spacing w:after="0" w:line="240" w:lineRule="auto"/>
              <w:rPr>
                <w:rFonts w:ascii="Arial" w:eastAsia="Times New Roman" w:hAnsi="Arial" w:cs="Arial"/>
                <w:b/>
                <w:bCs/>
                <w:color w:val="000000"/>
                <w:sz w:val="20"/>
                <w:szCs w:val="20"/>
              </w:rPr>
            </w:pPr>
            <w:r w:rsidRPr="005F50D6">
              <w:rPr>
                <w:rFonts w:ascii="Arial" w:eastAsia="Times New Roman" w:hAnsi="Arial" w:cs="Arial"/>
                <w:b/>
                <w:bCs/>
                <w:color w:val="000000"/>
                <w:sz w:val="20"/>
                <w:szCs w:val="20"/>
              </w:rPr>
              <w:t>Brief Description</w:t>
            </w:r>
          </w:p>
        </w:tc>
      </w:tr>
      <w:tr w:rsidR="007E41B9" w:rsidRPr="005F50D6" w14:paraId="42147994" w14:textId="77777777" w:rsidTr="00062DAE">
        <w:trPr>
          <w:trHeight w:val="300"/>
        </w:trPr>
        <w:tc>
          <w:tcPr>
            <w:tcW w:w="5000" w:type="pct"/>
            <w:shd w:val="clear" w:color="auto" w:fill="F7CAAC" w:themeFill="accent2" w:themeFillTint="66"/>
            <w:noWrap/>
            <w:vAlign w:val="bottom"/>
          </w:tcPr>
          <w:p w14:paraId="3E404143" w14:textId="77777777" w:rsidR="007E41B9" w:rsidRPr="005F50D6" w:rsidRDefault="007E41B9" w:rsidP="00062DAE">
            <w:pPr>
              <w:spacing w:after="0" w:line="240" w:lineRule="auto"/>
              <w:rPr>
                <w:rFonts w:ascii="Arial" w:eastAsia="Times New Roman" w:hAnsi="Arial" w:cs="Arial"/>
                <w:b/>
                <w:bCs/>
                <w:color w:val="000000"/>
                <w:sz w:val="20"/>
                <w:szCs w:val="20"/>
              </w:rPr>
            </w:pPr>
            <w:r w:rsidRPr="00391E48">
              <w:rPr>
                <w:rFonts w:ascii="Arial" w:eastAsia="Times New Roman" w:hAnsi="Arial" w:cs="Arial"/>
                <w:b/>
                <w:bCs/>
                <w:color w:val="000000"/>
                <w:sz w:val="20"/>
                <w:szCs w:val="20"/>
              </w:rPr>
              <w:t># of financial tools, products or regulations developed or identified and disseminated that support investment in sustainable production</w:t>
            </w:r>
          </w:p>
        </w:tc>
      </w:tr>
      <w:tr w:rsidR="007E41B9" w:rsidRPr="005F50D6" w14:paraId="6D24FC73" w14:textId="77777777" w:rsidTr="00062DAE">
        <w:trPr>
          <w:trHeight w:val="890"/>
        </w:trPr>
        <w:tc>
          <w:tcPr>
            <w:tcW w:w="5000" w:type="pct"/>
            <w:shd w:val="clear" w:color="D9EAD3" w:fill="D9EAD3"/>
            <w:vAlign w:val="center"/>
            <w:hideMark/>
          </w:tcPr>
          <w:p w14:paraId="2688E77A"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 xml:space="preserve">44 financial tools, products or regulations developed or identified and disseminated that support investment in sustainable production and land restoration. </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The Demand project has 2 products that support investment in sustainable production:</w:t>
            </w:r>
            <w:r w:rsidRPr="005F50D6">
              <w:rPr>
                <w:rFonts w:eastAsia="Times New Roman"/>
                <w:color w:val="000000"/>
              </w:rPr>
              <w:br/>
              <w:t>- An E-Learning module developed for investors will be launched in June 2021. It aims to develop a series of e-learning modules under the Agriculture, Forests, and Fisheries (AAF) series.</w:t>
            </w:r>
            <w:r w:rsidRPr="005F50D6">
              <w:rPr>
                <w:rFonts w:eastAsia="Times New Roman"/>
                <w:color w:val="000000"/>
              </w:rPr>
              <w:br/>
              <w:t>- The RESPOND framework and tool. RESPOND (Resilient and Sustainable Portfolios that Protect Nature and Drive Decarbonization) is a tool developed by WWF that reviews asset managers’ disclosures about their implementation of responsible investment (RI).</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Transactions</w:t>
            </w:r>
            <w:r w:rsidRPr="005F50D6">
              <w:rPr>
                <w:rFonts w:ascii="Arial" w:eastAsia="Times New Roman" w:hAnsi="Arial" w:cs="Arial"/>
                <w:b/>
                <w:bCs/>
                <w:color w:val="000000"/>
                <w:sz w:val="20"/>
                <w:szCs w:val="20"/>
              </w:rPr>
              <w:br/>
            </w:r>
            <w:r w:rsidRPr="005F50D6">
              <w:rPr>
                <w:rFonts w:eastAsia="Times New Roman"/>
                <w:color w:val="000000"/>
              </w:rPr>
              <w:t>Transactions has 1 value-at-risk model, supported 1 policy and developed 1 training programme through which they capacitated 32 financial institutions.</w:t>
            </w:r>
            <w:r w:rsidRPr="005F50D6">
              <w:rPr>
                <w:rFonts w:eastAsia="Times New Roman"/>
                <w:color w:val="000000"/>
              </w:rPr>
              <w:br/>
              <w:t xml:space="preserve">- UNEP FI developed 1 value-at-risk model for the palm oil driver of deforestation in Indonesia. The model provides a financial assessment of trade-offs for sustainable vs Business as Usual production for clients of a bank. The tool has been developed and disseminated to the GGP partners only so far. </w:t>
            </w:r>
            <w:r w:rsidRPr="005F50D6">
              <w:rPr>
                <w:rFonts w:eastAsia="Times New Roman"/>
                <w:color w:val="000000"/>
              </w:rPr>
              <w:br/>
              <w:t>- In Paraguay, UNEP FI supported 1 policy named "Norm 8 implementation" to enable reduced deforestation supply chains through mandating ESG integration</w:t>
            </w:r>
            <w:r w:rsidRPr="005F50D6">
              <w:rPr>
                <w:rFonts w:eastAsia="Times New Roman"/>
                <w:color w:val="000000"/>
              </w:rPr>
              <w:br/>
              <w:t>- UNEP FI engaged and trained 32 financial institutions in sustainable finance and responsible investments in Brazil, including 1 financial institution (Rabobank), engaged by IFC. The number of financial institutions are not included in the aggregated number, only the 1 training provided.</w:t>
            </w:r>
            <w:r w:rsidRPr="005F50D6">
              <w:rPr>
                <w:rFonts w:eastAsia="Times New Roman"/>
                <w:color w:val="000000"/>
              </w:rPr>
              <w:br/>
              <w:t>Moreover, UNEP FI has identified 38 new financial products supporting the production of reduced deforestation commodities, and their potential role in funding the transition to reduced deforestation commodity production clearly delineated (26 financial products that support zero deforestation commodity production + 12 including support on restoration).</w:t>
            </w:r>
            <w:r w:rsidRPr="005F50D6">
              <w:rPr>
                <w:rFonts w:eastAsia="Times New Roman"/>
                <w:color w:val="000000"/>
              </w:rPr>
              <w:br/>
              <w:t xml:space="preserve">Additionally, IFC has 1 business case finalized and 2 other underway. Only the 1 business case finalized is counted in the aggregated number: </w:t>
            </w:r>
            <w:r w:rsidRPr="005F50D6">
              <w:rPr>
                <w:rFonts w:eastAsia="Times New Roman"/>
                <w:color w:val="000000"/>
              </w:rPr>
              <w:br/>
              <w:t xml:space="preserve">1 business case finalized: </w:t>
            </w:r>
            <w:r w:rsidRPr="005F50D6">
              <w:rPr>
                <w:rFonts w:eastAsia="Times New Roman"/>
                <w:color w:val="000000"/>
              </w:rPr>
              <w:br/>
              <w:t>- a business case for sustainable beef production in Paraguay, which was developed with Neuland.</w:t>
            </w:r>
            <w:r w:rsidRPr="005F50D6">
              <w:rPr>
                <w:rFonts w:eastAsia="Times New Roman"/>
                <w:color w:val="000000"/>
              </w:rPr>
              <w:br/>
              <w:t>2 business cases underway:</w:t>
            </w:r>
            <w:r w:rsidRPr="005F50D6">
              <w:rPr>
                <w:rFonts w:eastAsia="Times New Roman"/>
                <w:color w:val="000000"/>
              </w:rPr>
              <w:br/>
            </w:r>
            <w:r w:rsidRPr="005F50D6">
              <w:rPr>
                <w:rFonts w:eastAsia="Times New Roman"/>
                <w:color w:val="000000"/>
              </w:rPr>
              <w:lastRenderedPageBreak/>
              <w:t xml:space="preserve">- a business case for soy production on degraded land </w:t>
            </w:r>
            <w:r w:rsidRPr="005F50D6">
              <w:rPr>
                <w:rFonts w:eastAsia="Times New Roman"/>
                <w:color w:val="000000"/>
              </w:rPr>
              <w:br/>
              <w:t>- a business case for soy and pasture improvement on degraded land.</w:t>
            </w:r>
          </w:p>
        </w:tc>
      </w:tr>
      <w:tr w:rsidR="007E41B9" w:rsidRPr="005F50D6" w14:paraId="71E3E985" w14:textId="77777777" w:rsidTr="00062DAE">
        <w:trPr>
          <w:trHeight w:val="800"/>
        </w:trPr>
        <w:tc>
          <w:tcPr>
            <w:tcW w:w="5000" w:type="pct"/>
            <w:shd w:val="clear" w:color="auto" w:fill="F7CAAC" w:themeFill="accent2" w:themeFillTint="66"/>
            <w:vAlign w:val="bottom"/>
          </w:tcPr>
          <w:p w14:paraId="3EF5AC68" w14:textId="77777777" w:rsidR="007E41B9" w:rsidRPr="00391E48" w:rsidRDefault="007E41B9" w:rsidP="00062DAE">
            <w:pPr>
              <w:spacing w:after="0" w:line="240" w:lineRule="auto"/>
              <w:rPr>
                <w:rFonts w:ascii="Arial" w:eastAsia="Times New Roman" w:hAnsi="Arial" w:cs="Arial"/>
                <w:b/>
                <w:bCs/>
                <w:color w:val="000000"/>
                <w:sz w:val="20"/>
                <w:szCs w:val="20"/>
              </w:rPr>
            </w:pPr>
            <w:r w:rsidRPr="00391E48">
              <w:rPr>
                <w:rFonts w:ascii="Arial" w:eastAsia="Times New Roman" w:hAnsi="Arial" w:cs="Arial"/>
                <w:b/>
                <w:bCs/>
                <w:color w:val="000000"/>
                <w:sz w:val="20"/>
                <w:szCs w:val="20"/>
              </w:rPr>
              <w:lastRenderedPageBreak/>
              <w:t>Strengthening the enabling environment to facilitate reduced deforestation in commodity supply chains through responsible demand, adequate policymaking, and increased financing to sustainable commodity production</w:t>
            </w:r>
          </w:p>
        </w:tc>
      </w:tr>
      <w:tr w:rsidR="007E41B9" w:rsidRPr="005F50D6" w14:paraId="5DAA5AEC" w14:textId="77777777" w:rsidTr="00062DAE">
        <w:trPr>
          <w:trHeight w:val="800"/>
        </w:trPr>
        <w:tc>
          <w:tcPr>
            <w:tcW w:w="5000" w:type="pct"/>
            <w:shd w:val="clear" w:color="auto" w:fill="F7CAAC" w:themeFill="accent2" w:themeFillTint="66"/>
            <w:vAlign w:val="bottom"/>
          </w:tcPr>
          <w:p w14:paraId="4F82880E" w14:textId="77777777" w:rsidR="007E41B9" w:rsidRPr="00391E48" w:rsidRDefault="007E41B9" w:rsidP="00062DAE">
            <w:pPr>
              <w:spacing w:after="0" w:line="240" w:lineRule="auto"/>
              <w:rPr>
                <w:rFonts w:ascii="Arial" w:eastAsia="Times New Roman" w:hAnsi="Arial" w:cs="Arial"/>
                <w:b/>
                <w:bCs/>
                <w:color w:val="000000"/>
                <w:sz w:val="20"/>
                <w:szCs w:val="20"/>
              </w:rPr>
            </w:pPr>
            <w:r w:rsidRPr="005E641C">
              <w:rPr>
                <w:rFonts w:ascii="Arial" w:eastAsia="Times New Roman" w:hAnsi="Arial" w:cs="Arial"/>
                <w:b/>
                <w:bCs/>
                <w:color w:val="000000"/>
                <w:sz w:val="20"/>
                <w:szCs w:val="20"/>
              </w:rPr>
              <w:t># of financial institutions and insurance companies with increased capacities on assessing sustainable commodity supply chains for ESG including forest risks, in order to make relevant investment/portfolio decisions.</w:t>
            </w:r>
          </w:p>
        </w:tc>
      </w:tr>
      <w:tr w:rsidR="007E41B9" w:rsidRPr="005F50D6" w14:paraId="4EE12A4E" w14:textId="77777777" w:rsidTr="00062DAE">
        <w:trPr>
          <w:trHeight w:val="800"/>
        </w:trPr>
        <w:tc>
          <w:tcPr>
            <w:tcW w:w="5000" w:type="pct"/>
            <w:shd w:val="clear" w:color="auto" w:fill="E2EFD9" w:themeFill="accent6" w:themeFillTint="33"/>
            <w:vAlign w:val="bottom"/>
          </w:tcPr>
          <w:p w14:paraId="6B6F07C4" w14:textId="2FD8DAC8" w:rsidR="007E41B9" w:rsidRPr="005E641C" w:rsidRDefault="007E41B9" w:rsidP="00062DAE">
            <w:pPr>
              <w:rPr>
                <w:rFonts w:ascii="Arial" w:eastAsia="Times New Roman" w:hAnsi="Arial" w:cs="Arial"/>
                <w:color w:val="000000"/>
                <w:sz w:val="20"/>
                <w:szCs w:val="20"/>
              </w:rPr>
            </w:pPr>
            <w:r>
              <w:rPr>
                <w:rFonts w:ascii="Arial" w:hAnsi="Arial" w:cs="Arial"/>
                <w:color w:val="000000"/>
                <w:sz w:val="20"/>
                <w:szCs w:val="20"/>
              </w:rPr>
              <w:t xml:space="preserve">136 financial institutions and insurance companies with increased capacities on assessing sustainable commodity supply chains for ESG including forest risks, in order to make relevant investment/portfolio decisions. </w:t>
            </w:r>
            <w:r>
              <w:rPr>
                <w:rFonts w:ascii="Arial" w:hAnsi="Arial" w:cs="Arial"/>
                <w:color w:val="000000"/>
                <w:sz w:val="20"/>
                <w:szCs w:val="20"/>
              </w:rPr>
              <w:br/>
            </w:r>
            <w:r>
              <w:rPr>
                <w:rFonts w:ascii="Arial" w:hAnsi="Arial" w:cs="Arial"/>
                <w:color w:val="000000"/>
                <w:sz w:val="20"/>
                <w:szCs w:val="20"/>
              </w:rPr>
              <w:br/>
            </w:r>
            <w:r>
              <w:rPr>
                <w:rFonts w:ascii="Arial" w:hAnsi="Arial" w:cs="Arial"/>
                <w:b/>
                <w:bCs/>
                <w:color w:val="000000"/>
                <w:sz w:val="20"/>
                <w:szCs w:val="20"/>
              </w:rPr>
              <w:t>Demand</w:t>
            </w:r>
            <w:r>
              <w:rPr>
                <w:rFonts w:ascii="Arial" w:hAnsi="Arial" w:cs="Arial"/>
                <w:b/>
                <w:bCs/>
                <w:color w:val="000000"/>
                <w:sz w:val="20"/>
                <w:szCs w:val="20"/>
              </w:rPr>
              <w:br/>
            </w:r>
            <w:r>
              <w:rPr>
                <w:rFonts w:ascii="Arial" w:hAnsi="Arial" w:cs="Arial"/>
                <w:color w:val="000000"/>
                <w:sz w:val="20"/>
                <w:szCs w:val="20"/>
              </w:rPr>
              <w:t>The Demand project increased the capacity of 84 financial institutions (including investors and asset managers) on assessing sustainable commodity supply chains for Environmental Social Governance. The financial institutions self-reported the increase in their capacity via surveys after workshops, trainings or bilateral engagements. The latter refers to customized trainings with individual financial institutions.</w:t>
            </w:r>
            <w:r>
              <w:rPr>
                <w:rFonts w:ascii="Arial" w:hAnsi="Arial" w:cs="Arial"/>
                <w:color w:val="000000"/>
                <w:sz w:val="20"/>
                <w:szCs w:val="20"/>
              </w:rPr>
              <w:br/>
            </w:r>
            <w:r>
              <w:rPr>
                <w:rFonts w:ascii="Arial" w:hAnsi="Arial" w:cs="Arial"/>
                <w:color w:val="000000"/>
                <w:sz w:val="20"/>
                <w:szCs w:val="20"/>
              </w:rPr>
              <w:br/>
            </w:r>
            <w:r>
              <w:rPr>
                <w:rFonts w:ascii="Arial" w:hAnsi="Arial" w:cs="Arial"/>
                <w:b/>
                <w:bCs/>
                <w:color w:val="000000"/>
                <w:sz w:val="20"/>
                <w:szCs w:val="20"/>
              </w:rPr>
              <w:t>Transactions</w:t>
            </w:r>
            <w:r>
              <w:rPr>
                <w:rFonts w:ascii="Arial" w:hAnsi="Arial" w:cs="Arial"/>
                <w:b/>
                <w:bCs/>
                <w:color w:val="000000"/>
                <w:sz w:val="20"/>
                <w:szCs w:val="20"/>
              </w:rPr>
              <w:br/>
            </w:r>
            <w:r>
              <w:rPr>
                <w:rFonts w:ascii="Arial" w:hAnsi="Arial" w:cs="Arial"/>
                <w:color w:val="000000"/>
                <w:sz w:val="20"/>
                <w:szCs w:val="20"/>
              </w:rPr>
              <w:t>Transactions reached out to 52 financial institutions. UNEP FI provided training (4 modules) to three banking associations, composed of 31 banks and 1 central bank in Brazil on land use risks in commodity production. The banks ranged from SME banks, development banks and commercial banks which offer rural credit. In addition, over 20 banks who are members of the Sustainable Finance Roundtable in Paraguay participated in a series of capacity building seminars on impact investing/financing to meet the SDGs.</w:t>
            </w:r>
          </w:p>
          <w:p w14:paraId="1D89E9F5" w14:textId="77777777" w:rsidR="007E41B9" w:rsidRPr="005E641C" w:rsidRDefault="007E41B9" w:rsidP="00062DAE">
            <w:pPr>
              <w:spacing w:after="0" w:line="240" w:lineRule="auto"/>
              <w:rPr>
                <w:rFonts w:ascii="Arial" w:eastAsia="Times New Roman" w:hAnsi="Arial" w:cs="Arial"/>
                <w:b/>
                <w:bCs/>
                <w:color w:val="000000"/>
                <w:sz w:val="20"/>
                <w:szCs w:val="20"/>
              </w:rPr>
            </w:pPr>
          </w:p>
        </w:tc>
      </w:tr>
      <w:tr w:rsidR="007E41B9" w:rsidRPr="005F50D6" w14:paraId="1734984F" w14:textId="77777777" w:rsidTr="00062DAE">
        <w:trPr>
          <w:trHeight w:val="800"/>
        </w:trPr>
        <w:tc>
          <w:tcPr>
            <w:tcW w:w="5000" w:type="pct"/>
            <w:shd w:val="clear" w:color="auto" w:fill="F7CAAC" w:themeFill="accent2" w:themeFillTint="66"/>
            <w:vAlign w:val="bottom"/>
          </w:tcPr>
          <w:p w14:paraId="2F20C50F" w14:textId="77777777" w:rsidR="007E41B9" w:rsidRPr="00391E48" w:rsidRDefault="007E41B9" w:rsidP="00062DAE">
            <w:pPr>
              <w:spacing w:after="0" w:line="240" w:lineRule="auto"/>
              <w:rPr>
                <w:rFonts w:ascii="Arial" w:eastAsia="Times New Roman" w:hAnsi="Arial" w:cs="Arial"/>
                <w:b/>
                <w:bCs/>
                <w:color w:val="000000"/>
                <w:sz w:val="20"/>
                <w:szCs w:val="20"/>
              </w:rPr>
            </w:pPr>
            <w:r w:rsidRPr="00391E48">
              <w:rPr>
                <w:rFonts w:ascii="Arial" w:eastAsia="Times New Roman" w:hAnsi="Arial" w:cs="Arial"/>
                <w:b/>
                <w:bCs/>
                <w:color w:val="000000"/>
                <w:sz w:val="20"/>
                <w:szCs w:val="20"/>
              </w:rPr>
              <w:t>Strengthening the enabling environment to facilitate reduced deforestation in commodity supply chains through responsible demand, adequate policymaking, and increased financing to sustainable commodity production</w:t>
            </w:r>
          </w:p>
        </w:tc>
      </w:tr>
      <w:tr w:rsidR="007E41B9" w:rsidRPr="005F50D6" w14:paraId="0D199D38" w14:textId="77777777" w:rsidTr="00062DAE">
        <w:trPr>
          <w:trHeight w:val="800"/>
        </w:trPr>
        <w:tc>
          <w:tcPr>
            <w:tcW w:w="5000" w:type="pct"/>
            <w:shd w:val="clear" w:color="auto" w:fill="F7CAAC" w:themeFill="accent2" w:themeFillTint="66"/>
            <w:vAlign w:val="bottom"/>
          </w:tcPr>
          <w:p w14:paraId="57C3C997" w14:textId="77777777" w:rsidR="007E41B9" w:rsidRPr="00391E48" w:rsidRDefault="007E41B9" w:rsidP="00062DAE">
            <w:pPr>
              <w:spacing w:after="0" w:line="240" w:lineRule="auto"/>
              <w:rPr>
                <w:rFonts w:ascii="Arial" w:eastAsia="Times New Roman" w:hAnsi="Arial" w:cs="Arial"/>
                <w:b/>
                <w:bCs/>
                <w:color w:val="000000"/>
                <w:sz w:val="20"/>
                <w:szCs w:val="20"/>
              </w:rPr>
            </w:pPr>
            <w:r w:rsidRPr="005E641C">
              <w:rPr>
                <w:rFonts w:ascii="Arial" w:eastAsia="Times New Roman" w:hAnsi="Arial" w:cs="Arial"/>
                <w:b/>
                <w:bCs/>
                <w:color w:val="000000"/>
                <w:sz w:val="20"/>
                <w:szCs w:val="20"/>
              </w:rPr>
              <w:t>$ of new investment supporting sustainable production and investment and loans screened for deforestation related risks, fostered by GGP´s interventions.</w:t>
            </w:r>
          </w:p>
        </w:tc>
      </w:tr>
      <w:tr w:rsidR="007E41B9" w:rsidRPr="005F50D6" w14:paraId="6A4D328D" w14:textId="77777777" w:rsidTr="00062DAE">
        <w:trPr>
          <w:trHeight w:val="800"/>
        </w:trPr>
        <w:tc>
          <w:tcPr>
            <w:tcW w:w="5000" w:type="pct"/>
            <w:shd w:val="clear" w:color="auto" w:fill="E2EFD9" w:themeFill="accent6" w:themeFillTint="33"/>
            <w:vAlign w:val="bottom"/>
          </w:tcPr>
          <w:p w14:paraId="2AB12E62" w14:textId="77777777" w:rsidR="007E41B9" w:rsidRPr="00C8265C" w:rsidRDefault="007E41B9" w:rsidP="00062DAE">
            <w:pPr>
              <w:rPr>
                <w:rFonts w:ascii="Arial" w:eastAsia="Times New Roman" w:hAnsi="Arial" w:cs="Arial"/>
                <w:color w:val="000000"/>
                <w:sz w:val="20"/>
                <w:szCs w:val="20"/>
              </w:rPr>
            </w:pPr>
            <w:r>
              <w:rPr>
                <w:rFonts w:ascii="Arial" w:hAnsi="Arial" w:cs="Arial"/>
                <w:color w:val="000000"/>
                <w:sz w:val="20"/>
                <w:szCs w:val="20"/>
              </w:rPr>
              <w:t>$ 16,376,000 of new investment supporting sustainable production and investment and loans screened for deforestation related risks, fostered by GGP´s interventions.</w:t>
            </w:r>
            <w:r>
              <w:rPr>
                <w:rFonts w:ascii="Arial" w:hAnsi="Arial" w:cs="Arial"/>
                <w:color w:val="000000"/>
                <w:sz w:val="20"/>
                <w:szCs w:val="20"/>
              </w:rPr>
              <w:br/>
            </w:r>
            <w:r>
              <w:rPr>
                <w:rFonts w:ascii="Arial" w:hAnsi="Arial" w:cs="Arial"/>
                <w:color w:val="000000"/>
                <w:sz w:val="20"/>
                <w:szCs w:val="20"/>
              </w:rPr>
              <w:br/>
            </w:r>
            <w:r>
              <w:rPr>
                <w:rFonts w:ascii="Arial" w:hAnsi="Arial" w:cs="Arial"/>
                <w:b/>
                <w:bCs/>
                <w:color w:val="000000"/>
                <w:sz w:val="20"/>
                <w:szCs w:val="20"/>
              </w:rPr>
              <w:t>Transactions</w:t>
            </w:r>
            <w:r>
              <w:rPr>
                <w:rFonts w:ascii="Arial" w:hAnsi="Arial" w:cs="Arial"/>
                <w:b/>
                <w:bCs/>
                <w:color w:val="000000"/>
                <w:sz w:val="20"/>
                <w:szCs w:val="20"/>
              </w:rPr>
              <w:br/>
            </w:r>
            <w:r>
              <w:rPr>
                <w:rFonts w:ascii="Arial" w:hAnsi="Arial" w:cs="Arial"/>
                <w:color w:val="000000"/>
                <w:sz w:val="20"/>
                <w:szCs w:val="20"/>
              </w:rPr>
              <w:t>Transaction catalyzed $16 million of new investment in Paraguay by local banks, which were allocated to the sustainable beef production system IFC developed with Neuland and to the new abattoir IFC supported. Moreover, $376,000 in new financing of certified palm oil farmers in Indonesia, where work is done through co-financing via IFC IPODS project. The certified smallholder farmers in Indonesia received sales revenue of $39.85 million for sustainable palm oil.</w:t>
            </w:r>
          </w:p>
        </w:tc>
      </w:tr>
      <w:tr w:rsidR="007E41B9" w:rsidRPr="005F50D6" w14:paraId="4751A467" w14:textId="77777777" w:rsidTr="00062DAE">
        <w:trPr>
          <w:trHeight w:val="800"/>
        </w:trPr>
        <w:tc>
          <w:tcPr>
            <w:tcW w:w="5000" w:type="pct"/>
            <w:shd w:val="clear" w:color="auto" w:fill="F7CAAC" w:themeFill="accent2" w:themeFillTint="66"/>
            <w:vAlign w:val="bottom"/>
          </w:tcPr>
          <w:p w14:paraId="2E9939F8" w14:textId="77777777" w:rsidR="007E41B9" w:rsidRPr="005F50D6" w:rsidRDefault="007E41B9" w:rsidP="00062DAE">
            <w:pPr>
              <w:spacing w:after="0" w:line="240" w:lineRule="auto"/>
              <w:rPr>
                <w:rFonts w:eastAsia="Times New Roman"/>
                <w:color w:val="000000"/>
              </w:rPr>
            </w:pPr>
            <w:r w:rsidRPr="00391E48">
              <w:rPr>
                <w:rFonts w:ascii="Arial" w:eastAsia="Times New Roman" w:hAnsi="Arial" w:cs="Arial"/>
                <w:b/>
                <w:bCs/>
                <w:color w:val="000000"/>
                <w:sz w:val="20"/>
                <w:szCs w:val="20"/>
              </w:rPr>
              <w:lastRenderedPageBreak/>
              <w:t>Strengthening the enabling environment to facilitate reduced deforestation in commodity supply chains through responsible demand, adequate policymaking, and increased financing to sustainable commodity production</w:t>
            </w:r>
          </w:p>
        </w:tc>
      </w:tr>
      <w:tr w:rsidR="007E41B9" w:rsidRPr="005F50D6" w14:paraId="487ADD7C" w14:textId="77777777" w:rsidTr="00062DAE">
        <w:trPr>
          <w:trHeight w:val="170"/>
        </w:trPr>
        <w:tc>
          <w:tcPr>
            <w:tcW w:w="5000" w:type="pct"/>
            <w:shd w:val="clear" w:color="auto" w:fill="F7CAAC" w:themeFill="accent2" w:themeFillTint="66"/>
            <w:vAlign w:val="bottom"/>
            <w:hideMark/>
          </w:tcPr>
          <w:p w14:paraId="221CDDEF" w14:textId="77777777" w:rsidR="007E41B9" w:rsidRPr="005F50D6" w:rsidRDefault="007E41B9" w:rsidP="00062DAE">
            <w:pPr>
              <w:spacing w:after="0" w:line="240" w:lineRule="auto"/>
              <w:rPr>
                <w:rFonts w:ascii="Arial" w:eastAsia="Times New Roman" w:hAnsi="Arial" w:cs="Arial"/>
                <w:color w:val="000000"/>
                <w:sz w:val="20"/>
                <w:szCs w:val="20"/>
              </w:rPr>
            </w:pPr>
            <w:r w:rsidRPr="00A01AC3">
              <w:rPr>
                <w:rFonts w:ascii="Arial" w:eastAsia="Times New Roman" w:hAnsi="Arial" w:cs="Arial"/>
                <w:color w:val="000000"/>
                <w:sz w:val="20"/>
                <w:szCs w:val="20"/>
              </w:rPr>
              <w:t># of companies that have increased capacity to make and implement commitments to source reduced deforestation commodities</w:t>
            </w:r>
          </w:p>
        </w:tc>
      </w:tr>
      <w:tr w:rsidR="007E41B9" w:rsidRPr="005F50D6" w14:paraId="20ADEFB7" w14:textId="77777777" w:rsidTr="00062DAE">
        <w:trPr>
          <w:trHeight w:val="890"/>
        </w:trPr>
        <w:tc>
          <w:tcPr>
            <w:tcW w:w="5000" w:type="pct"/>
            <w:shd w:val="clear" w:color="D9EAD3" w:fill="D9EAD3"/>
            <w:vAlign w:val="center"/>
            <w:hideMark/>
          </w:tcPr>
          <w:p w14:paraId="2C8FB8B6"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20 companies with increased capacity to make and implement commitments to source reduced deforestation commodities.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The Demand Project</w:t>
            </w:r>
            <w:r w:rsidRPr="005F50D6">
              <w:rPr>
                <w:rFonts w:ascii="Arial" w:eastAsia="Times New Roman" w:hAnsi="Arial" w:cs="Arial"/>
                <w:b/>
                <w:bCs/>
                <w:color w:val="000000"/>
                <w:sz w:val="20"/>
                <w:szCs w:val="20"/>
              </w:rPr>
              <w:t xml:space="preserve"> </w:t>
            </w:r>
            <w:r w:rsidRPr="005F50D6">
              <w:rPr>
                <w:rFonts w:eastAsia="Times New Roman"/>
                <w:color w:val="000000"/>
              </w:rPr>
              <w:t>partners increased capacity of 20 companies through one-on-one technical assistance, workshops, and/or indirectly through tools made publicly available as part of the project (e.g. the Soy Toolkit). To measure the contribution of the Demand Project to increased capacity of companies, the project examined specific language used in company policy and, in some cases, specific mention of the Demand Project-produced tools (eg. Soy Toolkit). Out of the 20 companies, 18 companies were identified as having increased capacity to make and implement reduced deforestation commitments through the outcome harvesting exercise. 2 additional companies were identified through the Year 4 GlobeScan survey as having increased capacity from Year 2 to Year 4. This does not count companies whose score was high but unchanged from Year 2 to Year 4. The 20 companies include 3 consumer goods companies, 6 traders, 8 retail and food service, and 1 exporter association. 2 companies cannot be disaggregated because they were identified through the Year 4 GlobeScan survey, and it is confidential.</w:t>
            </w:r>
          </w:p>
        </w:tc>
      </w:tr>
      <w:tr w:rsidR="007E41B9" w:rsidRPr="005F50D6" w14:paraId="55059D43" w14:textId="77777777" w:rsidTr="00062DAE">
        <w:trPr>
          <w:trHeight w:val="800"/>
        </w:trPr>
        <w:tc>
          <w:tcPr>
            <w:tcW w:w="5000" w:type="pct"/>
            <w:shd w:val="clear" w:color="auto" w:fill="F7CAAC" w:themeFill="accent2" w:themeFillTint="66"/>
            <w:vAlign w:val="bottom"/>
          </w:tcPr>
          <w:p w14:paraId="4BD211E7" w14:textId="77777777" w:rsidR="007E41B9" w:rsidRPr="005F50D6" w:rsidRDefault="007E41B9" w:rsidP="00062DAE">
            <w:pPr>
              <w:spacing w:after="0" w:line="240" w:lineRule="auto"/>
              <w:rPr>
                <w:rFonts w:eastAsia="Times New Roman"/>
                <w:color w:val="000000"/>
              </w:rPr>
            </w:pPr>
            <w:r w:rsidRPr="00391E48">
              <w:rPr>
                <w:rFonts w:ascii="Arial" w:eastAsia="Times New Roman" w:hAnsi="Arial" w:cs="Arial"/>
                <w:b/>
                <w:bCs/>
                <w:color w:val="000000"/>
                <w:sz w:val="20"/>
                <w:szCs w:val="20"/>
              </w:rPr>
              <w:t>Strengthening the enabling environment to facilitate reduced deforestation in commodity supply chains through responsible demand, adequate policymaking, and increased financing to sustainable commodity production</w:t>
            </w:r>
          </w:p>
        </w:tc>
      </w:tr>
      <w:tr w:rsidR="007E41B9" w:rsidRPr="005F50D6" w14:paraId="6522C620" w14:textId="77777777" w:rsidTr="00062DAE">
        <w:trPr>
          <w:trHeight w:val="170"/>
        </w:trPr>
        <w:tc>
          <w:tcPr>
            <w:tcW w:w="5000" w:type="pct"/>
            <w:shd w:val="clear" w:color="auto" w:fill="F7CAAC" w:themeFill="accent2" w:themeFillTint="66"/>
            <w:vAlign w:val="bottom"/>
            <w:hideMark/>
          </w:tcPr>
          <w:p w14:paraId="536F0515" w14:textId="77777777" w:rsidR="007E41B9" w:rsidRPr="005F50D6" w:rsidRDefault="007E41B9" w:rsidP="00062DAE">
            <w:pPr>
              <w:spacing w:after="0" w:line="240" w:lineRule="auto"/>
              <w:rPr>
                <w:rFonts w:ascii="Arial" w:eastAsia="Times New Roman" w:hAnsi="Arial" w:cs="Arial"/>
                <w:color w:val="000000"/>
                <w:sz w:val="20"/>
                <w:szCs w:val="20"/>
              </w:rPr>
            </w:pPr>
            <w:r w:rsidRPr="00A01AC3">
              <w:rPr>
                <w:rFonts w:ascii="Arial" w:eastAsia="Times New Roman" w:hAnsi="Arial" w:cs="Arial"/>
                <w:color w:val="000000"/>
                <w:sz w:val="20"/>
                <w:szCs w:val="20"/>
              </w:rPr>
              <w:t># of companies engaged in project activities that are making new commitments to source reduced deforestation palm oil, soy, and/or beef</w:t>
            </w:r>
          </w:p>
        </w:tc>
      </w:tr>
      <w:tr w:rsidR="007E41B9" w:rsidRPr="005F50D6" w14:paraId="61A5BE2E" w14:textId="77777777" w:rsidTr="00062DAE">
        <w:trPr>
          <w:trHeight w:val="2240"/>
        </w:trPr>
        <w:tc>
          <w:tcPr>
            <w:tcW w:w="5000" w:type="pct"/>
            <w:shd w:val="clear" w:color="D9EAD3" w:fill="D9EAD3"/>
            <w:vAlign w:val="center"/>
            <w:hideMark/>
          </w:tcPr>
          <w:p w14:paraId="0217AF1E"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87 companies engaged in project activities that are making new commitments to source reduced deforestation palm oil, soy, and/or beef.</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Through co-financing, a total of 70 buyers (packaged consumer goods manufacturers, retail, &amp; food service companies) signed up as Signatories of Support for the Cerrado Manifesto as of March 2021 (total number of signatories including financial organizations, farming and food processing companies, is 164). The Cerrado Manifesto was issued by WWF-Brazil and 59 cosigners (local and global civil society organizations) on September 11, 2017, and the corporate Statement of Support for the manifesto was launched on October 25, 2017. In addition, 7 French consumer goods companies committed to including non-deforestation clauses in their contracts with soy suppliers. A similar market declaration was issues by 7 German supermarket chains. This calculation also includes 9 companies committed to implement reduced deforestation commitments and track progress through the Indonesia Business Council for Sustainable Development (IBCSD) Platform , and Unilever, which announced a new climate and nature fund along with a renewed commitment to reducing deforestation. Duplicates between these commitments are removed to arrive at 87.</w:t>
            </w:r>
          </w:p>
        </w:tc>
      </w:tr>
      <w:tr w:rsidR="007E41B9" w:rsidRPr="005F50D6" w14:paraId="2BECC6C0" w14:textId="77777777" w:rsidTr="00062DAE">
        <w:trPr>
          <w:trHeight w:val="800"/>
        </w:trPr>
        <w:tc>
          <w:tcPr>
            <w:tcW w:w="5000" w:type="pct"/>
            <w:shd w:val="clear" w:color="auto" w:fill="F7CAAC" w:themeFill="accent2" w:themeFillTint="66"/>
            <w:vAlign w:val="bottom"/>
          </w:tcPr>
          <w:p w14:paraId="2E7DD1F7" w14:textId="77777777" w:rsidR="007E41B9" w:rsidRPr="005F50D6" w:rsidRDefault="007E41B9" w:rsidP="00062DAE">
            <w:pPr>
              <w:spacing w:after="0" w:line="240" w:lineRule="auto"/>
              <w:rPr>
                <w:rFonts w:eastAsia="Times New Roman"/>
                <w:color w:val="000000"/>
              </w:rPr>
            </w:pPr>
            <w:r w:rsidRPr="00391E48">
              <w:rPr>
                <w:rFonts w:ascii="Arial" w:eastAsia="Times New Roman" w:hAnsi="Arial" w:cs="Arial"/>
                <w:b/>
                <w:bCs/>
                <w:color w:val="000000"/>
                <w:sz w:val="20"/>
                <w:szCs w:val="20"/>
              </w:rPr>
              <w:t>Strengthening the enabling environment to facilitate reduced deforestation in commodity supply chains through responsible demand, adequate policymaking, and increased financing to sustainable commodity production</w:t>
            </w:r>
          </w:p>
        </w:tc>
      </w:tr>
      <w:tr w:rsidR="007E41B9" w:rsidRPr="005F50D6" w14:paraId="29344B16" w14:textId="77777777" w:rsidTr="00062DAE">
        <w:trPr>
          <w:trHeight w:val="170"/>
        </w:trPr>
        <w:tc>
          <w:tcPr>
            <w:tcW w:w="5000" w:type="pct"/>
            <w:shd w:val="clear" w:color="auto" w:fill="F7CAAC" w:themeFill="accent2" w:themeFillTint="66"/>
            <w:vAlign w:val="bottom"/>
          </w:tcPr>
          <w:p w14:paraId="35917B4F" w14:textId="77777777" w:rsidR="007E41B9" w:rsidRPr="005F50D6" w:rsidRDefault="007E41B9" w:rsidP="00062DAE">
            <w:pPr>
              <w:spacing w:after="0" w:line="240" w:lineRule="auto"/>
              <w:rPr>
                <w:rFonts w:ascii="Arial" w:eastAsia="Times New Roman" w:hAnsi="Arial" w:cs="Arial"/>
                <w:color w:val="000000"/>
                <w:sz w:val="20"/>
                <w:szCs w:val="20"/>
              </w:rPr>
            </w:pPr>
            <w:r w:rsidRPr="00A01AC3">
              <w:rPr>
                <w:rFonts w:ascii="Arial" w:eastAsia="Times New Roman" w:hAnsi="Arial" w:cs="Arial"/>
                <w:color w:val="000000"/>
                <w:sz w:val="20"/>
                <w:szCs w:val="20"/>
              </w:rPr>
              <w:t># of step changes in policy frameworks to incentivize demand or remove demand-related barriers for reduced deforestation commodities in project countries</w:t>
            </w:r>
          </w:p>
        </w:tc>
      </w:tr>
      <w:tr w:rsidR="007E41B9" w:rsidRPr="005F50D6" w14:paraId="3B5B8613" w14:textId="77777777" w:rsidTr="00062DAE">
        <w:trPr>
          <w:trHeight w:val="2015"/>
        </w:trPr>
        <w:tc>
          <w:tcPr>
            <w:tcW w:w="5000" w:type="pct"/>
            <w:shd w:val="clear" w:color="D9EAD3" w:fill="D9EAD3"/>
            <w:vAlign w:val="center"/>
            <w:hideMark/>
          </w:tcPr>
          <w:p w14:paraId="5631461C" w14:textId="238E1F24"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3 step changes in policy frameworks to incentivize demand or remove demand-related barriers for reduced deforestation commodities in project countries.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In Sierra Leone and Paraguay, Demand counted step changes in policy frameworks to incentivize demand or remove demand-related barriers for reduced deforestation commodities. A step change is considered valid when there is a full point increase in the average score for that stakeholder group. In other words, when the government and the civil society, each move one policy step. Sierra Leone has moved 1 step change, and Paraguay, 2. Thus, 3 in total.</w:t>
            </w:r>
            <w:r w:rsidRPr="005F50D6">
              <w:rPr>
                <w:rFonts w:eastAsia="Times New Roman"/>
                <w:color w:val="000000"/>
              </w:rPr>
              <w:br/>
            </w:r>
            <w:r w:rsidRPr="005F50D6">
              <w:rPr>
                <w:rFonts w:eastAsia="Times New Roman"/>
                <w:color w:val="000000"/>
              </w:rPr>
              <w:br/>
              <w:t>To measure changes in policy steps, the Demand Project used a matrix with specific ratings for various sectors (government, private sector, and civil society), and they averaged them over time. The ratings were based in observed change by project stakeholders. In the next iteration in November, we expect to provide more details on how a step change are calculated.</w:t>
            </w:r>
          </w:p>
        </w:tc>
      </w:tr>
      <w:tr w:rsidR="007E41B9" w:rsidRPr="005F50D6" w14:paraId="6B4128A0" w14:textId="77777777" w:rsidTr="00062DAE">
        <w:trPr>
          <w:trHeight w:val="800"/>
        </w:trPr>
        <w:tc>
          <w:tcPr>
            <w:tcW w:w="5000" w:type="pct"/>
            <w:shd w:val="clear" w:color="auto" w:fill="F7CAAC" w:themeFill="accent2" w:themeFillTint="66"/>
            <w:vAlign w:val="bottom"/>
          </w:tcPr>
          <w:p w14:paraId="413361F1" w14:textId="77777777" w:rsidR="007E41B9" w:rsidRPr="005F50D6" w:rsidRDefault="007E41B9" w:rsidP="00062DAE">
            <w:pPr>
              <w:spacing w:after="0" w:line="240" w:lineRule="auto"/>
              <w:rPr>
                <w:rFonts w:eastAsia="Times New Roman"/>
                <w:color w:val="000000"/>
              </w:rPr>
            </w:pPr>
            <w:r w:rsidRPr="00391E48">
              <w:rPr>
                <w:rFonts w:ascii="Arial" w:eastAsia="Times New Roman" w:hAnsi="Arial" w:cs="Arial"/>
                <w:b/>
                <w:bCs/>
                <w:color w:val="000000"/>
                <w:sz w:val="20"/>
                <w:szCs w:val="20"/>
              </w:rPr>
              <w:t>Strengthening the enabling environment to facilitate reduced deforestation in commodity supply chains through responsible demand, adequate policymaking, and increased financing to sustainable commodity production</w:t>
            </w:r>
          </w:p>
        </w:tc>
      </w:tr>
      <w:tr w:rsidR="007E41B9" w:rsidRPr="005F50D6" w14:paraId="192192A2" w14:textId="77777777" w:rsidTr="00062DAE">
        <w:trPr>
          <w:trHeight w:val="170"/>
        </w:trPr>
        <w:tc>
          <w:tcPr>
            <w:tcW w:w="5000" w:type="pct"/>
            <w:shd w:val="clear" w:color="auto" w:fill="F7CAAC" w:themeFill="accent2" w:themeFillTint="66"/>
            <w:vAlign w:val="bottom"/>
          </w:tcPr>
          <w:p w14:paraId="3DC0664E" w14:textId="77777777" w:rsidR="007E41B9" w:rsidRPr="005F50D6" w:rsidRDefault="007E41B9" w:rsidP="00062DAE">
            <w:pPr>
              <w:spacing w:after="0" w:line="240" w:lineRule="auto"/>
              <w:rPr>
                <w:rFonts w:ascii="Arial" w:eastAsia="Times New Roman" w:hAnsi="Arial" w:cs="Arial"/>
                <w:color w:val="000000"/>
                <w:sz w:val="20"/>
                <w:szCs w:val="20"/>
              </w:rPr>
            </w:pPr>
            <w:r w:rsidRPr="00A01AC3">
              <w:rPr>
                <w:rFonts w:ascii="Arial" w:eastAsia="Times New Roman" w:hAnsi="Arial" w:cs="Arial"/>
                <w:color w:val="000000"/>
                <w:sz w:val="20"/>
                <w:szCs w:val="20"/>
              </w:rPr>
              <w:t># of new public policies contributing to sustainable commodity production</w:t>
            </w:r>
          </w:p>
        </w:tc>
      </w:tr>
      <w:tr w:rsidR="007E41B9" w:rsidRPr="005F50D6" w14:paraId="68C6A54B" w14:textId="77777777" w:rsidTr="007E41B9">
        <w:trPr>
          <w:trHeight w:val="980"/>
        </w:trPr>
        <w:tc>
          <w:tcPr>
            <w:tcW w:w="5000" w:type="pct"/>
            <w:shd w:val="clear" w:color="D9EAD3" w:fill="D9EAD3"/>
            <w:vAlign w:val="center"/>
            <w:hideMark/>
          </w:tcPr>
          <w:p w14:paraId="38031197"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15 new or improved public policies contributing to sustainable commodity production. Note that we have counted policies and regulations that are either legalized, adopted or proposed, and we do not count those that are under development. Altogether, we have included the regulations under development in the description below. Given the large amount of information in this cell, please click on it and scroll down to read all the content.</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eastAsia="Times New Roman"/>
                <w:color w:val="000000"/>
              </w:rPr>
              <w:br/>
              <w:t xml:space="preserve">There are 3 different types of policies and regulations that contribute to sustainable commodity production described below. Note that for the aggregated number, we only include regulations that are legalized, adopted or proposed, and we leave out those that are under development. </w:t>
            </w:r>
            <w:r w:rsidRPr="005F50D6">
              <w:rPr>
                <w:rFonts w:eastAsia="Times New Roman"/>
                <w:color w:val="000000"/>
              </w:rPr>
              <w:br/>
            </w:r>
            <w:r w:rsidRPr="005F50D6">
              <w:rPr>
                <w:rFonts w:eastAsia="Times New Roman"/>
                <w:color w:val="000000"/>
              </w:rPr>
              <w:br/>
            </w:r>
            <w:r w:rsidRPr="005F50D6">
              <w:rPr>
                <w:rFonts w:ascii="Arial" w:eastAsia="Times New Roman" w:hAnsi="Arial" w:cs="Arial"/>
                <w:color w:val="000000"/>
                <w:sz w:val="20"/>
                <w:szCs w:val="20"/>
                <w:u w:val="single"/>
              </w:rPr>
              <w:t xml:space="preserve">A) </w:t>
            </w:r>
            <w:r w:rsidRPr="005F50D6">
              <w:rPr>
                <w:rFonts w:eastAsia="Times New Roman"/>
                <w:color w:val="000000"/>
              </w:rPr>
              <w:t xml:space="preserve">7 policies and regulations drafted or proposed that address systemic barriers to government oversight of and support for sustainable, reduced-deforestation commodity production practices + 2 under development </w:t>
            </w:r>
            <w:r w:rsidRPr="005F50D6">
              <w:rPr>
                <w:rFonts w:eastAsia="Times New Roman"/>
                <w:color w:val="000000"/>
              </w:rPr>
              <w:br/>
            </w:r>
            <w:r w:rsidRPr="005F50D6">
              <w:rPr>
                <w:rFonts w:eastAsia="Times New Roman"/>
                <w:color w:val="000000"/>
              </w:rPr>
              <w:br/>
              <w:t xml:space="preserve">Indonesia: 6 policy priorities drafted and proposed in Indonesia (including 4 legalized and 2 submitted to the Legal Bureau) </w:t>
            </w:r>
            <w:r w:rsidRPr="005F50D6">
              <w:rPr>
                <w:rFonts w:eastAsia="Times New Roman"/>
                <w:color w:val="000000"/>
              </w:rPr>
              <w:br/>
              <w:t xml:space="preserve">2 policy priorities at the national level legalized: </w:t>
            </w:r>
            <w:r w:rsidRPr="005F50D6">
              <w:rPr>
                <w:rFonts w:eastAsia="Times New Roman"/>
                <w:color w:val="000000"/>
              </w:rPr>
              <w:br/>
              <w:t xml:space="preserve">- The Ministry of Agriculture (MoA) Regulation on Companies’ Responsibility to Facilitate Community Plantation Development </w:t>
            </w:r>
            <w:r w:rsidRPr="005F50D6">
              <w:rPr>
                <w:rFonts w:eastAsia="Times New Roman"/>
                <w:color w:val="000000"/>
              </w:rPr>
              <w:br/>
              <w:t>- A Minister Decree on the Guideline to Strengthen Private and Independent Extension Service for Smallholders</w:t>
            </w:r>
            <w:r w:rsidRPr="005F50D6">
              <w:rPr>
                <w:rFonts w:eastAsia="Times New Roman"/>
                <w:color w:val="000000"/>
              </w:rPr>
              <w:br/>
            </w:r>
            <w:r w:rsidRPr="005F50D6">
              <w:rPr>
                <w:rFonts w:eastAsia="Times New Roman"/>
                <w:color w:val="000000"/>
              </w:rPr>
              <w:br/>
              <w:t xml:space="preserve">1 policy priority at the national level, submitted to the Legal Bureau: </w:t>
            </w:r>
            <w:r w:rsidRPr="005F50D6">
              <w:rPr>
                <w:rFonts w:eastAsia="Times New Roman"/>
                <w:color w:val="000000"/>
              </w:rPr>
              <w:br/>
              <w:t xml:space="preserve">- The Government Regulation on the Protection of Life Support System </w:t>
            </w:r>
            <w:r w:rsidRPr="005F50D6">
              <w:rPr>
                <w:rFonts w:eastAsia="Times New Roman"/>
                <w:color w:val="000000"/>
              </w:rPr>
              <w:br/>
            </w:r>
            <w:r w:rsidRPr="005F50D6">
              <w:rPr>
                <w:rFonts w:eastAsia="Times New Roman"/>
                <w:color w:val="000000"/>
              </w:rPr>
              <w:br/>
              <w:t xml:space="preserve">2 policy priorities at the subnational level legalized: </w:t>
            </w:r>
            <w:r w:rsidRPr="005F50D6">
              <w:rPr>
                <w:rFonts w:eastAsia="Times New Roman"/>
                <w:color w:val="000000"/>
              </w:rPr>
              <w:br/>
            </w:r>
            <w:r w:rsidRPr="005F50D6">
              <w:rPr>
                <w:rFonts w:eastAsia="Times New Roman"/>
                <w:color w:val="000000"/>
              </w:rPr>
              <w:lastRenderedPageBreak/>
              <w:t xml:space="preserve">- The Pelalawan Regional Regulation (PERDA) on Corporate Social Responsibility </w:t>
            </w:r>
            <w:r w:rsidRPr="005F50D6">
              <w:rPr>
                <w:rFonts w:eastAsia="Times New Roman"/>
                <w:color w:val="000000"/>
              </w:rPr>
              <w:br/>
              <w:t xml:space="preserve">- The Pelalawan Regent Regulation on Palm Oil Plantation Partnership </w:t>
            </w:r>
            <w:r w:rsidRPr="005F50D6">
              <w:rPr>
                <w:rFonts w:eastAsia="Times New Roman"/>
                <w:color w:val="000000"/>
              </w:rPr>
              <w:br/>
            </w:r>
            <w:r w:rsidRPr="005F50D6">
              <w:rPr>
                <w:rFonts w:eastAsia="Times New Roman"/>
                <w:color w:val="000000"/>
              </w:rPr>
              <w:br/>
              <w:t xml:space="preserve">1 policy priority at the subnational level, submitted to the Legal Bureau: </w:t>
            </w:r>
            <w:r w:rsidRPr="005F50D6">
              <w:rPr>
                <w:rFonts w:eastAsia="Times New Roman"/>
                <w:color w:val="000000"/>
              </w:rPr>
              <w:br/>
              <w:t xml:space="preserve">- In South Tapanuli, the Regent Regulation on Corporate Social Responsibility </w:t>
            </w:r>
            <w:r w:rsidRPr="005F50D6">
              <w:rPr>
                <w:rFonts w:eastAsia="Times New Roman"/>
                <w:color w:val="000000"/>
              </w:rPr>
              <w:br/>
            </w:r>
            <w:r w:rsidRPr="005F50D6">
              <w:rPr>
                <w:rFonts w:eastAsia="Times New Roman"/>
                <w:color w:val="000000"/>
              </w:rPr>
              <w:br/>
              <w:t xml:space="preserve">Paraguay: 1 policy priority drafted and proposed and 2 under development </w:t>
            </w:r>
            <w:r w:rsidRPr="005F50D6">
              <w:rPr>
                <w:rFonts w:eastAsia="Times New Roman"/>
                <w:color w:val="000000"/>
              </w:rPr>
              <w:br/>
              <w:t xml:space="preserve">1 policy priority at the national level proposed: </w:t>
            </w:r>
            <w:r w:rsidRPr="005F50D6">
              <w:rPr>
                <w:rFonts w:eastAsia="Times New Roman"/>
                <w:color w:val="000000"/>
              </w:rPr>
              <w:br/>
              <w:t xml:space="preserve">- The Jaguar Law </w:t>
            </w:r>
            <w:r w:rsidRPr="005F50D6">
              <w:rPr>
                <w:rFonts w:eastAsia="Times New Roman"/>
                <w:color w:val="000000"/>
              </w:rPr>
              <w:br/>
            </w:r>
            <w:r w:rsidRPr="005F50D6">
              <w:rPr>
                <w:rFonts w:eastAsia="Times New Roman"/>
                <w:color w:val="000000"/>
              </w:rPr>
              <w:br/>
              <w:t xml:space="preserve">2 policy priorities at the national level under development: </w:t>
            </w:r>
            <w:r w:rsidRPr="005F50D6">
              <w:rPr>
                <w:rFonts w:eastAsia="Times New Roman"/>
                <w:color w:val="000000"/>
              </w:rPr>
              <w:br/>
              <w:t xml:space="preserve">- Criteria for Sustainable Production in Buffer Zones around Protected Areas </w:t>
            </w:r>
            <w:r w:rsidRPr="005F50D6">
              <w:rPr>
                <w:rFonts w:eastAsia="Times New Roman"/>
                <w:color w:val="000000"/>
              </w:rPr>
              <w:br/>
              <w:t>- Jaguar Management Protocol</w:t>
            </w:r>
            <w:r w:rsidRPr="005F50D6">
              <w:rPr>
                <w:rFonts w:eastAsia="Times New Roman"/>
                <w:color w:val="000000"/>
              </w:rPr>
              <w:br/>
            </w:r>
            <w:r w:rsidRPr="005F50D6">
              <w:rPr>
                <w:rFonts w:eastAsia="Times New Roman"/>
                <w:color w:val="000000"/>
              </w:rPr>
              <w:br/>
            </w:r>
            <w:r w:rsidRPr="005F50D6">
              <w:rPr>
                <w:rFonts w:ascii="Arial" w:eastAsia="Times New Roman" w:hAnsi="Arial" w:cs="Arial"/>
                <w:color w:val="000000"/>
                <w:sz w:val="20"/>
                <w:szCs w:val="20"/>
                <w:u w:val="single"/>
              </w:rPr>
              <w:t xml:space="preserve">B) </w:t>
            </w:r>
            <w:r w:rsidRPr="005F50D6">
              <w:rPr>
                <w:rFonts w:eastAsia="Times New Roman"/>
                <w:color w:val="000000"/>
              </w:rPr>
              <w:t xml:space="preserve">3 National and sub-national policies, and regulations drafted, proposed, or adopted that are related to land use allocation for commodity production + 5 under development </w:t>
            </w:r>
            <w:r w:rsidRPr="005F50D6">
              <w:rPr>
                <w:rFonts w:eastAsia="Times New Roman"/>
                <w:color w:val="000000"/>
              </w:rPr>
              <w:br/>
            </w:r>
            <w:r w:rsidRPr="005F50D6">
              <w:rPr>
                <w:rFonts w:eastAsia="Times New Roman"/>
                <w:color w:val="000000"/>
              </w:rPr>
              <w:br/>
              <w:t xml:space="preserve">Indonesia: 2 regulations (1 national proposed and 1 sub-national adopted) </w:t>
            </w:r>
            <w:r w:rsidRPr="005F50D6">
              <w:rPr>
                <w:rFonts w:eastAsia="Times New Roman"/>
                <w:color w:val="000000"/>
              </w:rPr>
              <w:br/>
              <w:t xml:space="preserve">1 national regulation drafted and proposed: </w:t>
            </w:r>
            <w:r w:rsidRPr="005F50D6">
              <w:rPr>
                <w:rFonts w:eastAsia="Times New Roman"/>
                <w:color w:val="000000"/>
              </w:rPr>
              <w:br/>
              <w:t xml:space="preserve">- Kawasan Ekosistem Essensial (Essential Ecosystem Areas, KEE) Regulation </w:t>
            </w:r>
            <w:r w:rsidRPr="005F50D6">
              <w:rPr>
                <w:rFonts w:eastAsia="Times New Roman"/>
                <w:color w:val="000000"/>
              </w:rPr>
              <w:br/>
            </w:r>
            <w:r w:rsidRPr="005F50D6">
              <w:rPr>
                <w:rFonts w:eastAsia="Times New Roman"/>
                <w:color w:val="000000"/>
              </w:rPr>
              <w:br/>
              <w:t xml:space="preserve">1 sub-national regulation adopted: </w:t>
            </w:r>
            <w:r w:rsidRPr="005F50D6">
              <w:rPr>
                <w:rFonts w:eastAsia="Times New Roman"/>
                <w:color w:val="000000"/>
              </w:rPr>
              <w:br/>
              <w:t xml:space="preserve">- Sintang Regent Regulation on the Protection of Lake Buffer Zones </w:t>
            </w:r>
            <w:r w:rsidRPr="005F50D6">
              <w:rPr>
                <w:rFonts w:eastAsia="Times New Roman"/>
                <w:color w:val="000000"/>
              </w:rPr>
              <w:br/>
            </w:r>
            <w:r w:rsidRPr="005F50D6">
              <w:rPr>
                <w:rFonts w:eastAsia="Times New Roman"/>
                <w:color w:val="000000"/>
              </w:rPr>
              <w:br/>
              <w:t xml:space="preserve">Liberia: 1 national regulation under development </w:t>
            </w:r>
            <w:r w:rsidRPr="005F50D6">
              <w:rPr>
                <w:rFonts w:eastAsia="Times New Roman"/>
                <w:color w:val="000000"/>
              </w:rPr>
              <w:br/>
              <w:t xml:space="preserve">- A priority policy on land use planning based on a Targeted Scenario Analysis (TSA) on sustainable production </w:t>
            </w:r>
            <w:r w:rsidRPr="005F50D6">
              <w:rPr>
                <w:rFonts w:eastAsia="Times New Roman"/>
                <w:color w:val="000000"/>
              </w:rPr>
              <w:br/>
            </w:r>
            <w:r w:rsidRPr="005F50D6">
              <w:rPr>
                <w:rFonts w:eastAsia="Times New Roman"/>
                <w:color w:val="000000"/>
              </w:rPr>
              <w:br/>
              <w:t>Paraguay: 1 national regulation proposed; 3 national and 1 sub-national regulations under development</w:t>
            </w:r>
            <w:r w:rsidRPr="005F50D6">
              <w:rPr>
                <w:rFonts w:eastAsia="Times New Roman"/>
                <w:color w:val="000000"/>
              </w:rPr>
              <w:br/>
              <w:t xml:space="preserve">1 national regulation proposed: </w:t>
            </w:r>
            <w:r w:rsidRPr="005F50D6">
              <w:rPr>
                <w:rFonts w:eastAsia="Times New Roman"/>
                <w:color w:val="000000"/>
              </w:rPr>
              <w:br/>
              <w:t xml:space="preserve">- Environmental Code </w:t>
            </w:r>
            <w:r w:rsidRPr="005F50D6">
              <w:rPr>
                <w:rFonts w:eastAsia="Times New Roman"/>
                <w:color w:val="000000"/>
              </w:rPr>
              <w:br/>
            </w:r>
            <w:r w:rsidRPr="005F50D6">
              <w:rPr>
                <w:rFonts w:eastAsia="Times New Roman"/>
                <w:color w:val="000000"/>
              </w:rPr>
              <w:br/>
              <w:t xml:space="preserve">3 national regulations under development: </w:t>
            </w:r>
            <w:r w:rsidRPr="005F50D6">
              <w:rPr>
                <w:rFonts w:eastAsia="Times New Roman"/>
                <w:color w:val="000000"/>
              </w:rPr>
              <w:br/>
              <w:t xml:space="preserve">- National Environmental and Sustainable Development Policy </w:t>
            </w:r>
            <w:r w:rsidRPr="005F50D6">
              <w:rPr>
                <w:rFonts w:eastAsia="Times New Roman"/>
                <w:color w:val="000000"/>
              </w:rPr>
              <w:br/>
              <w:t xml:space="preserve">- Environmental Impact Assessment Law </w:t>
            </w:r>
            <w:r w:rsidRPr="005F50D6">
              <w:rPr>
                <w:rFonts w:eastAsia="Times New Roman"/>
                <w:color w:val="000000"/>
              </w:rPr>
              <w:br/>
              <w:t xml:space="preserve">- Sello verde </w:t>
            </w:r>
            <w:r w:rsidRPr="005F50D6">
              <w:rPr>
                <w:rFonts w:eastAsia="Times New Roman"/>
                <w:color w:val="000000"/>
              </w:rPr>
              <w:br/>
            </w:r>
            <w:r w:rsidRPr="005F50D6">
              <w:rPr>
                <w:rFonts w:eastAsia="Times New Roman"/>
                <w:color w:val="000000"/>
              </w:rPr>
              <w:br/>
            </w:r>
            <w:r w:rsidRPr="005F50D6">
              <w:rPr>
                <w:rFonts w:eastAsia="Times New Roman"/>
                <w:color w:val="000000"/>
              </w:rPr>
              <w:lastRenderedPageBreak/>
              <w:t xml:space="preserve">1 sub-national regulation under development: </w:t>
            </w:r>
            <w:r w:rsidRPr="005F50D6">
              <w:rPr>
                <w:rFonts w:eastAsia="Times New Roman"/>
                <w:color w:val="000000"/>
              </w:rPr>
              <w:br/>
              <w:t xml:space="preserve">- A municipal ordinance on fire prevention and control in Filadelfia </w:t>
            </w:r>
            <w:r w:rsidRPr="005F50D6">
              <w:rPr>
                <w:rFonts w:eastAsia="Times New Roman"/>
                <w:color w:val="000000"/>
              </w:rPr>
              <w:br/>
            </w:r>
            <w:r w:rsidRPr="005F50D6">
              <w:rPr>
                <w:rFonts w:eastAsia="Times New Roman"/>
                <w:color w:val="000000"/>
              </w:rPr>
              <w:br/>
            </w:r>
            <w:r w:rsidRPr="005F50D6">
              <w:rPr>
                <w:rFonts w:ascii="Arial" w:eastAsia="Times New Roman" w:hAnsi="Arial" w:cs="Arial"/>
                <w:color w:val="000000"/>
                <w:sz w:val="20"/>
                <w:szCs w:val="20"/>
                <w:u w:val="single"/>
              </w:rPr>
              <w:t xml:space="preserve">C) </w:t>
            </w:r>
            <w:r w:rsidRPr="005F50D6">
              <w:rPr>
                <w:rFonts w:eastAsia="Times New Roman"/>
                <w:color w:val="000000"/>
              </w:rPr>
              <w:t xml:space="preserve">5 National and sub-national policies, and regulations drafted, proposed or adopted that increase protection for and conservation of HCV and HCS areas + 6 under development </w:t>
            </w:r>
            <w:r w:rsidRPr="005F50D6">
              <w:rPr>
                <w:rFonts w:eastAsia="Times New Roman"/>
                <w:color w:val="000000"/>
              </w:rPr>
              <w:br/>
            </w:r>
            <w:r w:rsidRPr="005F50D6">
              <w:rPr>
                <w:rFonts w:eastAsia="Times New Roman"/>
                <w:color w:val="000000"/>
              </w:rPr>
              <w:br/>
              <w:t xml:space="preserve">Indonesia: 2 sub-national level regulations drafted, proposed and adopted; 1 sub-national level regulation drafted and proposed; 2 sub-national level regulations under development </w:t>
            </w:r>
            <w:r w:rsidRPr="005F50D6">
              <w:rPr>
                <w:rFonts w:eastAsia="Times New Roman"/>
                <w:color w:val="000000"/>
              </w:rPr>
              <w:br/>
              <w:t>2 sub-national level regulations adopted:</w:t>
            </w:r>
            <w:r w:rsidRPr="005F50D6">
              <w:rPr>
                <w:rFonts w:eastAsia="Times New Roman"/>
                <w:color w:val="000000"/>
              </w:rPr>
              <w:br/>
              <w:t xml:space="preserve">- The Pelalawan District Regulation on Spatial Plan </w:t>
            </w:r>
            <w:r w:rsidRPr="005F50D6">
              <w:rPr>
                <w:rFonts w:eastAsia="Times New Roman"/>
                <w:color w:val="000000"/>
              </w:rPr>
              <w:br/>
              <w:t xml:space="preserve">- The South Tapanuli Regent Regulation on the Designation &amp; Management of Special Cultivation Areas </w:t>
            </w:r>
            <w:r w:rsidRPr="005F50D6">
              <w:rPr>
                <w:rFonts w:eastAsia="Times New Roman"/>
                <w:color w:val="000000"/>
              </w:rPr>
              <w:br/>
            </w:r>
            <w:r w:rsidRPr="005F50D6">
              <w:rPr>
                <w:rFonts w:eastAsia="Times New Roman"/>
                <w:color w:val="000000"/>
              </w:rPr>
              <w:br/>
              <w:t xml:space="preserve">1 sub-national level regulation proposed: </w:t>
            </w:r>
            <w:r w:rsidRPr="005F50D6">
              <w:rPr>
                <w:rFonts w:eastAsia="Times New Roman"/>
                <w:color w:val="000000"/>
              </w:rPr>
              <w:br/>
              <w:t xml:space="preserve">- Pelalawan Peatland Protection and Management Plan </w:t>
            </w:r>
            <w:r w:rsidRPr="005F50D6">
              <w:rPr>
                <w:rFonts w:eastAsia="Times New Roman"/>
                <w:color w:val="000000"/>
              </w:rPr>
              <w:br/>
            </w:r>
            <w:r w:rsidRPr="005F50D6">
              <w:rPr>
                <w:rFonts w:eastAsia="Times New Roman"/>
                <w:color w:val="000000"/>
              </w:rPr>
              <w:br/>
              <w:t xml:space="preserve">2 sub-national level regulations under development: </w:t>
            </w:r>
            <w:r w:rsidRPr="005F50D6">
              <w:rPr>
                <w:rFonts w:eastAsia="Times New Roman"/>
                <w:color w:val="000000"/>
              </w:rPr>
              <w:br/>
              <w:t xml:space="preserve">- A district regulation for the Sintang Plantation Master Plan </w:t>
            </w:r>
            <w:r w:rsidRPr="005F50D6">
              <w:rPr>
                <w:rFonts w:eastAsia="Times New Roman"/>
                <w:color w:val="000000"/>
              </w:rPr>
              <w:br/>
              <w:t xml:space="preserve">- The Riau Peatland Protection and Management Plan </w:t>
            </w:r>
            <w:r w:rsidRPr="005F50D6">
              <w:rPr>
                <w:rFonts w:eastAsia="Times New Roman"/>
                <w:color w:val="000000"/>
              </w:rPr>
              <w:br/>
            </w:r>
            <w:r w:rsidRPr="005F50D6">
              <w:rPr>
                <w:rFonts w:eastAsia="Times New Roman"/>
                <w:color w:val="000000"/>
              </w:rPr>
              <w:br/>
              <w:t xml:space="preserve">Liberia: 2 national policies under development: </w:t>
            </w:r>
            <w:r w:rsidRPr="005F50D6">
              <w:rPr>
                <w:rFonts w:eastAsia="Times New Roman"/>
                <w:color w:val="000000"/>
              </w:rPr>
              <w:br/>
              <w:t xml:space="preserve">- Two national policies to manage the legal mechanism for Conservation Agreements </w:t>
            </w:r>
            <w:r w:rsidRPr="005F50D6">
              <w:rPr>
                <w:rFonts w:eastAsia="Times New Roman"/>
                <w:color w:val="000000"/>
              </w:rPr>
              <w:br/>
            </w:r>
            <w:r w:rsidRPr="005F50D6">
              <w:rPr>
                <w:rFonts w:eastAsia="Times New Roman"/>
                <w:color w:val="000000"/>
              </w:rPr>
              <w:br/>
              <w:t xml:space="preserve">Paraguay: 2 national policies drafted, proposed and adopted; 1 national and 1 subnational policies under development </w:t>
            </w:r>
            <w:r w:rsidRPr="005F50D6">
              <w:rPr>
                <w:rFonts w:eastAsia="Times New Roman"/>
                <w:color w:val="000000"/>
              </w:rPr>
              <w:br/>
              <w:t xml:space="preserve">2 national policies adopted: </w:t>
            </w:r>
            <w:r w:rsidRPr="005F50D6">
              <w:rPr>
                <w:rFonts w:eastAsia="Times New Roman"/>
                <w:color w:val="000000"/>
              </w:rPr>
              <w:br/>
              <w:t xml:space="preserve">- Sustainable quotas for exportation of Palo Santos </w:t>
            </w:r>
            <w:r w:rsidRPr="005F50D6">
              <w:rPr>
                <w:rFonts w:eastAsia="Times New Roman"/>
                <w:color w:val="000000"/>
              </w:rPr>
              <w:br/>
              <w:t xml:space="preserve">- Tajamares </w:t>
            </w:r>
            <w:r w:rsidRPr="005F50D6">
              <w:rPr>
                <w:rFonts w:eastAsia="Times New Roman"/>
                <w:color w:val="000000"/>
              </w:rPr>
              <w:br/>
            </w:r>
            <w:r w:rsidRPr="005F50D6">
              <w:rPr>
                <w:rFonts w:eastAsia="Times New Roman"/>
                <w:color w:val="000000"/>
              </w:rPr>
              <w:br/>
              <w:t xml:space="preserve">1 national policy under development: </w:t>
            </w:r>
            <w:r w:rsidRPr="005F50D6">
              <w:rPr>
                <w:rFonts w:eastAsia="Times New Roman"/>
                <w:color w:val="000000"/>
              </w:rPr>
              <w:br/>
              <w:t xml:space="preserve">- Palo Santo Management Plan </w:t>
            </w:r>
            <w:r w:rsidRPr="005F50D6">
              <w:rPr>
                <w:rFonts w:eastAsia="Times New Roman"/>
                <w:color w:val="000000"/>
              </w:rPr>
              <w:br/>
            </w:r>
            <w:r w:rsidRPr="005F50D6">
              <w:rPr>
                <w:rFonts w:eastAsia="Times New Roman"/>
                <w:color w:val="000000"/>
              </w:rPr>
              <w:br/>
              <w:t xml:space="preserve">1 subnational policy under development: </w:t>
            </w:r>
            <w:r w:rsidRPr="005F50D6">
              <w:rPr>
                <w:rFonts w:eastAsia="Times New Roman"/>
                <w:color w:val="000000"/>
              </w:rPr>
              <w:br/>
              <w:t>- Mades resolution on HCV/HCV (in the Chaco)</w:t>
            </w:r>
            <w:r w:rsidRPr="005F50D6">
              <w:rPr>
                <w:rFonts w:eastAsia="Times New Roman"/>
                <w:color w:val="000000"/>
              </w:rPr>
              <w:br/>
            </w:r>
            <w:r w:rsidRPr="005F50D6">
              <w:rPr>
                <w:rFonts w:eastAsia="Times New Roman"/>
                <w:color w:val="000000"/>
              </w:rPr>
              <w:br/>
              <w:t xml:space="preserve">In </w:t>
            </w:r>
            <w:r w:rsidRPr="005F50D6">
              <w:rPr>
                <w:rFonts w:ascii="Arial" w:eastAsia="Times New Roman" w:hAnsi="Arial" w:cs="Arial"/>
                <w:b/>
                <w:bCs/>
                <w:color w:val="000000"/>
                <w:sz w:val="20"/>
                <w:szCs w:val="20"/>
              </w:rPr>
              <w:t>Brazil</w:t>
            </w:r>
            <w:r w:rsidRPr="005F50D6">
              <w:rPr>
                <w:rFonts w:eastAsia="Times New Roman"/>
                <w:color w:val="000000"/>
              </w:rPr>
              <w:t>, there is 1 regulation at the national level that is under development to enable implementation of the Environmental Regularization Program in Tocantins. Because this regulation is under development, it is not counted in the aggregated number</w:t>
            </w:r>
          </w:p>
        </w:tc>
      </w:tr>
      <w:tr w:rsidR="007E41B9" w:rsidRPr="005F50D6" w14:paraId="129D6522" w14:textId="77777777" w:rsidTr="00062DAE">
        <w:trPr>
          <w:trHeight w:val="800"/>
        </w:trPr>
        <w:tc>
          <w:tcPr>
            <w:tcW w:w="5000" w:type="pct"/>
            <w:shd w:val="clear" w:color="auto" w:fill="F7CAAC" w:themeFill="accent2" w:themeFillTint="66"/>
            <w:vAlign w:val="bottom"/>
          </w:tcPr>
          <w:p w14:paraId="27C02D7A" w14:textId="77777777" w:rsidR="007E41B9" w:rsidRPr="005F50D6" w:rsidRDefault="007E41B9" w:rsidP="00062DAE">
            <w:pPr>
              <w:spacing w:after="0" w:line="240" w:lineRule="auto"/>
              <w:rPr>
                <w:rFonts w:eastAsia="Times New Roman"/>
                <w:color w:val="000000"/>
              </w:rPr>
            </w:pPr>
            <w:r w:rsidRPr="00391E48">
              <w:rPr>
                <w:rFonts w:ascii="Arial" w:eastAsia="Times New Roman" w:hAnsi="Arial" w:cs="Arial"/>
                <w:b/>
                <w:bCs/>
                <w:color w:val="000000"/>
                <w:sz w:val="20"/>
                <w:szCs w:val="20"/>
              </w:rPr>
              <w:lastRenderedPageBreak/>
              <w:t>Strengthening the enabling environment to facilitate reduced deforestation in commodity supply chains through responsible demand, adequate policymaking, and increased financing to sustainable commodity production</w:t>
            </w:r>
          </w:p>
        </w:tc>
      </w:tr>
      <w:tr w:rsidR="007E41B9" w:rsidRPr="005F50D6" w14:paraId="4320E936" w14:textId="77777777" w:rsidTr="00062DAE">
        <w:trPr>
          <w:trHeight w:val="170"/>
        </w:trPr>
        <w:tc>
          <w:tcPr>
            <w:tcW w:w="5000" w:type="pct"/>
            <w:shd w:val="clear" w:color="auto" w:fill="F7CAAC" w:themeFill="accent2" w:themeFillTint="66"/>
            <w:vAlign w:val="bottom"/>
          </w:tcPr>
          <w:p w14:paraId="3B3D8B97" w14:textId="77777777" w:rsidR="007E41B9" w:rsidRPr="005F50D6" w:rsidRDefault="007E41B9" w:rsidP="00062DAE">
            <w:pPr>
              <w:spacing w:after="0" w:line="240" w:lineRule="auto"/>
              <w:rPr>
                <w:rFonts w:ascii="Arial" w:eastAsia="Times New Roman" w:hAnsi="Arial" w:cs="Arial"/>
                <w:color w:val="000000"/>
                <w:sz w:val="20"/>
                <w:szCs w:val="20"/>
              </w:rPr>
            </w:pPr>
            <w:r w:rsidRPr="00E92008">
              <w:rPr>
                <w:rFonts w:ascii="Arial" w:eastAsia="Times New Roman" w:hAnsi="Arial" w:cs="Arial"/>
                <w:color w:val="000000"/>
                <w:sz w:val="20"/>
                <w:szCs w:val="20"/>
              </w:rPr>
              <w:t># of countries with strengthened land use monitoring systems, increased transparency and/or traceability for reduced deforestation supply chains</w:t>
            </w:r>
          </w:p>
        </w:tc>
      </w:tr>
      <w:tr w:rsidR="007E41B9" w:rsidRPr="005F50D6" w14:paraId="645C03AF" w14:textId="77777777" w:rsidTr="00062DAE">
        <w:trPr>
          <w:trHeight w:val="5210"/>
        </w:trPr>
        <w:tc>
          <w:tcPr>
            <w:tcW w:w="5000" w:type="pct"/>
            <w:shd w:val="clear" w:color="D9EAD3" w:fill="D9EAD3"/>
            <w:vAlign w:val="center"/>
            <w:hideMark/>
          </w:tcPr>
          <w:p w14:paraId="609F8FC9" w14:textId="0AF06A32"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171 countries or territories with strengthened land use monitoring systems, increased transparency and/or traceability for reduced deforestation supply chains.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Production supported Indonesia, Liberia and Paraguay to strengthen land use monitoring systems, increased transparency and/or traceability for reduced deforestation supply chains. In Indonesia, a Land Use Change Monitoring (LUCM) tool has been developed, including a GIS-platform and Early Warning System (EWS). In Liberia, Frontline Conservationists were trained and equipped with a GIS-based system to strengthen the monitoring of the 5,000 ha of HCV/HCS area, which are now under a Conservation Agreement. In Paraguay, the project is supporting the National Forestry Institute (INFONA) to digitalize the registry of land use plans of the Chaco. This information, together with the monitoring of granting and use of licenses provided through SIAM (MADES) allows for the development of LUCM reports.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 xml:space="preserve">Demand reported that 190 countries and territories were supported via using version 3 of the SEI-PCS (Spatially Explicit Information on Production to Consumption Systems) method and made available to global supply chain actors through project activities.  </w:t>
            </w:r>
            <w:r w:rsidRPr="005F50D6">
              <w:rPr>
                <w:rFonts w:eastAsia="Times New Roman"/>
                <w:color w:val="000000"/>
              </w:rPr>
              <w:br/>
            </w:r>
            <w:r w:rsidRPr="005F50D6">
              <w:rPr>
                <w:rFonts w:eastAsia="Times New Roman"/>
                <w:color w:val="000000"/>
              </w:rPr>
              <w:br/>
              <w:t>NOTE: The final number between Production and Demand is 171 countries, as countries covered in Production are also covered under Demand. The 171 reported countries include specific contributions to the territories of:</w:t>
            </w:r>
            <w:r w:rsidRPr="005F50D6">
              <w:rPr>
                <w:rFonts w:eastAsia="Times New Roman"/>
                <w:color w:val="000000"/>
              </w:rPr>
              <w:br/>
            </w:r>
            <w:r w:rsidRPr="005F50D6">
              <w:rPr>
                <w:rFonts w:eastAsia="Times New Roman"/>
                <w:color w:val="000000"/>
              </w:rPr>
              <w:br/>
              <w:t>1. Anguila, Bermuda, Cayman Islands, Falkland Islands, Gibraltar, Turks and Caicos Islands, Virgin Islands (counted under the UK )</w:t>
            </w:r>
            <w:r w:rsidRPr="005F50D6">
              <w:rPr>
                <w:rFonts w:eastAsia="Times New Roman"/>
                <w:color w:val="000000"/>
              </w:rPr>
              <w:br/>
              <w:t>2. Canary Islands (counted under Spain)</w:t>
            </w:r>
            <w:r w:rsidRPr="005F50D6">
              <w:rPr>
                <w:rFonts w:eastAsia="Times New Roman"/>
                <w:color w:val="000000"/>
              </w:rPr>
              <w:br/>
              <w:t>3. Hong Kong (counted under China)</w:t>
            </w:r>
            <w:r w:rsidRPr="005F50D6">
              <w:rPr>
                <w:rFonts w:eastAsia="Times New Roman"/>
                <w:color w:val="000000"/>
              </w:rPr>
              <w:br/>
              <w:t>4. Curacao, Netherlands Antilles (counted under The Netherlands)</w:t>
            </w:r>
            <w:r w:rsidRPr="005F50D6">
              <w:rPr>
                <w:rFonts w:eastAsia="Times New Roman"/>
                <w:color w:val="000000"/>
              </w:rPr>
              <w:br/>
              <w:t>5. Gaza Strip &amp; Occupied Palestinian Territory (counted as 1 territory)</w:t>
            </w:r>
            <w:r w:rsidRPr="005F50D6">
              <w:rPr>
                <w:rFonts w:eastAsia="Times New Roman"/>
                <w:color w:val="000000"/>
              </w:rPr>
              <w:br/>
              <w:t>6. Martinique &amp; Reunion (counted under France)</w:t>
            </w:r>
            <w:r w:rsidRPr="005F50D6">
              <w:rPr>
                <w:rFonts w:eastAsia="Times New Roman"/>
                <w:color w:val="000000"/>
              </w:rPr>
              <w:br/>
              <w:t>7. Guam, Puerto Rico and Samoa (counted under US)</w:t>
            </w:r>
            <w:r w:rsidRPr="005F50D6">
              <w:rPr>
                <w:rFonts w:eastAsia="Times New Roman"/>
                <w:color w:val="000000"/>
              </w:rPr>
              <w:br/>
              <w:t>8. Saint Martin (counted as either France or The Netherlands)</w:t>
            </w:r>
            <w:r w:rsidRPr="005F50D6">
              <w:rPr>
                <w:rFonts w:eastAsia="Times New Roman"/>
                <w:color w:val="000000"/>
              </w:rPr>
              <w:br/>
              <w:t>9. Seychelles y Dependencias (counted under Seychelles)</w:t>
            </w:r>
          </w:p>
        </w:tc>
      </w:tr>
      <w:tr w:rsidR="007E41B9" w:rsidRPr="005F50D6" w14:paraId="3FBDB1D7" w14:textId="77777777" w:rsidTr="007E41B9">
        <w:trPr>
          <w:trHeight w:val="620"/>
        </w:trPr>
        <w:tc>
          <w:tcPr>
            <w:tcW w:w="5000" w:type="pct"/>
            <w:shd w:val="clear" w:color="auto" w:fill="F7CAAC" w:themeFill="accent2" w:themeFillTint="66"/>
            <w:vAlign w:val="bottom"/>
          </w:tcPr>
          <w:p w14:paraId="39063F78" w14:textId="77777777" w:rsidR="007E41B9" w:rsidRPr="005F50D6" w:rsidRDefault="007E41B9" w:rsidP="00062DAE">
            <w:pPr>
              <w:spacing w:after="0" w:line="240" w:lineRule="auto"/>
              <w:rPr>
                <w:rFonts w:eastAsia="Times New Roman"/>
                <w:color w:val="000000"/>
              </w:rPr>
            </w:pPr>
            <w:r w:rsidRPr="00E92008">
              <w:rPr>
                <w:rFonts w:eastAsia="Times New Roman"/>
                <w:color w:val="000000"/>
              </w:rPr>
              <w:t>Improving multi-stakeholder governance and collaborative action to drive reduced deforestation in commodity supply chains</w:t>
            </w:r>
          </w:p>
        </w:tc>
      </w:tr>
      <w:tr w:rsidR="007E41B9" w:rsidRPr="005F50D6" w14:paraId="5090E8A6" w14:textId="77777777" w:rsidTr="00062DAE">
        <w:trPr>
          <w:trHeight w:val="170"/>
        </w:trPr>
        <w:tc>
          <w:tcPr>
            <w:tcW w:w="5000" w:type="pct"/>
            <w:shd w:val="clear" w:color="auto" w:fill="F7CAAC" w:themeFill="accent2" w:themeFillTint="66"/>
            <w:vAlign w:val="bottom"/>
          </w:tcPr>
          <w:p w14:paraId="6B5C5760" w14:textId="77777777" w:rsidR="007E41B9" w:rsidRPr="005F50D6" w:rsidRDefault="007E41B9" w:rsidP="00062DAE">
            <w:pPr>
              <w:spacing w:after="0" w:line="240" w:lineRule="auto"/>
              <w:rPr>
                <w:rFonts w:ascii="Arial" w:eastAsia="Times New Roman" w:hAnsi="Arial" w:cs="Arial"/>
                <w:color w:val="000000"/>
                <w:sz w:val="20"/>
                <w:szCs w:val="20"/>
              </w:rPr>
            </w:pPr>
            <w:r w:rsidRPr="00E92008">
              <w:rPr>
                <w:rFonts w:ascii="Arial" w:eastAsia="Times New Roman" w:hAnsi="Arial" w:cs="Arial"/>
                <w:color w:val="000000"/>
                <w:sz w:val="20"/>
                <w:szCs w:val="20"/>
              </w:rPr>
              <w:t># of national and sub-national multi-stakeholder platforms established and/or supported by the GGP to facilitate dialogue and sustainable action planning</w:t>
            </w:r>
          </w:p>
        </w:tc>
      </w:tr>
      <w:tr w:rsidR="007E41B9" w:rsidRPr="005F50D6" w14:paraId="658561B7" w14:textId="77777777" w:rsidTr="00062DAE">
        <w:trPr>
          <w:trHeight w:val="4670"/>
        </w:trPr>
        <w:tc>
          <w:tcPr>
            <w:tcW w:w="5000" w:type="pct"/>
            <w:shd w:val="clear" w:color="D9EAD3" w:fill="D9EAD3"/>
            <w:vAlign w:val="center"/>
            <w:hideMark/>
          </w:tcPr>
          <w:p w14:paraId="6239FBFF"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22 national and sub-national multi-stakeholder platforms established and/or supported by the GGP to facilitate dialogue and sustainable action planning.</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eastAsia="Times New Roman"/>
                <w:color w:val="000000"/>
              </w:rPr>
              <w:br/>
              <w:t>Within Production, 11 multi-stakeholder platforms are either supported or established at the national (3), sub-national (7), and landscape (1) level.</w:t>
            </w:r>
            <w:r w:rsidRPr="005F50D6">
              <w:rPr>
                <w:rFonts w:eastAsia="Times New Roman"/>
                <w:color w:val="000000"/>
              </w:rPr>
              <w:br/>
            </w:r>
            <w:r w:rsidRPr="005F50D6">
              <w:rPr>
                <w:rFonts w:eastAsia="Times New Roman"/>
                <w:color w:val="000000"/>
              </w:rPr>
              <w:br/>
              <w:t xml:space="preserve">3 national commodity platforms:  </w:t>
            </w:r>
            <w:r w:rsidRPr="005F50D6">
              <w:rPr>
                <w:rFonts w:eastAsia="Times New Roman"/>
                <w:color w:val="000000"/>
              </w:rPr>
              <w:br/>
              <w:t>- 1 in Indonesia: National Platform for Sustainable Palm Oil (FOKSBI). Palm oil. Ongoing. Strengthening role. FOKSBI has transitioned towards NAP Implementation Team.</w:t>
            </w:r>
            <w:r w:rsidRPr="005F50D6">
              <w:rPr>
                <w:rFonts w:eastAsia="Times New Roman"/>
                <w:color w:val="000000"/>
              </w:rPr>
              <w:br/>
              <w:t>- 1 in Liberia: National Oil Palm Platform of Liberia (NOPPOL). Palm oil. Ongoing.  Established. Group of multi-stakeholder technical experts.</w:t>
            </w:r>
            <w:r w:rsidRPr="005F50D6">
              <w:rPr>
                <w:rFonts w:eastAsia="Times New Roman"/>
                <w:color w:val="000000"/>
              </w:rPr>
              <w:br/>
              <w:t>- 1 in Paraguay: National Beef Platform of Paraguay. Beef. Ongoing. Established</w:t>
            </w:r>
            <w:r w:rsidRPr="005F50D6">
              <w:rPr>
                <w:rFonts w:eastAsia="Times New Roman"/>
                <w:color w:val="000000"/>
              </w:rPr>
              <w:br/>
            </w:r>
            <w:r w:rsidRPr="005F50D6">
              <w:rPr>
                <w:rFonts w:eastAsia="Times New Roman"/>
                <w:color w:val="000000"/>
              </w:rPr>
              <w:br/>
              <w:t xml:space="preserve">7 sub-national platforms:  </w:t>
            </w:r>
            <w:r w:rsidRPr="005F50D6">
              <w:rPr>
                <w:rFonts w:eastAsia="Times New Roman"/>
                <w:color w:val="000000"/>
              </w:rPr>
              <w:br/>
              <w:t xml:space="preserve">- 6 in Indonesia in Riau (established), West Kalimantan (established) and North Sumatra (strengthening role). At the jursidiction level: Pelalawan (strengthening role), South Tapanuli (established) and Sintang forums (established). The 6 are on Palm Oil and their current status is ongoing. </w:t>
            </w:r>
            <w:r w:rsidRPr="005F50D6">
              <w:rPr>
                <w:rFonts w:eastAsia="Times New Roman"/>
                <w:color w:val="000000"/>
              </w:rPr>
              <w:br/>
              <w:t>- 1 in Paraguay: Chaco platform. Beef. Ongoing. Established.</w:t>
            </w:r>
            <w:r w:rsidRPr="005F50D6">
              <w:rPr>
                <w:rFonts w:eastAsia="Times New Roman"/>
                <w:color w:val="000000"/>
              </w:rPr>
              <w:br/>
            </w:r>
            <w:r w:rsidRPr="005F50D6">
              <w:rPr>
                <w:rFonts w:eastAsia="Times New Roman"/>
                <w:color w:val="000000"/>
              </w:rPr>
              <w:br/>
              <w:t xml:space="preserve">1 landscape-level forums:  </w:t>
            </w:r>
            <w:r w:rsidRPr="005F50D6">
              <w:rPr>
                <w:rFonts w:eastAsia="Times New Roman"/>
                <w:color w:val="000000"/>
              </w:rPr>
              <w:br/>
              <w:t>- 1 in Liberia: North Western Oil Palm Landscape Forum. Palm oil. Ongoing. Established.</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eastAsia="Times New Roman"/>
                <w:color w:val="000000"/>
              </w:rPr>
              <w:br/>
              <w:t>Within Demand, there are 10 supported platforms at the global (2), national (3), regional (3) and landscape (2) level. All of them are multi-stakeholder. These are:</w:t>
            </w:r>
            <w:r w:rsidRPr="005F50D6">
              <w:rPr>
                <w:rFonts w:eastAsia="Times New Roman"/>
                <w:color w:val="000000"/>
              </w:rPr>
              <w:br/>
            </w:r>
            <w:r w:rsidRPr="005F50D6">
              <w:rPr>
                <w:rFonts w:eastAsia="Times New Roman"/>
                <w:color w:val="000000"/>
              </w:rPr>
              <w:br/>
              <w:t xml:space="preserve">2 Global platforms: </w:t>
            </w:r>
            <w:r w:rsidRPr="005F50D6">
              <w:rPr>
                <w:rFonts w:eastAsia="Times New Roman"/>
                <w:color w:val="000000"/>
              </w:rPr>
              <w:br/>
              <w:t xml:space="preserve">- Consumer Goods Forum (CGF) Forest Positive Coalition. Focused on soy. Ongoing. Advisory. </w:t>
            </w:r>
            <w:r w:rsidRPr="005F50D6">
              <w:rPr>
                <w:rFonts w:eastAsia="Times New Roman"/>
                <w:color w:val="000000"/>
              </w:rPr>
              <w:br/>
              <w:t>- Global Trade Corporation. Ongoing; Advisory.</w:t>
            </w:r>
            <w:r w:rsidRPr="005F50D6">
              <w:rPr>
                <w:rFonts w:eastAsia="Times New Roman"/>
                <w:color w:val="000000"/>
              </w:rPr>
              <w:br/>
            </w:r>
            <w:r w:rsidRPr="005F50D6">
              <w:rPr>
                <w:rFonts w:eastAsia="Times New Roman"/>
                <w:color w:val="000000"/>
              </w:rPr>
              <w:br/>
              <w:t xml:space="preserve">3 National platforms: </w:t>
            </w:r>
            <w:r w:rsidRPr="005F50D6">
              <w:rPr>
                <w:rFonts w:eastAsia="Times New Roman"/>
                <w:color w:val="000000"/>
              </w:rPr>
              <w:br/>
              <w:t>- The Indonesia Business Council for Sustainable Development (IBCSD)'s Green Lifestyle Platform. Palm oil. Ongoing. Technical support.</w:t>
            </w:r>
            <w:r w:rsidRPr="005F50D6">
              <w:rPr>
                <w:rFonts w:eastAsia="Times New Roman"/>
                <w:color w:val="000000"/>
              </w:rPr>
              <w:br/>
              <w:t>- Mesa de Finanzas Sostenible (Sustainable Finance Roundtable of Paraguay). Ongoing. Advisory. Also supported by Transactions - UNEP FI.</w:t>
            </w:r>
            <w:r w:rsidRPr="005F50D6">
              <w:rPr>
                <w:rFonts w:eastAsia="Times New Roman"/>
                <w:color w:val="000000"/>
              </w:rPr>
              <w:br/>
              <w:t>- Mesa Paraguaya de Carne Sostenible (the Paraguayan Roundtable for Sustainable Beef, as part of the part of the Global Roundtable for Sustainable Beef). Ongoing. Advisory. Also supported by Transactions - IFC.</w:t>
            </w:r>
            <w:r w:rsidRPr="005F50D6">
              <w:rPr>
                <w:rFonts w:eastAsia="Times New Roman"/>
                <w:color w:val="000000"/>
              </w:rPr>
              <w:br/>
            </w:r>
            <w:r w:rsidRPr="005F50D6">
              <w:rPr>
                <w:rFonts w:eastAsia="Times New Roman"/>
                <w:color w:val="000000"/>
              </w:rPr>
              <w:br/>
              <w:t>3 Regional platforms:</w:t>
            </w:r>
            <w:r w:rsidRPr="005F50D6">
              <w:rPr>
                <w:rFonts w:eastAsia="Times New Roman"/>
                <w:color w:val="000000"/>
              </w:rPr>
              <w:br/>
            </w:r>
            <w:r w:rsidRPr="005F50D6">
              <w:rPr>
                <w:rFonts w:eastAsia="Times New Roman"/>
                <w:color w:val="000000"/>
              </w:rPr>
              <w:lastRenderedPageBreak/>
              <w:t>- African Palm Oil Initiative. Palm Oil. Ongoing. Advisory.</w:t>
            </w:r>
            <w:r w:rsidRPr="005F50D6">
              <w:rPr>
                <w:rFonts w:eastAsia="Times New Roman"/>
                <w:color w:val="000000"/>
              </w:rPr>
              <w:br/>
              <w:t>- Emerging Markets Investor Alliance. Soy. Ongoing. Advisory.</w:t>
            </w:r>
            <w:r w:rsidRPr="005F50D6">
              <w:rPr>
                <w:rFonts w:eastAsia="Times New Roman"/>
                <w:color w:val="000000"/>
              </w:rPr>
              <w:br/>
              <w:t>- Asia Sustainable Finance Initiative. Ongoing. Advisory.</w:t>
            </w:r>
            <w:r w:rsidRPr="005F50D6">
              <w:rPr>
                <w:rFonts w:eastAsia="Times New Roman"/>
                <w:color w:val="000000"/>
              </w:rPr>
              <w:br/>
            </w:r>
            <w:r w:rsidRPr="005F50D6">
              <w:rPr>
                <w:rFonts w:eastAsia="Times New Roman"/>
                <w:color w:val="000000"/>
              </w:rPr>
              <w:br/>
              <w:t>2 Landscape platform:</w:t>
            </w:r>
            <w:r w:rsidRPr="005F50D6">
              <w:rPr>
                <w:rFonts w:eastAsia="Times New Roman"/>
                <w:color w:val="000000"/>
              </w:rPr>
              <w:br/>
              <w:t>- Statement of Support Group (Landscape: Cerrado). Soy. Ongoing. Coordinating</w:t>
            </w:r>
            <w:r w:rsidRPr="005F50D6">
              <w:rPr>
                <w:rFonts w:eastAsia="Times New Roman"/>
                <w:color w:val="000000"/>
              </w:rPr>
              <w:br/>
              <w:t>- Cerrativo (Landscape: Cerrado). Soy. Ongoing. Advisory.</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Brazil</w:t>
            </w:r>
            <w:r w:rsidRPr="005F50D6">
              <w:rPr>
                <w:rFonts w:ascii="Arial" w:eastAsia="Times New Roman" w:hAnsi="Arial" w:cs="Arial"/>
                <w:b/>
                <w:bCs/>
                <w:color w:val="000000"/>
                <w:sz w:val="20"/>
                <w:szCs w:val="20"/>
              </w:rPr>
              <w:br/>
            </w:r>
            <w:r w:rsidRPr="005F50D6">
              <w:rPr>
                <w:rFonts w:eastAsia="Times New Roman"/>
                <w:color w:val="000000"/>
              </w:rPr>
              <w:t>Within Brazil, there is 1 sub-national platform supported: Matopiba Coalition. Soy. Ongoing. Advisory.</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Transactions</w:t>
            </w:r>
            <w:r w:rsidRPr="005F50D6">
              <w:rPr>
                <w:rFonts w:eastAsia="Times New Roman"/>
                <w:color w:val="000000"/>
              </w:rPr>
              <w:br/>
              <w:t>IFC supports 1 national platform:</w:t>
            </w:r>
            <w:r w:rsidRPr="005F50D6">
              <w:rPr>
                <w:rFonts w:eastAsia="Times New Roman"/>
                <w:color w:val="000000"/>
              </w:rPr>
              <w:br/>
              <w:t>Mesa Paraguaya de Carne Sostenible (the Paraguayan Roundtable for Sustainable Beef, as part of the part of the Global Roundtable for Sustainable Beef). Ongoing. Advisory. This platform is also supported by Demand and has not been counted in the aggregated number to avoid double counting.</w:t>
            </w:r>
            <w:r w:rsidRPr="005F50D6">
              <w:rPr>
                <w:rFonts w:eastAsia="Times New Roman"/>
                <w:color w:val="000000"/>
              </w:rPr>
              <w:br/>
            </w:r>
            <w:r w:rsidRPr="005F50D6">
              <w:rPr>
                <w:rFonts w:eastAsia="Times New Roman"/>
                <w:color w:val="000000"/>
              </w:rPr>
              <w:br/>
              <w:t>UNEP FI supports 1 national platform: Mesa de Finanzas Sostenible (Sustainable Finance Roundtable of Paraguay). Ongoing. Advisory. This platform is also supported by Demand and has not been counted in the aggregated number to avoid double counting.</w:t>
            </w:r>
          </w:p>
        </w:tc>
      </w:tr>
      <w:tr w:rsidR="007E41B9" w:rsidRPr="005F50D6" w14:paraId="05097DB3" w14:textId="77777777" w:rsidTr="007E41B9">
        <w:trPr>
          <w:trHeight w:val="350"/>
        </w:trPr>
        <w:tc>
          <w:tcPr>
            <w:tcW w:w="5000" w:type="pct"/>
            <w:shd w:val="clear" w:color="auto" w:fill="F7CAAC" w:themeFill="accent2" w:themeFillTint="66"/>
            <w:vAlign w:val="bottom"/>
          </w:tcPr>
          <w:p w14:paraId="4902A1E4" w14:textId="77777777" w:rsidR="007E41B9" w:rsidRPr="005F50D6" w:rsidRDefault="007E41B9" w:rsidP="00062DAE">
            <w:pPr>
              <w:spacing w:after="0" w:line="240" w:lineRule="auto"/>
              <w:rPr>
                <w:rFonts w:eastAsia="Times New Roman"/>
                <w:color w:val="000000"/>
              </w:rPr>
            </w:pPr>
            <w:r w:rsidRPr="00E92008">
              <w:rPr>
                <w:rFonts w:eastAsia="Times New Roman"/>
                <w:color w:val="000000"/>
              </w:rPr>
              <w:lastRenderedPageBreak/>
              <w:t>Improving multi-stakeholder governance and collaborative action to drive reduced deforestation in commodity supply chains</w:t>
            </w:r>
          </w:p>
        </w:tc>
      </w:tr>
      <w:tr w:rsidR="007E41B9" w:rsidRPr="005F50D6" w14:paraId="1007AEEF" w14:textId="77777777" w:rsidTr="00062DAE">
        <w:trPr>
          <w:trHeight w:val="170"/>
        </w:trPr>
        <w:tc>
          <w:tcPr>
            <w:tcW w:w="5000" w:type="pct"/>
            <w:shd w:val="clear" w:color="auto" w:fill="F7CAAC" w:themeFill="accent2" w:themeFillTint="66"/>
            <w:vAlign w:val="bottom"/>
          </w:tcPr>
          <w:p w14:paraId="5827F5A5" w14:textId="77777777" w:rsidR="007E41B9" w:rsidRPr="005F50D6" w:rsidRDefault="007E41B9" w:rsidP="00062DAE">
            <w:pPr>
              <w:spacing w:after="0" w:line="240" w:lineRule="auto"/>
              <w:rPr>
                <w:rFonts w:ascii="Arial" w:eastAsia="Times New Roman" w:hAnsi="Arial" w:cs="Arial"/>
                <w:color w:val="000000"/>
                <w:sz w:val="20"/>
                <w:szCs w:val="20"/>
              </w:rPr>
            </w:pPr>
            <w:r w:rsidRPr="00DB4471">
              <w:rPr>
                <w:rFonts w:ascii="Arial" w:eastAsia="Times New Roman" w:hAnsi="Arial" w:cs="Arial"/>
                <w:color w:val="000000"/>
                <w:sz w:val="20"/>
                <w:szCs w:val="20"/>
              </w:rPr>
              <w:t># of national or subnational action plans developed and under implementation fostering reduced deforestation supply chains.</w:t>
            </w:r>
          </w:p>
        </w:tc>
      </w:tr>
      <w:tr w:rsidR="007E41B9" w:rsidRPr="005F50D6" w14:paraId="43D661BF" w14:textId="77777777" w:rsidTr="00062DAE">
        <w:trPr>
          <w:trHeight w:val="4310"/>
        </w:trPr>
        <w:tc>
          <w:tcPr>
            <w:tcW w:w="5000" w:type="pct"/>
            <w:shd w:val="clear" w:color="D9EAD3" w:fill="D9EAD3"/>
            <w:vAlign w:val="center"/>
            <w:hideMark/>
          </w:tcPr>
          <w:p w14:paraId="11CEC132"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6 national or subnational action plans developed and under implementation fostering reduced deforestation supply chains.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Within Production, there are 1 national, 2 subnational, and 3 district-level action plans under implementation or being developed across Indonesia, Liberia and Paraguay. In addition, there is 1 national action plan under development and 2 subnational plans submitted for legalization. Only the 6 action plans under implementation are counted in the aggregated number.</w:t>
            </w:r>
            <w:r w:rsidRPr="005F50D6">
              <w:rPr>
                <w:rFonts w:eastAsia="Times New Roman"/>
                <w:color w:val="000000"/>
              </w:rPr>
              <w:br/>
              <w:t xml:space="preserve">In Indonesia, the National Action Plan (NAP) for Sustainable Palm Oil was legalized in Q4 2019 through a Presidential Instruction. At subnational level, the North Sumatra Provincial Action Plan was legalized and decrees for legalization of the Riau and West Kalimantan Provincial Action Plans were submitted to the Legal Bureau in Q1 2020. At district level, the Sintang district strategy was finalized and legalized in Q4 2018 and implementation was kicked off mid-2019. In South Tapanuli, the district strategy for sustainable palm oil was legalized in September 2019 and implementation of the action plan was initiated. In Pelalawan, the district action plan was finalized in 2019 and the decree for the legalization of the Pelalawan District Action Plan is being developed.  </w:t>
            </w:r>
            <w:r w:rsidRPr="005F50D6">
              <w:rPr>
                <w:rFonts w:eastAsia="Times New Roman"/>
                <w:color w:val="000000"/>
              </w:rPr>
              <w:br/>
              <w:t>In Liberia, the Root Cause Analysis (RCA) fed into the development of the National Sustainable Oil Palm Strategy and Action Plan, for which a roadmap was defined and approved by the National Platform. Work on costing and aligning finances against the NAP were initiated in the second half of 2020. Furthemore, in Liberia, the National Action Plan is under finalization.</w:t>
            </w:r>
            <w:r w:rsidRPr="005F50D6">
              <w:rPr>
                <w:rFonts w:eastAsia="Times New Roman"/>
                <w:color w:val="000000"/>
              </w:rPr>
              <w:br/>
              <w:t xml:space="preserve">In Paraguay, the Regional Action Plan was finalized and validated by all the platform stakeholders and is being implemented. </w:t>
            </w:r>
          </w:p>
        </w:tc>
      </w:tr>
      <w:tr w:rsidR="007E41B9" w:rsidRPr="005F50D6" w14:paraId="09A6D9C3" w14:textId="77777777" w:rsidTr="007E41B9">
        <w:trPr>
          <w:trHeight w:val="350"/>
        </w:trPr>
        <w:tc>
          <w:tcPr>
            <w:tcW w:w="5000" w:type="pct"/>
            <w:shd w:val="clear" w:color="auto" w:fill="F7CAAC" w:themeFill="accent2" w:themeFillTint="66"/>
            <w:vAlign w:val="bottom"/>
          </w:tcPr>
          <w:p w14:paraId="1270BA46" w14:textId="77777777" w:rsidR="007E41B9" w:rsidRPr="005F50D6" w:rsidRDefault="007E41B9" w:rsidP="00062DAE">
            <w:pPr>
              <w:spacing w:after="0" w:line="240" w:lineRule="auto"/>
              <w:rPr>
                <w:rFonts w:eastAsia="Times New Roman"/>
                <w:color w:val="000000"/>
              </w:rPr>
            </w:pPr>
            <w:r w:rsidRPr="00E92008">
              <w:rPr>
                <w:rFonts w:eastAsia="Times New Roman"/>
                <w:color w:val="000000"/>
              </w:rPr>
              <w:t>Improving multi-stakeholder governance and collaborative action to drive reduced deforestation in commodity supply chains</w:t>
            </w:r>
          </w:p>
        </w:tc>
      </w:tr>
      <w:tr w:rsidR="007E41B9" w:rsidRPr="005F50D6" w14:paraId="5CA505AE" w14:textId="77777777" w:rsidTr="00062DAE">
        <w:trPr>
          <w:trHeight w:val="170"/>
        </w:trPr>
        <w:tc>
          <w:tcPr>
            <w:tcW w:w="5000" w:type="pct"/>
            <w:shd w:val="clear" w:color="auto" w:fill="F7CAAC" w:themeFill="accent2" w:themeFillTint="66"/>
            <w:vAlign w:val="bottom"/>
          </w:tcPr>
          <w:p w14:paraId="60FCC882" w14:textId="77777777" w:rsidR="007E41B9" w:rsidRPr="005F50D6" w:rsidRDefault="007E41B9" w:rsidP="00062DAE">
            <w:pPr>
              <w:spacing w:after="0" w:line="240" w:lineRule="auto"/>
              <w:rPr>
                <w:rFonts w:ascii="Arial" w:eastAsia="Times New Roman" w:hAnsi="Arial" w:cs="Arial"/>
                <w:color w:val="000000"/>
                <w:sz w:val="20"/>
                <w:szCs w:val="20"/>
              </w:rPr>
            </w:pPr>
            <w:r w:rsidRPr="00DB4471">
              <w:rPr>
                <w:rFonts w:ascii="Arial" w:eastAsia="Times New Roman" w:hAnsi="Arial" w:cs="Arial"/>
                <w:color w:val="000000"/>
                <w:sz w:val="20"/>
                <w:szCs w:val="20"/>
              </w:rPr>
              <w:t># of new partnerships between producers, buyers and finance providers, fostering sustainable commodity supply chains.</w:t>
            </w:r>
          </w:p>
        </w:tc>
      </w:tr>
      <w:tr w:rsidR="007E41B9" w:rsidRPr="005F50D6" w14:paraId="10855DA7" w14:textId="77777777" w:rsidTr="00062DAE">
        <w:trPr>
          <w:trHeight w:val="8190"/>
        </w:trPr>
        <w:tc>
          <w:tcPr>
            <w:tcW w:w="5000" w:type="pct"/>
            <w:shd w:val="clear" w:color="D9EAD3" w:fill="D9EAD3"/>
            <w:vAlign w:val="center"/>
            <w:hideMark/>
          </w:tcPr>
          <w:p w14:paraId="41D7D7FA"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4 new partnerships between producers, buyers and finance providers, fostering sustainable commodity supply chains. The Production project declared 2 new partnerships between producers, buyers and finance providers, fostering sustainable commodity supply chains, in Indonesia and in Liberia. Furthermore, Transactions facilitated 2 more partnership agreements in Indonesia and Paraguay</w:t>
            </w:r>
            <w:r w:rsidRPr="005F50D6">
              <w:rPr>
                <w:rFonts w:eastAsia="Times New Roman"/>
                <w:color w:val="000000"/>
              </w:rPr>
              <w:br/>
            </w:r>
            <w:r w:rsidRPr="005F50D6">
              <w:rPr>
                <w:rFonts w:eastAsia="Times New Roman"/>
                <w:color w:val="000000"/>
              </w:rPr>
              <w:br/>
              <w:t>In Indonesia, 2 supply chain partnerships were facilitated. 1 by Production and 1 by Transactions.</w:t>
            </w:r>
            <w:r w:rsidRPr="005F50D6">
              <w:rPr>
                <w:rFonts w:eastAsia="Times New Roman"/>
                <w:color w:val="000000"/>
              </w:rPr>
              <w:br/>
            </w:r>
            <w:r w:rsidRPr="005F50D6">
              <w:rPr>
                <w:rFonts w:eastAsia="Times New Roman"/>
                <w:color w:val="000000"/>
              </w:rPr>
              <w:br/>
              <w:t xml:space="preserve">- </w:t>
            </w:r>
            <w:r w:rsidRPr="005F50D6">
              <w:rPr>
                <w:rFonts w:ascii="Arial" w:eastAsia="Times New Roman" w:hAnsi="Arial" w:cs="Arial"/>
                <w:b/>
                <w:bCs/>
                <w:color w:val="000000"/>
                <w:sz w:val="20"/>
                <w:szCs w:val="20"/>
              </w:rPr>
              <w:t>Production</w:t>
            </w:r>
            <w:r w:rsidRPr="005F50D6">
              <w:rPr>
                <w:rFonts w:eastAsia="Times New Roman"/>
                <w:color w:val="000000"/>
              </w:rPr>
              <w:t xml:space="preserve">. In Pelalawan, UNDP signed a MoU with Musim Mas in December 2019 on the training of smallholder farmers on good agriculture practices (GAPs) for ISPO/RSPO readiness. Musim Mas provided training of trainers to UNDP field assistants. Smallholders in Pelalawan could improve their knowledge on sustainable practices for palm oil production. Efforts are currently ongoing to ensure that Musim Mas will buy from the trained producers. </w:t>
            </w:r>
            <w:r w:rsidRPr="005F50D6">
              <w:rPr>
                <w:rFonts w:eastAsia="Times New Roman"/>
                <w:color w:val="000000"/>
              </w:rPr>
              <w:br/>
            </w:r>
            <w:r w:rsidRPr="005F50D6">
              <w:rPr>
                <w:rFonts w:eastAsia="Times New Roman"/>
                <w:color w:val="000000"/>
              </w:rPr>
              <w:br/>
              <w:t xml:space="preserve">- </w:t>
            </w:r>
            <w:r w:rsidRPr="005F50D6">
              <w:rPr>
                <w:rFonts w:ascii="Arial" w:eastAsia="Times New Roman" w:hAnsi="Arial" w:cs="Arial"/>
                <w:b/>
                <w:bCs/>
                <w:color w:val="000000"/>
                <w:sz w:val="20"/>
                <w:szCs w:val="20"/>
              </w:rPr>
              <w:t>Transactions</w:t>
            </w:r>
            <w:r w:rsidRPr="005F50D6">
              <w:rPr>
                <w:rFonts w:eastAsia="Times New Roman"/>
                <w:color w:val="000000"/>
              </w:rPr>
              <w:t xml:space="preserve">. As part of the IFC Indonesian Palm Oil Development for Smallholders (IPODS), used as co-financing for GGP work there, support was provided to farmers through Musim Mas to become RSPO certified. Thanks to such certifications, Unilever is purchasing palm oil from these smallholders at a premium price. </w:t>
            </w:r>
            <w:r w:rsidRPr="005F50D6">
              <w:rPr>
                <w:rFonts w:eastAsia="Times New Roman"/>
                <w:color w:val="000000"/>
              </w:rPr>
              <w:br/>
            </w:r>
            <w:r w:rsidRPr="005F50D6">
              <w:rPr>
                <w:rFonts w:eastAsia="Times New Roman"/>
                <w:color w:val="000000"/>
              </w:rPr>
              <w:br/>
              <w:t xml:space="preserve">In Liberia, </w:t>
            </w:r>
            <w:r w:rsidRPr="005F50D6">
              <w:rPr>
                <w:rFonts w:ascii="Arial" w:eastAsia="Times New Roman" w:hAnsi="Arial" w:cs="Arial"/>
                <w:b/>
                <w:bCs/>
                <w:color w:val="000000"/>
                <w:sz w:val="20"/>
                <w:szCs w:val="20"/>
              </w:rPr>
              <w:t xml:space="preserve">Production </w:t>
            </w:r>
            <w:r w:rsidRPr="005F50D6">
              <w:rPr>
                <w:rFonts w:eastAsia="Times New Roman"/>
                <w:color w:val="000000"/>
              </w:rPr>
              <w:t xml:space="preserve">facilitated 1 new supply chain partnership between sustainable palm oil producers and buyers: </w:t>
            </w:r>
            <w:r w:rsidRPr="005F50D6">
              <w:rPr>
                <w:rFonts w:eastAsia="Times New Roman"/>
                <w:color w:val="000000"/>
              </w:rPr>
              <w:br/>
            </w:r>
            <w:r w:rsidRPr="005F50D6">
              <w:rPr>
                <w:rFonts w:eastAsia="Times New Roman"/>
                <w:color w:val="000000"/>
              </w:rPr>
              <w:br/>
              <w:t xml:space="preserve">- Between MPOI and Mano Manufacturing Company (MANCO) for certified sustainable palm oil purchase. MANO signed a letter of commitment to fully comply with RSPO principles and standards when buying former Sime Darby palm oil concession. Thanks to GGP intervention, MPOI (producer) and MANCO (buyer) of the MANO group are now committed to sustainability and are working, with support from CI Liberia, to develop and implement a strategy for sustainable oil palm. This work was initiated under GGP and is being continued through co-financing received by CI Liberia from Generation Investments. </w:t>
            </w:r>
            <w:r w:rsidRPr="005F50D6">
              <w:rPr>
                <w:rFonts w:eastAsia="Times New Roman"/>
                <w:color w:val="000000"/>
              </w:rPr>
              <w:br/>
            </w:r>
            <w:r w:rsidRPr="005F50D6">
              <w:rPr>
                <w:rFonts w:eastAsia="Times New Roman"/>
                <w:color w:val="000000"/>
              </w:rPr>
              <w:br/>
              <w:t xml:space="preserve">In Paraguay, </w:t>
            </w:r>
            <w:r w:rsidRPr="005F50D6">
              <w:rPr>
                <w:rFonts w:ascii="Arial" w:eastAsia="Times New Roman" w:hAnsi="Arial" w:cs="Arial"/>
                <w:b/>
                <w:bCs/>
                <w:color w:val="000000"/>
                <w:sz w:val="20"/>
                <w:szCs w:val="20"/>
              </w:rPr>
              <w:t xml:space="preserve">Transactions </w:t>
            </w:r>
            <w:r w:rsidRPr="005F50D6">
              <w:rPr>
                <w:rFonts w:eastAsia="Times New Roman"/>
                <w:color w:val="000000"/>
              </w:rPr>
              <w:t xml:space="preserve">facilitated 1 new supply chain partnership: </w:t>
            </w:r>
            <w:r w:rsidRPr="005F50D6">
              <w:rPr>
                <w:rFonts w:eastAsia="Times New Roman"/>
                <w:color w:val="000000"/>
              </w:rPr>
              <w:br/>
            </w:r>
            <w:r w:rsidRPr="005F50D6">
              <w:rPr>
                <w:rFonts w:eastAsia="Times New Roman"/>
                <w:color w:val="000000"/>
              </w:rPr>
              <w:br/>
              <w:t>- IFC’s provided advisory services on sustainability topics to the Minerva, Guarani and Neuland meatpackers according to Project Service Agreements. In particular, as part of the PSA with Frigorífico Guarani, IFC supported the meatpacker company to establish a traceable supply chain and also provided an investment to develop a new abattoir that complies with global social and environmental standards. This support helped Guarani meet McDonald’s requirements to supply meat to the fast-food chain.</w:t>
            </w:r>
          </w:p>
        </w:tc>
      </w:tr>
      <w:tr w:rsidR="007E41B9" w:rsidRPr="005F50D6" w14:paraId="61B98002" w14:textId="77777777" w:rsidTr="007E41B9">
        <w:trPr>
          <w:trHeight w:val="422"/>
        </w:trPr>
        <w:tc>
          <w:tcPr>
            <w:tcW w:w="5000" w:type="pct"/>
            <w:shd w:val="clear" w:color="auto" w:fill="F7CAAC" w:themeFill="accent2" w:themeFillTint="66"/>
            <w:vAlign w:val="bottom"/>
          </w:tcPr>
          <w:p w14:paraId="67667C40" w14:textId="77777777" w:rsidR="007E41B9" w:rsidRPr="005F50D6" w:rsidRDefault="007E41B9" w:rsidP="00062DAE">
            <w:pPr>
              <w:spacing w:after="0" w:line="240" w:lineRule="auto"/>
              <w:rPr>
                <w:rFonts w:eastAsia="Times New Roman"/>
                <w:color w:val="000000"/>
              </w:rPr>
            </w:pPr>
            <w:r w:rsidRPr="00DB4471">
              <w:rPr>
                <w:rFonts w:eastAsia="Times New Roman"/>
                <w:color w:val="000000"/>
              </w:rPr>
              <w:t>Contributing to the protection of HCV/HCS areas, sustainable land management and climate mitigation efforts</w:t>
            </w:r>
          </w:p>
        </w:tc>
      </w:tr>
      <w:tr w:rsidR="007E41B9" w:rsidRPr="005F50D6" w14:paraId="15B4E0AC" w14:textId="77777777" w:rsidTr="00062DAE">
        <w:trPr>
          <w:trHeight w:val="170"/>
        </w:trPr>
        <w:tc>
          <w:tcPr>
            <w:tcW w:w="5000" w:type="pct"/>
            <w:shd w:val="clear" w:color="auto" w:fill="F7CAAC" w:themeFill="accent2" w:themeFillTint="66"/>
            <w:vAlign w:val="bottom"/>
          </w:tcPr>
          <w:p w14:paraId="2470C7FC" w14:textId="77777777" w:rsidR="007E41B9" w:rsidRPr="005F50D6" w:rsidRDefault="007E41B9" w:rsidP="00062DAE">
            <w:pPr>
              <w:spacing w:after="0" w:line="240" w:lineRule="auto"/>
              <w:rPr>
                <w:rFonts w:ascii="Arial" w:eastAsia="Times New Roman" w:hAnsi="Arial" w:cs="Arial"/>
                <w:color w:val="000000"/>
                <w:sz w:val="20"/>
                <w:szCs w:val="20"/>
              </w:rPr>
            </w:pPr>
            <w:r w:rsidRPr="00DB4471">
              <w:rPr>
                <w:rFonts w:ascii="Arial" w:eastAsia="Times New Roman" w:hAnsi="Arial" w:cs="Arial"/>
                <w:color w:val="000000"/>
                <w:sz w:val="20"/>
                <w:szCs w:val="20"/>
              </w:rPr>
              <w:t>Area of landscapes under improved practices (hectares; excluding protected areas) [GEF CI 4]</w:t>
            </w:r>
          </w:p>
        </w:tc>
      </w:tr>
      <w:tr w:rsidR="007E41B9" w:rsidRPr="005F50D6" w14:paraId="62F87EDD" w14:textId="77777777" w:rsidTr="007E41B9">
        <w:trPr>
          <w:trHeight w:val="1070"/>
        </w:trPr>
        <w:tc>
          <w:tcPr>
            <w:tcW w:w="5000" w:type="pct"/>
            <w:shd w:val="clear" w:color="D9EAD3" w:fill="D9EAD3"/>
            <w:vAlign w:val="center"/>
            <w:hideMark/>
          </w:tcPr>
          <w:p w14:paraId="571BDCF5"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 xml:space="preserve">7,137,460 hectares under improved practices. </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Production has 7,082,000 ha of landscape area under improved practices. Below the breakdown per sub-indicator 4 and landscape. Total: 7,082,000 ha, breakdown per country:</w:t>
            </w:r>
            <w:r w:rsidRPr="005F50D6">
              <w:rPr>
                <w:rFonts w:eastAsia="Times New Roman"/>
                <w:color w:val="000000"/>
              </w:rPr>
              <w:br/>
              <w:t>- Indonesia: 3,954,000 ha</w:t>
            </w:r>
            <w:r w:rsidRPr="005F50D6">
              <w:rPr>
                <w:rFonts w:eastAsia="Times New Roman"/>
                <w:color w:val="000000"/>
              </w:rPr>
              <w:br/>
              <w:t>- Liberia: 264,000 ha</w:t>
            </w:r>
            <w:r w:rsidRPr="005F50D6">
              <w:rPr>
                <w:rFonts w:eastAsia="Times New Roman"/>
                <w:color w:val="000000"/>
              </w:rPr>
              <w:br/>
              <w:t xml:space="preserve">- Paraguay: 2,864,000 ha </w:t>
            </w:r>
            <w:r w:rsidRPr="005F50D6">
              <w:rPr>
                <w:rFonts w:eastAsia="Times New Roman"/>
                <w:color w:val="000000"/>
              </w:rPr>
              <w:br/>
            </w:r>
            <w:r w:rsidRPr="005F50D6">
              <w:rPr>
                <w:rFonts w:eastAsia="Times New Roman"/>
                <w:color w:val="000000"/>
              </w:rPr>
              <w:br/>
              <w:t xml:space="preserve">Sub-indicator 4.1. </w:t>
            </w:r>
            <w:r w:rsidRPr="005F50D6">
              <w:rPr>
                <w:rFonts w:eastAsia="Times New Roman"/>
                <w:color w:val="000000"/>
                <w:lang w:val="it-IT"/>
              </w:rPr>
              <w:t>Total: 6,973,599.59 ha</w:t>
            </w:r>
            <w:r w:rsidRPr="005F50D6">
              <w:rPr>
                <w:rFonts w:eastAsia="Times New Roman"/>
                <w:color w:val="000000"/>
                <w:lang w:val="it-IT"/>
              </w:rPr>
              <w:br/>
              <w:t>- Indonesia: 3,850,599.59 ha</w:t>
            </w:r>
            <w:r w:rsidRPr="005F50D6">
              <w:rPr>
                <w:rFonts w:eastAsia="Times New Roman"/>
                <w:color w:val="000000"/>
                <w:lang w:val="it-IT"/>
              </w:rPr>
              <w:br/>
              <w:t>- Liberia: 259,000 ha</w:t>
            </w:r>
            <w:r w:rsidRPr="005F50D6">
              <w:rPr>
                <w:rFonts w:eastAsia="Times New Roman"/>
                <w:color w:val="000000"/>
                <w:lang w:val="it-IT"/>
              </w:rPr>
              <w:br/>
              <w:t>- Paraguay: 2,864,000 ha</w:t>
            </w:r>
            <w:r w:rsidRPr="005F50D6">
              <w:rPr>
                <w:rFonts w:eastAsia="Times New Roman"/>
                <w:color w:val="000000"/>
                <w:lang w:val="it-IT"/>
              </w:rPr>
              <w:br/>
            </w:r>
            <w:r w:rsidRPr="005F50D6">
              <w:rPr>
                <w:rFonts w:eastAsia="Times New Roman"/>
                <w:color w:val="000000"/>
                <w:lang w:val="it-IT"/>
              </w:rPr>
              <w:br/>
              <w:t xml:space="preserve">Sub-indicator 4.2. </w:t>
            </w:r>
            <w:r w:rsidRPr="005F50D6">
              <w:rPr>
                <w:rFonts w:eastAsia="Times New Roman"/>
                <w:color w:val="000000"/>
              </w:rPr>
              <w:t>Total: 116.95 ha</w:t>
            </w:r>
            <w:r w:rsidRPr="005F50D6">
              <w:rPr>
                <w:rFonts w:eastAsia="Times New Roman"/>
                <w:color w:val="000000"/>
              </w:rPr>
              <w:br/>
              <w:t>- Indonesia. South Tapanuli Limited Cultivation Area (KBK): 116.95 ha. The third-party certification is the Roundtable on Sustainable Palm Oil (RSPO)</w:t>
            </w:r>
            <w:r w:rsidRPr="005F50D6">
              <w:rPr>
                <w:rFonts w:eastAsia="Times New Roman"/>
                <w:color w:val="000000"/>
              </w:rPr>
              <w:br/>
            </w:r>
            <w:r w:rsidRPr="005F50D6">
              <w:rPr>
                <w:rFonts w:eastAsia="Times New Roman"/>
                <w:color w:val="000000"/>
              </w:rPr>
              <w:br/>
              <w:t>Sub-indicator 4.3. Total: 36,626.52 ha</w:t>
            </w:r>
            <w:r w:rsidRPr="005F50D6">
              <w:rPr>
                <w:rFonts w:eastAsia="Times New Roman"/>
                <w:color w:val="000000"/>
              </w:rPr>
              <w:br/>
              <w:t>- Indonesia. Total: 26,626.52 ha</w:t>
            </w:r>
            <w:r w:rsidRPr="005F50D6">
              <w:rPr>
                <w:rFonts w:eastAsia="Times New Roman"/>
                <w:color w:val="000000"/>
              </w:rPr>
              <w:br/>
              <w:t>Pelalawan Spatial Plan: 6,208.81 ha</w:t>
            </w:r>
            <w:r w:rsidRPr="005F50D6">
              <w:rPr>
                <w:rFonts w:eastAsia="Times New Roman"/>
                <w:color w:val="000000"/>
              </w:rPr>
              <w:br/>
              <w:t>Sintang Lake Buffer Zone: 1,796.86 ha</w:t>
            </w:r>
            <w:r w:rsidRPr="005F50D6">
              <w:rPr>
                <w:rFonts w:eastAsia="Times New Roman"/>
                <w:color w:val="000000"/>
              </w:rPr>
              <w:br/>
              <w:t>South Tapanuli Special Cultivation Area (KBK): 28,620.85 ha</w:t>
            </w:r>
            <w:r w:rsidRPr="005F50D6">
              <w:rPr>
                <w:rFonts w:eastAsia="Times New Roman"/>
                <w:color w:val="000000"/>
              </w:rPr>
              <w:br/>
            </w:r>
            <w:r w:rsidRPr="005F50D6">
              <w:rPr>
                <w:rFonts w:eastAsia="Times New Roman"/>
                <w:color w:val="000000"/>
              </w:rPr>
              <w:br/>
              <w:t>Sub-indicator 4.4. Total: 71,656.94 ha</w:t>
            </w:r>
            <w:r w:rsidRPr="005F50D6">
              <w:rPr>
                <w:rFonts w:eastAsia="Times New Roman"/>
                <w:color w:val="000000"/>
              </w:rPr>
              <w:br/>
              <w:t>- Indonesia. Total: 66,656.94</w:t>
            </w:r>
            <w:r w:rsidRPr="005F50D6">
              <w:rPr>
                <w:rFonts w:eastAsia="Times New Roman"/>
                <w:color w:val="000000"/>
              </w:rPr>
              <w:br/>
              <w:t>Pelalawan Spatial Plan: 12,320.48 ha</w:t>
            </w:r>
            <w:r w:rsidRPr="005F50D6">
              <w:rPr>
                <w:rFonts w:eastAsia="Times New Roman"/>
                <w:color w:val="000000"/>
              </w:rPr>
              <w:br/>
              <w:t>Sintang Lake Buffer Zone: 1,704.34 ha</w:t>
            </w:r>
            <w:r w:rsidRPr="005F50D6">
              <w:rPr>
                <w:rFonts w:eastAsia="Times New Roman"/>
                <w:color w:val="000000"/>
              </w:rPr>
              <w:br/>
              <w:t>South Tapanuli Limited Cultivation Area (KBK): 52,632.12 ha</w:t>
            </w:r>
            <w:r w:rsidRPr="005F50D6">
              <w:rPr>
                <w:rFonts w:eastAsia="Times New Roman"/>
                <w:color w:val="000000"/>
              </w:rPr>
              <w:br/>
            </w:r>
            <w:r w:rsidRPr="005F50D6">
              <w:rPr>
                <w:rFonts w:eastAsia="Times New Roman"/>
                <w:color w:val="000000"/>
              </w:rPr>
              <w:br/>
              <w:t>- Liberia. Total: 5,000 ha corresponding to the Conservation Agreement</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Brazil</w:t>
            </w:r>
            <w:r w:rsidRPr="005F50D6">
              <w:rPr>
                <w:rFonts w:ascii="Arial" w:eastAsia="Times New Roman" w:hAnsi="Arial" w:cs="Arial"/>
                <w:b/>
                <w:bCs/>
                <w:color w:val="000000"/>
                <w:sz w:val="20"/>
                <w:szCs w:val="20"/>
              </w:rPr>
              <w:br/>
            </w:r>
            <w:r w:rsidRPr="005F50D6">
              <w:rPr>
                <w:rFonts w:eastAsia="Times New Roman"/>
                <w:color w:val="000000"/>
              </w:rPr>
              <w:t xml:space="preserve">The Brazil project has thus far protected 55,460.21 ha under core indicator 4. </w:t>
            </w:r>
            <w:r w:rsidRPr="005F50D6">
              <w:rPr>
                <w:rFonts w:eastAsia="Times New Roman"/>
                <w:color w:val="000000"/>
              </w:rPr>
              <w:br/>
              <w:t xml:space="preserve">Sub-indicator 4.1.: </w:t>
            </w:r>
            <w:r w:rsidRPr="005F50D6">
              <w:rPr>
                <w:rFonts w:eastAsia="Times New Roman"/>
                <w:color w:val="000000"/>
              </w:rPr>
              <w:br/>
              <w:t>- 7 ha of landscape area under improved management to benefit biodiversity.</w:t>
            </w:r>
            <w:r w:rsidRPr="005F50D6">
              <w:rPr>
                <w:rFonts w:eastAsia="Times New Roman"/>
                <w:color w:val="000000"/>
              </w:rPr>
              <w:br/>
            </w:r>
            <w:r w:rsidRPr="005F50D6">
              <w:rPr>
                <w:rFonts w:eastAsia="Times New Roman"/>
                <w:color w:val="000000"/>
              </w:rPr>
              <w:br/>
            </w:r>
            <w:r w:rsidRPr="005F50D6">
              <w:rPr>
                <w:rFonts w:eastAsia="Times New Roman"/>
                <w:color w:val="000000"/>
              </w:rPr>
              <w:lastRenderedPageBreak/>
              <w:t>Sub-indicator 4.3.:</w:t>
            </w:r>
            <w:r w:rsidRPr="005F50D6">
              <w:rPr>
                <w:rFonts w:eastAsia="Times New Roman"/>
                <w:color w:val="000000"/>
              </w:rPr>
              <w:br/>
              <w:t>-  55,453.21 ha of landscape area under sustainable land management in production systems. This data refers to the area of rural properties directly engaged in the partnership with Embrapa within GGP.  Activities are carried out within 20 farms in Tocantins and include different types of best practices adoption, considering the low-carbon agriculture framework.</w:t>
            </w:r>
          </w:p>
        </w:tc>
      </w:tr>
      <w:tr w:rsidR="007E41B9" w:rsidRPr="005F50D6" w14:paraId="7DAF3583" w14:textId="77777777" w:rsidTr="007E41B9">
        <w:trPr>
          <w:trHeight w:val="350"/>
        </w:trPr>
        <w:tc>
          <w:tcPr>
            <w:tcW w:w="5000" w:type="pct"/>
            <w:shd w:val="clear" w:color="auto" w:fill="F7CAAC" w:themeFill="accent2" w:themeFillTint="66"/>
            <w:vAlign w:val="bottom"/>
          </w:tcPr>
          <w:p w14:paraId="7227D8A5" w14:textId="77777777" w:rsidR="007E41B9" w:rsidRPr="005F50D6" w:rsidRDefault="007E41B9" w:rsidP="00062DAE">
            <w:pPr>
              <w:spacing w:after="0" w:line="240" w:lineRule="auto"/>
              <w:rPr>
                <w:rFonts w:eastAsia="Times New Roman"/>
                <w:color w:val="000000"/>
              </w:rPr>
            </w:pPr>
            <w:r w:rsidRPr="00DB4471">
              <w:rPr>
                <w:rFonts w:eastAsia="Times New Roman"/>
                <w:color w:val="000000"/>
              </w:rPr>
              <w:lastRenderedPageBreak/>
              <w:t>Contributing to the protection of HCV/HCS areas, sustainable land management and climate mitigation efforts</w:t>
            </w:r>
          </w:p>
        </w:tc>
      </w:tr>
      <w:tr w:rsidR="007E41B9" w:rsidRPr="005F50D6" w14:paraId="6163DA14" w14:textId="77777777" w:rsidTr="00062DAE">
        <w:trPr>
          <w:trHeight w:val="170"/>
        </w:trPr>
        <w:tc>
          <w:tcPr>
            <w:tcW w:w="5000" w:type="pct"/>
            <w:shd w:val="clear" w:color="auto" w:fill="F7CAAC" w:themeFill="accent2" w:themeFillTint="66"/>
            <w:vAlign w:val="bottom"/>
          </w:tcPr>
          <w:p w14:paraId="45A4E14B" w14:textId="77777777" w:rsidR="007E41B9" w:rsidRPr="005F50D6" w:rsidRDefault="007E41B9" w:rsidP="00062DAE">
            <w:pPr>
              <w:spacing w:after="0" w:line="240" w:lineRule="auto"/>
              <w:rPr>
                <w:rFonts w:ascii="Arial" w:eastAsia="Times New Roman" w:hAnsi="Arial" w:cs="Arial"/>
                <w:color w:val="000000"/>
                <w:sz w:val="20"/>
                <w:szCs w:val="20"/>
              </w:rPr>
            </w:pPr>
            <w:r w:rsidRPr="00DB4471">
              <w:rPr>
                <w:rFonts w:ascii="Arial" w:eastAsia="Times New Roman" w:hAnsi="Arial" w:cs="Arial"/>
                <w:color w:val="000000"/>
                <w:sz w:val="20"/>
                <w:szCs w:val="20"/>
              </w:rPr>
              <w:t>Carbon sequestered or emissions avoided in the sector of Agriculture, Forestry, and Other Land Use [GEF CI 6.1]</w:t>
            </w:r>
          </w:p>
        </w:tc>
      </w:tr>
      <w:tr w:rsidR="007E41B9" w:rsidRPr="005F50D6" w14:paraId="21356767" w14:textId="77777777" w:rsidTr="00062DAE">
        <w:trPr>
          <w:trHeight w:val="2492"/>
        </w:trPr>
        <w:tc>
          <w:tcPr>
            <w:tcW w:w="5000" w:type="pct"/>
            <w:shd w:val="clear" w:color="D9EAD3" w:fill="D9EAD3"/>
            <w:vAlign w:val="center"/>
            <w:hideMark/>
          </w:tcPr>
          <w:p w14:paraId="4EB21751"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29,364,749 tons of carbon emissions avoided.</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 xml:space="preserve">Through the Production project, a total of 17,047,295 tons of CO2e direct emissions were avoided. In Indonesia, a total of 11,100,000 tons CO2e direct emissions were avoided. However, this figure does not include yet the 176,502.12 ha of  HCV/HCS and HCVF of the Special Cultivation Area in the South Tapanuli district. </w:t>
            </w:r>
            <w:r w:rsidRPr="005F50D6">
              <w:rPr>
                <w:rFonts w:eastAsia="Times New Roman"/>
                <w:color w:val="000000"/>
              </w:rPr>
              <w:br/>
              <w:t>In Liberia, a total of 5,947,295 tons CO2e direct emissions were avoided.</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Brazil</w:t>
            </w:r>
            <w:r w:rsidRPr="005F50D6">
              <w:rPr>
                <w:rFonts w:ascii="Arial" w:eastAsia="Times New Roman" w:hAnsi="Arial" w:cs="Arial"/>
                <w:b/>
                <w:bCs/>
                <w:color w:val="000000"/>
                <w:sz w:val="20"/>
                <w:szCs w:val="20"/>
              </w:rPr>
              <w:br/>
            </w:r>
            <w:r w:rsidRPr="005F50D6">
              <w:rPr>
                <w:rFonts w:eastAsia="Times New Roman"/>
                <w:color w:val="000000"/>
              </w:rPr>
              <w:t>Brazil 12,317,454.3 tons CO2e emissions were avoided.</w:t>
            </w:r>
            <w:r w:rsidRPr="005F50D6">
              <w:rPr>
                <w:rFonts w:eastAsia="Times New Roman"/>
                <w:color w:val="000000"/>
              </w:rPr>
              <w:br/>
            </w:r>
            <w:r w:rsidRPr="005F50D6">
              <w:rPr>
                <w:rFonts w:eastAsia="Times New Roman"/>
                <w:color w:val="000000"/>
              </w:rPr>
              <w:br/>
              <w:t xml:space="preserve">NOTE: Whereas Production uses EX ACT tool to calculate CO2e emissions avoided, Brazil uses another methodology. We are currently discussing whether it is valid to present these figures together, for now we have, but this may change in future reporting. Moreover, figures reported for Production are being reviewed and they could potentially change. </w:t>
            </w:r>
          </w:p>
        </w:tc>
      </w:tr>
      <w:tr w:rsidR="007E41B9" w:rsidRPr="005F50D6" w14:paraId="7D2C9C2D" w14:textId="77777777" w:rsidTr="00062DAE">
        <w:trPr>
          <w:trHeight w:val="800"/>
        </w:trPr>
        <w:tc>
          <w:tcPr>
            <w:tcW w:w="5000" w:type="pct"/>
            <w:shd w:val="clear" w:color="auto" w:fill="F7CAAC" w:themeFill="accent2" w:themeFillTint="66"/>
            <w:vAlign w:val="bottom"/>
          </w:tcPr>
          <w:p w14:paraId="18CCA041" w14:textId="77777777" w:rsidR="007E41B9" w:rsidRPr="005F50D6" w:rsidRDefault="007E41B9" w:rsidP="00062DAE">
            <w:pPr>
              <w:spacing w:after="0" w:line="240" w:lineRule="auto"/>
              <w:rPr>
                <w:rFonts w:eastAsia="Times New Roman"/>
                <w:color w:val="000000"/>
              </w:rPr>
            </w:pPr>
            <w:r w:rsidRPr="00DB4471">
              <w:rPr>
                <w:rFonts w:eastAsia="Times New Roman"/>
                <w:color w:val="000000"/>
              </w:rPr>
              <w:t>Contributing to the protection of HCV/HCS areas, sustainable land management and climate mitigation efforts</w:t>
            </w:r>
          </w:p>
        </w:tc>
      </w:tr>
      <w:tr w:rsidR="007E41B9" w:rsidRPr="005F50D6" w14:paraId="78CEAAE6" w14:textId="77777777" w:rsidTr="00062DAE">
        <w:trPr>
          <w:trHeight w:val="170"/>
        </w:trPr>
        <w:tc>
          <w:tcPr>
            <w:tcW w:w="5000" w:type="pct"/>
            <w:shd w:val="clear" w:color="auto" w:fill="F7CAAC" w:themeFill="accent2" w:themeFillTint="66"/>
            <w:vAlign w:val="bottom"/>
          </w:tcPr>
          <w:p w14:paraId="33705DE3" w14:textId="77777777" w:rsidR="007E41B9" w:rsidRPr="005F50D6" w:rsidRDefault="007E41B9" w:rsidP="00062DAE">
            <w:pPr>
              <w:spacing w:after="0" w:line="240" w:lineRule="auto"/>
              <w:rPr>
                <w:rFonts w:ascii="Arial" w:eastAsia="Times New Roman" w:hAnsi="Arial" w:cs="Arial"/>
                <w:color w:val="000000"/>
                <w:sz w:val="20"/>
                <w:szCs w:val="20"/>
              </w:rPr>
            </w:pPr>
            <w:r w:rsidRPr="00CE7912">
              <w:rPr>
                <w:rFonts w:ascii="Arial" w:eastAsia="Times New Roman" w:hAnsi="Arial" w:cs="Arial"/>
                <w:color w:val="000000"/>
                <w:sz w:val="20"/>
                <w:szCs w:val="20"/>
              </w:rPr>
              <w:t>Number of direct beneficiaries disaggregated by gender as co-benefit of GEF investment [GEF CI 11]</w:t>
            </w:r>
          </w:p>
        </w:tc>
      </w:tr>
      <w:tr w:rsidR="007E41B9" w:rsidRPr="005F50D6" w14:paraId="48005A04" w14:textId="77777777" w:rsidTr="00062DAE">
        <w:trPr>
          <w:trHeight w:val="5930"/>
        </w:trPr>
        <w:tc>
          <w:tcPr>
            <w:tcW w:w="5000" w:type="pct"/>
            <w:shd w:val="clear" w:color="D9EAD3" w:fill="D9EAD3"/>
            <w:vAlign w:val="center"/>
            <w:hideMark/>
          </w:tcPr>
          <w:p w14:paraId="2B7F26CD"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 xml:space="preserve">16,130 direct beneficiaries, of which at least 6,526 women (40%). </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The total number of beneficiaries under Production is 8,901.</w:t>
            </w:r>
            <w:r w:rsidRPr="005F50D6">
              <w:rPr>
                <w:rFonts w:eastAsia="Times New Roman"/>
                <w:color w:val="000000"/>
              </w:rPr>
              <w:br/>
            </w:r>
            <w:r w:rsidRPr="005F50D6">
              <w:rPr>
                <w:rFonts w:eastAsia="Times New Roman"/>
                <w:color w:val="000000"/>
              </w:rPr>
              <w:br/>
              <w:t>Indonesia. Beneficiaries received training on Good Agricultural Practices. Total: 2,752</w:t>
            </w:r>
            <w:r w:rsidRPr="005F50D6">
              <w:rPr>
                <w:rFonts w:eastAsia="Times New Roman"/>
                <w:color w:val="000000"/>
              </w:rPr>
              <w:br/>
              <w:t>- females: 897</w:t>
            </w:r>
            <w:r w:rsidRPr="005F50D6">
              <w:rPr>
                <w:rFonts w:eastAsia="Times New Roman"/>
                <w:color w:val="000000"/>
              </w:rPr>
              <w:br/>
              <w:t>- males: 1,855</w:t>
            </w:r>
            <w:r w:rsidRPr="005F50D6">
              <w:rPr>
                <w:rFonts w:eastAsia="Times New Roman"/>
                <w:color w:val="000000"/>
              </w:rPr>
              <w:br/>
            </w:r>
            <w:r w:rsidRPr="005F50D6">
              <w:rPr>
                <w:rFonts w:eastAsia="Times New Roman"/>
                <w:color w:val="000000"/>
              </w:rPr>
              <w:br/>
              <w:t>Liberia. Beneficiaries are benefitting from the Conservation Agreement (which included construction of a health clinic, education grants, and livelihood opportunities). Total: 2,829</w:t>
            </w:r>
            <w:r w:rsidRPr="005F50D6">
              <w:rPr>
                <w:rFonts w:eastAsia="Times New Roman"/>
                <w:color w:val="000000"/>
              </w:rPr>
              <w:br/>
              <w:t>- females: 1,696</w:t>
            </w:r>
            <w:r w:rsidRPr="005F50D6">
              <w:rPr>
                <w:rFonts w:eastAsia="Times New Roman"/>
                <w:color w:val="000000"/>
              </w:rPr>
              <w:br/>
              <w:t>- males: 1,133</w:t>
            </w:r>
            <w:r w:rsidRPr="005F50D6">
              <w:rPr>
                <w:rFonts w:eastAsia="Times New Roman"/>
                <w:color w:val="000000"/>
              </w:rPr>
              <w:br/>
            </w:r>
            <w:r w:rsidRPr="005F50D6">
              <w:rPr>
                <w:rFonts w:eastAsia="Times New Roman"/>
                <w:color w:val="000000"/>
              </w:rPr>
              <w:br/>
              <w:t>Paraguay. Beneficiaries received training on Good Agricultural Practices. Total:  3,187.</w:t>
            </w:r>
            <w:r w:rsidRPr="005F50D6">
              <w:rPr>
                <w:rFonts w:eastAsia="Times New Roman"/>
                <w:color w:val="000000"/>
              </w:rPr>
              <w:br/>
              <w:t>- females: 732</w:t>
            </w:r>
            <w:r w:rsidRPr="005F50D6">
              <w:rPr>
                <w:rFonts w:eastAsia="Times New Roman"/>
                <w:color w:val="000000"/>
              </w:rPr>
              <w:br/>
              <w:t>- males: 2,455</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Brazil</w:t>
            </w:r>
            <w:r w:rsidRPr="005F50D6">
              <w:rPr>
                <w:rFonts w:ascii="Arial" w:eastAsia="Times New Roman" w:hAnsi="Arial" w:cs="Arial"/>
                <w:b/>
                <w:bCs/>
                <w:color w:val="000000"/>
                <w:sz w:val="20"/>
                <w:szCs w:val="20"/>
              </w:rPr>
              <w:br/>
            </w:r>
            <w:r w:rsidRPr="005F50D6">
              <w:rPr>
                <w:rFonts w:eastAsia="Times New Roman"/>
                <w:color w:val="000000"/>
              </w:rPr>
              <w:t>In Brazil, the total number of beneficiaries is 7,362</w:t>
            </w:r>
            <w:r w:rsidRPr="005F50D6">
              <w:rPr>
                <w:rFonts w:eastAsia="Times New Roman"/>
                <w:color w:val="000000"/>
              </w:rPr>
              <w:br/>
              <w:t>- females: 3,201</w:t>
            </w:r>
            <w:r w:rsidRPr="005F50D6">
              <w:rPr>
                <w:rFonts w:eastAsia="Times New Roman"/>
                <w:color w:val="000000"/>
              </w:rPr>
              <w:br/>
              <w:t>- males: 4,161</w:t>
            </w:r>
          </w:p>
        </w:tc>
      </w:tr>
      <w:tr w:rsidR="007E41B9" w:rsidRPr="005F50D6" w14:paraId="61D07CDE" w14:textId="77777777" w:rsidTr="007E41B9">
        <w:trPr>
          <w:trHeight w:val="260"/>
        </w:trPr>
        <w:tc>
          <w:tcPr>
            <w:tcW w:w="5000" w:type="pct"/>
            <w:shd w:val="clear" w:color="auto" w:fill="F7CAAC" w:themeFill="accent2" w:themeFillTint="66"/>
            <w:vAlign w:val="bottom"/>
          </w:tcPr>
          <w:p w14:paraId="508A3999" w14:textId="77777777" w:rsidR="007E41B9" w:rsidRPr="005F50D6" w:rsidRDefault="007E41B9" w:rsidP="00062DAE">
            <w:pPr>
              <w:spacing w:after="0" w:line="240" w:lineRule="auto"/>
              <w:rPr>
                <w:rFonts w:eastAsia="Times New Roman"/>
                <w:color w:val="000000"/>
              </w:rPr>
            </w:pPr>
            <w:r w:rsidRPr="00DB4471">
              <w:rPr>
                <w:rFonts w:eastAsia="Times New Roman"/>
                <w:color w:val="000000"/>
              </w:rPr>
              <w:t>Contributing to the protection of HCV/HCS areas, sustainable land management and climate mitigation efforts</w:t>
            </w:r>
          </w:p>
        </w:tc>
      </w:tr>
      <w:tr w:rsidR="007E41B9" w:rsidRPr="005F50D6" w14:paraId="149C7505" w14:textId="77777777" w:rsidTr="00062DAE">
        <w:trPr>
          <w:trHeight w:val="170"/>
        </w:trPr>
        <w:tc>
          <w:tcPr>
            <w:tcW w:w="5000" w:type="pct"/>
            <w:shd w:val="clear" w:color="auto" w:fill="F7CAAC" w:themeFill="accent2" w:themeFillTint="66"/>
            <w:vAlign w:val="bottom"/>
          </w:tcPr>
          <w:p w14:paraId="16534C22" w14:textId="77777777" w:rsidR="007E41B9" w:rsidRPr="005F50D6" w:rsidRDefault="007E41B9" w:rsidP="00062DAE">
            <w:pPr>
              <w:spacing w:after="0" w:line="240" w:lineRule="auto"/>
              <w:rPr>
                <w:rFonts w:ascii="Arial" w:eastAsia="Times New Roman" w:hAnsi="Arial" w:cs="Arial"/>
                <w:color w:val="000000"/>
                <w:sz w:val="20"/>
                <w:szCs w:val="20"/>
              </w:rPr>
            </w:pPr>
            <w:r w:rsidRPr="00CE7912">
              <w:rPr>
                <w:rFonts w:ascii="Arial" w:eastAsia="Times New Roman" w:hAnsi="Arial" w:cs="Arial"/>
                <w:color w:val="000000"/>
                <w:sz w:val="20"/>
                <w:szCs w:val="20"/>
              </w:rPr>
              <w:t>% of trained farmers adopting more sustainable agricultural practices</w:t>
            </w:r>
          </w:p>
        </w:tc>
      </w:tr>
      <w:tr w:rsidR="007E41B9" w:rsidRPr="005F50D6" w14:paraId="68DE6315" w14:textId="77777777" w:rsidTr="00062DAE">
        <w:trPr>
          <w:trHeight w:val="1790"/>
        </w:trPr>
        <w:tc>
          <w:tcPr>
            <w:tcW w:w="5000" w:type="pct"/>
            <w:shd w:val="clear" w:color="D9EAD3" w:fill="D9EAD3"/>
            <w:vAlign w:val="center"/>
            <w:hideMark/>
          </w:tcPr>
          <w:p w14:paraId="5141EAED"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 xml:space="preserve">Under </w:t>
            </w:r>
            <w:r w:rsidRPr="005F50D6">
              <w:rPr>
                <w:rFonts w:ascii="Arial" w:eastAsia="Times New Roman" w:hAnsi="Arial" w:cs="Arial"/>
                <w:b/>
                <w:bCs/>
                <w:color w:val="000000"/>
                <w:sz w:val="20"/>
                <w:szCs w:val="20"/>
              </w:rPr>
              <w:t>Production</w:t>
            </w:r>
            <w:r w:rsidRPr="005F50D6">
              <w:rPr>
                <w:rFonts w:eastAsia="Times New Roman"/>
                <w:color w:val="000000"/>
              </w:rPr>
              <w:t>, a survey is currently being conducted on the adoption of sustainable agricultural practices in Indonesia. In Paraguay, the survey is under development. We will be able to provide data for this indicator in the next iteration in November.</w:t>
            </w:r>
            <w:r w:rsidRPr="005F50D6">
              <w:rPr>
                <w:rFonts w:eastAsia="Times New Roman"/>
                <w:color w:val="000000"/>
              </w:rPr>
              <w:br/>
            </w:r>
            <w:r w:rsidRPr="005F50D6">
              <w:rPr>
                <w:rFonts w:eastAsia="Times New Roman"/>
                <w:color w:val="000000"/>
              </w:rPr>
              <w:br/>
              <w:t xml:space="preserve">In </w:t>
            </w:r>
            <w:r w:rsidRPr="005F50D6">
              <w:rPr>
                <w:rFonts w:ascii="Arial" w:eastAsia="Times New Roman" w:hAnsi="Arial" w:cs="Arial"/>
                <w:b/>
                <w:bCs/>
                <w:color w:val="000000"/>
                <w:sz w:val="20"/>
                <w:szCs w:val="20"/>
              </w:rPr>
              <w:t>Brazil</w:t>
            </w:r>
            <w:r w:rsidRPr="005F50D6">
              <w:rPr>
                <w:rFonts w:eastAsia="Times New Roman"/>
                <w:color w:val="000000"/>
              </w:rPr>
              <w:t>, 88% of farmers are implementing sustainable agricultural practices. Since June 2020, 25 new farmers are adopting more sustainable agricultural practices through CI-Brazil cooperation with EMBRAPA within 3 different initiatives based on the low-carbon agriculture practices (ABC): ABC Sustainable Soy, ABC Cattle and ABC Milk. The adoption of low-carbon agricultural practices is monitored monthly by EMBRAPA, through indicators and field visits conducted.</w:t>
            </w:r>
          </w:p>
        </w:tc>
      </w:tr>
      <w:tr w:rsidR="007E41B9" w:rsidRPr="005F50D6" w14:paraId="34DF6FB8" w14:textId="77777777" w:rsidTr="00062DAE">
        <w:trPr>
          <w:trHeight w:val="800"/>
        </w:trPr>
        <w:tc>
          <w:tcPr>
            <w:tcW w:w="5000" w:type="pct"/>
            <w:shd w:val="clear" w:color="auto" w:fill="F7CAAC" w:themeFill="accent2" w:themeFillTint="66"/>
            <w:vAlign w:val="bottom"/>
          </w:tcPr>
          <w:p w14:paraId="368C066E" w14:textId="77777777" w:rsidR="007E41B9" w:rsidRPr="005F50D6" w:rsidRDefault="007E41B9" w:rsidP="00062DAE">
            <w:pPr>
              <w:spacing w:after="0" w:line="240" w:lineRule="auto"/>
              <w:rPr>
                <w:rFonts w:eastAsia="Times New Roman"/>
                <w:color w:val="000000"/>
              </w:rPr>
            </w:pPr>
            <w:r w:rsidRPr="00CE7912">
              <w:rPr>
                <w:rFonts w:eastAsia="Times New Roman"/>
                <w:color w:val="000000"/>
              </w:rPr>
              <w:t>Contributing to informed decision making and action at the global, regional and national level for policy and landscape-based interventions, and to scaling up solutions for sustainable commodity supply chains</w:t>
            </w:r>
          </w:p>
        </w:tc>
      </w:tr>
      <w:tr w:rsidR="007E41B9" w:rsidRPr="005F50D6" w14:paraId="42DD8722" w14:textId="77777777" w:rsidTr="00062DAE">
        <w:trPr>
          <w:trHeight w:val="170"/>
        </w:trPr>
        <w:tc>
          <w:tcPr>
            <w:tcW w:w="5000" w:type="pct"/>
            <w:shd w:val="clear" w:color="auto" w:fill="F7CAAC" w:themeFill="accent2" w:themeFillTint="66"/>
            <w:vAlign w:val="bottom"/>
          </w:tcPr>
          <w:p w14:paraId="7ACDC3CD" w14:textId="77777777" w:rsidR="007E41B9" w:rsidRPr="005F50D6" w:rsidRDefault="007E41B9" w:rsidP="00062DAE">
            <w:pPr>
              <w:spacing w:after="0" w:line="240" w:lineRule="auto"/>
              <w:rPr>
                <w:rFonts w:ascii="Arial" w:eastAsia="Times New Roman" w:hAnsi="Arial" w:cs="Arial"/>
                <w:color w:val="000000"/>
                <w:sz w:val="20"/>
                <w:szCs w:val="20"/>
              </w:rPr>
            </w:pPr>
            <w:r w:rsidRPr="00CE7912">
              <w:rPr>
                <w:rFonts w:ascii="Arial" w:eastAsia="Times New Roman" w:hAnsi="Arial" w:cs="Arial"/>
                <w:color w:val="000000"/>
                <w:sz w:val="20"/>
                <w:szCs w:val="20"/>
              </w:rPr>
              <w:t># of publications and knowledge products</w:t>
            </w:r>
          </w:p>
        </w:tc>
      </w:tr>
      <w:tr w:rsidR="007E41B9" w:rsidRPr="005F50D6" w14:paraId="6097CD0A" w14:textId="77777777" w:rsidTr="00815EC8">
        <w:trPr>
          <w:trHeight w:val="2600"/>
        </w:trPr>
        <w:tc>
          <w:tcPr>
            <w:tcW w:w="5000" w:type="pct"/>
            <w:shd w:val="clear" w:color="D9EAD3" w:fill="D9EAD3"/>
            <w:vAlign w:val="center"/>
            <w:hideMark/>
          </w:tcPr>
          <w:p w14:paraId="47960056"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73 knowledge products published.</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Within Production, there are 8 knowledge products, i.e. 6 guidelines and 2 country knowledge products:</w:t>
            </w:r>
            <w:r w:rsidRPr="005F50D6">
              <w:rPr>
                <w:rFonts w:eastAsia="Times New Roman"/>
                <w:color w:val="000000"/>
              </w:rPr>
              <w:br/>
              <w:t>6 Guidelines:</w:t>
            </w:r>
            <w:r w:rsidRPr="005F50D6">
              <w:rPr>
                <w:rFonts w:eastAsia="Times New Roman"/>
                <w:color w:val="000000"/>
              </w:rPr>
              <w:br/>
              <w:t>- Farmers Support System Toolkit and Scorecard.</w:t>
            </w:r>
            <w:r w:rsidRPr="005F50D6">
              <w:rPr>
                <w:rFonts w:eastAsia="Times New Roman"/>
                <w:color w:val="000000"/>
              </w:rPr>
              <w:br/>
              <w:t>- Value Beyond Value Chains Guidance Note v 1.0</w:t>
            </w:r>
            <w:r w:rsidRPr="005F50D6">
              <w:rPr>
                <w:rFonts w:eastAsia="Times New Roman"/>
                <w:color w:val="000000"/>
              </w:rPr>
              <w:br/>
              <w:t>- Four dimensional systems change.</w:t>
            </w:r>
            <w:r w:rsidRPr="005F50D6">
              <w:rPr>
                <w:rFonts w:eastAsia="Times New Roman"/>
                <w:color w:val="000000"/>
              </w:rPr>
              <w:br/>
              <w:t>- Building Long Term Sustainability in Multi-Stakeholder Platforms, Making Your Impact Last.</w:t>
            </w:r>
            <w:r w:rsidRPr="005F50D6">
              <w:rPr>
                <w:rFonts w:eastAsia="Times New Roman"/>
                <w:color w:val="000000"/>
              </w:rPr>
              <w:br/>
              <w:t>- CALI version 1</w:t>
            </w:r>
            <w:r w:rsidRPr="005F50D6">
              <w:rPr>
                <w:rFonts w:eastAsia="Times New Roman"/>
                <w:color w:val="000000"/>
              </w:rPr>
              <w:br/>
              <w:t xml:space="preserve">- Effective Collaborative Action (ECA) guidance </w:t>
            </w:r>
            <w:r w:rsidRPr="005F50D6">
              <w:rPr>
                <w:rFonts w:eastAsia="Times New Roman"/>
                <w:color w:val="000000"/>
              </w:rPr>
              <w:br/>
            </w:r>
            <w:r w:rsidRPr="005F50D6">
              <w:rPr>
                <w:rFonts w:eastAsia="Times New Roman"/>
                <w:color w:val="000000"/>
              </w:rPr>
              <w:br/>
              <w:t>2 knowledge products developed by Liberia:</w:t>
            </w:r>
            <w:r w:rsidRPr="005F50D6">
              <w:rPr>
                <w:rFonts w:eastAsia="Times New Roman"/>
                <w:color w:val="000000"/>
              </w:rPr>
              <w:br/>
              <w:t>- A Look Back: Assessing Progress &amp; Lessons Learned at the Landscape - Zodua Clan, Grand Cape Mount, Liberia</w:t>
            </w:r>
            <w:r w:rsidRPr="005F50D6">
              <w:rPr>
                <w:rFonts w:eastAsia="Times New Roman"/>
                <w:color w:val="000000"/>
              </w:rPr>
              <w:br/>
              <w:t xml:space="preserve">- The Roundtable on Sustainable Palm Oil (RSPO) National Interpretation Process in Liberia–Modalities &amp; Lessons-Learnt </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Under Demand, there are 46 knowledge products. These are:</w:t>
            </w:r>
            <w:r w:rsidRPr="005F50D6">
              <w:rPr>
                <w:rFonts w:eastAsia="Times New Roman"/>
                <w:color w:val="000000"/>
              </w:rPr>
              <w:br/>
              <w:t>- 1 set of briefing notes of the Soy Toolkit</w:t>
            </w:r>
            <w:r w:rsidRPr="005F50D6">
              <w:rPr>
                <w:rFonts w:eastAsia="Times New Roman"/>
                <w:color w:val="000000"/>
              </w:rPr>
              <w:br/>
              <w:t>- 2 guides</w:t>
            </w:r>
            <w:r w:rsidRPr="005F50D6">
              <w:rPr>
                <w:rFonts w:eastAsia="Times New Roman"/>
                <w:color w:val="000000"/>
              </w:rPr>
              <w:br/>
              <w:t>- 2 issue briefs</w:t>
            </w:r>
            <w:r w:rsidRPr="005F50D6">
              <w:rPr>
                <w:rFonts w:eastAsia="Times New Roman"/>
                <w:color w:val="000000"/>
              </w:rPr>
              <w:br/>
              <w:t>- 3 market intelligence reports</w:t>
            </w:r>
            <w:r w:rsidRPr="005F50D6">
              <w:rPr>
                <w:rFonts w:eastAsia="Times New Roman"/>
                <w:color w:val="000000"/>
              </w:rPr>
              <w:br/>
              <w:t>- 3 market intelligence updates</w:t>
            </w:r>
            <w:r w:rsidRPr="005F50D6">
              <w:rPr>
                <w:rFonts w:eastAsia="Times New Roman"/>
                <w:color w:val="000000"/>
              </w:rPr>
              <w:br/>
              <w:t>- 4 briefing notes</w:t>
            </w:r>
            <w:r w:rsidRPr="005F50D6">
              <w:rPr>
                <w:rFonts w:eastAsia="Times New Roman"/>
                <w:color w:val="000000"/>
              </w:rPr>
              <w:br/>
              <w:t>- 6 discussion papers</w:t>
            </w:r>
            <w:r w:rsidRPr="005F50D6">
              <w:rPr>
                <w:rFonts w:eastAsia="Times New Roman"/>
                <w:color w:val="000000"/>
              </w:rPr>
              <w:br/>
              <w:t>- 11 info briefs</w:t>
            </w:r>
            <w:r w:rsidRPr="005F50D6">
              <w:rPr>
                <w:rFonts w:eastAsia="Times New Roman"/>
                <w:color w:val="000000"/>
              </w:rPr>
              <w:br/>
              <w:t>- 14 reports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 xml:space="preserve">Brazil </w:t>
            </w:r>
            <w:r w:rsidRPr="005F50D6">
              <w:rPr>
                <w:rFonts w:eastAsia="Times New Roman"/>
                <w:color w:val="000000"/>
              </w:rPr>
              <w:t>has 10 pieces of knowledge products</w:t>
            </w:r>
            <w:r w:rsidRPr="005F50D6">
              <w:rPr>
                <w:rFonts w:eastAsia="Times New Roman"/>
                <w:color w:val="000000"/>
              </w:rPr>
              <w:br/>
              <w:t>- 10 Booklets (Portuguese and English) under gender mainstreaming entitled "Gender perspectives for sustainable production". The public launch of these materials will be in end of September 2021.</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A&amp;L</w:t>
            </w:r>
            <w:r w:rsidRPr="005F50D6">
              <w:rPr>
                <w:rFonts w:ascii="Arial" w:eastAsia="Times New Roman" w:hAnsi="Arial" w:cs="Arial"/>
                <w:b/>
                <w:bCs/>
                <w:color w:val="000000"/>
                <w:sz w:val="20"/>
                <w:szCs w:val="20"/>
              </w:rPr>
              <w:br/>
            </w:r>
            <w:r w:rsidRPr="005F50D6">
              <w:rPr>
                <w:rFonts w:eastAsia="Times New Roman"/>
                <w:color w:val="000000"/>
              </w:rPr>
              <w:t xml:space="preserve">A&amp;L has released 7 pieces of knowledge: </w:t>
            </w:r>
            <w:r w:rsidRPr="005F50D6">
              <w:rPr>
                <w:rFonts w:eastAsia="Times New Roman"/>
                <w:color w:val="000000"/>
              </w:rPr>
              <w:br/>
              <w:t xml:space="preserve">- Gender Mainstreaming in Agricultural Supply Chains can Accelerate Good Growth: What Works and for Whom? </w:t>
            </w:r>
            <w:r w:rsidRPr="005F50D6">
              <w:rPr>
                <w:rFonts w:eastAsia="Times New Roman"/>
                <w:color w:val="000000"/>
              </w:rPr>
              <w:br/>
              <w:t>- Cerrado Soy System Map</w:t>
            </w:r>
            <w:r w:rsidRPr="005F50D6">
              <w:rPr>
                <w:rFonts w:eastAsia="Times New Roman"/>
                <w:color w:val="000000"/>
              </w:rPr>
              <w:br/>
              <w:t>- Chaco Beef System Map</w:t>
            </w:r>
            <w:r w:rsidRPr="005F50D6">
              <w:rPr>
                <w:rFonts w:eastAsia="Times New Roman"/>
                <w:color w:val="000000"/>
              </w:rPr>
              <w:br/>
            </w:r>
            <w:r w:rsidRPr="005F50D6">
              <w:rPr>
                <w:rFonts w:eastAsia="Times New Roman"/>
                <w:color w:val="000000"/>
              </w:rPr>
              <w:lastRenderedPageBreak/>
              <w:t>- COVID-19 and Soy in Brazil: Adding value to sustainable soy</w:t>
            </w:r>
            <w:r w:rsidRPr="005F50D6">
              <w:rPr>
                <w:rFonts w:eastAsia="Times New Roman"/>
                <w:color w:val="000000"/>
              </w:rPr>
              <w:br/>
              <w:t>- COVID-19 and and Palm Oil in Indonesia: Collaborating around sustainable production for national consumer market</w:t>
            </w:r>
            <w:r w:rsidRPr="005F50D6">
              <w:rPr>
                <w:rFonts w:eastAsia="Times New Roman"/>
                <w:color w:val="000000"/>
              </w:rPr>
              <w:br/>
              <w:t>- COVID-19 and Oil Palm in Liberia Building Trust and Strengthening Purpose</w:t>
            </w:r>
            <w:r w:rsidRPr="005F50D6">
              <w:rPr>
                <w:rFonts w:eastAsia="Times New Roman"/>
                <w:color w:val="000000"/>
              </w:rPr>
              <w:br/>
              <w:t>- COVID-19 and Beef in Paraguay Sustainable Intensification for Post-COVID-19 Consumer Markets</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Transactions</w:t>
            </w:r>
            <w:r w:rsidRPr="005F50D6">
              <w:rPr>
                <w:rFonts w:ascii="Arial" w:eastAsia="Times New Roman" w:hAnsi="Arial" w:cs="Arial"/>
                <w:b/>
                <w:bCs/>
                <w:color w:val="000000"/>
                <w:sz w:val="20"/>
                <w:szCs w:val="20"/>
              </w:rPr>
              <w:br/>
            </w:r>
            <w:r w:rsidRPr="005F50D6">
              <w:rPr>
                <w:rFonts w:eastAsia="Times New Roman"/>
                <w:color w:val="000000"/>
              </w:rPr>
              <w:t>Transactions has released 2 pieces of knowledge:</w:t>
            </w:r>
            <w:r w:rsidRPr="005F50D6">
              <w:rPr>
                <w:rFonts w:eastAsia="Times New Roman"/>
                <w:color w:val="000000"/>
              </w:rPr>
              <w:br/>
              <w:t>- Commitments in-Country: Companies, Palm &amp; Commitments that Count in Indonesia, 2020</w:t>
            </w:r>
            <w:r w:rsidRPr="005F50D6">
              <w:rPr>
                <w:rFonts w:eastAsia="Times New Roman"/>
                <w:color w:val="000000"/>
              </w:rPr>
              <w:br/>
              <w:t>- Commitments in-Country: Companies, Cattle &amp; Commitments that Count in Paraguay, 2020</w:t>
            </w:r>
          </w:p>
        </w:tc>
      </w:tr>
      <w:tr w:rsidR="007E41B9" w:rsidRPr="005F50D6" w14:paraId="6FD19E12" w14:textId="77777777" w:rsidTr="00815EC8">
        <w:trPr>
          <w:trHeight w:val="530"/>
        </w:trPr>
        <w:tc>
          <w:tcPr>
            <w:tcW w:w="5000" w:type="pct"/>
            <w:shd w:val="clear" w:color="auto" w:fill="F7CAAC" w:themeFill="accent2" w:themeFillTint="66"/>
            <w:vAlign w:val="bottom"/>
          </w:tcPr>
          <w:p w14:paraId="3AA1E4C1" w14:textId="77777777" w:rsidR="007E41B9" w:rsidRPr="005F50D6" w:rsidRDefault="007E41B9" w:rsidP="00062DAE">
            <w:pPr>
              <w:spacing w:after="0" w:line="240" w:lineRule="auto"/>
              <w:rPr>
                <w:rFonts w:eastAsia="Times New Roman"/>
                <w:color w:val="000000"/>
              </w:rPr>
            </w:pPr>
            <w:r w:rsidRPr="00CE7912">
              <w:rPr>
                <w:rFonts w:eastAsia="Times New Roman"/>
                <w:color w:val="000000"/>
              </w:rPr>
              <w:lastRenderedPageBreak/>
              <w:t>Contributing to informed decision making and action at the global, regional and national level for policy and landscape-based interventions, and to scaling up solutions for sustainable commodity supply chains</w:t>
            </w:r>
          </w:p>
        </w:tc>
      </w:tr>
      <w:tr w:rsidR="007E41B9" w:rsidRPr="005F50D6" w14:paraId="323C5184" w14:textId="77777777" w:rsidTr="00062DAE">
        <w:trPr>
          <w:trHeight w:val="170"/>
        </w:trPr>
        <w:tc>
          <w:tcPr>
            <w:tcW w:w="5000" w:type="pct"/>
            <w:shd w:val="clear" w:color="auto" w:fill="F7CAAC" w:themeFill="accent2" w:themeFillTint="66"/>
            <w:vAlign w:val="bottom"/>
          </w:tcPr>
          <w:p w14:paraId="57AA1033" w14:textId="77777777" w:rsidR="007E41B9" w:rsidRPr="005F50D6" w:rsidRDefault="007E41B9" w:rsidP="00062DAE">
            <w:pPr>
              <w:spacing w:after="0" w:line="240" w:lineRule="auto"/>
              <w:rPr>
                <w:rFonts w:ascii="Arial" w:eastAsia="Times New Roman" w:hAnsi="Arial" w:cs="Arial"/>
                <w:color w:val="000000"/>
                <w:sz w:val="20"/>
                <w:szCs w:val="20"/>
              </w:rPr>
            </w:pPr>
            <w:r w:rsidRPr="00CE7912">
              <w:rPr>
                <w:rFonts w:ascii="Arial" w:eastAsia="Times New Roman" w:hAnsi="Arial" w:cs="Arial"/>
                <w:color w:val="000000"/>
                <w:sz w:val="20"/>
                <w:szCs w:val="20"/>
              </w:rPr>
              <w:t># of new resources providing credible evidence on the impacts and effectiveness of standards and other sustainability tools made easily available (Evidensia)</w:t>
            </w:r>
          </w:p>
        </w:tc>
      </w:tr>
      <w:tr w:rsidR="007E41B9" w:rsidRPr="005F50D6" w14:paraId="32B8DA16" w14:textId="77777777" w:rsidTr="00062DAE">
        <w:trPr>
          <w:trHeight w:val="1455"/>
        </w:trPr>
        <w:tc>
          <w:tcPr>
            <w:tcW w:w="5000" w:type="pct"/>
            <w:shd w:val="clear" w:color="D9EAD3" w:fill="D9EAD3"/>
            <w:vAlign w:val="center"/>
            <w:hideMark/>
          </w:tcPr>
          <w:p w14:paraId="4F0FF863"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 xml:space="preserve">13 research syntheses and summaries of evidence were developed and are hosted on Evidensia.  </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A&amp;L</w:t>
            </w:r>
            <w:r w:rsidRPr="005F50D6">
              <w:rPr>
                <w:rFonts w:ascii="Arial" w:eastAsia="Times New Roman" w:hAnsi="Arial" w:cs="Arial"/>
                <w:b/>
                <w:bCs/>
                <w:color w:val="000000"/>
                <w:sz w:val="20"/>
                <w:szCs w:val="20"/>
              </w:rPr>
              <w:br/>
            </w:r>
            <w:r w:rsidRPr="005F50D6">
              <w:rPr>
                <w:rFonts w:eastAsia="Times New Roman"/>
                <w:color w:val="000000"/>
              </w:rPr>
              <w:t xml:space="preserve">Under A&amp;L, 13 research syntheses and summaries of evidence were developed and are hosted on Evidensia.  </w:t>
            </w:r>
          </w:p>
        </w:tc>
      </w:tr>
      <w:tr w:rsidR="007E41B9" w:rsidRPr="005F50D6" w14:paraId="483B70F0" w14:textId="77777777" w:rsidTr="00815EC8">
        <w:trPr>
          <w:trHeight w:val="485"/>
        </w:trPr>
        <w:tc>
          <w:tcPr>
            <w:tcW w:w="5000" w:type="pct"/>
            <w:shd w:val="clear" w:color="auto" w:fill="F7CAAC" w:themeFill="accent2" w:themeFillTint="66"/>
            <w:vAlign w:val="bottom"/>
          </w:tcPr>
          <w:p w14:paraId="78935BF3" w14:textId="77777777" w:rsidR="007E41B9" w:rsidRPr="005F50D6" w:rsidRDefault="007E41B9" w:rsidP="00062DAE">
            <w:pPr>
              <w:spacing w:after="0" w:line="240" w:lineRule="auto"/>
              <w:rPr>
                <w:rFonts w:eastAsia="Times New Roman"/>
                <w:color w:val="000000"/>
              </w:rPr>
            </w:pPr>
            <w:r w:rsidRPr="00CE7912">
              <w:rPr>
                <w:rFonts w:eastAsia="Times New Roman"/>
                <w:color w:val="000000"/>
              </w:rPr>
              <w:t>Contributing to informed decision making and action at the global, regional and national level for policy and landscape-based interventions, and to scaling up solutions for sustainable commodity supply chains</w:t>
            </w:r>
          </w:p>
        </w:tc>
      </w:tr>
      <w:tr w:rsidR="007E41B9" w:rsidRPr="005F50D6" w14:paraId="63A375C8" w14:textId="77777777" w:rsidTr="00062DAE">
        <w:trPr>
          <w:trHeight w:val="170"/>
        </w:trPr>
        <w:tc>
          <w:tcPr>
            <w:tcW w:w="5000" w:type="pct"/>
            <w:shd w:val="clear" w:color="auto" w:fill="F7CAAC" w:themeFill="accent2" w:themeFillTint="66"/>
            <w:vAlign w:val="bottom"/>
          </w:tcPr>
          <w:p w14:paraId="2B68842D" w14:textId="77777777" w:rsidR="007E41B9" w:rsidRPr="005F50D6" w:rsidRDefault="007E41B9" w:rsidP="00062DAE">
            <w:pPr>
              <w:spacing w:after="0" w:line="240" w:lineRule="auto"/>
              <w:rPr>
                <w:rFonts w:ascii="Arial" w:eastAsia="Times New Roman" w:hAnsi="Arial" w:cs="Arial"/>
                <w:color w:val="000000"/>
                <w:sz w:val="20"/>
                <w:szCs w:val="20"/>
              </w:rPr>
            </w:pPr>
            <w:r w:rsidRPr="0066329F">
              <w:rPr>
                <w:rFonts w:ascii="Arial" w:eastAsia="Times New Roman" w:hAnsi="Arial" w:cs="Arial"/>
                <w:color w:val="000000"/>
                <w:sz w:val="20"/>
                <w:szCs w:val="20"/>
              </w:rPr>
              <w:t># of documented examples of learnings shared via Community of Practice adopted in other contexts</w:t>
            </w:r>
          </w:p>
        </w:tc>
      </w:tr>
      <w:tr w:rsidR="007E41B9" w:rsidRPr="005F50D6" w14:paraId="0B4F6142" w14:textId="77777777" w:rsidTr="00062DAE">
        <w:trPr>
          <w:trHeight w:val="2055"/>
        </w:trPr>
        <w:tc>
          <w:tcPr>
            <w:tcW w:w="5000" w:type="pct"/>
            <w:shd w:val="clear" w:color="D9EAD3" w:fill="D9EAD3"/>
            <w:vAlign w:val="center"/>
            <w:hideMark/>
          </w:tcPr>
          <w:p w14:paraId="10EA65C8"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t xml:space="preserve">33 examples of learnings shared via Community of Practice adopted in other contexts. </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 xml:space="preserve">33 examples of specific lessons shared via the Green Commodities Community applied in other sub-national and national situations. These include learnings on themes such as: Multi-stakeholder dialogue; Land use change monitoring; Monitoring and evaluation; and Systems practice </w:t>
            </w:r>
          </w:p>
        </w:tc>
      </w:tr>
      <w:tr w:rsidR="007E41B9" w:rsidRPr="005F50D6" w14:paraId="2665868F" w14:textId="77777777" w:rsidTr="00815EC8">
        <w:trPr>
          <w:trHeight w:val="413"/>
        </w:trPr>
        <w:tc>
          <w:tcPr>
            <w:tcW w:w="5000" w:type="pct"/>
            <w:shd w:val="clear" w:color="auto" w:fill="F7CAAC" w:themeFill="accent2" w:themeFillTint="66"/>
            <w:vAlign w:val="bottom"/>
          </w:tcPr>
          <w:p w14:paraId="7F52CBE8" w14:textId="77777777" w:rsidR="007E41B9" w:rsidRPr="005F50D6" w:rsidRDefault="007E41B9" w:rsidP="00062DAE">
            <w:pPr>
              <w:spacing w:after="0" w:line="240" w:lineRule="auto"/>
              <w:rPr>
                <w:rFonts w:eastAsia="Times New Roman"/>
                <w:color w:val="000000"/>
              </w:rPr>
            </w:pPr>
            <w:r w:rsidRPr="0066329F">
              <w:rPr>
                <w:rFonts w:eastAsia="Times New Roman"/>
                <w:color w:val="000000"/>
              </w:rPr>
              <w:t>Gender Mainstreaming</w:t>
            </w:r>
          </w:p>
        </w:tc>
      </w:tr>
      <w:tr w:rsidR="007E41B9" w:rsidRPr="005F50D6" w14:paraId="1C664AC1" w14:textId="77777777" w:rsidTr="00062DAE">
        <w:trPr>
          <w:trHeight w:val="170"/>
        </w:trPr>
        <w:tc>
          <w:tcPr>
            <w:tcW w:w="5000" w:type="pct"/>
            <w:shd w:val="clear" w:color="auto" w:fill="F7CAAC" w:themeFill="accent2" w:themeFillTint="66"/>
            <w:vAlign w:val="bottom"/>
          </w:tcPr>
          <w:p w14:paraId="1FE7D86B" w14:textId="0EC32EB0" w:rsidR="007E41B9" w:rsidRPr="005F50D6" w:rsidRDefault="007E41B9" w:rsidP="00062DA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66329F">
              <w:rPr>
                <w:rFonts w:ascii="Arial" w:eastAsia="Times New Roman" w:hAnsi="Arial" w:cs="Arial"/>
                <w:color w:val="000000"/>
                <w:sz w:val="20"/>
                <w:szCs w:val="20"/>
              </w:rPr>
              <w:t>. of gender action plans developed, and under implementation</w:t>
            </w:r>
          </w:p>
        </w:tc>
      </w:tr>
      <w:tr w:rsidR="007E41B9" w:rsidRPr="005F50D6" w14:paraId="2E5E0910" w14:textId="77777777" w:rsidTr="00062DAE">
        <w:trPr>
          <w:trHeight w:val="4850"/>
        </w:trPr>
        <w:tc>
          <w:tcPr>
            <w:tcW w:w="5000" w:type="pct"/>
            <w:shd w:val="clear" w:color="D9EAD3" w:fill="D9EAD3"/>
            <w:vAlign w:val="center"/>
            <w:hideMark/>
          </w:tcPr>
          <w:p w14:paraId="1B4E8557" w14:textId="77777777" w:rsidR="007E41B9" w:rsidRPr="005F50D6" w:rsidRDefault="007E41B9" w:rsidP="00062DAE">
            <w:pPr>
              <w:spacing w:after="0" w:line="240" w:lineRule="auto"/>
              <w:rPr>
                <w:rFonts w:ascii="Arial" w:eastAsia="Times New Roman" w:hAnsi="Arial" w:cs="Arial"/>
                <w:color w:val="000000"/>
                <w:sz w:val="20"/>
                <w:szCs w:val="20"/>
              </w:rPr>
            </w:pPr>
            <w:r w:rsidRPr="005F50D6">
              <w:rPr>
                <w:rFonts w:eastAsia="Times New Roman"/>
                <w:color w:val="000000"/>
              </w:rPr>
              <w:lastRenderedPageBreak/>
              <w:t>5 gender action plans developed, and under implementation.</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Production</w:t>
            </w:r>
            <w:r w:rsidRPr="005F50D6">
              <w:rPr>
                <w:rFonts w:ascii="Arial" w:eastAsia="Times New Roman" w:hAnsi="Arial" w:cs="Arial"/>
                <w:b/>
                <w:bCs/>
                <w:color w:val="000000"/>
                <w:sz w:val="20"/>
                <w:szCs w:val="20"/>
              </w:rPr>
              <w:br/>
            </w:r>
            <w:r w:rsidRPr="005F50D6">
              <w:rPr>
                <w:rFonts w:eastAsia="Times New Roman"/>
                <w:color w:val="000000"/>
              </w:rPr>
              <w:t>Under Production, there are 3 gender action plans developed, and under implementation. In Indonesia, the development of a gender action plan was completed in Q1 2020, outlining the details of planned gender mainstreaming activities including indicators and targets. In Liberia, a gender analysis and an action plan were completed, and actions from the latter were integrated into the Annual Workplan for 2020. In Paraguay, it was decided that a specific gender analysis will not be conducted under the Production project, as a gender analysis had already been produced under another GEF-funded project “Third National Communication in Climate Change” where a national gender analysis was carried out. This national analysis was used as base for the development of a gender action plan.</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Demand</w:t>
            </w:r>
            <w:r w:rsidRPr="005F50D6">
              <w:rPr>
                <w:rFonts w:ascii="Arial" w:eastAsia="Times New Roman" w:hAnsi="Arial" w:cs="Arial"/>
                <w:b/>
                <w:bCs/>
                <w:color w:val="000000"/>
                <w:sz w:val="20"/>
                <w:szCs w:val="20"/>
              </w:rPr>
              <w:br/>
            </w:r>
            <w:r w:rsidRPr="005F50D6">
              <w:rPr>
                <w:rFonts w:eastAsia="Times New Roman"/>
                <w:color w:val="000000"/>
              </w:rPr>
              <w:t>The Demand project has 1 gender action plan under implementation.</w:t>
            </w:r>
            <w:r w:rsidRPr="005F50D6">
              <w:rPr>
                <w:rFonts w:eastAsia="Times New Roman"/>
                <w:color w:val="000000"/>
              </w:rPr>
              <w:br/>
            </w:r>
            <w:r w:rsidRPr="005F50D6">
              <w:rPr>
                <w:rFonts w:eastAsia="Times New Roman"/>
                <w:color w:val="000000"/>
              </w:rPr>
              <w:br/>
            </w:r>
            <w:r w:rsidRPr="005F50D6">
              <w:rPr>
                <w:rFonts w:ascii="Arial" w:eastAsia="Times New Roman" w:hAnsi="Arial" w:cs="Arial"/>
                <w:b/>
                <w:bCs/>
                <w:color w:val="000000"/>
                <w:sz w:val="20"/>
                <w:szCs w:val="20"/>
              </w:rPr>
              <w:t>Brazil</w:t>
            </w:r>
            <w:r w:rsidRPr="005F50D6">
              <w:rPr>
                <w:rFonts w:ascii="Arial" w:eastAsia="Times New Roman" w:hAnsi="Arial" w:cs="Arial"/>
                <w:b/>
                <w:bCs/>
                <w:color w:val="000000"/>
                <w:sz w:val="20"/>
                <w:szCs w:val="20"/>
              </w:rPr>
              <w:br/>
            </w:r>
            <w:r w:rsidRPr="005F50D6">
              <w:rPr>
                <w:rFonts w:eastAsia="Times New Roman"/>
                <w:color w:val="000000"/>
              </w:rPr>
              <w:t>In Brazil, a gender analysis and action plan was already developed in 2018, focusing on gender and the soy supply chain in the MATOPIBA region. An updated strategy was developed for the period between July 2020 to June 2021 (GGP Brazil - Year 4). During this period, CI-Brazil: promoted female producers’ participation in project activities; conducted a survey to identify bottlenecks &amp; opportunities for women in the soy supply chain; and developed a series of bilingual booklets on gender dynamics in sustainable production by female leaders and experts.</w:t>
            </w:r>
          </w:p>
        </w:tc>
      </w:tr>
    </w:tbl>
    <w:p w14:paraId="688E75F7" w14:textId="77777777" w:rsidR="007E41B9" w:rsidRPr="00CB6575" w:rsidRDefault="007E41B9" w:rsidP="007E41B9"/>
    <w:p w14:paraId="7CAD7CAB" w14:textId="23A231CA" w:rsidR="00815EC8" w:rsidRDefault="00815EC8">
      <w:r>
        <w:br w:type="page"/>
      </w:r>
    </w:p>
    <w:p w14:paraId="205CC975" w14:textId="22A95463" w:rsidR="001E4730" w:rsidRDefault="001E4730"/>
    <w:p w14:paraId="4F1CC203" w14:textId="77777777" w:rsidR="00821D26" w:rsidRPr="00821D26" w:rsidRDefault="00821D26" w:rsidP="00821D26">
      <w:bookmarkStart w:id="153" w:name="_Hlk90153497"/>
    </w:p>
    <w:p w14:paraId="1D4BB985" w14:textId="0642EC87" w:rsidR="00821D26" w:rsidRPr="003B37B7" w:rsidRDefault="00821D26" w:rsidP="003B37B7">
      <w:pPr>
        <w:pStyle w:val="Heading2"/>
      </w:pPr>
      <w:bookmarkStart w:id="154" w:name="_Annex_14._Annex"/>
      <w:bookmarkStart w:id="155" w:name="_Toc96772525"/>
      <w:bookmarkEnd w:id="154"/>
      <w:r w:rsidRPr="003B37B7">
        <w:t>Annex 14. Findings, Conclusions and Lessons Learned</w:t>
      </w:r>
      <w:bookmarkEnd w:id="155"/>
    </w:p>
    <w:tbl>
      <w:tblPr>
        <w:tblW w:w="5000" w:type="pct"/>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ook w:val="04A0" w:firstRow="1" w:lastRow="0" w:firstColumn="1" w:lastColumn="0" w:noHBand="0" w:noVBand="1"/>
      </w:tblPr>
      <w:tblGrid>
        <w:gridCol w:w="2451"/>
        <w:gridCol w:w="2885"/>
        <w:gridCol w:w="2538"/>
        <w:gridCol w:w="2538"/>
        <w:gridCol w:w="2538"/>
      </w:tblGrid>
      <w:tr w:rsidR="00821D26" w:rsidRPr="00821D26" w14:paraId="129CD9FD" w14:textId="77777777" w:rsidTr="0006573A">
        <w:tc>
          <w:tcPr>
            <w:tcW w:w="946" w:type="pct"/>
          </w:tcPr>
          <w:p w14:paraId="7D18E147" w14:textId="77777777" w:rsidR="00821D26" w:rsidRPr="00821D26" w:rsidRDefault="00821D26" w:rsidP="00821D26">
            <w:pPr>
              <w:spacing w:after="0" w:line="240" w:lineRule="auto"/>
              <w:rPr>
                <w:b/>
                <w:sz w:val="20"/>
                <w:szCs w:val="20"/>
              </w:rPr>
            </w:pPr>
            <w:r w:rsidRPr="00821D26">
              <w:rPr>
                <w:b/>
                <w:sz w:val="20"/>
                <w:szCs w:val="20"/>
              </w:rPr>
              <w:t>Category</w:t>
            </w:r>
          </w:p>
        </w:tc>
        <w:tc>
          <w:tcPr>
            <w:tcW w:w="1114" w:type="pct"/>
          </w:tcPr>
          <w:p w14:paraId="3E876950" w14:textId="77777777" w:rsidR="00821D26" w:rsidRPr="00821D26" w:rsidRDefault="00821D26" w:rsidP="00821D26">
            <w:pPr>
              <w:spacing w:after="0" w:line="240" w:lineRule="auto"/>
              <w:rPr>
                <w:b/>
                <w:sz w:val="20"/>
                <w:szCs w:val="20"/>
              </w:rPr>
            </w:pPr>
            <w:r w:rsidRPr="00821D26">
              <w:rPr>
                <w:b/>
                <w:sz w:val="20"/>
                <w:szCs w:val="20"/>
              </w:rPr>
              <w:t>Findings</w:t>
            </w:r>
          </w:p>
        </w:tc>
        <w:tc>
          <w:tcPr>
            <w:tcW w:w="980" w:type="pct"/>
          </w:tcPr>
          <w:p w14:paraId="6BDFFA1A" w14:textId="77777777" w:rsidR="00821D26" w:rsidRPr="00821D26" w:rsidRDefault="00821D26" w:rsidP="00821D26">
            <w:pPr>
              <w:spacing w:after="0" w:line="240" w:lineRule="auto"/>
              <w:rPr>
                <w:b/>
                <w:sz w:val="20"/>
                <w:szCs w:val="20"/>
              </w:rPr>
            </w:pPr>
            <w:r w:rsidRPr="00821D26">
              <w:rPr>
                <w:b/>
                <w:sz w:val="20"/>
                <w:szCs w:val="20"/>
              </w:rPr>
              <w:t>Conclusions</w:t>
            </w:r>
          </w:p>
        </w:tc>
        <w:tc>
          <w:tcPr>
            <w:tcW w:w="980" w:type="pct"/>
          </w:tcPr>
          <w:p w14:paraId="0A8AA1B2" w14:textId="77777777" w:rsidR="00821D26" w:rsidRPr="00821D26" w:rsidRDefault="00821D26" w:rsidP="00821D26">
            <w:pPr>
              <w:spacing w:after="0" w:line="240" w:lineRule="auto"/>
              <w:rPr>
                <w:b/>
                <w:sz w:val="20"/>
                <w:szCs w:val="20"/>
              </w:rPr>
            </w:pPr>
            <w:r w:rsidRPr="00821D26">
              <w:rPr>
                <w:b/>
                <w:sz w:val="20"/>
                <w:szCs w:val="20"/>
              </w:rPr>
              <w:t>Recommendations</w:t>
            </w:r>
          </w:p>
        </w:tc>
        <w:tc>
          <w:tcPr>
            <w:tcW w:w="980" w:type="pct"/>
          </w:tcPr>
          <w:p w14:paraId="0369F306" w14:textId="77777777" w:rsidR="00821D26" w:rsidRPr="00821D26" w:rsidRDefault="00821D26" w:rsidP="00821D26">
            <w:pPr>
              <w:spacing w:after="0" w:line="240" w:lineRule="auto"/>
              <w:rPr>
                <w:b/>
                <w:sz w:val="20"/>
                <w:szCs w:val="20"/>
              </w:rPr>
            </w:pPr>
            <w:r w:rsidRPr="00821D26">
              <w:rPr>
                <w:b/>
                <w:sz w:val="20"/>
                <w:szCs w:val="20"/>
              </w:rPr>
              <w:t>Lessons Learned</w:t>
            </w:r>
          </w:p>
        </w:tc>
      </w:tr>
      <w:tr w:rsidR="00821D26" w:rsidRPr="00821D26" w14:paraId="3DB32BE4" w14:textId="77777777" w:rsidTr="0006573A">
        <w:trPr>
          <w:trHeight w:val="1608"/>
        </w:trPr>
        <w:tc>
          <w:tcPr>
            <w:tcW w:w="946" w:type="pct"/>
          </w:tcPr>
          <w:p w14:paraId="26638A37" w14:textId="77777777" w:rsidR="00821D26" w:rsidRPr="00821D26" w:rsidRDefault="00821D26" w:rsidP="00821D26">
            <w:pPr>
              <w:spacing w:after="0" w:line="240" w:lineRule="auto"/>
              <w:rPr>
                <w:b/>
                <w:bCs/>
                <w:sz w:val="20"/>
                <w:szCs w:val="20"/>
              </w:rPr>
            </w:pPr>
            <w:r w:rsidRPr="00821D26">
              <w:rPr>
                <w:b/>
                <w:bCs/>
                <w:sz w:val="20"/>
                <w:szCs w:val="20"/>
              </w:rPr>
              <w:t>Project Context/ Justification</w:t>
            </w:r>
          </w:p>
        </w:tc>
        <w:tc>
          <w:tcPr>
            <w:tcW w:w="1114" w:type="pct"/>
          </w:tcPr>
          <w:p w14:paraId="53BA2883" w14:textId="77777777" w:rsidR="00821D26" w:rsidRPr="00821D26" w:rsidRDefault="00821D26" w:rsidP="00821D26">
            <w:pPr>
              <w:widowControl w:val="0"/>
              <w:autoSpaceDE w:val="0"/>
              <w:autoSpaceDN w:val="0"/>
              <w:spacing w:after="0" w:line="240" w:lineRule="auto"/>
              <w:ind w:right="101"/>
              <w:rPr>
                <w:rFonts w:ascii="Segoe UI" w:eastAsia="Arial" w:hAnsi="Segoe UI" w:cs="Segoe UI"/>
                <w:sz w:val="20"/>
                <w:szCs w:val="20"/>
              </w:rPr>
            </w:pPr>
            <w:r w:rsidRPr="00821D26">
              <w:rPr>
                <w:rFonts w:ascii="Segoe UI" w:eastAsia="Arial" w:hAnsi="Segoe UI" w:cs="Segoe UI"/>
                <w:sz w:val="20"/>
                <w:szCs w:val="20"/>
              </w:rPr>
              <w:t xml:space="preserve">(1) The project is justified through empirical data and citing of credible sources that were fact checked.  </w:t>
            </w:r>
          </w:p>
          <w:p w14:paraId="27B0FCD6" w14:textId="77777777" w:rsidR="00821D26" w:rsidRPr="00821D26" w:rsidRDefault="00821D26" w:rsidP="00821D26">
            <w:pPr>
              <w:widowControl w:val="0"/>
              <w:autoSpaceDE w:val="0"/>
              <w:autoSpaceDN w:val="0"/>
              <w:spacing w:after="0" w:line="240" w:lineRule="auto"/>
              <w:ind w:right="101"/>
              <w:rPr>
                <w:rFonts w:ascii="Segoe UI" w:eastAsia="Arial" w:hAnsi="Segoe UI" w:cs="Segoe UI"/>
                <w:sz w:val="20"/>
                <w:szCs w:val="20"/>
              </w:rPr>
            </w:pPr>
          </w:p>
          <w:p w14:paraId="4BE07003" w14:textId="77777777" w:rsidR="00821D26" w:rsidRPr="00821D26" w:rsidRDefault="00821D26" w:rsidP="00821D26">
            <w:pPr>
              <w:widowControl w:val="0"/>
              <w:autoSpaceDE w:val="0"/>
              <w:autoSpaceDN w:val="0"/>
              <w:spacing w:after="120" w:line="240" w:lineRule="auto"/>
              <w:ind w:right="101"/>
              <w:rPr>
                <w:rFonts w:ascii="Segoe UI" w:eastAsia="Arial" w:hAnsi="Segoe UI" w:cs="Segoe UI"/>
                <w:sz w:val="20"/>
                <w:szCs w:val="20"/>
              </w:rPr>
            </w:pPr>
            <w:r w:rsidRPr="00821D26">
              <w:rPr>
                <w:rFonts w:ascii="Segoe UI" w:eastAsia="Arial" w:hAnsi="Segoe UI" w:cs="Segoe UI"/>
                <w:sz w:val="20"/>
                <w:szCs w:val="20"/>
              </w:rPr>
              <w:t xml:space="preserve">(2) KIs could not imagine the burden of program and project level management energy without a dedicated program-level PMU </w:t>
            </w:r>
          </w:p>
          <w:p w14:paraId="7C360DDC" w14:textId="77777777" w:rsidR="00821D26" w:rsidRPr="00821D26" w:rsidRDefault="00821D26" w:rsidP="00821D26">
            <w:pPr>
              <w:widowControl w:val="0"/>
              <w:autoSpaceDE w:val="0"/>
              <w:autoSpaceDN w:val="0"/>
              <w:spacing w:after="120" w:line="240" w:lineRule="auto"/>
              <w:ind w:right="101"/>
              <w:rPr>
                <w:rFonts w:ascii="Segoe UI" w:eastAsia="Arial" w:hAnsi="Segoe UI" w:cs="Segoe UI"/>
                <w:sz w:val="20"/>
                <w:szCs w:val="20"/>
              </w:rPr>
            </w:pPr>
            <w:r w:rsidRPr="00821D26">
              <w:rPr>
                <w:rFonts w:ascii="Segoe UI" w:eastAsia="Arial" w:hAnsi="Segoe UI" w:cs="Segoe UI"/>
                <w:sz w:val="20"/>
                <w:szCs w:val="20"/>
              </w:rPr>
              <w:t xml:space="preserve">(3) Only program-level barriers were presented. No management barriers were listed. Some barriers to effective management were listed in the risk assessment.  </w:t>
            </w:r>
          </w:p>
        </w:tc>
        <w:tc>
          <w:tcPr>
            <w:tcW w:w="980" w:type="pct"/>
          </w:tcPr>
          <w:p w14:paraId="40BEAAE8" w14:textId="77777777" w:rsidR="00821D26" w:rsidRPr="00821D26" w:rsidRDefault="00821D26" w:rsidP="00821D26">
            <w:pPr>
              <w:spacing w:after="0" w:line="240" w:lineRule="auto"/>
              <w:rPr>
                <w:bCs/>
                <w:sz w:val="20"/>
                <w:szCs w:val="20"/>
              </w:rPr>
            </w:pPr>
            <w:r w:rsidRPr="00821D26">
              <w:rPr>
                <w:bCs/>
                <w:sz w:val="20"/>
                <w:szCs w:val="20"/>
              </w:rPr>
              <w:t>(1) The need for a Child Project dedicated to Adaptive management and Lessons learned is validated.</w:t>
            </w:r>
          </w:p>
          <w:p w14:paraId="6DAF5507" w14:textId="77777777" w:rsidR="00821D26" w:rsidRPr="00821D26" w:rsidRDefault="00821D26" w:rsidP="00821D26">
            <w:pPr>
              <w:spacing w:after="0" w:line="240" w:lineRule="auto"/>
              <w:rPr>
                <w:bCs/>
                <w:sz w:val="20"/>
                <w:szCs w:val="20"/>
              </w:rPr>
            </w:pPr>
          </w:p>
          <w:p w14:paraId="7A5DEA12" w14:textId="77777777" w:rsidR="00821D26" w:rsidRPr="00821D26" w:rsidRDefault="00821D26" w:rsidP="00821D26">
            <w:pPr>
              <w:spacing w:after="0" w:line="240" w:lineRule="auto"/>
              <w:rPr>
                <w:bCs/>
                <w:sz w:val="20"/>
                <w:szCs w:val="20"/>
              </w:rPr>
            </w:pPr>
            <w:r w:rsidRPr="00821D26">
              <w:rPr>
                <w:bCs/>
                <w:sz w:val="20"/>
                <w:szCs w:val="20"/>
              </w:rPr>
              <w:t>(2) The integrated approach is the right approach in solving complex world-wide problems that are beyond the capacity of any single agency or NGO and requires systematic coordination.</w:t>
            </w:r>
          </w:p>
          <w:p w14:paraId="7FE9B08B" w14:textId="77777777" w:rsidR="00821D26" w:rsidRPr="00821D26" w:rsidRDefault="00821D26" w:rsidP="00821D26">
            <w:pPr>
              <w:spacing w:after="0" w:line="240" w:lineRule="auto"/>
              <w:rPr>
                <w:bCs/>
                <w:sz w:val="20"/>
                <w:szCs w:val="20"/>
              </w:rPr>
            </w:pPr>
          </w:p>
          <w:p w14:paraId="4326B603" w14:textId="77777777" w:rsidR="00821D26" w:rsidRPr="00821D26" w:rsidRDefault="00821D26" w:rsidP="00821D26">
            <w:pPr>
              <w:widowControl w:val="0"/>
              <w:autoSpaceDE w:val="0"/>
              <w:autoSpaceDN w:val="0"/>
              <w:spacing w:after="120" w:line="240" w:lineRule="auto"/>
              <w:ind w:right="101"/>
              <w:rPr>
                <w:bCs/>
                <w:sz w:val="20"/>
                <w:szCs w:val="20"/>
              </w:rPr>
            </w:pPr>
            <w:r w:rsidRPr="00821D26">
              <w:rPr>
                <w:rFonts w:ascii="Segoe UI" w:eastAsia="Arial" w:hAnsi="Segoe UI" w:cs="Segoe UI"/>
                <w:sz w:val="20"/>
                <w:szCs w:val="20"/>
              </w:rPr>
              <w:t>(3) The barriers did affect project implementation and were effectively recognized and managed by the PMU (see also efficiency).</w:t>
            </w:r>
          </w:p>
        </w:tc>
        <w:tc>
          <w:tcPr>
            <w:tcW w:w="980" w:type="pct"/>
          </w:tcPr>
          <w:p w14:paraId="3F21721F" w14:textId="4D9837B6" w:rsidR="00821D26" w:rsidRPr="00821D26" w:rsidRDefault="00821D26" w:rsidP="00821D26">
            <w:pPr>
              <w:spacing w:after="0" w:line="240" w:lineRule="auto"/>
              <w:rPr>
                <w:bCs/>
                <w:sz w:val="20"/>
                <w:szCs w:val="20"/>
              </w:rPr>
            </w:pPr>
            <w:r w:rsidRPr="00821D26">
              <w:rPr>
                <w:bCs/>
                <w:sz w:val="20"/>
                <w:szCs w:val="20"/>
              </w:rPr>
              <w:t xml:space="preserve">(1) Future </w:t>
            </w:r>
            <w:r w:rsidR="00797C0F">
              <w:rPr>
                <w:bCs/>
                <w:sz w:val="20"/>
                <w:szCs w:val="20"/>
              </w:rPr>
              <w:t xml:space="preserve">IP or </w:t>
            </w:r>
            <w:r w:rsidRPr="00821D26">
              <w:rPr>
                <w:bCs/>
                <w:sz w:val="20"/>
                <w:szCs w:val="20"/>
              </w:rPr>
              <w:t>network projects are advised to have a dedicated and full time PMU with representation in the child projects</w:t>
            </w:r>
          </w:p>
          <w:p w14:paraId="0123F1B9" w14:textId="77777777" w:rsidR="00821D26" w:rsidRPr="00821D26" w:rsidRDefault="00821D26" w:rsidP="00821D26">
            <w:pPr>
              <w:spacing w:after="0" w:line="240" w:lineRule="auto"/>
              <w:rPr>
                <w:bCs/>
                <w:sz w:val="20"/>
                <w:szCs w:val="20"/>
              </w:rPr>
            </w:pPr>
          </w:p>
          <w:p w14:paraId="5AFCED3E" w14:textId="77777777" w:rsidR="00821D26" w:rsidRPr="00821D26" w:rsidRDefault="00821D26" w:rsidP="00821D26">
            <w:pPr>
              <w:spacing w:after="0" w:line="240" w:lineRule="auto"/>
              <w:rPr>
                <w:bCs/>
                <w:sz w:val="20"/>
                <w:szCs w:val="20"/>
              </w:rPr>
            </w:pPr>
            <w:r w:rsidRPr="00821D26">
              <w:rPr>
                <w:bCs/>
                <w:sz w:val="20"/>
                <w:szCs w:val="20"/>
              </w:rPr>
              <w:t>(2) Strongly advised to have one or two common components on M&amp;E and/or Knowledge Management with the responsibility to support the monitoring of the platform or programme in addition to the child project.  That responsibility should be reflected also in the TORs for the position of MEL or Landscape Manager.</w:t>
            </w:r>
          </w:p>
        </w:tc>
        <w:tc>
          <w:tcPr>
            <w:tcW w:w="980" w:type="pct"/>
          </w:tcPr>
          <w:p w14:paraId="342655B7" w14:textId="77777777" w:rsidR="00821D26" w:rsidRPr="00821D26" w:rsidRDefault="00821D26" w:rsidP="00821D26">
            <w:pPr>
              <w:spacing w:after="0" w:line="240" w:lineRule="auto"/>
              <w:rPr>
                <w:bCs/>
                <w:sz w:val="20"/>
                <w:szCs w:val="20"/>
              </w:rPr>
            </w:pPr>
            <w:r w:rsidRPr="00821D26">
              <w:rPr>
                <w:rFonts w:ascii="Segoe UI" w:eastAsia="Arial" w:hAnsi="Segoe UI" w:cs="Segoe UI"/>
                <w:sz w:val="20"/>
                <w:szCs w:val="20"/>
              </w:rPr>
              <w:t>(1) The integrated approach is the right approach. It is more expeditious in terms of time to have a dedicated unit working in the center to facilitate upstream and downstream communications</w:t>
            </w:r>
          </w:p>
        </w:tc>
      </w:tr>
      <w:tr w:rsidR="00821D26" w:rsidRPr="00821D26" w14:paraId="5BD048C0" w14:textId="77777777" w:rsidTr="0006573A">
        <w:trPr>
          <w:trHeight w:val="1608"/>
        </w:trPr>
        <w:tc>
          <w:tcPr>
            <w:tcW w:w="946" w:type="pct"/>
          </w:tcPr>
          <w:p w14:paraId="1DA79E93" w14:textId="77777777" w:rsidR="00821D26" w:rsidRPr="00821D26" w:rsidRDefault="00821D26" w:rsidP="00821D26">
            <w:pPr>
              <w:spacing w:after="0" w:line="240" w:lineRule="auto"/>
              <w:rPr>
                <w:b/>
                <w:sz w:val="20"/>
                <w:szCs w:val="20"/>
              </w:rPr>
            </w:pPr>
            <w:r w:rsidRPr="00821D26">
              <w:rPr>
                <w:b/>
                <w:sz w:val="20"/>
                <w:szCs w:val="20"/>
              </w:rPr>
              <w:t>Project Strategy and Design</w:t>
            </w:r>
          </w:p>
        </w:tc>
        <w:tc>
          <w:tcPr>
            <w:tcW w:w="1114" w:type="pct"/>
          </w:tcPr>
          <w:p w14:paraId="427B3196" w14:textId="77777777" w:rsidR="00821D26" w:rsidRPr="00821D26" w:rsidRDefault="00821D26" w:rsidP="00821D26">
            <w:pPr>
              <w:spacing w:after="0" w:line="240" w:lineRule="auto"/>
              <w:rPr>
                <w:sz w:val="20"/>
                <w:szCs w:val="20"/>
              </w:rPr>
            </w:pPr>
            <w:r w:rsidRPr="00821D26">
              <w:rPr>
                <w:sz w:val="20"/>
                <w:szCs w:val="20"/>
              </w:rPr>
              <w:t>(4) The creation of the secretariat was an effective space for integration, strategy and upstream-downstream communication and guidance</w:t>
            </w:r>
          </w:p>
        </w:tc>
        <w:tc>
          <w:tcPr>
            <w:tcW w:w="980" w:type="pct"/>
          </w:tcPr>
          <w:p w14:paraId="0B2A2C93" w14:textId="77777777" w:rsidR="00821D26" w:rsidRPr="00821D26" w:rsidRDefault="00821D26" w:rsidP="00821D26">
            <w:pPr>
              <w:spacing w:after="0" w:line="240" w:lineRule="auto"/>
              <w:rPr>
                <w:sz w:val="20"/>
                <w:szCs w:val="20"/>
              </w:rPr>
            </w:pPr>
            <w:r w:rsidRPr="00821D26">
              <w:rPr>
                <w:sz w:val="20"/>
                <w:szCs w:val="20"/>
              </w:rPr>
              <w:t>(4) The project design creates adequate governance structures to foment integration amongst the partners at the international level.</w:t>
            </w:r>
          </w:p>
        </w:tc>
        <w:tc>
          <w:tcPr>
            <w:tcW w:w="980" w:type="pct"/>
          </w:tcPr>
          <w:p w14:paraId="6BFCB826" w14:textId="77777777" w:rsidR="00821D26" w:rsidRPr="00821D26" w:rsidRDefault="00821D26" w:rsidP="00821D26">
            <w:pPr>
              <w:spacing w:after="0" w:line="240" w:lineRule="auto"/>
              <w:rPr>
                <w:sz w:val="20"/>
                <w:szCs w:val="20"/>
              </w:rPr>
            </w:pPr>
          </w:p>
        </w:tc>
        <w:tc>
          <w:tcPr>
            <w:tcW w:w="980" w:type="pct"/>
          </w:tcPr>
          <w:p w14:paraId="59318536" w14:textId="77777777" w:rsidR="00821D26" w:rsidRPr="00821D26" w:rsidRDefault="00821D26" w:rsidP="00821D26">
            <w:pPr>
              <w:spacing w:after="0" w:line="240" w:lineRule="auto"/>
              <w:rPr>
                <w:sz w:val="20"/>
                <w:szCs w:val="20"/>
              </w:rPr>
            </w:pPr>
          </w:p>
        </w:tc>
      </w:tr>
      <w:tr w:rsidR="00821D26" w:rsidRPr="00821D26" w14:paraId="7EC0A2A4" w14:textId="77777777" w:rsidTr="0006573A">
        <w:trPr>
          <w:trHeight w:val="1608"/>
        </w:trPr>
        <w:tc>
          <w:tcPr>
            <w:tcW w:w="946" w:type="pct"/>
          </w:tcPr>
          <w:p w14:paraId="6083C950" w14:textId="77777777" w:rsidR="00821D26" w:rsidRPr="00821D26" w:rsidRDefault="00821D26" w:rsidP="00821D26">
            <w:pPr>
              <w:spacing w:after="0" w:line="240" w:lineRule="auto"/>
              <w:rPr>
                <w:b/>
                <w:sz w:val="20"/>
                <w:szCs w:val="20"/>
              </w:rPr>
            </w:pPr>
            <w:r w:rsidRPr="00821D26">
              <w:rPr>
                <w:b/>
                <w:sz w:val="20"/>
                <w:szCs w:val="20"/>
              </w:rPr>
              <w:t>Project Strategy and Design</w:t>
            </w:r>
          </w:p>
        </w:tc>
        <w:tc>
          <w:tcPr>
            <w:tcW w:w="1114" w:type="pct"/>
          </w:tcPr>
          <w:p w14:paraId="3ACEDA8E" w14:textId="77777777" w:rsidR="00821D26" w:rsidRPr="00821D26" w:rsidRDefault="00821D26" w:rsidP="00821D26">
            <w:pPr>
              <w:spacing w:after="0" w:line="240" w:lineRule="auto"/>
              <w:rPr>
                <w:sz w:val="20"/>
                <w:szCs w:val="20"/>
              </w:rPr>
            </w:pPr>
            <w:r w:rsidRPr="00821D26">
              <w:rPr>
                <w:sz w:val="20"/>
                <w:szCs w:val="20"/>
              </w:rPr>
              <w:t xml:space="preserve">(5) A dedicated PMU was confirmed by all interviewed as necessary to the operation of the GGP. </w:t>
            </w:r>
            <w:bookmarkStart w:id="156" w:name="_Hlk90199702"/>
            <w:r w:rsidRPr="00821D26">
              <w:rPr>
                <w:sz w:val="20"/>
                <w:szCs w:val="20"/>
              </w:rPr>
              <w:t xml:space="preserve">The PMU staff split their time between A&amp;L (30) and Production (70). </w:t>
            </w:r>
            <w:bookmarkEnd w:id="156"/>
          </w:p>
        </w:tc>
        <w:tc>
          <w:tcPr>
            <w:tcW w:w="980" w:type="pct"/>
          </w:tcPr>
          <w:p w14:paraId="2CA340EB" w14:textId="77777777" w:rsidR="00821D26" w:rsidRPr="00821D26" w:rsidRDefault="00821D26" w:rsidP="00821D26">
            <w:pPr>
              <w:spacing w:after="0" w:line="240" w:lineRule="auto"/>
              <w:rPr>
                <w:sz w:val="20"/>
                <w:szCs w:val="20"/>
              </w:rPr>
            </w:pPr>
            <w:r w:rsidRPr="00821D26">
              <w:rPr>
                <w:sz w:val="20"/>
                <w:szCs w:val="20"/>
              </w:rPr>
              <w:t>(5) The management structure defined at the formulation stage is adequate in terms of role, but inadequate in scope and financing.</w:t>
            </w:r>
          </w:p>
        </w:tc>
        <w:tc>
          <w:tcPr>
            <w:tcW w:w="980" w:type="pct"/>
          </w:tcPr>
          <w:p w14:paraId="0DFE4E37" w14:textId="0E015087" w:rsidR="00821D26" w:rsidRPr="00821D26" w:rsidRDefault="00821D26" w:rsidP="00821D26">
            <w:pPr>
              <w:spacing w:after="0" w:line="240" w:lineRule="auto"/>
              <w:rPr>
                <w:sz w:val="20"/>
                <w:szCs w:val="20"/>
              </w:rPr>
            </w:pPr>
            <w:r w:rsidRPr="00821D26">
              <w:rPr>
                <w:sz w:val="20"/>
                <w:szCs w:val="20"/>
              </w:rPr>
              <w:t xml:space="preserve">(3) A Dedicated full-time PMU specifically for A&amp;L would have been ideal. Only </w:t>
            </w:r>
            <w:r w:rsidR="00797C0F">
              <w:rPr>
                <w:sz w:val="20"/>
                <w:szCs w:val="20"/>
              </w:rPr>
              <w:t xml:space="preserve">a </w:t>
            </w:r>
            <w:r w:rsidRPr="00821D26">
              <w:rPr>
                <w:sz w:val="20"/>
                <w:szCs w:val="20"/>
              </w:rPr>
              <w:t xml:space="preserve">30% effort for A&amp;L is insufficient. A staff person in each country with M&amp;E or analytical experience and </w:t>
            </w:r>
            <w:r w:rsidRPr="00821D26">
              <w:rPr>
                <w:sz w:val="20"/>
                <w:szCs w:val="20"/>
              </w:rPr>
              <w:lastRenderedPageBreak/>
              <w:t xml:space="preserve">responsibilities would be optimal. </w:t>
            </w:r>
          </w:p>
        </w:tc>
        <w:tc>
          <w:tcPr>
            <w:tcW w:w="980" w:type="pct"/>
          </w:tcPr>
          <w:p w14:paraId="700B5B76" w14:textId="77777777" w:rsidR="00821D26" w:rsidRPr="00821D26" w:rsidRDefault="00821D26" w:rsidP="00821D26">
            <w:pPr>
              <w:spacing w:after="0" w:line="240" w:lineRule="auto"/>
              <w:rPr>
                <w:sz w:val="20"/>
                <w:szCs w:val="20"/>
              </w:rPr>
            </w:pPr>
            <w:r w:rsidRPr="00821D26">
              <w:rPr>
                <w:sz w:val="20"/>
                <w:szCs w:val="20"/>
              </w:rPr>
              <w:lastRenderedPageBreak/>
              <w:t xml:space="preserve">(2) Key functions like M&amp;E and Knowledge Management at the program-level must be considered in each child project to avoid underfunding. </w:t>
            </w:r>
          </w:p>
        </w:tc>
      </w:tr>
      <w:tr w:rsidR="00821D26" w:rsidRPr="00821D26" w14:paraId="793760D0" w14:textId="77777777" w:rsidTr="0006573A">
        <w:tc>
          <w:tcPr>
            <w:tcW w:w="946" w:type="pct"/>
          </w:tcPr>
          <w:p w14:paraId="3F2C799F" w14:textId="77777777" w:rsidR="00821D26" w:rsidRPr="00821D26" w:rsidRDefault="00821D26" w:rsidP="00821D26">
            <w:pPr>
              <w:spacing w:after="0" w:line="240" w:lineRule="auto"/>
              <w:rPr>
                <w:b/>
                <w:sz w:val="20"/>
                <w:szCs w:val="20"/>
              </w:rPr>
            </w:pPr>
            <w:r w:rsidRPr="00821D26">
              <w:rPr>
                <w:b/>
                <w:sz w:val="20"/>
                <w:szCs w:val="20"/>
              </w:rPr>
              <w:t>Project Design and Strategy</w:t>
            </w:r>
          </w:p>
        </w:tc>
        <w:tc>
          <w:tcPr>
            <w:tcW w:w="1114" w:type="pct"/>
          </w:tcPr>
          <w:p w14:paraId="28428EF9" w14:textId="77777777" w:rsidR="00821D26" w:rsidRPr="00821D26" w:rsidRDefault="00821D26" w:rsidP="00821D26">
            <w:pPr>
              <w:spacing w:after="0" w:line="240" w:lineRule="auto"/>
              <w:rPr>
                <w:sz w:val="20"/>
                <w:szCs w:val="20"/>
              </w:rPr>
            </w:pPr>
            <w:r w:rsidRPr="00821D26">
              <w:rPr>
                <w:sz w:val="20"/>
                <w:szCs w:val="20"/>
              </w:rPr>
              <w:t xml:space="preserve">(6) The child projects were designed using a linear approach instead of a systems approach. These were not wired for connectivity or flexible to redesign outcomes throughout the process. </w:t>
            </w:r>
          </w:p>
        </w:tc>
        <w:tc>
          <w:tcPr>
            <w:tcW w:w="980" w:type="pct"/>
          </w:tcPr>
          <w:p w14:paraId="1C73A181" w14:textId="77777777" w:rsidR="00821D26" w:rsidRPr="00821D26" w:rsidRDefault="00821D26" w:rsidP="00821D26">
            <w:pPr>
              <w:spacing w:after="0" w:line="240" w:lineRule="auto"/>
              <w:rPr>
                <w:sz w:val="20"/>
                <w:szCs w:val="20"/>
              </w:rPr>
            </w:pPr>
            <w:r w:rsidRPr="00821D26">
              <w:rPr>
                <w:sz w:val="20"/>
                <w:szCs w:val="20"/>
              </w:rPr>
              <w:t xml:space="preserve">(6) The design of the child projects did not facilitate the success of the A&amp;L project. Managers in each of the child projects had no common objectives for investing time and resources in program-level M&amp;E, transfer of information, or knowledge management. </w:t>
            </w:r>
          </w:p>
          <w:p w14:paraId="1B078A70" w14:textId="77777777" w:rsidR="00821D26" w:rsidRPr="00821D26" w:rsidRDefault="00821D26" w:rsidP="00821D26">
            <w:pPr>
              <w:spacing w:after="0" w:line="240" w:lineRule="auto"/>
              <w:rPr>
                <w:sz w:val="20"/>
                <w:szCs w:val="20"/>
              </w:rPr>
            </w:pPr>
          </w:p>
          <w:p w14:paraId="0B56A37D" w14:textId="77777777" w:rsidR="00821D26" w:rsidRPr="00821D26" w:rsidRDefault="00821D26" w:rsidP="00821D26">
            <w:pPr>
              <w:spacing w:after="0" w:line="240" w:lineRule="auto"/>
              <w:rPr>
                <w:sz w:val="20"/>
                <w:szCs w:val="20"/>
              </w:rPr>
            </w:pPr>
            <w:r w:rsidRPr="00821D26">
              <w:rPr>
                <w:sz w:val="20"/>
                <w:szCs w:val="20"/>
              </w:rPr>
              <w:t xml:space="preserve">(7) The PMU did a good job promoting systems thinking but the structure was already hardened into place. </w:t>
            </w:r>
          </w:p>
        </w:tc>
        <w:tc>
          <w:tcPr>
            <w:tcW w:w="980" w:type="pct"/>
          </w:tcPr>
          <w:p w14:paraId="15CA99C0" w14:textId="77777777" w:rsidR="00821D26" w:rsidRPr="00821D26" w:rsidRDefault="00821D26" w:rsidP="00821D26">
            <w:pPr>
              <w:spacing w:after="0" w:line="240" w:lineRule="auto"/>
              <w:rPr>
                <w:sz w:val="20"/>
                <w:szCs w:val="20"/>
              </w:rPr>
            </w:pPr>
            <w:r w:rsidRPr="00821D26">
              <w:rPr>
                <w:sz w:val="20"/>
                <w:szCs w:val="20"/>
              </w:rPr>
              <w:t>(4) The differences between approaches amongst partner organizations can be a problem, but they are really are opportunities to test different strategies. A program-level evaluation of the IAP might want to examine the effectiveness of different strategies.</w:t>
            </w:r>
          </w:p>
        </w:tc>
        <w:tc>
          <w:tcPr>
            <w:tcW w:w="980" w:type="pct"/>
          </w:tcPr>
          <w:p w14:paraId="18791C17" w14:textId="77777777" w:rsidR="00821D26" w:rsidRPr="00821D26" w:rsidRDefault="00821D26" w:rsidP="00821D26">
            <w:pPr>
              <w:spacing w:after="0" w:line="240" w:lineRule="auto"/>
              <w:rPr>
                <w:sz w:val="20"/>
                <w:szCs w:val="20"/>
              </w:rPr>
            </w:pPr>
            <w:r w:rsidRPr="00821D26">
              <w:rPr>
                <w:sz w:val="20"/>
                <w:szCs w:val="20"/>
              </w:rPr>
              <w:t xml:space="preserve">(3) Differences in approaches among NGOs may actually reflect the best opportunity for development in a given country or sub-region or under changing priorities. The approach of a partner organization is a reflection of their organic values and strategies. </w:t>
            </w:r>
          </w:p>
        </w:tc>
      </w:tr>
      <w:tr w:rsidR="00821D26" w:rsidRPr="00821D26" w14:paraId="69DAC39E" w14:textId="77777777" w:rsidTr="0006573A">
        <w:tc>
          <w:tcPr>
            <w:tcW w:w="946" w:type="pct"/>
          </w:tcPr>
          <w:p w14:paraId="5C8A102F" w14:textId="77777777" w:rsidR="00821D26" w:rsidRPr="00821D26" w:rsidRDefault="00821D26" w:rsidP="00821D26">
            <w:pPr>
              <w:spacing w:after="0" w:line="240" w:lineRule="auto"/>
              <w:rPr>
                <w:b/>
                <w:sz w:val="20"/>
                <w:szCs w:val="20"/>
              </w:rPr>
            </w:pPr>
            <w:r w:rsidRPr="00821D26">
              <w:rPr>
                <w:b/>
                <w:sz w:val="20"/>
                <w:szCs w:val="20"/>
              </w:rPr>
              <w:t>Project Design and Strategy</w:t>
            </w:r>
          </w:p>
        </w:tc>
        <w:tc>
          <w:tcPr>
            <w:tcW w:w="1114" w:type="pct"/>
          </w:tcPr>
          <w:p w14:paraId="379BC865" w14:textId="77777777" w:rsidR="00821D26" w:rsidRPr="00821D26" w:rsidRDefault="00821D26" w:rsidP="00821D26">
            <w:pPr>
              <w:spacing w:after="0" w:line="240" w:lineRule="auto"/>
              <w:rPr>
                <w:sz w:val="20"/>
                <w:szCs w:val="20"/>
              </w:rPr>
            </w:pPr>
            <w:r w:rsidRPr="00821D26">
              <w:rPr>
                <w:sz w:val="20"/>
                <w:szCs w:val="20"/>
              </w:rPr>
              <w:t xml:space="preserve">(7) Child projects did not have financing for program-level coordination, M&amp;E or knowledge management. A&amp;L did not have funding for significant national-level participation or </w:t>
            </w:r>
          </w:p>
        </w:tc>
        <w:tc>
          <w:tcPr>
            <w:tcW w:w="980" w:type="pct"/>
          </w:tcPr>
          <w:p w14:paraId="6E63A50D" w14:textId="77777777" w:rsidR="00821D26" w:rsidRPr="00821D26" w:rsidRDefault="00821D26" w:rsidP="00821D26">
            <w:pPr>
              <w:spacing w:after="0" w:line="240" w:lineRule="auto"/>
              <w:rPr>
                <w:sz w:val="20"/>
                <w:szCs w:val="20"/>
              </w:rPr>
            </w:pPr>
            <w:r w:rsidRPr="00821D26">
              <w:rPr>
                <w:sz w:val="20"/>
                <w:szCs w:val="20"/>
              </w:rPr>
              <w:t xml:space="preserve">(8) </w:t>
            </w:r>
            <w:bookmarkStart w:id="157" w:name="_Hlk90214498"/>
            <w:r w:rsidRPr="00821D26">
              <w:rPr>
                <w:sz w:val="20"/>
                <w:szCs w:val="20"/>
              </w:rPr>
              <w:t xml:space="preserve">The project was underfunded restricting the development of Monitoring and knowledge management outputs across the GGP. </w:t>
            </w:r>
            <w:bookmarkEnd w:id="157"/>
          </w:p>
        </w:tc>
        <w:tc>
          <w:tcPr>
            <w:tcW w:w="980" w:type="pct"/>
          </w:tcPr>
          <w:p w14:paraId="7FBFE62B" w14:textId="77777777" w:rsidR="00821D26" w:rsidRPr="00821D26" w:rsidRDefault="00821D26" w:rsidP="00821D26">
            <w:pPr>
              <w:spacing w:after="0" w:line="240" w:lineRule="auto"/>
              <w:rPr>
                <w:sz w:val="20"/>
                <w:szCs w:val="20"/>
              </w:rPr>
            </w:pPr>
            <w:bookmarkStart w:id="158" w:name="_Hlk90224600"/>
            <w:r w:rsidRPr="00821D26">
              <w:rPr>
                <w:sz w:val="20"/>
                <w:szCs w:val="20"/>
              </w:rPr>
              <w:t>(5) For future programs, build the Central coordination, M&amp;E and KM components into the design of the child projects. Have a dedicated Program-level coordinator for each child project and an adequate budget at the Program-level to facilitate the management components in each country.</w:t>
            </w:r>
            <w:bookmarkEnd w:id="158"/>
          </w:p>
        </w:tc>
        <w:tc>
          <w:tcPr>
            <w:tcW w:w="980" w:type="pct"/>
          </w:tcPr>
          <w:p w14:paraId="7FEE08F6" w14:textId="77777777" w:rsidR="00821D26" w:rsidRPr="00821D26" w:rsidRDefault="00821D26" w:rsidP="00821D26">
            <w:pPr>
              <w:spacing w:after="0" w:line="240" w:lineRule="auto"/>
              <w:rPr>
                <w:sz w:val="20"/>
                <w:szCs w:val="20"/>
              </w:rPr>
            </w:pPr>
            <w:r w:rsidRPr="00821D26">
              <w:rPr>
                <w:sz w:val="20"/>
                <w:szCs w:val="20"/>
              </w:rPr>
              <w:t>(4) In programme design, the hub should be build first with upstream and downstream Coordination, M&amp;e, and KM components visualized before the design of the child projects.  This provides integration of all components into the design of child projects.</w:t>
            </w:r>
          </w:p>
        </w:tc>
      </w:tr>
      <w:tr w:rsidR="00821D26" w:rsidRPr="00821D26" w14:paraId="07DBB266" w14:textId="77777777" w:rsidTr="0006573A">
        <w:tc>
          <w:tcPr>
            <w:tcW w:w="946" w:type="pct"/>
          </w:tcPr>
          <w:p w14:paraId="088F8727" w14:textId="77777777" w:rsidR="00821D26" w:rsidRPr="00821D26" w:rsidRDefault="00821D26" w:rsidP="00821D26">
            <w:pPr>
              <w:spacing w:after="0" w:line="240" w:lineRule="auto"/>
              <w:rPr>
                <w:b/>
                <w:sz w:val="20"/>
                <w:szCs w:val="20"/>
              </w:rPr>
            </w:pPr>
            <w:r w:rsidRPr="00821D26">
              <w:rPr>
                <w:b/>
                <w:sz w:val="20"/>
                <w:szCs w:val="20"/>
              </w:rPr>
              <w:t>Project Design and Strategy</w:t>
            </w:r>
          </w:p>
        </w:tc>
        <w:tc>
          <w:tcPr>
            <w:tcW w:w="1114" w:type="pct"/>
          </w:tcPr>
          <w:p w14:paraId="05409539" w14:textId="77777777" w:rsidR="00821D26" w:rsidRPr="00821D26" w:rsidRDefault="00821D26" w:rsidP="00821D26">
            <w:pPr>
              <w:spacing w:after="0" w:line="240" w:lineRule="auto"/>
              <w:rPr>
                <w:sz w:val="20"/>
                <w:szCs w:val="20"/>
              </w:rPr>
            </w:pPr>
            <w:r w:rsidRPr="00821D26">
              <w:rPr>
                <w:sz w:val="20"/>
                <w:szCs w:val="20"/>
              </w:rPr>
              <w:t xml:space="preserve">(8) Often the Child projects staff perceived the extra time needed for M&amp;E and knowledge products as a burden or outside </w:t>
            </w:r>
            <w:r w:rsidRPr="00821D26">
              <w:rPr>
                <w:sz w:val="20"/>
                <w:szCs w:val="20"/>
              </w:rPr>
              <w:lastRenderedPageBreak/>
              <w:t>of their scope of work. Related to point 7</w:t>
            </w:r>
          </w:p>
        </w:tc>
        <w:tc>
          <w:tcPr>
            <w:tcW w:w="980" w:type="pct"/>
          </w:tcPr>
          <w:p w14:paraId="19A96C13" w14:textId="77777777" w:rsidR="00821D26" w:rsidRPr="00821D26" w:rsidRDefault="00821D26" w:rsidP="00821D26">
            <w:pPr>
              <w:spacing w:after="0" w:line="240" w:lineRule="auto"/>
              <w:rPr>
                <w:sz w:val="20"/>
                <w:szCs w:val="20"/>
              </w:rPr>
            </w:pPr>
            <w:r w:rsidRPr="00821D26">
              <w:rPr>
                <w:sz w:val="20"/>
                <w:szCs w:val="20"/>
              </w:rPr>
              <w:lastRenderedPageBreak/>
              <w:t>This is probably a consequence of the previous finding.</w:t>
            </w:r>
          </w:p>
        </w:tc>
        <w:tc>
          <w:tcPr>
            <w:tcW w:w="980" w:type="pct"/>
          </w:tcPr>
          <w:p w14:paraId="13A3C981" w14:textId="77777777" w:rsidR="00821D26" w:rsidRPr="00821D26" w:rsidRDefault="00821D26" w:rsidP="00821D26">
            <w:pPr>
              <w:spacing w:after="0" w:line="240" w:lineRule="auto"/>
              <w:rPr>
                <w:sz w:val="20"/>
                <w:szCs w:val="20"/>
              </w:rPr>
            </w:pPr>
            <w:r w:rsidRPr="00821D26">
              <w:rPr>
                <w:sz w:val="20"/>
                <w:szCs w:val="20"/>
              </w:rPr>
              <w:t>(6) Take integration into account when building the TORs for the Programme and Child Projects</w:t>
            </w:r>
          </w:p>
        </w:tc>
        <w:tc>
          <w:tcPr>
            <w:tcW w:w="980" w:type="pct"/>
          </w:tcPr>
          <w:p w14:paraId="0D7620F9" w14:textId="77777777" w:rsidR="00821D26" w:rsidRPr="00821D26" w:rsidRDefault="00821D26" w:rsidP="00821D26">
            <w:pPr>
              <w:spacing w:after="0" w:line="240" w:lineRule="auto"/>
              <w:rPr>
                <w:sz w:val="20"/>
                <w:szCs w:val="20"/>
              </w:rPr>
            </w:pPr>
            <w:r w:rsidRPr="00821D26">
              <w:rPr>
                <w:sz w:val="20"/>
                <w:szCs w:val="20"/>
              </w:rPr>
              <w:t>(5) Integration should be planned from the design phase and reflected in the TORs and all systems.</w:t>
            </w:r>
          </w:p>
        </w:tc>
      </w:tr>
      <w:tr w:rsidR="00821D26" w:rsidRPr="00821D26" w14:paraId="4F481865" w14:textId="77777777" w:rsidTr="0006573A">
        <w:tc>
          <w:tcPr>
            <w:tcW w:w="946" w:type="pct"/>
          </w:tcPr>
          <w:p w14:paraId="1257A08A" w14:textId="77777777" w:rsidR="00821D26" w:rsidRPr="00821D26" w:rsidRDefault="00821D26" w:rsidP="00821D26">
            <w:pPr>
              <w:spacing w:after="0" w:line="240" w:lineRule="auto"/>
              <w:rPr>
                <w:b/>
                <w:sz w:val="20"/>
                <w:szCs w:val="20"/>
              </w:rPr>
            </w:pPr>
            <w:r w:rsidRPr="00821D26">
              <w:rPr>
                <w:b/>
                <w:sz w:val="20"/>
                <w:szCs w:val="20"/>
              </w:rPr>
              <w:t xml:space="preserve">Project Design and Strategy </w:t>
            </w:r>
          </w:p>
        </w:tc>
        <w:tc>
          <w:tcPr>
            <w:tcW w:w="1114" w:type="pct"/>
          </w:tcPr>
          <w:p w14:paraId="46B68B6D" w14:textId="77777777" w:rsidR="00821D26" w:rsidRPr="00821D26" w:rsidRDefault="00821D26" w:rsidP="00821D26">
            <w:pPr>
              <w:spacing w:after="0" w:line="240" w:lineRule="auto"/>
              <w:rPr>
                <w:sz w:val="20"/>
                <w:szCs w:val="20"/>
              </w:rPr>
            </w:pPr>
            <w:r w:rsidRPr="00821D26">
              <w:rPr>
                <w:sz w:val="20"/>
                <w:szCs w:val="20"/>
              </w:rPr>
              <w:t>(9) The response mechanism to the MTR did an admirable job in trying to respond and improve participation and integration. The increase in the number of calls related to GGP coordination for country teams was not well received and securing their participation in GGP Secretariat meetings was challenging. When these were modified to quarterly Secretariat country specific calls for country teams, the utility increased greatly and was described by those interviewed as very positive and beneficial, as also playing a role of supporting GGP integration at the country level</w:t>
            </w:r>
          </w:p>
        </w:tc>
        <w:tc>
          <w:tcPr>
            <w:tcW w:w="980" w:type="pct"/>
          </w:tcPr>
          <w:p w14:paraId="640F9E66" w14:textId="77777777" w:rsidR="00821D26" w:rsidRPr="00821D26" w:rsidRDefault="00821D26" w:rsidP="00821D26">
            <w:pPr>
              <w:spacing w:after="0" w:line="240" w:lineRule="auto"/>
              <w:rPr>
                <w:sz w:val="20"/>
                <w:szCs w:val="20"/>
              </w:rPr>
            </w:pPr>
            <w:r w:rsidRPr="00821D26">
              <w:rPr>
                <w:sz w:val="20"/>
                <w:szCs w:val="20"/>
              </w:rPr>
              <w:t>(9) The response mechanism to the MTR was effective in improve integration with new procedures and learning tools.  More interest was generated as the calls shifted to Country specific calls</w:t>
            </w:r>
          </w:p>
        </w:tc>
        <w:tc>
          <w:tcPr>
            <w:tcW w:w="980" w:type="pct"/>
          </w:tcPr>
          <w:p w14:paraId="463CAC09" w14:textId="77777777" w:rsidR="00821D26" w:rsidRPr="00821D26" w:rsidRDefault="00821D26" w:rsidP="00821D26">
            <w:pPr>
              <w:spacing w:after="0" w:line="240" w:lineRule="auto"/>
              <w:rPr>
                <w:sz w:val="20"/>
                <w:szCs w:val="20"/>
              </w:rPr>
            </w:pPr>
          </w:p>
        </w:tc>
        <w:tc>
          <w:tcPr>
            <w:tcW w:w="980" w:type="pct"/>
          </w:tcPr>
          <w:p w14:paraId="20A0AE36" w14:textId="77777777" w:rsidR="00821D26" w:rsidRPr="00821D26" w:rsidRDefault="00821D26" w:rsidP="00821D26">
            <w:pPr>
              <w:spacing w:after="0" w:line="240" w:lineRule="auto"/>
              <w:rPr>
                <w:sz w:val="20"/>
                <w:szCs w:val="20"/>
              </w:rPr>
            </w:pPr>
          </w:p>
        </w:tc>
      </w:tr>
      <w:tr w:rsidR="00821D26" w:rsidRPr="00821D26" w14:paraId="10B27D85" w14:textId="77777777" w:rsidTr="0006573A">
        <w:tc>
          <w:tcPr>
            <w:tcW w:w="946" w:type="pct"/>
          </w:tcPr>
          <w:p w14:paraId="1BDCBF2C" w14:textId="77777777" w:rsidR="00821D26" w:rsidRPr="00821D26" w:rsidRDefault="00821D26" w:rsidP="00821D26">
            <w:pPr>
              <w:spacing w:after="0" w:line="240" w:lineRule="auto"/>
              <w:rPr>
                <w:b/>
                <w:sz w:val="20"/>
                <w:szCs w:val="20"/>
              </w:rPr>
            </w:pPr>
            <w:r w:rsidRPr="00821D26">
              <w:rPr>
                <w:b/>
                <w:sz w:val="20"/>
                <w:szCs w:val="20"/>
              </w:rPr>
              <w:t>Project Design and Strategy</w:t>
            </w:r>
          </w:p>
        </w:tc>
        <w:tc>
          <w:tcPr>
            <w:tcW w:w="1114" w:type="pct"/>
          </w:tcPr>
          <w:p w14:paraId="7E9EC4B6" w14:textId="77777777" w:rsidR="00821D26" w:rsidRPr="00821D26" w:rsidRDefault="00821D26" w:rsidP="00821D26">
            <w:pPr>
              <w:spacing w:after="0" w:line="240" w:lineRule="auto"/>
              <w:rPr>
                <w:sz w:val="20"/>
                <w:szCs w:val="20"/>
              </w:rPr>
            </w:pPr>
            <w:r w:rsidRPr="00821D26">
              <w:rPr>
                <w:sz w:val="20"/>
                <w:szCs w:val="20"/>
              </w:rPr>
              <w:t xml:space="preserve">(10) All interviewed agreed that the suite of components and outcomes for the A&amp;L project were correct for expected outcomes of this project. </w:t>
            </w:r>
          </w:p>
        </w:tc>
        <w:tc>
          <w:tcPr>
            <w:tcW w:w="980" w:type="pct"/>
          </w:tcPr>
          <w:p w14:paraId="2BED7021" w14:textId="77777777" w:rsidR="00821D26" w:rsidRPr="00821D26" w:rsidRDefault="00821D26" w:rsidP="00821D26">
            <w:pPr>
              <w:spacing w:after="0" w:line="240" w:lineRule="auto"/>
              <w:rPr>
                <w:sz w:val="20"/>
                <w:szCs w:val="20"/>
              </w:rPr>
            </w:pPr>
            <w:r w:rsidRPr="00821D26">
              <w:rPr>
                <w:sz w:val="20"/>
                <w:szCs w:val="20"/>
              </w:rPr>
              <w:t xml:space="preserve">(10) A review of the components, outcomes and outputs demonstrates acceptable internal logic and sufficient activities to achieve the outcomes. </w:t>
            </w:r>
          </w:p>
        </w:tc>
        <w:tc>
          <w:tcPr>
            <w:tcW w:w="980" w:type="pct"/>
          </w:tcPr>
          <w:p w14:paraId="4EF37F20" w14:textId="77777777" w:rsidR="00821D26" w:rsidRPr="00821D26" w:rsidRDefault="00821D26" w:rsidP="00821D26">
            <w:pPr>
              <w:spacing w:after="0" w:line="240" w:lineRule="auto"/>
              <w:rPr>
                <w:sz w:val="20"/>
                <w:szCs w:val="20"/>
              </w:rPr>
            </w:pPr>
          </w:p>
        </w:tc>
        <w:tc>
          <w:tcPr>
            <w:tcW w:w="980" w:type="pct"/>
          </w:tcPr>
          <w:p w14:paraId="6E60BFFF" w14:textId="77777777" w:rsidR="00821D26" w:rsidRPr="00821D26" w:rsidRDefault="00821D26" w:rsidP="00821D26">
            <w:pPr>
              <w:spacing w:after="0" w:line="240" w:lineRule="auto"/>
              <w:rPr>
                <w:sz w:val="20"/>
                <w:szCs w:val="20"/>
              </w:rPr>
            </w:pPr>
          </w:p>
        </w:tc>
      </w:tr>
      <w:tr w:rsidR="00821D26" w:rsidRPr="00821D26" w14:paraId="7D6F2159" w14:textId="77777777" w:rsidTr="0006573A">
        <w:tc>
          <w:tcPr>
            <w:tcW w:w="946" w:type="pct"/>
          </w:tcPr>
          <w:p w14:paraId="2A860FBD" w14:textId="77777777" w:rsidR="00821D26" w:rsidRPr="00821D26" w:rsidRDefault="00821D26" w:rsidP="00821D26">
            <w:pPr>
              <w:spacing w:after="0" w:line="240" w:lineRule="auto"/>
              <w:rPr>
                <w:b/>
                <w:sz w:val="20"/>
                <w:szCs w:val="20"/>
              </w:rPr>
            </w:pPr>
            <w:r w:rsidRPr="00821D26">
              <w:rPr>
                <w:b/>
                <w:sz w:val="20"/>
                <w:szCs w:val="20"/>
              </w:rPr>
              <w:t>Project Design and Strategy</w:t>
            </w:r>
          </w:p>
        </w:tc>
        <w:tc>
          <w:tcPr>
            <w:tcW w:w="1114" w:type="pct"/>
          </w:tcPr>
          <w:p w14:paraId="741696E1" w14:textId="77777777" w:rsidR="00821D26" w:rsidRPr="00821D26" w:rsidRDefault="00821D26" w:rsidP="00821D26">
            <w:pPr>
              <w:spacing w:after="0" w:line="240" w:lineRule="auto"/>
              <w:rPr>
                <w:sz w:val="20"/>
                <w:szCs w:val="20"/>
              </w:rPr>
            </w:pPr>
            <w:r w:rsidRPr="00821D26">
              <w:rPr>
                <w:sz w:val="20"/>
                <w:szCs w:val="20"/>
              </w:rPr>
              <w:t>(11) All those interviewed agreed that there was not enough time for tangible actions for trust-building or resources for increased resources for field presence and promotion, communications and M&amp;E, and knowledge management.</w:t>
            </w:r>
          </w:p>
        </w:tc>
        <w:tc>
          <w:tcPr>
            <w:tcW w:w="980" w:type="pct"/>
          </w:tcPr>
          <w:p w14:paraId="21A7320C" w14:textId="77777777" w:rsidR="00821D26" w:rsidRPr="00821D26" w:rsidRDefault="00821D26" w:rsidP="00821D26">
            <w:pPr>
              <w:spacing w:after="0" w:line="240" w:lineRule="auto"/>
              <w:rPr>
                <w:sz w:val="20"/>
                <w:szCs w:val="20"/>
              </w:rPr>
            </w:pPr>
            <w:r w:rsidRPr="00821D26">
              <w:rPr>
                <w:sz w:val="20"/>
                <w:szCs w:val="20"/>
              </w:rPr>
              <w:t>(11) the Program and project timelines are too short and underbudgeted.</w:t>
            </w:r>
          </w:p>
          <w:p w14:paraId="2637B706" w14:textId="77777777" w:rsidR="00821D26" w:rsidRPr="00821D26" w:rsidRDefault="00821D26" w:rsidP="00821D26">
            <w:pPr>
              <w:spacing w:after="0" w:line="240" w:lineRule="auto"/>
              <w:rPr>
                <w:sz w:val="20"/>
                <w:szCs w:val="20"/>
              </w:rPr>
            </w:pPr>
          </w:p>
          <w:p w14:paraId="427531A7" w14:textId="77777777" w:rsidR="00821D26" w:rsidRPr="00821D26" w:rsidRDefault="00821D26" w:rsidP="00821D26">
            <w:pPr>
              <w:spacing w:after="0" w:line="240" w:lineRule="auto"/>
              <w:rPr>
                <w:sz w:val="20"/>
                <w:szCs w:val="20"/>
              </w:rPr>
            </w:pPr>
          </w:p>
        </w:tc>
        <w:tc>
          <w:tcPr>
            <w:tcW w:w="980" w:type="pct"/>
          </w:tcPr>
          <w:p w14:paraId="24FEB0A8" w14:textId="77777777" w:rsidR="00821D26" w:rsidRPr="00821D26" w:rsidRDefault="00821D26" w:rsidP="00821D26">
            <w:pPr>
              <w:spacing w:after="0" w:line="240" w:lineRule="auto"/>
              <w:rPr>
                <w:sz w:val="20"/>
                <w:szCs w:val="20"/>
              </w:rPr>
            </w:pPr>
            <w:r w:rsidRPr="00821D26">
              <w:rPr>
                <w:sz w:val="20"/>
                <w:szCs w:val="20"/>
              </w:rPr>
              <w:t>(7) Future programmes development should take into account the time for trust-building, sensitizing populations to different ideas, and enough time for knowledge from child projects to be gleaned from demonstrations.</w:t>
            </w:r>
          </w:p>
        </w:tc>
        <w:tc>
          <w:tcPr>
            <w:tcW w:w="980" w:type="pct"/>
          </w:tcPr>
          <w:p w14:paraId="59CBE077" w14:textId="77777777" w:rsidR="00821D26" w:rsidRPr="00821D26" w:rsidRDefault="00821D26" w:rsidP="00821D26">
            <w:pPr>
              <w:spacing w:after="0" w:line="240" w:lineRule="auto"/>
              <w:rPr>
                <w:sz w:val="20"/>
                <w:szCs w:val="20"/>
              </w:rPr>
            </w:pPr>
            <w:bookmarkStart w:id="159" w:name="_Hlk90243185"/>
            <w:r w:rsidRPr="00821D26">
              <w:rPr>
                <w:sz w:val="20"/>
                <w:szCs w:val="20"/>
              </w:rPr>
              <w:t xml:space="preserve">(6) Transitional programs require a minimum of 6 years to develop trust, confidence, run demonstrations (especially in agro) and glean the knowledge and lessons for adaptation. </w:t>
            </w:r>
            <w:bookmarkEnd w:id="159"/>
          </w:p>
        </w:tc>
      </w:tr>
      <w:tr w:rsidR="00821D26" w:rsidRPr="00821D26" w14:paraId="5A7B9A26" w14:textId="77777777" w:rsidTr="0006573A">
        <w:tc>
          <w:tcPr>
            <w:tcW w:w="946" w:type="pct"/>
          </w:tcPr>
          <w:p w14:paraId="2B5F57A8" w14:textId="77777777" w:rsidR="00821D26" w:rsidRPr="00821D26" w:rsidRDefault="00821D26" w:rsidP="00821D26">
            <w:pPr>
              <w:spacing w:after="0" w:line="240" w:lineRule="auto"/>
              <w:rPr>
                <w:b/>
                <w:sz w:val="20"/>
                <w:szCs w:val="20"/>
              </w:rPr>
            </w:pPr>
            <w:r w:rsidRPr="00821D26">
              <w:rPr>
                <w:b/>
                <w:sz w:val="20"/>
                <w:szCs w:val="20"/>
              </w:rPr>
              <w:t>Project Design and Strategy</w:t>
            </w:r>
          </w:p>
        </w:tc>
        <w:tc>
          <w:tcPr>
            <w:tcW w:w="1114" w:type="pct"/>
          </w:tcPr>
          <w:p w14:paraId="03B2997B" w14:textId="77777777" w:rsidR="00821D26" w:rsidRPr="00821D26" w:rsidRDefault="00821D26" w:rsidP="00821D26">
            <w:pPr>
              <w:spacing w:after="0" w:line="240" w:lineRule="auto"/>
              <w:rPr>
                <w:sz w:val="20"/>
                <w:szCs w:val="20"/>
              </w:rPr>
            </w:pPr>
            <w:r w:rsidRPr="00821D26">
              <w:rPr>
                <w:sz w:val="20"/>
                <w:szCs w:val="20"/>
              </w:rPr>
              <w:t xml:space="preserve">(12) Stakeholders were widely consulted during the project design phase. Persons </w:t>
            </w:r>
            <w:r w:rsidRPr="00821D26">
              <w:rPr>
                <w:sz w:val="20"/>
                <w:szCs w:val="20"/>
              </w:rPr>
              <w:lastRenderedPageBreak/>
              <w:t>interviewed during reported that those consulted tended to be technical persons. The political sector was not consulted equally</w:t>
            </w:r>
          </w:p>
        </w:tc>
        <w:tc>
          <w:tcPr>
            <w:tcW w:w="980" w:type="pct"/>
          </w:tcPr>
          <w:p w14:paraId="75B6C82A" w14:textId="77777777" w:rsidR="00821D26" w:rsidRPr="00821D26" w:rsidRDefault="00821D26" w:rsidP="00821D26">
            <w:pPr>
              <w:spacing w:after="0" w:line="240" w:lineRule="auto"/>
              <w:rPr>
                <w:sz w:val="20"/>
                <w:szCs w:val="20"/>
              </w:rPr>
            </w:pPr>
            <w:bookmarkStart w:id="160" w:name="_Hlk90214828"/>
            <w:r w:rsidRPr="00821D26">
              <w:rPr>
                <w:sz w:val="20"/>
                <w:szCs w:val="20"/>
              </w:rPr>
              <w:lastRenderedPageBreak/>
              <w:t xml:space="preserve">(12) Policy aspects did not have the same footprint as technical aspects. </w:t>
            </w:r>
          </w:p>
          <w:bookmarkEnd w:id="160"/>
          <w:p w14:paraId="0029F437" w14:textId="77777777" w:rsidR="00821D26" w:rsidRPr="00821D26" w:rsidRDefault="00821D26" w:rsidP="00821D26">
            <w:pPr>
              <w:spacing w:after="0" w:line="240" w:lineRule="auto"/>
              <w:rPr>
                <w:sz w:val="20"/>
                <w:szCs w:val="20"/>
              </w:rPr>
            </w:pPr>
          </w:p>
          <w:p w14:paraId="648A8652" w14:textId="77777777" w:rsidR="00821D26" w:rsidRPr="00821D26" w:rsidRDefault="00821D26" w:rsidP="00821D26">
            <w:pPr>
              <w:spacing w:after="0" w:line="240" w:lineRule="auto"/>
              <w:rPr>
                <w:sz w:val="20"/>
                <w:szCs w:val="20"/>
              </w:rPr>
            </w:pPr>
            <w:r w:rsidRPr="00821D26">
              <w:rPr>
                <w:sz w:val="20"/>
                <w:szCs w:val="20"/>
              </w:rPr>
              <w:t>There may be a technical bias built into the project design towards technical outputs rather than political outputs. The multi-stakeholder platforms mitigate this problem through a participative process.</w:t>
            </w:r>
          </w:p>
        </w:tc>
        <w:tc>
          <w:tcPr>
            <w:tcW w:w="980" w:type="pct"/>
          </w:tcPr>
          <w:p w14:paraId="314FD54D" w14:textId="77777777" w:rsidR="00821D26" w:rsidRPr="00821D26" w:rsidRDefault="00821D26" w:rsidP="00821D26">
            <w:pPr>
              <w:spacing w:after="0" w:line="240" w:lineRule="auto"/>
              <w:rPr>
                <w:sz w:val="20"/>
                <w:szCs w:val="20"/>
              </w:rPr>
            </w:pPr>
            <w:r w:rsidRPr="00821D26">
              <w:rPr>
                <w:sz w:val="20"/>
                <w:szCs w:val="20"/>
              </w:rPr>
              <w:lastRenderedPageBreak/>
              <w:t xml:space="preserve">(8) Future knowledge products to consider policies and policy effects </w:t>
            </w:r>
            <w:r w:rsidRPr="00821D26">
              <w:rPr>
                <w:sz w:val="20"/>
                <w:szCs w:val="20"/>
              </w:rPr>
              <w:lastRenderedPageBreak/>
              <w:t xml:space="preserve">within the Green Commodities Community or Evidensia.  </w:t>
            </w:r>
          </w:p>
          <w:p w14:paraId="5EB6C735" w14:textId="77777777" w:rsidR="00821D26" w:rsidRPr="00821D26" w:rsidRDefault="00821D26" w:rsidP="00821D26">
            <w:pPr>
              <w:spacing w:after="0" w:line="240" w:lineRule="auto"/>
              <w:rPr>
                <w:sz w:val="20"/>
                <w:szCs w:val="20"/>
              </w:rPr>
            </w:pPr>
          </w:p>
          <w:p w14:paraId="25052D19" w14:textId="77777777" w:rsidR="00821D26" w:rsidRPr="00821D26" w:rsidRDefault="00821D26" w:rsidP="00821D26">
            <w:pPr>
              <w:spacing w:after="0" w:line="240" w:lineRule="auto"/>
              <w:rPr>
                <w:sz w:val="20"/>
                <w:szCs w:val="20"/>
              </w:rPr>
            </w:pPr>
            <w:r w:rsidRPr="00821D26">
              <w:rPr>
                <w:sz w:val="20"/>
                <w:szCs w:val="20"/>
              </w:rPr>
              <w:t>(9) Consider a policy council or a committee where a government representatives can have a periodic dialogue.  If they have a responsibility, they might engage at a higher level.</w:t>
            </w:r>
          </w:p>
        </w:tc>
        <w:tc>
          <w:tcPr>
            <w:tcW w:w="980" w:type="pct"/>
          </w:tcPr>
          <w:p w14:paraId="529FE0B0" w14:textId="77777777" w:rsidR="00821D26" w:rsidRPr="00821D26" w:rsidRDefault="00821D26" w:rsidP="00821D26">
            <w:pPr>
              <w:spacing w:after="0" w:line="240" w:lineRule="auto"/>
              <w:rPr>
                <w:sz w:val="20"/>
                <w:szCs w:val="20"/>
              </w:rPr>
            </w:pPr>
            <w:r w:rsidRPr="00821D26">
              <w:rPr>
                <w:sz w:val="20"/>
                <w:szCs w:val="20"/>
              </w:rPr>
              <w:lastRenderedPageBreak/>
              <w:t xml:space="preserve">(7) Stakeholder engagement requires multistakeholder collaborations –consensus </w:t>
            </w:r>
            <w:r w:rsidRPr="00821D26">
              <w:rPr>
                <w:sz w:val="20"/>
                <w:szCs w:val="20"/>
              </w:rPr>
              <w:lastRenderedPageBreak/>
              <w:t>building and a framework to align and coordinate action.</w:t>
            </w:r>
          </w:p>
        </w:tc>
      </w:tr>
      <w:tr w:rsidR="00821D26" w:rsidRPr="00821D26" w14:paraId="2885DF91" w14:textId="77777777" w:rsidTr="0006573A">
        <w:tc>
          <w:tcPr>
            <w:tcW w:w="946" w:type="pct"/>
          </w:tcPr>
          <w:p w14:paraId="52D59851" w14:textId="77777777" w:rsidR="00821D26" w:rsidRPr="00821D26" w:rsidRDefault="00821D26" w:rsidP="00821D26">
            <w:pPr>
              <w:spacing w:after="0" w:line="240" w:lineRule="auto"/>
              <w:rPr>
                <w:b/>
                <w:sz w:val="20"/>
                <w:szCs w:val="20"/>
              </w:rPr>
            </w:pPr>
            <w:r w:rsidRPr="00821D26">
              <w:rPr>
                <w:b/>
                <w:sz w:val="20"/>
                <w:szCs w:val="20"/>
              </w:rPr>
              <w:lastRenderedPageBreak/>
              <w:t>Project Design and Strategy</w:t>
            </w:r>
          </w:p>
        </w:tc>
        <w:tc>
          <w:tcPr>
            <w:tcW w:w="1114" w:type="pct"/>
          </w:tcPr>
          <w:p w14:paraId="67414692" w14:textId="77777777" w:rsidR="00821D26" w:rsidRPr="00821D26" w:rsidRDefault="00821D26" w:rsidP="00821D26">
            <w:pPr>
              <w:spacing w:after="0" w:line="240" w:lineRule="auto"/>
              <w:rPr>
                <w:sz w:val="20"/>
                <w:szCs w:val="20"/>
              </w:rPr>
            </w:pPr>
            <w:r w:rsidRPr="00821D26">
              <w:rPr>
                <w:sz w:val="20"/>
                <w:szCs w:val="20"/>
              </w:rPr>
              <w:t>(13) At MTR, The balance of indicators was highlighted. Of the suite of indicators, all were structure indicators with the exception of two process indicators: Objective indicator 2 (Level of engagement) and Outcome 3.2. (Percentage of participants). In the response, there was no adjustment of the indicators to include more process or balanced with Outcome and Impact indicators.</w:t>
            </w:r>
          </w:p>
        </w:tc>
        <w:tc>
          <w:tcPr>
            <w:tcW w:w="980" w:type="pct"/>
          </w:tcPr>
          <w:p w14:paraId="4E3D4580" w14:textId="77777777" w:rsidR="00821D26" w:rsidRPr="00821D26" w:rsidRDefault="00821D26" w:rsidP="00821D26">
            <w:pPr>
              <w:spacing w:after="0" w:line="240" w:lineRule="auto"/>
              <w:rPr>
                <w:sz w:val="20"/>
                <w:szCs w:val="20"/>
              </w:rPr>
            </w:pPr>
            <w:r w:rsidRPr="00821D26">
              <w:rPr>
                <w:sz w:val="20"/>
                <w:szCs w:val="20"/>
              </w:rPr>
              <w:t>(13) The indicators are generally smart</w:t>
            </w:r>
          </w:p>
          <w:p w14:paraId="1FA02003" w14:textId="77777777" w:rsidR="00821D26" w:rsidRPr="00821D26" w:rsidRDefault="00821D26" w:rsidP="00821D26">
            <w:pPr>
              <w:spacing w:after="0" w:line="240" w:lineRule="auto"/>
              <w:rPr>
                <w:sz w:val="20"/>
                <w:szCs w:val="20"/>
              </w:rPr>
            </w:pPr>
          </w:p>
          <w:p w14:paraId="5CF8C4C4" w14:textId="77777777" w:rsidR="00821D26" w:rsidRPr="00821D26" w:rsidRDefault="00821D26" w:rsidP="00821D26">
            <w:pPr>
              <w:spacing w:after="0" w:line="240" w:lineRule="auto"/>
              <w:rPr>
                <w:sz w:val="20"/>
                <w:szCs w:val="20"/>
              </w:rPr>
            </w:pPr>
            <w:r w:rsidRPr="00821D26">
              <w:rPr>
                <w:sz w:val="20"/>
                <w:szCs w:val="20"/>
              </w:rPr>
              <w:t xml:space="preserve">As a pilot program, the project missed an important opportunity to generate an understanding of the performance of the outcomes. </w:t>
            </w:r>
          </w:p>
        </w:tc>
        <w:tc>
          <w:tcPr>
            <w:tcW w:w="980" w:type="pct"/>
          </w:tcPr>
          <w:p w14:paraId="4EA17D73" w14:textId="77777777" w:rsidR="00821D26" w:rsidRPr="00821D26" w:rsidRDefault="00821D26" w:rsidP="00821D26">
            <w:pPr>
              <w:spacing w:after="0" w:line="240" w:lineRule="auto"/>
              <w:rPr>
                <w:sz w:val="20"/>
                <w:szCs w:val="20"/>
              </w:rPr>
            </w:pPr>
            <w:r w:rsidRPr="00821D26">
              <w:rPr>
                <w:sz w:val="20"/>
                <w:szCs w:val="20"/>
              </w:rPr>
              <w:t xml:space="preserve">(10) For a pilot program, a variety of process, structure, status and impact indicators is important for Pilot initiatives to generate lessons learned and orient future follow-on initiatives. </w:t>
            </w:r>
          </w:p>
        </w:tc>
        <w:tc>
          <w:tcPr>
            <w:tcW w:w="980" w:type="pct"/>
          </w:tcPr>
          <w:p w14:paraId="24569459" w14:textId="77777777" w:rsidR="00821D26" w:rsidRPr="00821D26" w:rsidRDefault="00821D26" w:rsidP="00821D26">
            <w:pPr>
              <w:spacing w:after="0" w:line="240" w:lineRule="auto"/>
              <w:rPr>
                <w:sz w:val="20"/>
                <w:szCs w:val="20"/>
              </w:rPr>
            </w:pPr>
          </w:p>
        </w:tc>
      </w:tr>
      <w:tr w:rsidR="00821D26" w:rsidRPr="00821D26" w14:paraId="2ADD3611" w14:textId="77777777" w:rsidTr="0006573A">
        <w:tc>
          <w:tcPr>
            <w:tcW w:w="946" w:type="pct"/>
          </w:tcPr>
          <w:p w14:paraId="32DE9139" w14:textId="77777777" w:rsidR="00821D26" w:rsidRPr="00821D26" w:rsidRDefault="00821D26" w:rsidP="00821D26">
            <w:pPr>
              <w:spacing w:after="0" w:line="240" w:lineRule="auto"/>
              <w:rPr>
                <w:b/>
                <w:sz w:val="20"/>
                <w:szCs w:val="20"/>
              </w:rPr>
            </w:pPr>
            <w:r w:rsidRPr="00821D26">
              <w:rPr>
                <w:b/>
                <w:sz w:val="20"/>
                <w:szCs w:val="20"/>
              </w:rPr>
              <w:t>Assumptions and Risks</w:t>
            </w:r>
          </w:p>
        </w:tc>
        <w:tc>
          <w:tcPr>
            <w:tcW w:w="1114" w:type="pct"/>
          </w:tcPr>
          <w:p w14:paraId="1F75FF7E" w14:textId="77777777" w:rsidR="00821D26" w:rsidRPr="00821D26" w:rsidRDefault="00821D26" w:rsidP="00821D26">
            <w:pPr>
              <w:spacing w:after="0" w:line="240" w:lineRule="auto"/>
              <w:rPr>
                <w:sz w:val="20"/>
                <w:szCs w:val="20"/>
              </w:rPr>
            </w:pPr>
            <w:r w:rsidRPr="00821D26">
              <w:rPr>
                <w:sz w:val="20"/>
                <w:szCs w:val="20"/>
              </w:rPr>
              <w:t xml:space="preserve">(14) Four  assumptions were noted: (i) Willing participation of the Child Project staff; (ii)  Barring significant environmental or climatic events; (iii) Barring unforeseen staff turnover of key personnel; (iv)  Barring any new or competing information platform more attractive to users. The first is no longer an assumption as it has materialized. The second has also materialized and the fourth has a high likelihood. </w:t>
            </w:r>
          </w:p>
        </w:tc>
        <w:tc>
          <w:tcPr>
            <w:tcW w:w="980" w:type="pct"/>
          </w:tcPr>
          <w:p w14:paraId="0CD738B4" w14:textId="77777777" w:rsidR="00821D26" w:rsidRPr="00821D26" w:rsidRDefault="00821D26" w:rsidP="00821D26">
            <w:pPr>
              <w:spacing w:after="0" w:line="240" w:lineRule="auto"/>
              <w:rPr>
                <w:sz w:val="20"/>
                <w:szCs w:val="20"/>
              </w:rPr>
            </w:pPr>
            <w:r w:rsidRPr="00821D26">
              <w:rPr>
                <w:sz w:val="20"/>
                <w:szCs w:val="20"/>
              </w:rPr>
              <w:t xml:space="preserve">(14) There are assumptions that were actually pre-conditions for the project, such as (i). The PPG phase should have vetted that possibility with UNDP and partner country offices. </w:t>
            </w:r>
          </w:p>
        </w:tc>
        <w:tc>
          <w:tcPr>
            <w:tcW w:w="980" w:type="pct"/>
          </w:tcPr>
          <w:p w14:paraId="37A70026" w14:textId="77777777" w:rsidR="00821D26" w:rsidRPr="00821D26" w:rsidRDefault="00821D26" w:rsidP="00821D26">
            <w:pPr>
              <w:spacing w:after="0" w:line="240" w:lineRule="auto"/>
              <w:rPr>
                <w:sz w:val="20"/>
                <w:szCs w:val="20"/>
              </w:rPr>
            </w:pPr>
            <w:r w:rsidRPr="00821D26">
              <w:rPr>
                <w:sz w:val="20"/>
                <w:szCs w:val="20"/>
              </w:rPr>
              <w:t xml:space="preserve">(11) </w:t>
            </w:r>
            <w:bookmarkStart w:id="161" w:name="_Hlk90245850"/>
            <w:r w:rsidRPr="00821D26">
              <w:rPr>
                <w:sz w:val="20"/>
                <w:szCs w:val="20"/>
              </w:rPr>
              <w:t xml:space="preserve">Future projects should place more importance on the analysis of assumptions. Assumptions should be out of management control and be independent and necessary for results to be obtained. </w:t>
            </w:r>
            <w:bookmarkEnd w:id="161"/>
          </w:p>
        </w:tc>
        <w:tc>
          <w:tcPr>
            <w:tcW w:w="980" w:type="pct"/>
          </w:tcPr>
          <w:p w14:paraId="1CBD7278" w14:textId="77777777" w:rsidR="00821D26" w:rsidRPr="00821D26" w:rsidRDefault="00821D26" w:rsidP="00821D26">
            <w:pPr>
              <w:spacing w:after="0" w:line="240" w:lineRule="auto"/>
              <w:rPr>
                <w:sz w:val="20"/>
                <w:szCs w:val="20"/>
              </w:rPr>
            </w:pPr>
            <w:r w:rsidRPr="00821D26">
              <w:rPr>
                <w:sz w:val="20"/>
                <w:szCs w:val="20"/>
              </w:rPr>
              <w:t>(8) The PPG process must test for values such as participation and trust, perhaps by vetting future key participants, signing MOUs that detail participation and conditions, and involvement of the national governments in the arrangements, e.g. national project directors.</w:t>
            </w:r>
          </w:p>
        </w:tc>
      </w:tr>
      <w:tr w:rsidR="00821D26" w:rsidRPr="00821D26" w14:paraId="5F16B56E" w14:textId="77777777" w:rsidTr="0006573A">
        <w:tc>
          <w:tcPr>
            <w:tcW w:w="946" w:type="pct"/>
          </w:tcPr>
          <w:p w14:paraId="0370072A" w14:textId="77777777" w:rsidR="00821D26" w:rsidRPr="00821D26" w:rsidRDefault="00821D26" w:rsidP="00821D26">
            <w:pPr>
              <w:spacing w:after="0" w:line="240" w:lineRule="auto"/>
              <w:rPr>
                <w:b/>
                <w:sz w:val="20"/>
                <w:szCs w:val="20"/>
              </w:rPr>
            </w:pPr>
            <w:r w:rsidRPr="00821D26">
              <w:rPr>
                <w:b/>
                <w:sz w:val="20"/>
                <w:szCs w:val="20"/>
              </w:rPr>
              <w:lastRenderedPageBreak/>
              <w:t>Assumptions and Risks</w:t>
            </w:r>
          </w:p>
        </w:tc>
        <w:tc>
          <w:tcPr>
            <w:tcW w:w="1114" w:type="pct"/>
          </w:tcPr>
          <w:p w14:paraId="7BCF99B1" w14:textId="77777777" w:rsidR="00821D26" w:rsidRPr="00821D26" w:rsidRDefault="00821D26" w:rsidP="00821D26">
            <w:pPr>
              <w:spacing w:after="0" w:line="240" w:lineRule="auto"/>
              <w:rPr>
                <w:sz w:val="20"/>
                <w:szCs w:val="20"/>
              </w:rPr>
            </w:pPr>
            <w:r w:rsidRPr="00821D26">
              <w:rPr>
                <w:sz w:val="20"/>
                <w:szCs w:val="20"/>
              </w:rPr>
              <w:t>(15) Five of eight risks were underestimated for probability and impact. All risks were adjusted upwards. These are: (i) slow-downs due to bureaucracy; (ii) Overlap between the IAP KM platform and existing platforms; (iii) low success in penetrating many actors in the deforestation space; (iv) Environmental risks, e.g., (v) Climate and pandemic related,</w:t>
            </w:r>
          </w:p>
          <w:p w14:paraId="6648076C" w14:textId="77777777" w:rsidR="00821D26" w:rsidRPr="00821D26" w:rsidRDefault="00821D26" w:rsidP="00821D26">
            <w:pPr>
              <w:spacing w:after="0" w:line="240" w:lineRule="auto"/>
              <w:rPr>
                <w:sz w:val="20"/>
                <w:szCs w:val="20"/>
              </w:rPr>
            </w:pPr>
          </w:p>
          <w:p w14:paraId="74519844" w14:textId="77777777" w:rsidR="00821D26" w:rsidRPr="00821D26" w:rsidRDefault="00821D26" w:rsidP="00821D26">
            <w:pPr>
              <w:spacing w:after="0" w:line="240" w:lineRule="auto"/>
              <w:rPr>
                <w:sz w:val="20"/>
                <w:szCs w:val="20"/>
              </w:rPr>
            </w:pPr>
            <w:r w:rsidRPr="00821D26">
              <w:rPr>
                <w:sz w:val="20"/>
                <w:szCs w:val="20"/>
              </w:rPr>
              <w:t>•</w:t>
            </w:r>
            <w:r w:rsidRPr="00821D26">
              <w:rPr>
                <w:sz w:val="20"/>
                <w:szCs w:val="20"/>
              </w:rPr>
              <w:tab/>
              <w:t xml:space="preserve">One risk has no change: (vi) Funding dries up for platform. </w:t>
            </w:r>
          </w:p>
          <w:p w14:paraId="794B6754" w14:textId="77777777" w:rsidR="00821D26" w:rsidRPr="00821D26" w:rsidRDefault="00821D26" w:rsidP="00821D26">
            <w:pPr>
              <w:spacing w:after="0" w:line="240" w:lineRule="auto"/>
              <w:rPr>
                <w:sz w:val="20"/>
                <w:szCs w:val="20"/>
              </w:rPr>
            </w:pPr>
          </w:p>
          <w:p w14:paraId="5CC800D1" w14:textId="77777777" w:rsidR="00821D26" w:rsidRPr="00821D26" w:rsidRDefault="00821D26" w:rsidP="00821D26">
            <w:pPr>
              <w:spacing w:after="0" w:line="240" w:lineRule="auto"/>
              <w:rPr>
                <w:sz w:val="20"/>
                <w:szCs w:val="20"/>
              </w:rPr>
            </w:pPr>
            <w:r w:rsidRPr="00821D26">
              <w:rPr>
                <w:sz w:val="20"/>
                <w:szCs w:val="20"/>
              </w:rPr>
              <w:t>•</w:t>
            </w:r>
            <w:r w:rsidRPr="00821D26">
              <w:rPr>
                <w:sz w:val="20"/>
                <w:szCs w:val="20"/>
              </w:rPr>
              <w:tab/>
              <w:t>There are two new risks: (vii) GGP Partners could disengage from GGP programme-level, coordination; and (viii) not achieving Outcome 1 partnerships. Number (viii) requires more definition as to the source of the risk or the reason for concern. What was deemed unattractive?</w:t>
            </w:r>
          </w:p>
        </w:tc>
        <w:tc>
          <w:tcPr>
            <w:tcW w:w="980" w:type="pct"/>
          </w:tcPr>
          <w:p w14:paraId="7FD44324" w14:textId="77777777" w:rsidR="00821D26" w:rsidRPr="00821D26" w:rsidRDefault="00821D26" w:rsidP="00821D26">
            <w:pPr>
              <w:spacing w:after="0" w:line="240" w:lineRule="auto"/>
              <w:rPr>
                <w:sz w:val="20"/>
                <w:szCs w:val="20"/>
              </w:rPr>
            </w:pPr>
            <w:r w:rsidRPr="00821D26">
              <w:rPr>
                <w:sz w:val="20"/>
                <w:szCs w:val="20"/>
              </w:rPr>
              <w:t>(15) The overall risk rating was underestimated. from the start of the project. The PMU does a good job of tracking and logging risks as part of adaptive management framework. Some barriers are listed as risks and require management or project design solutions, such as “participation” No additional risks were detected.</w:t>
            </w:r>
          </w:p>
        </w:tc>
        <w:tc>
          <w:tcPr>
            <w:tcW w:w="980" w:type="pct"/>
          </w:tcPr>
          <w:p w14:paraId="0D20A787" w14:textId="77777777" w:rsidR="00821D26" w:rsidRPr="00821D26" w:rsidRDefault="00821D26" w:rsidP="00821D26">
            <w:pPr>
              <w:spacing w:after="0" w:line="240" w:lineRule="auto"/>
              <w:rPr>
                <w:sz w:val="20"/>
                <w:szCs w:val="20"/>
              </w:rPr>
            </w:pPr>
            <w:r w:rsidRPr="00821D26">
              <w:rPr>
                <w:sz w:val="20"/>
                <w:szCs w:val="20"/>
              </w:rPr>
              <w:t>(12) Adjust the risk rating upward from “Low” or Probability 2 to “significant” or Probability 3-4. The adjusted rating includes the addition of pandemic to environmental risks, and increase in risk of natural disasters as experienced in Chaco, Paraguay (drought) and Indonesia (flooding). In addition to adding higher probabilities to existing risks based on real observations and KIIs. See the Revised Risk Rating table in Annex __.</w:t>
            </w:r>
          </w:p>
        </w:tc>
        <w:tc>
          <w:tcPr>
            <w:tcW w:w="980" w:type="pct"/>
          </w:tcPr>
          <w:p w14:paraId="38C7ABCD" w14:textId="77777777" w:rsidR="00821D26" w:rsidRPr="00821D26" w:rsidRDefault="00821D26" w:rsidP="00821D26">
            <w:pPr>
              <w:spacing w:after="0" w:line="240" w:lineRule="auto"/>
              <w:rPr>
                <w:sz w:val="20"/>
                <w:szCs w:val="20"/>
              </w:rPr>
            </w:pPr>
          </w:p>
        </w:tc>
      </w:tr>
      <w:tr w:rsidR="00821D26" w:rsidRPr="00821D26" w14:paraId="3520A18E" w14:textId="77777777" w:rsidTr="0006573A">
        <w:tc>
          <w:tcPr>
            <w:tcW w:w="946" w:type="pct"/>
          </w:tcPr>
          <w:p w14:paraId="053B34A0" w14:textId="77777777" w:rsidR="00821D26" w:rsidRPr="00821D26" w:rsidRDefault="00821D26" w:rsidP="00821D26">
            <w:pPr>
              <w:spacing w:after="0" w:line="240" w:lineRule="auto"/>
              <w:rPr>
                <w:b/>
                <w:sz w:val="20"/>
                <w:szCs w:val="20"/>
              </w:rPr>
            </w:pPr>
            <w:r w:rsidRPr="00821D26">
              <w:rPr>
                <w:b/>
                <w:sz w:val="20"/>
                <w:szCs w:val="20"/>
              </w:rPr>
              <w:t>Lessons learned from other sectors in the design</w:t>
            </w:r>
          </w:p>
        </w:tc>
        <w:tc>
          <w:tcPr>
            <w:tcW w:w="1114" w:type="pct"/>
          </w:tcPr>
          <w:p w14:paraId="4B5E94AC" w14:textId="77777777" w:rsidR="00821D26" w:rsidRPr="00821D26" w:rsidRDefault="00821D26" w:rsidP="00821D26">
            <w:pPr>
              <w:spacing w:after="0" w:line="240" w:lineRule="auto"/>
              <w:rPr>
                <w:sz w:val="20"/>
                <w:szCs w:val="20"/>
              </w:rPr>
            </w:pPr>
            <w:r w:rsidRPr="00821D26">
              <w:rPr>
                <w:sz w:val="20"/>
                <w:szCs w:val="20"/>
              </w:rPr>
              <w:t>(16) The project presented numerous examples of lessons learned from UNDP´s ongoing Green Commodities Programme and presented a multi-partner framework that draws lessons learned from each of the partner organizations (CI, WWF, UNEP FI, IFC) and brings experience and learning from numerous initiatives from within the targeted commodities and countries</w:t>
            </w:r>
          </w:p>
        </w:tc>
        <w:tc>
          <w:tcPr>
            <w:tcW w:w="980" w:type="pct"/>
          </w:tcPr>
          <w:p w14:paraId="067A6D52" w14:textId="77777777" w:rsidR="00821D26" w:rsidRPr="00821D26" w:rsidRDefault="00821D26" w:rsidP="00821D26">
            <w:pPr>
              <w:spacing w:after="0" w:line="240" w:lineRule="auto"/>
              <w:rPr>
                <w:sz w:val="20"/>
                <w:szCs w:val="20"/>
              </w:rPr>
            </w:pPr>
            <w:r w:rsidRPr="00821D26">
              <w:rPr>
                <w:sz w:val="20"/>
                <w:szCs w:val="20"/>
              </w:rPr>
              <w:t>(16) The project adequately incorporated best practices and lessons learned from other initiatives into the design of the Project.</w:t>
            </w:r>
          </w:p>
        </w:tc>
        <w:tc>
          <w:tcPr>
            <w:tcW w:w="980" w:type="pct"/>
          </w:tcPr>
          <w:p w14:paraId="21C0864F" w14:textId="77777777" w:rsidR="00821D26" w:rsidRPr="00821D26" w:rsidRDefault="00821D26" w:rsidP="00821D26">
            <w:pPr>
              <w:spacing w:after="0" w:line="240" w:lineRule="auto"/>
              <w:rPr>
                <w:sz w:val="20"/>
                <w:szCs w:val="20"/>
              </w:rPr>
            </w:pPr>
          </w:p>
        </w:tc>
        <w:tc>
          <w:tcPr>
            <w:tcW w:w="980" w:type="pct"/>
          </w:tcPr>
          <w:p w14:paraId="71ED3BEB" w14:textId="77777777" w:rsidR="00821D26" w:rsidRPr="00821D26" w:rsidRDefault="00821D26" w:rsidP="00821D26">
            <w:pPr>
              <w:spacing w:after="0" w:line="240" w:lineRule="auto"/>
              <w:rPr>
                <w:sz w:val="20"/>
                <w:szCs w:val="20"/>
              </w:rPr>
            </w:pPr>
          </w:p>
        </w:tc>
      </w:tr>
      <w:tr w:rsidR="00821D26" w:rsidRPr="00821D26" w14:paraId="4991DC25" w14:textId="77777777" w:rsidTr="0006573A">
        <w:tc>
          <w:tcPr>
            <w:tcW w:w="946" w:type="pct"/>
          </w:tcPr>
          <w:p w14:paraId="3FE28FBD" w14:textId="77777777" w:rsidR="00821D26" w:rsidRPr="00821D26" w:rsidRDefault="00821D26" w:rsidP="00821D26">
            <w:pPr>
              <w:spacing w:after="0" w:line="240" w:lineRule="auto"/>
              <w:rPr>
                <w:b/>
                <w:sz w:val="20"/>
                <w:szCs w:val="20"/>
              </w:rPr>
            </w:pPr>
            <w:r w:rsidRPr="00821D26">
              <w:rPr>
                <w:b/>
                <w:sz w:val="20"/>
                <w:szCs w:val="20"/>
              </w:rPr>
              <w:lastRenderedPageBreak/>
              <w:t>Planned Stakeholder Participation</w:t>
            </w:r>
          </w:p>
        </w:tc>
        <w:tc>
          <w:tcPr>
            <w:tcW w:w="1114" w:type="pct"/>
          </w:tcPr>
          <w:p w14:paraId="71B1269D" w14:textId="77777777" w:rsidR="00821D26" w:rsidRPr="00821D26" w:rsidRDefault="00821D26" w:rsidP="00821D26">
            <w:pPr>
              <w:spacing w:after="0" w:line="240" w:lineRule="auto"/>
              <w:rPr>
                <w:sz w:val="20"/>
                <w:szCs w:val="20"/>
              </w:rPr>
            </w:pPr>
            <w:r w:rsidRPr="00821D26">
              <w:rPr>
                <w:sz w:val="20"/>
                <w:szCs w:val="20"/>
              </w:rPr>
              <w:t>(17) The A&amp;L project was designed to ensure coordination within the IAP among the different child projects for greater coherence, alignment and impact. The A&amp;L project was structured to promote linkages between the actions being carried out on production, demand and finance.</w:t>
            </w:r>
          </w:p>
        </w:tc>
        <w:tc>
          <w:tcPr>
            <w:tcW w:w="980" w:type="pct"/>
          </w:tcPr>
          <w:p w14:paraId="342356E3" w14:textId="77777777" w:rsidR="00821D26" w:rsidRPr="00821D26" w:rsidRDefault="00821D26" w:rsidP="00821D26">
            <w:pPr>
              <w:spacing w:after="0" w:line="240" w:lineRule="auto"/>
              <w:rPr>
                <w:sz w:val="20"/>
                <w:szCs w:val="20"/>
              </w:rPr>
            </w:pPr>
            <w:r w:rsidRPr="00821D26">
              <w:rPr>
                <w:sz w:val="20"/>
                <w:szCs w:val="20"/>
              </w:rPr>
              <w:t>(17) The A&amp;L project adequately established linkages with other sector interventions in the design of the project.</w:t>
            </w:r>
          </w:p>
        </w:tc>
        <w:tc>
          <w:tcPr>
            <w:tcW w:w="980" w:type="pct"/>
          </w:tcPr>
          <w:p w14:paraId="4AC91410" w14:textId="77777777" w:rsidR="00821D26" w:rsidRPr="00821D26" w:rsidRDefault="00821D26" w:rsidP="00821D26">
            <w:pPr>
              <w:spacing w:after="0" w:line="240" w:lineRule="auto"/>
              <w:rPr>
                <w:sz w:val="20"/>
                <w:szCs w:val="20"/>
              </w:rPr>
            </w:pPr>
          </w:p>
        </w:tc>
        <w:tc>
          <w:tcPr>
            <w:tcW w:w="980" w:type="pct"/>
          </w:tcPr>
          <w:p w14:paraId="1F137C3C" w14:textId="77777777" w:rsidR="00821D26" w:rsidRPr="00821D26" w:rsidRDefault="00821D26" w:rsidP="00821D26">
            <w:pPr>
              <w:spacing w:after="0" w:line="240" w:lineRule="auto"/>
              <w:rPr>
                <w:sz w:val="20"/>
                <w:szCs w:val="20"/>
              </w:rPr>
            </w:pPr>
          </w:p>
        </w:tc>
      </w:tr>
      <w:tr w:rsidR="00821D26" w:rsidRPr="00821D26" w14:paraId="7AE6F3EB" w14:textId="77777777" w:rsidTr="0006573A">
        <w:tc>
          <w:tcPr>
            <w:tcW w:w="946" w:type="pct"/>
          </w:tcPr>
          <w:p w14:paraId="7BB742D1" w14:textId="77777777" w:rsidR="00821D26" w:rsidRPr="00821D26" w:rsidRDefault="00821D26" w:rsidP="00821D26">
            <w:pPr>
              <w:spacing w:after="0" w:line="240" w:lineRule="auto"/>
              <w:rPr>
                <w:b/>
                <w:sz w:val="20"/>
                <w:szCs w:val="20"/>
              </w:rPr>
            </w:pPr>
            <w:r w:rsidRPr="00821D26">
              <w:rPr>
                <w:b/>
                <w:sz w:val="20"/>
                <w:szCs w:val="20"/>
              </w:rPr>
              <w:t xml:space="preserve">Linkages between the project and other interventions within the sector. </w:t>
            </w:r>
          </w:p>
        </w:tc>
        <w:tc>
          <w:tcPr>
            <w:tcW w:w="1114" w:type="pct"/>
          </w:tcPr>
          <w:p w14:paraId="408B41CA" w14:textId="77777777" w:rsidR="00821D26" w:rsidRPr="00821D26" w:rsidRDefault="00821D26" w:rsidP="00821D26">
            <w:pPr>
              <w:spacing w:after="0" w:line="240" w:lineRule="auto"/>
              <w:rPr>
                <w:sz w:val="20"/>
                <w:szCs w:val="20"/>
              </w:rPr>
            </w:pPr>
            <w:r w:rsidRPr="00821D26">
              <w:rPr>
                <w:sz w:val="20"/>
                <w:szCs w:val="20"/>
              </w:rPr>
              <w:t>(18) The A&amp;L project was designed to ensure coordination within the IAP among the different child projects for greater coherence, alignment, and impact. The A&amp;L project was structured to promote linkages between the actions being carried out on production, demand, and finance</w:t>
            </w:r>
          </w:p>
        </w:tc>
        <w:tc>
          <w:tcPr>
            <w:tcW w:w="980" w:type="pct"/>
          </w:tcPr>
          <w:p w14:paraId="3967B195" w14:textId="77777777" w:rsidR="00821D26" w:rsidRPr="00821D26" w:rsidRDefault="00821D26" w:rsidP="00821D26">
            <w:pPr>
              <w:spacing w:after="0" w:line="240" w:lineRule="auto"/>
              <w:rPr>
                <w:sz w:val="20"/>
                <w:szCs w:val="20"/>
              </w:rPr>
            </w:pPr>
            <w:r w:rsidRPr="00821D26">
              <w:rPr>
                <w:sz w:val="20"/>
                <w:szCs w:val="20"/>
              </w:rPr>
              <w:t>(18) The A&amp;L project adequately established linkages with other sector interventions in the design of the project.</w:t>
            </w:r>
          </w:p>
        </w:tc>
        <w:tc>
          <w:tcPr>
            <w:tcW w:w="980" w:type="pct"/>
          </w:tcPr>
          <w:p w14:paraId="5A147ABE" w14:textId="77777777" w:rsidR="00821D26" w:rsidRPr="00821D26" w:rsidRDefault="00821D26" w:rsidP="00821D26">
            <w:pPr>
              <w:spacing w:after="0" w:line="240" w:lineRule="auto"/>
              <w:rPr>
                <w:sz w:val="20"/>
                <w:szCs w:val="20"/>
              </w:rPr>
            </w:pPr>
          </w:p>
        </w:tc>
        <w:tc>
          <w:tcPr>
            <w:tcW w:w="980" w:type="pct"/>
          </w:tcPr>
          <w:p w14:paraId="5EB5AE27" w14:textId="77777777" w:rsidR="00821D26" w:rsidRPr="00821D26" w:rsidRDefault="00821D26" w:rsidP="00821D26">
            <w:pPr>
              <w:spacing w:after="0" w:line="240" w:lineRule="auto"/>
              <w:rPr>
                <w:sz w:val="20"/>
                <w:szCs w:val="20"/>
              </w:rPr>
            </w:pPr>
          </w:p>
        </w:tc>
      </w:tr>
      <w:tr w:rsidR="00821D26" w:rsidRPr="00821D26" w14:paraId="626F8E27" w14:textId="77777777" w:rsidTr="0006573A">
        <w:tc>
          <w:tcPr>
            <w:tcW w:w="946" w:type="pct"/>
          </w:tcPr>
          <w:p w14:paraId="092871D7" w14:textId="77777777" w:rsidR="00821D26" w:rsidRPr="00821D26" w:rsidRDefault="00821D26" w:rsidP="00821D26">
            <w:pPr>
              <w:spacing w:after="0" w:line="240" w:lineRule="auto"/>
              <w:rPr>
                <w:b/>
                <w:sz w:val="20"/>
                <w:szCs w:val="20"/>
              </w:rPr>
            </w:pPr>
            <w:r w:rsidRPr="00821D26">
              <w:rPr>
                <w:b/>
                <w:sz w:val="20"/>
                <w:szCs w:val="20"/>
              </w:rPr>
              <w:t>Gender Responsiveness of Project Design</w:t>
            </w:r>
          </w:p>
        </w:tc>
        <w:tc>
          <w:tcPr>
            <w:tcW w:w="1114" w:type="pct"/>
          </w:tcPr>
          <w:p w14:paraId="6FA3F522" w14:textId="77777777" w:rsidR="00821D26" w:rsidRPr="00821D26" w:rsidRDefault="00821D26" w:rsidP="00821D26">
            <w:pPr>
              <w:spacing w:after="0" w:line="240" w:lineRule="auto"/>
              <w:rPr>
                <w:sz w:val="20"/>
                <w:szCs w:val="20"/>
              </w:rPr>
            </w:pPr>
            <w:r w:rsidRPr="00821D26">
              <w:rPr>
                <w:sz w:val="20"/>
                <w:szCs w:val="20"/>
              </w:rPr>
              <w:t>(19) The assignment of the GEN2 marker indicates that the outputs promote gender equality in a significant and consistent way through the projection and implementation of a Strategy, Action Plan, and through the knowledge platform and governance structures</w:t>
            </w:r>
          </w:p>
        </w:tc>
        <w:tc>
          <w:tcPr>
            <w:tcW w:w="980" w:type="pct"/>
          </w:tcPr>
          <w:p w14:paraId="000003C1" w14:textId="77777777" w:rsidR="00821D26" w:rsidRPr="00821D26" w:rsidRDefault="00821D26" w:rsidP="00821D26">
            <w:pPr>
              <w:spacing w:after="0" w:line="240" w:lineRule="auto"/>
              <w:rPr>
                <w:sz w:val="20"/>
                <w:szCs w:val="20"/>
              </w:rPr>
            </w:pPr>
            <w:r w:rsidRPr="00821D26">
              <w:rPr>
                <w:sz w:val="20"/>
                <w:szCs w:val="20"/>
              </w:rPr>
              <w:t>(19) Gender considerations were effectively mainstreamed into the design of the project and is compliant with the GEF Policy on gender and to the UNDP Gender Equality Strategy 2014-2017.</w:t>
            </w:r>
          </w:p>
        </w:tc>
        <w:tc>
          <w:tcPr>
            <w:tcW w:w="980" w:type="pct"/>
          </w:tcPr>
          <w:p w14:paraId="1B9CB3E5" w14:textId="77777777" w:rsidR="00821D26" w:rsidRPr="00821D26" w:rsidRDefault="00821D26" w:rsidP="00821D26">
            <w:pPr>
              <w:spacing w:after="0" w:line="240" w:lineRule="auto"/>
              <w:rPr>
                <w:sz w:val="20"/>
                <w:szCs w:val="20"/>
              </w:rPr>
            </w:pPr>
          </w:p>
        </w:tc>
        <w:tc>
          <w:tcPr>
            <w:tcW w:w="980" w:type="pct"/>
          </w:tcPr>
          <w:p w14:paraId="65AE152F" w14:textId="77777777" w:rsidR="00821D26" w:rsidRPr="00821D26" w:rsidRDefault="00821D26" w:rsidP="00821D26">
            <w:pPr>
              <w:spacing w:after="0" w:line="240" w:lineRule="auto"/>
              <w:rPr>
                <w:sz w:val="20"/>
                <w:szCs w:val="20"/>
              </w:rPr>
            </w:pPr>
          </w:p>
        </w:tc>
      </w:tr>
      <w:tr w:rsidR="00821D26" w:rsidRPr="00821D26" w14:paraId="564E1D4A" w14:textId="77777777" w:rsidTr="0006573A">
        <w:tc>
          <w:tcPr>
            <w:tcW w:w="946" w:type="pct"/>
          </w:tcPr>
          <w:p w14:paraId="6CAD6574" w14:textId="77777777" w:rsidR="00821D26" w:rsidRPr="00821D26" w:rsidRDefault="00821D26" w:rsidP="00821D26">
            <w:pPr>
              <w:spacing w:after="0" w:line="240" w:lineRule="auto"/>
              <w:rPr>
                <w:b/>
                <w:sz w:val="20"/>
                <w:szCs w:val="20"/>
              </w:rPr>
            </w:pPr>
            <w:r w:rsidRPr="00821D26">
              <w:rPr>
                <w:b/>
                <w:sz w:val="20"/>
                <w:szCs w:val="20"/>
              </w:rPr>
              <w:t>Social and Environmental Safeguards</w:t>
            </w:r>
          </w:p>
        </w:tc>
        <w:tc>
          <w:tcPr>
            <w:tcW w:w="1114" w:type="pct"/>
          </w:tcPr>
          <w:p w14:paraId="5319F393" w14:textId="77777777" w:rsidR="00821D26" w:rsidRPr="00821D26" w:rsidRDefault="00821D26" w:rsidP="00821D26">
            <w:pPr>
              <w:spacing w:after="0" w:line="240" w:lineRule="auto"/>
              <w:rPr>
                <w:sz w:val="20"/>
                <w:szCs w:val="20"/>
              </w:rPr>
            </w:pPr>
            <w:r w:rsidRPr="00821D26">
              <w:rPr>
                <w:sz w:val="20"/>
                <w:szCs w:val="20"/>
              </w:rPr>
              <w:t xml:space="preserve">(20) No environmental or social risks were identified for this child project and the project risk categorization was therefore “low risk.”  No commitment to maintaining a grievance mechanism specific to the GGP or the project was included in the project design. Grievance management is, however, </w:t>
            </w:r>
            <w:r w:rsidRPr="00821D26">
              <w:rPr>
                <w:sz w:val="20"/>
                <w:szCs w:val="20"/>
              </w:rPr>
              <w:lastRenderedPageBreak/>
              <w:t>internalized within UNDP safeguards.</w:t>
            </w:r>
          </w:p>
        </w:tc>
        <w:tc>
          <w:tcPr>
            <w:tcW w:w="980" w:type="pct"/>
          </w:tcPr>
          <w:p w14:paraId="25A21F8D" w14:textId="77777777" w:rsidR="00821D26" w:rsidRPr="00821D26" w:rsidRDefault="00821D26" w:rsidP="00821D26">
            <w:pPr>
              <w:spacing w:after="0" w:line="240" w:lineRule="auto"/>
              <w:rPr>
                <w:sz w:val="20"/>
                <w:szCs w:val="20"/>
              </w:rPr>
            </w:pPr>
            <w:r w:rsidRPr="00821D26">
              <w:rPr>
                <w:sz w:val="20"/>
                <w:szCs w:val="20"/>
              </w:rPr>
              <w:lastRenderedPageBreak/>
              <w:t>(20) The project was compliant for safeguard screening and action planning during the formulation of the project</w:t>
            </w:r>
          </w:p>
        </w:tc>
        <w:tc>
          <w:tcPr>
            <w:tcW w:w="980" w:type="pct"/>
          </w:tcPr>
          <w:p w14:paraId="57A13332" w14:textId="77777777" w:rsidR="00821D26" w:rsidRPr="00821D26" w:rsidRDefault="00821D26" w:rsidP="00821D26">
            <w:pPr>
              <w:spacing w:after="0" w:line="240" w:lineRule="auto"/>
              <w:rPr>
                <w:sz w:val="20"/>
                <w:szCs w:val="20"/>
              </w:rPr>
            </w:pPr>
          </w:p>
        </w:tc>
        <w:tc>
          <w:tcPr>
            <w:tcW w:w="980" w:type="pct"/>
          </w:tcPr>
          <w:p w14:paraId="5E35F03C" w14:textId="77777777" w:rsidR="00821D26" w:rsidRPr="00821D26" w:rsidRDefault="00821D26" w:rsidP="00821D26">
            <w:pPr>
              <w:spacing w:after="0" w:line="240" w:lineRule="auto"/>
              <w:rPr>
                <w:sz w:val="20"/>
                <w:szCs w:val="20"/>
              </w:rPr>
            </w:pPr>
          </w:p>
        </w:tc>
      </w:tr>
      <w:tr w:rsidR="00821D26" w:rsidRPr="00821D26" w14:paraId="4DC223CD" w14:textId="77777777" w:rsidTr="0006573A">
        <w:tc>
          <w:tcPr>
            <w:tcW w:w="946" w:type="pct"/>
          </w:tcPr>
          <w:p w14:paraId="0DC68484" w14:textId="77777777" w:rsidR="00821D26" w:rsidRPr="00821D26" w:rsidRDefault="00821D26" w:rsidP="00821D26">
            <w:pPr>
              <w:spacing w:after="0" w:line="240" w:lineRule="auto"/>
              <w:rPr>
                <w:b/>
                <w:sz w:val="20"/>
                <w:szCs w:val="20"/>
              </w:rPr>
            </w:pPr>
            <w:r w:rsidRPr="00821D26">
              <w:rPr>
                <w:b/>
                <w:sz w:val="20"/>
                <w:szCs w:val="20"/>
              </w:rPr>
              <w:t>Project Governance</w:t>
            </w:r>
          </w:p>
        </w:tc>
        <w:tc>
          <w:tcPr>
            <w:tcW w:w="1114" w:type="pct"/>
          </w:tcPr>
          <w:p w14:paraId="13D66D42" w14:textId="77777777" w:rsidR="00821D26" w:rsidRPr="00821D26" w:rsidRDefault="00821D26" w:rsidP="00821D26">
            <w:pPr>
              <w:spacing w:after="0" w:line="240" w:lineRule="auto"/>
              <w:rPr>
                <w:sz w:val="20"/>
                <w:szCs w:val="20"/>
              </w:rPr>
            </w:pPr>
            <w:r w:rsidRPr="00821D26">
              <w:rPr>
                <w:sz w:val="20"/>
                <w:szCs w:val="20"/>
              </w:rPr>
              <w:t>(21) The project governance structure is a 3 tier operational structure comprised of a Programme Board, a secretariat representing each agency and country, and a Project Management Unit based in Panama.</w:t>
            </w:r>
          </w:p>
        </w:tc>
        <w:tc>
          <w:tcPr>
            <w:tcW w:w="980" w:type="pct"/>
          </w:tcPr>
          <w:p w14:paraId="242A4463" w14:textId="77777777" w:rsidR="00821D26" w:rsidRPr="00821D26" w:rsidRDefault="00821D26" w:rsidP="00821D26">
            <w:pPr>
              <w:spacing w:after="0" w:line="240" w:lineRule="auto"/>
              <w:rPr>
                <w:sz w:val="20"/>
                <w:szCs w:val="20"/>
              </w:rPr>
            </w:pPr>
            <w:r w:rsidRPr="00821D26">
              <w:rPr>
                <w:sz w:val="20"/>
                <w:szCs w:val="20"/>
              </w:rPr>
              <w:t>(21) The structure is inclusive, includes all possible stakeholders for a large and diverse project and enables all management aspects. See comments on effectiveness.</w:t>
            </w:r>
          </w:p>
        </w:tc>
        <w:tc>
          <w:tcPr>
            <w:tcW w:w="980" w:type="pct"/>
          </w:tcPr>
          <w:p w14:paraId="048E416A" w14:textId="77777777" w:rsidR="00821D26" w:rsidRPr="00821D26" w:rsidRDefault="00821D26" w:rsidP="00821D26">
            <w:pPr>
              <w:spacing w:after="0" w:line="240" w:lineRule="auto"/>
              <w:rPr>
                <w:sz w:val="20"/>
                <w:szCs w:val="20"/>
              </w:rPr>
            </w:pPr>
          </w:p>
        </w:tc>
        <w:tc>
          <w:tcPr>
            <w:tcW w:w="980" w:type="pct"/>
          </w:tcPr>
          <w:p w14:paraId="607042DE" w14:textId="77777777" w:rsidR="00821D26" w:rsidRPr="00821D26" w:rsidRDefault="00821D26" w:rsidP="00821D26">
            <w:pPr>
              <w:spacing w:after="0" w:line="240" w:lineRule="auto"/>
              <w:rPr>
                <w:sz w:val="20"/>
                <w:szCs w:val="20"/>
              </w:rPr>
            </w:pPr>
          </w:p>
        </w:tc>
      </w:tr>
      <w:tr w:rsidR="00821D26" w:rsidRPr="00821D26" w14:paraId="54249D89" w14:textId="77777777" w:rsidTr="0006573A">
        <w:tc>
          <w:tcPr>
            <w:tcW w:w="946" w:type="pct"/>
          </w:tcPr>
          <w:p w14:paraId="2BE4518E" w14:textId="77777777" w:rsidR="00821D26" w:rsidRPr="00821D26" w:rsidRDefault="00821D26" w:rsidP="00821D26">
            <w:pPr>
              <w:spacing w:after="0" w:line="240" w:lineRule="auto"/>
              <w:rPr>
                <w:b/>
                <w:sz w:val="20"/>
                <w:szCs w:val="20"/>
              </w:rPr>
            </w:pPr>
            <w:r w:rsidRPr="00821D26">
              <w:rPr>
                <w:b/>
                <w:sz w:val="20"/>
                <w:szCs w:val="20"/>
              </w:rPr>
              <w:t>PROJECT IMPLEMENTATION</w:t>
            </w:r>
          </w:p>
        </w:tc>
        <w:tc>
          <w:tcPr>
            <w:tcW w:w="1114" w:type="pct"/>
          </w:tcPr>
          <w:p w14:paraId="71198581" w14:textId="77777777" w:rsidR="00821D26" w:rsidRPr="00821D26" w:rsidRDefault="00821D26" w:rsidP="00821D26">
            <w:pPr>
              <w:spacing w:after="0" w:line="240" w:lineRule="auto"/>
              <w:rPr>
                <w:sz w:val="20"/>
                <w:szCs w:val="20"/>
              </w:rPr>
            </w:pPr>
          </w:p>
        </w:tc>
        <w:tc>
          <w:tcPr>
            <w:tcW w:w="980" w:type="pct"/>
          </w:tcPr>
          <w:p w14:paraId="7B23ACA8" w14:textId="77777777" w:rsidR="00821D26" w:rsidRPr="00821D26" w:rsidRDefault="00821D26" w:rsidP="00821D26">
            <w:pPr>
              <w:spacing w:after="0" w:line="240" w:lineRule="auto"/>
              <w:rPr>
                <w:sz w:val="20"/>
                <w:szCs w:val="20"/>
              </w:rPr>
            </w:pPr>
          </w:p>
        </w:tc>
        <w:tc>
          <w:tcPr>
            <w:tcW w:w="980" w:type="pct"/>
          </w:tcPr>
          <w:p w14:paraId="22A3A08B" w14:textId="77777777" w:rsidR="00821D26" w:rsidRPr="00821D26" w:rsidRDefault="00821D26" w:rsidP="00821D26">
            <w:pPr>
              <w:spacing w:after="0" w:line="240" w:lineRule="auto"/>
              <w:rPr>
                <w:sz w:val="20"/>
                <w:szCs w:val="20"/>
              </w:rPr>
            </w:pPr>
          </w:p>
        </w:tc>
        <w:tc>
          <w:tcPr>
            <w:tcW w:w="980" w:type="pct"/>
          </w:tcPr>
          <w:p w14:paraId="7A52C38B" w14:textId="77777777" w:rsidR="00821D26" w:rsidRPr="00821D26" w:rsidRDefault="00821D26" w:rsidP="00821D26">
            <w:pPr>
              <w:spacing w:after="0" w:line="240" w:lineRule="auto"/>
              <w:rPr>
                <w:sz w:val="20"/>
                <w:szCs w:val="20"/>
              </w:rPr>
            </w:pPr>
          </w:p>
        </w:tc>
      </w:tr>
      <w:tr w:rsidR="00821D26" w:rsidRPr="00821D26" w14:paraId="3962E559" w14:textId="77777777" w:rsidTr="0006573A">
        <w:tc>
          <w:tcPr>
            <w:tcW w:w="946" w:type="pct"/>
          </w:tcPr>
          <w:p w14:paraId="1BBC7C4B" w14:textId="77777777" w:rsidR="00821D26" w:rsidRPr="00821D26" w:rsidRDefault="00821D26" w:rsidP="00821D26">
            <w:pPr>
              <w:spacing w:after="0" w:line="240" w:lineRule="auto"/>
              <w:rPr>
                <w:b/>
                <w:sz w:val="20"/>
                <w:szCs w:val="20"/>
              </w:rPr>
            </w:pPr>
            <w:r w:rsidRPr="00821D26">
              <w:rPr>
                <w:b/>
                <w:sz w:val="20"/>
                <w:szCs w:val="20"/>
              </w:rPr>
              <w:t>Adaptive Management</w:t>
            </w:r>
          </w:p>
        </w:tc>
        <w:tc>
          <w:tcPr>
            <w:tcW w:w="1114" w:type="pct"/>
          </w:tcPr>
          <w:p w14:paraId="28F915D3" w14:textId="77777777" w:rsidR="00821D26" w:rsidRPr="00821D26" w:rsidRDefault="00821D26" w:rsidP="00821D26">
            <w:pPr>
              <w:spacing w:after="0" w:line="240" w:lineRule="auto"/>
              <w:rPr>
                <w:sz w:val="20"/>
                <w:szCs w:val="20"/>
              </w:rPr>
            </w:pPr>
            <w:r w:rsidRPr="00821D26">
              <w:rPr>
                <w:sz w:val="20"/>
                <w:szCs w:val="20"/>
              </w:rPr>
              <w:t>(22) The PMU is proactively reviewing risks and has a complementary risk analysis process at the activity-level</w:t>
            </w:r>
          </w:p>
        </w:tc>
        <w:tc>
          <w:tcPr>
            <w:tcW w:w="980" w:type="pct"/>
          </w:tcPr>
          <w:p w14:paraId="76C70B8D" w14:textId="77777777" w:rsidR="00821D26" w:rsidRPr="00821D26" w:rsidRDefault="00821D26" w:rsidP="00821D26">
            <w:pPr>
              <w:spacing w:after="0" w:line="240" w:lineRule="auto"/>
              <w:rPr>
                <w:sz w:val="20"/>
                <w:szCs w:val="20"/>
              </w:rPr>
            </w:pPr>
          </w:p>
        </w:tc>
        <w:tc>
          <w:tcPr>
            <w:tcW w:w="980" w:type="pct"/>
          </w:tcPr>
          <w:p w14:paraId="4D132080" w14:textId="77777777" w:rsidR="00821D26" w:rsidRPr="00821D26" w:rsidRDefault="00821D26" w:rsidP="00821D26">
            <w:pPr>
              <w:spacing w:after="0" w:line="240" w:lineRule="auto"/>
              <w:rPr>
                <w:sz w:val="20"/>
                <w:szCs w:val="20"/>
              </w:rPr>
            </w:pPr>
          </w:p>
        </w:tc>
        <w:tc>
          <w:tcPr>
            <w:tcW w:w="980" w:type="pct"/>
          </w:tcPr>
          <w:p w14:paraId="71D2A723" w14:textId="77777777" w:rsidR="00821D26" w:rsidRPr="00821D26" w:rsidRDefault="00821D26" w:rsidP="00821D26">
            <w:pPr>
              <w:spacing w:after="0" w:line="240" w:lineRule="auto"/>
              <w:rPr>
                <w:sz w:val="20"/>
                <w:szCs w:val="20"/>
              </w:rPr>
            </w:pPr>
          </w:p>
        </w:tc>
      </w:tr>
      <w:tr w:rsidR="00821D26" w:rsidRPr="00821D26" w14:paraId="2C7C8CAA" w14:textId="77777777" w:rsidTr="0006573A">
        <w:tc>
          <w:tcPr>
            <w:tcW w:w="946" w:type="pct"/>
          </w:tcPr>
          <w:p w14:paraId="22055615" w14:textId="77777777" w:rsidR="00821D26" w:rsidRPr="00821D26" w:rsidRDefault="00821D26" w:rsidP="00821D26">
            <w:pPr>
              <w:spacing w:after="0" w:line="240" w:lineRule="auto"/>
              <w:rPr>
                <w:b/>
                <w:sz w:val="20"/>
                <w:szCs w:val="20"/>
              </w:rPr>
            </w:pPr>
            <w:r w:rsidRPr="00821D26">
              <w:rPr>
                <w:b/>
                <w:sz w:val="20"/>
                <w:szCs w:val="20"/>
              </w:rPr>
              <w:t>Adaptive Management</w:t>
            </w:r>
          </w:p>
        </w:tc>
        <w:tc>
          <w:tcPr>
            <w:tcW w:w="1114" w:type="pct"/>
          </w:tcPr>
          <w:p w14:paraId="41C439CC" w14:textId="77777777" w:rsidR="00821D26" w:rsidRPr="00821D26" w:rsidRDefault="00821D26" w:rsidP="00821D26">
            <w:pPr>
              <w:spacing w:after="0" w:line="240" w:lineRule="auto"/>
              <w:rPr>
                <w:sz w:val="20"/>
                <w:szCs w:val="20"/>
              </w:rPr>
            </w:pPr>
            <w:r w:rsidRPr="00821D26">
              <w:rPr>
                <w:sz w:val="20"/>
                <w:szCs w:val="20"/>
              </w:rPr>
              <w:t>(23) The changes to the organizational structure of the project enhanced integration and understanding of each other’s activities. The staff members recruited were key to cross communication to wider audiences</w:t>
            </w:r>
          </w:p>
        </w:tc>
        <w:tc>
          <w:tcPr>
            <w:tcW w:w="980" w:type="pct"/>
          </w:tcPr>
          <w:p w14:paraId="1FEA1C9B" w14:textId="77777777" w:rsidR="00821D26" w:rsidRPr="00821D26" w:rsidRDefault="00821D26" w:rsidP="00821D26">
            <w:pPr>
              <w:spacing w:after="0" w:line="240" w:lineRule="auto"/>
              <w:rPr>
                <w:sz w:val="20"/>
                <w:szCs w:val="20"/>
              </w:rPr>
            </w:pPr>
          </w:p>
        </w:tc>
        <w:tc>
          <w:tcPr>
            <w:tcW w:w="980" w:type="pct"/>
          </w:tcPr>
          <w:p w14:paraId="73582373" w14:textId="77777777" w:rsidR="00821D26" w:rsidRPr="00821D26" w:rsidRDefault="00821D26" w:rsidP="00821D26">
            <w:pPr>
              <w:spacing w:after="0" w:line="240" w:lineRule="auto"/>
              <w:rPr>
                <w:sz w:val="20"/>
                <w:szCs w:val="20"/>
              </w:rPr>
            </w:pPr>
          </w:p>
        </w:tc>
        <w:tc>
          <w:tcPr>
            <w:tcW w:w="980" w:type="pct"/>
          </w:tcPr>
          <w:p w14:paraId="1754D503" w14:textId="77777777" w:rsidR="00821D26" w:rsidRPr="00821D26" w:rsidRDefault="00821D26" w:rsidP="00821D26">
            <w:pPr>
              <w:spacing w:after="0" w:line="240" w:lineRule="auto"/>
              <w:rPr>
                <w:sz w:val="20"/>
                <w:szCs w:val="20"/>
              </w:rPr>
            </w:pPr>
          </w:p>
        </w:tc>
      </w:tr>
      <w:tr w:rsidR="00821D26" w:rsidRPr="00821D26" w14:paraId="5DFA1FE8" w14:textId="77777777" w:rsidTr="0006573A">
        <w:tc>
          <w:tcPr>
            <w:tcW w:w="946" w:type="pct"/>
          </w:tcPr>
          <w:p w14:paraId="412D0E8E" w14:textId="77777777" w:rsidR="00821D26" w:rsidRPr="00821D26" w:rsidRDefault="00821D26" w:rsidP="00821D26">
            <w:pPr>
              <w:spacing w:after="0" w:line="240" w:lineRule="auto"/>
              <w:rPr>
                <w:b/>
                <w:sz w:val="20"/>
                <w:szCs w:val="20"/>
              </w:rPr>
            </w:pPr>
            <w:r w:rsidRPr="00821D26">
              <w:rPr>
                <w:b/>
                <w:sz w:val="20"/>
                <w:szCs w:val="20"/>
              </w:rPr>
              <w:t xml:space="preserve">Adaptive Management </w:t>
            </w:r>
          </w:p>
        </w:tc>
        <w:tc>
          <w:tcPr>
            <w:tcW w:w="1114" w:type="pct"/>
          </w:tcPr>
          <w:p w14:paraId="78942B49" w14:textId="77777777" w:rsidR="00821D26" w:rsidRPr="00821D26" w:rsidRDefault="00821D26" w:rsidP="00821D26">
            <w:pPr>
              <w:spacing w:after="0" w:line="240" w:lineRule="auto"/>
              <w:rPr>
                <w:sz w:val="20"/>
                <w:szCs w:val="20"/>
              </w:rPr>
            </w:pPr>
            <w:r w:rsidRPr="00821D26">
              <w:rPr>
                <w:sz w:val="20"/>
                <w:szCs w:val="20"/>
              </w:rPr>
              <w:t xml:space="preserve">(24) The changes to indicators at Inception did not add process or impact indicators or diversify these with qualitative indicators   </w:t>
            </w:r>
          </w:p>
        </w:tc>
        <w:tc>
          <w:tcPr>
            <w:tcW w:w="980" w:type="pct"/>
          </w:tcPr>
          <w:p w14:paraId="674D7738" w14:textId="77777777" w:rsidR="00821D26" w:rsidRPr="00821D26" w:rsidRDefault="00821D26" w:rsidP="00821D26">
            <w:pPr>
              <w:spacing w:after="0" w:line="240" w:lineRule="auto"/>
              <w:rPr>
                <w:sz w:val="20"/>
                <w:szCs w:val="20"/>
              </w:rPr>
            </w:pPr>
            <w:r w:rsidRPr="00821D26">
              <w:rPr>
                <w:sz w:val="20"/>
                <w:szCs w:val="20"/>
              </w:rPr>
              <w:t>(22) As a pilot project, a diversity of process and structure indicators would have provided an important opportunity information to understand the full results (quantitative and qualitative) of the IAP</w:t>
            </w:r>
          </w:p>
        </w:tc>
        <w:tc>
          <w:tcPr>
            <w:tcW w:w="980" w:type="pct"/>
          </w:tcPr>
          <w:p w14:paraId="21E3882C" w14:textId="77777777" w:rsidR="00821D26" w:rsidRPr="00821D26" w:rsidRDefault="00821D26" w:rsidP="00821D26">
            <w:pPr>
              <w:spacing w:after="0" w:line="240" w:lineRule="auto"/>
              <w:rPr>
                <w:sz w:val="20"/>
                <w:szCs w:val="20"/>
              </w:rPr>
            </w:pPr>
          </w:p>
        </w:tc>
        <w:tc>
          <w:tcPr>
            <w:tcW w:w="980" w:type="pct"/>
          </w:tcPr>
          <w:p w14:paraId="30EBB7E2" w14:textId="77777777" w:rsidR="00821D26" w:rsidRPr="00821D26" w:rsidRDefault="00821D26" w:rsidP="00821D26">
            <w:pPr>
              <w:spacing w:after="0" w:line="240" w:lineRule="auto"/>
              <w:rPr>
                <w:sz w:val="20"/>
                <w:szCs w:val="20"/>
              </w:rPr>
            </w:pPr>
          </w:p>
        </w:tc>
      </w:tr>
      <w:tr w:rsidR="00821D26" w:rsidRPr="00821D26" w14:paraId="07442A8D" w14:textId="77777777" w:rsidTr="0006573A">
        <w:tc>
          <w:tcPr>
            <w:tcW w:w="946" w:type="pct"/>
          </w:tcPr>
          <w:p w14:paraId="5FA6FA12" w14:textId="77777777" w:rsidR="00821D26" w:rsidRPr="00821D26" w:rsidRDefault="00821D26" w:rsidP="00821D26">
            <w:pPr>
              <w:spacing w:after="0" w:line="240" w:lineRule="auto"/>
              <w:rPr>
                <w:b/>
                <w:sz w:val="20"/>
                <w:szCs w:val="20"/>
              </w:rPr>
            </w:pPr>
          </w:p>
        </w:tc>
        <w:tc>
          <w:tcPr>
            <w:tcW w:w="1114" w:type="pct"/>
          </w:tcPr>
          <w:p w14:paraId="23D468DF" w14:textId="77777777" w:rsidR="00821D26" w:rsidRPr="00821D26" w:rsidRDefault="00821D26" w:rsidP="00821D26">
            <w:pPr>
              <w:spacing w:after="0" w:line="240" w:lineRule="auto"/>
              <w:rPr>
                <w:sz w:val="20"/>
                <w:szCs w:val="20"/>
              </w:rPr>
            </w:pPr>
            <w:r w:rsidRPr="00821D26">
              <w:rPr>
                <w:sz w:val="20"/>
                <w:szCs w:val="20"/>
              </w:rPr>
              <w:t xml:space="preserve">(25) The PMU actively tracks adaptations by the A&amp;L project and the child projects. The process is progressively more proactive.  The PMU also maintained a thoroughly documented and periodically updated Management Response </w:t>
            </w:r>
            <w:r w:rsidRPr="00821D26">
              <w:rPr>
                <w:sz w:val="20"/>
                <w:szCs w:val="20"/>
              </w:rPr>
              <w:lastRenderedPageBreak/>
              <w:t>making it easy know the responses to evaluations etc.</w:t>
            </w:r>
          </w:p>
        </w:tc>
        <w:tc>
          <w:tcPr>
            <w:tcW w:w="980" w:type="pct"/>
          </w:tcPr>
          <w:p w14:paraId="26C7EECE" w14:textId="77777777" w:rsidR="00821D26" w:rsidRPr="00821D26" w:rsidRDefault="00821D26" w:rsidP="00821D26">
            <w:pPr>
              <w:spacing w:after="0" w:line="240" w:lineRule="auto"/>
              <w:rPr>
                <w:sz w:val="20"/>
                <w:szCs w:val="20"/>
              </w:rPr>
            </w:pPr>
            <w:r w:rsidRPr="00821D26">
              <w:rPr>
                <w:sz w:val="20"/>
                <w:szCs w:val="20"/>
              </w:rPr>
              <w:lastRenderedPageBreak/>
              <w:t xml:space="preserve">(23) The PMU has demonstrated a high level of adaptation to problems, situations and changing dynamics in the project. Adaptations are thoroughly logged, and results are </w:t>
            </w:r>
            <w:r w:rsidRPr="00821D26">
              <w:rPr>
                <w:sz w:val="20"/>
                <w:szCs w:val="20"/>
              </w:rPr>
              <w:lastRenderedPageBreak/>
              <w:t>reported on in PIRs and to the board.</w:t>
            </w:r>
          </w:p>
        </w:tc>
        <w:tc>
          <w:tcPr>
            <w:tcW w:w="980" w:type="pct"/>
          </w:tcPr>
          <w:p w14:paraId="5F212CBA" w14:textId="77777777" w:rsidR="00821D26" w:rsidRPr="00821D26" w:rsidRDefault="00821D26" w:rsidP="00821D26">
            <w:pPr>
              <w:spacing w:after="0" w:line="240" w:lineRule="auto"/>
              <w:rPr>
                <w:sz w:val="20"/>
                <w:szCs w:val="20"/>
              </w:rPr>
            </w:pPr>
          </w:p>
        </w:tc>
        <w:tc>
          <w:tcPr>
            <w:tcW w:w="980" w:type="pct"/>
          </w:tcPr>
          <w:p w14:paraId="16BDB7E3" w14:textId="77777777" w:rsidR="00821D26" w:rsidRPr="00821D26" w:rsidRDefault="00821D26" w:rsidP="00821D26">
            <w:pPr>
              <w:spacing w:after="0" w:line="240" w:lineRule="auto"/>
              <w:rPr>
                <w:sz w:val="20"/>
                <w:szCs w:val="20"/>
              </w:rPr>
            </w:pPr>
          </w:p>
        </w:tc>
      </w:tr>
      <w:tr w:rsidR="00821D26" w:rsidRPr="00821D26" w14:paraId="7500C07B" w14:textId="77777777" w:rsidTr="0006573A">
        <w:tc>
          <w:tcPr>
            <w:tcW w:w="946" w:type="pct"/>
          </w:tcPr>
          <w:p w14:paraId="5D2127B5" w14:textId="77777777" w:rsidR="00821D26" w:rsidRPr="00821D26" w:rsidRDefault="00821D26" w:rsidP="00821D26">
            <w:pPr>
              <w:spacing w:after="0" w:line="240" w:lineRule="auto"/>
              <w:rPr>
                <w:b/>
                <w:sz w:val="20"/>
                <w:szCs w:val="20"/>
              </w:rPr>
            </w:pPr>
            <w:r w:rsidRPr="00821D26">
              <w:rPr>
                <w:b/>
                <w:sz w:val="20"/>
                <w:szCs w:val="20"/>
              </w:rPr>
              <w:t>Actual Stakeholder Participation and Partnership Arrangements</w:t>
            </w:r>
          </w:p>
        </w:tc>
        <w:tc>
          <w:tcPr>
            <w:tcW w:w="1114" w:type="pct"/>
          </w:tcPr>
          <w:p w14:paraId="5BFD2557" w14:textId="77777777" w:rsidR="00821D26" w:rsidRPr="00821D26" w:rsidRDefault="00821D26" w:rsidP="00821D26">
            <w:pPr>
              <w:spacing w:after="0" w:line="240" w:lineRule="auto"/>
              <w:rPr>
                <w:sz w:val="20"/>
                <w:szCs w:val="20"/>
              </w:rPr>
            </w:pPr>
            <w:r w:rsidRPr="00821D26">
              <w:rPr>
                <w:sz w:val="20"/>
                <w:szCs w:val="20"/>
              </w:rPr>
              <w:t xml:space="preserve">(26): A communications strategy was implemented. This was limited to general public awareness on digital media, programming of publications, etc. all of high quality. Communications were not responsive to a given problem identified as responsive to comments.  </w:t>
            </w:r>
          </w:p>
        </w:tc>
        <w:tc>
          <w:tcPr>
            <w:tcW w:w="980" w:type="pct"/>
          </w:tcPr>
          <w:p w14:paraId="198E6B9A" w14:textId="77777777" w:rsidR="00821D26" w:rsidRPr="00821D26" w:rsidRDefault="00821D26" w:rsidP="00821D26">
            <w:pPr>
              <w:spacing w:after="0" w:line="240" w:lineRule="auto"/>
              <w:rPr>
                <w:sz w:val="20"/>
                <w:szCs w:val="20"/>
              </w:rPr>
            </w:pPr>
            <w:r w:rsidRPr="00821D26">
              <w:rPr>
                <w:sz w:val="20"/>
                <w:szCs w:val="20"/>
              </w:rPr>
              <w:t xml:space="preserve">(24): The strategy was however not strategic in the sense that it did not analyze problems that were responsive to communications and then execute on them.  </w:t>
            </w:r>
          </w:p>
        </w:tc>
        <w:tc>
          <w:tcPr>
            <w:tcW w:w="980" w:type="pct"/>
          </w:tcPr>
          <w:p w14:paraId="07C2A321" w14:textId="77777777" w:rsidR="00821D26" w:rsidRPr="00821D26" w:rsidRDefault="00821D26" w:rsidP="00821D26">
            <w:pPr>
              <w:spacing w:after="0" w:line="240" w:lineRule="auto"/>
              <w:rPr>
                <w:sz w:val="20"/>
                <w:szCs w:val="20"/>
              </w:rPr>
            </w:pPr>
            <w:r w:rsidRPr="00821D26">
              <w:rPr>
                <w:sz w:val="20"/>
                <w:szCs w:val="20"/>
              </w:rPr>
              <w:t xml:space="preserve">(13): </w:t>
            </w:r>
            <w:bookmarkStart w:id="162" w:name="_Hlk90382891"/>
            <w:r w:rsidRPr="00821D26">
              <w:rPr>
                <w:sz w:val="20"/>
                <w:szCs w:val="20"/>
              </w:rPr>
              <w:t>Use communications strategically to assist, for example, the approval of national policies, change in tactics of key stakeholders, etc. A communications plan for A&amp;L could embrace all child projects and the global audience.</w:t>
            </w:r>
            <w:bookmarkEnd w:id="162"/>
          </w:p>
        </w:tc>
        <w:tc>
          <w:tcPr>
            <w:tcW w:w="980" w:type="pct"/>
          </w:tcPr>
          <w:p w14:paraId="50F8D499" w14:textId="77777777" w:rsidR="00821D26" w:rsidRPr="00821D26" w:rsidRDefault="00821D26" w:rsidP="00821D26">
            <w:pPr>
              <w:spacing w:after="0" w:line="240" w:lineRule="auto"/>
              <w:rPr>
                <w:sz w:val="20"/>
                <w:szCs w:val="20"/>
              </w:rPr>
            </w:pPr>
          </w:p>
        </w:tc>
      </w:tr>
      <w:tr w:rsidR="00821D26" w:rsidRPr="00821D26" w14:paraId="4B750F3E" w14:textId="77777777" w:rsidTr="0006573A">
        <w:tc>
          <w:tcPr>
            <w:tcW w:w="946" w:type="pct"/>
          </w:tcPr>
          <w:p w14:paraId="38E512CA" w14:textId="77777777" w:rsidR="00821D26" w:rsidRPr="00821D26" w:rsidRDefault="00821D26" w:rsidP="00821D26">
            <w:pPr>
              <w:spacing w:after="0" w:line="240" w:lineRule="auto"/>
              <w:rPr>
                <w:b/>
                <w:sz w:val="20"/>
                <w:szCs w:val="20"/>
              </w:rPr>
            </w:pPr>
            <w:r w:rsidRPr="00821D26">
              <w:rPr>
                <w:b/>
                <w:sz w:val="20"/>
                <w:szCs w:val="20"/>
              </w:rPr>
              <w:t>Actual Stakeholder Participation and Partnership Arrangements</w:t>
            </w:r>
          </w:p>
        </w:tc>
        <w:tc>
          <w:tcPr>
            <w:tcW w:w="1114" w:type="pct"/>
          </w:tcPr>
          <w:p w14:paraId="470E9CA2" w14:textId="77777777" w:rsidR="00821D26" w:rsidRPr="00821D26" w:rsidRDefault="00821D26" w:rsidP="00821D26">
            <w:pPr>
              <w:spacing w:after="0" w:line="240" w:lineRule="auto"/>
              <w:rPr>
                <w:sz w:val="20"/>
                <w:szCs w:val="20"/>
              </w:rPr>
            </w:pPr>
            <w:r w:rsidRPr="00821D26">
              <w:rPr>
                <w:sz w:val="20"/>
                <w:szCs w:val="20"/>
              </w:rPr>
              <w:t>(27) The A&amp;L project has catalyzed the GGP and partners to sustain a productive working relationship and in rallying new stakeholders around the cause of an integrated approach to commodity related deforestation. The approach has involved additionally hundreds of key stakeholders in Developing country governments; donor governments and foundations; Multilateral development agencies and programs; financial institutions and private sector; Producers, CSOs/NGOs, Platforms and collaboration fora; and academia</w:t>
            </w:r>
          </w:p>
        </w:tc>
        <w:tc>
          <w:tcPr>
            <w:tcW w:w="980" w:type="pct"/>
          </w:tcPr>
          <w:p w14:paraId="169BD71C" w14:textId="77777777" w:rsidR="00821D26" w:rsidRPr="00821D26" w:rsidRDefault="00821D26" w:rsidP="00821D26">
            <w:pPr>
              <w:spacing w:after="0" w:line="240" w:lineRule="auto"/>
              <w:rPr>
                <w:sz w:val="20"/>
                <w:szCs w:val="20"/>
              </w:rPr>
            </w:pPr>
            <w:r w:rsidRPr="00821D26">
              <w:rPr>
                <w:sz w:val="20"/>
                <w:szCs w:val="20"/>
              </w:rPr>
              <w:t xml:space="preserve">(25) The multi-stakeholder approach to integration is clearly demonstrated by the extensive relationships cultivated by the A&amp;L project for the GGP is creating an inter-connected network of support tor Green Commodities projection and will also support the sustainability of the initiative. </w:t>
            </w:r>
          </w:p>
        </w:tc>
        <w:tc>
          <w:tcPr>
            <w:tcW w:w="980" w:type="pct"/>
          </w:tcPr>
          <w:p w14:paraId="739801FE" w14:textId="77777777" w:rsidR="00821D26" w:rsidRPr="00821D26" w:rsidRDefault="00821D26" w:rsidP="00821D26">
            <w:pPr>
              <w:spacing w:after="0" w:line="240" w:lineRule="auto"/>
              <w:rPr>
                <w:sz w:val="20"/>
                <w:szCs w:val="20"/>
              </w:rPr>
            </w:pPr>
          </w:p>
        </w:tc>
        <w:tc>
          <w:tcPr>
            <w:tcW w:w="980" w:type="pct"/>
          </w:tcPr>
          <w:p w14:paraId="29916FA6" w14:textId="77777777" w:rsidR="00821D26" w:rsidRPr="00821D26" w:rsidRDefault="00821D26" w:rsidP="00821D26">
            <w:pPr>
              <w:spacing w:after="0" w:line="240" w:lineRule="auto"/>
              <w:rPr>
                <w:sz w:val="20"/>
                <w:szCs w:val="20"/>
              </w:rPr>
            </w:pPr>
          </w:p>
        </w:tc>
      </w:tr>
      <w:tr w:rsidR="00821D26" w:rsidRPr="00821D26" w14:paraId="6B6D652E" w14:textId="77777777" w:rsidTr="0006573A">
        <w:tc>
          <w:tcPr>
            <w:tcW w:w="946" w:type="pct"/>
          </w:tcPr>
          <w:p w14:paraId="64D6927D" w14:textId="77777777" w:rsidR="00821D26" w:rsidRPr="00821D26" w:rsidRDefault="00821D26" w:rsidP="00821D26">
            <w:pPr>
              <w:spacing w:after="0" w:line="240" w:lineRule="auto"/>
              <w:rPr>
                <w:b/>
                <w:sz w:val="20"/>
                <w:szCs w:val="20"/>
              </w:rPr>
            </w:pPr>
            <w:r w:rsidRPr="00821D26">
              <w:rPr>
                <w:b/>
                <w:sz w:val="20"/>
                <w:szCs w:val="20"/>
              </w:rPr>
              <w:t>Project Finance and Co-Finance</w:t>
            </w:r>
          </w:p>
        </w:tc>
        <w:tc>
          <w:tcPr>
            <w:tcW w:w="1114" w:type="pct"/>
          </w:tcPr>
          <w:p w14:paraId="16BEC4DE" w14:textId="77777777" w:rsidR="00821D26" w:rsidRPr="00821D26" w:rsidRDefault="00821D26" w:rsidP="00821D26">
            <w:pPr>
              <w:spacing w:after="0" w:line="240" w:lineRule="auto"/>
              <w:rPr>
                <w:sz w:val="20"/>
                <w:szCs w:val="20"/>
              </w:rPr>
            </w:pPr>
            <w:r w:rsidRPr="00821D26">
              <w:rPr>
                <w:sz w:val="20"/>
                <w:szCs w:val="20"/>
              </w:rPr>
              <w:t xml:space="preserve">(28) </w:t>
            </w:r>
          </w:p>
        </w:tc>
        <w:tc>
          <w:tcPr>
            <w:tcW w:w="980" w:type="pct"/>
          </w:tcPr>
          <w:p w14:paraId="2F932B00" w14:textId="77777777" w:rsidR="00821D26" w:rsidRPr="00821D26" w:rsidRDefault="00821D26" w:rsidP="00821D26">
            <w:pPr>
              <w:spacing w:after="0" w:line="240" w:lineRule="auto"/>
              <w:rPr>
                <w:sz w:val="20"/>
                <w:szCs w:val="20"/>
              </w:rPr>
            </w:pPr>
            <w:r w:rsidRPr="00821D26">
              <w:rPr>
                <w:sz w:val="20"/>
                <w:szCs w:val="20"/>
              </w:rPr>
              <w:t xml:space="preserve">(26) </w:t>
            </w:r>
          </w:p>
        </w:tc>
        <w:tc>
          <w:tcPr>
            <w:tcW w:w="980" w:type="pct"/>
          </w:tcPr>
          <w:p w14:paraId="3BE57B3D" w14:textId="77777777" w:rsidR="00821D26" w:rsidRPr="00821D26" w:rsidRDefault="00821D26" w:rsidP="00821D26">
            <w:pPr>
              <w:spacing w:after="0" w:line="240" w:lineRule="auto"/>
              <w:rPr>
                <w:sz w:val="20"/>
                <w:szCs w:val="20"/>
              </w:rPr>
            </w:pPr>
          </w:p>
        </w:tc>
        <w:tc>
          <w:tcPr>
            <w:tcW w:w="980" w:type="pct"/>
          </w:tcPr>
          <w:p w14:paraId="6DB59DA3" w14:textId="77777777" w:rsidR="00821D26" w:rsidRPr="00821D26" w:rsidRDefault="00821D26" w:rsidP="00821D26">
            <w:pPr>
              <w:spacing w:after="0" w:line="240" w:lineRule="auto"/>
              <w:rPr>
                <w:sz w:val="20"/>
                <w:szCs w:val="20"/>
              </w:rPr>
            </w:pPr>
          </w:p>
        </w:tc>
      </w:tr>
      <w:tr w:rsidR="00821D26" w:rsidRPr="00821D26" w14:paraId="1DB3FF73" w14:textId="77777777" w:rsidTr="0006573A">
        <w:tc>
          <w:tcPr>
            <w:tcW w:w="946" w:type="pct"/>
          </w:tcPr>
          <w:p w14:paraId="5ECF965C" w14:textId="77777777" w:rsidR="00821D26" w:rsidRPr="00821D26" w:rsidRDefault="00821D26" w:rsidP="00821D26">
            <w:pPr>
              <w:spacing w:after="0" w:line="240" w:lineRule="auto"/>
              <w:rPr>
                <w:b/>
                <w:sz w:val="20"/>
                <w:szCs w:val="20"/>
              </w:rPr>
            </w:pPr>
            <w:r w:rsidRPr="00821D26">
              <w:rPr>
                <w:b/>
                <w:sz w:val="20"/>
                <w:szCs w:val="20"/>
              </w:rPr>
              <w:t>Monitoring and Evaluation</w:t>
            </w:r>
          </w:p>
        </w:tc>
        <w:tc>
          <w:tcPr>
            <w:tcW w:w="1114" w:type="pct"/>
          </w:tcPr>
          <w:p w14:paraId="5CC842FA" w14:textId="77777777" w:rsidR="00821D26" w:rsidRPr="00821D26" w:rsidRDefault="00821D26" w:rsidP="00821D26">
            <w:pPr>
              <w:spacing w:after="0" w:line="240" w:lineRule="auto"/>
              <w:rPr>
                <w:sz w:val="20"/>
                <w:szCs w:val="20"/>
              </w:rPr>
            </w:pPr>
            <w:r w:rsidRPr="00821D26">
              <w:rPr>
                <w:sz w:val="20"/>
                <w:szCs w:val="20"/>
              </w:rPr>
              <w:t>(29) It is a cost-effective system involving all stakeholders</w:t>
            </w:r>
          </w:p>
        </w:tc>
        <w:tc>
          <w:tcPr>
            <w:tcW w:w="980" w:type="pct"/>
          </w:tcPr>
          <w:p w14:paraId="09BE5ED2" w14:textId="77777777" w:rsidR="00821D26" w:rsidRPr="00821D26" w:rsidRDefault="00821D26" w:rsidP="00821D26">
            <w:pPr>
              <w:spacing w:after="0" w:line="240" w:lineRule="auto"/>
              <w:rPr>
                <w:sz w:val="20"/>
                <w:szCs w:val="20"/>
              </w:rPr>
            </w:pPr>
          </w:p>
        </w:tc>
        <w:tc>
          <w:tcPr>
            <w:tcW w:w="980" w:type="pct"/>
          </w:tcPr>
          <w:p w14:paraId="67484447" w14:textId="77777777" w:rsidR="00821D26" w:rsidRPr="00821D26" w:rsidRDefault="00821D26" w:rsidP="00821D26">
            <w:pPr>
              <w:spacing w:after="0" w:line="240" w:lineRule="auto"/>
              <w:rPr>
                <w:sz w:val="20"/>
                <w:szCs w:val="20"/>
              </w:rPr>
            </w:pPr>
          </w:p>
        </w:tc>
        <w:tc>
          <w:tcPr>
            <w:tcW w:w="980" w:type="pct"/>
          </w:tcPr>
          <w:p w14:paraId="5A703527" w14:textId="77777777" w:rsidR="00821D26" w:rsidRPr="00821D26" w:rsidRDefault="00821D26" w:rsidP="00821D26">
            <w:pPr>
              <w:spacing w:after="0" w:line="240" w:lineRule="auto"/>
              <w:rPr>
                <w:sz w:val="20"/>
                <w:szCs w:val="20"/>
              </w:rPr>
            </w:pPr>
          </w:p>
        </w:tc>
      </w:tr>
      <w:tr w:rsidR="00821D26" w:rsidRPr="00821D26" w14:paraId="5A25679B" w14:textId="77777777" w:rsidTr="0006573A">
        <w:tc>
          <w:tcPr>
            <w:tcW w:w="946" w:type="pct"/>
          </w:tcPr>
          <w:p w14:paraId="1D5B8FEF" w14:textId="77777777" w:rsidR="00821D26" w:rsidRPr="00821D26" w:rsidRDefault="00821D26" w:rsidP="00821D26">
            <w:pPr>
              <w:spacing w:after="0" w:line="240" w:lineRule="auto"/>
              <w:rPr>
                <w:b/>
                <w:sz w:val="20"/>
                <w:szCs w:val="20"/>
              </w:rPr>
            </w:pPr>
          </w:p>
        </w:tc>
        <w:tc>
          <w:tcPr>
            <w:tcW w:w="1114" w:type="pct"/>
          </w:tcPr>
          <w:p w14:paraId="5CAD7D4B" w14:textId="77777777" w:rsidR="00821D26" w:rsidRPr="00821D26" w:rsidRDefault="00821D26" w:rsidP="00821D26">
            <w:pPr>
              <w:spacing w:after="0" w:line="240" w:lineRule="auto"/>
              <w:rPr>
                <w:sz w:val="20"/>
                <w:szCs w:val="20"/>
              </w:rPr>
            </w:pPr>
            <w:r w:rsidRPr="00821D26">
              <w:rPr>
                <w:sz w:val="20"/>
                <w:szCs w:val="20"/>
              </w:rPr>
              <w:t xml:space="preserve">(30) KIIs indicate that the M&amp;E Working group did not live up to expectations. It could have gone much further to provide for meaningful dialogue on </w:t>
            </w:r>
            <w:r w:rsidRPr="00821D26">
              <w:rPr>
                <w:sz w:val="20"/>
                <w:szCs w:val="20"/>
              </w:rPr>
              <w:lastRenderedPageBreak/>
              <w:t>strategies, lessons learned, synthesizing conclusions, etc. Too much emphasis on checking off boxes.</w:t>
            </w:r>
          </w:p>
          <w:p w14:paraId="06AC8C4D" w14:textId="77777777" w:rsidR="00821D26" w:rsidRPr="00821D26" w:rsidRDefault="00821D26" w:rsidP="00821D26">
            <w:pPr>
              <w:spacing w:after="0" w:line="240" w:lineRule="auto"/>
              <w:rPr>
                <w:sz w:val="20"/>
                <w:szCs w:val="20"/>
              </w:rPr>
            </w:pPr>
          </w:p>
          <w:p w14:paraId="248F2896" w14:textId="77777777" w:rsidR="00821D26" w:rsidRPr="00821D26" w:rsidRDefault="00821D26" w:rsidP="00821D26">
            <w:pPr>
              <w:spacing w:after="0" w:line="240" w:lineRule="auto"/>
              <w:rPr>
                <w:sz w:val="20"/>
                <w:szCs w:val="20"/>
              </w:rPr>
            </w:pPr>
            <w:r w:rsidRPr="00821D26">
              <w:rPr>
                <w:sz w:val="20"/>
                <w:szCs w:val="20"/>
              </w:rPr>
              <w:t>Child project staff complained about the number of reports and reporting requested. That situation greatly improved following the MTR.</w:t>
            </w:r>
          </w:p>
          <w:p w14:paraId="2314C854" w14:textId="77777777" w:rsidR="00821D26" w:rsidRPr="00821D26" w:rsidRDefault="00821D26" w:rsidP="00821D26">
            <w:pPr>
              <w:spacing w:after="0" w:line="240" w:lineRule="auto"/>
              <w:rPr>
                <w:sz w:val="20"/>
                <w:szCs w:val="20"/>
              </w:rPr>
            </w:pPr>
          </w:p>
          <w:p w14:paraId="6F55FD14" w14:textId="77777777" w:rsidR="00821D26" w:rsidRPr="00821D26" w:rsidRDefault="00821D26" w:rsidP="00821D26">
            <w:pPr>
              <w:spacing w:after="0" w:line="240" w:lineRule="auto"/>
              <w:rPr>
                <w:sz w:val="20"/>
                <w:szCs w:val="20"/>
              </w:rPr>
            </w:pPr>
            <w:r w:rsidRPr="00821D26">
              <w:rPr>
                <w:sz w:val="20"/>
                <w:szCs w:val="20"/>
              </w:rPr>
              <w:t>The country-specific calls were widely complimented for being relevant and time well spent</w:t>
            </w:r>
          </w:p>
        </w:tc>
        <w:tc>
          <w:tcPr>
            <w:tcW w:w="980" w:type="pct"/>
          </w:tcPr>
          <w:p w14:paraId="50DADBCE" w14:textId="77777777" w:rsidR="00821D26" w:rsidRPr="00821D26" w:rsidRDefault="00821D26" w:rsidP="00821D26">
            <w:pPr>
              <w:spacing w:after="0" w:line="240" w:lineRule="auto"/>
              <w:rPr>
                <w:sz w:val="20"/>
                <w:szCs w:val="20"/>
              </w:rPr>
            </w:pPr>
            <w:r w:rsidRPr="00821D26">
              <w:rPr>
                <w:sz w:val="20"/>
                <w:szCs w:val="20"/>
              </w:rPr>
              <w:lastRenderedPageBreak/>
              <w:t xml:space="preserve">(27) From a technical standpoint, the M&amp;E system is sound and was well executed. For that a ranking of “HS” was given.  In terms </w:t>
            </w:r>
            <w:r w:rsidRPr="00821D26">
              <w:rPr>
                <w:sz w:val="20"/>
                <w:szCs w:val="20"/>
              </w:rPr>
              <w:lastRenderedPageBreak/>
              <w:t>of design and from the viewpoint of Integration, the M&amp;e system appears to operate still in several silos. The problem was not the participants or the PMU. The design of the M&amp;E system did not establish common parameters that all child projects and countries would consider throught the process, including mid-term and terminal evaluations. However, the system was compliant with UNDP-GEF guidance for monitoring and evaluation and a ranking of “S” or satisfactory was assigned.  The componsite ranking for all M&amp;E functions is HS based on functionality and the quality and completeness of the information produced</w:t>
            </w:r>
          </w:p>
        </w:tc>
        <w:tc>
          <w:tcPr>
            <w:tcW w:w="980" w:type="pct"/>
          </w:tcPr>
          <w:p w14:paraId="772F4B45" w14:textId="77777777" w:rsidR="00821D26" w:rsidRPr="00821D26" w:rsidRDefault="00821D26" w:rsidP="00821D26">
            <w:pPr>
              <w:spacing w:after="0" w:line="240" w:lineRule="auto"/>
              <w:rPr>
                <w:sz w:val="20"/>
                <w:szCs w:val="20"/>
              </w:rPr>
            </w:pPr>
            <w:r w:rsidRPr="00821D26">
              <w:rPr>
                <w:sz w:val="20"/>
                <w:szCs w:val="20"/>
              </w:rPr>
              <w:lastRenderedPageBreak/>
              <w:t xml:space="preserve">(14) In a future platform, establish the common monitoring and evaluation system for Programme application prior to the </w:t>
            </w:r>
            <w:r w:rsidRPr="00821D26">
              <w:rPr>
                <w:sz w:val="20"/>
                <w:szCs w:val="20"/>
              </w:rPr>
              <w:lastRenderedPageBreak/>
              <w:t>individual child projects. Consider a common monitoring and evaluation platform.  In the event of separate implementing agencies, always present quarterly and PIR results in a synthesized document</w:t>
            </w:r>
            <w:r w:rsidRPr="00821D26">
              <w:t>.</w:t>
            </w:r>
          </w:p>
        </w:tc>
        <w:tc>
          <w:tcPr>
            <w:tcW w:w="980" w:type="pct"/>
          </w:tcPr>
          <w:p w14:paraId="6C67834F" w14:textId="77777777" w:rsidR="00821D26" w:rsidRPr="00821D26" w:rsidRDefault="00821D26" w:rsidP="00821D26">
            <w:pPr>
              <w:spacing w:after="0" w:line="240" w:lineRule="auto"/>
              <w:rPr>
                <w:sz w:val="20"/>
                <w:szCs w:val="20"/>
              </w:rPr>
            </w:pPr>
          </w:p>
        </w:tc>
      </w:tr>
      <w:tr w:rsidR="00821D26" w:rsidRPr="00821D26" w14:paraId="7560A9CF" w14:textId="77777777" w:rsidTr="0006573A">
        <w:tc>
          <w:tcPr>
            <w:tcW w:w="946" w:type="pct"/>
          </w:tcPr>
          <w:p w14:paraId="68049387" w14:textId="77777777" w:rsidR="00821D26" w:rsidRPr="00821D26" w:rsidRDefault="00821D26" w:rsidP="00821D26">
            <w:pPr>
              <w:spacing w:after="0" w:line="240" w:lineRule="auto"/>
              <w:rPr>
                <w:b/>
                <w:sz w:val="20"/>
                <w:szCs w:val="20"/>
              </w:rPr>
            </w:pPr>
          </w:p>
        </w:tc>
        <w:tc>
          <w:tcPr>
            <w:tcW w:w="1114" w:type="pct"/>
          </w:tcPr>
          <w:p w14:paraId="129C834E" w14:textId="77777777" w:rsidR="00821D26" w:rsidRPr="00821D26" w:rsidRDefault="00821D26" w:rsidP="00821D26">
            <w:pPr>
              <w:spacing w:after="0" w:line="240" w:lineRule="auto"/>
              <w:rPr>
                <w:sz w:val="20"/>
                <w:szCs w:val="20"/>
              </w:rPr>
            </w:pPr>
            <w:r w:rsidRPr="00821D26">
              <w:rPr>
                <w:sz w:val="20"/>
                <w:szCs w:val="20"/>
              </w:rPr>
              <w:t>(31) The QPRs were prepared mainly to report on progress. The TE noticed that these reports did not include information about Component 2, (lead by WWF).  QPRs on Component 2 were not available for review by the evaluation team. Note that this component was already closed (April 2021).</w:t>
            </w:r>
          </w:p>
        </w:tc>
        <w:tc>
          <w:tcPr>
            <w:tcW w:w="980" w:type="pct"/>
          </w:tcPr>
          <w:p w14:paraId="1965F1F9" w14:textId="77777777" w:rsidR="00821D26" w:rsidRPr="00821D26" w:rsidRDefault="00821D26" w:rsidP="00821D26">
            <w:pPr>
              <w:spacing w:after="0" w:line="240" w:lineRule="auto"/>
              <w:rPr>
                <w:sz w:val="20"/>
                <w:szCs w:val="20"/>
              </w:rPr>
            </w:pPr>
            <w:r w:rsidRPr="00821D26">
              <w:rPr>
                <w:sz w:val="20"/>
                <w:szCs w:val="20"/>
              </w:rPr>
              <w:t xml:space="preserve">(28) From a technical standpoint, the M&amp;E system is sound and was well executed. For that a ranking of “HS” was given.  In terms of design and from the viewpoint of Integration, the M&amp;e system appears to operate still in several silos. The problem was not the participants or the PMU. The design of the M&amp;E system did not establish common parameters that all child projects and countries </w:t>
            </w:r>
            <w:r w:rsidRPr="00821D26">
              <w:rPr>
                <w:sz w:val="20"/>
                <w:szCs w:val="20"/>
              </w:rPr>
              <w:lastRenderedPageBreak/>
              <w:t>would consider throught the process, including mid-term and terminal evaluations. However, the system was compliant with UNDP-GEF guidance for monitoring and evaluation and a ranking of “S” or satisfactory was assigned.  The componsite sranking for all M&amp;E functions is HS based on functionality and the quality and completeness of the information produced</w:t>
            </w:r>
          </w:p>
        </w:tc>
        <w:tc>
          <w:tcPr>
            <w:tcW w:w="980" w:type="pct"/>
          </w:tcPr>
          <w:p w14:paraId="77009E7E" w14:textId="77777777" w:rsidR="00821D26" w:rsidRPr="00821D26" w:rsidRDefault="00821D26" w:rsidP="00821D26">
            <w:pPr>
              <w:spacing w:after="0" w:line="240" w:lineRule="auto"/>
              <w:rPr>
                <w:sz w:val="20"/>
                <w:szCs w:val="20"/>
              </w:rPr>
            </w:pPr>
          </w:p>
        </w:tc>
        <w:tc>
          <w:tcPr>
            <w:tcW w:w="980" w:type="pct"/>
          </w:tcPr>
          <w:p w14:paraId="6DCD3B16" w14:textId="77777777" w:rsidR="00821D26" w:rsidRPr="00821D26" w:rsidRDefault="00821D26" w:rsidP="00821D26">
            <w:pPr>
              <w:spacing w:after="0" w:line="240" w:lineRule="auto"/>
              <w:rPr>
                <w:sz w:val="20"/>
                <w:szCs w:val="20"/>
              </w:rPr>
            </w:pPr>
          </w:p>
        </w:tc>
      </w:tr>
      <w:tr w:rsidR="00821D26" w:rsidRPr="00821D26" w14:paraId="6FACE165" w14:textId="77777777" w:rsidTr="0006573A">
        <w:tc>
          <w:tcPr>
            <w:tcW w:w="946" w:type="pct"/>
          </w:tcPr>
          <w:p w14:paraId="185F5CEB" w14:textId="77777777" w:rsidR="00821D26" w:rsidRPr="00821D26" w:rsidRDefault="00821D26" w:rsidP="00821D26">
            <w:pPr>
              <w:spacing w:after="0" w:line="240" w:lineRule="auto"/>
              <w:rPr>
                <w:b/>
                <w:sz w:val="20"/>
                <w:szCs w:val="20"/>
              </w:rPr>
            </w:pPr>
          </w:p>
        </w:tc>
        <w:tc>
          <w:tcPr>
            <w:tcW w:w="1114" w:type="pct"/>
          </w:tcPr>
          <w:p w14:paraId="1D7C5A72" w14:textId="77777777" w:rsidR="00821D26" w:rsidRPr="00821D26" w:rsidRDefault="00821D26" w:rsidP="00821D26">
            <w:pPr>
              <w:spacing w:after="0" w:line="240" w:lineRule="auto"/>
              <w:rPr>
                <w:sz w:val="20"/>
                <w:szCs w:val="20"/>
              </w:rPr>
            </w:pPr>
          </w:p>
        </w:tc>
        <w:tc>
          <w:tcPr>
            <w:tcW w:w="980" w:type="pct"/>
          </w:tcPr>
          <w:p w14:paraId="46A68E4C" w14:textId="77777777" w:rsidR="00821D26" w:rsidRPr="00821D26" w:rsidRDefault="00821D26" w:rsidP="00821D26">
            <w:pPr>
              <w:spacing w:after="0" w:line="240" w:lineRule="auto"/>
              <w:rPr>
                <w:sz w:val="20"/>
                <w:szCs w:val="20"/>
              </w:rPr>
            </w:pPr>
            <w:r w:rsidRPr="00821D26">
              <w:rPr>
                <w:sz w:val="20"/>
                <w:szCs w:val="20"/>
              </w:rPr>
              <w:t>(29) The M&amp;E design at entry left gaps that caused inconformity in the child projects. the system was however good. A score of 5 or “S” is awarded.</w:t>
            </w:r>
          </w:p>
          <w:p w14:paraId="7EADCD00" w14:textId="77777777" w:rsidR="00821D26" w:rsidRPr="00821D26" w:rsidRDefault="00821D26" w:rsidP="00821D26">
            <w:pPr>
              <w:spacing w:after="0" w:line="240" w:lineRule="auto"/>
              <w:rPr>
                <w:sz w:val="20"/>
                <w:szCs w:val="20"/>
              </w:rPr>
            </w:pPr>
          </w:p>
          <w:p w14:paraId="6C9E7F92" w14:textId="77777777" w:rsidR="00821D26" w:rsidRPr="00821D26" w:rsidRDefault="00821D26" w:rsidP="00821D26">
            <w:pPr>
              <w:spacing w:after="0" w:line="240" w:lineRule="auto"/>
              <w:rPr>
                <w:sz w:val="20"/>
                <w:szCs w:val="20"/>
              </w:rPr>
            </w:pPr>
            <w:r w:rsidRPr="00821D26">
              <w:rPr>
                <w:sz w:val="20"/>
                <w:szCs w:val="20"/>
              </w:rPr>
              <w:t>(30) The M&amp;E Plan improved greatly after MTR and produced a more empirical data and better coordination with child projects and very effective reports. A score of 6= HS for Implementation.</w:t>
            </w:r>
          </w:p>
          <w:p w14:paraId="1790E693" w14:textId="77777777" w:rsidR="00821D26" w:rsidRPr="00821D26" w:rsidRDefault="00821D26" w:rsidP="00821D26">
            <w:pPr>
              <w:spacing w:after="0" w:line="240" w:lineRule="auto"/>
              <w:rPr>
                <w:sz w:val="20"/>
                <w:szCs w:val="20"/>
              </w:rPr>
            </w:pPr>
          </w:p>
          <w:p w14:paraId="2CEA437C" w14:textId="77777777" w:rsidR="00821D26" w:rsidRPr="00821D26" w:rsidRDefault="00821D26" w:rsidP="00821D26">
            <w:pPr>
              <w:spacing w:after="0" w:line="240" w:lineRule="auto"/>
              <w:rPr>
                <w:sz w:val="20"/>
                <w:szCs w:val="20"/>
              </w:rPr>
            </w:pPr>
            <w:r w:rsidRPr="00821D26">
              <w:rPr>
                <w:sz w:val="20"/>
                <w:szCs w:val="20"/>
              </w:rPr>
              <w:t>The Overall Quality of M&amp;E is 6 = HS.</w:t>
            </w:r>
          </w:p>
        </w:tc>
        <w:tc>
          <w:tcPr>
            <w:tcW w:w="980" w:type="pct"/>
          </w:tcPr>
          <w:p w14:paraId="322BBAB9" w14:textId="77777777" w:rsidR="00821D26" w:rsidRPr="00821D26" w:rsidRDefault="00821D26" w:rsidP="00821D26">
            <w:pPr>
              <w:spacing w:after="0" w:line="240" w:lineRule="auto"/>
              <w:rPr>
                <w:sz w:val="20"/>
                <w:szCs w:val="20"/>
              </w:rPr>
            </w:pPr>
          </w:p>
        </w:tc>
        <w:tc>
          <w:tcPr>
            <w:tcW w:w="980" w:type="pct"/>
          </w:tcPr>
          <w:p w14:paraId="52A71A68" w14:textId="77777777" w:rsidR="00821D26" w:rsidRPr="00821D26" w:rsidRDefault="00821D26" w:rsidP="00821D26">
            <w:pPr>
              <w:spacing w:after="0" w:line="240" w:lineRule="auto"/>
              <w:rPr>
                <w:sz w:val="20"/>
                <w:szCs w:val="20"/>
              </w:rPr>
            </w:pPr>
          </w:p>
        </w:tc>
      </w:tr>
      <w:tr w:rsidR="00821D26" w:rsidRPr="00821D26" w14:paraId="0C06B78D" w14:textId="77777777" w:rsidTr="0006573A">
        <w:tc>
          <w:tcPr>
            <w:tcW w:w="946" w:type="pct"/>
          </w:tcPr>
          <w:p w14:paraId="564FC2D2" w14:textId="77777777" w:rsidR="00821D26" w:rsidRPr="00821D26" w:rsidRDefault="00821D26" w:rsidP="00821D26">
            <w:pPr>
              <w:spacing w:after="0" w:line="240" w:lineRule="auto"/>
              <w:rPr>
                <w:b/>
                <w:sz w:val="20"/>
                <w:szCs w:val="20"/>
              </w:rPr>
            </w:pPr>
            <w:r w:rsidRPr="00821D26">
              <w:rPr>
                <w:b/>
                <w:sz w:val="20"/>
                <w:szCs w:val="20"/>
              </w:rPr>
              <w:t>UNDP Implementation/Oversight</w:t>
            </w:r>
          </w:p>
        </w:tc>
        <w:tc>
          <w:tcPr>
            <w:tcW w:w="1114" w:type="pct"/>
          </w:tcPr>
          <w:p w14:paraId="4CF1D81E" w14:textId="77777777" w:rsidR="00821D26" w:rsidRPr="00821D26" w:rsidRDefault="00821D26" w:rsidP="00821D26">
            <w:pPr>
              <w:spacing w:after="0" w:line="240" w:lineRule="auto"/>
              <w:rPr>
                <w:sz w:val="20"/>
                <w:szCs w:val="20"/>
              </w:rPr>
            </w:pPr>
            <w:r w:rsidRPr="00821D26">
              <w:rPr>
                <w:spacing w:val="-5"/>
                <w:sz w:val="20"/>
                <w:szCs w:val="20"/>
              </w:rPr>
              <w:t xml:space="preserve">(32) the PMU recruited qualified professional for the positions required of the project; established and maintained a safe and productive work environment; and adeptly </w:t>
            </w:r>
            <w:r w:rsidRPr="00821D26">
              <w:rPr>
                <w:spacing w:val="-5"/>
                <w:sz w:val="20"/>
                <w:szCs w:val="20"/>
              </w:rPr>
              <w:lastRenderedPageBreak/>
              <w:t>managed the project´s workplan and flow.</w:t>
            </w:r>
          </w:p>
        </w:tc>
        <w:tc>
          <w:tcPr>
            <w:tcW w:w="980" w:type="pct"/>
          </w:tcPr>
          <w:p w14:paraId="74FCCAF7" w14:textId="77777777" w:rsidR="00821D26" w:rsidRPr="00821D26" w:rsidRDefault="00821D26" w:rsidP="00821D26">
            <w:pPr>
              <w:spacing w:after="0" w:line="240" w:lineRule="auto"/>
              <w:rPr>
                <w:sz w:val="20"/>
                <w:szCs w:val="20"/>
              </w:rPr>
            </w:pPr>
          </w:p>
        </w:tc>
        <w:tc>
          <w:tcPr>
            <w:tcW w:w="980" w:type="pct"/>
          </w:tcPr>
          <w:p w14:paraId="21035E4B" w14:textId="77777777" w:rsidR="00821D26" w:rsidRPr="00821D26" w:rsidRDefault="00821D26" w:rsidP="00821D26">
            <w:pPr>
              <w:spacing w:after="0" w:line="240" w:lineRule="auto"/>
              <w:rPr>
                <w:sz w:val="20"/>
                <w:szCs w:val="20"/>
              </w:rPr>
            </w:pPr>
          </w:p>
        </w:tc>
        <w:tc>
          <w:tcPr>
            <w:tcW w:w="980" w:type="pct"/>
          </w:tcPr>
          <w:p w14:paraId="194520C4" w14:textId="77777777" w:rsidR="00821D26" w:rsidRPr="00821D26" w:rsidRDefault="00821D26" w:rsidP="00821D26">
            <w:pPr>
              <w:spacing w:after="0" w:line="240" w:lineRule="auto"/>
              <w:rPr>
                <w:sz w:val="20"/>
                <w:szCs w:val="20"/>
              </w:rPr>
            </w:pPr>
          </w:p>
        </w:tc>
      </w:tr>
      <w:tr w:rsidR="00821D26" w:rsidRPr="00821D26" w14:paraId="7B31AF92" w14:textId="77777777" w:rsidTr="0006573A">
        <w:tc>
          <w:tcPr>
            <w:tcW w:w="946" w:type="pct"/>
          </w:tcPr>
          <w:p w14:paraId="78BC6679" w14:textId="77777777" w:rsidR="00821D26" w:rsidRPr="00821D26" w:rsidRDefault="00821D26" w:rsidP="00821D26">
            <w:pPr>
              <w:spacing w:after="0" w:line="240" w:lineRule="auto"/>
              <w:rPr>
                <w:b/>
                <w:sz w:val="20"/>
                <w:szCs w:val="20"/>
              </w:rPr>
            </w:pPr>
          </w:p>
        </w:tc>
        <w:tc>
          <w:tcPr>
            <w:tcW w:w="1114" w:type="pct"/>
          </w:tcPr>
          <w:p w14:paraId="6EB43062" w14:textId="77777777" w:rsidR="00821D26" w:rsidRPr="00821D26" w:rsidRDefault="00821D26" w:rsidP="00821D26">
            <w:pPr>
              <w:spacing w:after="0" w:line="240" w:lineRule="auto"/>
              <w:rPr>
                <w:sz w:val="20"/>
                <w:szCs w:val="20"/>
              </w:rPr>
            </w:pPr>
            <w:r w:rsidRPr="00821D26">
              <w:rPr>
                <w:sz w:val="20"/>
                <w:szCs w:val="20"/>
              </w:rPr>
              <w:t xml:space="preserve">(33) The PMU shares duty with the production project on a 30% to 70% split respectively.  </w:t>
            </w:r>
          </w:p>
        </w:tc>
        <w:tc>
          <w:tcPr>
            <w:tcW w:w="980" w:type="pct"/>
          </w:tcPr>
          <w:p w14:paraId="11B10655" w14:textId="77777777" w:rsidR="00821D26" w:rsidRPr="00821D26" w:rsidRDefault="00821D26" w:rsidP="00821D26">
            <w:pPr>
              <w:spacing w:after="0" w:line="240" w:lineRule="auto"/>
              <w:rPr>
                <w:sz w:val="20"/>
                <w:szCs w:val="20"/>
              </w:rPr>
            </w:pPr>
            <w:r w:rsidRPr="00821D26">
              <w:rPr>
                <w:sz w:val="20"/>
                <w:szCs w:val="20"/>
              </w:rPr>
              <w:t>(31) Evaluators feel that the split did not leave sufficient time for A&amp;L duties underscoring the need for more financial resources to enable a fully dedicated staff</w:t>
            </w:r>
          </w:p>
        </w:tc>
        <w:tc>
          <w:tcPr>
            <w:tcW w:w="980" w:type="pct"/>
          </w:tcPr>
          <w:p w14:paraId="4F4C9F8E" w14:textId="77777777" w:rsidR="00821D26" w:rsidRPr="00821D26" w:rsidRDefault="00821D26" w:rsidP="00821D26">
            <w:pPr>
              <w:spacing w:after="0" w:line="240" w:lineRule="auto"/>
              <w:rPr>
                <w:sz w:val="20"/>
                <w:szCs w:val="20"/>
              </w:rPr>
            </w:pPr>
          </w:p>
        </w:tc>
        <w:tc>
          <w:tcPr>
            <w:tcW w:w="980" w:type="pct"/>
          </w:tcPr>
          <w:p w14:paraId="4991D8A9" w14:textId="77777777" w:rsidR="00821D26" w:rsidRPr="00821D26" w:rsidRDefault="00821D26" w:rsidP="00821D26">
            <w:pPr>
              <w:spacing w:after="0" w:line="240" w:lineRule="auto"/>
              <w:rPr>
                <w:sz w:val="20"/>
                <w:szCs w:val="20"/>
              </w:rPr>
            </w:pPr>
          </w:p>
        </w:tc>
      </w:tr>
      <w:tr w:rsidR="00821D26" w:rsidRPr="00821D26" w14:paraId="0B48806C" w14:textId="77777777" w:rsidTr="0006573A">
        <w:tc>
          <w:tcPr>
            <w:tcW w:w="946" w:type="pct"/>
          </w:tcPr>
          <w:p w14:paraId="3C296E9F" w14:textId="77777777" w:rsidR="00821D26" w:rsidRPr="00821D26" w:rsidRDefault="00821D26" w:rsidP="00821D26">
            <w:pPr>
              <w:spacing w:after="0" w:line="240" w:lineRule="auto"/>
              <w:rPr>
                <w:b/>
                <w:sz w:val="20"/>
                <w:szCs w:val="20"/>
              </w:rPr>
            </w:pPr>
          </w:p>
        </w:tc>
        <w:tc>
          <w:tcPr>
            <w:tcW w:w="1114" w:type="pct"/>
          </w:tcPr>
          <w:p w14:paraId="1C85A9E6" w14:textId="77777777" w:rsidR="00821D26" w:rsidRPr="00821D26" w:rsidRDefault="00821D26" w:rsidP="00821D26">
            <w:pPr>
              <w:spacing w:after="0" w:line="240" w:lineRule="auto"/>
              <w:rPr>
                <w:sz w:val="20"/>
                <w:szCs w:val="20"/>
              </w:rPr>
            </w:pPr>
            <w:r w:rsidRPr="00821D26">
              <w:rPr>
                <w:sz w:val="20"/>
                <w:szCs w:val="20"/>
              </w:rPr>
              <w:t>(34) The project reports were complete and of high technical quality</w:t>
            </w:r>
          </w:p>
        </w:tc>
        <w:tc>
          <w:tcPr>
            <w:tcW w:w="980" w:type="pct"/>
          </w:tcPr>
          <w:p w14:paraId="4ED391C1" w14:textId="77777777" w:rsidR="00821D26" w:rsidRPr="00821D26" w:rsidRDefault="00821D26" w:rsidP="00821D26">
            <w:pPr>
              <w:spacing w:after="0" w:line="240" w:lineRule="auto"/>
              <w:rPr>
                <w:sz w:val="20"/>
                <w:szCs w:val="20"/>
              </w:rPr>
            </w:pPr>
          </w:p>
        </w:tc>
        <w:tc>
          <w:tcPr>
            <w:tcW w:w="980" w:type="pct"/>
          </w:tcPr>
          <w:p w14:paraId="258B719B" w14:textId="77777777" w:rsidR="00821D26" w:rsidRPr="00821D26" w:rsidRDefault="00821D26" w:rsidP="00821D26">
            <w:pPr>
              <w:spacing w:after="0" w:line="240" w:lineRule="auto"/>
              <w:rPr>
                <w:sz w:val="20"/>
                <w:szCs w:val="20"/>
              </w:rPr>
            </w:pPr>
          </w:p>
        </w:tc>
        <w:tc>
          <w:tcPr>
            <w:tcW w:w="980" w:type="pct"/>
          </w:tcPr>
          <w:p w14:paraId="71920EA3" w14:textId="77777777" w:rsidR="00821D26" w:rsidRPr="00821D26" w:rsidRDefault="00821D26" w:rsidP="00821D26">
            <w:pPr>
              <w:spacing w:after="0" w:line="240" w:lineRule="auto"/>
              <w:rPr>
                <w:sz w:val="20"/>
                <w:szCs w:val="20"/>
              </w:rPr>
            </w:pPr>
          </w:p>
        </w:tc>
      </w:tr>
      <w:tr w:rsidR="00821D26" w:rsidRPr="00821D26" w14:paraId="4F0C6A92" w14:textId="77777777" w:rsidTr="0006573A">
        <w:tc>
          <w:tcPr>
            <w:tcW w:w="946" w:type="pct"/>
          </w:tcPr>
          <w:p w14:paraId="777376CA" w14:textId="77777777" w:rsidR="00821D26" w:rsidRPr="00821D26" w:rsidRDefault="00821D26" w:rsidP="00821D26">
            <w:pPr>
              <w:spacing w:after="0" w:line="240" w:lineRule="auto"/>
              <w:rPr>
                <w:b/>
                <w:sz w:val="20"/>
                <w:szCs w:val="20"/>
              </w:rPr>
            </w:pPr>
          </w:p>
        </w:tc>
        <w:tc>
          <w:tcPr>
            <w:tcW w:w="1114" w:type="pct"/>
          </w:tcPr>
          <w:p w14:paraId="23A10F22" w14:textId="77777777" w:rsidR="00821D26" w:rsidRPr="00821D26" w:rsidRDefault="00821D26" w:rsidP="00821D26">
            <w:pPr>
              <w:spacing w:after="0" w:line="240" w:lineRule="auto"/>
              <w:rPr>
                <w:sz w:val="20"/>
                <w:szCs w:val="20"/>
              </w:rPr>
            </w:pPr>
            <w:r w:rsidRPr="00821D26">
              <w:rPr>
                <w:sz w:val="20"/>
                <w:szCs w:val="20"/>
              </w:rPr>
              <w:t>(35) The Knowledge management products ready at the time of TE e.g. Gender strategy, were of very high quality and provided a good summary of the salient points</w:t>
            </w:r>
          </w:p>
        </w:tc>
        <w:tc>
          <w:tcPr>
            <w:tcW w:w="980" w:type="pct"/>
          </w:tcPr>
          <w:p w14:paraId="74CE469E" w14:textId="77777777" w:rsidR="00821D26" w:rsidRPr="00821D26" w:rsidRDefault="00821D26" w:rsidP="00821D26">
            <w:pPr>
              <w:spacing w:after="0" w:line="240" w:lineRule="auto"/>
              <w:rPr>
                <w:sz w:val="20"/>
                <w:szCs w:val="20"/>
              </w:rPr>
            </w:pPr>
          </w:p>
        </w:tc>
        <w:tc>
          <w:tcPr>
            <w:tcW w:w="980" w:type="pct"/>
          </w:tcPr>
          <w:p w14:paraId="28780F3D" w14:textId="77777777" w:rsidR="00821D26" w:rsidRPr="00821D26" w:rsidRDefault="00821D26" w:rsidP="00821D26">
            <w:pPr>
              <w:spacing w:after="0" w:line="240" w:lineRule="auto"/>
              <w:rPr>
                <w:sz w:val="20"/>
                <w:szCs w:val="20"/>
              </w:rPr>
            </w:pPr>
          </w:p>
        </w:tc>
        <w:tc>
          <w:tcPr>
            <w:tcW w:w="980" w:type="pct"/>
          </w:tcPr>
          <w:p w14:paraId="20ED6A1C" w14:textId="77777777" w:rsidR="00821D26" w:rsidRPr="00821D26" w:rsidRDefault="00821D26" w:rsidP="00821D26">
            <w:pPr>
              <w:spacing w:after="0" w:line="240" w:lineRule="auto"/>
              <w:rPr>
                <w:sz w:val="20"/>
                <w:szCs w:val="20"/>
              </w:rPr>
            </w:pPr>
          </w:p>
        </w:tc>
      </w:tr>
      <w:tr w:rsidR="00821D26" w:rsidRPr="00821D26" w14:paraId="47EDB75F" w14:textId="77777777" w:rsidTr="0006573A">
        <w:tc>
          <w:tcPr>
            <w:tcW w:w="946" w:type="pct"/>
          </w:tcPr>
          <w:p w14:paraId="2A6137EF" w14:textId="77777777" w:rsidR="00821D26" w:rsidRPr="00821D26" w:rsidRDefault="00821D26" w:rsidP="00821D26">
            <w:pPr>
              <w:spacing w:after="0" w:line="240" w:lineRule="auto"/>
              <w:rPr>
                <w:b/>
                <w:sz w:val="20"/>
                <w:szCs w:val="20"/>
              </w:rPr>
            </w:pPr>
          </w:p>
        </w:tc>
        <w:tc>
          <w:tcPr>
            <w:tcW w:w="1114" w:type="pct"/>
          </w:tcPr>
          <w:p w14:paraId="6EAB9DF1" w14:textId="77777777" w:rsidR="00821D26" w:rsidRPr="00821D26" w:rsidRDefault="00821D26" w:rsidP="00821D26">
            <w:pPr>
              <w:spacing w:after="0" w:line="240" w:lineRule="auto"/>
              <w:rPr>
                <w:sz w:val="20"/>
                <w:szCs w:val="20"/>
              </w:rPr>
            </w:pPr>
            <w:r w:rsidRPr="00821D26">
              <w:rPr>
                <w:sz w:val="20"/>
                <w:szCs w:val="20"/>
              </w:rPr>
              <w:t>(36) KIIs confirmed that the project´s synthesis reports and analysis were concise, easy to comprehend, and of very high quality. The key points are well summarized for decision-makers.</w:t>
            </w:r>
          </w:p>
        </w:tc>
        <w:tc>
          <w:tcPr>
            <w:tcW w:w="980" w:type="pct"/>
          </w:tcPr>
          <w:p w14:paraId="48D729C0" w14:textId="77777777" w:rsidR="00821D26" w:rsidRPr="00821D26" w:rsidRDefault="00821D26" w:rsidP="00821D26">
            <w:pPr>
              <w:spacing w:after="0" w:line="240" w:lineRule="auto"/>
              <w:rPr>
                <w:sz w:val="20"/>
                <w:szCs w:val="20"/>
              </w:rPr>
            </w:pPr>
          </w:p>
        </w:tc>
        <w:tc>
          <w:tcPr>
            <w:tcW w:w="980" w:type="pct"/>
          </w:tcPr>
          <w:p w14:paraId="016986B1" w14:textId="77777777" w:rsidR="00821D26" w:rsidRPr="00821D26" w:rsidRDefault="00821D26" w:rsidP="00821D26">
            <w:pPr>
              <w:spacing w:after="0" w:line="240" w:lineRule="auto"/>
              <w:rPr>
                <w:sz w:val="20"/>
                <w:szCs w:val="20"/>
              </w:rPr>
            </w:pPr>
          </w:p>
        </w:tc>
        <w:tc>
          <w:tcPr>
            <w:tcW w:w="980" w:type="pct"/>
          </w:tcPr>
          <w:p w14:paraId="4860E2E8" w14:textId="77777777" w:rsidR="00821D26" w:rsidRPr="00821D26" w:rsidRDefault="00821D26" w:rsidP="00821D26">
            <w:pPr>
              <w:spacing w:after="0" w:line="240" w:lineRule="auto"/>
              <w:rPr>
                <w:sz w:val="20"/>
                <w:szCs w:val="20"/>
              </w:rPr>
            </w:pPr>
          </w:p>
        </w:tc>
      </w:tr>
      <w:tr w:rsidR="00821D26" w:rsidRPr="00821D26" w14:paraId="1855F82E" w14:textId="77777777" w:rsidTr="0006573A">
        <w:tc>
          <w:tcPr>
            <w:tcW w:w="946" w:type="pct"/>
          </w:tcPr>
          <w:p w14:paraId="05A09BB2" w14:textId="77777777" w:rsidR="00821D26" w:rsidRPr="00821D26" w:rsidRDefault="00821D26" w:rsidP="00821D26">
            <w:pPr>
              <w:spacing w:after="0" w:line="240" w:lineRule="auto"/>
              <w:rPr>
                <w:b/>
                <w:sz w:val="20"/>
                <w:szCs w:val="20"/>
              </w:rPr>
            </w:pPr>
          </w:p>
        </w:tc>
        <w:tc>
          <w:tcPr>
            <w:tcW w:w="1114" w:type="pct"/>
          </w:tcPr>
          <w:p w14:paraId="7D81A984" w14:textId="77777777" w:rsidR="00821D26" w:rsidRPr="00821D26" w:rsidRDefault="00821D26" w:rsidP="00821D26">
            <w:pPr>
              <w:spacing w:after="0" w:line="240" w:lineRule="auto"/>
              <w:rPr>
                <w:sz w:val="20"/>
                <w:szCs w:val="20"/>
              </w:rPr>
            </w:pPr>
            <w:r w:rsidRPr="00821D26">
              <w:rPr>
                <w:sz w:val="20"/>
                <w:szCs w:val="20"/>
              </w:rPr>
              <w:t>(37) The PMU maintained a good rapport with Steering Committee and Secretariat members. That rapport facilitated upstream and downstream communication</w:t>
            </w:r>
          </w:p>
        </w:tc>
        <w:tc>
          <w:tcPr>
            <w:tcW w:w="980" w:type="pct"/>
          </w:tcPr>
          <w:p w14:paraId="72513372" w14:textId="77777777" w:rsidR="00821D26" w:rsidRPr="00821D26" w:rsidRDefault="00821D26" w:rsidP="00821D26">
            <w:pPr>
              <w:spacing w:after="0" w:line="240" w:lineRule="auto"/>
              <w:rPr>
                <w:sz w:val="20"/>
                <w:szCs w:val="20"/>
              </w:rPr>
            </w:pPr>
          </w:p>
        </w:tc>
        <w:tc>
          <w:tcPr>
            <w:tcW w:w="980" w:type="pct"/>
          </w:tcPr>
          <w:p w14:paraId="302F9E6A" w14:textId="77777777" w:rsidR="00821D26" w:rsidRPr="00821D26" w:rsidRDefault="00821D26" w:rsidP="00821D26">
            <w:pPr>
              <w:spacing w:after="0" w:line="240" w:lineRule="auto"/>
              <w:rPr>
                <w:sz w:val="20"/>
                <w:szCs w:val="20"/>
              </w:rPr>
            </w:pPr>
          </w:p>
        </w:tc>
        <w:tc>
          <w:tcPr>
            <w:tcW w:w="980" w:type="pct"/>
          </w:tcPr>
          <w:p w14:paraId="2DDD280B" w14:textId="77777777" w:rsidR="00821D26" w:rsidRPr="00821D26" w:rsidRDefault="00821D26" w:rsidP="00821D26">
            <w:pPr>
              <w:spacing w:after="0" w:line="240" w:lineRule="auto"/>
              <w:rPr>
                <w:sz w:val="20"/>
                <w:szCs w:val="20"/>
              </w:rPr>
            </w:pPr>
          </w:p>
        </w:tc>
      </w:tr>
      <w:tr w:rsidR="00821D26" w:rsidRPr="00821D26" w14:paraId="18F17DA3" w14:textId="77777777" w:rsidTr="0006573A">
        <w:tc>
          <w:tcPr>
            <w:tcW w:w="946" w:type="pct"/>
          </w:tcPr>
          <w:p w14:paraId="351EA972" w14:textId="77777777" w:rsidR="00821D26" w:rsidRPr="00821D26" w:rsidRDefault="00821D26" w:rsidP="00821D26">
            <w:pPr>
              <w:spacing w:after="0" w:line="240" w:lineRule="auto"/>
              <w:rPr>
                <w:b/>
                <w:sz w:val="20"/>
                <w:szCs w:val="20"/>
              </w:rPr>
            </w:pPr>
          </w:p>
        </w:tc>
        <w:tc>
          <w:tcPr>
            <w:tcW w:w="1114" w:type="pct"/>
          </w:tcPr>
          <w:p w14:paraId="74573EBF" w14:textId="77777777" w:rsidR="00821D26" w:rsidRPr="00821D26" w:rsidRDefault="00821D26" w:rsidP="00821D26">
            <w:pPr>
              <w:spacing w:after="0" w:line="240" w:lineRule="auto"/>
              <w:rPr>
                <w:sz w:val="20"/>
                <w:szCs w:val="20"/>
              </w:rPr>
            </w:pPr>
            <w:r w:rsidRPr="00821D26">
              <w:rPr>
                <w:sz w:val="20"/>
                <w:szCs w:val="20"/>
              </w:rPr>
              <w:t xml:space="preserve">The UNDP RH-LAC and PMU provided qualified oversight and information exchange and adapted to the COVID-19 situation. </w:t>
            </w:r>
          </w:p>
          <w:p w14:paraId="520F1867" w14:textId="77777777" w:rsidR="00821D26" w:rsidRPr="00821D26" w:rsidRDefault="00821D26" w:rsidP="00821D26">
            <w:pPr>
              <w:spacing w:after="0" w:line="240" w:lineRule="auto"/>
              <w:rPr>
                <w:sz w:val="20"/>
                <w:szCs w:val="20"/>
              </w:rPr>
            </w:pPr>
          </w:p>
          <w:p w14:paraId="2827FA5E" w14:textId="77777777" w:rsidR="00821D26" w:rsidRPr="00821D26" w:rsidRDefault="00821D26" w:rsidP="00821D26">
            <w:pPr>
              <w:spacing w:after="0" w:line="240" w:lineRule="auto"/>
              <w:rPr>
                <w:sz w:val="20"/>
                <w:szCs w:val="20"/>
              </w:rPr>
            </w:pPr>
            <w:r w:rsidRPr="00821D26">
              <w:rPr>
                <w:sz w:val="20"/>
                <w:szCs w:val="20"/>
              </w:rPr>
              <w:t xml:space="preserve">The GCP provided technical backstopping by expert </w:t>
            </w:r>
            <w:r w:rsidRPr="00821D26">
              <w:rPr>
                <w:sz w:val="20"/>
                <w:szCs w:val="20"/>
              </w:rPr>
              <w:lastRenderedPageBreak/>
              <w:t xml:space="preserve">consultants knowledgeable in the pertinent fields.  </w:t>
            </w:r>
          </w:p>
        </w:tc>
        <w:tc>
          <w:tcPr>
            <w:tcW w:w="980" w:type="pct"/>
          </w:tcPr>
          <w:p w14:paraId="20BC9E8C" w14:textId="77777777" w:rsidR="00821D26" w:rsidRPr="00821D26" w:rsidRDefault="00821D26" w:rsidP="00821D26">
            <w:pPr>
              <w:spacing w:after="0" w:line="240" w:lineRule="auto"/>
              <w:rPr>
                <w:sz w:val="20"/>
                <w:szCs w:val="20"/>
              </w:rPr>
            </w:pPr>
            <w:r w:rsidRPr="00821D26">
              <w:rPr>
                <w:sz w:val="20"/>
                <w:szCs w:val="20"/>
              </w:rPr>
              <w:lastRenderedPageBreak/>
              <w:t>(32) For timeliness and completeness in implementation/overight, an HS is awarded.</w:t>
            </w:r>
          </w:p>
        </w:tc>
        <w:tc>
          <w:tcPr>
            <w:tcW w:w="980" w:type="pct"/>
          </w:tcPr>
          <w:p w14:paraId="7F1B35C0" w14:textId="77777777" w:rsidR="00821D26" w:rsidRPr="00821D26" w:rsidRDefault="00821D26" w:rsidP="00821D26">
            <w:pPr>
              <w:spacing w:after="0" w:line="240" w:lineRule="auto"/>
              <w:rPr>
                <w:sz w:val="20"/>
                <w:szCs w:val="20"/>
              </w:rPr>
            </w:pPr>
          </w:p>
        </w:tc>
        <w:tc>
          <w:tcPr>
            <w:tcW w:w="980" w:type="pct"/>
          </w:tcPr>
          <w:p w14:paraId="51E9FF3C" w14:textId="77777777" w:rsidR="00821D26" w:rsidRPr="00821D26" w:rsidRDefault="00821D26" w:rsidP="00821D26">
            <w:pPr>
              <w:spacing w:after="0" w:line="240" w:lineRule="auto"/>
              <w:rPr>
                <w:sz w:val="20"/>
                <w:szCs w:val="20"/>
              </w:rPr>
            </w:pPr>
          </w:p>
        </w:tc>
      </w:tr>
      <w:tr w:rsidR="00821D26" w:rsidRPr="00821D26" w14:paraId="0B9154DA" w14:textId="77777777" w:rsidTr="0006573A">
        <w:tc>
          <w:tcPr>
            <w:tcW w:w="946" w:type="pct"/>
          </w:tcPr>
          <w:p w14:paraId="036D8BB8" w14:textId="77777777" w:rsidR="00821D26" w:rsidRPr="00821D26" w:rsidRDefault="00821D26" w:rsidP="00821D26">
            <w:pPr>
              <w:spacing w:after="0" w:line="240" w:lineRule="auto"/>
              <w:rPr>
                <w:b/>
                <w:sz w:val="20"/>
                <w:szCs w:val="20"/>
              </w:rPr>
            </w:pPr>
          </w:p>
        </w:tc>
        <w:tc>
          <w:tcPr>
            <w:tcW w:w="1114" w:type="pct"/>
          </w:tcPr>
          <w:p w14:paraId="1C95B97C" w14:textId="77777777" w:rsidR="00821D26" w:rsidRPr="00821D26" w:rsidRDefault="00821D26" w:rsidP="00821D26">
            <w:pPr>
              <w:spacing w:after="0" w:line="240" w:lineRule="auto"/>
              <w:rPr>
                <w:sz w:val="20"/>
                <w:szCs w:val="20"/>
              </w:rPr>
            </w:pPr>
            <w:r w:rsidRPr="00821D26">
              <w:rPr>
                <w:sz w:val="20"/>
                <w:szCs w:val="20"/>
              </w:rPr>
              <w:t>Implementing partners provided all required information. In KIIs, the implementing agency complimented executing partners and vice versa.  The upstream and downstream communication with ISEAL Alliance was also rated as good</w:t>
            </w:r>
          </w:p>
        </w:tc>
        <w:tc>
          <w:tcPr>
            <w:tcW w:w="980" w:type="pct"/>
          </w:tcPr>
          <w:p w14:paraId="36F980E5" w14:textId="77777777" w:rsidR="00821D26" w:rsidRPr="00821D26" w:rsidRDefault="00821D26" w:rsidP="00821D26">
            <w:pPr>
              <w:spacing w:after="0" w:line="240" w:lineRule="auto"/>
              <w:rPr>
                <w:sz w:val="20"/>
                <w:szCs w:val="20"/>
              </w:rPr>
            </w:pPr>
            <w:r w:rsidRPr="00821D26">
              <w:rPr>
                <w:sz w:val="20"/>
                <w:szCs w:val="20"/>
              </w:rPr>
              <w:t>(33) For the Quality of Implementing Partner Execution and compliance by Implementing partners, an HS is awarded.</w:t>
            </w:r>
          </w:p>
          <w:p w14:paraId="1CD2A989" w14:textId="77777777" w:rsidR="00821D26" w:rsidRPr="00821D26" w:rsidRDefault="00821D26" w:rsidP="00821D26">
            <w:pPr>
              <w:spacing w:after="0" w:line="240" w:lineRule="auto"/>
              <w:rPr>
                <w:sz w:val="20"/>
                <w:szCs w:val="20"/>
              </w:rPr>
            </w:pPr>
          </w:p>
          <w:p w14:paraId="58BEA62A" w14:textId="77777777" w:rsidR="00821D26" w:rsidRPr="00821D26" w:rsidRDefault="00821D26" w:rsidP="00821D26">
            <w:pPr>
              <w:spacing w:after="0" w:line="240" w:lineRule="auto"/>
              <w:rPr>
                <w:sz w:val="20"/>
                <w:szCs w:val="20"/>
              </w:rPr>
            </w:pPr>
            <w:r w:rsidRPr="00821D26">
              <w:rPr>
                <w:sz w:val="20"/>
                <w:szCs w:val="20"/>
              </w:rPr>
              <w:t>An overall score of HS is awarded.</w:t>
            </w:r>
          </w:p>
        </w:tc>
        <w:tc>
          <w:tcPr>
            <w:tcW w:w="980" w:type="pct"/>
          </w:tcPr>
          <w:p w14:paraId="24F97858" w14:textId="77777777" w:rsidR="00821D26" w:rsidRPr="00821D26" w:rsidRDefault="00821D26" w:rsidP="00821D26">
            <w:pPr>
              <w:spacing w:after="0" w:line="240" w:lineRule="auto"/>
              <w:rPr>
                <w:sz w:val="20"/>
                <w:szCs w:val="20"/>
              </w:rPr>
            </w:pPr>
          </w:p>
        </w:tc>
        <w:tc>
          <w:tcPr>
            <w:tcW w:w="980" w:type="pct"/>
          </w:tcPr>
          <w:p w14:paraId="118A8EB4" w14:textId="77777777" w:rsidR="00821D26" w:rsidRPr="00821D26" w:rsidRDefault="00821D26" w:rsidP="00821D26">
            <w:pPr>
              <w:spacing w:after="0" w:line="240" w:lineRule="auto"/>
              <w:rPr>
                <w:sz w:val="20"/>
                <w:szCs w:val="20"/>
              </w:rPr>
            </w:pPr>
          </w:p>
        </w:tc>
      </w:tr>
      <w:tr w:rsidR="00821D26" w:rsidRPr="00821D26" w14:paraId="5C2114FE" w14:textId="77777777" w:rsidTr="0006573A">
        <w:tc>
          <w:tcPr>
            <w:tcW w:w="946" w:type="pct"/>
          </w:tcPr>
          <w:p w14:paraId="6170F148" w14:textId="77777777" w:rsidR="00821D26" w:rsidRPr="00821D26" w:rsidRDefault="00821D26" w:rsidP="00821D26">
            <w:pPr>
              <w:spacing w:after="0" w:line="240" w:lineRule="auto"/>
              <w:rPr>
                <w:b/>
                <w:sz w:val="20"/>
                <w:szCs w:val="20"/>
              </w:rPr>
            </w:pPr>
          </w:p>
        </w:tc>
        <w:tc>
          <w:tcPr>
            <w:tcW w:w="1114" w:type="pct"/>
          </w:tcPr>
          <w:p w14:paraId="44E538F0" w14:textId="77777777" w:rsidR="00821D26" w:rsidRPr="00821D26" w:rsidRDefault="00821D26" w:rsidP="00821D26">
            <w:pPr>
              <w:spacing w:after="0" w:line="240" w:lineRule="auto"/>
              <w:rPr>
                <w:sz w:val="20"/>
                <w:szCs w:val="20"/>
              </w:rPr>
            </w:pPr>
            <w:r w:rsidRPr="00821D26">
              <w:rPr>
                <w:sz w:val="20"/>
                <w:szCs w:val="20"/>
              </w:rPr>
              <w:t>Very good job at moving results through COVID-19</w:t>
            </w:r>
          </w:p>
        </w:tc>
        <w:tc>
          <w:tcPr>
            <w:tcW w:w="980" w:type="pct"/>
          </w:tcPr>
          <w:p w14:paraId="28C62A9A" w14:textId="77777777" w:rsidR="00821D26" w:rsidRPr="00821D26" w:rsidRDefault="00821D26" w:rsidP="00821D26">
            <w:pPr>
              <w:spacing w:after="0" w:line="240" w:lineRule="auto"/>
              <w:rPr>
                <w:sz w:val="20"/>
                <w:szCs w:val="20"/>
              </w:rPr>
            </w:pPr>
          </w:p>
        </w:tc>
        <w:tc>
          <w:tcPr>
            <w:tcW w:w="980" w:type="pct"/>
          </w:tcPr>
          <w:p w14:paraId="555D207F" w14:textId="77777777" w:rsidR="00821D26" w:rsidRPr="00821D26" w:rsidRDefault="00821D26" w:rsidP="00821D26">
            <w:pPr>
              <w:spacing w:after="0" w:line="240" w:lineRule="auto"/>
              <w:rPr>
                <w:sz w:val="20"/>
                <w:szCs w:val="20"/>
              </w:rPr>
            </w:pPr>
          </w:p>
        </w:tc>
        <w:tc>
          <w:tcPr>
            <w:tcW w:w="980" w:type="pct"/>
          </w:tcPr>
          <w:p w14:paraId="70B49E12" w14:textId="77777777" w:rsidR="00821D26" w:rsidRPr="00821D26" w:rsidRDefault="00821D26" w:rsidP="00821D26">
            <w:pPr>
              <w:spacing w:after="0" w:line="240" w:lineRule="auto"/>
              <w:rPr>
                <w:sz w:val="20"/>
                <w:szCs w:val="20"/>
              </w:rPr>
            </w:pPr>
          </w:p>
        </w:tc>
      </w:tr>
      <w:tr w:rsidR="00821D26" w:rsidRPr="00821D26" w14:paraId="10378DFD" w14:textId="77777777" w:rsidTr="0006573A">
        <w:tc>
          <w:tcPr>
            <w:tcW w:w="946" w:type="pct"/>
          </w:tcPr>
          <w:p w14:paraId="7C2F493C" w14:textId="77777777" w:rsidR="00821D26" w:rsidRPr="00821D26" w:rsidRDefault="00821D26" w:rsidP="00821D26">
            <w:pPr>
              <w:spacing w:after="0" w:line="240" w:lineRule="auto"/>
              <w:rPr>
                <w:b/>
                <w:sz w:val="20"/>
                <w:szCs w:val="20"/>
              </w:rPr>
            </w:pPr>
          </w:p>
        </w:tc>
        <w:tc>
          <w:tcPr>
            <w:tcW w:w="1114" w:type="pct"/>
          </w:tcPr>
          <w:p w14:paraId="3D197164" w14:textId="77777777" w:rsidR="00821D26" w:rsidRPr="00821D26" w:rsidRDefault="00821D26" w:rsidP="00821D26">
            <w:pPr>
              <w:spacing w:after="0" w:line="240" w:lineRule="auto"/>
              <w:rPr>
                <w:sz w:val="20"/>
                <w:szCs w:val="20"/>
              </w:rPr>
            </w:pPr>
          </w:p>
        </w:tc>
        <w:tc>
          <w:tcPr>
            <w:tcW w:w="980" w:type="pct"/>
          </w:tcPr>
          <w:p w14:paraId="141FE711" w14:textId="77777777" w:rsidR="00821D26" w:rsidRPr="00821D26" w:rsidRDefault="00821D26" w:rsidP="00821D26">
            <w:pPr>
              <w:spacing w:after="0" w:line="240" w:lineRule="auto"/>
              <w:rPr>
                <w:sz w:val="20"/>
                <w:szCs w:val="20"/>
              </w:rPr>
            </w:pPr>
          </w:p>
        </w:tc>
        <w:tc>
          <w:tcPr>
            <w:tcW w:w="980" w:type="pct"/>
          </w:tcPr>
          <w:p w14:paraId="26F03392" w14:textId="77777777" w:rsidR="00821D26" w:rsidRPr="00821D26" w:rsidRDefault="00821D26" w:rsidP="00821D26">
            <w:pPr>
              <w:spacing w:after="0" w:line="240" w:lineRule="auto"/>
              <w:rPr>
                <w:sz w:val="20"/>
                <w:szCs w:val="20"/>
              </w:rPr>
            </w:pPr>
          </w:p>
        </w:tc>
        <w:tc>
          <w:tcPr>
            <w:tcW w:w="980" w:type="pct"/>
          </w:tcPr>
          <w:p w14:paraId="67F72AF3" w14:textId="77777777" w:rsidR="00821D26" w:rsidRPr="00821D26" w:rsidRDefault="00821D26" w:rsidP="00821D26">
            <w:pPr>
              <w:spacing w:after="0" w:line="240" w:lineRule="auto"/>
              <w:rPr>
                <w:sz w:val="20"/>
                <w:szCs w:val="20"/>
              </w:rPr>
            </w:pPr>
          </w:p>
        </w:tc>
      </w:tr>
      <w:tr w:rsidR="00821D26" w:rsidRPr="00821D26" w14:paraId="5D96BB48" w14:textId="77777777" w:rsidTr="0006573A">
        <w:tc>
          <w:tcPr>
            <w:tcW w:w="946" w:type="pct"/>
          </w:tcPr>
          <w:p w14:paraId="3E4ED0FE" w14:textId="77777777" w:rsidR="00821D26" w:rsidRPr="00821D26" w:rsidRDefault="00821D26" w:rsidP="00821D26">
            <w:pPr>
              <w:spacing w:after="0" w:line="240" w:lineRule="auto"/>
              <w:rPr>
                <w:b/>
                <w:sz w:val="20"/>
                <w:szCs w:val="20"/>
              </w:rPr>
            </w:pPr>
            <w:r w:rsidRPr="00821D26">
              <w:rPr>
                <w:b/>
                <w:sz w:val="20"/>
                <w:szCs w:val="20"/>
              </w:rPr>
              <w:t>Risk Mangement</w:t>
            </w:r>
          </w:p>
        </w:tc>
        <w:tc>
          <w:tcPr>
            <w:tcW w:w="1114" w:type="pct"/>
          </w:tcPr>
          <w:p w14:paraId="70B46EF2" w14:textId="77777777" w:rsidR="00821D26" w:rsidRPr="00821D26" w:rsidRDefault="00821D26" w:rsidP="00821D26">
            <w:pPr>
              <w:spacing w:after="0" w:line="240" w:lineRule="auto"/>
              <w:rPr>
                <w:sz w:val="20"/>
                <w:szCs w:val="20"/>
              </w:rPr>
            </w:pPr>
            <w:r w:rsidRPr="00821D26">
              <w:rPr>
                <w:sz w:val="20"/>
                <w:szCs w:val="20"/>
              </w:rPr>
              <w:t xml:space="preserve">Risks are analyzed yearly. a risk log is well maintained. risks are reported in the PIR and discussed with the board. </w:t>
            </w:r>
          </w:p>
        </w:tc>
        <w:tc>
          <w:tcPr>
            <w:tcW w:w="980" w:type="pct"/>
          </w:tcPr>
          <w:p w14:paraId="55112F7A" w14:textId="77777777" w:rsidR="00821D26" w:rsidRPr="00821D26" w:rsidRDefault="00821D26" w:rsidP="00821D26">
            <w:pPr>
              <w:spacing w:after="0" w:line="240" w:lineRule="auto"/>
              <w:rPr>
                <w:sz w:val="20"/>
                <w:szCs w:val="20"/>
              </w:rPr>
            </w:pPr>
            <w:r w:rsidRPr="00821D26">
              <w:rPr>
                <w:sz w:val="20"/>
                <w:szCs w:val="20"/>
              </w:rPr>
              <w:t>(34)Risk management exceeds standards</w:t>
            </w:r>
          </w:p>
        </w:tc>
        <w:tc>
          <w:tcPr>
            <w:tcW w:w="980" w:type="pct"/>
          </w:tcPr>
          <w:p w14:paraId="0F573503" w14:textId="77777777" w:rsidR="00821D26" w:rsidRPr="00821D26" w:rsidRDefault="00821D26" w:rsidP="00821D26">
            <w:pPr>
              <w:spacing w:after="0" w:line="240" w:lineRule="auto"/>
              <w:rPr>
                <w:sz w:val="20"/>
                <w:szCs w:val="20"/>
              </w:rPr>
            </w:pPr>
          </w:p>
        </w:tc>
        <w:tc>
          <w:tcPr>
            <w:tcW w:w="980" w:type="pct"/>
          </w:tcPr>
          <w:p w14:paraId="1F9977D4" w14:textId="77777777" w:rsidR="00821D26" w:rsidRPr="00821D26" w:rsidRDefault="00821D26" w:rsidP="00821D26">
            <w:pPr>
              <w:spacing w:after="0" w:line="240" w:lineRule="auto"/>
              <w:rPr>
                <w:sz w:val="20"/>
                <w:szCs w:val="20"/>
              </w:rPr>
            </w:pPr>
          </w:p>
        </w:tc>
      </w:tr>
      <w:tr w:rsidR="00821D26" w:rsidRPr="00821D26" w14:paraId="6D914FD0" w14:textId="77777777" w:rsidTr="0006573A">
        <w:tc>
          <w:tcPr>
            <w:tcW w:w="946" w:type="pct"/>
          </w:tcPr>
          <w:p w14:paraId="7A9BACFE" w14:textId="77777777" w:rsidR="00821D26" w:rsidRPr="00821D26" w:rsidRDefault="00821D26" w:rsidP="00821D26">
            <w:pPr>
              <w:spacing w:after="0" w:line="240" w:lineRule="auto"/>
              <w:rPr>
                <w:b/>
                <w:sz w:val="20"/>
                <w:szCs w:val="20"/>
              </w:rPr>
            </w:pPr>
            <w:r w:rsidRPr="00821D26">
              <w:rPr>
                <w:b/>
                <w:sz w:val="20"/>
                <w:szCs w:val="20"/>
              </w:rPr>
              <w:t>Progress towards Objectives</w:t>
            </w:r>
          </w:p>
        </w:tc>
        <w:tc>
          <w:tcPr>
            <w:tcW w:w="1114" w:type="pct"/>
          </w:tcPr>
          <w:p w14:paraId="4148856F" w14:textId="77777777" w:rsidR="00821D26" w:rsidRPr="00821D26" w:rsidRDefault="00821D26" w:rsidP="00821D26">
            <w:pPr>
              <w:spacing w:after="0" w:line="240" w:lineRule="auto"/>
              <w:rPr>
                <w:sz w:val="20"/>
                <w:szCs w:val="20"/>
              </w:rPr>
            </w:pPr>
            <w:r w:rsidRPr="00821D26">
              <w:rPr>
                <w:sz w:val="20"/>
                <w:szCs w:val="20"/>
              </w:rPr>
              <w:t>A score of 92.33 was logged</w:t>
            </w:r>
          </w:p>
        </w:tc>
        <w:tc>
          <w:tcPr>
            <w:tcW w:w="980" w:type="pct"/>
          </w:tcPr>
          <w:p w14:paraId="1633C23A" w14:textId="77777777" w:rsidR="00821D26" w:rsidRPr="00821D26" w:rsidRDefault="00821D26" w:rsidP="00821D26">
            <w:pPr>
              <w:spacing w:after="0" w:line="240" w:lineRule="auto"/>
              <w:rPr>
                <w:sz w:val="20"/>
                <w:szCs w:val="20"/>
              </w:rPr>
            </w:pPr>
            <w:r w:rsidRPr="00821D26">
              <w:rPr>
                <w:sz w:val="20"/>
                <w:szCs w:val="20"/>
              </w:rPr>
              <w:t>Based on Indicator Progress, the results are SATISFACTORY</w:t>
            </w:r>
          </w:p>
        </w:tc>
        <w:tc>
          <w:tcPr>
            <w:tcW w:w="980" w:type="pct"/>
          </w:tcPr>
          <w:p w14:paraId="5AAEE8CF" w14:textId="77777777" w:rsidR="00821D26" w:rsidRPr="00821D26" w:rsidRDefault="00821D26" w:rsidP="00821D26">
            <w:pPr>
              <w:spacing w:after="0" w:line="240" w:lineRule="auto"/>
              <w:rPr>
                <w:sz w:val="20"/>
                <w:szCs w:val="20"/>
              </w:rPr>
            </w:pPr>
          </w:p>
        </w:tc>
        <w:tc>
          <w:tcPr>
            <w:tcW w:w="980" w:type="pct"/>
          </w:tcPr>
          <w:p w14:paraId="032640D1" w14:textId="77777777" w:rsidR="00821D26" w:rsidRPr="00821D26" w:rsidRDefault="00821D26" w:rsidP="00821D26">
            <w:pPr>
              <w:spacing w:after="0" w:line="240" w:lineRule="auto"/>
              <w:rPr>
                <w:sz w:val="20"/>
                <w:szCs w:val="20"/>
              </w:rPr>
            </w:pPr>
          </w:p>
        </w:tc>
      </w:tr>
      <w:tr w:rsidR="00821D26" w:rsidRPr="00821D26" w14:paraId="545C6B42" w14:textId="77777777" w:rsidTr="0006573A">
        <w:tc>
          <w:tcPr>
            <w:tcW w:w="946" w:type="pct"/>
          </w:tcPr>
          <w:p w14:paraId="7AAFE01D" w14:textId="77777777" w:rsidR="00821D26" w:rsidRPr="00821D26" w:rsidRDefault="00821D26" w:rsidP="00821D26">
            <w:pPr>
              <w:spacing w:after="0" w:line="240" w:lineRule="auto"/>
              <w:rPr>
                <w:b/>
                <w:sz w:val="20"/>
                <w:szCs w:val="20"/>
              </w:rPr>
            </w:pPr>
          </w:p>
        </w:tc>
        <w:tc>
          <w:tcPr>
            <w:tcW w:w="1114" w:type="pct"/>
          </w:tcPr>
          <w:p w14:paraId="4835AB8D" w14:textId="461A3EC6" w:rsidR="00821D26" w:rsidRPr="00821D26" w:rsidRDefault="008419F8" w:rsidP="00821D26">
            <w:pPr>
              <w:spacing w:after="0" w:line="240" w:lineRule="auto"/>
              <w:rPr>
                <w:sz w:val="20"/>
                <w:szCs w:val="20"/>
              </w:rPr>
            </w:pPr>
            <w:r>
              <w:rPr>
                <w:sz w:val="20"/>
                <w:szCs w:val="20"/>
              </w:rPr>
              <w:t xml:space="preserve"> 4 of </w:t>
            </w:r>
            <w:r w:rsidR="00821D26" w:rsidRPr="00821D26">
              <w:rPr>
                <w:sz w:val="20"/>
                <w:szCs w:val="20"/>
              </w:rPr>
              <w:t xml:space="preserve">4 Partnerships have been obtained with more expected. </w:t>
            </w:r>
          </w:p>
        </w:tc>
        <w:tc>
          <w:tcPr>
            <w:tcW w:w="980" w:type="pct"/>
          </w:tcPr>
          <w:p w14:paraId="4E03132B" w14:textId="77E70F23" w:rsidR="00821D26" w:rsidRPr="00821D26" w:rsidRDefault="008419F8" w:rsidP="00821D26">
            <w:pPr>
              <w:spacing w:after="0" w:line="240" w:lineRule="auto"/>
              <w:rPr>
                <w:sz w:val="20"/>
                <w:szCs w:val="20"/>
              </w:rPr>
            </w:pPr>
            <w:r>
              <w:rPr>
                <w:sz w:val="20"/>
                <w:szCs w:val="20"/>
              </w:rPr>
              <w:t xml:space="preserve"> Highly Satisfactory</w:t>
            </w:r>
          </w:p>
        </w:tc>
        <w:tc>
          <w:tcPr>
            <w:tcW w:w="980" w:type="pct"/>
          </w:tcPr>
          <w:p w14:paraId="67033561" w14:textId="77777777" w:rsidR="00821D26" w:rsidRPr="00821D26" w:rsidRDefault="00821D26" w:rsidP="00821D26">
            <w:pPr>
              <w:spacing w:after="0" w:line="240" w:lineRule="auto"/>
              <w:rPr>
                <w:sz w:val="20"/>
                <w:szCs w:val="20"/>
              </w:rPr>
            </w:pPr>
            <w:r w:rsidRPr="00821D26">
              <w:rPr>
                <w:sz w:val="20"/>
                <w:szCs w:val="20"/>
              </w:rPr>
              <w:t>A Partnership is 2 points of contact. Rather limited. 3 or more is recommended to better reflect the integrated approach. Under the present criterion, you could have 2 commercial entities qualify as a partnership, leaving out the producer. The partnership criterion should be expanded.</w:t>
            </w:r>
          </w:p>
        </w:tc>
        <w:tc>
          <w:tcPr>
            <w:tcW w:w="980" w:type="pct"/>
          </w:tcPr>
          <w:p w14:paraId="0123C580" w14:textId="77777777" w:rsidR="00821D26" w:rsidRPr="00821D26" w:rsidRDefault="00821D26" w:rsidP="00821D26">
            <w:pPr>
              <w:spacing w:after="0" w:line="240" w:lineRule="auto"/>
              <w:rPr>
                <w:sz w:val="20"/>
                <w:szCs w:val="20"/>
              </w:rPr>
            </w:pPr>
          </w:p>
        </w:tc>
      </w:tr>
      <w:tr w:rsidR="00821D26" w:rsidRPr="00821D26" w14:paraId="6E3B1A68" w14:textId="77777777" w:rsidTr="0006573A">
        <w:tc>
          <w:tcPr>
            <w:tcW w:w="946" w:type="pct"/>
          </w:tcPr>
          <w:p w14:paraId="788B9FD0" w14:textId="77777777" w:rsidR="00821D26" w:rsidRPr="00821D26" w:rsidRDefault="00821D26" w:rsidP="00821D26">
            <w:pPr>
              <w:spacing w:after="0" w:line="240" w:lineRule="auto"/>
              <w:rPr>
                <w:b/>
                <w:sz w:val="20"/>
                <w:szCs w:val="20"/>
              </w:rPr>
            </w:pPr>
            <w:r w:rsidRPr="00821D26">
              <w:rPr>
                <w:b/>
                <w:sz w:val="20"/>
                <w:szCs w:val="20"/>
              </w:rPr>
              <w:t>Outcome 1.1.</w:t>
            </w:r>
          </w:p>
        </w:tc>
        <w:tc>
          <w:tcPr>
            <w:tcW w:w="1114" w:type="pct"/>
          </w:tcPr>
          <w:p w14:paraId="1F7ED5E4" w14:textId="77777777" w:rsidR="00821D26" w:rsidRPr="00821D26" w:rsidRDefault="00821D26" w:rsidP="00821D26">
            <w:pPr>
              <w:spacing w:after="0" w:line="240" w:lineRule="auto"/>
              <w:rPr>
                <w:sz w:val="20"/>
                <w:szCs w:val="20"/>
              </w:rPr>
            </w:pPr>
            <w:r w:rsidRPr="00821D26">
              <w:rPr>
                <w:sz w:val="20"/>
                <w:szCs w:val="20"/>
              </w:rPr>
              <w:t>Outcome 1.1: the number of monthly GGP Secretariat calls and annual national level intervention plans to achieve expected Program goals and their effective implementation will exceed their target</w:t>
            </w:r>
          </w:p>
        </w:tc>
        <w:tc>
          <w:tcPr>
            <w:tcW w:w="980" w:type="pct"/>
          </w:tcPr>
          <w:p w14:paraId="5FE051E2" w14:textId="56787F20" w:rsidR="00821D26" w:rsidRPr="00821D26" w:rsidRDefault="00821D26" w:rsidP="00821D26">
            <w:pPr>
              <w:spacing w:after="0" w:line="240" w:lineRule="auto"/>
              <w:rPr>
                <w:sz w:val="20"/>
                <w:szCs w:val="20"/>
              </w:rPr>
            </w:pPr>
            <w:r w:rsidRPr="00821D26">
              <w:rPr>
                <w:sz w:val="20"/>
                <w:szCs w:val="20"/>
              </w:rPr>
              <w:t>(36) Outcome 1.1 has reached its target of the number of GGC secretariat calls. The target of 40 calls and 4 global integration plans has been exceeded with  4</w:t>
            </w:r>
            <w:r w:rsidR="008419F8">
              <w:rPr>
                <w:sz w:val="20"/>
                <w:szCs w:val="20"/>
              </w:rPr>
              <w:t>9</w:t>
            </w:r>
            <w:r w:rsidRPr="00821D26">
              <w:rPr>
                <w:sz w:val="20"/>
                <w:szCs w:val="20"/>
              </w:rPr>
              <w:t xml:space="preserve"> calls and 16 Plans Rating = HS</w:t>
            </w:r>
          </w:p>
        </w:tc>
        <w:tc>
          <w:tcPr>
            <w:tcW w:w="980" w:type="pct"/>
          </w:tcPr>
          <w:p w14:paraId="3BB244F0" w14:textId="77777777" w:rsidR="00821D26" w:rsidRPr="00821D26" w:rsidRDefault="00821D26" w:rsidP="00821D26">
            <w:pPr>
              <w:spacing w:after="0" w:line="240" w:lineRule="auto"/>
              <w:rPr>
                <w:sz w:val="20"/>
                <w:szCs w:val="20"/>
              </w:rPr>
            </w:pPr>
          </w:p>
        </w:tc>
        <w:tc>
          <w:tcPr>
            <w:tcW w:w="980" w:type="pct"/>
          </w:tcPr>
          <w:p w14:paraId="410B6C00" w14:textId="77777777" w:rsidR="00821D26" w:rsidRPr="00821D26" w:rsidRDefault="00821D26" w:rsidP="00821D26">
            <w:pPr>
              <w:spacing w:after="0" w:line="240" w:lineRule="auto"/>
              <w:rPr>
                <w:sz w:val="20"/>
                <w:szCs w:val="20"/>
              </w:rPr>
            </w:pPr>
          </w:p>
        </w:tc>
      </w:tr>
      <w:tr w:rsidR="00821D26" w:rsidRPr="00821D26" w14:paraId="7BE8CB3B" w14:textId="77777777" w:rsidTr="0006573A">
        <w:tc>
          <w:tcPr>
            <w:tcW w:w="946" w:type="pct"/>
          </w:tcPr>
          <w:p w14:paraId="6C7102E3" w14:textId="77777777" w:rsidR="00821D26" w:rsidRPr="00821D26" w:rsidRDefault="00821D26" w:rsidP="00821D26">
            <w:pPr>
              <w:spacing w:after="0" w:line="240" w:lineRule="auto"/>
              <w:rPr>
                <w:b/>
                <w:sz w:val="20"/>
                <w:szCs w:val="20"/>
              </w:rPr>
            </w:pPr>
            <w:r w:rsidRPr="00821D26">
              <w:rPr>
                <w:b/>
                <w:sz w:val="20"/>
                <w:szCs w:val="20"/>
              </w:rPr>
              <w:lastRenderedPageBreak/>
              <w:t>Outcome 1.2.</w:t>
            </w:r>
          </w:p>
        </w:tc>
        <w:tc>
          <w:tcPr>
            <w:tcW w:w="1114" w:type="pct"/>
          </w:tcPr>
          <w:p w14:paraId="4688A916" w14:textId="77777777" w:rsidR="00821D26" w:rsidRPr="00821D26" w:rsidRDefault="00821D26" w:rsidP="00821D26">
            <w:pPr>
              <w:spacing w:after="0" w:line="240" w:lineRule="auto"/>
              <w:rPr>
                <w:sz w:val="20"/>
                <w:szCs w:val="20"/>
              </w:rPr>
            </w:pPr>
            <w:r w:rsidRPr="00821D26">
              <w:rPr>
                <w:sz w:val="20"/>
                <w:szCs w:val="20"/>
              </w:rPr>
              <w:t>by the number of successful adaptive management practices that address bottlenecks in implementation or in attainment of Program goals. At least 2 Practices per year</w:t>
            </w:r>
          </w:p>
        </w:tc>
        <w:tc>
          <w:tcPr>
            <w:tcW w:w="980" w:type="pct"/>
          </w:tcPr>
          <w:p w14:paraId="03CB9D1E" w14:textId="77777777" w:rsidR="00821D26" w:rsidRPr="00821D26" w:rsidRDefault="00821D26" w:rsidP="00821D26">
            <w:pPr>
              <w:spacing w:after="0" w:line="240" w:lineRule="auto"/>
              <w:rPr>
                <w:sz w:val="20"/>
                <w:szCs w:val="20"/>
              </w:rPr>
            </w:pPr>
            <w:r w:rsidRPr="00821D26">
              <w:rPr>
                <w:sz w:val="20"/>
                <w:szCs w:val="20"/>
              </w:rPr>
              <w:t>14 calls : 8 expected =HS</w:t>
            </w:r>
          </w:p>
        </w:tc>
        <w:tc>
          <w:tcPr>
            <w:tcW w:w="980" w:type="pct"/>
          </w:tcPr>
          <w:p w14:paraId="35573F7F" w14:textId="77777777" w:rsidR="00821D26" w:rsidRPr="00821D26" w:rsidRDefault="00821D26" w:rsidP="00821D26">
            <w:pPr>
              <w:spacing w:after="0" w:line="240" w:lineRule="auto"/>
              <w:rPr>
                <w:sz w:val="20"/>
                <w:szCs w:val="20"/>
              </w:rPr>
            </w:pPr>
          </w:p>
        </w:tc>
        <w:tc>
          <w:tcPr>
            <w:tcW w:w="980" w:type="pct"/>
          </w:tcPr>
          <w:p w14:paraId="6F2BBC6E" w14:textId="77777777" w:rsidR="00821D26" w:rsidRPr="00821D26" w:rsidRDefault="00821D26" w:rsidP="00821D26">
            <w:pPr>
              <w:spacing w:after="0" w:line="240" w:lineRule="auto"/>
              <w:rPr>
                <w:sz w:val="20"/>
                <w:szCs w:val="20"/>
              </w:rPr>
            </w:pPr>
          </w:p>
        </w:tc>
      </w:tr>
      <w:tr w:rsidR="00821D26" w:rsidRPr="00821D26" w14:paraId="1AF6520D" w14:textId="77777777" w:rsidTr="0006573A">
        <w:tc>
          <w:tcPr>
            <w:tcW w:w="946" w:type="pct"/>
          </w:tcPr>
          <w:p w14:paraId="2CC99FA1" w14:textId="77777777" w:rsidR="00821D26" w:rsidRPr="00821D26" w:rsidRDefault="00821D26" w:rsidP="00821D26">
            <w:pPr>
              <w:spacing w:after="0" w:line="240" w:lineRule="auto"/>
              <w:rPr>
                <w:b/>
                <w:sz w:val="20"/>
                <w:szCs w:val="20"/>
              </w:rPr>
            </w:pPr>
            <w:r w:rsidRPr="00821D26">
              <w:rPr>
                <w:b/>
                <w:sz w:val="20"/>
                <w:szCs w:val="20"/>
              </w:rPr>
              <w:t xml:space="preserve">Outcome 2.1. </w:t>
            </w:r>
          </w:p>
        </w:tc>
        <w:tc>
          <w:tcPr>
            <w:tcW w:w="1114" w:type="pct"/>
          </w:tcPr>
          <w:p w14:paraId="4DFDAD71" w14:textId="77777777" w:rsidR="00821D26" w:rsidRPr="00821D26" w:rsidRDefault="00821D26" w:rsidP="00821D26">
            <w:pPr>
              <w:spacing w:after="0" w:line="240" w:lineRule="auto"/>
              <w:rPr>
                <w:sz w:val="20"/>
                <w:szCs w:val="20"/>
              </w:rPr>
            </w:pPr>
            <w:r w:rsidRPr="00821D26">
              <w:rPr>
                <w:sz w:val="20"/>
                <w:szCs w:val="20"/>
              </w:rPr>
              <w:t>Global platform, Evidensia; is established and functioning. 900 docs and 14,000 visitors at TE. Target = 150 docs and 5,000 visitors.</w:t>
            </w:r>
          </w:p>
        </w:tc>
        <w:tc>
          <w:tcPr>
            <w:tcW w:w="980" w:type="pct"/>
          </w:tcPr>
          <w:p w14:paraId="17F3AC9B" w14:textId="77777777" w:rsidR="00821D26" w:rsidRPr="00821D26" w:rsidRDefault="00821D26" w:rsidP="00821D26">
            <w:pPr>
              <w:spacing w:after="0" w:line="240" w:lineRule="auto"/>
              <w:rPr>
                <w:sz w:val="20"/>
                <w:szCs w:val="20"/>
              </w:rPr>
            </w:pPr>
            <w:r w:rsidRPr="00821D26">
              <w:rPr>
                <w:sz w:val="20"/>
                <w:szCs w:val="20"/>
              </w:rPr>
              <w:t>(37) Evidensia is functional but not yet endowed with syntheses to appeal to ministers, government officials or private sector</w:t>
            </w:r>
          </w:p>
        </w:tc>
        <w:tc>
          <w:tcPr>
            <w:tcW w:w="980" w:type="pct"/>
          </w:tcPr>
          <w:p w14:paraId="7A318701" w14:textId="77777777" w:rsidR="00821D26" w:rsidRPr="00821D26" w:rsidRDefault="00821D26" w:rsidP="00821D26">
            <w:pPr>
              <w:spacing w:after="0" w:line="240" w:lineRule="auto"/>
              <w:rPr>
                <w:sz w:val="20"/>
                <w:szCs w:val="20"/>
              </w:rPr>
            </w:pPr>
          </w:p>
        </w:tc>
        <w:tc>
          <w:tcPr>
            <w:tcW w:w="980" w:type="pct"/>
          </w:tcPr>
          <w:p w14:paraId="59152341" w14:textId="77777777" w:rsidR="00821D26" w:rsidRPr="00821D26" w:rsidRDefault="00821D26" w:rsidP="00821D26">
            <w:pPr>
              <w:spacing w:after="0" w:line="240" w:lineRule="auto"/>
              <w:rPr>
                <w:sz w:val="20"/>
                <w:szCs w:val="20"/>
              </w:rPr>
            </w:pPr>
          </w:p>
        </w:tc>
      </w:tr>
      <w:tr w:rsidR="00821D26" w:rsidRPr="00821D26" w14:paraId="1FBD30E3" w14:textId="77777777" w:rsidTr="0006573A">
        <w:tc>
          <w:tcPr>
            <w:tcW w:w="946" w:type="pct"/>
          </w:tcPr>
          <w:p w14:paraId="76B6839A" w14:textId="77777777" w:rsidR="00821D26" w:rsidRPr="00821D26" w:rsidRDefault="00821D26" w:rsidP="00821D26">
            <w:pPr>
              <w:spacing w:after="0" w:line="240" w:lineRule="auto"/>
              <w:rPr>
                <w:b/>
                <w:sz w:val="20"/>
                <w:szCs w:val="20"/>
              </w:rPr>
            </w:pPr>
            <w:r w:rsidRPr="00821D26">
              <w:rPr>
                <w:b/>
                <w:sz w:val="20"/>
                <w:szCs w:val="20"/>
              </w:rPr>
              <w:t xml:space="preserve">Outcome 2.2. </w:t>
            </w:r>
          </w:p>
        </w:tc>
        <w:tc>
          <w:tcPr>
            <w:tcW w:w="1114" w:type="pct"/>
          </w:tcPr>
          <w:p w14:paraId="52E3A4B4" w14:textId="77777777" w:rsidR="00821D26" w:rsidRPr="00821D26" w:rsidRDefault="00821D26" w:rsidP="00821D26">
            <w:pPr>
              <w:spacing w:after="0" w:line="240" w:lineRule="auto"/>
              <w:rPr>
                <w:sz w:val="20"/>
                <w:szCs w:val="20"/>
              </w:rPr>
            </w:pPr>
            <w:r w:rsidRPr="00821D26">
              <w:rPr>
                <w:sz w:val="20"/>
                <w:szCs w:val="20"/>
              </w:rPr>
              <w:t xml:space="preserve">12 synthesis documents= target. 13 obtained. </w:t>
            </w:r>
          </w:p>
          <w:p w14:paraId="02326DAD" w14:textId="77777777" w:rsidR="00821D26" w:rsidRPr="00821D26" w:rsidRDefault="00821D26" w:rsidP="00821D26">
            <w:pPr>
              <w:spacing w:after="0" w:line="240" w:lineRule="auto"/>
              <w:rPr>
                <w:sz w:val="20"/>
                <w:szCs w:val="20"/>
              </w:rPr>
            </w:pPr>
          </w:p>
          <w:p w14:paraId="63A648FB" w14:textId="77777777" w:rsidR="00821D26" w:rsidRPr="00821D26" w:rsidRDefault="00821D26" w:rsidP="00821D26">
            <w:pPr>
              <w:spacing w:after="0" w:line="240" w:lineRule="auto"/>
              <w:rPr>
                <w:sz w:val="20"/>
                <w:szCs w:val="20"/>
              </w:rPr>
            </w:pPr>
            <w:r w:rsidRPr="00821D26">
              <w:rPr>
                <w:sz w:val="20"/>
                <w:szCs w:val="20"/>
              </w:rPr>
              <w:t>The indicator is not aligned with the Outcome: A good functioning platform does not provide necessarily proof that taking deforestation out of commodity supply chains</w:t>
            </w:r>
          </w:p>
        </w:tc>
        <w:tc>
          <w:tcPr>
            <w:tcW w:w="980" w:type="pct"/>
          </w:tcPr>
          <w:p w14:paraId="7D4ABBCB" w14:textId="77777777" w:rsidR="00821D26" w:rsidRPr="00821D26" w:rsidRDefault="00821D26" w:rsidP="00821D26">
            <w:pPr>
              <w:spacing w:after="0" w:line="240" w:lineRule="auto"/>
              <w:rPr>
                <w:sz w:val="20"/>
                <w:szCs w:val="20"/>
              </w:rPr>
            </w:pPr>
            <w:r w:rsidRPr="00821D26">
              <w:rPr>
                <w:sz w:val="20"/>
                <w:szCs w:val="20"/>
              </w:rPr>
              <w:t>The platform is fully functional and has more information than programmed. Component 2 is a success. HS</w:t>
            </w:r>
          </w:p>
        </w:tc>
        <w:tc>
          <w:tcPr>
            <w:tcW w:w="980" w:type="pct"/>
          </w:tcPr>
          <w:p w14:paraId="37136032" w14:textId="77777777" w:rsidR="00821D26" w:rsidRPr="00821D26" w:rsidRDefault="00821D26" w:rsidP="00821D26">
            <w:pPr>
              <w:spacing w:after="0" w:line="240" w:lineRule="auto"/>
              <w:rPr>
                <w:sz w:val="20"/>
                <w:szCs w:val="20"/>
              </w:rPr>
            </w:pPr>
            <w:r w:rsidRPr="00821D26">
              <w:rPr>
                <w:sz w:val="20"/>
                <w:szCs w:val="20"/>
              </w:rPr>
              <w:t>Important product but more work needed to go to the heart of the evidence of VSS impact.  A Good Job establishing a functional platform and population. Need to produce synthesis for government ministers and private sector companies. The central is built, time to build the laterals. whish VSS is best for my company?</w:t>
            </w:r>
          </w:p>
        </w:tc>
        <w:tc>
          <w:tcPr>
            <w:tcW w:w="980" w:type="pct"/>
          </w:tcPr>
          <w:p w14:paraId="7D5E24F8" w14:textId="77777777" w:rsidR="00821D26" w:rsidRPr="00821D26" w:rsidRDefault="00821D26" w:rsidP="00821D26">
            <w:pPr>
              <w:spacing w:after="0" w:line="240" w:lineRule="auto"/>
              <w:rPr>
                <w:sz w:val="20"/>
                <w:szCs w:val="20"/>
              </w:rPr>
            </w:pPr>
          </w:p>
        </w:tc>
      </w:tr>
      <w:tr w:rsidR="00821D26" w:rsidRPr="00821D26" w14:paraId="65E58205" w14:textId="77777777" w:rsidTr="0006573A">
        <w:tc>
          <w:tcPr>
            <w:tcW w:w="946" w:type="pct"/>
          </w:tcPr>
          <w:p w14:paraId="3809326E" w14:textId="77777777" w:rsidR="00821D26" w:rsidRPr="00821D26" w:rsidRDefault="00821D26" w:rsidP="00821D26">
            <w:pPr>
              <w:spacing w:after="0" w:line="240" w:lineRule="auto"/>
              <w:rPr>
                <w:b/>
                <w:sz w:val="20"/>
                <w:szCs w:val="20"/>
              </w:rPr>
            </w:pPr>
            <w:r w:rsidRPr="00821D26">
              <w:rPr>
                <w:b/>
                <w:sz w:val="20"/>
                <w:szCs w:val="20"/>
              </w:rPr>
              <w:t xml:space="preserve">-Outcome 3.1. </w:t>
            </w:r>
          </w:p>
        </w:tc>
        <w:tc>
          <w:tcPr>
            <w:tcW w:w="1114" w:type="pct"/>
          </w:tcPr>
          <w:p w14:paraId="53E0881E" w14:textId="77777777" w:rsidR="00821D26" w:rsidRPr="00821D26" w:rsidRDefault="00821D26" w:rsidP="00821D26">
            <w:pPr>
              <w:spacing w:after="0" w:line="240" w:lineRule="auto"/>
              <w:rPr>
                <w:sz w:val="20"/>
                <w:szCs w:val="20"/>
              </w:rPr>
            </w:pPr>
            <w:r w:rsidRPr="00821D26">
              <w:rPr>
                <w:sz w:val="20"/>
                <w:szCs w:val="20"/>
              </w:rPr>
              <w:t xml:space="preserve">Knowledge products generated by the Program shared at National and Global Levels and relevant learning from other parties and other IAP Programs are shared, captured and leveraged. </w:t>
            </w:r>
          </w:p>
        </w:tc>
        <w:tc>
          <w:tcPr>
            <w:tcW w:w="980" w:type="pct"/>
          </w:tcPr>
          <w:p w14:paraId="67D2BECA" w14:textId="7C5401BC" w:rsidR="00821D26" w:rsidRPr="00821D26" w:rsidRDefault="00821D26" w:rsidP="00821D26">
            <w:pPr>
              <w:spacing w:after="0" w:line="240" w:lineRule="auto"/>
              <w:rPr>
                <w:sz w:val="20"/>
                <w:szCs w:val="20"/>
              </w:rPr>
            </w:pPr>
            <w:r w:rsidRPr="00821D26">
              <w:rPr>
                <w:sz w:val="20"/>
                <w:szCs w:val="20"/>
              </w:rPr>
              <w:t>(38) Products are very effective and good quality</w:t>
            </w:r>
          </w:p>
        </w:tc>
        <w:tc>
          <w:tcPr>
            <w:tcW w:w="980" w:type="pct"/>
          </w:tcPr>
          <w:p w14:paraId="1AEE27B2" w14:textId="77777777" w:rsidR="00821D26" w:rsidRPr="00821D26" w:rsidRDefault="00821D26" w:rsidP="00821D26">
            <w:pPr>
              <w:spacing w:after="0" w:line="240" w:lineRule="auto"/>
              <w:rPr>
                <w:sz w:val="20"/>
                <w:szCs w:val="20"/>
              </w:rPr>
            </w:pPr>
            <w:r w:rsidRPr="00821D26">
              <w:rPr>
                <w:sz w:val="20"/>
                <w:szCs w:val="20"/>
              </w:rPr>
              <w:t>Offer access to knowledge products on multiple platforms</w:t>
            </w:r>
          </w:p>
        </w:tc>
        <w:tc>
          <w:tcPr>
            <w:tcW w:w="980" w:type="pct"/>
          </w:tcPr>
          <w:p w14:paraId="3D75A91D" w14:textId="77777777" w:rsidR="00821D26" w:rsidRPr="00821D26" w:rsidRDefault="00821D26" w:rsidP="00821D26">
            <w:pPr>
              <w:spacing w:after="0" w:line="240" w:lineRule="auto"/>
              <w:rPr>
                <w:sz w:val="20"/>
                <w:szCs w:val="20"/>
              </w:rPr>
            </w:pPr>
          </w:p>
        </w:tc>
      </w:tr>
      <w:tr w:rsidR="00821D26" w:rsidRPr="00821D26" w14:paraId="4A656D2E" w14:textId="77777777" w:rsidTr="0006573A">
        <w:tc>
          <w:tcPr>
            <w:tcW w:w="946" w:type="pct"/>
          </w:tcPr>
          <w:p w14:paraId="30B9D468" w14:textId="77777777" w:rsidR="00821D26" w:rsidRPr="00821D26" w:rsidRDefault="00821D26" w:rsidP="00821D26">
            <w:pPr>
              <w:spacing w:after="0" w:line="240" w:lineRule="auto"/>
              <w:rPr>
                <w:b/>
                <w:sz w:val="20"/>
                <w:szCs w:val="20"/>
              </w:rPr>
            </w:pPr>
          </w:p>
          <w:p w14:paraId="64166468" w14:textId="77777777" w:rsidR="00821D26" w:rsidRPr="00821D26" w:rsidRDefault="00821D26" w:rsidP="00821D26">
            <w:pPr>
              <w:spacing w:after="0" w:line="240" w:lineRule="auto"/>
              <w:rPr>
                <w:b/>
                <w:sz w:val="20"/>
                <w:szCs w:val="20"/>
              </w:rPr>
            </w:pPr>
          </w:p>
          <w:p w14:paraId="4A16E6B0" w14:textId="77777777" w:rsidR="00821D26" w:rsidRPr="00821D26" w:rsidRDefault="00821D26" w:rsidP="00821D26">
            <w:pPr>
              <w:spacing w:after="0" w:line="240" w:lineRule="auto"/>
              <w:rPr>
                <w:b/>
                <w:sz w:val="20"/>
                <w:szCs w:val="20"/>
              </w:rPr>
            </w:pPr>
          </w:p>
        </w:tc>
        <w:tc>
          <w:tcPr>
            <w:tcW w:w="1114" w:type="pct"/>
          </w:tcPr>
          <w:p w14:paraId="6B9CBFE8" w14:textId="77777777" w:rsidR="00821D26" w:rsidRPr="00821D26" w:rsidRDefault="00821D26" w:rsidP="00821D26">
            <w:pPr>
              <w:spacing w:after="0" w:line="240" w:lineRule="auto"/>
              <w:rPr>
                <w:sz w:val="20"/>
                <w:szCs w:val="20"/>
              </w:rPr>
            </w:pPr>
            <w:r w:rsidRPr="00821D26">
              <w:rPr>
                <w:sz w:val="20"/>
                <w:szCs w:val="20"/>
              </w:rPr>
              <w:t>Broad Global Community of Practice shares lessons across countries but is very restrictive</w:t>
            </w:r>
          </w:p>
        </w:tc>
        <w:tc>
          <w:tcPr>
            <w:tcW w:w="980" w:type="pct"/>
          </w:tcPr>
          <w:p w14:paraId="777B1C8A" w14:textId="77777777" w:rsidR="00821D26" w:rsidRPr="00821D26" w:rsidRDefault="00821D26" w:rsidP="00821D26">
            <w:pPr>
              <w:spacing w:after="0" w:line="240" w:lineRule="auto"/>
              <w:rPr>
                <w:sz w:val="20"/>
                <w:szCs w:val="20"/>
              </w:rPr>
            </w:pPr>
            <w:r w:rsidRPr="00821D26">
              <w:rPr>
                <w:sz w:val="20"/>
                <w:szCs w:val="20"/>
              </w:rPr>
              <w:t>(39) Surprisingly small number of users at 200. For the investment, a very high price per user.</w:t>
            </w:r>
          </w:p>
        </w:tc>
        <w:tc>
          <w:tcPr>
            <w:tcW w:w="980" w:type="pct"/>
          </w:tcPr>
          <w:p w14:paraId="4902E4AD" w14:textId="77777777" w:rsidR="00821D26" w:rsidRPr="00821D26" w:rsidRDefault="00821D26" w:rsidP="00821D26">
            <w:pPr>
              <w:spacing w:after="0" w:line="240" w:lineRule="auto"/>
              <w:rPr>
                <w:sz w:val="20"/>
                <w:szCs w:val="20"/>
              </w:rPr>
            </w:pPr>
            <w:r w:rsidRPr="00821D26">
              <w:rPr>
                <w:sz w:val="20"/>
                <w:szCs w:val="20"/>
              </w:rPr>
              <w:t>Make all effort to expand the base of users</w:t>
            </w:r>
          </w:p>
        </w:tc>
        <w:tc>
          <w:tcPr>
            <w:tcW w:w="980" w:type="pct"/>
          </w:tcPr>
          <w:p w14:paraId="0F0B9525" w14:textId="77777777" w:rsidR="00821D26" w:rsidRPr="00821D26" w:rsidRDefault="00821D26" w:rsidP="00821D26">
            <w:pPr>
              <w:spacing w:after="0" w:line="240" w:lineRule="auto"/>
              <w:rPr>
                <w:sz w:val="20"/>
                <w:szCs w:val="20"/>
              </w:rPr>
            </w:pPr>
          </w:p>
        </w:tc>
      </w:tr>
      <w:tr w:rsidR="00821D26" w:rsidRPr="00821D26" w14:paraId="6E5E9B6C" w14:textId="77777777" w:rsidTr="0006573A">
        <w:tc>
          <w:tcPr>
            <w:tcW w:w="946" w:type="pct"/>
          </w:tcPr>
          <w:p w14:paraId="301A5527" w14:textId="77777777" w:rsidR="00821D26" w:rsidRPr="00821D26" w:rsidRDefault="00821D26" w:rsidP="00821D26">
            <w:pPr>
              <w:spacing w:after="0" w:line="240" w:lineRule="auto"/>
              <w:rPr>
                <w:b/>
                <w:sz w:val="20"/>
                <w:szCs w:val="20"/>
              </w:rPr>
            </w:pPr>
          </w:p>
        </w:tc>
        <w:tc>
          <w:tcPr>
            <w:tcW w:w="1114" w:type="pct"/>
          </w:tcPr>
          <w:p w14:paraId="7D419208" w14:textId="77777777" w:rsidR="00821D26" w:rsidRPr="00821D26" w:rsidRDefault="00821D26" w:rsidP="00821D26">
            <w:pPr>
              <w:spacing w:after="0" w:line="240" w:lineRule="auto"/>
              <w:rPr>
                <w:sz w:val="20"/>
                <w:szCs w:val="20"/>
              </w:rPr>
            </w:pPr>
            <w:r w:rsidRPr="00821D26">
              <w:rPr>
                <w:sz w:val="20"/>
                <w:szCs w:val="20"/>
              </w:rPr>
              <w:t xml:space="preserve">The platform was in the early stages of decline iwhen the pandemic struck (red line).  </w:t>
            </w:r>
          </w:p>
        </w:tc>
        <w:tc>
          <w:tcPr>
            <w:tcW w:w="980" w:type="pct"/>
          </w:tcPr>
          <w:p w14:paraId="578C2714" w14:textId="77777777" w:rsidR="00821D26" w:rsidRPr="00821D26" w:rsidRDefault="00821D26" w:rsidP="00821D26">
            <w:pPr>
              <w:spacing w:after="0" w:line="240" w:lineRule="auto"/>
              <w:rPr>
                <w:sz w:val="20"/>
                <w:szCs w:val="20"/>
              </w:rPr>
            </w:pPr>
            <w:r w:rsidRPr="00821D26">
              <w:rPr>
                <w:sz w:val="20"/>
                <w:szCs w:val="20"/>
              </w:rPr>
              <w:t xml:space="preserve">An in-person event every 2 years is important for sectors without a COP.  </w:t>
            </w:r>
          </w:p>
        </w:tc>
        <w:tc>
          <w:tcPr>
            <w:tcW w:w="980" w:type="pct"/>
          </w:tcPr>
          <w:p w14:paraId="36C412F1" w14:textId="77777777" w:rsidR="00821D26" w:rsidRPr="00821D26" w:rsidRDefault="00821D26" w:rsidP="00821D26">
            <w:pPr>
              <w:spacing w:after="0" w:line="240" w:lineRule="auto"/>
              <w:rPr>
                <w:sz w:val="20"/>
                <w:szCs w:val="20"/>
              </w:rPr>
            </w:pPr>
            <w:r w:rsidRPr="00821D26">
              <w:rPr>
                <w:sz w:val="20"/>
                <w:szCs w:val="20"/>
              </w:rPr>
              <w:t>Highly encourage GEF projects in the commodities spaces to budget attendance at the Good Growth Conference</w:t>
            </w:r>
          </w:p>
        </w:tc>
        <w:tc>
          <w:tcPr>
            <w:tcW w:w="980" w:type="pct"/>
          </w:tcPr>
          <w:p w14:paraId="1B1777E0" w14:textId="77777777" w:rsidR="00821D26" w:rsidRPr="00821D26" w:rsidRDefault="00821D26" w:rsidP="00821D26">
            <w:pPr>
              <w:spacing w:after="0" w:line="240" w:lineRule="auto"/>
              <w:rPr>
                <w:sz w:val="20"/>
                <w:szCs w:val="20"/>
              </w:rPr>
            </w:pPr>
          </w:p>
        </w:tc>
      </w:tr>
      <w:tr w:rsidR="00821D26" w:rsidRPr="00821D26" w14:paraId="22269628" w14:textId="77777777" w:rsidTr="0006573A">
        <w:tc>
          <w:tcPr>
            <w:tcW w:w="946" w:type="pct"/>
          </w:tcPr>
          <w:p w14:paraId="3E7D7047" w14:textId="77777777" w:rsidR="00821D26" w:rsidRPr="00821D26" w:rsidRDefault="00821D26" w:rsidP="00821D26">
            <w:pPr>
              <w:spacing w:after="0" w:line="240" w:lineRule="auto"/>
              <w:rPr>
                <w:b/>
                <w:sz w:val="20"/>
                <w:szCs w:val="20"/>
              </w:rPr>
            </w:pPr>
            <w:r w:rsidRPr="00821D26">
              <w:rPr>
                <w:b/>
                <w:sz w:val="20"/>
                <w:szCs w:val="20"/>
              </w:rPr>
              <w:lastRenderedPageBreak/>
              <w:t>Relevance</w:t>
            </w:r>
          </w:p>
        </w:tc>
        <w:tc>
          <w:tcPr>
            <w:tcW w:w="1114" w:type="pct"/>
          </w:tcPr>
          <w:p w14:paraId="6D4918F3" w14:textId="77777777" w:rsidR="00821D26" w:rsidRPr="00821D26" w:rsidRDefault="00821D26" w:rsidP="00821D26">
            <w:pPr>
              <w:spacing w:after="0" w:line="240" w:lineRule="auto"/>
              <w:rPr>
                <w:sz w:val="20"/>
                <w:szCs w:val="20"/>
              </w:rPr>
            </w:pPr>
            <w:r w:rsidRPr="00821D26">
              <w:rPr>
                <w:sz w:val="20"/>
                <w:szCs w:val="20"/>
              </w:rPr>
              <w:t>The project is aligned with SDG 2,5, 8, 12, 13. Aichi BD Targets, UNFCCC paris 2015, UNFF Global objective on forests.</w:t>
            </w:r>
          </w:p>
        </w:tc>
        <w:tc>
          <w:tcPr>
            <w:tcW w:w="980" w:type="pct"/>
          </w:tcPr>
          <w:p w14:paraId="284F1538" w14:textId="77777777" w:rsidR="00821D26" w:rsidRPr="00821D26" w:rsidRDefault="00821D26" w:rsidP="00821D26">
            <w:pPr>
              <w:spacing w:after="0" w:line="240" w:lineRule="auto"/>
              <w:rPr>
                <w:sz w:val="20"/>
                <w:szCs w:val="20"/>
              </w:rPr>
            </w:pPr>
            <w:r w:rsidRPr="00821D26">
              <w:rPr>
                <w:sz w:val="20"/>
                <w:szCs w:val="20"/>
              </w:rPr>
              <w:t>Through the child projects, alignment with national priorities</w:t>
            </w:r>
          </w:p>
          <w:p w14:paraId="7CEDD164" w14:textId="77777777" w:rsidR="00821D26" w:rsidRPr="00821D26" w:rsidRDefault="00821D26" w:rsidP="00821D26">
            <w:pPr>
              <w:spacing w:after="0" w:line="240" w:lineRule="auto"/>
              <w:rPr>
                <w:sz w:val="20"/>
                <w:szCs w:val="20"/>
              </w:rPr>
            </w:pPr>
          </w:p>
          <w:p w14:paraId="4A86F78B" w14:textId="77777777" w:rsidR="00821D26" w:rsidRPr="00821D26" w:rsidRDefault="00821D26" w:rsidP="00821D26">
            <w:pPr>
              <w:spacing w:after="0" w:line="240" w:lineRule="auto"/>
              <w:rPr>
                <w:sz w:val="20"/>
                <w:szCs w:val="20"/>
              </w:rPr>
            </w:pPr>
            <w:r w:rsidRPr="00821D26">
              <w:rPr>
                <w:sz w:val="20"/>
                <w:szCs w:val="20"/>
              </w:rPr>
              <w:t>Aligned with the priorities of partner organizations.</w:t>
            </w:r>
          </w:p>
          <w:p w14:paraId="36D3600B" w14:textId="77777777" w:rsidR="00821D26" w:rsidRPr="00821D26" w:rsidRDefault="00821D26" w:rsidP="00821D26">
            <w:pPr>
              <w:spacing w:after="0" w:line="240" w:lineRule="auto"/>
              <w:rPr>
                <w:sz w:val="20"/>
                <w:szCs w:val="20"/>
              </w:rPr>
            </w:pPr>
          </w:p>
          <w:p w14:paraId="661869F3" w14:textId="77777777" w:rsidR="00821D26" w:rsidRPr="00821D26" w:rsidRDefault="00821D26" w:rsidP="00821D26">
            <w:pPr>
              <w:spacing w:after="0" w:line="240" w:lineRule="auto"/>
              <w:rPr>
                <w:sz w:val="20"/>
                <w:szCs w:val="20"/>
              </w:rPr>
            </w:pPr>
            <w:r w:rsidRPr="00821D26">
              <w:rPr>
                <w:sz w:val="20"/>
                <w:szCs w:val="20"/>
              </w:rPr>
              <w:t>A ranking of 6=HS is warranted</w:t>
            </w:r>
          </w:p>
        </w:tc>
        <w:tc>
          <w:tcPr>
            <w:tcW w:w="980" w:type="pct"/>
          </w:tcPr>
          <w:p w14:paraId="51A574F4" w14:textId="77777777" w:rsidR="00821D26" w:rsidRPr="00821D26" w:rsidRDefault="00821D26" w:rsidP="00821D26">
            <w:pPr>
              <w:spacing w:after="0" w:line="240" w:lineRule="auto"/>
              <w:rPr>
                <w:sz w:val="20"/>
                <w:szCs w:val="20"/>
              </w:rPr>
            </w:pPr>
          </w:p>
        </w:tc>
        <w:tc>
          <w:tcPr>
            <w:tcW w:w="980" w:type="pct"/>
          </w:tcPr>
          <w:p w14:paraId="5384A123" w14:textId="77777777" w:rsidR="00821D26" w:rsidRPr="00821D26" w:rsidRDefault="00821D26" w:rsidP="00821D26">
            <w:pPr>
              <w:spacing w:after="0" w:line="240" w:lineRule="auto"/>
              <w:rPr>
                <w:sz w:val="20"/>
                <w:szCs w:val="20"/>
              </w:rPr>
            </w:pPr>
          </w:p>
        </w:tc>
      </w:tr>
      <w:tr w:rsidR="00821D26" w:rsidRPr="00821D26" w14:paraId="75940176" w14:textId="77777777" w:rsidTr="0006573A">
        <w:tc>
          <w:tcPr>
            <w:tcW w:w="946" w:type="pct"/>
          </w:tcPr>
          <w:p w14:paraId="3D5B3939" w14:textId="77777777" w:rsidR="00821D26" w:rsidRPr="00821D26" w:rsidRDefault="00821D26" w:rsidP="00821D26">
            <w:pPr>
              <w:spacing w:after="0" w:line="240" w:lineRule="auto"/>
              <w:rPr>
                <w:b/>
                <w:sz w:val="20"/>
                <w:szCs w:val="20"/>
              </w:rPr>
            </w:pPr>
            <w:r w:rsidRPr="00821D26">
              <w:rPr>
                <w:b/>
                <w:sz w:val="20"/>
                <w:szCs w:val="20"/>
              </w:rPr>
              <w:t>Effectiveness</w:t>
            </w:r>
          </w:p>
        </w:tc>
        <w:tc>
          <w:tcPr>
            <w:tcW w:w="1114" w:type="pct"/>
          </w:tcPr>
          <w:p w14:paraId="6FAF1E7D" w14:textId="77777777" w:rsidR="00821D26" w:rsidRPr="00821D26" w:rsidRDefault="00821D26" w:rsidP="00821D26">
            <w:pPr>
              <w:spacing w:after="0" w:line="240" w:lineRule="auto"/>
              <w:rPr>
                <w:sz w:val="20"/>
                <w:szCs w:val="20"/>
              </w:rPr>
            </w:pPr>
            <w:r w:rsidRPr="00821D26">
              <w:rPr>
                <w:sz w:val="20"/>
                <w:szCs w:val="20"/>
              </w:rPr>
              <w:t>The project has met almost all of its targets.</w:t>
            </w:r>
          </w:p>
          <w:p w14:paraId="2C3198FF" w14:textId="77777777" w:rsidR="00821D26" w:rsidRPr="00821D26" w:rsidRDefault="00821D26" w:rsidP="00821D26">
            <w:pPr>
              <w:spacing w:after="0" w:line="240" w:lineRule="auto"/>
              <w:rPr>
                <w:sz w:val="20"/>
                <w:szCs w:val="20"/>
              </w:rPr>
            </w:pPr>
          </w:p>
          <w:p w14:paraId="05C74495" w14:textId="77777777" w:rsidR="00821D26" w:rsidRPr="00821D26" w:rsidRDefault="00821D26" w:rsidP="00821D26">
            <w:pPr>
              <w:spacing w:after="0" w:line="240" w:lineRule="auto"/>
              <w:rPr>
                <w:sz w:val="20"/>
                <w:szCs w:val="20"/>
              </w:rPr>
            </w:pPr>
            <w:r w:rsidRPr="00821D26">
              <w:rPr>
                <w:sz w:val="20"/>
                <w:szCs w:val="20"/>
              </w:rPr>
              <w:t xml:space="preserve">The first year of operations was lost in bureaucracy. </w:t>
            </w:r>
          </w:p>
          <w:p w14:paraId="489EC8B8" w14:textId="77777777" w:rsidR="00821D26" w:rsidRPr="00821D26" w:rsidRDefault="00821D26" w:rsidP="00821D26">
            <w:pPr>
              <w:spacing w:after="0" w:line="240" w:lineRule="auto"/>
              <w:rPr>
                <w:sz w:val="20"/>
                <w:szCs w:val="20"/>
              </w:rPr>
            </w:pPr>
          </w:p>
          <w:p w14:paraId="0E87045A" w14:textId="77777777" w:rsidR="00821D26" w:rsidRPr="00821D26" w:rsidRDefault="00821D26" w:rsidP="00821D26">
            <w:pPr>
              <w:spacing w:after="0" w:line="240" w:lineRule="auto"/>
              <w:rPr>
                <w:sz w:val="20"/>
                <w:szCs w:val="20"/>
              </w:rPr>
            </w:pPr>
            <w:r w:rsidRPr="00821D26">
              <w:rPr>
                <w:sz w:val="20"/>
                <w:szCs w:val="20"/>
              </w:rPr>
              <w:t>The slow start-up was compensated by an enormous effort to get the project on track.</w:t>
            </w:r>
          </w:p>
          <w:p w14:paraId="6CBEAB70" w14:textId="77777777" w:rsidR="00821D26" w:rsidRPr="00821D26" w:rsidRDefault="00821D26" w:rsidP="00821D26">
            <w:pPr>
              <w:spacing w:after="0" w:line="240" w:lineRule="auto"/>
              <w:rPr>
                <w:sz w:val="20"/>
                <w:szCs w:val="20"/>
              </w:rPr>
            </w:pPr>
          </w:p>
          <w:p w14:paraId="69C3D11C" w14:textId="77777777" w:rsidR="00821D26" w:rsidRPr="00821D26" w:rsidRDefault="00821D26" w:rsidP="00821D26">
            <w:pPr>
              <w:spacing w:after="0" w:line="240" w:lineRule="auto"/>
              <w:rPr>
                <w:sz w:val="20"/>
                <w:szCs w:val="20"/>
              </w:rPr>
            </w:pPr>
            <w:r w:rsidRPr="00821D26">
              <w:rPr>
                <w:sz w:val="20"/>
                <w:szCs w:val="20"/>
              </w:rPr>
              <w:t>COVID h</w:t>
            </w:r>
          </w:p>
        </w:tc>
        <w:tc>
          <w:tcPr>
            <w:tcW w:w="980" w:type="pct"/>
          </w:tcPr>
          <w:p w14:paraId="183A0EE5" w14:textId="77777777" w:rsidR="00821D26" w:rsidRPr="00821D26" w:rsidRDefault="00821D26" w:rsidP="00821D26">
            <w:pPr>
              <w:spacing w:after="0" w:line="240" w:lineRule="auto"/>
              <w:rPr>
                <w:sz w:val="20"/>
                <w:szCs w:val="20"/>
              </w:rPr>
            </w:pPr>
            <w:r w:rsidRPr="00821D26">
              <w:rPr>
                <w:sz w:val="20"/>
                <w:szCs w:val="20"/>
              </w:rPr>
              <w:t>COVID 19 had a strong effect on components 1 and 3. Component 2 did not suffer as it was winding down when the pandemic was declared.</w:t>
            </w:r>
          </w:p>
          <w:p w14:paraId="065A1401" w14:textId="77777777" w:rsidR="00821D26" w:rsidRPr="00821D26" w:rsidRDefault="00821D26" w:rsidP="00821D26">
            <w:pPr>
              <w:spacing w:after="0" w:line="240" w:lineRule="auto"/>
              <w:rPr>
                <w:sz w:val="20"/>
                <w:szCs w:val="20"/>
              </w:rPr>
            </w:pPr>
          </w:p>
          <w:p w14:paraId="48BE0F4D" w14:textId="77777777" w:rsidR="00821D26" w:rsidRPr="00821D26" w:rsidRDefault="00821D26" w:rsidP="00821D26">
            <w:pPr>
              <w:spacing w:after="0" w:line="240" w:lineRule="auto"/>
              <w:rPr>
                <w:sz w:val="20"/>
                <w:szCs w:val="20"/>
              </w:rPr>
            </w:pPr>
            <w:r w:rsidRPr="00821D26">
              <w:rPr>
                <w:sz w:val="20"/>
                <w:szCs w:val="20"/>
              </w:rPr>
              <w:t>Taking into account the enormous effort to get the project on -track, a ranking of 5 or “S” is assigned</w:t>
            </w:r>
          </w:p>
        </w:tc>
        <w:tc>
          <w:tcPr>
            <w:tcW w:w="980" w:type="pct"/>
          </w:tcPr>
          <w:p w14:paraId="3E5DEBDE" w14:textId="77777777" w:rsidR="00821D26" w:rsidRPr="00821D26" w:rsidRDefault="00821D26" w:rsidP="00821D26">
            <w:pPr>
              <w:spacing w:after="0" w:line="240" w:lineRule="auto"/>
              <w:rPr>
                <w:sz w:val="20"/>
                <w:szCs w:val="20"/>
              </w:rPr>
            </w:pPr>
          </w:p>
        </w:tc>
        <w:tc>
          <w:tcPr>
            <w:tcW w:w="980" w:type="pct"/>
          </w:tcPr>
          <w:p w14:paraId="342E76E5" w14:textId="77777777" w:rsidR="00821D26" w:rsidRPr="00821D26" w:rsidRDefault="00821D26" w:rsidP="00821D26">
            <w:pPr>
              <w:spacing w:after="0" w:line="240" w:lineRule="auto"/>
              <w:rPr>
                <w:sz w:val="20"/>
                <w:szCs w:val="20"/>
              </w:rPr>
            </w:pPr>
          </w:p>
        </w:tc>
      </w:tr>
      <w:tr w:rsidR="00821D26" w:rsidRPr="00821D26" w14:paraId="773771CB" w14:textId="77777777" w:rsidTr="0006573A">
        <w:tc>
          <w:tcPr>
            <w:tcW w:w="946" w:type="pct"/>
          </w:tcPr>
          <w:p w14:paraId="4A08F6A4" w14:textId="77777777" w:rsidR="00821D26" w:rsidRPr="00821D26" w:rsidRDefault="00821D26" w:rsidP="00821D26">
            <w:pPr>
              <w:spacing w:after="0" w:line="240" w:lineRule="auto"/>
              <w:rPr>
                <w:b/>
                <w:sz w:val="20"/>
                <w:szCs w:val="20"/>
              </w:rPr>
            </w:pPr>
          </w:p>
        </w:tc>
        <w:tc>
          <w:tcPr>
            <w:tcW w:w="1114" w:type="pct"/>
          </w:tcPr>
          <w:p w14:paraId="54EAC546" w14:textId="77777777" w:rsidR="00821D26" w:rsidRPr="00821D26" w:rsidRDefault="00821D26" w:rsidP="00821D26">
            <w:pPr>
              <w:spacing w:after="0" w:line="240" w:lineRule="auto"/>
              <w:rPr>
                <w:sz w:val="20"/>
                <w:szCs w:val="20"/>
              </w:rPr>
            </w:pPr>
          </w:p>
        </w:tc>
        <w:tc>
          <w:tcPr>
            <w:tcW w:w="980" w:type="pct"/>
          </w:tcPr>
          <w:p w14:paraId="4D9EE426" w14:textId="77777777" w:rsidR="00821D26" w:rsidRPr="00821D26" w:rsidRDefault="00821D26" w:rsidP="00821D26">
            <w:pPr>
              <w:spacing w:after="0" w:line="240" w:lineRule="auto"/>
              <w:rPr>
                <w:sz w:val="20"/>
                <w:szCs w:val="20"/>
              </w:rPr>
            </w:pPr>
          </w:p>
        </w:tc>
        <w:tc>
          <w:tcPr>
            <w:tcW w:w="980" w:type="pct"/>
          </w:tcPr>
          <w:p w14:paraId="63A357D9" w14:textId="77777777" w:rsidR="00821D26" w:rsidRPr="00821D26" w:rsidRDefault="00821D26" w:rsidP="00821D26">
            <w:pPr>
              <w:spacing w:after="0" w:line="240" w:lineRule="auto"/>
              <w:rPr>
                <w:sz w:val="20"/>
                <w:szCs w:val="20"/>
              </w:rPr>
            </w:pPr>
          </w:p>
        </w:tc>
        <w:tc>
          <w:tcPr>
            <w:tcW w:w="980" w:type="pct"/>
          </w:tcPr>
          <w:p w14:paraId="0C6E1C11" w14:textId="77777777" w:rsidR="00821D26" w:rsidRPr="00821D26" w:rsidRDefault="00821D26" w:rsidP="00821D26">
            <w:pPr>
              <w:spacing w:after="0" w:line="240" w:lineRule="auto"/>
              <w:rPr>
                <w:sz w:val="20"/>
                <w:szCs w:val="20"/>
              </w:rPr>
            </w:pPr>
          </w:p>
        </w:tc>
      </w:tr>
      <w:tr w:rsidR="00821D26" w:rsidRPr="00821D26" w14:paraId="461CC838" w14:textId="77777777" w:rsidTr="0006573A">
        <w:tc>
          <w:tcPr>
            <w:tcW w:w="946" w:type="pct"/>
          </w:tcPr>
          <w:p w14:paraId="25156CBD" w14:textId="77777777" w:rsidR="00821D26" w:rsidRPr="00821D26" w:rsidRDefault="00821D26" w:rsidP="00821D26">
            <w:pPr>
              <w:spacing w:after="0" w:line="240" w:lineRule="auto"/>
              <w:rPr>
                <w:b/>
                <w:sz w:val="20"/>
                <w:szCs w:val="20"/>
              </w:rPr>
            </w:pPr>
          </w:p>
        </w:tc>
        <w:tc>
          <w:tcPr>
            <w:tcW w:w="1114" w:type="pct"/>
          </w:tcPr>
          <w:p w14:paraId="41F94908" w14:textId="77777777" w:rsidR="00821D26" w:rsidRPr="00821D26" w:rsidRDefault="00821D26" w:rsidP="00821D26">
            <w:pPr>
              <w:spacing w:after="0" w:line="240" w:lineRule="auto"/>
              <w:rPr>
                <w:sz w:val="20"/>
                <w:szCs w:val="20"/>
              </w:rPr>
            </w:pPr>
          </w:p>
        </w:tc>
        <w:tc>
          <w:tcPr>
            <w:tcW w:w="980" w:type="pct"/>
          </w:tcPr>
          <w:p w14:paraId="13737E7E" w14:textId="77777777" w:rsidR="00821D26" w:rsidRPr="00821D26" w:rsidRDefault="00821D26" w:rsidP="00821D26">
            <w:pPr>
              <w:spacing w:after="0" w:line="240" w:lineRule="auto"/>
              <w:rPr>
                <w:sz w:val="20"/>
                <w:szCs w:val="20"/>
              </w:rPr>
            </w:pPr>
          </w:p>
        </w:tc>
        <w:tc>
          <w:tcPr>
            <w:tcW w:w="980" w:type="pct"/>
          </w:tcPr>
          <w:p w14:paraId="50C85F4B" w14:textId="77777777" w:rsidR="00821D26" w:rsidRPr="00821D26" w:rsidRDefault="00821D26" w:rsidP="00821D26">
            <w:pPr>
              <w:spacing w:after="0" w:line="240" w:lineRule="auto"/>
              <w:rPr>
                <w:sz w:val="20"/>
                <w:szCs w:val="20"/>
              </w:rPr>
            </w:pPr>
          </w:p>
        </w:tc>
        <w:tc>
          <w:tcPr>
            <w:tcW w:w="980" w:type="pct"/>
          </w:tcPr>
          <w:p w14:paraId="31FCB0F0" w14:textId="77777777" w:rsidR="00821D26" w:rsidRPr="00821D26" w:rsidRDefault="00821D26" w:rsidP="00821D26">
            <w:pPr>
              <w:spacing w:after="0" w:line="240" w:lineRule="auto"/>
              <w:rPr>
                <w:sz w:val="20"/>
                <w:szCs w:val="20"/>
              </w:rPr>
            </w:pPr>
          </w:p>
        </w:tc>
      </w:tr>
      <w:tr w:rsidR="00821D26" w:rsidRPr="00821D26" w14:paraId="4BDA4CD2" w14:textId="77777777" w:rsidTr="0006573A">
        <w:tc>
          <w:tcPr>
            <w:tcW w:w="946" w:type="pct"/>
          </w:tcPr>
          <w:p w14:paraId="5939EECC" w14:textId="77777777" w:rsidR="00821D26" w:rsidRPr="00821D26" w:rsidRDefault="00821D26" w:rsidP="00821D26">
            <w:pPr>
              <w:spacing w:after="0" w:line="240" w:lineRule="auto"/>
              <w:rPr>
                <w:b/>
                <w:sz w:val="20"/>
                <w:szCs w:val="20"/>
              </w:rPr>
            </w:pPr>
            <w:r w:rsidRPr="00821D26">
              <w:rPr>
                <w:b/>
                <w:sz w:val="20"/>
                <w:szCs w:val="20"/>
              </w:rPr>
              <w:t>Efficiency</w:t>
            </w:r>
          </w:p>
        </w:tc>
        <w:tc>
          <w:tcPr>
            <w:tcW w:w="1114" w:type="pct"/>
          </w:tcPr>
          <w:p w14:paraId="1E8AFBE0" w14:textId="77777777" w:rsidR="00821D26" w:rsidRPr="00821D26" w:rsidRDefault="00821D26" w:rsidP="00821D26">
            <w:pPr>
              <w:spacing w:after="0" w:line="240" w:lineRule="auto"/>
              <w:rPr>
                <w:sz w:val="20"/>
                <w:szCs w:val="20"/>
              </w:rPr>
            </w:pPr>
            <w:r w:rsidRPr="00821D26">
              <w:rPr>
                <w:sz w:val="20"/>
                <w:szCs w:val="20"/>
              </w:rPr>
              <w:t xml:space="preserve">Efficiency was enhanced by: Progress towards outcomes, </w:t>
            </w:r>
          </w:p>
          <w:p w14:paraId="54ED8C34" w14:textId="77777777" w:rsidR="00821D26" w:rsidRPr="00821D26" w:rsidRDefault="00821D26" w:rsidP="00821D26">
            <w:pPr>
              <w:spacing w:after="0" w:line="240" w:lineRule="auto"/>
              <w:rPr>
                <w:sz w:val="20"/>
                <w:szCs w:val="20"/>
              </w:rPr>
            </w:pPr>
          </w:p>
          <w:p w14:paraId="382879D6" w14:textId="77777777" w:rsidR="00821D26" w:rsidRPr="00821D26" w:rsidRDefault="00821D26" w:rsidP="00821D26">
            <w:pPr>
              <w:spacing w:after="0" w:line="240" w:lineRule="auto"/>
              <w:rPr>
                <w:sz w:val="20"/>
                <w:szCs w:val="20"/>
              </w:rPr>
            </w:pPr>
          </w:p>
          <w:p w14:paraId="03D6E382" w14:textId="77777777" w:rsidR="00821D26" w:rsidRPr="00821D26" w:rsidRDefault="00821D26" w:rsidP="00821D26">
            <w:pPr>
              <w:spacing w:after="0" w:line="240" w:lineRule="auto"/>
              <w:rPr>
                <w:sz w:val="20"/>
                <w:szCs w:val="20"/>
              </w:rPr>
            </w:pPr>
            <w:r w:rsidRPr="00821D26">
              <w:rPr>
                <w:sz w:val="20"/>
                <w:szCs w:val="20"/>
              </w:rPr>
              <w:t>Thematic consultants, M&amp;E, Knowledge Products, the GCC; GCP assets, among others.</w:t>
            </w:r>
          </w:p>
          <w:p w14:paraId="65E2A0C1" w14:textId="77777777" w:rsidR="00821D26" w:rsidRPr="00821D26" w:rsidRDefault="00821D26" w:rsidP="00821D26">
            <w:pPr>
              <w:spacing w:after="0" w:line="240" w:lineRule="auto"/>
              <w:rPr>
                <w:sz w:val="20"/>
                <w:szCs w:val="20"/>
              </w:rPr>
            </w:pPr>
          </w:p>
          <w:p w14:paraId="423E0499" w14:textId="77777777" w:rsidR="00821D26" w:rsidRPr="00821D26" w:rsidRDefault="00821D26" w:rsidP="00821D26">
            <w:pPr>
              <w:spacing w:after="0" w:line="240" w:lineRule="auto"/>
              <w:rPr>
                <w:sz w:val="20"/>
                <w:szCs w:val="20"/>
              </w:rPr>
            </w:pPr>
            <w:r w:rsidRPr="00821D26">
              <w:rPr>
                <w:sz w:val="20"/>
                <w:szCs w:val="20"/>
              </w:rPr>
              <w:t>Efficiency was challenged by: insufficient budget, time-sharing of professional (not full dedication) COVID, and a late project start-up.</w:t>
            </w:r>
          </w:p>
        </w:tc>
        <w:tc>
          <w:tcPr>
            <w:tcW w:w="980" w:type="pct"/>
          </w:tcPr>
          <w:p w14:paraId="60433E6B" w14:textId="77777777" w:rsidR="00821D26" w:rsidRPr="00821D26" w:rsidRDefault="00821D26" w:rsidP="00821D26">
            <w:pPr>
              <w:spacing w:after="0" w:line="240" w:lineRule="auto"/>
              <w:rPr>
                <w:sz w:val="20"/>
                <w:szCs w:val="20"/>
              </w:rPr>
            </w:pPr>
            <w:r w:rsidRPr="00821D26">
              <w:rPr>
                <w:sz w:val="20"/>
                <w:szCs w:val="20"/>
              </w:rPr>
              <w:t>Balancing the +´s and -´s, a ranking of 5=S is assigned for satisfactory efficiency.</w:t>
            </w:r>
          </w:p>
        </w:tc>
        <w:tc>
          <w:tcPr>
            <w:tcW w:w="980" w:type="pct"/>
          </w:tcPr>
          <w:p w14:paraId="0EBE6ABD" w14:textId="77777777" w:rsidR="00821D26" w:rsidRPr="00821D26" w:rsidRDefault="00821D26" w:rsidP="00821D26">
            <w:pPr>
              <w:spacing w:after="0" w:line="240" w:lineRule="auto"/>
              <w:rPr>
                <w:sz w:val="20"/>
                <w:szCs w:val="20"/>
              </w:rPr>
            </w:pPr>
          </w:p>
        </w:tc>
        <w:tc>
          <w:tcPr>
            <w:tcW w:w="980" w:type="pct"/>
          </w:tcPr>
          <w:p w14:paraId="3A117C4C" w14:textId="77777777" w:rsidR="00821D26" w:rsidRPr="00821D26" w:rsidRDefault="00821D26" w:rsidP="00821D26">
            <w:pPr>
              <w:spacing w:after="0" w:line="240" w:lineRule="auto"/>
              <w:rPr>
                <w:sz w:val="20"/>
                <w:szCs w:val="20"/>
              </w:rPr>
            </w:pPr>
          </w:p>
        </w:tc>
      </w:tr>
      <w:tr w:rsidR="00821D26" w:rsidRPr="00821D26" w14:paraId="4D7CD551" w14:textId="77777777" w:rsidTr="0006573A">
        <w:tc>
          <w:tcPr>
            <w:tcW w:w="946" w:type="pct"/>
          </w:tcPr>
          <w:p w14:paraId="10C1ECA2" w14:textId="77777777" w:rsidR="00821D26" w:rsidRPr="00821D26" w:rsidRDefault="00821D26" w:rsidP="00821D26">
            <w:pPr>
              <w:spacing w:after="0" w:line="240" w:lineRule="auto"/>
              <w:rPr>
                <w:b/>
                <w:sz w:val="20"/>
                <w:szCs w:val="20"/>
              </w:rPr>
            </w:pPr>
            <w:r w:rsidRPr="00821D26">
              <w:rPr>
                <w:b/>
                <w:sz w:val="20"/>
                <w:szCs w:val="20"/>
              </w:rPr>
              <w:t>Social and Environmental Safeguards</w:t>
            </w:r>
          </w:p>
        </w:tc>
        <w:tc>
          <w:tcPr>
            <w:tcW w:w="1114" w:type="pct"/>
          </w:tcPr>
          <w:p w14:paraId="7A9FBC3E" w14:textId="77777777" w:rsidR="00821D26" w:rsidRPr="00821D26" w:rsidRDefault="00821D26" w:rsidP="00821D26">
            <w:pPr>
              <w:spacing w:after="0" w:line="240" w:lineRule="auto"/>
              <w:rPr>
                <w:sz w:val="20"/>
                <w:szCs w:val="20"/>
              </w:rPr>
            </w:pPr>
            <w:r w:rsidRPr="00821D26">
              <w:rPr>
                <w:sz w:val="20"/>
                <w:szCs w:val="20"/>
              </w:rPr>
              <w:t>A&amp;L is a management project, no environmental or social risks were identified or reported to GEF</w:t>
            </w:r>
          </w:p>
        </w:tc>
        <w:tc>
          <w:tcPr>
            <w:tcW w:w="980" w:type="pct"/>
          </w:tcPr>
          <w:p w14:paraId="5D059BF8" w14:textId="77777777" w:rsidR="00821D26" w:rsidRPr="00821D26" w:rsidRDefault="00821D26" w:rsidP="00821D26">
            <w:pPr>
              <w:spacing w:after="0" w:line="240" w:lineRule="auto"/>
              <w:rPr>
                <w:sz w:val="20"/>
                <w:szCs w:val="20"/>
              </w:rPr>
            </w:pPr>
            <w:r w:rsidRPr="00821D26">
              <w:rPr>
                <w:sz w:val="20"/>
                <w:szCs w:val="20"/>
              </w:rPr>
              <w:t>There are no social or environmental issues that require special attention.</w:t>
            </w:r>
          </w:p>
        </w:tc>
        <w:tc>
          <w:tcPr>
            <w:tcW w:w="980" w:type="pct"/>
          </w:tcPr>
          <w:p w14:paraId="3B3D6644" w14:textId="77777777" w:rsidR="00821D26" w:rsidRPr="00821D26" w:rsidRDefault="00821D26" w:rsidP="00821D26">
            <w:pPr>
              <w:spacing w:after="0" w:line="240" w:lineRule="auto"/>
              <w:rPr>
                <w:sz w:val="20"/>
                <w:szCs w:val="20"/>
              </w:rPr>
            </w:pPr>
            <w:r w:rsidRPr="00821D26">
              <w:rPr>
                <w:sz w:val="20"/>
                <w:szCs w:val="20"/>
              </w:rPr>
              <w:t>A rescreening should be done every year to avoid being stuck with changing conditions.</w:t>
            </w:r>
          </w:p>
        </w:tc>
        <w:tc>
          <w:tcPr>
            <w:tcW w:w="980" w:type="pct"/>
          </w:tcPr>
          <w:p w14:paraId="3D890B21" w14:textId="77777777" w:rsidR="00821D26" w:rsidRPr="00821D26" w:rsidRDefault="00821D26" w:rsidP="00821D26">
            <w:pPr>
              <w:spacing w:after="0" w:line="240" w:lineRule="auto"/>
              <w:rPr>
                <w:sz w:val="20"/>
                <w:szCs w:val="20"/>
              </w:rPr>
            </w:pPr>
          </w:p>
        </w:tc>
      </w:tr>
      <w:tr w:rsidR="00821D26" w:rsidRPr="00821D26" w14:paraId="414C2C93" w14:textId="77777777" w:rsidTr="0006573A">
        <w:tc>
          <w:tcPr>
            <w:tcW w:w="946" w:type="pct"/>
          </w:tcPr>
          <w:p w14:paraId="49106695" w14:textId="77777777" w:rsidR="00821D26" w:rsidRPr="00821D26" w:rsidRDefault="00821D26" w:rsidP="00821D26">
            <w:pPr>
              <w:spacing w:after="0" w:line="240" w:lineRule="auto"/>
              <w:rPr>
                <w:b/>
                <w:sz w:val="20"/>
                <w:szCs w:val="20"/>
              </w:rPr>
            </w:pPr>
          </w:p>
        </w:tc>
        <w:tc>
          <w:tcPr>
            <w:tcW w:w="1114" w:type="pct"/>
          </w:tcPr>
          <w:p w14:paraId="153C3A06" w14:textId="77777777" w:rsidR="00821D26" w:rsidRPr="00821D26" w:rsidRDefault="00821D26" w:rsidP="00821D26">
            <w:pPr>
              <w:spacing w:after="0" w:line="240" w:lineRule="auto"/>
              <w:rPr>
                <w:sz w:val="20"/>
                <w:szCs w:val="20"/>
              </w:rPr>
            </w:pPr>
            <w:r w:rsidRPr="00821D26">
              <w:rPr>
                <w:sz w:val="20"/>
                <w:szCs w:val="20"/>
              </w:rPr>
              <w:t>Ample stakeholder participation within the governance structures</w:t>
            </w:r>
          </w:p>
        </w:tc>
        <w:tc>
          <w:tcPr>
            <w:tcW w:w="980" w:type="pct"/>
          </w:tcPr>
          <w:p w14:paraId="428AAE21" w14:textId="77777777" w:rsidR="00821D26" w:rsidRPr="00821D26" w:rsidRDefault="00821D26" w:rsidP="00821D26">
            <w:pPr>
              <w:spacing w:after="0" w:line="240" w:lineRule="auto"/>
              <w:rPr>
                <w:sz w:val="20"/>
                <w:szCs w:val="20"/>
              </w:rPr>
            </w:pPr>
          </w:p>
        </w:tc>
        <w:tc>
          <w:tcPr>
            <w:tcW w:w="980" w:type="pct"/>
          </w:tcPr>
          <w:p w14:paraId="5D46F96F" w14:textId="77777777" w:rsidR="00821D26" w:rsidRPr="00821D26" w:rsidRDefault="00821D26" w:rsidP="00821D26">
            <w:pPr>
              <w:spacing w:after="0" w:line="240" w:lineRule="auto"/>
              <w:rPr>
                <w:sz w:val="20"/>
                <w:szCs w:val="20"/>
              </w:rPr>
            </w:pPr>
          </w:p>
        </w:tc>
        <w:tc>
          <w:tcPr>
            <w:tcW w:w="980" w:type="pct"/>
          </w:tcPr>
          <w:p w14:paraId="06DC022D" w14:textId="77777777" w:rsidR="00821D26" w:rsidRPr="00821D26" w:rsidRDefault="00821D26" w:rsidP="00821D26">
            <w:pPr>
              <w:spacing w:after="0" w:line="240" w:lineRule="auto"/>
              <w:rPr>
                <w:sz w:val="20"/>
                <w:szCs w:val="20"/>
              </w:rPr>
            </w:pPr>
          </w:p>
        </w:tc>
      </w:tr>
      <w:tr w:rsidR="00821D26" w:rsidRPr="00821D26" w14:paraId="03DA152F" w14:textId="77777777" w:rsidTr="0006573A">
        <w:tc>
          <w:tcPr>
            <w:tcW w:w="946" w:type="pct"/>
          </w:tcPr>
          <w:p w14:paraId="2256CE08" w14:textId="77777777" w:rsidR="00821D26" w:rsidRPr="00821D26" w:rsidRDefault="00821D26" w:rsidP="00821D26">
            <w:pPr>
              <w:spacing w:after="0" w:line="240" w:lineRule="auto"/>
              <w:rPr>
                <w:b/>
                <w:sz w:val="20"/>
                <w:szCs w:val="20"/>
              </w:rPr>
            </w:pPr>
          </w:p>
        </w:tc>
        <w:tc>
          <w:tcPr>
            <w:tcW w:w="1114" w:type="pct"/>
          </w:tcPr>
          <w:p w14:paraId="772ADF72" w14:textId="77777777" w:rsidR="00821D26" w:rsidRPr="00821D26" w:rsidRDefault="00821D26" w:rsidP="00821D26">
            <w:pPr>
              <w:spacing w:after="0" w:line="240" w:lineRule="auto"/>
              <w:rPr>
                <w:sz w:val="20"/>
                <w:szCs w:val="20"/>
              </w:rPr>
            </w:pPr>
            <w:r w:rsidRPr="00821D26">
              <w:rPr>
                <w:sz w:val="20"/>
                <w:szCs w:val="20"/>
              </w:rPr>
              <w:t>There is a grievance mechanism visible on the GGP website. no visible grievance mechanism is within reach anywhere else.</w:t>
            </w:r>
          </w:p>
        </w:tc>
        <w:tc>
          <w:tcPr>
            <w:tcW w:w="980" w:type="pct"/>
          </w:tcPr>
          <w:p w14:paraId="42CB10C0" w14:textId="77777777" w:rsidR="00821D26" w:rsidRPr="00821D26" w:rsidRDefault="00821D26" w:rsidP="00821D26">
            <w:pPr>
              <w:spacing w:after="0" w:line="240" w:lineRule="auto"/>
              <w:rPr>
                <w:sz w:val="20"/>
                <w:szCs w:val="20"/>
              </w:rPr>
            </w:pPr>
            <w:r w:rsidRPr="00821D26">
              <w:rPr>
                <w:sz w:val="20"/>
                <w:szCs w:val="20"/>
              </w:rPr>
              <w:t>Grievance mechanisms should be posted</w:t>
            </w:r>
          </w:p>
        </w:tc>
        <w:tc>
          <w:tcPr>
            <w:tcW w:w="980" w:type="pct"/>
          </w:tcPr>
          <w:p w14:paraId="034E64CE" w14:textId="77777777" w:rsidR="00821D26" w:rsidRPr="00821D26" w:rsidRDefault="00821D26" w:rsidP="00821D26">
            <w:pPr>
              <w:spacing w:after="0" w:line="240" w:lineRule="auto"/>
              <w:rPr>
                <w:sz w:val="20"/>
                <w:szCs w:val="20"/>
              </w:rPr>
            </w:pPr>
            <w:r w:rsidRPr="00821D26">
              <w:rPr>
                <w:sz w:val="20"/>
                <w:szCs w:val="20"/>
              </w:rPr>
              <w:t>Grievance mechanisms must be described in the project operations manual and be posted in a visible place. It must permit anonymity.</w:t>
            </w:r>
          </w:p>
        </w:tc>
        <w:tc>
          <w:tcPr>
            <w:tcW w:w="980" w:type="pct"/>
          </w:tcPr>
          <w:p w14:paraId="717DD826" w14:textId="77777777" w:rsidR="00821D26" w:rsidRPr="00821D26" w:rsidRDefault="00821D26" w:rsidP="00821D26">
            <w:pPr>
              <w:spacing w:after="0" w:line="240" w:lineRule="auto"/>
              <w:rPr>
                <w:sz w:val="20"/>
                <w:szCs w:val="20"/>
              </w:rPr>
            </w:pPr>
          </w:p>
        </w:tc>
      </w:tr>
      <w:tr w:rsidR="00821D26" w:rsidRPr="00821D26" w14:paraId="636653C7" w14:textId="77777777" w:rsidTr="0006573A">
        <w:tc>
          <w:tcPr>
            <w:tcW w:w="946" w:type="pct"/>
          </w:tcPr>
          <w:p w14:paraId="606B5B5A" w14:textId="77777777" w:rsidR="00821D26" w:rsidRPr="00821D26" w:rsidRDefault="00821D26" w:rsidP="00821D26">
            <w:pPr>
              <w:spacing w:after="0" w:line="240" w:lineRule="auto"/>
              <w:rPr>
                <w:b/>
                <w:sz w:val="20"/>
                <w:szCs w:val="20"/>
              </w:rPr>
            </w:pPr>
          </w:p>
        </w:tc>
        <w:tc>
          <w:tcPr>
            <w:tcW w:w="1114" w:type="pct"/>
          </w:tcPr>
          <w:p w14:paraId="119C7D24" w14:textId="77777777" w:rsidR="00821D26" w:rsidRPr="00821D26" w:rsidRDefault="00821D26" w:rsidP="00821D26">
            <w:pPr>
              <w:spacing w:after="0" w:line="240" w:lineRule="auto"/>
              <w:rPr>
                <w:sz w:val="20"/>
                <w:szCs w:val="20"/>
              </w:rPr>
            </w:pPr>
          </w:p>
        </w:tc>
        <w:tc>
          <w:tcPr>
            <w:tcW w:w="980" w:type="pct"/>
          </w:tcPr>
          <w:p w14:paraId="3B7981B4" w14:textId="77777777" w:rsidR="00821D26" w:rsidRPr="00821D26" w:rsidRDefault="00821D26" w:rsidP="00821D26">
            <w:pPr>
              <w:spacing w:after="0" w:line="240" w:lineRule="auto"/>
              <w:rPr>
                <w:sz w:val="20"/>
                <w:szCs w:val="20"/>
              </w:rPr>
            </w:pPr>
          </w:p>
        </w:tc>
        <w:tc>
          <w:tcPr>
            <w:tcW w:w="980" w:type="pct"/>
          </w:tcPr>
          <w:p w14:paraId="3F71B600" w14:textId="77777777" w:rsidR="00821D26" w:rsidRPr="00821D26" w:rsidRDefault="00821D26" w:rsidP="00821D26">
            <w:pPr>
              <w:spacing w:after="0" w:line="240" w:lineRule="auto"/>
              <w:rPr>
                <w:sz w:val="20"/>
                <w:szCs w:val="20"/>
              </w:rPr>
            </w:pPr>
          </w:p>
        </w:tc>
        <w:tc>
          <w:tcPr>
            <w:tcW w:w="980" w:type="pct"/>
          </w:tcPr>
          <w:p w14:paraId="085FEF27" w14:textId="77777777" w:rsidR="00821D26" w:rsidRPr="00821D26" w:rsidRDefault="00821D26" w:rsidP="00821D26">
            <w:pPr>
              <w:spacing w:after="0" w:line="240" w:lineRule="auto"/>
              <w:rPr>
                <w:sz w:val="20"/>
                <w:szCs w:val="20"/>
              </w:rPr>
            </w:pPr>
          </w:p>
        </w:tc>
      </w:tr>
      <w:tr w:rsidR="00821D26" w:rsidRPr="00821D26" w14:paraId="7EB07FF6" w14:textId="77777777" w:rsidTr="0006573A">
        <w:tc>
          <w:tcPr>
            <w:tcW w:w="946" w:type="pct"/>
          </w:tcPr>
          <w:p w14:paraId="67A8E45D" w14:textId="77777777" w:rsidR="00821D26" w:rsidRPr="00821D26" w:rsidRDefault="00821D26" w:rsidP="00821D26">
            <w:pPr>
              <w:spacing w:after="0" w:line="240" w:lineRule="auto"/>
              <w:rPr>
                <w:b/>
                <w:sz w:val="20"/>
                <w:szCs w:val="20"/>
              </w:rPr>
            </w:pPr>
          </w:p>
        </w:tc>
        <w:tc>
          <w:tcPr>
            <w:tcW w:w="1114" w:type="pct"/>
          </w:tcPr>
          <w:p w14:paraId="554DB347" w14:textId="77777777" w:rsidR="00821D26" w:rsidRPr="00821D26" w:rsidRDefault="00821D26" w:rsidP="00821D26">
            <w:pPr>
              <w:spacing w:after="0" w:line="240" w:lineRule="auto"/>
              <w:rPr>
                <w:sz w:val="20"/>
                <w:szCs w:val="20"/>
              </w:rPr>
            </w:pPr>
          </w:p>
        </w:tc>
        <w:tc>
          <w:tcPr>
            <w:tcW w:w="980" w:type="pct"/>
          </w:tcPr>
          <w:p w14:paraId="20E38F6D" w14:textId="77777777" w:rsidR="00821D26" w:rsidRPr="00821D26" w:rsidRDefault="00821D26" w:rsidP="00821D26">
            <w:pPr>
              <w:spacing w:after="0" w:line="240" w:lineRule="auto"/>
              <w:rPr>
                <w:sz w:val="20"/>
                <w:szCs w:val="20"/>
              </w:rPr>
            </w:pPr>
          </w:p>
        </w:tc>
        <w:tc>
          <w:tcPr>
            <w:tcW w:w="980" w:type="pct"/>
          </w:tcPr>
          <w:p w14:paraId="5501F9E6" w14:textId="77777777" w:rsidR="00821D26" w:rsidRPr="00821D26" w:rsidRDefault="00821D26" w:rsidP="00821D26">
            <w:pPr>
              <w:spacing w:after="0" w:line="240" w:lineRule="auto"/>
              <w:rPr>
                <w:sz w:val="20"/>
                <w:szCs w:val="20"/>
              </w:rPr>
            </w:pPr>
          </w:p>
        </w:tc>
        <w:tc>
          <w:tcPr>
            <w:tcW w:w="980" w:type="pct"/>
          </w:tcPr>
          <w:p w14:paraId="47DCDA53" w14:textId="77777777" w:rsidR="00821D26" w:rsidRPr="00821D26" w:rsidRDefault="00821D26" w:rsidP="00821D26">
            <w:pPr>
              <w:spacing w:after="0" w:line="240" w:lineRule="auto"/>
              <w:rPr>
                <w:sz w:val="20"/>
                <w:szCs w:val="20"/>
              </w:rPr>
            </w:pPr>
          </w:p>
        </w:tc>
      </w:tr>
      <w:tr w:rsidR="00821D26" w:rsidRPr="00821D26" w14:paraId="44B3037A" w14:textId="77777777" w:rsidTr="0006573A">
        <w:tc>
          <w:tcPr>
            <w:tcW w:w="946" w:type="pct"/>
          </w:tcPr>
          <w:p w14:paraId="5429EA17" w14:textId="77777777" w:rsidR="00821D26" w:rsidRPr="00821D26" w:rsidRDefault="00821D26" w:rsidP="00821D26">
            <w:pPr>
              <w:spacing w:after="0" w:line="240" w:lineRule="auto"/>
              <w:rPr>
                <w:b/>
                <w:sz w:val="20"/>
                <w:szCs w:val="20"/>
              </w:rPr>
            </w:pPr>
          </w:p>
        </w:tc>
        <w:tc>
          <w:tcPr>
            <w:tcW w:w="1114" w:type="pct"/>
          </w:tcPr>
          <w:p w14:paraId="67065995" w14:textId="77777777" w:rsidR="00821D26" w:rsidRPr="00821D26" w:rsidRDefault="00821D26" w:rsidP="00821D26">
            <w:pPr>
              <w:spacing w:after="0" w:line="240" w:lineRule="auto"/>
              <w:rPr>
                <w:sz w:val="20"/>
                <w:szCs w:val="20"/>
              </w:rPr>
            </w:pPr>
          </w:p>
        </w:tc>
        <w:tc>
          <w:tcPr>
            <w:tcW w:w="980" w:type="pct"/>
          </w:tcPr>
          <w:p w14:paraId="79A7922D" w14:textId="77777777" w:rsidR="00821D26" w:rsidRPr="00821D26" w:rsidRDefault="00821D26" w:rsidP="00821D26">
            <w:pPr>
              <w:spacing w:after="0" w:line="240" w:lineRule="auto"/>
              <w:rPr>
                <w:sz w:val="20"/>
                <w:szCs w:val="20"/>
              </w:rPr>
            </w:pPr>
            <w:r w:rsidRPr="00821D26">
              <w:rPr>
                <w:sz w:val="20"/>
                <w:szCs w:val="20"/>
              </w:rPr>
              <w:t>Post MTR M&amp;E function effective in developing tools and procedures</w:t>
            </w:r>
          </w:p>
        </w:tc>
        <w:tc>
          <w:tcPr>
            <w:tcW w:w="980" w:type="pct"/>
          </w:tcPr>
          <w:p w14:paraId="2C9FBB84" w14:textId="77777777" w:rsidR="00821D26" w:rsidRPr="00821D26" w:rsidRDefault="00821D26" w:rsidP="00821D26">
            <w:pPr>
              <w:spacing w:after="0" w:line="240" w:lineRule="auto"/>
              <w:rPr>
                <w:sz w:val="20"/>
                <w:szCs w:val="20"/>
              </w:rPr>
            </w:pPr>
          </w:p>
        </w:tc>
        <w:tc>
          <w:tcPr>
            <w:tcW w:w="980" w:type="pct"/>
          </w:tcPr>
          <w:p w14:paraId="06E9717A" w14:textId="77777777" w:rsidR="00821D26" w:rsidRPr="00821D26" w:rsidRDefault="00821D26" w:rsidP="00821D26">
            <w:pPr>
              <w:spacing w:after="0" w:line="240" w:lineRule="auto"/>
              <w:rPr>
                <w:sz w:val="20"/>
                <w:szCs w:val="20"/>
              </w:rPr>
            </w:pPr>
          </w:p>
        </w:tc>
      </w:tr>
      <w:tr w:rsidR="00821D26" w:rsidRPr="00821D26" w14:paraId="57AF5933" w14:textId="77777777" w:rsidTr="0006573A">
        <w:tc>
          <w:tcPr>
            <w:tcW w:w="946" w:type="pct"/>
          </w:tcPr>
          <w:p w14:paraId="229934F7" w14:textId="77777777" w:rsidR="00821D26" w:rsidRPr="00821D26" w:rsidRDefault="00821D26" w:rsidP="00821D26">
            <w:pPr>
              <w:spacing w:after="0" w:line="240" w:lineRule="auto"/>
              <w:rPr>
                <w:b/>
                <w:sz w:val="20"/>
                <w:szCs w:val="20"/>
              </w:rPr>
            </w:pPr>
          </w:p>
        </w:tc>
        <w:tc>
          <w:tcPr>
            <w:tcW w:w="1114" w:type="pct"/>
          </w:tcPr>
          <w:p w14:paraId="6A91B2CE" w14:textId="77777777" w:rsidR="00821D26" w:rsidRPr="00821D26" w:rsidRDefault="00821D26" w:rsidP="00821D26">
            <w:pPr>
              <w:spacing w:after="0" w:line="240" w:lineRule="auto"/>
              <w:rPr>
                <w:sz w:val="20"/>
                <w:szCs w:val="20"/>
              </w:rPr>
            </w:pPr>
          </w:p>
        </w:tc>
        <w:tc>
          <w:tcPr>
            <w:tcW w:w="980" w:type="pct"/>
          </w:tcPr>
          <w:p w14:paraId="7285892F" w14:textId="77777777" w:rsidR="00821D26" w:rsidRPr="00821D26" w:rsidRDefault="00821D26" w:rsidP="00821D26">
            <w:pPr>
              <w:spacing w:after="0" w:line="240" w:lineRule="auto"/>
              <w:rPr>
                <w:sz w:val="20"/>
                <w:szCs w:val="20"/>
              </w:rPr>
            </w:pPr>
          </w:p>
        </w:tc>
        <w:tc>
          <w:tcPr>
            <w:tcW w:w="980" w:type="pct"/>
          </w:tcPr>
          <w:p w14:paraId="07ECD60D" w14:textId="77777777" w:rsidR="00821D26" w:rsidRPr="00821D26" w:rsidRDefault="00821D26" w:rsidP="00821D26">
            <w:pPr>
              <w:spacing w:after="0" w:line="240" w:lineRule="auto"/>
              <w:rPr>
                <w:sz w:val="20"/>
                <w:szCs w:val="20"/>
              </w:rPr>
            </w:pPr>
          </w:p>
        </w:tc>
        <w:tc>
          <w:tcPr>
            <w:tcW w:w="980" w:type="pct"/>
          </w:tcPr>
          <w:p w14:paraId="23DC5B82" w14:textId="77777777" w:rsidR="00821D26" w:rsidRPr="00821D26" w:rsidRDefault="00821D26" w:rsidP="00821D26">
            <w:pPr>
              <w:spacing w:after="0" w:line="240" w:lineRule="auto"/>
              <w:rPr>
                <w:sz w:val="20"/>
                <w:szCs w:val="20"/>
              </w:rPr>
            </w:pPr>
          </w:p>
        </w:tc>
      </w:tr>
      <w:tr w:rsidR="00821D26" w:rsidRPr="00821D26" w14:paraId="0F5B8741" w14:textId="77777777" w:rsidTr="0006573A">
        <w:tc>
          <w:tcPr>
            <w:tcW w:w="946" w:type="pct"/>
          </w:tcPr>
          <w:p w14:paraId="7CFDE499" w14:textId="77777777" w:rsidR="00821D26" w:rsidRPr="00821D26" w:rsidRDefault="00821D26" w:rsidP="00821D26">
            <w:pPr>
              <w:spacing w:after="0" w:line="240" w:lineRule="auto"/>
              <w:rPr>
                <w:b/>
                <w:sz w:val="20"/>
                <w:szCs w:val="20"/>
              </w:rPr>
            </w:pPr>
          </w:p>
        </w:tc>
        <w:tc>
          <w:tcPr>
            <w:tcW w:w="1114" w:type="pct"/>
          </w:tcPr>
          <w:p w14:paraId="3337B114" w14:textId="77777777" w:rsidR="00821D26" w:rsidRPr="00821D26" w:rsidRDefault="00821D26" w:rsidP="00821D26">
            <w:pPr>
              <w:spacing w:after="0" w:line="240" w:lineRule="auto"/>
              <w:rPr>
                <w:sz w:val="20"/>
                <w:szCs w:val="20"/>
              </w:rPr>
            </w:pPr>
          </w:p>
        </w:tc>
        <w:tc>
          <w:tcPr>
            <w:tcW w:w="980" w:type="pct"/>
          </w:tcPr>
          <w:p w14:paraId="7A910A87" w14:textId="77777777" w:rsidR="00821D26" w:rsidRPr="00821D26" w:rsidRDefault="00821D26" w:rsidP="00821D26">
            <w:pPr>
              <w:spacing w:after="0" w:line="240" w:lineRule="auto"/>
              <w:rPr>
                <w:sz w:val="20"/>
                <w:szCs w:val="20"/>
              </w:rPr>
            </w:pPr>
            <w:r w:rsidRPr="00821D26">
              <w:rPr>
                <w:sz w:val="20"/>
                <w:szCs w:val="20"/>
              </w:rPr>
              <w:t>Governance structure and communications enhanced feedback and decision making</w:t>
            </w:r>
          </w:p>
        </w:tc>
        <w:tc>
          <w:tcPr>
            <w:tcW w:w="980" w:type="pct"/>
          </w:tcPr>
          <w:p w14:paraId="294DDB13" w14:textId="77777777" w:rsidR="00821D26" w:rsidRPr="00821D26" w:rsidRDefault="00821D26" w:rsidP="00821D26">
            <w:pPr>
              <w:spacing w:after="0" w:line="240" w:lineRule="auto"/>
              <w:rPr>
                <w:sz w:val="20"/>
                <w:szCs w:val="20"/>
              </w:rPr>
            </w:pPr>
          </w:p>
        </w:tc>
        <w:tc>
          <w:tcPr>
            <w:tcW w:w="980" w:type="pct"/>
          </w:tcPr>
          <w:p w14:paraId="2ADA2F76" w14:textId="77777777" w:rsidR="00821D26" w:rsidRPr="00821D26" w:rsidRDefault="00821D26" w:rsidP="00821D26">
            <w:pPr>
              <w:spacing w:after="0" w:line="240" w:lineRule="auto"/>
              <w:rPr>
                <w:sz w:val="20"/>
                <w:szCs w:val="20"/>
              </w:rPr>
            </w:pPr>
            <w:r w:rsidRPr="00821D26">
              <w:rPr>
                <w:sz w:val="20"/>
                <w:szCs w:val="20"/>
              </w:rPr>
              <w:t>Linking spaces for national and subnational engagement and action.</w:t>
            </w:r>
          </w:p>
        </w:tc>
      </w:tr>
      <w:tr w:rsidR="00821D26" w:rsidRPr="00821D26" w14:paraId="7A3079C1" w14:textId="77777777" w:rsidTr="0006573A">
        <w:tc>
          <w:tcPr>
            <w:tcW w:w="946" w:type="pct"/>
          </w:tcPr>
          <w:p w14:paraId="456083BB" w14:textId="77777777" w:rsidR="00821D26" w:rsidRPr="00821D26" w:rsidRDefault="00821D26" w:rsidP="00821D26">
            <w:pPr>
              <w:spacing w:after="0" w:line="240" w:lineRule="auto"/>
              <w:rPr>
                <w:b/>
                <w:sz w:val="20"/>
                <w:szCs w:val="20"/>
              </w:rPr>
            </w:pPr>
          </w:p>
        </w:tc>
        <w:tc>
          <w:tcPr>
            <w:tcW w:w="1114" w:type="pct"/>
          </w:tcPr>
          <w:p w14:paraId="22AA82D7" w14:textId="77777777" w:rsidR="00821D26" w:rsidRPr="00821D26" w:rsidRDefault="00821D26" w:rsidP="00821D26">
            <w:pPr>
              <w:spacing w:after="0" w:line="240" w:lineRule="auto"/>
              <w:rPr>
                <w:sz w:val="20"/>
                <w:szCs w:val="20"/>
              </w:rPr>
            </w:pPr>
          </w:p>
        </w:tc>
        <w:tc>
          <w:tcPr>
            <w:tcW w:w="980" w:type="pct"/>
          </w:tcPr>
          <w:p w14:paraId="026A26C9" w14:textId="77777777" w:rsidR="00821D26" w:rsidRPr="00821D26" w:rsidRDefault="00821D26" w:rsidP="00821D26">
            <w:pPr>
              <w:spacing w:after="0" w:line="240" w:lineRule="auto"/>
              <w:rPr>
                <w:sz w:val="20"/>
                <w:szCs w:val="20"/>
              </w:rPr>
            </w:pPr>
            <w:r w:rsidRPr="00821D26">
              <w:rPr>
                <w:sz w:val="20"/>
                <w:szCs w:val="20"/>
              </w:rPr>
              <w:t>Global Database functioning</w:t>
            </w:r>
          </w:p>
        </w:tc>
        <w:tc>
          <w:tcPr>
            <w:tcW w:w="980" w:type="pct"/>
          </w:tcPr>
          <w:p w14:paraId="3D5E94BB" w14:textId="77777777" w:rsidR="00821D26" w:rsidRPr="00821D26" w:rsidRDefault="00821D26" w:rsidP="00821D26">
            <w:pPr>
              <w:spacing w:after="0" w:line="240" w:lineRule="auto"/>
              <w:rPr>
                <w:sz w:val="20"/>
                <w:szCs w:val="20"/>
              </w:rPr>
            </w:pPr>
          </w:p>
        </w:tc>
        <w:tc>
          <w:tcPr>
            <w:tcW w:w="980" w:type="pct"/>
          </w:tcPr>
          <w:p w14:paraId="707CAE1D" w14:textId="77777777" w:rsidR="00821D26" w:rsidRPr="00821D26" w:rsidRDefault="00821D26" w:rsidP="00821D26">
            <w:pPr>
              <w:spacing w:after="0" w:line="240" w:lineRule="auto"/>
              <w:rPr>
                <w:sz w:val="20"/>
                <w:szCs w:val="20"/>
              </w:rPr>
            </w:pPr>
          </w:p>
        </w:tc>
      </w:tr>
      <w:tr w:rsidR="00821D26" w:rsidRPr="00821D26" w14:paraId="0313579B" w14:textId="77777777" w:rsidTr="0006573A">
        <w:tc>
          <w:tcPr>
            <w:tcW w:w="946" w:type="pct"/>
          </w:tcPr>
          <w:p w14:paraId="30BBDE9F" w14:textId="77777777" w:rsidR="00821D26" w:rsidRPr="00821D26" w:rsidRDefault="00821D26" w:rsidP="00821D26">
            <w:pPr>
              <w:spacing w:after="0" w:line="240" w:lineRule="auto"/>
              <w:rPr>
                <w:b/>
                <w:sz w:val="20"/>
                <w:szCs w:val="20"/>
              </w:rPr>
            </w:pPr>
          </w:p>
        </w:tc>
        <w:tc>
          <w:tcPr>
            <w:tcW w:w="1114" w:type="pct"/>
          </w:tcPr>
          <w:p w14:paraId="325836D4" w14:textId="77777777" w:rsidR="00821D26" w:rsidRPr="00821D26" w:rsidRDefault="00821D26" w:rsidP="00821D26">
            <w:pPr>
              <w:spacing w:after="0" w:line="240" w:lineRule="auto"/>
              <w:rPr>
                <w:sz w:val="20"/>
                <w:szCs w:val="20"/>
              </w:rPr>
            </w:pPr>
          </w:p>
        </w:tc>
        <w:tc>
          <w:tcPr>
            <w:tcW w:w="980" w:type="pct"/>
          </w:tcPr>
          <w:p w14:paraId="7D3C3E46" w14:textId="77777777" w:rsidR="00821D26" w:rsidRPr="00821D26" w:rsidRDefault="00821D26" w:rsidP="00821D26">
            <w:pPr>
              <w:spacing w:after="0" w:line="240" w:lineRule="auto"/>
              <w:rPr>
                <w:sz w:val="20"/>
                <w:szCs w:val="20"/>
              </w:rPr>
            </w:pPr>
            <w:r w:rsidRPr="00821D26">
              <w:rPr>
                <w:sz w:val="20"/>
                <w:szCs w:val="20"/>
              </w:rPr>
              <w:t xml:space="preserve">Country level spaces are as important as international for a and sometimes more difficult to obtain. Multi-stakeholder frameworks. </w:t>
            </w:r>
          </w:p>
        </w:tc>
        <w:tc>
          <w:tcPr>
            <w:tcW w:w="980" w:type="pct"/>
          </w:tcPr>
          <w:p w14:paraId="0B2E0CC7" w14:textId="77777777" w:rsidR="00821D26" w:rsidRPr="00821D26" w:rsidRDefault="00821D26" w:rsidP="00821D26">
            <w:pPr>
              <w:spacing w:after="0" w:line="240" w:lineRule="auto"/>
              <w:rPr>
                <w:sz w:val="20"/>
                <w:szCs w:val="20"/>
              </w:rPr>
            </w:pPr>
          </w:p>
        </w:tc>
        <w:tc>
          <w:tcPr>
            <w:tcW w:w="980" w:type="pct"/>
          </w:tcPr>
          <w:p w14:paraId="00ACDFD3" w14:textId="77777777" w:rsidR="00821D26" w:rsidRPr="00821D26" w:rsidRDefault="00821D26" w:rsidP="00821D26">
            <w:pPr>
              <w:spacing w:after="0" w:line="240" w:lineRule="auto"/>
              <w:rPr>
                <w:sz w:val="20"/>
                <w:szCs w:val="20"/>
              </w:rPr>
            </w:pPr>
          </w:p>
        </w:tc>
      </w:tr>
      <w:tr w:rsidR="00821D26" w:rsidRPr="00821D26" w14:paraId="5F7CAD83" w14:textId="77777777" w:rsidTr="0006573A">
        <w:tc>
          <w:tcPr>
            <w:tcW w:w="946" w:type="pct"/>
          </w:tcPr>
          <w:p w14:paraId="18148065" w14:textId="77777777" w:rsidR="00821D26" w:rsidRPr="00821D26" w:rsidRDefault="00821D26" w:rsidP="00821D26">
            <w:pPr>
              <w:spacing w:after="0" w:line="240" w:lineRule="auto"/>
              <w:rPr>
                <w:b/>
                <w:sz w:val="20"/>
                <w:szCs w:val="20"/>
              </w:rPr>
            </w:pPr>
          </w:p>
        </w:tc>
        <w:tc>
          <w:tcPr>
            <w:tcW w:w="1114" w:type="pct"/>
          </w:tcPr>
          <w:p w14:paraId="658E72AC" w14:textId="77777777" w:rsidR="00821D26" w:rsidRPr="00821D26" w:rsidRDefault="00821D26" w:rsidP="00821D26">
            <w:pPr>
              <w:spacing w:after="0" w:line="240" w:lineRule="auto"/>
              <w:rPr>
                <w:sz w:val="20"/>
                <w:szCs w:val="20"/>
              </w:rPr>
            </w:pPr>
          </w:p>
        </w:tc>
        <w:tc>
          <w:tcPr>
            <w:tcW w:w="980" w:type="pct"/>
          </w:tcPr>
          <w:p w14:paraId="24D22915" w14:textId="77777777" w:rsidR="00821D26" w:rsidRPr="00821D26" w:rsidRDefault="00821D26" w:rsidP="00821D26">
            <w:pPr>
              <w:spacing w:after="0" w:line="240" w:lineRule="auto"/>
              <w:rPr>
                <w:sz w:val="20"/>
                <w:szCs w:val="20"/>
              </w:rPr>
            </w:pPr>
            <w:r w:rsidRPr="00821D26">
              <w:rPr>
                <w:sz w:val="20"/>
                <w:szCs w:val="20"/>
              </w:rPr>
              <w:t>GC established; too limited in reach</w:t>
            </w:r>
          </w:p>
        </w:tc>
        <w:tc>
          <w:tcPr>
            <w:tcW w:w="980" w:type="pct"/>
          </w:tcPr>
          <w:p w14:paraId="2D7EDEB3" w14:textId="77777777" w:rsidR="00821D26" w:rsidRPr="00821D26" w:rsidRDefault="00821D26" w:rsidP="00821D26">
            <w:pPr>
              <w:spacing w:after="0" w:line="240" w:lineRule="auto"/>
              <w:ind w:left="360"/>
              <w:rPr>
                <w:sz w:val="20"/>
                <w:szCs w:val="20"/>
              </w:rPr>
            </w:pPr>
          </w:p>
        </w:tc>
        <w:tc>
          <w:tcPr>
            <w:tcW w:w="980" w:type="pct"/>
          </w:tcPr>
          <w:p w14:paraId="77324B38" w14:textId="77777777" w:rsidR="00821D26" w:rsidRPr="00821D26" w:rsidRDefault="00821D26" w:rsidP="00821D26">
            <w:pPr>
              <w:spacing w:after="0" w:line="240" w:lineRule="auto"/>
              <w:ind w:left="360"/>
              <w:rPr>
                <w:sz w:val="20"/>
                <w:szCs w:val="20"/>
              </w:rPr>
            </w:pPr>
          </w:p>
        </w:tc>
      </w:tr>
      <w:tr w:rsidR="00821D26" w:rsidRPr="00821D26" w14:paraId="3D649576" w14:textId="77777777" w:rsidTr="0006573A">
        <w:tc>
          <w:tcPr>
            <w:tcW w:w="946" w:type="pct"/>
          </w:tcPr>
          <w:p w14:paraId="4D195255" w14:textId="77777777" w:rsidR="00821D26" w:rsidRPr="00821D26" w:rsidRDefault="00821D26" w:rsidP="00821D26">
            <w:pPr>
              <w:spacing w:after="0" w:line="240" w:lineRule="auto"/>
              <w:rPr>
                <w:b/>
                <w:sz w:val="20"/>
                <w:szCs w:val="20"/>
              </w:rPr>
            </w:pPr>
          </w:p>
        </w:tc>
        <w:tc>
          <w:tcPr>
            <w:tcW w:w="1114" w:type="pct"/>
          </w:tcPr>
          <w:p w14:paraId="5F785541" w14:textId="77777777" w:rsidR="00821D26" w:rsidRPr="00821D26" w:rsidRDefault="00821D26" w:rsidP="00821D26">
            <w:pPr>
              <w:spacing w:after="0" w:line="240" w:lineRule="auto"/>
              <w:rPr>
                <w:sz w:val="20"/>
                <w:szCs w:val="20"/>
              </w:rPr>
            </w:pPr>
            <w:r w:rsidRPr="00821D26">
              <w:rPr>
                <w:sz w:val="20"/>
                <w:szCs w:val="20"/>
              </w:rPr>
              <w:t>Working with supply chain complexity</w:t>
            </w:r>
          </w:p>
        </w:tc>
        <w:tc>
          <w:tcPr>
            <w:tcW w:w="980" w:type="pct"/>
          </w:tcPr>
          <w:p w14:paraId="266B784E" w14:textId="77777777" w:rsidR="00821D26" w:rsidRPr="00821D26" w:rsidRDefault="00821D26" w:rsidP="00821D26">
            <w:pPr>
              <w:spacing w:after="0" w:line="240" w:lineRule="auto"/>
              <w:rPr>
                <w:sz w:val="20"/>
                <w:szCs w:val="20"/>
              </w:rPr>
            </w:pPr>
            <w:r w:rsidRPr="00821D26">
              <w:rPr>
                <w:sz w:val="20"/>
                <w:szCs w:val="20"/>
              </w:rPr>
              <w:t>In the countries and commodities that piloted this approach, the integrated approach is needed, as none of the individual ToC could work by themselves.</w:t>
            </w:r>
          </w:p>
        </w:tc>
        <w:tc>
          <w:tcPr>
            <w:tcW w:w="980" w:type="pct"/>
          </w:tcPr>
          <w:p w14:paraId="03F30C13" w14:textId="77777777" w:rsidR="00821D26" w:rsidRPr="00821D26" w:rsidRDefault="00821D26" w:rsidP="00821D26">
            <w:pPr>
              <w:spacing w:after="0" w:line="240" w:lineRule="auto"/>
              <w:rPr>
                <w:sz w:val="20"/>
                <w:szCs w:val="20"/>
              </w:rPr>
            </w:pPr>
          </w:p>
        </w:tc>
        <w:tc>
          <w:tcPr>
            <w:tcW w:w="980" w:type="pct"/>
          </w:tcPr>
          <w:p w14:paraId="1E22F02C" w14:textId="77777777" w:rsidR="00821D26" w:rsidRPr="00821D26" w:rsidRDefault="00821D26" w:rsidP="00821D26">
            <w:pPr>
              <w:spacing w:after="0" w:line="240" w:lineRule="auto"/>
              <w:rPr>
                <w:sz w:val="20"/>
                <w:szCs w:val="20"/>
              </w:rPr>
            </w:pPr>
            <w:r w:rsidRPr="00821D26">
              <w:rPr>
                <w:sz w:val="20"/>
                <w:szCs w:val="20"/>
              </w:rPr>
              <w:t>A key lesson is the need for tools and approaches to nest and integrate demand, production, transaction, and policy reforms better together</w:t>
            </w:r>
          </w:p>
        </w:tc>
      </w:tr>
      <w:tr w:rsidR="00821D26" w:rsidRPr="00821D26" w14:paraId="44871C67" w14:textId="77777777" w:rsidTr="0006573A">
        <w:tc>
          <w:tcPr>
            <w:tcW w:w="946" w:type="pct"/>
          </w:tcPr>
          <w:p w14:paraId="56C6A2A9" w14:textId="77777777" w:rsidR="00821D26" w:rsidRPr="00821D26" w:rsidRDefault="00821D26" w:rsidP="00821D26">
            <w:pPr>
              <w:spacing w:after="0" w:line="240" w:lineRule="auto"/>
              <w:rPr>
                <w:b/>
                <w:sz w:val="20"/>
                <w:szCs w:val="20"/>
              </w:rPr>
            </w:pPr>
          </w:p>
        </w:tc>
        <w:tc>
          <w:tcPr>
            <w:tcW w:w="1114" w:type="pct"/>
          </w:tcPr>
          <w:p w14:paraId="1D5B2296" w14:textId="77777777" w:rsidR="00821D26" w:rsidRPr="00821D26" w:rsidRDefault="00821D26" w:rsidP="00821D26">
            <w:pPr>
              <w:spacing w:after="0" w:line="240" w:lineRule="auto"/>
              <w:rPr>
                <w:sz w:val="20"/>
                <w:szCs w:val="20"/>
              </w:rPr>
            </w:pPr>
            <w:r w:rsidRPr="00821D26">
              <w:rPr>
                <w:sz w:val="20"/>
                <w:szCs w:val="20"/>
              </w:rPr>
              <w:t>Learning and governing collaboratively</w:t>
            </w:r>
          </w:p>
        </w:tc>
        <w:tc>
          <w:tcPr>
            <w:tcW w:w="980" w:type="pct"/>
          </w:tcPr>
          <w:p w14:paraId="4C4A8B44" w14:textId="77777777" w:rsidR="00821D26" w:rsidRPr="00821D26" w:rsidRDefault="00821D26" w:rsidP="00821D26">
            <w:pPr>
              <w:spacing w:after="0" w:line="240" w:lineRule="auto"/>
              <w:jc w:val="both"/>
              <w:rPr>
                <w:sz w:val="20"/>
                <w:szCs w:val="20"/>
              </w:rPr>
            </w:pPr>
            <w:r w:rsidRPr="00821D26">
              <w:rPr>
                <w:sz w:val="20"/>
                <w:szCs w:val="20"/>
              </w:rPr>
              <w:t xml:space="preserve">Creating a case for an integrated approach after design is not easy. Implementation failed to make this happen at landscape level, as no </w:t>
            </w:r>
            <w:r w:rsidRPr="00821D26">
              <w:rPr>
                <w:sz w:val="20"/>
                <w:szCs w:val="20"/>
              </w:rPr>
              <w:lastRenderedPageBreak/>
              <w:t xml:space="preserve">landscape specific integrated design between child projects took place, and no sufficient incentives and resources/capacities were available. </w:t>
            </w:r>
          </w:p>
        </w:tc>
        <w:tc>
          <w:tcPr>
            <w:tcW w:w="980" w:type="pct"/>
          </w:tcPr>
          <w:p w14:paraId="62CD8113" w14:textId="77777777" w:rsidR="00821D26" w:rsidRPr="00821D26" w:rsidRDefault="00821D26" w:rsidP="00821D26">
            <w:pPr>
              <w:spacing w:after="0" w:line="240" w:lineRule="auto"/>
              <w:rPr>
                <w:sz w:val="20"/>
                <w:szCs w:val="20"/>
              </w:rPr>
            </w:pPr>
          </w:p>
        </w:tc>
        <w:tc>
          <w:tcPr>
            <w:tcW w:w="980" w:type="pct"/>
          </w:tcPr>
          <w:p w14:paraId="00DD99C9" w14:textId="77777777" w:rsidR="00821D26" w:rsidRPr="00821D26" w:rsidRDefault="00821D26" w:rsidP="00821D26">
            <w:pPr>
              <w:spacing w:after="0" w:line="240" w:lineRule="auto"/>
              <w:rPr>
                <w:sz w:val="20"/>
                <w:szCs w:val="20"/>
              </w:rPr>
            </w:pPr>
            <w:r w:rsidRPr="00821D26">
              <w:rPr>
                <w:sz w:val="20"/>
                <w:szCs w:val="20"/>
              </w:rPr>
              <w:t xml:space="preserve">Integrated supply chain approaches require country/landscape based integrated design and adequate resources for backbone support to </w:t>
            </w:r>
            <w:r w:rsidRPr="00821D26">
              <w:rPr>
                <w:sz w:val="20"/>
                <w:szCs w:val="20"/>
              </w:rPr>
              <w:lastRenderedPageBreak/>
              <w:t>projects, as the instrument for coordination, collaboration, innovation, and learning.</w:t>
            </w:r>
          </w:p>
          <w:p w14:paraId="50616C5D" w14:textId="77777777" w:rsidR="00821D26" w:rsidRPr="00821D26" w:rsidRDefault="00821D26" w:rsidP="00821D26">
            <w:pPr>
              <w:spacing w:after="0" w:line="240" w:lineRule="auto"/>
              <w:ind w:left="360"/>
              <w:rPr>
                <w:sz w:val="20"/>
                <w:szCs w:val="20"/>
              </w:rPr>
            </w:pPr>
          </w:p>
        </w:tc>
      </w:tr>
      <w:tr w:rsidR="00821D26" w:rsidRPr="00821D26" w14:paraId="45C433C9" w14:textId="77777777" w:rsidTr="0006573A">
        <w:trPr>
          <w:trHeight w:val="3140"/>
        </w:trPr>
        <w:tc>
          <w:tcPr>
            <w:tcW w:w="946" w:type="pct"/>
          </w:tcPr>
          <w:p w14:paraId="0E5980F3" w14:textId="77777777" w:rsidR="00821D26" w:rsidRPr="00821D26" w:rsidRDefault="00821D26" w:rsidP="00821D26">
            <w:pPr>
              <w:spacing w:after="0" w:line="240" w:lineRule="auto"/>
              <w:rPr>
                <w:b/>
                <w:sz w:val="20"/>
                <w:szCs w:val="20"/>
              </w:rPr>
            </w:pPr>
          </w:p>
        </w:tc>
        <w:tc>
          <w:tcPr>
            <w:tcW w:w="1114" w:type="pct"/>
          </w:tcPr>
          <w:p w14:paraId="1AB4A27A" w14:textId="77777777" w:rsidR="00821D26" w:rsidRPr="00821D26" w:rsidRDefault="00821D26" w:rsidP="00821D26">
            <w:pPr>
              <w:spacing w:after="0" w:line="240" w:lineRule="auto"/>
              <w:rPr>
                <w:sz w:val="20"/>
                <w:szCs w:val="20"/>
              </w:rPr>
            </w:pPr>
            <w:r w:rsidRPr="00821D26">
              <w:rPr>
                <w:sz w:val="20"/>
                <w:szCs w:val="20"/>
              </w:rPr>
              <w:t>Engaging stakeholders (women, private sector and government)</w:t>
            </w:r>
          </w:p>
        </w:tc>
        <w:tc>
          <w:tcPr>
            <w:tcW w:w="980" w:type="pct"/>
          </w:tcPr>
          <w:p w14:paraId="1EC9DEA4" w14:textId="77777777" w:rsidR="00821D26" w:rsidRPr="00821D26" w:rsidRDefault="00821D26" w:rsidP="00821D26">
            <w:pPr>
              <w:spacing w:after="0" w:line="240" w:lineRule="auto"/>
              <w:jc w:val="both"/>
              <w:rPr>
                <w:sz w:val="20"/>
                <w:szCs w:val="20"/>
              </w:rPr>
            </w:pPr>
            <w:r w:rsidRPr="00821D26">
              <w:rPr>
                <w:sz w:val="20"/>
                <w:szCs w:val="20"/>
              </w:rPr>
              <w:t>There were not sufficient incentives (indicators and funding) for integration of gender components into project implementation. This would have eased efforts towards gender mainstreaming. Nurturing a multistakeholder dialogue and collaborative process that may lead to system transformation is time consuming, costly and difficult and requires investing into local capacity for skilled facilitation.</w:t>
            </w:r>
          </w:p>
          <w:p w14:paraId="416EF585" w14:textId="77777777" w:rsidR="00821D26" w:rsidRPr="00821D26" w:rsidRDefault="00821D26" w:rsidP="00821D26">
            <w:pPr>
              <w:spacing w:after="0" w:line="240" w:lineRule="auto"/>
              <w:rPr>
                <w:sz w:val="20"/>
                <w:szCs w:val="20"/>
              </w:rPr>
            </w:pPr>
          </w:p>
        </w:tc>
        <w:tc>
          <w:tcPr>
            <w:tcW w:w="980" w:type="pct"/>
          </w:tcPr>
          <w:p w14:paraId="58CDD525" w14:textId="77777777" w:rsidR="00821D26" w:rsidRPr="00821D26" w:rsidRDefault="00821D26" w:rsidP="00821D26">
            <w:pPr>
              <w:spacing w:after="0" w:line="240" w:lineRule="auto"/>
              <w:jc w:val="both"/>
              <w:rPr>
                <w:sz w:val="20"/>
                <w:szCs w:val="20"/>
              </w:rPr>
            </w:pPr>
          </w:p>
        </w:tc>
        <w:tc>
          <w:tcPr>
            <w:tcW w:w="980" w:type="pct"/>
          </w:tcPr>
          <w:p w14:paraId="6B76C082" w14:textId="77777777" w:rsidR="00821D26" w:rsidRPr="00821D26" w:rsidRDefault="00821D26" w:rsidP="00821D26">
            <w:pPr>
              <w:spacing w:after="0" w:line="240" w:lineRule="auto"/>
              <w:jc w:val="both"/>
              <w:rPr>
                <w:sz w:val="20"/>
                <w:szCs w:val="20"/>
              </w:rPr>
            </w:pPr>
            <w:r w:rsidRPr="00821D26">
              <w:rPr>
                <w:sz w:val="20"/>
                <w:szCs w:val="20"/>
              </w:rPr>
              <w:t>For an effective private sector engagement, pre-competitive collaboration spaces are needed for the private sector to join forces and jointly solve common issues they experience. In addition, neutrally facilitated spaces are needed for the private sector to dialogue and collaborate with the public sector and civil society to solve issues beyond their supply chain.</w:t>
            </w:r>
          </w:p>
        </w:tc>
      </w:tr>
      <w:tr w:rsidR="00821D26" w:rsidRPr="00821D26" w14:paraId="62B45C8D" w14:textId="77777777" w:rsidTr="0006573A">
        <w:tc>
          <w:tcPr>
            <w:tcW w:w="946" w:type="pct"/>
          </w:tcPr>
          <w:p w14:paraId="130389E7" w14:textId="77777777" w:rsidR="00821D26" w:rsidRPr="00821D26" w:rsidRDefault="00821D26" w:rsidP="00821D26">
            <w:pPr>
              <w:spacing w:after="0" w:line="240" w:lineRule="auto"/>
              <w:rPr>
                <w:b/>
                <w:sz w:val="20"/>
                <w:szCs w:val="20"/>
              </w:rPr>
            </w:pPr>
            <w:r w:rsidRPr="00821D26">
              <w:rPr>
                <w:b/>
                <w:sz w:val="20"/>
                <w:szCs w:val="20"/>
              </w:rPr>
              <w:t>Sustainability</w:t>
            </w:r>
          </w:p>
        </w:tc>
        <w:tc>
          <w:tcPr>
            <w:tcW w:w="1114" w:type="pct"/>
          </w:tcPr>
          <w:p w14:paraId="09CE1B45" w14:textId="77777777" w:rsidR="00821D26" w:rsidRPr="00821D26" w:rsidRDefault="00821D26" w:rsidP="00821D26">
            <w:pPr>
              <w:spacing w:after="0" w:line="240" w:lineRule="auto"/>
              <w:rPr>
                <w:sz w:val="20"/>
                <w:szCs w:val="20"/>
              </w:rPr>
            </w:pPr>
            <w:r w:rsidRPr="00821D26">
              <w:rPr>
                <w:sz w:val="20"/>
                <w:szCs w:val="20"/>
              </w:rPr>
              <w:t>Financial: The ongoing GCP has a lead role in funding future initiatives. it is an experienced partner who has made strong linkages with funding partners for the future</w:t>
            </w:r>
          </w:p>
          <w:p w14:paraId="42F8C9F5" w14:textId="77777777" w:rsidR="00821D26" w:rsidRPr="00821D26" w:rsidRDefault="00821D26" w:rsidP="00821D26">
            <w:pPr>
              <w:spacing w:after="0" w:line="240" w:lineRule="auto"/>
              <w:rPr>
                <w:sz w:val="20"/>
                <w:szCs w:val="20"/>
              </w:rPr>
            </w:pPr>
          </w:p>
          <w:p w14:paraId="5D689611" w14:textId="77777777" w:rsidR="00821D26" w:rsidRPr="00821D26" w:rsidRDefault="00821D26" w:rsidP="00821D26">
            <w:pPr>
              <w:spacing w:after="0" w:line="240" w:lineRule="auto"/>
              <w:rPr>
                <w:sz w:val="20"/>
                <w:szCs w:val="20"/>
              </w:rPr>
            </w:pPr>
            <w:r w:rsidRPr="00821D26">
              <w:rPr>
                <w:sz w:val="20"/>
                <w:szCs w:val="20"/>
              </w:rPr>
              <w:t xml:space="preserve">Knowledge management activities have had corporate and financial sector presence. </w:t>
            </w:r>
          </w:p>
          <w:p w14:paraId="1051F0C1" w14:textId="77777777" w:rsidR="00821D26" w:rsidRPr="00821D26" w:rsidRDefault="00821D26" w:rsidP="00821D26">
            <w:pPr>
              <w:spacing w:after="0" w:line="240" w:lineRule="auto"/>
              <w:rPr>
                <w:sz w:val="20"/>
                <w:szCs w:val="20"/>
              </w:rPr>
            </w:pPr>
          </w:p>
          <w:p w14:paraId="328DE924" w14:textId="77777777" w:rsidR="00821D26" w:rsidRPr="00821D26" w:rsidRDefault="00821D26" w:rsidP="00821D26">
            <w:pPr>
              <w:spacing w:after="0" w:line="240" w:lineRule="auto"/>
              <w:rPr>
                <w:sz w:val="20"/>
                <w:szCs w:val="20"/>
              </w:rPr>
            </w:pPr>
            <w:r w:rsidRPr="00821D26">
              <w:rPr>
                <w:sz w:val="20"/>
                <w:szCs w:val="20"/>
              </w:rPr>
              <w:t>The sustainability plan for the GCC is already funded to a degree.</w:t>
            </w:r>
          </w:p>
        </w:tc>
        <w:tc>
          <w:tcPr>
            <w:tcW w:w="980" w:type="pct"/>
          </w:tcPr>
          <w:p w14:paraId="0935D96E" w14:textId="77777777" w:rsidR="00821D26" w:rsidRPr="00821D26" w:rsidRDefault="00821D26" w:rsidP="00821D26">
            <w:pPr>
              <w:spacing w:after="0" w:line="240" w:lineRule="auto"/>
              <w:rPr>
                <w:sz w:val="20"/>
                <w:szCs w:val="20"/>
              </w:rPr>
            </w:pPr>
            <w:r w:rsidRPr="00821D26">
              <w:rPr>
                <w:sz w:val="20"/>
                <w:szCs w:val="20"/>
              </w:rPr>
              <w:t>Financial Sustainability is Likely (L)</w:t>
            </w:r>
          </w:p>
        </w:tc>
        <w:tc>
          <w:tcPr>
            <w:tcW w:w="980" w:type="pct"/>
          </w:tcPr>
          <w:p w14:paraId="71E31225" w14:textId="77777777" w:rsidR="00821D26" w:rsidRPr="00821D26" w:rsidRDefault="00821D26" w:rsidP="00821D26">
            <w:pPr>
              <w:spacing w:after="0" w:line="240" w:lineRule="auto"/>
              <w:jc w:val="both"/>
              <w:rPr>
                <w:sz w:val="20"/>
                <w:szCs w:val="20"/>
              </w:rPr>
            </w:pPr>
            <w:r w:rsidRPr="00821D26">
              <w:rPr>
                <w:sz w:val="20"/>
                <w:szCs w:val="20"/>
              </w:rPr>
              <w:t>Calculate how many dollars in benefits have been generated for farmers from 1$ invested in GGP. Use this amount as a fundraising tool</w:t>
            </w:r>
          </w:p>
          <w:p w14:paraId="2F3C16B2" w14:textId="77777777" w:rsidR="00821D26" w:rsidRPr="00821D26" w:rsidRDefault="00821D26" w:rsidP="00821D26">
            <w:pPr>
              <w:spacing w:after="0" w:line="240" w:lineRule="auto"/>
              <w:jc w:val="both"/>
              <w:rPr>
                <w:sz w:val="20"/>
                <w:szCs w:val="20"/>
              </w:rPr>
            </w:pPr>
          </w:p>
          <w:p w14:paraId="2F3F6AE1" w14:textId="77777777" w:rsidR="00821D26" w:rsidRPr="00821D26" w:rsidRDefault="00821D26" w:rsidP="00821D26">
            <w:pPr>
              <w:spacing w:after="0" w:line="240" w:lineRule="auto"/>
              <w:jc w:val="both"/>
              <w:rPr>
                <w:sz w:val="20"/>
                <w:szCs w:val="20"/>
              </w:rPr>
            </w:pPr>
            <w:r w:rsidRPr="00821D26">
              <w:rPr>
                <w:sz w:val="20"/>
                <w:szCs w:val="20"/>
              </w:rPr>
              <w:t>From that amount, enable sustainable transactions</w:t>
            </w:r>
          </w:p>
        </w:tc>
        <w:tc>
          <w:tcPr>
            <w:tcW w:w="980" w:type="pct"/>
          </w:tcPr>
          <w:p w14:paraId="2EF406C4" w14:textId="77777777" w:rsidR="00821D26" w:rsidRPr="00821D26" w:rsidRDefault="00821D26" w:rsidP="00821D26">
            <w:pPr>
              <w:spacing w:after="0" w:line="240" w:lineRule="auto"/>
              <w:ind w:left="360"/>
              <w:rPr>
                <w:sz w:val="20"/>
                <w:szCs w:val="20"/>
              </w:rPr>
            </w:pPr>
          </w:p>
        </w:tc>
      </w:tr>
      <w:tr w:rsidR="00821D26" w:rsidRPr="00821D26" w14:paraId="6087F2B2" w14:textId="77777777" w:rsidTr="0006573A">
        <w:tc>
          <w:tcPr>
            <w:tcW w:w="946" w:type="pct"/>
          </w:tcPr>
          <w:p w14:paraId="3C4F74C6" w14:textId="77777777" w:rsidR="00821D26" w:rsidRPr="00821D26" w:rsidRDefault="00821D26" w:rsidP="00821D26">
            <w:pPr>
              <w:spacing w:after="0" w:line="240" w:lineRule="auto"/>
              <w:rPr>
                <w:b/>
                <w:sz w:val="20"/>
                <w:szCs w:val="20"/>
              </w:rPr>
            </w:pPr>
          </w:p>
        </w:tc>
        <w:tc>
          <w:tcPr>
            <w:tcW w:w="1114" w:type="pct"/>
          </w:tcPr>
          <w:p w14:paraId="4F3FAAD1" w14:textId="77777777" w:rsidR="00821D26" w:rsidRPr="00821D26" w:rsidRDefault="00821D26" w:rsidP="00821D26">
            <w:pPr>
              <w:spacing w:after="0" w:line="240" w:lineRule="auto"/>
              <w:rPr>
                <w:sz w:val="20"/>
                <w:szCs w:val="20"/>
              </w:rPr>
            </w:pPr>
            <w:r w:rsidRPr="00821D26">
              <w:rPr>
                <w:sz w:val="20"/>
                <w:szCs w:val="20"/>
              </w:rPr>
              <w:t>Socio-economic: Mitigated by Governance structure, multi-</w:t>
            </w:r>
            <w:r w:rsidRPr="00821D26">
              <w:rPr>
                <w:sz w:val="20"/>
                <w:szCs w:val="20"/>
              </w:rPr>
              <w:lastRenderedPageBreak/>
              <w:t>stakeholder platforms, and knowledge management</w:t>
            </w:r>
          </w:p>
        </w:tc>
        <w:tc>
          <w:tcPr>
            <w:tcW w:w="980" w:type="pct"/>
          </w:tcPr>
          <w:p w14:paraId="5888FA6D" w14:textId="77777777" w:rsidR="00821D26" w:rsidRPr="00821D26" w:rsidRDefault="00821D26" w:rsidP="00821D26">
            <w:pPr>
              <w:spacing w:after="0" w:line="240" w:lineRule="auto"/>
              <w:rPr>
                <w:sz w:val="20"/>
                <w:szCs w:val="20"/>
              </w:rPr>
            </w:pPr>
            <w:r w:rsidRPr="00821D26">
              <w:rPr>
                <w:sz w:val="20"/>
                <w:szCs w:val="20"/>
              </w:rPr>
              <w:lastRenderedPageBreak/>
              <w:t>Socio economic sustainability is Likely (L)</w:t>
            </w:r>
          </w:p>
        </w:tc>
        <w:tc>
          <w:tcPr>
            <w:tcW w:w="980" w:type="pct"/>
          </w:tcPr>
          <w:p w14:paraId="19FC1406" w14:textId="77777777" w:rsidR="00821D26" w:rsidRPr="00821D26" w:rsidRDefault="00821D26" w:rsidP="00821D26">
            <w:pPr>
              <w:spacing w:after="0" w:line="240" w:lineRule="auto"/>
              <w:ind w:left="360"/>
              <w:rPr>
                <w:sz w:val="20"/>
                <w:szCs w:val="20"/>
              </w:rPr>
            </w:pPr>
          </w:p>
        </w:tc>
        <w:tc>
          <w:tcPr>
            <w:tcW w:w="980" w:type="pct"/>
          </w:tcPr>
          <w:p w14:paraId="7698D749" w14:textId="77777777" w:rsidR="00821D26" w:rsidRPr="00821D26" w:rsidRDefault="00821D26" w:rsidP="00821D26">
            <w:pPr>
              <w:spacing w:after="0" w:line="240" w:lineRule="auto"/>
              <w:ind w:left="360"/>
              <w:rPr>
                <w:sz w:val="20"/>
                <w:szCs w:val="20"/>
              </w:rPr>
            </w:pPr>
          </w:p>
        </w:tc>
      </w:tr>
      <w:tr w:rsidR="00821D26" w:rsidRPr="00821D26" w14:paraId="5918CC5F" w14:textId="77777777" w:rsidTr="0006573A">
        <w:tc>
          <w:tcPr>
            <w:tcW w:w="946" w:type="pct"/>
          </w:tcPr>
          <w:p w14:paraId="5A767526" w14:textId="77777777" w:rsidR="00821D26" w:rsidRPr="00821D26" w:rsidRDefault="00821D26" w:rsidP="00821D26">
            <w:pPr>
              <w:spacing w:after="0" w:line="240" w:lineRule="auto"/>
              <w:rPr>
                <w:b/>
                <w:sz w:val="20"/>
                <w:szCs w:val="20"/>
              </w:rPr>
            </w:pPr>
          </w:p>
        </w:tc>
        <w:tc>
          <w:tcPr>
            <w:tcW w:w="1114" w:type="pct"/>
          </w:tcPr>
          <w:p w14:paraId="0D790E85" w14:textId="77777777" w:rsidR="00821D26" w:rsidRPr="00821D26" w:rsidRDefault="00821D26" w:rsidP="00821D26">
            <w:pPr>
              <w:spacing w:after="0" w:line="240" w:lineRule="auto"/>
              <w:rPr>
                <w:sz w:val="20"/>
                <w:szCs w:val="20"/>
              </w:rPr>
            </w:pPr>
            <w:r w:rsidRPr="00821D26">
              <w:rPr>
                <w:sz w:val="20"/>
                <w:szCs w:val="20"/>
              </w:rPr>
              <w:t>Institutional and Governance: a governance structure is needed to get through the transition phase: Action Plans at national level have sustainability criteria. engage private sector to play a role and redur</w:t>
            </w:r>
          </w:p>
        </w:tc>
        <w:tc>
          <w:tcPr>
            <w:tcW w:w="980" w:type="pct"/>
          </w:tcPr>
          <w:p w14:paraId="782EC461" w14:textId="77777777" w:rsidR="00821D26" w:rsidRPr="00821D26" w:rsidRDefault="00821D26" w:rsidP="00821D26">
            <w:pPr>
              <w:spacing w:after="0" w:line="240" w:lineRule="auto"/>
              <w:rPr>
                <w:sz w:val="20"/>
                <w:szCs w:val="20"/>
              </w:rPr>
            </w:pPr>
            <w:r w:rsidRPr="00821D26">
              <w:rPr>
                <w:sz w:val="20"/>
                <w:szCs w:val="20"/>
              </w:rPr>
              <w:t>Institutional/Governance is moderately likely (ML)</w:t>
            </w:r>
          </w:p>
        </w:tc>
        <w:tc>
          <w:tcPr>
            <w:tcW w:w="980" w:type="pct"/>
          </w:tcPr>
          <w:p w14:paraId="3530A2B1" w14:textId="77777777" w:rsidR="00821D26" w:rsidRPr="00821D26" w:rsidRDefault="00821D26" w:rsidP="00821D26">
            <w:pPr>
              <w:spacing w:after="0" w:line="240" w:lineRule="auto"/>
              <w:ind w:left="360"/>
              <w:rPr>
                <w:sz w:val="20"/>
                <w:szCs w:val="20"/>
              </w:rPr>
            </w:pPr>
            <w:r w:rsidRPr="00821D26">
              <w:rPr>
                <w:sz w:val="20"/>
                <w:szCs w:val="20"/>
              </w:rPr>
              <w:t xml:space="preserve">Engage the private sector to support recurrent costs or to play a direct role. Their executives </w:t>
            </w:r>
          </w:p>
        </w:tc>
        <w:tc>
          <w:tcPr>
            <w:tcW w:w="980" w:type="pct"/>
          </w:tcPr>
          <w:p w14:paraId="25DE380B" w14:textId="77777777" w:rsidR="00821D26" w:rsidRPr="00821D26" w:rsidRDefault="00821D26" w:rsidP="00821D26">
            <w:pPr>
              <w:spacing w:after="0" w:line="240" w:lineRule="auto"/>
              <w:ind w:left="360"/>
              <w:rPr>
                <w:sz w:val="20"/>
                <w:szCs w:val="20"/>
              </w:rPr>
            </w:pPr>
          </w:p>
        </w:tc>
      </w:tr>
      <w:tr w:rsidR="00821D26" w:rsidRPr="00821D26" w14:paraId="5A94E283" w14:textId="77777777" w:rsidTr="0006573A">
        <w:tc>
          <w:tcPr>
            <w:tcW w:w="946" w:type="pct"/>
          </w:tcPr>
          <w:p w14:paraId="27653234" w14:textId="77777777" w:rsidR="00821D26" w:rsidRPr="00821D26" w:rsidRDefault="00821D26" w:rsidP="00821D26">
            <w:pPr>
              <w:spacing w:after="0" w:line="240" w:lineRule="auto"/>
              <w:rPr>
                <w:b/>
                <w:sz w:val="20"/>
                <w:szCs w:val="20"/>
              </w:rPr>
            </w:pPr>
          </w:p>
        </w:tc>
        <w:tc>
          <w:tcPr>
            <w:tcW w:w="1114" w:type="pct"/>
          </w:tcPr>
          <w:p w14:paraId="7043B8A0" w14:textId="77777777" w:rsidR="00821D26" w:rsidRPr="00821D26" w:rsidRDefault="00821D26" w:rsidP="00821D26">
            <w:pPr>
              <w:spacing w:after="0" w:line="240" w:lineRule="auto"/>
              <w:rPr>
                <w:sz w:val="20"/>
                <w:szCs w:val="20"/>
              </w:rPr>
            </w:pPr>
            <w:r w:rsidRPr="00821D26">
              <w:rPr>
                <w:sz w:val="20"/>
                <w:szCs w:val="20"/>
              </w:rPr>
              <w:t>Environmental: •</w:t>
            </w:r>
            <w:r w:rsidRPr="00821D26">
              <w:rPr>
                <w:sz w:val="20"/>
                <w:szCs w:val="20"/>
              </w:rPr>
              <w:tab/>
              <w:t>Plantations established will continue to absorb CO2. This will be in addition to the 12 million tons of CO2 avoided;</w:t>
            </w:r>
          </w:p>
          <w:p w14:paraId="710EB3C1" w14:textId="77777777" w:rsidR="00821D26" w:rsidRPr="00821D26" w:rsidRDefault="00821D26" w:rsidP="00821D26">
            <w:pPr>
              <w:spacing w:after="0" w:line="240" w:lineRule="auto"/>
              <w:rPr>
                <w:sz w:val="20"/>
                <w:szCs w:val="20"/>
              </w:rPr>
            </w:pPr>
          </w:p>
          <w:p w14:paraId="5C12E707" w14:textId="77777777" w:rsidR="00821D26" w:rsidRPr="00821D26" w:rsidRDefault="00821D26" w:rsidP="00821D26">
            <w:pPr>
              <w:spacing w:after="0" w:line="240" w:lineRule="auto"/>
              <w:rPr>
                <w:sz w:val="20"/>
                <w:szCs w:val="20"/>
              </w:rPr>
            </w:pPr>
            <w:r w:rsidRPr="00821D26">
              <w:rPr>
                <w:sz w:val="20"/>
                <w:szCs w:val="20"/>
              </w:rPr>
              <w:t>None of the activities implemented pose an environmental threat</w:t>
            </w:r>
          </w:p>
        </w:tc>
        <w:tc>
          <w:tcPr>
            <w:tcW w:w="980" w:type="pct"/>
          </w:tcPr>
          <w:p w14:paraId="5C35D161" w14:textId="77777777" w:rsidR="00821D26" w:rsidRPr="00821D26" w:rsidRDefault="00821D26" w:rsidP="00821D26">
            <w:pPr>
              <w:spacing w:after="0" w:line="240" w:lineRule="auto"/>
              <w:rPr>
                <w:sz w:val="20"/>
                <w:szCs w:val="20"/>
              </w:rPr>
            </w:pPr>
            <w:r w:rsidRPr="00821D26">
              <w:rPr>
                <w:sz w:val="20"/>
                <w:szCs w:val="20"/>
              </w:rPr>
              <w:t>Environmental sustainability is Likely (L)</w:t>
            </w:r>
          </w:p>
        </w:tc>
        <w:tc>
          <w:tcPr>
            <w:tcW w:w="980" w:type="pct"/>
          </w:tcPr>
          <w:p w14:paraId="17AE6E47" w14:textId="77777777" w:rsidR="00821D26" w:rsidRPr="00821D26" w:rsidRDefault="00821D26" w:rsidP="00821D26">
            <w:pPr>
              <w:spacing w:after="0" w:line="240" w:lineRule="auto"/>
              <w:ind w:left="360"/>
              <w:rPr>
                <w:sz w:val="20"/>
                <w:szCs w:val="20"/>
              </w:rPr>
            </w:pPr>
          </w:p>
        </w:tc>
        <w:tc>
          <w:tcPr>
            <w:tcW w:w="980" w:type="pct"/>
          </w:tcPr>
          <w:p w14:paraId="19C94CD2" w14:textId="77777777" w:rsidR="00821D26" w:rsidRPr="00821D26" w:rsidRDefault="00821D26" w:rsidP="00821D26">
            <w:pPr>
              <w:spacing w:after="0" w:line="240" w:lineRule="auto"/>
              <w:ind w:left="360"/>
              <w:rPr>
                <w:sz w:val="20"/>
                <w:szCs w:val="20"/>
              </w:rPr>
            </w:pPr>
          </w:p>
        </w:tc>
      </w:tr>
      <w:tr w:rsidR="00821D26" w:rsidRPr="00821D26" w14:paraId="71B42B6A" w14:textId="77777777" w:rsidTr="0006573A">
        <w:tc>
          <w:tcPr>
            <w:tcW w:w="946" w:type="pct"/>
          </w:tcPr>
          <w:p w14:paraId="1CC2ADB5" w14:textId="77777777" w:rsidR="00821D26" w:rsidRPr="00821D26" w:rsidRDefault="00821D26" w:rsidP="00821D26">
            <w:pPr>
              <w:spacing w:after="0" w:line="240" w:lineRule="auto"/>
              <w:rPr>
                <w:b/>
                <w:sz w:val="20"/>
                <w:szCs w:val="20"/>
              </w:rPr>
            </w:pPr>
          </w:p>
        </w:tc>
        <w:tc>
          <w:tcPr>
            <w:tcW w:w="1114" w:type="pct"/>
          </w:tcPr>
          <w:p w14:paraId="738EC4BA" w14:textId="77777777" w:rsidR="00821D26" w:rsidRPr="00821D26" w:rsidRDefault="00821D26" w:rsidP="00821D26">
            <w:pPr>
              <w:spacing w:after="0" w:line="240" w:lineRule="auto"/>
              <w:rPr>
                <w:sz w:val="20"/>
                <w:szCs w:val="20"/>
              </w:rPr>
            </w:pPr>
          </w:p>
        </w:tc>
        <w:tc>
          <w:tcPr>
            <w:tcW w:w="980" w:type="pct"/>
          </w:tcPr>
          <w:p w14:paraId="471E1AD1" w14:textId="77777777" w:rsidR="00821D26" w:rsidRPr="00821D26" w:rsidRDefault="00821D26" w:rsidP="00821D26">
            <w:pPr>
              <w:spacing w:after="0" w:line="240" w:lineRule="auto"/>
              <w:rPr>
                <w:sz w:val="20"/>
                <w:szCs w:val="20"/>
              </w:rPr>
            </w:pPr>
            <w:r w:rsidRPr="00821D26">
              <w:rPr>
                <w:sz w:val="20"/>
                <w:szCs w:val="20"/>
              </w:rPr>
              <w:t>The overall Sustainability rating is Likely (L)</w:t>
            </w:r>
          </w:p>
        </w:tc>
        <w:tc>
          <w:tcPr>
            <w:tcW w:w="980" w:type="pct"/>
          </w:tcPr>
          <w:p w14:paraId="68F79885" w14:textId="77777777" w:rsidR="00821D26" w:rsidRPr="00821D26" w:rsidRDefault="00821D26" w:rsidP="00821D26">
            <w:pPr>
              <w:spacing w:after="0" w:line="240" w:lineRule="auto"/>
              <w:ind w:left="360"/>
              <w:rPr>
                <w:sz w:val="20"/>
                <w:szCs w:val="20"/>
              </w:rPr>
            </w:pPr>
          </w:p>
        </w:tc>
        <w:tc>
          <w:tcPr>
            <w:tcW w:w="980" w:type="pct"/>
          </w:tcPr>
          <w:p w14:paraId="7DA302ED" w14:textId="77777777" w:rsidR="00821D26" w:rsidRPr="00821D26" w:rsidRDefault="00821D26" w:rsidP="00821D26">
            <w:pPr>
              <w:spacing w:after="0" w:line="240" w:lineRule="auto"/>
              <w:ind w:left="360"/>
              <w:rPr>
                <w:sz w:val="20"/>
                <w:szCs w:val="20"/>
              </w:rPr>
            </w:pPr>
          </w:p>
        </w:tc>
      </w:tr>
      <w:tr w:rsidR="00821D26" w:rsidRPr="00821D26" w14:paraId="5FB89833" w14:textId="77777777" w:rsidTr="0006573A">
        <w:tc>
          <w:tcPr>
            <w:tcW w:w="946" w:type="pct"/>
          </w:tcPr>
          <w:p w14:paraId="27F28250" w14:textId="77777777" w:rsidR="00821D26" w:rsidRPr="00821D26" w:rsidRDefault="00821D26" w:rsidP="00821D26">
            <w:pPr>
              <w:spacing w:after="0" w:line="240" w:lineRule="auto"/>
              <w:rPr>
                <w:b/>
                <w:sz w:val="20"/>
                <w:szCs w:val="20"/>
              </w:rPr>
            </w:pPr>
            <w:r w:rsidRPr="00821D26">
              <w:rPr>
                <w:b/>
                <w:sz w:val="20"/>
                <w:szCs w:val="20"/>
              </w:rPr>
              <w:t>GEF Additionality</w:t>
            </w:r>
          </w:p>
        </w:tc>
        <w:tc>
          <w:tcPr>
            <w:tcW w:w="1114" w:type="pct"/>
          </w:tcPr>
          <w:p w14:paraId="1D7DF3D5" w14:textId="77777777" w:rsidR="00821D26" w:rsidRPr="00821D26" w:rsidRDefault="00821D26" w:rsidP="00821D26">
            <w:pPr>
              <w:spacing w:after="0" w:line="240" w:lineRule="auto"/>
              <w:rPr>
                <w:sz w:val="20"/>
                <w:szCs w:val="20"/>
              </w:rPr>
            </w:pPr>
            <w:r w:rsidRPr="00821D26">
              <w:rPr>
                <w:sz w:val="20"/>
                <w:szCs w:val="20"/>
              </w:rPr>
              <w:t>A systems approach was promoted. Knowledge materials, training on systems thinking, and practical discussions. All field staff of the production project managed the concepts correctly in discussions around beef and oil palm systems</w:t>
            </w:r>
          </w:p>
          <w:p w14:paraId="03FFF1C6" w14:textId="77777777" w:rsidR="00821D26" w:rsidRPr="00821D26" w:rsidRDefault="00821D26" w:rsidP="00821D26">
            <w:pPr>
              <w:spacing w:after="0" w:line="240" w:lineRule="auto"/>
              <w:rPr>
                <w:sz w:val="20"/>
                <w:szCs w:val="20"/>
              </w:rPr>
            </w:pPr>
          </w:p>
          <w:p w14:paraId="0CEADFAC" w14:textId="77777777" w:rsidR="00821D26" w:rsidRPr="00821D26" w:rsidRDefault="00821D26" w:rsidP="00821D26">
            <w:pPr>
              <w:spacing w:after="0" w:line="240" w:lineRule="auto"/>
              <w:rPr>
                <w:sz w:val="20"/>
                <w:szCs w:val="20"/>
              </w:rPr>
            </w:pPr>
            <w:r w:rsidRPr="00821D26">
              <w:rPr>
                <w:sz w:val="20"/>
                <w:szCs w:val="20"/>
              </w:rPr>
              <w:t>Developing a collaborative framework that would not be otherwise possible.</w:t>
            </w:r>
          </w:p>
          <w:p w14:paraId="29937971" w14:textId="77777777" w:rsidR="00821D26" w:rsidRPr="00821D26" w:rsidRDefault="00821D26" w:rsidP="00821D26">
            <w:pPr>
              <w:spacing w:after="0" w:line="240" w:lineRule="auto"/>
              <w:rPr>
                <w:sz w:val="20"/>
                <w:szCs w:val="20"/>
              </w:rPr>
            </w:pPr>
          </w:p>
          <w:p w14:paraId="19A6A11F" w14:textId="77777777" w:rsidR="00821D26" w:rsidRPr="00821D26" w:rsidRDefault="00821D26" w:rsidP="00821D26">
            <w:pPr>
              <w:spacing w:after="0" w:line="240" w:lineRule="auto"/>
              <w:rPr>
                <w:sz w:val="20"/>
                <w:szCs w:val="20"/>
              </w:rPr>
            </w:pPr>
            <w:r w:rsidRPr="00821D26">
              <w:rPr>
                <w:sz w:val="20"/>
                <w:szCs w:val="20"/>
              </w:rPr>
              <w:t>Trust building</w:t>
            </w:r>
          </w:p>
          <w:p w14:paraId="287FD72A" w14:textId="77777777" w:rsidR="00821D26" w:rsidRPr="00821D26" w:rsidRDefault="00821D26" w:rsidP="00821D26">
            <w:pPr>
              <w:spacing w:after="0" w:line="240" w:lineRule="auto"/>
              <w:rPr>
                <w:sz w:val="20"/>
                <w:szCs w:val="20"/>
              </w:rPr>
            </w:pPr>
          </w:p>
          <w:p w14:paraId="4B6E22E0" w14:textId="77777777" w:rsidR="00821D26" w:rsidRPr="00821D26" w:rsidRDefault="00821D26" w:rsidP="00821D26">
            <w:pPr>
              <w:spacing w:after="0" w:line="240" w:lineRule="auto"/>
              <w:rPr>
                <w:sz w:val="20"/>
                <w:szCs w:val="20"/>
              </w:rPr>
            </w:pPr>
            <w:r w:rsidRPr="00821D26">
              <w:rPr>
                <w:sz w:val="20"/>
                <w:szCs w:val="20"/>
              </w:rPr>
              <w:t xml:space="preserve">All Field staff interviewed managed the concepts that were considered to be incremental indicating that the </w:t>
            </w:r>
            <w:r w:rsidRPr="00821D26">
              <w:rPr>
                <w:sz w:val="20"/>
                <w:szCs w:val="20"/>
              </w:rPr>
              <w:lastRenderedPageBreak/>
              <w:t>materials and training were effective</w:t>
            </w:r>
          </w:p>
        </w:tc>
        <w:tc>
          <w:tcPr>
            <w:tcW w:w="980" w:type="pct"/>
          </w:tcPr>
          <w:p w14:paraId="5B3CC331" w14:textId="77777777" w:rsidR="00821D26" w:rsidRPr="00821D26" w:rsidRDefault="00821D26" w:rsidP="00821D26">
            <w:pPr>
              <w:spacing w:after="0" w:line="240" w:lineRule="auto"/>
              <w:rPr>
                <w:sz w:val="20"/>
                <w:szCs w:val="20"/>
              </w:rPr>
            </w:pPr>
            <w:r w:rsidRPr="00821D26">
              <w:rPr>
                <w:sz w:val="20"/>
                <w:szCs w:val="20"/>
              </w:rPr>
              <w:lastRenderedPageBreak/>
              <w:t>GEF incremental benefits were realized from promotion and training realized through the A&amp;L project.</w:t>
            </w:r>
          </w:p>
        </w:tc>
        <w:tc>
          <w:tcPr>
            <w:tcW w:w="980" w:type="pct"/>
          </w:tcPr>
          <w:p w14:paraId="45190425" w14:textId="77777777" w:rsidR="00821D26" w:rsidRPr="00821D26" w:rsidRDefault="00821D26" w:rsidP="00821D26">
            <w:pPr>
              <w:spacing w:after="0" w:line="240" w:lineRule="auto"/>
              <w:rPr>
                <w:sz w:val="20"/>
                <w:szCs w:val="20"/>
              </w:rPr>
            </w:pPr>
            <w:r w:rsidRPr="00821D26">
              <w:rPr>
                <w:sz w:val="20"/>
                <w:szCs w:val="20"/>
              </w:rPr>
              <w:t>Seek a method to widely disseminate the knowledge management tools and webinars for the continued benefit of the interested sectors Reach out to the RSPOs and create greater connectivity to GCC and more effective dissemination.</w:t>
            </w:r>
          </w:p>
        </w:tc>
        <w:tc>
          <w:tcPr>
            <w:tcW w:w="980" w:type="pct"/>
          </w:tcPr>
          <w:p w14:paraId="6BC0D502" w14:textId="77777777" w:rsidR="00821D26" w:rsidRPr="00821D26" w:rsidRDefault="00821D26" w:rsidP="00821D26">
            <w:pPr>
              <w:spacing w:after="0" w:line="240" w:lineRule="auto"/>
              <w:ind w:left="360"/>
              <w:rPr>
                <w:sz w:val="20"/>
                <w:szCs w:val="20"/>
              </w:rPr>
            </w:pPr>
          </w:p>
        </w:tc>
      </w:tr>
    </w:tbl>
    <w:p w14:paraId="47B3BAB6" w14:textId="77777777" w:rsidR="00821D26" w:rsidRPr="00821D26" w:rsidRDefault="00821D26" w:rsidP="00821D26"/>
    <w:p w14:paraId="38929265" w14:textId="1B91CB43" w:rsidR="00821D26" w:rsidRDefault="00821D26" w:rsidP="009849B9"/>
    <w:p w14:paraId="432F9D09" w14:textId="77777777" w:rsidR="00821D26" w:rsidRDefault="00821D26" w:rsidP="009849B9"/>
    <w:bookmarkEnd w:id="153"/>
    <w:p w14:paraId="194B1756" w14:textId="77777777" w:rsidR="00647C9B" w:rsidRDefault="00647C9B" w:rsidP="00D70CD3">
      <w:pPr>
        <w:sectPr w:rsidR="00647C9B" w:rsidSect="008D1C35">
          <w:pgSz w:w="15840" w:h="12240" w:orient="landscape" w:code="1"/>
          <w:pgMar w:top="1080" w:right="1440" w:bottom="1080" w:left="1440" w:header="0" w:footer="936" w:gutter="0"/>
          <w:cols w:space="720"/>
          <w:docGrid w:linePitch="299"/>
        </w:sectPr>
      </w:pPr>
    </w:p>
    <w:p w14:paraId="1C17DBCA" w14:textId="781B9F28" w:rsidR="00647C9B" w:rsidRDefault="00647C9B" w:rsidP="00647C9B">
      <w:pPr>
        <w:pStyle w:val="Heading2"/>
      </w:pPr>
      <w:bookmarkStart w:id="163" w:name="_Annex_15._Charts"/>
      <w:bookmarkStart w:id="164" w:name="_Toc96772526"/>
      <w:bookmarkEnd w:id="163"/>
      <w:r>
        <w:lastRenderedPageBreak/>
        <w:t>Annex 15. Charts of Organizational Structures</w:t>
      </w:r>
      <w:bookmarkEnd w:id="164"/>
      <w:r>
        <w:t xml:space="preserve"> </w:t>
      </w:r>
    </w:p>
    <w:p w14:paraId="1BA1706A" w14:textId="767D58C9" w:rsidR="009849B9" w:rsidRDefault="009849B9" w:rsidP="00D70CD3"/>
    <w:p w14:paraId="54042F65" w14:textId="77777777" w:rsidR="00EC6FD2" w:rsidRPr="003D405B" w:rsidRDefault="00EC6FD2" w:rsidP="00EC6FD2">
      <w:pPr>
        <w:rPr>
          <w:rFonts w:asciiTheme="minorHAnsi" w:hAnsiTheme="minorHAnsi" w:cstheme="minorHAnsi"/>
          <w:iCs/>
          <w:lang w:val="fr-FR"/>
        </w:rPr>
      </w:pPr>
      <w:r w:rsidRPr="003D405B">
        <w:rPr>
          <w:rFonts w:asciiTheme="minorHAnsi" w:hAnsiTheme="minorHAnsi" w:cstheme="minorHAnsi"/>
          <w:iCs/>
          <w:lang w:val="fr-FR"/>
        </w:rPr>
        <w:t xml:space="preserve">Figure 1: GGP Programme Structure: </w:t>
      </w:r>
    </w:p>
    <w:p w14:paraId="3F9B2A81" w14:textId="77777777" w:rsidR="00EC6FD2" w:rsidRDefault="00EC6FD2" w:rsidP="00EC6FD2">
      <w:pPr>
        <w:rPr>
          <w:rFonts w:ascii="Segoe UI" w:hAnsi="Segoe UI" w:cs="Segoe UI"/>
          <w:i/>
        </w:rPr>
      </w:pPr>
      <w:r>
        <w:rPr>
          <w:noProof/>
        </w:rPr>
        <w:drawing>
          <wp:inline distT="0" distB="0" distL="0" distR="0" wp14:anchorId="058F4C3C" wp14:editId="656C4421">
            <wp:extent cx="5741719" cy="3229717"/>
            <wp:effectExtent l="0" t="0" r="0" b="8890"/>
            <wp:docPr id="6" name="Gráfic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44187" cy="3231105"/>
                    </a:xfrm>
                    <a:prstGeom prst="rect">
                      <a:avLst/>
                    </a:prstGeom>
                  </pic:spPr>
                </pic:pic>
              </a:graphicData>
            </a:graphic>
          </wp:inline>
        </w:drawing>
      </w:r>
    </w:p>
    <w:p w14:paraId="12880F4C" w14:textId="77777777" w:rsidR="00EC6FD2" w:rsidRPr="003432A2" w:rsidRDefault="00EC6FD2" w:rsidP="00EC6FD2">
      <w:pPr>
        <w:rPr>
          <w:rFonts w:asciiTheme="minorHAnsi" w:hAnsiTheme="minorHAnsi" w:cstheme="minorHAnsi"/>
          <w:iCs/>
        </w:rPr>
      </w:pPr>
      <w:r w:rsidRPr="003432A2">
        <w:rPr>
          <w:rFonts w:asciiTheme="minorHAnsi" w:hAnsiTheme="minorHAnsi" w:cstheme="minorHAnsi"/>
          <w:iCs/>
        </w:rPr>
        <w:t>Figure</w:t>
      </w:r>
      <w:r>
        <w:rPr>
          <w:rFonts w:asciiTheme="minorHAnsi" w:hAnsiTheme="minorHAnsi" w:cstheme="minorHAnsi"/>
          <w:iCs/>
        </w:rPr>
        <w:t xml:space="preserve"> 2</w:t>
      </w:r>
      <w:r w:rsidRPr="003432A2">
        <w:rPr>
          <w:rFonts w:asciiTheme="minorHAnsi" w:hAnsiTheme="minorHAnsi" w:cstheme="minorHAnsi"/>
          <w:iCs/>
        </w:rPr>
        <w:t>: Organizational Structure Project Management Unit</w:t>
      </w:r>
    </w:p>
    <w:p w14:paraId="08BF9242" w14:textId="6843165C" w:rsidR="00EC6FD2" w:rsidRDefault="00EC6FD2" w:rsidP="00EC6FD2">
      <w:pPr>
        <w:rPr>
          <w:rFonts w:ascii="Segoe UI" w:hAnsi="Segoe UI" w:cs="Segoe UI"/>
          <w:i/>
        </w:rPr>
      </w:pPr>
      <w:r>
        <w:rPr>
          <w:noProof/>
        </w:rPr>
        <w:drawing>
          <wp:inline distT="0" distB="0" distL="0" distR="0" wp14:anchorId="057E97E2" wp14:editId="6495702C">
            <wp:extent cx="5943600" cy="3343275"/>
            <wp:effectExtent l="0" t="0" r="0" b="9525"/>
            <wp:docPr id="9" name="Gráfico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943600" cy="3343275"/>
                    </a:xfrm>
                    <a:prstGeom prst="rect">
                      <a:avLst/>
                    </a:prstGeom>
                  </pic:spPr>
                </pic:pic>
              </a:graphicData>
            </a:graphic>
          </wp:inline>
        </w:drawing>
      </w:r>
    </w:p>
    <w:p w14:paraId="5F8AB28A" w14:textId="77777777" w:rsidR="005F7A06" w:rsidRDefault="005F7A06" w:rsidP="00EC6FD2">
      <w:pPr>
        <w:rPr>
          <w:rFonts w:ascii="Segoe UI" w:hAnsi="Segoe UI" w:cs="Segoe UI"/>
          <w:i/>
        </w:rPr>
        <w:sectPr w:rsidR="005F7A06" w:rsidSect="00647C9B">
          <w:pgSz w:w="12240" w:h="15840" w:code="1"/>
          <w:pgMar w:top="1440" w:right="1080" w:bottom="1440" w:left="1080" w:header="0" w:footer="936" w:gutter="0"/>
          <w:cols w:space="720"/>
          <w:docGrid w:linePitch="299"/>
        </w:sectPr>
      </w:pPr>
    </w:p>
    <w:p w14:paraId="62C8951E" w14:textId="011464C1" w:rsidR="00CF35E1" w:rsidRDefault="00CF35E1" w:rsidP="00CF35E1">
      <w:pPr>
        <w:pStyle w:val="Heading2"/>
      </w:pPr>
      <w:bookmarkStart w:id="165" w:name="_Annex_16._Cofinancing"/>
      <w:bookmarkStart w:id="166" w:name="_Toc96772527"/>
      <w:bookmarkEnd w:id="165"/>
      <w:r>
        <w:lastRenderedPageBreak/>
        <w:t>Annex 16. Cofinancing Tables</w:t>
      </w:r>
      <w:bookmarkEnd w:id="166"/>
      <w:r>
        <w:t xml:space="preserve"> </w:t>
      </w:r>
    </w:p>
    <w:p w14:paraId="3EF3AF17" w14:textId="1FBAF936" w:rsidR="00CF35E1" w:rsidRDefault="00CF35E1" w:rsidP="00D70CD3"/>
    <w:tbl>
      <w:tblPr>
        <w:tblW w:w="5000" w:type="pct"/>
        <w:tblLayout w:type="fixed"/>
        <w:tblCellMar>
          <w:left w:w="0" w:type="dxa"/>
          <w:right w:w="0" w:type="dxa"/>
        </w:tblCellMar>
        <w:tblLook w:val="0600" w:firstRow="0" w:lastRow="0" w:firstColumn="0" w:lastColumn="0" w:noHBand="1" w:noVBand="1"/>
      </w:tblPr>
      <w:tblGrid>
        <w:gridCol w:w="771"/>
        <w:gridCol w:w="1207"/>
        <w:gridCol w:w="648"/>
        <w:gridCol w:w="42"/>
        <w:gridCol w:w="1185"/>
        <w:gridCol w:w="954"/>
        <w:gridCol w:w="752"/>
        <w:gridCol w:w="1257"/>
        <w:gridCol w:w="1257"/>
        <w:gridCol w:w="625"/>
        <w:gridCol w:w="866"/>
        <w:gridCol w:w="796"/>
        <w:gridCol w:w="897"/>
        <w:gridCol w:w="573"/>
        <w:gridCol w:w="1130"/>
      </w:tblGrid>
      <w:tr w:rsidR="005F7A06" w:rsidRPr="005F7A06" w14:paraId="6ABADD3E" w14:textId="77777777" w:rsidTr="00AA6A0B">
        <w:trPr>
          <w:trHeight w:val="395"/>
        </w:trPr>
        <w:tc>
          <w:tcPr>
            <w:tcW w:w="5000" w:type="pct"/>
            <w:gridSpan w:val="15"/>
            <w:tcBorders>
              <w:top w:val="nil"/>
              <w:left w:val="nil"/>
              <w:bottom w:val="single" w:sz="4" w:space="0" w:color="000000"/>
              <w:right w:val="nil"/>
            </w:tcBorders>
            <w:shd w:val="clear" w:color="auto" w:fill="E7E6E6"/>
            <w:tcMar>
              <w:top w:w="53" w:type="dxa"/>
              <w:left w:w="106" w:type="dxa"/>
              <w:bottom w:w="53" w:type="dxa"/>
              <w:right w:w="106" w:type="dxa"/>
            </w:tcMar>
            <w:hideMark/>
          </w:tcPr>
          <w:p w14:paraId="694A841B"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Components 1 and 3</w:t>
            </w:r>
          </w:p>
        </w:tc>
      </w:tr>
      <w:tr w:rsidR="00967FA0" w:rsidRPr="005F7A06" w14:paraId="0C2DE732" w14:textId="77777777" w:rsidTr="00AA6A0B">
        <w:trPr>
          <w:trHeight w:val="342"/>
        </w:trPr>
        <w:tc>
          <w:tcPr>
            <w:tcW w:w="1014" w:type="pct"/>
            <w:gridSpan w:val="3"/>
            <w:tcBorders>
              <w:top w:val="single" w:sz="4" w:space="0" w:color="000000"/>
              <w:left w:val="single" w:sz="4" w:space="0" w:color="000000"/>
              <w:bottom w:val="single" w:sz="4" w:space="0" w:color="000000"/>
              <w:right w:val="single" w:sz="4" w:space="0" w:color="000000"/>
            </w:tcBorders>
            <w:shd w:val="clear" w:color="auto" w:fill="F4B084"/>
            <w:tcMar>
              <w:top w:w="53" w:type="dxa"/>
              <w:left w:w="106" w:type="dxa"/>
              <w:bottom w:w="53" w:type="dxa"/>
              <w:right w:w="106" w:type="dxa"/>
            </w:tcMar>
            <w:hideMark/>
          </w:tcPr>
          <w:p w14:paraId="1DC680C5"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From Prodoc</w:t>
            </w:r>
          </w:p>
        </w:tc>
        <w:tc>
          <w:tcPr>
            <w:tcW w:w="16" w:type="pct"/>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hideMark/>
          </w:tcPr>
          <w:p w14:paraId="6346D8F6"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2659" w:type="pct"/>
            <w:gridSpan w:val="7"/>
            <w:tcBorders>
              <w:top w:val="single" w:sz="4" w:space="0" w:color="000000"/>
              <w:left w:val="single" w:sz="4" w:space="0" w:color="000000"/>
              <w:bottom w:val="single" w:sz="4" w:space="0" w:color="000000"/>
              <w:right w:val="single" w:sz="4" w:space="0" w:color="000000"/>
            </w:tcBorders>
            <w:shd w:val="clear" w:color="auto" w:fill="F4B084"/>
            <w:tcMar>
              <w:top w:w="53" w:type="dxa"/>
              <w:left w:w="106" w:type="dxa"/>
              <w:bottom w:w="53" w:type="dxa"/>
              <w:right w:w="106" w:type="dxa"/>
            </w:tcMar>
            <w:hideMark/>
          </w:tcPr>
          <w:p w14:paraId="2FFE3594"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Co-financing at MTR</w:t>
            </w:r>
          </w:p>
        </w:tc>
        <w:tc>
          <w:tcPr>
            <w:tcW w:w="1312" w:type="pct"/>
            <w:gridSpan w:val="4"/>
            <w:tcBorders>
              <w:top w:val="single" w:sz="4" w:space="0" w:color="000000"/>
              <w:left w:val="single" w:sz="4" w:space="0" w:color="000000"/>
              <w:bottom w:val="single" w:sz="4" w:space="0" w:color="000000"/>
              <w:right w:val="nil"/>
            </w:tcBorders>
            <w:shd w:val="clear" w:color="auto" w:fill="F4B084"/>
            <w:tcMar>
              <w:top w:w="53" w:type="dxa"/>
              <w:left w:w="106" w:type="dxa"/>
              <w:bottom w:w="53" w:type="dxa"/>
              <w:right w:w="106" w:type="dxa"/>
            </w:tcMar>
            <w:hideMark/>
          </w:tcPr>
          <w:p w14:paraId="465A2AEF"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Co-financing at TE</w:t>
            </w:r>
          </w:p>
        </w:tc>
      </w:tr>
      <w:tr w:rsidR="00BF3452" w:rsidRPr="005F7A06" w14:paraId="332BB9B3" w14:textId="77777777" w:rsidTr="00BF3452">
        <w:trPr>
          <w:trHeight w:val="1022"/>
        </w:trPr>
        <w:tc>
          <w:tcPr>
            <w:tcW w:w="298"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580B30DF"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Source</w:t>
            </w:r>
          </w:p>
        </w:tc>
        <w:tc>
          <w:tcPr>
            <w:tcW w:w="466"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05EAE55"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eastAsia="en-US"/>
              </w:rPr>
              <w:t>Amount for Components 1&amp;3 (US$)</w:t>
            </w:r>
          </w:p>
        </w:tc>
        <w:tc>
          <w:tcPr>
            <w:tcW w:w="250"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0B52CC1F"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Type of co-financing</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026D818E"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3E0FD23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Source of co-financing*</w:t>
            </w:r>
          </w:p>
        </w:tc>
        <w:tc>
          <w:tcPr>
            <w:tcW w:w="368"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00007994"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Name of co-financer</w:t>
            </w:r>
          </w:p>
        </w:tc>
        <w:tc>
          <w:tcPr>
            <w:tcW w:w="290"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2D44D4F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Type of co-financing**</w:t>
            </w:r>
          </w:p>
        </w:tc>
        <w:tc>
          <w:tcPr>
            <w:tcW w:w="485"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4AAFC65" w14:textId="77777777" w:rsidR="005F7A06" w:rsidRPr="005F7A06" w:rsidRDefault="005F7A06" w:rsidP="005F7A06">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b/>
                <w:bCs/>
                <w:sz w:val="20"/>
                <w:szCs w:val="20"/>
                <w:lang w:eastAsia="en-US"/>
              </w:rPr>
              <w:t>Amount confirmed at CEO Endorsement (US$)</w:t>
            </w:r>
          </w:p>
        </w:tc>
        <w:tc>
          <w:tcPr>
            <w:tcW w:w="485"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6EA18F32" w14:textId="77777777" w:rsidR="005F7A06" w:rsidRPr="005F7A06" w:rsidRDefault="005F7A06" w:rsidP="005F7A06">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b/>
                <w:bCs/>
                <w:sz w:val="20"/>
                <w:szCs w:val="20"/>
                <w:lang w:eastAsia="en-US"/>
              </w:rPr>
              <w:t>Actual amount contributed at stage of Midterm Review (US$)</w:t>
            </w:r>
          </w:p>
        </w:tc>
        <w:tc>
          <w:tcPr>
            <w:tcW w:w="241"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6FF6F91"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Actual % of Expected Amount</w:t>
            </w:r>
          </w:p>
        </w:tc>
        <w:tc>
          <w:tcPr>
            <w:tcW w:w="334"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5067F800"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Investment mobilized*** (US$)</w:t>
            </w:r>
          </w:p>
        </w:tc>
        <w:tc>
          <w:tcPr>
            <w:tcW w:w="307"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3FA1E82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Type of co-financing**</w:t>
            </w:r>
          </w:p>
        </w:tc>
        <w:tc>
          <w:tcPr>
            <w:tcW w:w="346"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154C776" w14:textId="77777777" w:rsidR="005F7A06" w:rsidRPr="005F7A06" w:rsidRDefault="005F7A06" w:rsidP="005F7A06">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b/>
                <w:bCs/>
                <w:sz w:val="20"/>
                <w:szCs w:val="20"/>
                <w:lang w:eastAsia="en-US"/>
              </w:rPr>
              <w:t>Actual amount contributed at stage of Terminal Evaluation (US$) - Cumulative data</w:t>
            </w:r>
          </w:p>
        </w:tc>
        <w:tc>
          <w:tcPr>
            <w:tcW w:w="221"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6C74CDC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Actual % of Expected Amount</w:t>
            </w:r>
          </w:p>
        </w:tc>
        <w:tc>
          <w:tcPr>
            <w:tcW w:w="439"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580782A4"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Investment mobilized*** (US$)</w:t>
            </w:r>
          </w:p>
        </w:tc>
      </w:tr>
      <w:tr w:rsidR="00744990" w:rsidRPr="005F7A06" w14:paraId="7B3F8602" w14:textId="77777777" w:rsidTr="00AA6A0B">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F7FE5F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UNDP</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8A6EC35"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1,146,887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6C08A2B"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Cash</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73815016"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2EA4C3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Bilateral Aid Agency</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17B778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SECO </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8A57F2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00C312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1,146,887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EC72053"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578,975.00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8300AF6"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50.48%</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6214E0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214,084 </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6BBCB32"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D6F16C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671,570.78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9C9B36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58.56%</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9F51BF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274,084.00 </w:t>
            </w:r>
          </w:p>
        </w:tc>
      </w:tr>
      <w:tr w:rsidR="00744990" w:rsidRPr="005F7A06" w14:paraId="37926A48" w14:textId="77777777" w:rsidTr="00AA6A0B">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F04F76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C943437"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CA3D6E2"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247758B8"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19362A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Bilateral Aid Agency</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E3CC2B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GIZ </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C07A23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BE7758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995339B"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276,450.00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BE9A08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CC0C92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89,648 </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AF233D7"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8BB8203"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578,005.95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C77B52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76DBA57"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391,203.95 </w:t>
            </w:r>
          </w:p>
        </w:tc>
      </w:tr>
      <w:tr w:rsidR="00744990" w:rsidRPr="005F7A06" w14:paraId="10304ED7" w14:textId="77777777" w:rsidTr="00AA6A0B">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7041B5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TOTAL</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39A4BA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1,146,887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155E89E"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 </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27C9B4CA"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029767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Private Sector</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1B3495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Mondelez</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6125837"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8CF1FA1"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CFD41A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28,594.00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ACD49B0"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090B57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24,243 </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A8F3A01"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3B0F7AE"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28,594.00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71A945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1B9CE6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24,243.00 </w:t>
            </w:r>
          </w:p>
        </w:tc>
      </w:tr>
      <w:tr w:rsidR="00744990" w:rsidRPr="005F7A06" w14:paraId="2EEDA862" w14:textId="77777777" w:rsidTr="00AA6A0B">
        <w:trPr>
          <w:trHeight w:val="441"/>
        </w:trPr>
        <w:tc>
          <w:tcPr>
            <w:tcW w:w="298" w:type="pct"/>
            <w:tcBorders>
              <w:top w:val="single" w:sz="4" w:space="0" w:color="000000"/>
              <w:left w:val="nil"/>
              <w:bottom w:val="nil"/>
              <w:right w:val="nil"/>
            </w:tcBorders>
            <w:shd w:val="clear" w:color="auto" w:fill="auto"/>
            <w:tcMar>
              <w:top w:w="11" w:type="dxa"/>
              <w:left w:w="11" w:type="dxa"/>
              <w:bottom w:w="0" w:type="dxa"/>
              <w:right w:w="11" w:type="dxa"/>
            </w:tcMar>
            <w:hideMark/>
          </w:tcPr>
          <w:p w14:paraId="284D4687"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66" w:type="pct"/>
            <w:tcBorders>
              <w:top w:val="single" w:sz="4" w:space="0" w:color="000000"/>
              <w:left w:val="nil"/>
              <w:bottom w:val="nil"/>
              <w:right w:val="nil"/>
            </w:tcBorders>
            <w:shd w:val="clear" w:color="auto" w:fill="auto"/>
            <w:tcMar>
              <w:top w:w="11" w:type="dxa"/>
              <w:left w:w="11" w:type="dxa"/>
              <w:bottom w:w="0" w:type="dxa"/>
              <w:right w:w="11" w:type="dxa"/>
            </w:tcMar>
            <w:hideMark/>
          </w:tcPr>
          <w:p w14:paraId="37977A44"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250" w:type="pct"/>
            <w:tcBorders>
              <w:top w:val="single" w:sz="4" w:space="0" w:color="000000"/>
              <w:left w:val="nil"/>
              <w:bottom w:val="nil"/>
              <w:right w:val="nil"/>
            </w:tcBorders>
            <w:shd w:val="clear" w:color="auto" w:fill="auto"/>
            <w:tcMar>
              <w:top w:w="11" w:type="dxa"/>
              <w:left w:w="11" w:type="dxa"/>
              <w:bottom w:w="0" w:type="dxa"/>
              <w:right w:w="11" w:type="dxa"/>
            </w:tcMar>
            <w:hideMark/>
          </w:tcPr>
          <w:p w14:paraId="493A58A5"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16" w:type="pct"/>
            <w:tcBorders>
              <w:top w:val="nil"/>
              <w:left w:val="nil"/>
              <w:bottom w:val="nil"/>
              <w:right w:val="single" w:sz="4" w:space="0" w:color="000000"/>
            </w:tcBorders>
            <w:shd w:val="clear" w:color="auto" w:fill="auto"/>
            <w:tcMar>
              <w:top w:w="11" w:type="dxa"/>
              <w:left w:w="11" w:type="dxa"/>
              <w:bottom w:w="0" w:type="dxa"/>
              <w:right w:w="11" w:type="dxa"/>
            </w:tcMar>
            <w:hideMark/>
          </w:tcPr>
          <w:p w14:paraId="5E6798E4"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76152B2"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Other </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BAE57C5"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PAGE</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A6A09F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10E1EA2"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5B9D9A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77,888.00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5DFF3B4"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B94EE0F"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29,095.77 </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B7D975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C23DDB1"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77,888.00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6FC972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33FBAC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           29,095.77 </w:t>
            </w:r>
          </w:p>
        </w:tc>
      </w:tr>
      <w:tr w:rsidR="00744990" w:rsidRPr="005F7A06" w14:paraId="011685C4" w14:textId="77777777" w:rsidTr="00AA6A0B">
        <w:trPr>
          <w:trHeight w:val="265"/>
        </w:trPr>
        <w:tc>
          <w:tcPr>
            <w:tcW w:w="298" w:type="pct"/>
            <w:tcBorders>
              <w:top w:val="nil"/>
              <w:left w:val="nil"/>
              <w:bottom w:val="nil"/>
              <w:right w:val="nil"/>
            </w:tcBorders>
            <w:shd w:val="clear" w:color="auto" w:fill="auto"/>
            <w:tcMar>
              <w:top w:w="11" w:type="dxa"/>
              <w:left w:w="11" w:type="dxa"/>
              <w:bottom w:w="0" w:type="dxa"/>
              <w:right w:w="11" w:type="dxa"/>
            </w:tcMar>
            <w:hideMark/>
          </w:tcPr>
          <w:p w14:paraId="6E6178A3"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66" w:type="pct"/>
            <w:tcBorders>
              <w:top w:val="nil"/>
              <w:left w:val="nil"/>
              <w:bottom w:val="nil"/>
              <w:right w:val="nil"/>
            </w:tcBorders>
            <w:shd w:val="clear" w:color="auto" w:fill="auto"/>
            <w:tcMar>
              <w:top w:w="11" w:type="dxa"/>
              <w:left w:w="11" w:type="dxa"/>
              <w:bottom w:w="0" w:type="dxa"/>
              <w:right w:w="11" w:type="dxa"/>
            </w:tcMar>
            <w:hideMark/>
          </w:tcPr>
          <w:p w14:paraId="2C5DF888"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250" w:type="pct"/>
            <w:tcBorders>
              <w:top w:val="nil"/>
              <w:left w:val="nil"/>
              <w:bottom w:val="nil"/>
              <w:right w:val="nil"/>
            </w:tcBorders>
            <w:shd w:val="clear" w:color="auto" w:fill="auto"/>
            <w:tcMar>
              <w:top w:w="11" w:type="dxa"/>
              <w:left w:w="11" w:type="dxa"/>
              <w:bottom w:w="0" w:type="dxa"/>
              <w:right w:w="11" w:type="dxa"/>
            </w:tcMar>
            <w:hideMark/>
          </w:tcPr>
          <w:p w14:paraId="2C1441DD"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16" w:type="pct"/>
            <w:tcBorders>
              <w:top w:val="nil"/>
              <w:left w:val="nil"/>
              <w:bottom w:val="nil"/>
              <w:right w:val="single" w:sz="4" w:space="0" w:color="000000"/>
            </w:tcBorders>
            <w:shd w:val="clear" w:color="auto" w:fill="auto"/>
            <w:tcMar>
              <w:top w:w="11" w:type="dxa"/>
              <w:left w:w="11" w:type="dxa"/>
              <w:bottom w:w="0" w:type="dxa"/>
              <w:right w:w="11" w:type="dxa"/>
            </w:tcMar>
            <w:hideMark/>
          </w:tcPr>
          <w:p w14:paraId="202F8790"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A7075B4"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i/>
                <w:iCs/>
                <w:sz w:val="20"/>
                <w:szCs w:val="20"/>
                <w:lang w:val="es-ES" w:eastAsia="en-US"/>
              </w:rPr>
              <w:t>TOTAL</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76064C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i/>
                <w:iCs/>
                <w:sz w:val="20"/>
                <w:szCs w:val="20"/>
                <w:lang w:val="es-ES" w:eastAsia="en-US"/>
              </w:rPr>
              <w:t> </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8077086"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i/>
                <w:iCs/>
                <w:sz w:val="20"/>
                <w:szCs w:val="20"/>
                <w:lang w:val="es-ES" w:eastAsia="en-US"/>
              </w:rPr>
              <w:t>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074A80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 xml:space="preserve">       1,146,887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65F3590"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 xml:space="preserve">     961,907.00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D96BC6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AC705F3" w14:textId="061B031E"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 xml:space="preserve">  357,071 </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03C1437"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i/>
                <w:iCs/>
                <w:sz w:val="20"/>
                <w:szCs w:val="20"/>
                <w:lang w:val="es-ES" w:eastAsia="en-US"/>
              </w:rPr>
              <w:t> </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BE07320"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1,356,059</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CAD50BD"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FFF52C0"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718,627</w:t>
            </w:r>
          </w:p>
        </w:tc>
      </w:tr>
      <w:tr w:rsidR="005F7A06" w:rsidRPr="005F7A06" w14:paraId="6E795631" w14:textId="77777777" w:rsidTr="00AA6A0B">
        <w:trPr>
          <w:trHeight w:val="395"/>
        </w:trPr>
        <w:tc>
          <w:tcPr>
            <w:tcW w:w="5000" w:type="pct"/>
            <w:gridSpan w:val="15"/>
            <w:tcBorders>
              <w:top w:val="nil"/>
              <w:left w:val="nil"/>
              <w:bottom w:val="single" w:sz="4" w:space="0" w:color="000000"/>
              <w:right w:val="nil"/>
            </w:tcBorders>
            <w:shd w:val="clear" w:color="auto" w:fill="E7E6E6"/>
            <w:tcMar>
              <w:top w:w="53" w:type="dxa"/>
              <w:left w:w="106" w:type="dxa"/>
              <w:bottom w:w="53" w:type="dxa"/>
              <w:right w:w="106" w:type="dxa"/>
            </w:tcMar>
            <w:hideMark/>
          </w:tcPr>
          <w:p w14:paraId="3AC6EF1F" w14:textId="08FD642B" w:rsidR="00BF3452" w:rsidRDefault="00BF3452" w:rsidP="005F7A06">
            <w:pPr>
              <w:rPr>
                <w:rFonts w:asciiTheme="minorHAnsi" w:eastAsiaTheme="minorHAnsi" w:hAnsiTheme="minorHAnsi" w:cstheme="minorBidi"/>
                <w:b/>
                <w:bCs/>
                <w:sz w:val="20"/>
                <w:szCs w:val="20"/>
                <w:lang w:val="es-ES" w:eastAsia="en-US"/>
              </w:rPr>
            </w:pPr>
          </w:p>
          <w:p w14:paraId="7BF883BC" w14:textId="77777777" w:rsidR="00BF3452" w:rsidRDefault="00BF3452" w:rsidP="005F7A06">
            <w:pPr>
              <w:rPr>
                <w:rFonts w:asciiTheme="minorHAnsi" w:eastAsiaTheme="minorHAnsi" w:hAnsiTheme="minorHAnsi" w:cstheme="minorBidi"/>
                <w:b/>
                <w:bCs/>
                <w:sz w:val="20"/>
                <w:szCs w:val="20"/>
                <w:lang w:val="es-ES" w:eastAsia="en-US"/>
              </w:rPr>
            </w:pPr>
          </w:p>
          <w:p w14:paraId="7AA67A79" w14:textId="77777777" w:rsidR="00BF3452" w:rsidRDefault="00BF3452" w:rsidP="005F7A06">
            <w:pPr>
              <w:rPr>
                <w:rFonts w:asciiTheme="minorHAnsi" w:eastAsiaTheme="minorHAnsi" w:hAnsiTheme="minorHAnsi" w:cstheme="minorBidi"/>
                <w:b/>
                <w:bCs/>
                <w:sz w:val="20"/>
                <w:szCs w:val="20"/>
                <w:lang w:val="es-ES" w:eastAsia="en-US"/>
              </w:rPr>
            </w:pPr>
          </w:p>
          <w:p w14:paraId="581666F9" w14:textId="7357640F"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lastRenderedPageBreak/>
              <w:t>Component 2</w:t>
            </w:r>
          </w:p>
        </w:tc>
      </w:tr>
      <w:tr w:rsidR="00967FA0" w:rsidRPr="005F7A06" w14:paraId="0CB642A4" w14:textId="77777777" w:rsidTr="00AA6A0B">
        <w:trPr>
          <w:trHeight w:val="342"/>
        </w:trPr>
        <w:tc>
          <w:tcPr>
            <w:tcW w:w="1014" w:type="pct"/>
            <w:gridSpan w:val="3"/>
            <w:tcBorders>
              <w:top w:val="single" w:sz="4" w:space="0" w:color="000000"/>
              <w:left w:val="single" w:sz="4" w:space="0" w:color="000000"/>
              <w:bottom w:val="single" w:sz="4" w:space="0" w:color="000000"/>
              <w:right w:val="single" w:sz="4" w:space="0" w:color="000000"/>
            </w:tcBorders>
            <w:shd w:val="clear" w:color="auto" w:fill="F4B084"/>
            <w:tcMar>
              <w:top w:w="53" w:type="dxa"/>
              <w:left w:w="106" w:type="dxa"/>
              <w:bottom w:w="53" w:type="dxa"/>
              <w:right w:w="106" w:type="dxa"/>
            </w:tcMar>
            <w:hideMark/>
          </w:tcPr>
          <w:p w14:paraId="3FEC8525"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lastRenderedPageBreak/>
              <w:t>From Prodoc</w:t>
            </w:r>
          </w:p>
        </w:tc>
        <w:tc>
          <w:tcPr>
            <w:tcW w:w="16" w:type="pct"/>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hideMark/>
          </w:tcPr>
          <w:p w14:paraId="6FBCB348"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2659" w:type="pct"/>
            <w:gridSpan w:val="7"/>
            <w:tcBorders>
              <w:top w:val="single" w:sz="4" w:space="0" w:color="000000"/>
              <w:left w:val="single" w:sz="4" w:space="0" w:color="000000"/>
              <w:bottom w:val="single" w:sz="4" w:space="0" w:color="000000"/>
              <w:right w:val="single" w:sz="4" w:space="0" w:color="000000"/>
            </w:tcBorders>
            <w:shd w:val="clear" w:color="auto" w:fill="F4B084"/>
            <w:tcMar>
              <w:top w:w="53" w:type="dxa"/>
              <w:left w:w="106" w:type="dxa"/>
              <w:bottom w:w="53" w:type="dxa"/>
              <w:right w:w="106" w:type="dxa"/>
            </w:tcMar>
            <w:hideMark/>
          </w:tcPr>
          <w:p w14:paraId="3536BF01"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Co-financing at MTR</w:t>
            </w:r>
          </w:p>
        </w:tc>
        <w:tc>
          <w:tcPr>
            <w:tcW w:w="1312" w:type="pct"/>
            <w:gridSpan w:val="4"/>
            <w:tcBorders>
              <w:top w:val="single" w:sz="4" w:space="0" w:color="000000"/>
              <w:left w:val="single" w:sz="4" w:space="0" w:color="000000"/>
              <w:bottom w:val="single" w:sz="4" w:space="0" w:color="000000"/>
              <w:right w:val="nil"/>
            </w:tcBorders>
            <w:shd w:val="clear" w:color="auto" w:fill="F4B084"/>
            <w:tcMar>
              <w:top w:w="53" w:type="dxa"/>
              <w:left w:w="106" w:type="dxa"/>
              <w:bottom w:w="53" w:type="dxa"/>
              <w:right w:w="106" w:type="dxa"/>
            </w:tcMar>
            <w:hideMark/>
          </w:tcPr>
          <w:p w14:paraId="104A47EF"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Co-financing at TE</w:t>
            </w:r>
          </w:p>
        </w:tc>
      </w:tr>
      <w:tr w:rsidR="00BF3452" w:rsidRPr="005F7A06" w14:paraId="47BA3FF8" w14:textId="77777777" w:rsidTr="00BF3452">
        <w:trPr>
          <w:trHeight w:val="1022"/>
        </w:trPr>
        <w:tc>
          <w:tcPr>
            <w:tcW w:w="298"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7274480"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Source</w:t>
            </w:r>
          </w:p>
        </w:tc>
        <w:tc>
          <w:tcPr>
            <w:tcW w:w="466"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87BC1CF"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eastAsia="en-US"/>
              </w:rPr>
              <w:t>Amount for Component 2 (US$)</w:t>
            </w:r>
          </w:p>
        </w:tc>
        <w:tc>
          <w:tcPr>
            <w:tcW w:w="250"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4EC6FDD6"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Type of co-financing</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4304DA33" w14:textId="77777777" w:rsidR="005F7A06" w:rsidRPr="005F7A06" w:rsidRDefault="005F7A06" w:rsidP="005F7A06">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2C33C01A"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Source of co-financing*</w:t>
            </w:r>
          </w:p>
        </w:tc>
        <w:tc>
          <w:tcPr>
            <w:tcW w:w="368"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585D7CA9"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Name of co-financer</w:t>
            </w:r>
          </w:p>
        </w:tc>
        <w:tc>
          <w:tcPr>
            <w:tcW w:w="290"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158449B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Type of co-financing**</w:t>
            </w:r>
          </w:p>
        </w:tc>
        <w:tc>
          <w:tcPr>
            <w:tcW w:w="485"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0F0CE805" w14:textId="77777777" w:rsidR="005F7A06" w:rsidRPr="005F7A06" w:rsidRDefault="005F7A06" w:rsidP="005F7A06">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b/>
                <w:bCs/>
                <w:sz w:val="20"/>
                <w:szCs w:val="20"/>
                <w:lang w:eastAsia="en-US"/>
              </w:rPr>
              <w:t>Amount confirmed at CEO Endorsement (US$)</w:t>
            </w:r>
          </w:p>
        </w:tc>
        <w:tc>
          <w:tcPr>
            <w:tcW w:w="485"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7D2DC8ED" w14:textId="77777777" w:rsidR="005F7A06" w:rsidRPr="005F7A06" w:rsidRDefault="005F7A06" w:rsidP="005F7A06">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b/>
                <w:bCs/>
                <w:sz w:val="20"/>
                <w:szCs w:val="20"/>
                <w:lang w:eastAsia="en-US"/>
              </w:rPr>
              <w:t>Actual amount contributed at stage of Midterm Review (US$)</w:t>
            </w:r>
          </w:p>
        </w:tc>
        <w:tc>
          <w:tcPr>
            <w:tcW w:w="241"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60822661"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Actual % of Expected Amount</w:t>
            </w:r>
          </w:p>
        </w:tc>
        <w:tc>
          <w:tcPr>
            <w:tcW w:w="334"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7C0741DC"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Investment mobilized*** (US$)</w:t>
            </w:r>
          </w:p>
        </w:tc>
        <w:tc>
          <w:tcPr>
            <w:tcW w:w="307"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3D7680F8"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Type of co-financing**</w:t>
            </w:r>
          </w:p>
        </w:tc>
        <w:tc>
          <w:tcPr>
            <w:tcW w:w="346"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063E813D" w14:textId="77777777" w:rsidR="005F7A06" w:rsidRPr="005F7A06" w:rsidRDefault="005F7A06" w:rsidP="005F7A06">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b/>
                <w:bCs/>
                <w:sz w:val="20"/>
                <w:szCs w:val="20"/>
                <w:lang w:eastAsia="en-US"/>
              </w:rPr>
              <w:t>Actual amount contributed at stage of Terminal Evaluation (US$)</w:t>
            </w:r>
          </w:p>
        </w:tc>
        <w:tc>
          <w:tcPr>
            <w:tcW w:w="221"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26F0BE27"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Actual % of Expected Amount</w:t>
            </w:r>
          </w:p>
        </w:tc>
        <w:tc>
          <w:tcPr>
            <w:tcW w:w="439" w:type="pct"/>
            <w:tcBorders>
              <w:top w:val="single" w:sz="4" w:space="0" w:color="000000"/>
              <w:left w:val="single" w:sz="4" w:space="0" w:color="000000"/>
              <w:bottom w:val="single" w:sz="4" w:space="0" w:color="000000"/>
              <w:right w:val="single" w:sz="4" w:space="0" w:color="000000"/>
            </w:tcBorders>
            <w:shd w:val="clear" w:color="auto" w:fill="F8CBAD"/>
            <w:tcMar>
              <w:top w:w="11" w:type="dxa"/>
              <w:left w:w="11" w:type="dxa"/>
              <w:bottom w:w="0" w:type="dxa"/>
              <w:right w:w="11" w:type="dxa"/>
            </w:tcMar>
            <w:hideMark/>
          </w:tcPr>
          <w:p w14:paraId="7CBBB275" w14:textId="77777777" w:rsidR="005F7A06" w:rsidRPr="005F7A06" w:rsidRDefault="005F7A06" w:rsidP="005F7A06">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Investment mobilized*** (US$)</w:t>
            </w:r>
          </w:p>
        </w:tc>
      </w:tr>
      <w:tr w:rsidR="00A61DBA" w:rsidRPr="005F7A06" w14:paraId="6E7D5284" w14:textId="77777777" w:rsidTr="00A61DBA">
        <w:trPr>
          <w:trHeight w:val="247"/>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F34E489"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WWF</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B3034A3"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1,229,317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3601506"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Parallel</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58136FC7"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CB41502" w14:textId="27390DE0" w:rsidR="00967FA0" w:rsidRPr="005F7A06" w:rsidRDefault="00967FA0" w:rsidP="00BF3452">
            <w:pPr>
              <w:rPr>
                <w:rFonts w:asciiTheme="minorHAnsi" w:eastAsiaTheme="minorHAnsi" w:hAnsiTheme="minorHAnsi" w:cstheme="minorBidi"/>
                <w:sz w:val="20"/>
                <w:szCs w:val="20"/>
                <w:lang w:val="es-ES" w:eastAsia="en-US"/>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396E743" w14:textId="26A2C622" w:rsidR="00967FA0" w:rsidRPr="005F7A06" w:rsidRDefault="00967FA0" w:rsidP="00BF3452">
            <w:pPr>
              <w:rPr>
                <w:rFonts w:asciiTheme="minorHAnsi" w:eastAsiaTheme="minorHAnsi" w:hAnsiTheme="minorHAnsi" w:cstheme="minorBidi"/>
                <w:sz w:val="20"/>
                <w:szCs w:val="20"/>
                <w:lang w:val="es-ES" w:eastAsia="en-US"/>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F32C0CA" w14:textId="4D97C31E" w:rsidR="00967FA0" w:rsidRPr="005F7A06" w:rsidRDefault="00967FA0" w:rsidP="00BF3452">
            <w:pPr>
              <w:rPr>
                <w:rFonts w:asciiTheme="minorHAnsi" w:eastAsiaTheme="minorHAnsi" w:hAnsiTheme="minorHAnsi" w:cstheme="minorBidi"/>
                <w:sz w:val="20"/>
                <w:szCs w:val="20"/>
                <w:lang w:val="es-ES" w:eastAsia="en-US"/>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091B0238" w14:textId="52253BA6" w:rsidR="00967FA0" w:rsidRPr="005F7A06" w:rsidRDefault="00967FA0" w:rsidP="00BF3452">
            <w:pPr>
              <w:rPr>
                <w:rFonts w:asciiTheme="minorHAnsi" w:eastAsiaTheme="minorHAnsi" w:hAnsiTheme="minorHAnsi" w:cstheme="minorBidi"/>
                <w:sz w:val="20"/>
                <w:szCs w:val="20"/>
                <w:lang w:val="es-ES" w:eastAsia="en-US"/>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C30C322" w14:textId="796E42C4" w:rsidR="00967FA0" w:rsidRPr="005F7A06" w:rsidRDefault="00967FA0" w:rsidP="00BF3452">
            <w:pPr>
              <w:rPr>
                <w:rFonts w:asciiTheme="minorHAnsi" w:eastAsiaTheme="minorHAnsi" w:hAnsiTheme="minorHAnsi" w:cstheme="minorBidi"/>
                <w:sz w:val="20"/>
                <w:szCs w:val="20"/>
                <w:lang w:val="es-ES" w:eastAsia="en-US"/>
              </w:rPr>
            </w:pP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5BAD050" w14:textId="160455E3" w:rsidR="00967FA0" w:rsidRPr="005F7A06" w:rsidRDefault="00967FA0" w:rsidP="00BF3452">
            <w:pPr>
              <w:rPr>
                <w:rFonts w:asciiTheme="minorHAnsi" w:eastAsiaTheme="minorHAnsi" w:hAnsiTheme="minorHAnsi" w:cstheme="minorBidi"/>
                <w:sz w:val="20"/>
                <w:szCs w:val="20"/>
                <w:lang w:val="es-ES" w:eastAsia="en-US"/>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0AD64257" w14:textId="6224F1D0"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8BBBCB3" w14:textId="3F5FA288" w:rsidR="00967FA0" w:rsidRPr="005F7A06" w:rsidRDefault="00967FA0" w:rsidP="00BF3452">
            <w:pPr>
              <w:rPr>
                <w:rFonts w:asciiTheme="minorHAnsi" w:eastAsiaTheme="minorHAnsi" w:hAnsiTheme="minorHAnsi" w:cstheme="minorBidi"/>
                <w:sz w:val="20"/>
                <w:szCs w:val="20"/>
                <w:lang w:val="es-ES" w:eastAsia="en-US"/>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3543089A" w14:textId="52EB16AB" w:rsidR="00967FA0" w:rsidRPr="005F7A06" w:rsidRDefault="00967FA0" w:rsidP="00BF3452">
            <w:pPr>
              <w:rPr>
                <w:rFonts w:asciiTheme="minorHAnsi" w:eastAsiaTheme="minorHAnsi" w:hAnsiTheme="minorHAnsi" w:cstheme="minorBidi"/>
                <w:sz w:val="20"/>
                <w:szCs w:val="20"/>
                <w:lang w:val="es-ES" w:eastAsia="en-US"/>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7ADD329" w14:textId="1FD1811B" w:rsidR="00967FA0" w:rsidRPr="005F7A06" w:rsidRDefault="00967FA0" w:rsidP="00BF3452">
            <w:pPr>
              <w:rPr>
                <w:rFonts w:asciiTheme="minorHAnsi" w:eastAsiaTheme="minorHAnsi" w:hAnsiTheme="minorHAnsi" w:cstheme="minorBidi"/>
                <w:sz w:val="20"/>
                <w:szCs w:val="20"/>
                <w:lang w:val="es-ES" w:eastAsia="en-US"/>
              </w:rPr>
            </w:pP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28AB639" w14:textId="43529A43" w:rsidR="00967FA0" w:rsidRPr="005F7A06" w:rsidRDefault="00967FA0" w:rsidP="00BF3452">
            <w:pPr>
              <w:rPr>
                <w:rFonts w:asciiTheme="minorHAnsi" w:eastAsiaTheme="minorHAnsi" w:hAnsiTheme="minorHAnsi" w:cstheme="minorBidi"/>
                <w:sz w:val="20"/>
                <w:szCs w:val="20"/>
                <w:lang w:val="es-ES" w:eastAsia="en-US"/>
              </w:rPr>
            </w:pPr>
          </w:p>
        </w:tc>
      </w:tr>
      <w:tr w:rsidR="00A61DBA" w:rsidRPr="005F7A06" w14:paraId="3E322585" w14:textId="77777777" w:rsidTr="00A61DBA">
        <w:trPr>
          <w:trHeight w:val="247"/>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8D3796E"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DFID</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3E644F5"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1,500,000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3F0363B"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Parallel</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615D5D5C"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5D369DD" w14:textId="52F4D1AF"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National government</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A911C27" w14:textId="151CFC25"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DFID</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BF1C7FB" w14:textId="1401DB8E"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591AA6C" w14:textId="26508E5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1,500,000</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043BA96" w14:textId="7B71321C"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1,580,077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15A0607" w14:textId="409C5734"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105%</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5A605D9" w14:textId="78F60D72"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D3B1E5D" w14:textId="48CA499F"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0008A909" w14:textId="1377298A"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1,580,077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7496A2D" w14:textId="5D813F44"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105%</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067B2B20" w14:textId="4264ED05"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1,580,077</w:t>
            </w:r>
          </w:p>
        </w:tc>
      </w:tr>
      <w:tr w:rsidR="00A61DBA" w:rsidRPr="005F7A06" w14:paraId="5575229E" w14:textId="77777777" w:rsidTr="00A61DBA">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4D63051"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Ford Foundation</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8085477"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700,000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29D2630"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Parallel</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61CEA174"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F14CAD0"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Other</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6BB57F14"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Ford Foundation</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CD90339"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C5D7D59"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700,000</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99E786D" w14:textId="3D9A24FE"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646,827</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F7ED72C"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92%</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0118A34" w14:textId="5D89F319"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BEFB0D9"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5606B5F" w14:textId="7DFCACB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1,295,314</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F03DCA0"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185%</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233BA0B"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1,295,314</w:t>
            </w:r>
          </w:p>
        </w:tc>
      </w:tr>
      <w:tr w:rsidR="00A61DBA" w:rsidRPr="005F7A06" w14:paraId="516F06C8" w14:textId="77777777" w:rsidTr="00A61DBA">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9BDF373"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ISEAL Alliance</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7313368"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120,000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58DF234"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Parallel</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01916B11"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42C52B2A" w14:textId="34E5A013"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Other</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115C8BF" w14:textId="683AC8C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ISEAL Alliance</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BC30833" w14:textId="323545E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In-Kind</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41E6AEF" w14:textId="40C74698"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120,000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DF94DEE" w14:textId="37EC1E58"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59,761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02F8E02" w14:textId="7854E9BC"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50%</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B67C7F5" w14:textId="4F317C43"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76EC4B0" w14:textId="6C97D458"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In-Kind</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F7C871A" w14:textId="17BA285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167,864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757D155" w14:textId="5BAA222A"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140%</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F06581D" w14:textId="28ED8491"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16,786</w:t>
            </w:r>
          </w:p>
        </w:tc>
      </w:tr>
      <w:tr w:rsidR="00A61DBA" w:rsidRPr="005F7A06" w14:paraId="5354D4A8" w14:textId="77777777" w:rsidTr="00A61DBA">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B6413FA"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Rainforest Alliance</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95F382F"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1,000,000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4FB3F2A"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Parallel</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05B2EACE"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3BE68B52" w14:textId="3B038A50"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Other</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67BA242" w14:textId="11DDFE86" w:rsidR="00967FA0" w:rsidRPr="005F7A06" w:rsidRDefault="00967FA0" w:rsidP="00BF3452">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sz w:val="20"/>
                <w:szCs w:val="20"/>
                <w:lang w:val="es-ES" w:eastAsia="en-US"/>
              </w:rPr>
              <w:t>Rainforest Alliance</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00C6CCF" w14:textId="0C7A1DE5"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In-Kind</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7B708D5" w14:textId="708F79DB"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1,000,000</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3DA9FBB" w14:textId="43D98B0B"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454,350 </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52EA64B" w14:textId="60E2B41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45%</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9AE7185" w14:textId="7423A1A8"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3445F932" w14:textId="0BB80F53"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In-Kind</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B75D2FE" w14:textId="2F308CF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 xml:space="preserve">705,305 </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22C66B0" w14:textId="0DE7F53E"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71%</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C6C5710" w14:textId="749CA0D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705,305</w:t>
            </w:r>
          </w:p>
        </w:tc>
      </w:tr>
      <w:tr w:rsidR="00A61DBA" w:rsidRPr="005F7A06" w14:paraId="1C01F37D" w14:textId="77777777" w:rsidTr="00A61DBA">
        <w:trPr>
          <w:trHeight w:val="44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330DD44" w14:textId="6533AE06"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SECO</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4A5375F" w14:textId="7BD98605"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800,000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149FDCB" w14:textId="3D20339E"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Parallel</w:t>
            </w: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tcPr>
          <w:p w14:paraId="3E9A3D1F"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3E27A926" w14:textId="03DCD02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National government</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1290FD4F" w14:textId="4929E146" w:rsidR="00967FA0" w:rsidRPr="005F7A06" w:rsidRDefault="00967FA0" w:rsidP="00BF3452">
            <w:pPr>
              <w:rPr>
                <w:rFonts w:asciiTheme="minorHAnsi" w:eastAsiaTheme="minorHAnsi" w:hAnsiTheme="minorHAnsi" w:cstheme="minorBidi"/>
                <w:sz w:val="20"/>
                <w:szCs w:val="20"/>
                <w:lang w:eastAsia="en-US"/>
              </w:rPr>
            </w:pPr>
            <w:r w:rsidRPr="005F7A06">
              <w:rPr>
                <w:rFonts w:asciiTheme="minorHAnsi" w:eastAsiaTheme="minorHAnsi" w:hAnsiTheme="minorHAnsi" w:cstheme="minorBidi"/>
                <w:sz w:val="20"/>
                <w:szCs w:val="20"/>
                <w:lang w:eastAsia="en-US"/>
              </w:rPr>
              <w:t>Swiss State Secretariat for Economic Affairs (SECO)</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F5285C1" w14:textId="66B41F5B"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BE236F1" w14:textId="16B80FF0"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800,000</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3062C917" w14:textId="1EB83F2B"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645,990</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8C955D7" w14:textId="1D5C046E"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81%</w:t>
            </w: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3EEEF4D1" w14:textId="6E229F17"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7032DC5A" w14:textId="57FA1309"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Grant</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6A3C4E25" w14:textId="064C9228"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1,610,077</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268EDF8C" w14:textId="428FC107"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sz w:val="20"/>
                <w:szCs w:val="20"/>
                <w:lang w:val="es-ES" w:eastAsia="en-US"/>
              </w:rPr>
              <w:t>201%</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14:paraId="5222CC3C" w14:textId="731795E5"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sz w:val="20"/>
                <w:szCs w:val="20"/>
                <w:lang w:val="es-ES" w:eastAsia="en-US"/>
              </w:rPr>
              <w:t>1,610,077</w:t>
            </w:r>
          </w:p>
        </w:tc>
      </w:tr>
      <w:tr w:rsidR="00A61DBA" w:rsidRPr="005F7A06" w14:paraId="09A13125" w14:textId="77777777" w:rsidTr="00A61DBA">
        <w:trPr>
          <w:trHeight w:val="247"/>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86F14AF"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TOTAL</w:t>
            </w:r>
          </w:p>
        </w:tc>
        <w:tc>
          <w:tcPr>
            <w:tcW w:w="46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8796DBE" w14:textId="4A24BA0B"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b/>
                <w:bCs/>
                <w:sz w:val="20"/>
                <w:szCs w:val="20"/>
                <w:lang w:val="es-ES" w:eastAsia="en-US"/>
              </w:rPr>
              <w:t>5,349,317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573E8B7" w14:textId="1FED01BC" w:rsidR="00967FA0" w:rsidRPr="005F7A06" w:rsidRDefault="00967FA0" w:rsidP="00BF3452">
            <w:pPr>
              <w:rPr>
                <w:rFonts w:asciiTheme="minorHAnsi" w:eastAsiaTheme="minorHAnsi" w:hAnsiTheme="minorHAnsi" w:cstheme="minorBidi"/>
                <w:sz w:val="20"/>
                <w:szCs w:val="20"/>
                <w:lang w:val="es-ES" w:eastAsia="en-US"/>
              </w:rPr>
            </w:pPr>
          </w:p>
        </w:tc>
        <w:tc>
          <w:tcPr>
            <w:tcW w:w="16" w:type="pct"/>
            <w:tcBorders>
              <w:top w:val="nil"/>
              <w:left w:val="single" w:sz="4" w:space="0" w:color="000000"/>
              <w:bottom w:val="nil"/>
              <w:right w:val="single" w:sz="4" w:space="0" w:color="000000"/>
            </w:tcBorders>
            <w:shd w:val="clear" w:color="auto" w:fill="auto"/>
            <w:tcMar>
              <w:top w:w="11" w:type="dxa"/>
              <w:left w:w="11" w:type="dxa"/>
              <w:bottom w:w="0" w:type="dxa"/>
              <w:right w:w="11" w:type="dxa"/>
            </w:tcMar>
            <w:hideMark/>
          </w:tcPr>
          <w:p w14:paraId="0AB39464" w14:textId="77777777" w:rsidR="00967FA0" w:rsidRPr="005F7A06" w:rsidRDefault="00967FA0" w:rsidP="00BF3452">
            <w:pPr>
              <w:rPr>
                <w:rFonts w:asciiTheme="minorHAnsi" w:eastAsiaTheme="minorHAnsi" w:hAnsiTheme="minorHAnsi" w:cstheme="minorBidi"/>
                <w:sz w:val="20"/>
                <w:szCs w:val="20"/>
                <w:lang w:val="es-ES" w:eastAsia="en-US"/>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265086FD"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Total</w:t>
            </w:r>
          </w:p>
        </w:tc>
        <w:tc>
          <w:tcPr>
            <w:tcW w:w="368"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A575666" w14:textId="62685B1E" w:rsidR="00967FA0" w:rsidRPr="005F7A06" w:rsidRDefault="00967FA0" w:rsidP="00BF3452">
            <w:pPr>
              <w:rPr>
                <w:rFonts w:asciiTheme="minorHAnsi" w:eastAsiaTheme="minorHAnsi" w:hAnsiTheme="minorHAnsi" w:cstheme="minorBidi"/>
                <w:sz w:val="20"/>
                <w:szCs w:val="20"/>
                <w:lang w:val="es-ES" w:eastAsia="en-US"/>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039A73A1" w14:textId="587C7539" w:rsidR="00967FA0" w:rsidRPr="005F7A06" w:rsidRDefault="00967FA0" w:rsidP="00BF3452">
            <w:pPr>
              <w:rPr>
                <w:rFonts w:asciiTheme="minorHAnsi" w:eastAsiaTheme="minorHAnsi" w:hAnsiTheme="minorHAnsi" w:cstheme="minorBidi"/>
                <w:sz w:val="20"/>
                <w:szCs w:val="20"/>
                <w:lang w:val="es-ES" w:eastAsia="en-US"/>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5752A29B" w14:textId="7E021488" w:rsidR="00967FA0" w:rsidRPr="005F7A06" w:rsidRDefault="00967FA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b/>
                <w:bCs/>
                <w:sz w:val="20"/>
                <w:szCs w:val="20"/>
                <w:lang w:val="es-ES" w:eastAsia="en-US"/>
              </w:rPr>
              <w:t>4,120,000</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1834FA37" w14:textId="30DAA2C3" w:rsidR="00967FA0" w:rsidRPr="005F7A06" w:rsidRDefault="00744990" w:rsidP="00BF3452">
            <w:pPr>
              <w:rPr>
                <w:rFonts w:asciiTheme="minorHAnsi" w:eastAsiaTheme="minorHAnsi" w:hAnsiTheme="minorHAnsi" w:cstheme="minorBidi"/>
                <w:sz w:val="20"/>
                <w:szCs w:val="20"/>
                <w:lang w:val="es-ES" w:eastAsia="en-US"/>
              </w:rPr>
            </w:pPr>
            <w:r>
              <w:rPr>
                <w:rFonts w:asciiTheme="minorHAnsi" w:eastAsiaTheme="minorHAnsi" w:hAnsiTheme="minorHAnsi" w:cstheme="minorBidi"/>
                <w:b/>
                <w:bCs/>
                <w:sz w:val="20"/>
                <w:szCs w:val="20"/>
                <w:lang w:val="es-ES" w:eastAsia="en-US"/>
              </w:rPr>
              <w:t>3,387,005</w:t>
            </w:r>
          </w:p>
        </w:tc>
        <w:tc>
          <w:tcPr>
            <w:tcW w:w="24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36FC4A8" w14:textId="0C13D637" w:rsidR="00967FA0" w:rsidRPr="005F7A06" w:rsidRDefault="00967FA0" w:rsidP="00BF3452">
            <w:pPr>
              <w:rPr>
                <w:rFonts w:asciiTheme="minorHAnsi" w:eastAsiaTheme="minorHAnsi" w:hAnsiTheme="minorHAnsi" w:cstheme="minorBidi"/>
                <w:sz w:val="20"/>
                <w:szCs w:val="20"/>
                <w:lang w:val="es-ES" w:eastAsia="en-US"/>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1D82F1C" w14:textId="700DB55F" w:rsidR="00967FA0" w:rsidRPr="005F7A06" w:rsidRDefault="00967FA0" w:rsidP="00BF3452">
            <w:pPr>
              <w:rPr>
                <w:rFonts w:asciiTheme="minorHAnsi" w:eastAsiaTheme="minorHAnsi" w:hAnsiTheme="minorHAnsi" w:cstheme="minorBidi"/>
                <w:sz w:val="20"/>
                <w:szCs w:val="20"/>
                <w:lang w:val="es-ES" w:eastAsia="en-US"/>
              </w:rPr>
            </w:pP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D9402FD" w14:textId="58F402F5" w:rsidR="00967FA0" w:rsidRPr="005F7A06" w:rsidRDefault="00967FA0" w:rsidP="00BF3452">
            <w:pPr>
              <w:rPr>
                <w:rFonts w:asciiTheme="minorHAnsi" w:eastAsiaTheme="minorHAnsi" w:hAnsiTheme="minorHAnsi" w:cstheme="minorBidi"/>
                <w:sz w:val="20"/>
                <w:szCs w:val="20"/>
                <w:lang w:val="es-ES" w:eastAsia="en-US"/>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42437821" w14:textId="5583B0C6"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5,358,637</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31646A1F" w14:textId="38218042" w:rsidR="00967FA0" w:rsidRPr="005F7A06" w:rsidRDefault="00967FA0" w:rsidP="00BF3452">
            <w:pPr>
              <w:rPr>
                <w:rFonts w:asciiTheme="minorHAnsi" w:eastAsiaTheme="minorHAnsi" w:hAnsiTheme="minorHAnsi" w:cstheme="minorBidi"/>
                <w:sz w:val="20"/>
                <w:szCs w:val="20"/>
                <w:lang w:val="es-ES" w:eastAsia="en-US"/>
              </w:rPr>
            </w:pP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14:paraId="744802D2" w14:textId="77777777" w:rsidR="00967FA0" w:rsidRPr="005F7A06" w:rsidRDefault="00967FA0" w:rsidP="00BF3452">
            <w:pPr>
              <w:rPr>
                <w:rFonts w:asciiTheme="minorHAnsi" w:eastAsiaTheme="minorHAnsi" w:hAnsiTheme="minorHAnsi" w:cstheme="minorBidi"/>
                <w:sz w:val="20"/>
                <w:szCs w:val="20"/>
                <w:lang w:val="es-ES" w:eastAsia="en-US"/>
              </w:rPr>
            </w:pPr>
            <w:r w:rsidRPr="005F7A06">
              <w:rPr>
                <w:rFonts w:asciiTheme="minorHAnsi" w:eastAsiaTheme="minorHAnsi" w:hAnsiTheme="minorHAnsi" w:cstheme="minorBidi"/>
                <w:b/>
                <w:bCs/>
                <w:sz w:val="20"/>
                <w:szCs w:val="20"/>
                <w:lang w:val="es-ES" w:eastAsia="en-US"/>
              </w:rPr>
              <w:t>5,207,559</w:t>
            </w:r>
          </w:p>
        </w:tc>
      </w:tr>
    </w:tbl>
    <w:p w14:paraId="626841A7" w14:textId="26276F74" w:rsidR="005407BC" w:rsidRDefault="005407BC" w:rsidP="00D70CD3"/>
    <w:p w14:paraId="29E0D054" w14:textId="77777777" w:rsidR="005407BC" w:rsidRDefault="005407BC" w:rsidP="00D70CD3">
      <w:pPr>
        <w:sectPr w:rsidR="005407BC" w:rsidSect="005F7A06">
          <w:pgSz w:w="15840" w:h="12240" w:orient="landscape" w:code="1"/>
          <w:pgMar w:top="1080" w:right="1440" w:bottom="1080" w:left="1440" w:header="0" w:footer="936" w:gutter="0"/>
          <w:cols w:space="720"/>
          <w:docGrid w:linePitch="299"/>
        </w:sectPr>
      </w:pPr>
    </w:p>
    <w:p w14:paraId="51EB8936" w14:textId="509DBFFD" w:rsidR="005407BC" w:rsidRDefault="005407BC" w:rsidP="00D70CD3"/>
    <w:p w14:paraId="4EDB36C9" w14:textId="5C7F96D3" w:rsidR="005407BC" w:rsidRDefault="005407BC" w:rsidP="00D70CD3"/>
    <w:p w14:paraId="610ED092" w14:textId="77777777" w:rsidR="005407BC" w:rsidRDefault="005407BC" w:rsidP="005407BC">
      <w:pPr>
        <w:pStyle w:val="Heading2"/>
      </w:pPr>
      <w:bookmarkStart w:id="167" w:name="_Annex_17._Audit"/>
      <w:bookmarkStart w:id="168" w:name="_Toc90433516"/>
      <w:bookmarkStart w:id="169" w:name="_Toc96772528"/>
      <w:bookmarkEnd w:id="167"/>
      <w:r>
        <w:t>Annex 17. Audit Trail for Component 2</w:t>
      </w:r>
      <w:bookmarkEnd w:id="168"/>
      <w:bookmarkEnd w:id="169"/>
      <w:r>
        <w:t xml:space="preserve"> </w:t>
      </w:r>
    </w:p>
    <w:tbl>
      <w:tblPr>
        <w:tblW w:w="0" w:type="auto"/>
        <w:shd w:val="clear" w:color="auto" w:fill="FFFFFF"/>
        <w:tblCellMar>
          <w:left w:w="0" w:type="dxa"/>
          <w:right w:w="0" w:type="dxa"/>
        </w:tblCellMar>
        <w:tblLook w:val="04A0" w:firstRow="1" w:lastRow="0" w:firstColumn="1" w:lastColumn="0" w:noHBand="0" w:noVBand="1"/>
      </w:tblPr>
      <w:tblGrid>
        <w:gridCol w:w="1425"/>
        <w:gridCol w:w="997"/>
        <w:gridCol w:w="4901"/>
        <w:gridCol w:w="2737"/>
      </w:tblGrid>
      <w:tr w:rsidR="005407BC" w:rsidRPr="00EB1066" w14:paraId="5C602C16" w14:textId="77777777" w:rsidTr="001E025D">
        <w:tc>
          <w:tcPr>
            <w:tcW w:w="1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646A34" w14:textId="77777777" w:rsidR="005407BC" w:rsidRPr="00EB1066" w:rsidRDefault="005407BC" w:rsidP="001E025D">
            <w:pPr>
              <w:spacing w:after="0" w:line="240" w:lineRule="auto"/>
              <w:rPr>
                <w:rFonts w:asciiTheme="minorHAnsi" w:eastAsia="Times New Roman" w:hAnsiTheme="minorHAnsi" w:cstheme="minorHAnsi"/>
                <w:b/>
                <w:bCs/>
                <w:color w:val="222222"/>
                <w:sz w:val="20"/>
                <w:szCs w:val="20"/>
              </w:rPr>
            </w:pPr>
            <w:r w:rsidRPr="00EB1066">
              <w:rPr>
                <w:rFonts w:asciiTheme="minorHAnsi" w:eastAsia="Times New Roman" w:hAnsiTheme="minorHAnsi" w:cstheme="minorHAnsi"/>
                <w:b/>
                <w:bCs/>
                <w:color w:val="222222"/>
                <w:sz w:val="20"/>
                <w:szCs w:val="20"/>
              </w:rPr>
              <w:t>Institution/</w:t>
            </w:r>
          </w:p>
          <w:p w14:paraId="774AF559"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b/>
                <w:bCs/>
                <w:color w:val="222222"/>
                <w:sz w:val="20"/>
                <w:szCs w:val="20"/>
              </w:rPr>
              <w:t>Organization</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35AD6"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b/>
                <w:bCs/>
                <w:color w:val="222222"/>
                <w:sz w:val="20"/>
                <w:szCs w:val="20"/>
              </w:rPr>
              <w:t>Name and title</w:t>
            </w:r>
          </w:p>
        </w:tc>
        <w:tc>
          <w:tcPr>
            <w:tcW w:w="49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8B06ED4"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b/>
                <w:bCs/>
                <w:color w:val="222222"/>
                <w:sz w:val="20"/>
                <w:szCs w:val="20"/>
              </w:rPr>
              <w:t>Comment</w:t>
            </w:r>
          </w:p>
        </w:tc>
        <w:tc>
          <w:tcPr>
            <w:tcW w:w="27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3987F81"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b/>
                <w:bCs/>
                <w:color w:val="222222"/>
                <w:sz w:val="20"/>
                <w:szCs w:val="20"/>
              </w:rPr>
              <w:t>TE team response and action taken</w:t>
            </w:r>
          </w:p>
        </w:tc>
      </w:tr>
      <w:tr w:rsidR="005407BC" w:rsidRPr="00EB1066" w14:paraId="7EBCC57C" w14:textId="77777777" w:rsidTr="001E025D">
        <w:tc>
          <w:tcPr>
            <w:tcW w:w="143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8838FB"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color w:val="222222"/>
                <w:sz w:val="20"/>
                <w:szCs w:val="20"/>
              </w:rPr>
              <w:t>ISEAL</w:t>
            </w:r>
          </w:p>
        </w:tc>
        <w:tc>
          <w:tcPr>
            <w:tcW w:w="90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FEF217"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color w:val="222222"/>
                <w:sz w:val="20"/>
                <w:szCs w:val="20"/>
              </w:rPr>
              <w:t>Vidya Rangan,</w:t>
            </w:r>
          </w:p>
          <w:p w14:paraId="339A2E67"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color w:val="222222"/>
                <w:sz w:val="20"/>
                <w:szCs w:val="20"/>
              </w:rPr>
              <w:t>Senior Manager, Impacts and Evidence</w:t>
            </w:r>
          </w:p>
        </w:tc>
        <w:tc>
          <w:tcPr>
            <w:tcW w:w="49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2FB49"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color w:val="000000"/>
                <w:sz w:val="20"/>
                <w:szCs w:val="20"/>
                <w:lang w:val="en-GB"/>
              </w:rPr>
              <w:t>Factual error: Page 15 says “Evidensia is functional but not yet endowed with syntheses to appeal to ministers, government officials or private sector”. This is not correct. Evidensia is currently equipped with 3 full-scale evidence synthesis efforts (also funded by the GEF 6 IAP) and several other synthesis products. Recommend changing to say that </w:t>
            </w:r>
            <w:r w:rsidRPr="00EB1066">
              <w:rPr>
                <w:rFonts w:asciiTheme="minorHAnsi" w:eastAsia="Times New Roman" w:hAnsiTheme="minorHAnsi" w:cstheme="minorHAnsi"/>
                <w:b/>
                <w:bCs/>
                <w:i/>
                <w:iCs/>
                <w:color w:val="000000"/>
                <w:sz w:val="20"/>
                <w:szCs w:val="20"/>
                <w:lang w:val="en-GB"/>
              </w:rPr>
              <w:t>more syntheses are needed to fully cover the range of topics of interest to stakeholders.</w:t>
            </w:r>
            <w:r w:rsidRPr="00EB1066">
              <w:rPr>
                <w:rFonts w:asciiTheme="minorHAnsi" w:eastAsia="Times New Roman" w:hAnsiTheme="minorHAnsi" w:cstheme="minorHAnsi"/>
                <w:color w:val="000000"/>
                <w:sz w:val="20"/>
                <w:szCs w:val="20"/>
                <w:lang w:val="en-GB"/>
              </w:rPr>
              <w:t> Also request to correct the same sentence in page 158.</w:t>
            </w:r>
          </w:p>
        </w:tc>
        <w:tc>
          <w:tcPr>
            <w:tcW w:w="2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9EFF81" w14:textId="64C2EB1E" w:rsidR="005407BC" w:rsidRPr="00EB1066" w:rsidRDefault="003C5F48" w:rsidP="001E025D">
            <w:pPr>
              <w:spacing w:after="0" w:line="240" w:lineRule="auto"/>
              <w:rPr>
                <w:rFonts w:asciiTheme="minorHAnsi" w:eastAsia="Times New Roman" w:hAnsiTheme="minorHAnsi" w:cstheme="minorHAnsi"/>
                <w:color w:val="222222"/>
                <w:sz w:val="20"/>
                <w:szCs w:val="20"/>
              </w:rPr>
            </w:pPr>
            <w:r>
              <w:rPr>
                <w:rFonts w:asciiTheme="minorHAnsi" w:eastAsia="Times New Roman" w:hAnsiTheme="minorHAnsi" w:cstheme="minorHAnsi"/>
                <w:color w:val="222222"/>
                <w:sz w:val="20"/>
                <w:szCs w:val="20"/>
              </w:rPr>
              <w:t xml:space="preserve">Table 2 in Section 1: </w:t>
            </w:r>
            <w:r w:rsidR="005407BC" w:rsidRPr="00EB1066">
              <w:rPr>
                <w:rFonts w:asciiTheme="minorHAnsi" w:eastAsia="Times New Roman" w:hAnsiTheme="minorHAnsi" w:cstheme="minorHAnsi"/>
                <w:color w:val="222222"/>
                <w:sz w:val="20"/>
                <w:szCs w:val="20"/>
              </w:rPr>
              <w:t> Text amended: “</w:t>
            </w:r>
            <w:r w:rsidR="005407BC" w:rsidRPr="00EB1066">
              <w:rPr>
                <w:sz w:val="20"/>
                <w:szCs w:val="20"/>
              </w:rPr>
              <w:t>Evidensia is functional but more syntheses are needed to fully cover the range of topics of interest to stakeholders”</w:t>
            </w:r>
          </w:p>
        </w:tc>
      </w:tr>
      <w:tr w:rsidR="005407BC" w:rsidRPr="00EB1066" w14:paraId="02B20A9A" w14:textId="77777777" w:rsidTr="001E025D">
        <w:tc>
          <w:tcPr>
            <w:tcW w:w="1430" w:type="dxa"/>
            <w:vMerge/>
            <w:tcBorders>
              <w:top w:val="nil"/>
              <w:left w:val="single" w:sz="8" w:space="0" w:color="auto"/>
              <w:bottom w:val="single" w:sz="8" w:space="0" w:color="auto"/>
              <w:right w:val="single" w:sz="8" w:space="0" w:color="auto"/>
            </w:tcBorders>
            <w:shd w:val="clear" w:color="auto" w:fill="FFFFFF"/>
            <w:vAlign w:val="center"/>
            <w:hideMark/>
          </w:tcPr>
          <w:p w14:paraId="2AF12D25"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p>
        </w:tc>
        <w:tc>
          <w:tcPr>
            <w:tcW w:w="900" w:type="dxa"/>
            <w:vMerge/>
            <w:tcBorders>
              <w:top w:val="nil"/>
              <w:left w:val="nil"/>
              <w:bottom w:val="single" w:sz="8" w:space="0" w:color="auto"/>
              <w:right w:val="single" w:sz="8" w:space="0" w:color="auto"/>
            </w:tcBorders>
            <w:shd w:val="clear" w:color="auto" w:fill="FFFFFF"/>
            <w:vAlign w:val="center"/>
            <w:hideMark/>
          </w:tcPr>
          <w:p w14:paraId="015DAB1A"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p>
        </w:tc>
        <w:tc>
          <w:tcPr>
            <w:tcW w:w="49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79C2F1"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color w:val="000000"/>
                <w:sz w:val="20"/>
                <w:szCs w:val="20"/>
                <w:lang w:val="en-GB"/>
              </w:rPr>
              <w:t>Factual error: Page 44 says “Academia was involved in the A&amp;L project through the Evidensia Research Council, which gathers members from the Leuven Centre for Global Governance Studies and ETHZurich”. This is wrong. The Evidensia Research Council has 6 members so please credit all of them and their institutions – details available here: </w:t>
            </w:r>
            <w:hyperlink r:id="rId42" w:tgtFrame="_blank" w:tooltip="https://eur03.safelinks.protection.outlook.com/?url=https%3A%2F%2Fwww.evidensia.eco%2Fabout-evidensia%2Fgovernance%2F&amp;data=04%7C01%7Candrea.bina%40undp.org%7C6464368b264942c87fc408d9ae4926b2%7Cb3e5db5e2944483799f57488ace54319%7C0%7C0%7C637732451506298687%" w:history="1">
              <w:r w:rsidRPr="00EB1066">
                <w:rPr>
                  <w:rFonts w:asciiTheme="minorHAnsi" w:eastAsia="Times New Roman" w:hAnsiTheme="minorHAnsi" w:cstheme="minorHAnsi"/>
                  <w:color w:val="1155CC"/>
                  <w:sz w:val="20"/>
                  <w:szCs w:val="20"/>
                  <w:u w:val="single"/>
                  <w:lang w:val="en-GB"/>
                </w:rPr>
                <w:t>https://www.evidensia.eco/about-evidensia/governance/</w:t>
              </w:r>
            </w:hyperlink>
          </w:p>
        </w:tc>
        <w:tc>
          <w:tcPr>
            <w:tcW w:w="2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383766" w14:textId="64D5F805" w:rsidR="005407BC" w:rsidRPr="00EB1066" w:rsidRDefault="003C5F48" w:rsidP="001E025D">
            <w:pPr>
              <w:spacing w:after="0" w:line="240" w:lineRule="auto"/>
              <w:rPr>
                <w:rFonts w:asciiTheme="minorHAnsi" w:eastAsia="Times New Roman" w:hAnsiTheme="minorHAnsi" w:cstheme="minorHAnsi"/>
                <w:color w:val="222222"/>
                <w:sz w:val="20"/>
                <w:szCs w:val="20"/>
              </w:rPr>
            </w:pPr>
            <w:r>
              <w:rPr>
                <w:rFonts w:asciiTheme="minorHAnsi" w:eastAsia="Times New Roman" w:hAnsiTheme="minorHAnsi" w:cstheme="minorHAnsi"/>
                <w:color w:val="222222"/>
                <w:sz w:val="20"/>
                <w:szCs w:val="20"/>
              </w:rPr>
              <w:t xml:space="preserve">Page 33: </w:t>
            </w:r>
            <w:r w:rsidR="005407BC" w:rsidRPr="00EB1066">
              <w:rPr>
                <w:rFonts w:asciiTheme="minorHAnsi" w:eastAsia="Times New Roman" w:hAnsiTheme="minorHAnsi" w:cstheme="minorHAnsi"/>
                <w:color w:val="222222"/>
                <w:sz w:val="20"/>
                <w:szCs w:val="20"/>
              </w:rPr>
              <w:t> Text amended “</w:t>
            </w:r>
            <w:r w:rsidR="005407BC" w:rsidRPr="00EB1066">
              <w:rPr>
                <w:sz w:val="20"/>
                <w:szCs w:val="20"/>
              </w:rPr>
              <w:t>Academia was involved in the A&amp;L project through the Evidensia Research Council, which gathers members from the ETH Zurich, CIAT-Biodiversity International / LAC, Leuven Centre for Global Governance Studies, Oxford Long-Term Ecology Lab. Foundation of Success / Conservation Measures Partnership, and The Institute of Development Studies / Centre for Development Impact”</w:t>
            </w:r>
          </w:p>
        </w:tc>
      </w:tr>
      <w:tr w:rsidR="005407BC" w:rsidRPr="00EB1066" w14:paraId="15F9B2D8" w14:textId="77777777" w:rsidTr="001E025D">
        <w:tc>
          <w:tcPr>
            <w:tcW w:w="1430" w:type="dxa"/>
            <w:vMerge/>
            <w:tcBorders>
              <w:top w:val="nil"/>
              <w:left w:val="single" w:sz="8" w:space="0" w:color="auto"/>
              <w:bottom w:val="single" w:sz="8" w:space="0" w:color="auto"/>
              <w:right w:val="single" w:sz="8" w:space="0" w:color="auto"/>
            </w:tcBorders>
            <w:shd w:val="clear" w:color="auto" w:fill="FFFFFF"/>
            <w:vAlign w:val="center"/>
            <w:hideMark/>
          </w:tcPr>
          <w:p w14:paraId="034D6634"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p>
        </w:tc>
        <w:tc>
          <w:tcPr>
            <w:tcW w:w="900" w:type="dxa"/>
            <w:vMerge/>
            <w:tcBorders>
              <w:top w:val="nil"/>
              <w:left w:val="nil"/>
              <w:bottom w:val="single" w:sz="8" w:space="0" w:color="auto"/>
              <w:right w:val="single" w:sz="8" w:space="0" w:color="auto"/>
            </w:tcBorders>
            <w:shd w:val="clear" w:color="auto" w:fill="FFFFFF"/>
            <w:vAlign w:val="center"/>
            <w:hideMark/>
          </w:tcPr>
          <w:p w14:paraId="4B568B78"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p>
        </w:tc>
        <w:tc>
          <w:tcPr>
            <w:tcW w:w="49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315C5F" w14:textId="77777777" w:rsidR="005407BC" w:rsidRPr="00EB1066" w:rsidRDefault="005407BC" w:rsidP="001E025D">
            <w:pPr>
              <w:spacing w:after="0" w:line="240" w:lineRule="auto"/>
              <w:rPr>
                <w:rFonts w:asciiTheme="minorHAnsi" w:eastAsia="Times New Roman" w:hAnsiTheme="minorHAnsi" w:cstheme="minorHAnsi"/>
                <w:color w:val="222222"/>
                <w:sz w:val="20"/>
                <w:szCs w:val="20"/>
              </w:rPr>
            </w:pPr>
            <w:r w:rsidRPr="00EB1066">
              <w:rPr>
                <w:rFonts w:asciiTheme="minorHAnsi" w:eastAsia="Times New Roman" w:hAnsiTheme="minorHAnsi" w:cstheme="minorHAnsi"/>
                <w:color w:val="000000"/>
                <w:sz w:val="20"/>
                <w:szCs w:val="20"/>
              </w:rPr>
              <w:t>Factual error and misrepresentation: “To facilitate the child projects, A&amp;L developed in coordination with WWF and the ISEAL Alliance a platform called Evidensia that provides evidence-based synthesis on VSS standards and deforestation among many other themes. The site now sports over 9,000 scientific articles and is growing by the day.” Please correct to, ISEAL Alliance as lead implementation agency with support from WWF and Rainforest Alliance established the Evidensia Platform. Also, the platform has 1000 resources and NOT 9000 as written here.</w:t>
            </w:r>
          </w:p>
        </w:tc>
        <w:tc>
          <w:tcPr>
            <w:tcW w:w="2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B17C48" w14:textId="179DCC24" w:rsidR="005407BC" w:rsidRPr="00EB1066" w:rsidRDefault="003C5F48" w:rsidP="001E025D">
            <w:pPr>
              <w:spacing w:after="0" w:line="240" w:lineRule="auto"/>
              <w:rPr>
                <w:rFonts w:asciiTheme="minorHAnsi" w:eastAsia="Times New Roman" w:hAnsiTheme="minorHAnsi" w:cstheme="minorHAnsi"/>
                <w:color w:val="222222"/>
                <w:sz w:val="20"/>
                <w:szCs w:val="20"/>
              </w:rPr>
            </w:pPr>
            <w:r>
              <w:rPr>
                <w:rFonts w:asciiTheme="minorHAnsi" w:eastAsia="Times New Roman" w:hAnsiTheme="minorHAnsi" w:cstheme="minorHAnsi"/>
                <w:color w:val="222222"/>
                <w:sz w:val="20"/>
                <w:szCs w:val="20"/>
              </w:rPr>
              <w:t xml:space="preserve">Page 64: </w:t>
            </w:r>
            <w:r w:rsidR="005407BC" w:rsidRPr="00EB1066">
              <w:rPr>
                <w:rFonts w:asciiTheme="minorHAnsi" w:eastAsia="Times New Roman" w:hAnsiTheme="minorHAnsi" w:cstheme="minorHAnsi"/>
                <w:color w:val="222222"/>
                <w:sz w:val="20"/>
                <w:szCs w:val="20"/>
              </w:rPr>
              <w:t> Text amended: “</w:t>
            </w:r>
            <w:r w:rsidR="005407BC" w:rsidRPr="00EB1066">
              <w:rPr>
                <w:rFonts w:asciiTheme="minorHAnsi" w:hAnsiTheme="minorHAnsi" w:cstheme="minorHAnsi"/>
                <w:sz w:val="20"/>
                <w:szCs w:val="20"/>
              </w:rPr>
              <w:t>ISEAL Alliance as lead implementation agency with support from WWF and Rainforest Alliance established the Evidensia Platform. Also, the platform has 1000 resources  “</w:t>
            </w:r>
          </w:p>
        </w:tc>
      </w:tr>
    </w:tbl>
    <w:p w14:paraId="274ED665" w14:textId="77777777" w:rsidR="005407BC" w:rsidRDefault="005407BC" w:rsidP="005407BC"/>
    <w:p w14:paraId="1683B6F0" w14:textId="77777777" w:rsidR="005407BC" w:rsidRDefault="005407BC" w:rsidP="005407BC"/>
    <w:p w14:paraId="560DCB49" w14:textId="7567BC83" w:rsidR="005407BC" w:rsidRDefault="005407BC" w:rsidP="005407BC"/>
    <w:p w14:paraId="27B7F703" w14:textId="53B3198C" w:rsidR="005407BC" w:rsidRDefault="005407BC" w:rsidP="005407BC"/>
    <w:p w14:paraId="18E7E98D" w14:textId="4E3CC327" w:rsidR="005407BC" w:rsidRDefault="005407BC" w:rsidP="005407BC"/>
    <w:p w14:paraId="13382F94" w14:textId="77777777" w:rsidR="005407BC" w:rsidRDefault="005407BC" w:rsidP="005407BC">
      <w:pPr>
        <w:pStyle w:val="Heading2"/>
        <w:rPr>
          <w:rFonts w:eastAsia="Times New Roman"/>
        </w:rPr>
      </w:pPr>
      <w:bookmarkStart w:id="170" w:name="_Toc90433517"/>
      <w:bookmarkStart w:id="171" w:name="_Toc96772529"/>
      <w:r w:rsidRPr="00821364">
        <w:lastRenderedPageBreak/>
        <w:t xml:space="preserve">Annex 18. </w:t>
      </w:r>
      <w:r w:rsidRPr="00821364">
        <w:rPr>
          <w:rFonts w:eastAsia="Times New Roman"/>
        </w:rPr>
        <w:t>Signed Evaluation Consultant Agreement form</w:t>
      </w:r>
      <w:bookmarkEnd w:id="170"/>
      <w:bookmarkEnd w:id="171"/>
    </w:p>
    <w:p w14:paraId="0C177D8C" w14:textId="3B2139FD" w:rsidR="005407BC" w:rsidRDefault="005407BC" w:rsidP="005407BC"/>
    <w:p w14:paraId="0F22C28B" w14:textId="77777777" w:rsidR="00504BBC" w:rsidRPr="00B0741E" w:rsidRDefault="00504BBC" w:rsidP="00504BBC">
      <w:pPr>
        <w:pStyle w:val="BodyText"/>
        <w:spacing w:before="6"/>
        <w:rPr>
          <w:color w:val="1F3864" w:themeColor="accent1" w:themeShade="80"/>
          <w:sz w:val="19"/>
        </w:rPr>
      </w:pPr>
    </w:p>
    <w:p w14:paraId="438E0A4A" w14:textId="77777777" w:rsidR="00504BBC" w:rsidRPr="00B0741E" w:rsidRDefault="00504BBC" w:rsidP="00504BBC">
      <w:pPr>
        <w:spacing w:before="101"/>
        <w:ind w:left="270"/>
        <w:rPr>
          <w:rFonts w:ascii="Segoe UI"/>
          <w:b/>
          <w:color w:val="1F3864" w:themeColor="accent1" w:themeShade="80"/>
          <w:sz w:val="16"/>
        </w:rPr>
      </w:pPr>
      <w:r w:rsidRPr="00B0741E">
        <w:rPr>
          <w:rFonts w:ascii="Segoe UI"/>
          <w:b/>
          <w:color w:val="1F3864" w:themeColor="accent1" w:themeShade="80"/>
          <w:sz w:val="16"/>
        </w:rPr>
        <w:t>Evaluators/Consultants:</w:t>
      </w:r>
    </w:p>
    <w:p w14:paraId="3B2D90C6" w14:textId="77777777" w:rsidR="00504BBC" w:rsidRPr="00B0741E" w:rsidRDefault="00504BBC" w:rsidP="00504BBC">
      <w:pPr>
        <w:pStyle w:val="BodyText"/>
        <w:rPr>
          <w:rFonts w:ascii="Segoe UI"/>
          <w:b/>
          <w:color w:val="1F3864" w:themeColor="accent1" w:themeShade="80"/>
          <w:sz w:val="16"/>
        </w:rPr>
      </w:pPr>
    </w:p>
    <w:p w14:paraId="5E17D83D" w14:textId="77777777" w:rsidR="00504BBC" w:rsidRPr="00B0741E" w:rsidRDefault="00504BBC" w:rsidP="00504BBC">
      <w:pPr>
        <w:pStyle w:val="ListParagraph"/>
        <w:numPr>
          <w:ilvl w:val="0"/>
          <w:numId w:val="80"/>
        </w:numPr>
        <w:tabs>
          <w:tab w:val="left" w:pos="631"/>
        </w:tabs>
        <w:spacing w:before="0"/>
        <w:ind w:right="1953"/>
        <w:jc w:val="both"/>
        <w:rPr>
          <w:rFonts w:ascii="Segoe UI"/>
          <w:color w:val="1F3864" w:themeColor="accent1" w:themeShade="80"/>
          <w:sz w:val="16"/>
        </w:rPr>
      </w:pPr>
      <w:r w:rsidRPr="00B0741E">
        <w:rPr>
          <w:rFonts w:ascii="Segoe UI"/>
          <w:color w:val="1F3864" w:themeColor="accent1" w:themeShade="80"/>
          <w:sz w:val="16"/>
        </w:rPr>
        <w:t>Must</w:t>
      </w:r>
      <w:r w:rsidRPr="00B0741E">
        <w:rPr>
          <w:rFonts w:ascii="Segoe UI"/>
          <w:color w:val="1F3864" w:themeColor="accent1" w:themeShade="80"/>
          <w:spacing w:val="-4"/>
          <w:sz w:val="16"/>
        </w:rPr>
        <w:t xml:space="preserve"> </w:t>
      </w:r>
      <w:r w:rsidRPr="00B0741E">
        <w:rPr>
          <w:rFonts w:ascii="Segoe UI"/>
          <w:color w:val="1F3864" w:themeColor="accent1" w:themeShade="80"/>
          <w:sz w:val="16"/>
        </w:rPr>
        <w:t>present</w:t>
      </w:r>
      <w:r w:rsidRPr="00B0741E">
        <w:rPr>
          <w:rFonts w:ascii="Segoe UI"/>
          <w:color w:val="1F3864" w:themeColor="accent1" w:themeShade="80"/>
          <w:spacing w:val="-3"/>
          <w:sz w:val="16"/>
        </w:rPr>
        <w:t xml:space="preserve"> </w:t>
      </w:r>
      <w:r w:rsidRPr="00B0741E">
        <w:rPr>
          <w:rFonts w:ascii="Segoe UI"/>
          <w:color w:val="1F3864" w:themeColor="accent1" w:themeShade="80"/>
          <w:sz w:val="16"/>
        </w:rPr>
        <w:t>information</w:t>
      </w:r>
      <w:r w:rsidRPr="00B0741E">
        <w:rPr>
          <w:rFonts w:ascii="Segoe UI"/>
          <w:color w:val="1F3864" w:themeColor="accent1" w:themeShade="80"/>
          <w:spacing w:val="-4"/>
          <w:sz w:val="16"/>
        </w:rPr>
        <w:t xml:space="preserve"> </w:t>
      </w:r>
      <w:r w:rsidRPr="00B0741E">
        <w:rPr>
          <w:rFonts w:ascii="Segoe UI"/>
          <w:color w:val="1F3864" w:themeColor="accent1" w:themeShade="80"/>
          <w:sz w:val="16"/>
        </w:rPr>
        <w:t>that</w:t>
      </w:r>
      <w:r w:rsidRPr="00B0741E">
        <w:rPr>
          <w:rFonts w:ascii="Segoe UI"/>
          <w:color w:val="1F3864" w:themeColor="accent1" w:themeShade="80"/>
          <w:spacing w:val="-3"/>
          <w:sz w:val="16"/>
        </w:rPr>
        <w:t xml:space="preserve"> </w:t>
      </w:r>
      <w:r w:rsidRPr="00B0741E">
        <w:rPr>
          <w:rFonts w:ascii="Segoe UI"/>
          <w:color w:val="1F3864" w:themeColor="accent1" w:themeShade="80"/>
          <w:sz w:val="16"/>
        </w:rPr>
        <w:t>is</w:t>
      </w:r>
      <w:r w:rsidRPr="00B0741E">
        <w:rPr>
          <w:rFonts w:ascii="Segoe UI"/>
          <w:color w:val="1F3864" w:themeColor="accent1" w:themeShade="80"/>
          <w:spacing w:val="-4"/>
          <w:sz w:val="16"/>
        </w:rPr>
        <w:t xml:space="preserve"> </w:t>
      </w:r>
      <w:r w:rsidRPr="00B0741E">
        <w:rPr>
          <w:rFonts w:ascii="Segoe UI"/>
          <w:color w:val="1F3864" w:themeColor="accent1" w:themeShade="80"/>
          <w:sz w:val="16"/>
        </w:rPr>
        <w:t>complete</w:t>
      </w:r>
      <w:r w:rsidRPr="00B0741E">
        <w:rPr>
          <w:rFonts w:ascii="Segoe UI"/>
          <w:color w:val="1F3864" w:themeColor="accent1" w:themeShade="80"/>
          <w:spacing w:val="-5"/>
          <w:sz w:val="16"/>
        </w:rPr>
        <w:t xml:space="preserve"> </w:t>
      </w:r>
      <w:r w:rsidRPr="00B0741E">
        <w:rPr>
          <w:rFonts w:ascii="Segoe UI"/>
          <w:color w:val="1F3864" w:themeColor="accent1" w:themeShade="80"/>
          <w:sz w:val="16"/>
        </w:rPr>
        <w:t>and</w:t>
      </w:r>
      <w:r w:rsidRPr="00B0741E">
        <w:rPr>
          <w:rFonts w:ascii="Segoe UI"/>
          <w:color w:val="1F3864" w:themeColor="accent1" w:themeShade="80"/>
          <w:spacing w:val="-5"/>
          <w:sz w:val="16"/>
        </w:rPr>
        <w:t xml:space="preserve"> </w:t>
      </w:r>
      <w:r w:rsidRPr="00B0741E">
        <w:rPr>
          <w:rFonts w:ascii="Segoe UI"/>
          <w:color w:val="1F3864" w:themeColor="accent1" w:themeShade="80"/>
          <w:sz w:val="16"/>
        </w:rPr>
        <w:t>fair</w:t>
      </w:r>
      <w:r w:rsidRPr="00B0741E">
        <w:rPr>
          <w:rFonts w:ascii="Segoe UI"/>
          <w:color w:val="1F3864" w:themeColor="accent1" w:themeShade="80"/>
          <w:spacing w:val="-4"/>
          <w:sz w:val="16"/>
        </w:rPr>
        <w:t xml:space="preserve"> </w:t>
      </w:r>
      <w:r w:rsidRPr="00B0741E">
        <w:rPr>
          <w:rFonts w:ascii="Segoe UI"/>
          <w:color w:val="1F3864" w:themeColor="accent1" w:themeShade="80"/>
          <w:sz w:val="16"/>
        </w:rPr>
        <w:t>in</w:t>
      </w:r>
      <w:r w:rsidRPr="00B0741E">
        <w:rPr>
          <w:rFonts w:ascii="Segoe UI"/>
          <w:color w:val="1F3864" w:themeColor="accent1" w:themeShade="80"/>
          <w:spacing w:val="-4"/>
          <w:sz w:val="16"/>
        </w:rPr>
        <w:t xml:space="preserve"> </w:t>
      </w:r>
      <w:r w:rsidRPr="00B0741E">
        <w:rPr>
          <w:rFonts w:ascii="Segoe UI"/>
          <w:color w:val="1F3864" w:themeColor="accent1" w:themeShade="80"/>
          <w:sz w:val="16"/>
        </w:rPr>
        <w:t>its</w:t>
      </w:r>
      <w:r w:rsidRPr="00B0741E">
        <w:rPr>
          <w:rFonts w:ascii="Segoe UI"/>
          <w:color w:val="1F3864" w:themeColor="accent1" w:themeShade="80"/>
          <w:spacing w:val="-2"/>
          <w:sz w:val="16"/>
        </w:rPr>
        <w:t xml:space="preserve"> </w:t>
      </w:r>
      <w:r w:rsidRPr="00B0741E">
        <w:rPr>
          <w:rFonts w:ascii="Segoe UI"/>
          <w:color w:val="1F3864" w:themeColor="accent1" w:themeShade="80"/>
          <w:sz w:val="16"/>
        </w:rPr>
        <w:t>assessment</w:t>
      </w:r>
      <w:r w:rsidRPr="00B0741E">
        <w:rPr>
          <w:rFonts w:ascii="Segoe UI"/>
          <w:color w:val="1F3864" w:themeColor="accent1" w:themeShade="80"/>
          <w:spacing w:val="-3"/>
          <w:sz w:val="16"/>
        </w:rPr>
        <w:t xml:space="preserve"> </w:t>
      </w:r>
      <w:r w:rsidRPr="00B0741E">
        <w:rPr>
          <w:rFonts w:ascii="Segoe UI"/>
          <w:color w:val="1F3864" w:themeColor="accent1" w:themeShade="80"/>
          <w:sz w:val="16"/>
        </w:rPr>
        <w:t>of</w:t>
      </w:r>
      <w:r w:rsidRPr="00B0741E">
        <w:rPr>
          <w:rFonts w:ascii="Segoe UI"/>
          <w:color w:val="1F3864" w:themeColor="accent1" w:themeShade="80"/>
          <w:spacing w:val="-4"/>
          <w:sz w:val="16"/>
        </w:rPr>
        <w:t xml:space="preserve"> </w:t>
      </w:r>
      <w:r w:rsidRPr="00B0741E">
        <w:rPr>
          <w:rFonts w:ascii="Segoe UI"/>
          <w:color w:val="1F3864" w:themeColor="accent1" w:themeShade="80"/>
          <w:sz w:val="16"/>
        </w:rPr>
        <w:t>strengths</w:t>
      </w:r>
      <w:r w:rsidRPr="00B0741E">
        <w:rPr>
          <w:rFonts w:ascii="Segoe UI"/>
          <w:color w:val="1F3864" w:themeColor="accent1" w:themeShade="80"/>
          <w:spacing w:val="-4"/>
          <w:sz w:val="16"/>
        </w:rPr>
        <w:t xml:space="preserve"> </w:t>
      </w:r>
      <w:r w:rsidRPr="00B0741E">
        <w:rPr>
          <w:rFonts w:ascii="Segoe UI"/>
          <w:color w:val="1F3864" w:themeColor="accent1" w:themeShade="80"/>
          <w:sz w:val="16"/>
        </w:rPr>
        <w:t>and</w:t>
      </w:r>
      <w:r w:rsidRPr="00B0741E">
        <w:rPr>
          <w:rFonts w:ascii="Segoe UI"/>
          <w:color w:val="1F3864" w:themeColor="accent1" w:themeShade="80"/>
          <w:spacing w:val="-5"/>
          <w:sz w:val="16"/>
        </w:rPr>
        <w:t xml:space="preserve"> </w:t>
      </w:r>
      <w:r w:rsidRPr="00B0741E">
        <w:rPr>
          <w:rFonts w:ascii="Segoe UI"/>
          <w:color w:val="1F3864" w:themeColor="accent1" w:themeShade="80"/>
          <w:sz w:val="16"/>
        </w:rPr>
        <w:t>weaknesses</w:t>
      </w:r>
      <w:r w:rsidRPr="00B0741E">
        <w:rPr>
          <w:rFonts w:ascii="Segoe UI"/>
          <w:color w:val="1F3864" w:themeColor="accent1" w:themeShade="80"/>
          <w:spacing w:val="-3"/>
          <w:sz w:val="16"/>
        </w:rPr>
        <w:t xml:space="preserve"> </w:t>
      </w:r>
      <w:r w:rsidRPr="00B0741E">
        <w:rPr>
          <w:rFonts w:ascii="Segoe UI"/>
          <w:color w:val="1F3864" w:themeColor="accent1" w:themeShade="80"/>
          <w:sz w:val="16"/>
        </w:rPr>
        <w:t>so</w:t>
      </w:r>
      <w:r w:rsidRPr="00B0741E">
        <w:rPr>
          <w:rFonts w:ascii="Segoe UI"/>
          <w:color w:val="1F3864" w:themeColor="accent1" w:themeShade="80"/>
          <w:spacing w:val="-2"/>
          <w:sz w:val="16"/>
        </w:rPr>
        <w:t xml:space="preserve"> </w:t>
      </w:r>
      <w:r w:rsidRPr="00B0741E">
        <w:rPr>
          <w:rFonts w:ascii="Segoe UI"/>
          <w:color w:val="1F3864" w:themeColor="accent1" w:themeShade="80"/>
          <w:sz w:val="16"/>
        </w:rPr>
        <w:t>that</w:t>
      </w:r>
      <w:r w:rsidRPr="00B0741E">
        <w:rPr>
          <w:rFonts w:ascii="Segoe UI"/>
          <w:color w:val="1F3864" w:themeColor="accent1" w:themeShade="80"/>
          <w:spacing w:val="-4"/>
          <w:sz w:val="16"/>
        </w:rPr>
        <w:t xml:space="preserve"> </w:t>
      </w:r>
      <w:r w:rsidRPr="00B0741E">
        <w:rPr>
          <w:rFonts w:ascii="Segoe UI"/>
          <w:color w:val="1F3864" w:themeColor="accent1" w:themeShade="80"/>
          <w:sz w:val="16"/>
        </w:rPr>
        <w:t>decisions</w:t>
      </w:r>
      <w:r w:rsidRPr="00B0741E">
        <w:rPr>
          <w:rFonts w:ascii="Segoe UI"/>
          <w:color w:val="1F3864" w:themeColor="accent1" w:themeShade="80"/>
          <w:spacing w:val="-4"/>
          <w:sz w:val="16"/>
        </w:rPr>
        <w:t xml:space="preserve"> </w:t>
      </w:r>
      <w:r w:rsidRPr="00B0741E">
        <w:rPr>
          <w:rFonts w:ascii="Segoe UI"/>
          <w:color w:val="1F3864" w:themeColor="accent1" w:themeShade="80"/>
          <w:sz w:val="16"/>
        </w:rPr>
        <w:t>or</w:t>
      </w:r>
      <w:r w:rsidRPr="00B0741E">
        <w:rPr>
          <w:rFonts w:ascii="Segoe UI"/>
          <w:color w:val="1F3864" w:themeColor="accent1" w:themeShade="80"/>
          <w:spacing w:val="-2"/>
          <w:sz w:val="16"/>
        </w:rPr>
        <w:t xml:space="preserve"> </w:t>
      </w:r>
      <w:r w:rsidRPr="00B0741E">
        <w:rPr>
          <w:rFonts w:ascii="Segoe UI"/>
          <w:color w:val="1F3864" w:themeColor="accent1" w:themeShade="80"/>
          <w:sz w:val="16"/>
        </w:rPr>
        <w:t>actions taken are well</w:t>
      </w:r>
      <w:r w:rsidRPr="00B0741E">
        <w:rPr>
          <w:rFonts w:ascii="Segoe UI"/>
          <w:color w:val="1F3864" w:themeColor="accent1" w:themeShade="80"/>
          <w:spacing w:val="-5"/>
          <w:sz w:val="16"/>
        </w:rPr>
        <w:t xml:space="preserve"> </w:t>
      </w:r>
      <w:r w:rsidRPr="00B0741E">
        <w:rPr>
          <w:rFonts w:ascii="Segoe UI"/>
          <w:color w:val="1F3864" w:themeColor="accent1" w:themeShade="80"/>
          <w:sz w:val="16"/>
        </w:rPr>
        <w:t>founded.</w:t>
      </w:r>
    </w:p>
    <w:p w14:paraId="53CF93F8" w14:textId="77777777" w:rsidR="00504BBC" w:rsidRPr="00B0741E" w:rsidRDefault="00504BBC" w:rsidP="00504BBC">
      <w:pPr>
        <w:pStyle w:val="ListParagraph"/>
        <w:numPr>
          <w:ilvl w:val="0"/>
          <w:numId w:val="80"/>
        </w:numPr>
        <w:tabs>
          <w:tab w:val="left" w:pos="631"/>
        </w:tabs>
        <w:spacing w:before="0"/>
        <w:ind w:right="1956"/>
        <w:jc w:val="both"/>
        <w:rPr>
          <w:rFonts w:ascii="Segoe UI"/>
          <w:color w:val="1F3864" w:themeColor="accent1" w:themeShade="80"/>
          <w:sz w:val="16"/>
        </w:rPr>
      </w:pPr>
      <w:r w:rsidRPr="00B0741E">
        <w:rPr>
          <w:rFonts w:ascii="Segoe UI"/>
          <w:color w:val="1F3864" w:themeColor="accent1" w:themeShade="80"/>
          <w:sz w:val="16"/>
        </w:rPr>
        <w:t>Must disclose the full set of evaluation findings along with information on their limitations and have this accessible to all affected by the evaluation with expressed legal rights to receive</w:t>
      </w:r>
      <w:r w:rsidRPr="00B0741E">
        <w:rPr>
          <w:rFonts w:ascii="Segoe UI"/>
          <w:color w:val="1F3864" w:themeColor="accent1" w:themeShade="80"/>
          <w:spacing w:val="-17"/>
          <w:sz w:val="16"/>
        </w:rPr>
        <w:t xml:space="preserve"> </w:t>
      </w:r>
      <w:r w:rsidRPr="00B0741E">
        <w:rPr>
          <w:rFonts w:ascii="Segoe UI"/>
          <w:color w:val="1F3864" w:themeColor="accent1" w:themeShade="80"/>
          <w:sz w:val="16"/>
        </w:rPr>
        <w:t>results.</w:t>
      </w:r>
    </w:p>
    <w:p w14:paraId="5D6C7BF1" w14:textId="77777777" w:rsidR="00504BBC" w:rsidRPr="00B0741E" w:rsidRDefault="00504BBC" w:rsidP="00504BBC">
      <w:pPr>
        <w:pStyle w:val="ListParagraph"/>
        <w:numPr>
          <w:ilvl w:val="0"/>
          <w:numId w:val="80"/>
        </w:numPr>
        <w:tabs>
          <w:tab w:val="left" w:pos="631"/>
        </w:tabs>
        <w:spacing w:before="0"/>
        <w:ind w:right="1951"/>
        <w:jc w:val="both"/>
        <w:rPr>
          <w:rFonts w:ascii="Segoe UI" w:hAnsi="Segoe UI"/>
          <w:color w:val="1F3864" w:themeColor="accent1" w:themeShade="80"/>
          <w:sz w:val="16"/>
        </w:rPr>
      </w:pPr>
      <w:r w:rsidRPr="00B0741E">
        <w:rPr>
          <w:rFonts w:ascii="Segoe UI" w:hAnsi="Segoe UI"/>
          <w:color w:val="1F3864" w:themeColor="accent1" w:themeShade="80"/>
          <w:sz w:val="16"/>
        </w:rPr>
        <w:t>Should protect the anonymity and confidentiality of individual informants. They should provide maximum notice, minimize demands on time, and respect people’s right not to engage. Evaluators must respect people’s right to provide information in confidence,</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and</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must</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ensure</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that</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sensitive</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information</w:t>
      </w:r>
      <w:r w:rsidRPr="00B0741E">
        <w:rPr>
          <w:rFonts w:ascii="Segoe UI" w:hAnsi="Segoe UI"/>
          <w:color w:val="1F3864" w:themeColor="accent1" w:themeShade="80"/>
          <w:spacing w:val="-8"/>
          <w:sz w:val="16"/>
        </w:rPr>
        <w:t xml:space="preserve"> </w:t>
      </w:r>
      <w:r w:rsidRPr="00B0741E">
        <w:rPr>
          <w:rFonts w:ascii="Segoe UI" w:hAnsi="Segoe UI"/>
          <w:color w:val="1F3864" w:themeColor="accent1" w:themeShade="80"/>
          <w:sz w:val="16"/>
        </w:rPr>
        <w:t>cannot</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be</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traced</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to</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its</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source.</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Evaluators</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are</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not</w:t>
      </w:r>
      <w:r w:rsidRPr="00B0741E">
        <w:rPr>
          <w:rFonts w:ascii="Segoe UI" w:hAnsi="Segoe UI"/>
          <w:color w:val="1F3864" w:themeColor="accent1" w:themeShade="80"/>
          <w:spacing w:val="-8"/>
          <w:sz w:val="16"/>
        </w:rPr>
        <w:t xml:space="preserve"> </w:t>
      </w:r>
      <w:r w:rsidRPr="00B0741E">
        <w:rPr>
          <w:rFonts w:ascii="Segoe UI" w:hAnsi="Segoe UI"/>
          <w:color w:val="1F3864" w:themeColor="accent1" w:themeShade="80"/>
          <w:sz w:val="16"/>
        </w:rPr>
        <w:t>expected</w:t>
      </w:r>
      <w:r w:rsidRPr="00B0741E">
        <w:rPr>
          <w:rFonts w:ascii="Segoe UI" w:hAnsi="Segoe UI"/>
          <w:color w:val="1F3864" w:themeColor="accent1" w:themeShade="80"/>
          <w:spacing w:val="-8"/>
          <w:sz w:val="16"/>
        </w:rPr>
        <w:t xml:space="preserve"> </w:t>
      </w:r>
      <w:r w:rsidRPr="00B0741E">
        <w:rPr>
          <w:rFonts w:ascii="Segoe UI" w:hAnsi="Segoe UI"/>
          <w:color w:val="1F3864" w:themeColor="accent1" w:themeShade="80"/>
          <w:sz w:val="16"/>
        </w:rPr>
        <w:t>to</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evaluate individuals, and must balance an evaluation of management functions with this general</w:t>
      </w:r>
      <w:r w:rsidRPr="00B0741E">
        <w:rPr>
          <w:rFonts w:ascii="Segoe UI" w:hAnsi="Segoe UI"/>
          <w:color w:val="1F3864" w:themeColor="accent1" w:themeShade="80"/>
          <w:spacing w:val="-18"/>
          <w:sz w:val="16"/>
        </w:rPr>
        <w:t xml:space="preserve"> </w:t>
      </w:r>
      <w:r w:rsidRPr="00B0741E">
        <w:rPr>
          <w:rFonts w:ascii="Segoe UI" w:hAnsi="Segoe UI"/>
          <w:color w:val="1F3864" w:themeColor="accent1" w:themeShade="80"/>
          <w:sz w:val="16"/>
        </w:rPr>
        <w:t>principle.</w:t>
      </w:r>
    </w:p>
    <w:p w14:paraId="25DBA724" w14:textId="77777777" w:rsidR="00504BBC" w:rsidRPr="00B0741E" w:rsidRDefault="00504BBC" w:rsidP="00504BBC">
      <w:pPr>
        <w:pStyle w:val="ListParagraph"/>
        <w:numPr>
          <w:ilvl w:val="0"/>
          <w:numId w:val="80"/>
        </w:numPr>
        <w:tabs>
          <w:tab w:val="left" w:pos="631"/>
        </w:tabs>
        <w:spacing w:before="0"/>
        <w:ind w:right="1951"/>
        <w:jc w:val="both"/>
        <w:rPr>
          <w:rFonts w:ascii="Segoe UI"/>
          <w:color w:val="1F3864" w:themeColor="accent1" w:themeShade="80"/>
          <w:sz w:val="16"/>
        </w:rPr>
      </w:pPr>
      <w:r w:rsidRPr="00B0741E">
        <w:rPr>
          <w:rFonts w:ascii="Segoe UI"/>
          <w:color w:val="1F3864" w:themeColor="accent1" w:themeShade="80"/>
          <w:sz w:val="16"/>
        </w:rPr>
        <w:t>Sometimes uncover evidence of wrongdoing while conducting evaluations. Such cases must be reported discreetly to the appropriate</w:t>
      </w:r>
      <w:r w:rsidRPr="00B0741E">
        <w:rPr>
          <w:rFonts w:ascii="Segoe UI"/>
          <w:color w:val="1F3864" w:themeColor="accent1" w:themeShade="80"/>
          <w:spacing w:val="-7"/>
          <w:sz w:val="16"/>
        </w:rPr>
        <w:t xml:space="preserve"> </w:t>
      </w:r>
      <w:r w:rsidRPr="00B0741E">
        <w:rPr>
          <w:rFonts w:ascii="Segoe UI"/>
          <w:color w:val="1F3864" w:themeColor="accent1" w:themeShade="80"/>
          <w:sz w:val="16"/>
        </w:rPr>
        <w:t>investigative</w:t>
      </w:r>
      <w:r w:rsidRPr="00B0741E">
        <w:rPr>
          <w:rFonts w:ascii="Segoe UI"/>
          <w:color w:val="1F3864" w:themeColor="accent1" w:themeShade="80"/>
          <w:spacing w:val="-7"/>
          <w:sz w:val="16"/>
        </w:rPr>
        <w:t xml:space="preserve"> </w:t>
      </w:r>
      <w:r w:rsidRPr="00B0741E">
        <w:rPr>
          <w:rFonts w:ascii="Segoe UI"/>
          <w:color w:val="1F3864" w:themeColor="accent1" w:themeShade="80"/>
          <w:sz w:val="16"/>
        </w:rPr>
        <w:t>body.</w:t>
      </w:r>
      <w:r w:rsidRPr="00B0741E">
        <w:rPr>
          <w:rFonts w:ascii="Segoe UI"/>
          <w:color w:val="1F3864" w:themeColor="accent1" w:themeShade="80"/>
          <w:spacing w:val="-7"/>
          <w:sz w:val="16"/>
        </w:rPr>
        <w:t xml:space="preserve"> </w:t>
      </w:r>
      <w:r w:rsidRPr="00B0741E">
        <w:rPr>
          <w:rFonts w:ascii="Segoe UI"/>
          <w:color w:val="1F3864" w:themeColor="accent1" w:themeShade="80"/>
          <w:sz w:val="16"/>
        </w:rPr>
        <w:t>Evaluators</w:t>
      </w:r>
      <w:r w:rsidRPr="00B0741E">
        <w:rPr>
          <w:rFonts w:ascii="Segoe UI"/>
          <w:color w:val="1F3864" w:themeColor="accent1" w:themeShade="80"/>
          <w:spacing w:val="-8"/>
          <w:sz w:val="16"/>
        </w:rPr>
        <w:t xml:space="preserve"> </w:t>
      </w:r>
      <w:r w:rsidRPr="00B0741E">
        <w:rPr>
          <w:rFonts w:ascii="Segoe UI"/>
          <w:color w:val="1F3864" w:themeColor="accent1" w:themeShade="80"/>
          <w:sz w:val="16"/>
        </w:rPr>
        <w:t>should</w:t>
      </w:r>
      <w:r w:rsidRPr="00B0741E">
        <w:rPr>
          <w:rFonts w:ascii="Segoe UI"/>
          <w:color w:val="1F3864" w:themeColor="accent1" w:themeShade="80"/>
          <w:spacing w:val="-9"/>
          <w:sz w:val="16"/>
        </w:rPr>
        <w:t xml:space="preserve"> </w:t>
      </w:r>
      <w:r w:rsidRPr="00B0741E">
        <w:rPr>
          <w:rFonts w:ascii="Segoe UI"/>
          <w:color w:val="1F3864" w:themeColor="accent1" w:themeShade="80"/>
          <w:sz w:val="16"/>
        </w:rPr>
        <w:t>consult</w:t>
      </w:r>
      <w:r w:rsidRPr="00B0741E">
        <w:rPr>
          <w:rFonts w:ascii="Segoe UI"/>
          <w:color w:val="1F3864" w:themeColor="accent1" w:themeShade="80"/>
          <w:spacing w:val="-7"/>
          <w:sz w:val="16"/>
        </w:rPr>
        <w:t xml:space="preserve"> </w:t>
      </w:r>
      <w:r w:rsidRPr="00B0741E">
        <w:rPr>
          <w:rFonts w:ascii="Segoe UI"/>
          <w:color w:val="1F3864" w:themeColor="accent1" w:themeShade="80"/>
          <w:sz w:val="16"/>
        </w:rPr>
        <w:t>with</w:t>
      </w:r>
      <w:r w:rsidRPr="00B0741E">
        <w:rPr>
          <w:rFonts w:ascii="Segoe UI"/>
          <w:color w:val="1F3864" w:themeColor="accent1" w:themeShade="80"/>
          <w:spacing w:val="-8"/>
          <w:sz w:val="16"/>
        </w:rPr>
        <w:t xml:space="preserve"> </w:t>
      </w:r>
      <w:r w:rsidRPr="00B0741E">
        <w:rPr>
          <w:rFonts w:ascii="Segoe UI"/>
          <w:color w:val="1F3864" w:themeColor="accent1" w:themeShade="80"/>
          <w:sz w:val="16"/>
        </w:rPr>
        <w:t>other</w:t>
      </w:r>
      <w:r w:rsidRPr="00B0741E">
        <w:rPr>
          <w:rFonts w:ascii="Segoe UI"/>
          <w:color w:val="1F3864" w:themeColor="accent1" w:themeShade="80"/>
          <w:spacing w:val="-8"/>
          <w:sz w:val="16"/>
        </w:rPr>
        <w:t xml:space="preserve"> </w:t>
      </w:r>
      <w:r w:rsidRPr="00B0741E">
        <w:rPr>
          <w:rFonts w:ascii="Segoe UI"/>
          <w:color w:val="1F3864" w:themeColor="accent1" w:themeShade="80"/>
          <w:sz w:val="16"/>
        </w:rPr>
        <w:t>relevant</w:t>
      </w:r>
      <w:r w:rsidRPr="00B0741E">
        <w:rPr>
          <w:rFonts w:ascii="Segoe UI"/>
          <w:color w:val="1F3864" w:themeColor="accent1" w:themeShade="80"/>
          <w:spacing w:val="-7"/>
          <w:sz w:val="16"/>
        </w:rPr>
        <w:t xml:space="preserve"> </w:t>
      </w:r>
      <w:r w:rsidRPr="00B0741E">
        <w:rPr>
          <w:rFonts w:ascii="Segoe UI"/>
          <w:color w:val="1F3864" w:themeColor="accent1" w:themeShade="80"/>
          <w:sz w:val="16"/>
        </w:rPr>
        <w:t>oversight</w:t>
      </w:r>
      <w:r w:rsidRPr="00B0741E">
        <w:rPr>
          <w:rFonts w:ascii="Segoe UI"/>
          <w:color w:val="1F3864" w:themeColor="accent1" w:themeShade="80"/>
          <w:spacing w:val="-6"/>
          <w:sz w:val="16"/>
        </w:rPr>
        <w:t xml:space="preserve"> </w:t>
      </w:r>
      <w:r w:rsidRPr="00B0741E">
        <w:rPr>
          <w:rFonts w:ascii="Segoe UI"/>
          <w:color w:val="1F3864" w:themeColor="accent1" w:themeShade="80"/>
          <w:sz w:val="16"/>
        </w:rPr>
        <w:t>entities</w:t>
      </w:r>
      <w:r w:rsidRPr="00B0741E">
        <w:rPr>
          <w:rFonts w:ascii="Segoe UI"/>
          <w:color w:val="1F3864" w:themeColor="accent1" w:themeShade="80"/>
          <w:spacing w:val="-9"/>
          <w:sz w:val="16"/>
        </w:rPr>
        <w:t xml:space="preserve"> </w:t>
      </w:r>
      <w:r w:rsidRPr="00B0741E">
        <w:rPr>
          <w:rFonts w:ascii="Segoe UI"/>
          <w:color w:val="1F3864" w:themeColor="accent1" w:themeShade="80"/>
          <w:sz w:val="16"/>
        </w:rPr>
        <w:t>when</w:t>
      </w:r>
      <w:r w:rsidRPr="00B0741E">
        <w:rPr>
          <w:rFonts w:ascii="Segoe UI"/>
          <w:color w:val="1F3864" w:themeColor="accent1" w:themeShade="80"/>
          <w:spacing w:val="-9"/>
          <w:sz w:val="16"/>
        </w:rPr>
        <w:t xml:space="preserve"> </w:t>
      </w:r>
      <w:r w:rsidRPr="00B0741E">
        <w:rPr>
          <w:rFonts w:ascii="Segoe UI"/>
          <w:color w:val="1F3864" w:themeColor="accent1" w:themeShade="80"/>
          <w:sz w:val="16"/>
        </w:rPr>
        <w:t>there</w:t>
      </w:r>
      <w:r w:rsidRPr="00B0741E">
        <w:rPr>
          <w:rFonts w:ascii="Segoe UI"/>
          <w:color w:val="1F3864" w:themeColor="accent1" w:themeShade="80"/>
          <w:spacing w:val="-8"/>
          <w:sz w:val="16"/>
        </w:rPr>
        <w:t xml:space="preserve"> </w:t>
      </w:r>
      <w:r w:rsidRPr="00B0741E">
        <w:rPr>
          <w:rFonts w:ascii="Segoe UI"/>
          <w:color w:val="1F3864" w:themeColor="accent1" w:themeShade="80"/>
          <w:sz w:val="16"/>
        </w:rPr>
        <w:t>is</w:t>
      </w:r>
      <w:r w:rsidRPr="00B0741E">
        <w:rPr>
          <w:rFonts w:ascii="Segoe UI"/>
          <w:color w:val="1F3864" w:themeColor="accent1" w:themeShade="80"/>
          <w:spacing w:val="-8"/>
          <w:sz w:val="16"/>
        </w:rPr>
        <w:t xml:space="preserve"> </w:t>
      </w:r>
      <w:r w:rsidRPr="00B0741E">
        <w:rPr>
          <w:rFonts w:ascii="Segoe UI"/>
          <w:color w:val="1F3864" w:themeColor="accent1" w:themeShade="80"/>
          <w:sz w:val="16"/>
        </w:rPr>
        <w:t>any</w:t>
      </w:r>
      <w:r w:rsidRPr="00B0741E">
        <w:rPr>
          <w:rFonts w:ascii="Segoe UI"/>
          <w:color w:val="1F3864" w:themeColor="accent1" w:themeShade="80"/>
          <w:spacing w:val="-9"/>
          <w:sz w:val="16"/>
        </w:rPr>
        <w:t xml:space="preserve"> </w:t>
      </w:r>
      <w:r w:rsidRPr="00B0741E">
        <w:rPr>
          <w:rFonts w:ascii="Segoe UI"/>
          <w:color w:val="1F3864" w:themeColor="accent1" w:themeShade="80"/>
          <w:sz w:val="16"/>
        </w:rPr>
        <w:t>doubt</w:t>
      </w:r>
      <w:r w:rsidRPr="00B0741E">
        <w:rPr>
          <w:rFonts w:ascii="Segoe UI"/>
          <w:color w:val="1F3864" w:themeColor="accent1" w:themeShade="80"/>
          <w:spacing w:val="-4"/>
          <w:sz w:val="16"/>
        </w:rPr>
        <w:t xml:space="preserve"> </w:t>
      </w:r>
      <w:r w:rsidRPr="00B0741E">
        <w:rPr>
          <w:rFonts w:ascii="Segoe UI"/>
          <w:color w:val="1F3864" w:themeColor="accent1" w:themeShade="80"/>
          <w:sz w:val="16"/>
        </w:rPr>
        <w:t>about if and how issues should be</w:t>
      </w:r>
      <w:r w:rsidRPr="00B0741E">
        <w:rPr>
          <w:rFonts w:ascii="Segoe UI"/>
          <w:color w:val="1F3864" w:themeColor="accent1" w:themeShade="80"/>
          <w:spacing w:val="-7"/>
          <w:sz w:val="16"/>
        </w:rPr>
        <w:t xml:space="preserve"> </w:t>
      </w:r>
      <w:r w:rsidRPr="00B0741E">
        <w:rPr>
          <w:rFonts w:ascii="Segoe UI"/>
          <w:color w:val="1F3864" w:themeColor="accent1" w:themeShade="80"/>
          <w:sz w:val="16"/>
        </w:rPr>
        <w:t>reported.</w:t>
      </w:r>
    </w:p>
    <w:p w14:paraId="76A7DAB4" w14:textId="77777777" w:rsidR="00504BBC" w:rsidRPr="00B0741E" w:rsidRDefault="00504BBC" w:rsidP="00504BBC">
      <w:pPr>
        <w:pStyle w:val="ListParagraph"/>
        <w:numPr>
          <w:ilvl w:val="0"/>
          <w:numId w:val="80"/>
        </w:numPr>
        <w:tabs>
          <w:tab w:val="left" w:pos="631"/>
        </w:tabs>
        <w:spacing w:before="0"/>
        <w:ind w:right="1952"/>
        <w:jc w:val="both"/>
        <w:rPr>
          <w:rFonts w:ascii="Segoe UI" w:hAnsi="Segoe UI"/>
          <w:color w:val="1F3864" w:themeColor="accent1" w:themeShade="80"/>
          <w:sz w:val="16"/>
        </w:rPr>
      </w:pPr>
      <w:r w:rsidRPr="00B0741E">
        <w:rPr>
          <w:rFonts w:ascii="Segoe UI" w:hAnsi="Segoe UI"/>
          <w:color w:val="1F3864" w:themeColor="accent1" w:themeShade="80"/>
          <w:sz w:val="16"/>
        </w:rPr>
        <w:t>Should</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be</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sensitive</w:t>
      </w:r>
      <w:r w:rsidRPr="00B0741E">
        <w:rPr>
          <w:rFonts w:ascii="Segoe UI" w:hAnsi="Segoe UI"/>
          <w:color w:val="1F3864" w:themeColor="accent1" w:themeShade="80"/>
          <w:spacing w:val="-4"/>
          <w:sz w:val="16"/>
        </w:rPr>
        <w:t xml:space="preserve"> </w:t>
      </w:r>
      <w:r w:rsidRPr="00B0741E">
        <w:rPr>
          <w:rFonts w:ascii="Segoe UI" w:hAnsi="Segoe UI"/>
          <w:color w:val="1F3864" w:themeColor="accent1" w:themeShade="80"/>
          <w:sz w:val="16"/>
        </w:rPr>
        <w:t>to</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beliefs,</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manners</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and</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customs</w:t>
      </w:r>
      <w:r w:rsidRPr="00B0741E">
        <w:rPr>
          <w:rFonts w:ascii="Segoe UI" w:hAnsi="Segoe UI"/>
          <w:color w:val="1F3864" w:themeColor="accent1" w:themeShade="80"/>
          <w:spacing w:val="-4"/>
          <w:sz w:val="16"/>
        </w:rPr>
        <w:t xml:space="preserve"> </w:t>
      </w:r>
      <w:r w:rsidRPr="00B0741E">
        <w:rPr>
          <w:rFonts w:ascii="Segoe UI" w:hAnsi="Segoe UI"/>
          <w:color w:val="1F3864" w:themeColor="accent1" w:themeShade="80"/>
          <w:sz w:val="16"/>
        </w:rPr>
        <w:t>and</w:t>
      </w:r>
      <w:r w:rsidRPr="00B0741E">
        <w:rPr>
          <w:rFonts w:ascii="Segoe UI" w:hAnsi="Segoe UI"/>
          <w:color w:val="1F3864" w:themeColor="accent1" w:themeShade="80"/>
          <w:spacing w:val="-6"/>
          <w:sz w:val="16"/>
        </w:rPr>
        <w:t xml:space="preserve"> </w:t>
      </w:r>
      <w:r w:rsidRPr="00B0741E">
        <w:rPr>
          <w:rFonts w:ascii="Segoe UI" w:hAnsi="Segoe UI"/>
          <w:color w:val="1F3864" w:themeColor="accent1" w:themeShade="80"/>
          <w:sz w:val="16"/>
        </w:rPr>
        <w:t>act</w:t>
      </w:r>
      <w:r w:rsidRPr="00B0741E">
        <w:rPr>
          <w:rFonts w:ascii="Segoe UI" w:hAnsi="Segoe UI"/>
          <w:color w:val="1F3864" w:themeColor="accent1" w:themeShade="80"/>
          <w:spacing w:val="-3"/>
          <w:sz w:val="16"/>
        </w:rPr>
        <w:t xml:space="preserve"> </w:t>
      </w:r>
      <w:r w:rsidRPr="00B0741E">
        <w:rPr>
          <w:rFonts w:ascii="Segoe UI" w:hAnsi="Segoe UI"/>
          <w:color w:val="1F3864" w:themeColor="accent1" w:themeShade="80"/>
          <w:sz w:val="16"/>
        </w:rPr>
        <w:t>with</w:t>
      </w:r>
      <w:r w:rsidRPr="00B0741E">
        <w:rPr>
          <w:rFonts w:ascii="Segoe UI" w:hAnsi="Segoe UI"/>
          <w:color w:val="1F3864" w:themeColor="accent1" w:themeShade="80"/>
          <w:spacing w:val="-4"/>
          <w:sz w:val="16"/>
        </w:rPr>
        <w:t xml:space="preserve"> </w:t>
      </w:r>
      <w:r w:rsidRPr="00B0741E">
        <w:rPr>
          <w:rFonts w:ascii="Segoe UI" w:hAnsi="Segoe UI"/>
          <w:color w:val="1F3864" w:themeColor="accent1" w:themeShade="80"/>
          <w:sz w:val="16"/>
        </w:rPr>
        <w:t>integrity</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and</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honesty</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in</w:t>
      </w:r>
      <w:r w:rsidRPr="00B0741E">
        <w:rPr>
          <w:rFonts w:ascii="Segoe UI" w:hAnsi="Segoe UI"/>
          <w:color w:val="1F3864" w:themeColor="accent1" w:themeShade="80"/>
          <w:spacing w:val="-4"/>
          <w:sz w:val="16"/>
        </w:rPr>
        <w:t xml:space="preserve"> </w:t>
      </w:r>
      <w:r w:rsidRPr="00B0741E">
        <w:rPr>
          <w:rFonts w:ascii="Segoe UI" w:hAnsi="Segoe UI"/>
          <w:color w:val="1F3864" w:themeColor="accent1" w:themeShade="80"/>
          <w:sz w:val="16"/>
        </w:rPr>
        <w:t>their</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relations</w:t>
      </w:r>
      <w:r w:rsidRPr="00B0741E">
        <w:rPr>
          <w:rFonts w:ascii="Segoe UI" w:hAnsi="Segoe UI"/>
          <w:color w:val="1F3864" w:themeColor="accent1" w:themeShade="80"/>
          <w:spacing w:val="-8"/>
          <w:sz w:val="16"/>
        </w:rPr>
        <w:t xml:space="preserve"> </w:t>
      </w:r>
      <w:r w:rsidRPr="00B0741E">
        <w:rPr>
          <w:rFonts w:ascii="Segoe UI" w:hAnsi="Segoe UI"/>
          <w:color w:val="1F3864" w:themeColor="accent1" w:themeShade="80"/>
          <w:sz w:val="16"/>
        </w:rPr>
        <w:t>with</w:t>
      </w:r>
      <w:r w:rsidRPr="00B0741E">
        <w:rPr>
          <w:rFonts w:ascii="Segoe UI" w:hAnsi="Segoe UI"/>
          <w:color w:val="1F3864" w:themeColor="accent1" w:themeShade="80"/>
          <w:spacing w:val="-3"/>
          <w:sz w:val="16"/>
        </w:rPr>
        <w:t xml:space="preserve"> </w:t>
      </w:r>
      <w:r w:rsidRPr="00B0741E">
        <w:rPr>
          <w:rFonts w:ascii="Segoe UI" w:hAnsi="Segoe UI"/>
          <w:color w:val="1F3864" w:themeColor="accent1" w:themeShade="80"/>
          <w:sz w:val="16"/>
        </w:rPr>
        <w:t>all</w:t>
      </w:r>
      <w:r w:rsidRPr="00B0741E">
        <w:rPr>
          <w:rFonts w:ascii="Segoe UI" w:hAnsi="Segoe UI"/>
          <w:color w:val="1F3864" w:themeColor="accent1" w:themeShade="80"/>
          <w:spacing w:val="-5"/>
          <w:sz w:val="16"/>
        </w:rPr>
        <w:t xml:space="preserve"> </w:t>
      </w:r>
      <w:r w:rsidRPr="00B0741E">
        <w:rPr>
          <w:rFonts w:ascii="Segoe UI" w:hAnsi="Segoe UI"/>
          <w:color w:val="1F3864" w:themeColor="accent1" w:themeShade="80"/>
          <w:sz w:val="16"/>
        </w:rPr>
        <w:t>stakeholders. In</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line</w:t>
      </w:r>
      <w:r w:rsidRPr="00B0741E">
        <w:rPr>
          <w:rFonts w:ascii="Segoe UI" w:hAnsi="Segoe UI"/>
          <w:color w:val="1F3864" w:themeColor="accent1" w:themeShade="80"/>
          <w:spacing w:val="-9"/>
          <w:sz w:val="16"/>
        </w:rPr>
        <w:t xml:space="preserve"> </w:t>
      </w:r>
      <w:r w:rsidRPr="00B0741E">
        <w:rPr>
          <w:rFonts w:ascii="Segoe UI" w:hAnsi="Segoe UI"/>
          <w:color w:val="1F3864" w:themeColor="accent1" w:themeShade="80"/>
          <w:sz w:val="16"/>
        </w:rPr>
        <w:t>with</w:t>
      </w:r>
      <w:r w:rsidRPr="00B0741E">
        <w:rPr>
          <w:rFonts w:ascii="Segoe UI" w:hAnsi="Segoe UI"/>
          <w:color w:val="1F3864" w:themeColor="accent1" w:themeShade="80"/>
          <w:spacing w:val="-12"/>
          <w:sz w:val="16"/>
        </w:rPr>
        <w:t xml:space="preserve"> </w:t>
      </w:r>
      <w:r w:rsidRPr="00B0741E">
        <w:rPr>
          <w:rFonts w:ascii="Segoe UI" w:hAnsi="Segoe UI"/>
          <w:color w:val="1F3864" w:themeColor="accent1" w:themeShade="80"/>
          <w:sz w:val="16"/>
        </w:rPr>
        <w:t>the</w:t>
      </w:r>
      <w:r w:rsidRPr="00B0741E">
        <w:rPr>
          <w:rFonts w:ascii="Segoe UI" w:hAnsi="Segoe UI"/>
          <w:color w:val="1F3864" w:themeColor="accent1" w:themeShade="80"/>
          <w:spacing w:val="-9"/>
          <w:sz w:val="16"/>
        </w:rPr>
        <w:t xml:space="preserve"> </w:t>
      </w:r>
      <w:r w:rsidRPr="00B0741E">
        <w:rPr>
          <w:rFonts w:ascii="Segoe UI" w:hAnsi="Segoe UI"/>
          <w:color w:val="1F3864" w:themeColor="accent1" w:themeShade="80"/>
          <w:sz w:val="16"/>
        </w:rPr>
        <w:t>UN</w:t>
      </w:r>
      <w:r w:rsidRPr="00B0741E">
        <w:rPr>
          <w:rFonts w:ascii="Segoe UI" w:hAnsi="Segoe UI"/>
          <w:color w:val="1F3864" w:themeColor="accent1" w:themeShade="80"/>
          <w:spacing w:val="-12"/>
          <w:sz w:val="16"/>
        </w:rPr>
        <w:t xml:space="preserve"> </w:t>
      </w:r>
      <w:r w:rsidRPr="00B0741E">
        <w:rPr>
          <w:rFonts w:ascii="Segoe UI" w:hAnsi="Segoe UI"/>
          <w:color w:val="1F3864" w:themeColor="accent1" w:themeShade="80"/>
          <w:sz w:val="16"/>
        </w:rPr>
        <w:t>Universal</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Declaration</w:t>
      </w:r>
      <w:r w:rsidRPr="00B0741E">
        <w:rPr>
          <w:rFonts w:ascii="Segoe UI" w:hAnsi="Segoe UI"/>
          <w:color w:val="1F3864" w:themeColor="accent1" w:themeShade="80"/>
          <w:spacing w:val="-9"/>
          <w:sz w:val="16"/>
        </w:rPr>
        <w:t xml:space="preserve"> </w:t>
      </w:r>
      <w:r w:rsidRPr="00B0741E">
        <w:rPr>
          <w:rFonts w:ascii="Segoe UI" w:hAnsi="Segoe UI"/>
          <w:color w:val="1F3864" w:themeColor="accent1" w:themeShade="80"/>
          <w:sz w:val="16"/>
        </w:rPr>
        <w:t>of</w:t>
      </w:r>
      <w:r w:rsidRPr="00B0741E">
        <w:rPr>
          <w:rFonts w:ascii="Segoe UI" w:hAnsi="Segoe UI"/>
          <w:color w:val="1F3864" w:themeColor="accent1" w:themeShade="80"/>
          <w:spacing w:val="-9"/>
          <w:sz w:val="16"/>
        </w:rPr>
        <w:t xml:space="preserve"> </w:t>
      </w:r>
      <w:r w:rsidRPr="00B0741E">
        <w:rPr>
          <w:rFonts w:ascii="Segoe UI" w:hAnsi="Segoe UI"/>
          <w:color w:val="1F3864" w:themeColor="accent1" w:themeShade="80"/>
          <w:sz w:val="16"/>
        </w:rPr>
        <w:t>Human</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Rights,</w:t>
      </w:r>
      <w:r w:rsidRPr="00B0741E">
        <w:rPr>
          <w:rFonts w:ascii="Segoe UI" w:hAnsi="Segoe UI"/>
          <w:color w:val="1F3864" w:themeColor="accent1" w:themeShade="80"/>
          <w:spacing w:val="-8"/>
          <w:sz w:val="16"/>
        </w:rPr>
        <w:t xml:space="preserve"> </w:t>
      </w:r>
      <w:r w:rsidRPr="00B0741E">
        <w:rPr>
          <w:rFonts w:ascii="Segoe UI" w:hAnsi="Segoe UI"/>
          <w:color w:val="1F3864" w:themeColor="accent1" w:themeShade="80"/>
          <w:sz w:val="16"/>
        </w:rPr>
        <w:t>evaluators</w:t>
      </w:r>
      <w:r w:rsidRPr="00B0741E">
        <w:rPr>
          <w:rFonts w:ascii="Segoe UI" w:hAnsi="Segoe UI"/>
          <w:color w:val="1F3864" w:themeColor="accent1" w:themeShade="80"/>
          <w:spacing w:val="-13"/>
          <w:sz w:val="16"/>
        </w:rPr>
        <w:t xml:space="preserve"> </w:t>
      </w:r>
      <w:r w:rsidRPr="00B0741E">
        <w:rPr>
          <w:rFonts w:ascii="Segoe UI" w:hAnsi="Segoe UI"/>
          <w:color w:val="1F3864" w:themeColor="accent1" w:themeShade="80"/>
          <w:sz w:val="16"/>
        </w:rPr>
        <w:t>must</w:t>
      </w:r>
      <w:r w:rsidRPr="00B0741E">
        <w:rPr>
          <w:rFonts w:ascii="Segoe UI" w:hAnsi="Segoe UI"/>
          <w:color w:val="1F3864" w:themeColor="accent1" w:themeShade="80"/>
          <w:spacing w:val="-9"/>
          <w:sz w:val="16"/>
        </w:rPr>
        <w:t xml:space="preserve"> </w:t>
      </w:r>
      <w:r w:rsidRPr="00B0741E">
        <w:rPr>
          <w:rFonts w:ascii="Segoe UI" w:hAnsi="Segoe UI"/>
          <w:color w:val="1F3864" w:themeColor="accent1" w:themeShade="80"/>
          <w:sz w:val="16"/>
        </w:rPr>
        <w:t>be</w:t>
      </w:r>
      <w:r w:rsidRPr="00B0741E">
        <w:rPr>
          <w:rFonts w:ascii="Segoe UI" w:hAnsi="Segoe UI"/>
          <w:color w:val="1F3864" w:themeColor="accent1" w:themeShade="80"/>
          <w:spacing w:val="-9"/>
          <w:sz w:val="16"/>
        </w:rPr>
        <w:t xml:space="preserve"> </w:t>
      </w:r>
      <w:r w:rsidRPr="00B0741E">
        <w:rPr>
          <w:rFonts w:ascii="Segoe UI" w:hAnsi="Segoe UI"/>
          <w:color w:val="1F3864" w:themeColor="accent1" w:themeShade="80"/>
          <w:sz w:val="16"/>
        </w:rPr>
        <w:t>sensitive</w:t>
      </w:r>
      <w:r w:rsidRPr="00B0741E">
        <w:rPr>
          <w:rFonts w:ascii="Segoe UI" w:hAnsi="Segoe UI"/>
          <w:color w:val="1F3864" w:themeColor="accent1" w:themeShade="80"/>
          <w:spacing w:val="-12"/>
          <w:sz w:val="16"/>
        </w:rPr>
        <w:t xml:space="preserve"> </w:t>
      </w:r>
      <w:r w:rsidRPr="00B0741E">
        <w:rPr>
          <w:rFonts w:ascii="Segoe UI" w:hAnsi="Segoe UI"/>
          <w:color w:val="1F3864" w:themeColor="accent1" w:themeShade="80"/>
          <w:sz w:val="16"/>
        </w:rPr>
        <w:t>to</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and</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address</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issues</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of</w:t>
      </w:r>
      <w:r w:rsidRPr="00B0741E">
        <w:rPr>
          <w:rFonts w:ascii="Segoe UI" w:hAnsi="Segoe UI"/>
          <w:color w:val="1F3864" w:themeColor="accent1" w:themeShade="80"/>
          <w:spacing w:val="-10"/>
          <w:sz w:val="16"/>
        </w:rPr>
        <w:t xml:space="preserve"> </w:t>
      </w:r>
      <w:r w:rsidRPr="00B0741E">
        <w:rPr>
          <w:rFonts w:ascii="Segoe UI" w:hAnsi="Segoe UI"/>
          <w:color w:val="1F3864" w:themeColor="accent1" w:themeShade="80"/>
          <w:sz w:val="16"/>
        </w:rPr>
        <w:t>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w:t>
      </w:r>
      <w:r w:rsidRPr="00B0741E">
        <w:rPr>
          <w:rFonts w:ascii="Segoe UI" w:hAnsi="Segoe UI"/>
          <w:color w:val="1F3864" w:themeColor="accent1" w:themeShade="80"/>
          <w:spacing w:val="-7"/>
          <w:sz w:val="16"/>
        </w:rPr>
        <w:t xml:space="preserve"> </w:t>
      </w:r>
      <w:r w:rsidRPr="00B0741E">
        <w:rPr>
          <w:rFonts w:ascii="Segoe UI" w:hAnsi="Segoe UI"/>
          <w:color w:val="1F3864" w:themeColor="accent1" w:themeShade="80"/>
          <w:sz w:val="16"/>
        </w:rPr>
        <w:t>self-worth.</w:t>
      </w:r>
    </w:p>
    <w:p w14:paraId="207E284C" w14:textId="77777777" w:rsidR="00504BBC" w:rsidRPr="00B0741E" w:rsidRDefault="00504BBC" w:rsidP="00504BBC">
      <w:pPr>
        <w:pStyle w:val="ListParagraph"/>
        <w:numPr>
          <w:ilvl w:val="0"/>
          <w:numId w:val="80"/>
        </w:numPr>
        <w:tabs>
          <w:tab w:val="left" w:pos="631"/>
        </w:tabs>
        <w:spacing w:before="2"/>
        <w:ind w:right="1951"/>
        <w:jc w:val="both"/>
        <w:rPr>
          <w:rFonts w:ascii="Segoe UI"/>
          <w:color w:val="1F3864" w:themeColor="accent1" w:themeShade="80"/>
          <w:sz w:val="16"/>
        </w:rPr>
      </w:pPr>
      <w:r w:rsidRPr="00B0741E">
        <w:rPr>
          <w:rFonts w:ascii="Segoe UI"/>
          <w:color w:val="1F3864" w:themeColor="accent1" w:themeShade="80"/>
          <w:sz w:val="16"/>
        </w:rPr>
        <w:t>Are</w:t>
      </w:r>
      <w:r w:rsidRPr="00B0741E">
        <w:rPr>
          <w:rFonts w:ascii="Segoe UI"/>
          <w:color w:val="1F3864" w:themeColor="accent1" w:themeShade="80"/>
          <w:spacing w:val="-5"/>
          <w:sz w:val="16"/>
        </w:rPr>
        <w:t xml:space="preserve"> </w:t>
      </w:r>
      <w:r w:rsidRPr="00B0741E">
        <w:rPr>
          <w:rFonts w:ascii="Segoe UI"/>
          <w:color w:val="1F3864" w:themeColor="accent1" w:themeShade="80"/>
          <w:sz w:val="16"/>
        </w:rPr>
        <w:t>responsible</w:t>
      </w:r>
      <w:r w:rsidRPr="00B0741E">
        <w:rPr>
          <w:rFonts w:ascii="Segoe UI"/>
          <w:color w:val="1F3864" w:themeColor="accent1" w:themeShade="80"/>
          <w:spacing w:val="-5"/>
          <w:sz w:val="16"/>
        </w:rPr>
        <w:t xml:space="preserve"> </w:t>
      </w:r>
      <w:r w:rsidRPr="00B0741E">
        <w:rPr>
          <w:rFonts w:ascii="Segoe UI"/>
          <w:color w:val="1F3864" w:themeColor="accent1" w:themeShade="80"/>
          <w:sz w:val="16"/>
        </w:rPr>
        <w:t>for</w:t>
      </w:r>
      <w:r w:rsidRPr="00B0741E">
        <w:rPr>
          <w:rFonts w:ascii="Segoe UI"/>
          <w:color w:val="1F3864" w:themeColor="accent1" w:themeShade="80"/>
          <w:spacing w:val="-4"/>
          <w:sz w:val="16"/>
        </w:rPr>
        <w:t xml:space="preserve"> </w:t>
      </w:r>
      <w:r w:rsidRPr="00B0741E">
        <w:rPr>
          <w:rFonts w:ascii="Segoe UI"/>
          <w:color w:val="1F3864" w:themeColor="accent1" w:themeShade="80"/>
          <w:sz w:val="16"/>
        </w:rPr>
        <w:t>their</w:t>
      </w:r>
      <w:r w:rsidRPr="00B0741E">
        <w:rPr>
          <w:rFonts w:ascii="Segoe UI"/>
          <w:color w:val="1F3864" w:themeColor="accent1" w:themeShade="80"/>
          <w:spacing w:val="-6"/>
          <w:sz w:val="16"/>
        </w:rPr>
        <w:t xml:space="preserve"> </w:t>
      </w:r>
      <w:r w:rsidRPr="00B0741E">
        <w:rPr>
          <w:rFonts w:ascii="Segoe UI"/>
          <w:color w:val="1F3864" w:themeColor="accent1" w:themeShade="80"/>
          <w:sz w:val="16"/>
        </w:rPr>
        <w:t>performance</w:t>
      </w:r>
      <w:r w:rsidRPr="00B0741E">
        <w:rPr>
          <w:rFonts w:ascii="Segoe UI"/>
          <w:color w:val="1F3864" w:themeColor="accent1" w:themeShade="80"/>
          <w:spacing w:val="-3"/>
          <w:sz w:val="16"/>
        </w:rPr>
        <w:t xml:space="preserve"> </w:t>
      </w:r>
      <w:r w:rsidRPr="00B0741E">
        <w:rPr>
          <w:rFonts w:ascii="Segoe UI"/>
          <w:color w:val="1F3864" w:themeColor="accent1" w:themeShade="80"/>
          <w:sz w:val="16"/>
        </w:rPr>
        <w:t>and</w:t>
      </w:r>
      <w:r w:rsidRPr="00B0741E">
        <w:rPr>
          <w:rFonts w:ascii="Segoe UI"/>
          <w:color w:val="1F3864" w:themeColor="accent1" w:themeShade="80"/>
          <w:spacing w:val="-6"/>
          <w:sz w:val="16"/>
        </w:rPr>
        <w:t xml:space="preserve"> </w:t>
      </w:r>
      <w:r w:rsidRPr="00B0741E">
        <w:rPr>
          <w:rFonts w:ascii="Segoe UI"/>
          <w:color w:val="1F3864" w:themeColor="accent1" w:themeShade="80"/>
          <w:sz w:val="16"/>
        </w:rPr>
        <w:t>their</w:t>
      </w:r>
      <w:r w:rsidRPr="00B0741E">
        <w:rPr>
          <w:rFonts w:ascii="Segoe UI"/>
          <w:color w:val="1F3864" w:themeColor="accent1" w:themeShade="80"/>
          <w:spacing w:val="-5"/>
          <w:sz w:val="16"/>
        </w:rPr>
        <w:t xml:space="preserve"> </w:t>
      </w:r>
      <w:r w:rsidRPr="00B0741E">
        <w:rPr>
          <w:rFonts w:ascii="Segoe UI"/>
          <w:color w:val="1F3864" w:themeColor="accent1" w:themeShade="80"/>
          <w:sz w:val="16"/>
        </w:rPr>
        <w:t>product(s).</w:t>
      </w:r>
      <w:r w:rsidRPr="00B0741E">
        <w:rPr>
          <w:rFonts w:ascii="Segoe UI"/>
          <w:color w:val="1F3864" w:themeColor="accent1" w:themeShade="80"/>
          <w:spacing w:val="-3"/>
          <w:sz w:val="16"/>
        </w:rPr>
        <w:t xml:space="preserve"> </w:t>
      </w:r>
      <w:r w:rsidRPr="00B0741E">
        <w:rPr>
          <w:rFonts w:ascii="Segoe UI"/>
          <w:color w:val="1F3864" w:themeColor="accent1" w:themeShade="80"/>
          <w:sz w:val="16"/>
        </w:rPr>
        <w:t>They</w:t>
      </w:r>
      <w:r w:rsidRPr="00B0741E">
        <w:rPr>
          <w:rFonts w:ascii="Segoe UI"/>
          <w:color w:val="1F3864" w:themeColor="accent1" w:themeShade="80"/>
          <w:spacing w:val="-6"/>
          <w:sz w:val="16"/>
        </w:rPr>
        <w:t xml:space="preserve"> </w:t>
      </w:r>
      <w:r w:rsidRPr="00B0741E">
        <w:rPr>
          <w:rFonts w:ascii="Segoe UI"/>
          <w:color w:val="1F3864" w:themeColor="accent1" w:themeShade="80"/>
          <w:sz w:val="16"/>
        </w:rPr>
        <w:t>are</w:t>
      </w:r>
      <w:r w:rsidRPr="00B0741E">
        <w:rPr>
          <w:rFonts w:ascii="Segoe UI"/>
          <w:color w:val="1F3864" w:themeColor="accent1" w:themeShade="80"/>
          <w:spacing w:val="-4"/>
          <w:sz w:val="16"/>
        </w:rPr>
        <w:t xml:space="preserve"> </w:t>
      </w:r>
      <w:r w:rsidRPr="00B0741E">
        <w:rPr>
          <w:rFonts w:ascii="Segoe UI"/>
          <w:color w:val="1F3864" w:themeColor="accent1" w:themeShade="80"/>
          <w:sz w:val="16"/>
        </w:rPr>
        <w:t>responsible</w:t>
      </w:r>
      <w:r w:rsidRPr="00B0741E">
        <w:rPr>
          <w:rFonts w:ascii="Segoe UI"/>
          <w:color w:val="1F3864" w:themeColor="accent1" w:themeShade="80"/>
          <w:spacing w:val="-5"/>
          <w:sz w:val="16"/>
        </w:rPr>
        <w:t xml:space="preserve"> </w:t>
      </w:r>
      <w:r w:rsidRPr="00B0741E">
        <w:rPr>
          <w:rFonts w:ascii="Segoe UI"/>
          <w:color w:val="1F3864" w:themeColor="accent1" w:themeShade="80"/>
          <w:sz w:val="16"/>
        </w:rPr>
        <w:t>for</w:t>
      </w:r>
      <w:r w:rsidRPr="00B0741E">
        <w:rPr>
          <w:rFonts w:ascii="Segoe UI"/>
          <w:color w:val="1F3864" w:themeColor="accent1" w:themeShade="80"/>
          <w:spacing w:val="-4"/>
          <w:sz w:val="16"/>
        </w:rPr>
        <w:t xml:space="preserve"> </w:t>
      </w:r>
      <w:r w:rsidRPr="00B0741E">
        <w:rPr>
          <w:rFonts w:ascii="Segoe UI"/>
          <w:color w:val="1F3864" w:themeColor="accent1" w:themeShade="80"/>
          <w:sz w:val="16"/>
        </w:rPr>
        <w:t>the</w:t>
      </w:r>
      <w:r w:rsidRPr="00B0741E">
        <w:rPr>
          <w:rFonts w:ascii="Segoe UI"/>
          <w:color w:val="1F3864" w:themeColor="accent1" w:themeShade="80"/>
          <w:spacing w:val="-4"/>
          <w:sz w:val="16"/>
        </w:rPr>
        <w:t xml:space="preserve"> </w:t>
      </w:r>
      <w:r w:rsidRPr="00B0741E">
        <w:rPr>
          <w:rFonts w:ascii="Segoe UI"/>
          <w:color w:val="1F3864" w:themeColor="accent1" w:themeShade="80"/>
          <w:sz w:val="16"/>
        </w:rPr>
        <w:t>clear,</w:t>
      </w:r>
      <w:r w:rsidRPr="00B0741E">
        <w:rPr>
          <w:rFonts w:ascii="Segoe UI"/>
          <w:color w:val="1F3864" w:themeColor="accent1" w:themeShade="80"/>
          <w:spacing w:val="-3"/>
          <w:sz w:val="16"/>
        </w:rPr>
        <w:t xml:space="preserve"> </w:t>
      </w:r>
      <w:r w:rsidRPr="00B0741E">
        <w:rPr>
          <w:rFonts w:ascii="Segoe UI"/>
          <w:color w:val="1F3864" w:themeColor="accent1" w:themeShade="80"/>
          <w:sz w:val="16"/>
        </w:rPr>
        <w:t>accurate</w:t>
      </w:r>
      <w:r w:rsidRPr="00B0741E">
        <w:rPr>
          <w:rFonts w:ascii="Segoe UI"/>
          <w:color w:val="1F3864" w:themeColor="accent1" w:themeShade="80"/>
          <w:spacing w:val="-5"/>
          <w:sz w:val="16"/>
        </w:rPr>
        <w:t xml:space="preserve"> </w:t>
      </w:r>
      <w:r w:rsidRPr="00B0741E">
        <w:rPr>
          <w:rFonts w:ascii="Segoe UI"/>
          <w:color w:val="1F3864" w:themeColor="accent1" w:themeShade="80"/>
          <w:sz w:val="16"/>
        </w:rPr>
        <w:t>and</w:t>
      </w:r>
      <w:r w:rsidRPr="00B0741E">
        <w:rPr>
          <w:rFonts w:ascii="Segoe UI"/>
          <w:color w:val="1F3864" w:themeColor="accent1" w:themeShade="80"/>
          <w:spacing w:val="-5"/>
          <w:sz w:val="16"/>
        </w:rPr>
        <w:t xml:space="preserve"> </w:t>
      </w:r>
      <w:r w:rsidRPr="00B0741E">
        <w:rPr>
          <w:rFonts w:ascii="Segoe UI"/>
          <w:color w:val="1F3864" w:themeColor="accent1" w:themeShade="80"/>
          <w:sz w:val="16"/>
        </w:rPr>
        <w:t>fair</w:t>
      </w:r>
      <w:r w:rsidRPr="00B0741E">
        <w:rPr>
          <w:rFonts w:ascii="Segoe UI"/>
          <w:color w:val="1F3864" w:themeColor="accent1" w:themeShade="80"/>
          <w:spacing w:val="-4"/>
          <w:sz w:val="16"/>
        </w:rPr>
        <w:t xml:space="preserve"> </w:t>
      </w:r>
      <w:r w:rsidRPr="00B0741E">
        <w:rPr>
          <w:rFonts w:ascii="Segoe UI"/>
          <w:color w:val="1F3864" w:themeColor="accent1" w:themeShade="80"/>
          <w:sz w:val="16"/>
        </w:rPr>
        <w:t>written</w:t>
      </w:r>
      <w:r w:rsidRPr="00B0741E">
        <w:rPr>
          <w:rFonts w:ascii="Segoe UI"/>
          <w:color w:val="1F3864" w:themeColor="accent1" w:themeShade="80"/>
          <w:spacing w:val="-4"/>
          <w:sz w:val="16"/>
        </w:rPr>
        <w:t xml:space="preserve"> </w:t>
      </w:r>
      <w:r w:rsidRPr="00B0741E">
        <w:rPr>
          <w:rFonts w:ascii="Segoe UI"/>
          <w:color w:val="1F3864" w:themeColor="accent1" w:themeShade="80"/>
          <w:sz w:val="16"/>
        </w:rPr>
        <w:t>and/or oral presentation of study imitations, findings and</w:t>
      </w:r>
      <w:r w:rsidRPr="00B0741E">
        <w:rPr>
          <w:rFonts w:ascii="Segoe UI"/>
          <w:color w:val="1F3864" w:themeColor="accent1" w:themeShade="80"/>
          <w:spacing w:val="-11"/>
          <w:sz w:val="16"/>
        </w:rPr>
        <w:t xml:space="preserve"> </w:t>
      </w:r>
      <w:r w:rsidRPr="00B0741E">
        <w:rPr>
          <w:rFonts w:ascii="Segoe UI"/>
          <w:color w:val="1F3864" w:themeColor="accent1" w:themeShade="80"/>
          <w:sz w:val="16"/>
        </w:rPr>
        <w:t>recommendations.</w:t>
      </w:r>
    </w:p>
    <w:p w14:paraId="22DCBDA8" w14:textId="77777777" w:rsidR="00504BBC" w:rsidRPr="00B0741E" w:rsidRDefault="00504BBC" w:rsidP="00504BBC">
      <w:pPr>
        <w:pStyle w:val="ListParagraph"/>
        <w:numPr>
          <w:ilvl w:val="0"/>
          <w:numId w:val="80"/>
        </w:numPr>
        <w:tabs>
          <w:tab w:val="left" w:pos="631"/>
        </w:tabs>
        <w:spacing w:before="0" w:line="212" w:lineRule="exact"/>
        <w:jc w:val="both"/>
        <w:rPr>
          <w:rFonts w:ascii="Segoe UI"/>
          <w:color w:val="1F3864" w:themeColor="accent1" w:themeShade="80"/>
          <w:sz w:val="16"/>
        </w:rPr>
      </w:pPr>
      <w:r w:rsidRPr="00B0741E">
        <w:rPr>
          <w:rFonts w:ascii="Segoe UI"/>
          <w:color w:val="1F3864" w:themeColor="accent1" w:themeShade="80"/>
          <w:sz w:val="16"/>
        </w:rPr>
        <w:t>Should reflect sound accounting procedures and be prudent in using the resources of the</w:t>
      </w:r>
      <w:r w:rsidRPr="00B0741E">
        <w:rPr>
          <w:rFonts w:ascii="Segoe UI"/>
          <w:color w:val="1F3864" w:themeColor="accent1" w:themeShade="80"/>
          <w:spacing w:val="-19"/>
          <w:sz w:val="16"/>
        </w:rPr>
        <w:t xml:space="preserve"> </w:t>
      </w:r>
      <w:r w:rsidRPr="00B0741E">
        <w:rPr>
          <w:rFonts w:ascii="Segoe UI"/>
          <w:color w:val="1F3864" w:themeColor="accent1" w:themeShade="80"/>
          <w:sz w:val="16"/>
        </w:rPr>
        <w:t>evaluation.</w:t>
      </w:r>
    </w:p>
    <w:p w14:paraId="0964ABE7" w14:textId="77777777" w:rsidR="00504BBC" w:rsidRPr="00B0741E" w:rsidRDefault="00504BBC" w:rsidP="00504BBC">
      <w:pPr>
        <w:pStyle w:val="ListParagraph"/>
        <w:numPr>
          <w:ilvl w:val="0"/>
          <w:numId w:val="80"/>
        </w:numPr>
        <w:tabs>
          <w:tab w:val="left" w:pos="631"/>
        </w:tabs>
        <w:spacing w:before="0" w:line="259" w:lineRule="auto"/>
        <w:ind w:right="1956"/>
        <w:jc w:val="both"/>
        <w:rPr>
          <w:rFonts w:ascii="Segoe UI"/>
          <w:color w:val="1F3864" w:themeColor="accent1" w:themeShade="80"/>
          <w:sz w:val="16"/>
        </w:rPr>
      </w:pPr>
      <w:r w:rsidRPr="00B0741E">
        <w:rPr>
          <w:rFonts w:ascii="Segoe UI"/>
          <w:color w:val="1F3864" w:themeColor="accent1" w:themeShade="80"/>
          <w:sz w:val="16"/>
        </w:rPr>
        <w:t>Must ensure that independence of judgement is maintained, and that evaluation findings and recommendations are independently</w:t>
      </w:r>
      <w:r w:rsidRPr="00B0741E">
        <w:rPr>
          <w:rFonts w:ascii="Segoe UI"/>
          <w:color w:val="1F3864" w:themeColor="accent1" w:themeShade="80"/>
          <w:spacing w:val="-3"/>
          <w:sz w:val="16"/>
        </w:rPr>
        <w:t xml:space="preserve"> </w:t>
      </w:r>
      <w:r w:rsidRPr="00B0741E">
        <w:rPr>
          <w:rFonts w:ascii="Segoe UI"/>
          <w:color w:val="1F3864" w:themeColor="accent1" w:themeShade="80"/>
          <w:sz w:val="16"/>
        </w:rPr>
        <w:t>presented.</w:t>
      </w:r>
    </w:p>
    <w:p w14:paraId="76237689" w14:textId="77777777" w:rsidR="00504BBC" w:rsidRPr="00B0741E" w:rsidRDefault="00504BBC" w:rsidP="00504BBC">
      <w:pPr>
        <w:pStyle w:val="ListParagraph"/>
        <w:numPr>
          <w:ilvl w:val="0"/>
          <w:numId w:val="80"/>
        </w:numPr>
        <w:tabs>
          <w:tab w:val="left" w:pos="631"/>
        </w:tabs>
        <w:spacing w:before="0" w:line="212" w:lineRule="exact"/>
        <w:jc w:val="both"/>
        <w:rPr>
          <w:rFonts w:ascii="Segoe UI"/>
          <w:color w:val="1F3864" w:themeColor="accent1" w:themeShade="80"/>
          <w:sz w:val="16"/>
        </w:rPr>
      </w:pPr>
      <w:r w:rsidRPr="00B0741E">
        <w:rPr>
          <w:rFonts w:ascii="Segoe UI"/>
          <w:color w:val="1F3864" w:themeColor="accent1" w:themeShade="80"/>
          <w:sz w:val="16"/>
        </w:rPr>
        <w:t>Must</w:t>
      </w:r>
      <w:r w:rsidRPr="00B0741E">
        <w:rPr>
          <w:rFonts w:ascii="Segoe UI"/>
          <w:color w:val="1F3864" w:themeColor="accent1" w:themeShade="80"/>
          <w:spacing w:val="8"/>
          <w:sz w:val="16"/>
        </w:rPr>
        <w:t xml:space="preserve"> </w:t>
      </w:r>
      <w:r w:rsidRPr="00B0741E">
        <w:rPr>
          <w:rFonts w:ascii="Segoe UI"/>
          <w:color w:val="1F3864" w:themeColor="accent1" w:themeShade="80"/>
          <w:sz w:val="16"/>
        </w:rPr>
        <w:t>confirm</w:t>
      </w:r>
      <w:r w:rsidRPr="00B0741E">
        <w:rPr>
          <w:rFonts w:ascii="Segoe UI"/>
          <w:color w:val="1F3864" w:themeColor="accent1" w:themeShade="80"/>
          <w:spacing w:val="9"/>
          <w:sz w:val="16"/>
        </w:rPr>
        <w:t xml:space="preserve"> </w:t>
      </w:r>
      <w:r w:rsidRPr="00B0741E">
        <w:rPr>
          <w:rFonts w:ascii="Segoe UI"/>
          <w:color w:val="1F3864" w:themeColor="accent1" w:themeShade="80"/>
          <w:sz w:val="16"/>
        </w:rPr>
        <w:t>that</w:t>
      </w:r>
      <w:r w:rsidRPr="00B0741E">
        <w:rPr>
          <w:rFonts w:ascii="Segoe UI"/>
          <w:color w:val="1F3864" w:themeColor="accent1" w:themeShade="80"/>
          <w:spacing w:val="9"/>
          <w:sz w:val="16"/>
        </w:rPr>
        <w:t xml:space="preserve"> </w:t>
      </w:r>
      <w:r w:rsidRPr="00B0741E">
        <w:rPr>
          <w:rFonts w:ascii="Segoe UI"/>
          <w:color w:val="1F3864" w:themeColor="accent1" w:themeShade="80"/>
          <w:sz w:val="16"/>
        </w:rPr>
        <w:t>they</w:t>
      </w:r>
      <w:r w:rsidRPr="00B0741E">
        <w:rPr>
          <w:rFonts w:ascii="Segoe UI"/>
          <w:color w:val="1F3864" w:themeColor="accent1" w:themeShade="80"/>
          <w:spacing w:val="7"/>
          <w:sz w:val="16"/>
        </w:rPr>
        <w:t xml:space="preserve"> </w:t>
      </w:r>
      <w:r w:rsidRPr="00B0741E">
        <w:rPr>
          <w:rFonts w:ascii="Segoe UI"/>
          <w:color w:val="1F3864" w:themeColor="accent1" w:themeShade="80"/>
          <w:sz w:val="16"/>
        </w:rPr>
        <w:t>have</w:t>
      </w:r>
      <w:r w:rsidRPr="00B0741E">
        <w:rPr>
          <w:rFonts w:ascii="Segoe UI"/>
          <w:color w:val="1F3864" w:themeColor="accent1" w:themeShade="80"/>
          <w:spacing w:val="8"/>
          <w:sz w:val="16"/>
        </w:rPr>
        <w:t xml:space="preserve"> </w:t>
      </w:r>
      <w:r w:rsidRPr="00B0741E">
        <w:rPr>
          <w:rFonts w:ascii="Segoe UI"/>
          <w:color w:val="1F3864" w:themeColor="accent1" w:themeShade="80"/>
          <w:sz w:val="16"/>
        </w:rPr>
        <w:t>not</w:t>
      </w:r>
      <w:r w:rsidRPr="00B0741E">
        <w:rPr>
          <w:rFonts w:ascii="Segoe UI"/>
          <w:color w:val="1F3864" w:themeColor="accent1" w:themeShade="80"/>
          <w:spacing w:val="9"/>
          <w:sz w:val="16"/>
        </w:rPr>
        <w:t xml:space="preserve"> </w:t>
      </w:r>
      <w:r w:rsidRPr="00B0741E">
        <w:rPr>
          <w:rFonts w:ascii="Segoe UI"/>
          <w:color w:val="1F3864" w:themeColor="accent1" w:themeShade="80"/>
          <w:sz w:val="16"/>
        </w:rPr>
        <w:t>been</w:t>
      </w:r>
      <w:r w:rsidRPr="00B0741E">
        <w:rPr>
          <w:rFonts w:ascii="Segoe UI"/>
          <w:color w:val="1F3864" w:themeColor="accent1" w:themeShade="80"/>
          <w:spacing w:val="8"/>
          <w:sz w:val="16"/>
        </w:rPr>
        <w:t xml:space="preserve"> </w:t>
      </w:r>
      <w:r w:rsidRPr="00B0741E">
        <w:rPr>
          <w:rFonts w:ascii="Segoe UI"/>
          <w:color w:val="1F3864" w:themeColor="accent1" w:themeShade="80"/>
          <w:sz w:val="16"/>
        </w:rPr>
        <w:t>involved</w:t>
      </w:r>
      <w:r w:rsidRPr="00B0741E">
        <w:rPr>
          <w:rFonts w:ascii="Segoe UI"/>
          <w:color w:val="1F3864" w:themeColor="accent1" w:themeShade="80"/>
          <w:spacing w:val="7"/>
          <w:sz w:val="16"/>
        </w:rPr>
        <w:t xml:space="preserve"> </w:t>
      </w:r>
      <w:r w:rsidRPr="00B0741E">
        <w:rPr>
          <w:rFonts w:ascii="Segoe UI"/>
          <w:color w:val="1F3864" w:themeColor="accent1" w:themeShade="80"/>
          <w:sz w:val="16"/>
        </w:rPr>
        <w:t>in</w:t>
      </w:r>
      <w:r w:rsidRPr="00B0741E">
        <w:rPr>
          <w:rFonts w:ascii="Segoe UI"/>
          <w:color w:val="1F3864" w:themeColor="accent1" w:themeShade="80"/>
          <w:spacing w:val="9"/>
          <w:sz w:val="16"/>
        </w:rPr>
        <w:t xml:space="preserve"> </w:t>
      </w:r>
      <w:r w:rsidRPr="00B0741E">
        <w:rPr>
          <w:rFonts w:ascii="Segoe UI"/>
          <w:color w:val="1F3864" w:themeColor="accent1" w:themeShade="80"/>
          <w:sz w:val="16"/>
        </w:rPr>
        <w:t>designing,</w:t>
      </w:r>
      <w:r w:rsidRPr="00B0741E">
        <w:rPr>
          <w:rFonts w:ascii="Segoe UI"/>
          <w:color w:val="1F3864" w:themeColor="accent1" w:themeShade="80"/>
          <w:spacing w:val="9"/>
          <w:sz w:val="16"/>
        </w:rPr>
        <w:t xml:space="preserve"> </w:t>
      </w:r>
      <w:r w:rsidRPr="00B0741E">
        <w:rPr>
          <w:rFonts w:ascii="Segoe UI"/>
          <w:color w:val="1F3864" w:themeColor="accent1" w:themeShade="80"/>
          <w:sz w:val="16"/>
        </w:rPr>
        <w:t>executing</w:t>
      </w:r>
      <w:r w:rsidRPr="00B0741E">
        <w:rPr>
          <w:rFonts w:ascii="Segoe UI"/>
          <w:color w:val="1F3864" w:themeColor="accent1" w:themeShade="80"/>
          <w:spacing w:val="7"/>
          <w:sz w:val="16"/>
        </w:rPr>
        <w:t xml:space="preserve"> </w:t>
      </w:r>
      <w:r w:rsidRPr="00B0741E">
        <w:rPr>
          <w:rFonts w:ascii="Segoe UI"/>
          <w:color w:val="1F3864" w:themeColor="accent1" w:themeShade="80"/>
          <w:sz w:val="16"/>
        </w:rPr>
        <w:t>or</w:t>
      </w:r>
      <w:r w:rsidRPr="00B0741E">
        <w:rPr>
          <w:rFonts w:ascii="Segoe UI"/>
          <w:color w:val="1F3864" w:themeColor="accent1" w:themeShade="80"/>
          <w:spacing w:val="8"/>
          <w:sz w:val="16"/>
        </w:rPr>
        <w:t xml:space="preserve"> </w:t>
      </w:r>
      <w:r w:rsidRPr="00B0741E">
        <w:rPr>
          <w:rFonts w:ascii="Segoe UI"/>
          <w:color w:val="1F3864" w:themeColor="accent1" w:themeShade="80"/>
          <w:sz w:val="16"/>
        </w:rPr>
        <w:t>advising</w:t>
      </w:r>
      <w:r w:rsidRPr="00B0741E">
        <w:rPr>
          <w:rFonts w:ascii="Segoe UI"/>
          <w:color w:val="1F3864" w:themeColor="accent1" w:themeShade="80"/>
          <w:spacing w:val="10"/>
          <w:sz w:val="16"/>
        </w:rPr>
        <w:t xml:space="preserve"> </w:t>
      </w:r>
      <w:r w:rsidRPr="00B0741E">
        <w:rPr>
          <w:rFonts w:ascii="Segoe UI"/>
          <w:color w:val="1F3864" w:themeColor="accent1" w:themeShade="80"/>
          <w:sz w:val="16"/>
        </w:rPr>
        <w:t>on</w:t>
      </w:r>
      <w:r w:rsidRPr="00B0741E">
        <w:rPr>
          <w:rFonts w:ascii="Segoe UI"/>
          <w:color w:val="1F3864" w:themeColor="accent1" w:themeShade="80"/>
          <w:spacing w:val="9"/>
          <w:sz w:val="16"/>
        </w:rPr>
        <w:t xml:space="preserve"> </w:t>
      </w:r>
      <w:r w:rsidRPr="00B0741E">
        <w:rPr>
          <w:rFonts w:ascii="Segoe UI"/>
          <w:color w:val="1F3864" w:themeColor="accent1" w:themeShade="80"/>
          <w:sz w:val="16"/>
        </w:rPr>
        <w:t>the</w:t>
      </w:r>
      <w:r w:rsidRPr="00B0741E">
        <w:rPr>
          <w:rFonts w:ascii="Segoe UI"/>
          <w:color w:val="1F3864" w:themeColor="accent1" w:themeShade="80"/>
          <w:spacing w:val="8"/>
          <w:sz w:val="16"/>
        </w:rPr>
        <w:t xml:space="preserve"> </w:t>
      </w:r>
      <w:r w:rsidRPr="00B0741E">
        <w:rPr>
          <w:rFonts w:ascii="Segoe UI"/>
          <w:color w:val="1F3864" w:themeColor="accent1" w:themeShade="80"/>
          <w:sz w:val="16"/>
        </w:rPr>
        <w:t>project</w:t>
      </w:r>
      <w:r w:rsidRPr="00B0741E">
        <w:rPr>
          <w:rFonts w:ascii="Segoe UI"/>
          <w:color w:val="1F3864" w:themeColor="accent1" w:themeShade="80"/>
          <w:spacing w:val="9"/>
          <w:sz w:val="16"/>
        </w:rPr>
        <w:t xml:space="preserve"> </w:t>
      </w:r>
      <w:r w:rsidRPr="00B0741E">
        <w:rPr>
          <w:rFonts w:ascii="Segoe UI"/>
          <w:color w:val="1F3864" w:themeColor="accent1" w:themeShade="80"/>
          <w:sz w:val="16"/>
        </w:rPr>
        <w:t>being</w:t>
      </w:r>
      <w:r w:rsidRPr="00B0741E">
        <w:rPr>
          <w:rFonts w:ascii="Segoe UI"/>
          <w:color w:val="1F3864" w:themeColor="accent1" w:themeShade="80"/>
          <w:spacing w:val="7"/>
          <w:sz w:val="16"/>
        </w:rPr>
        <w:t xml:space="preserve"> </w:t>
      </w:r>
      <w:r w:rsidRPr="00B0741E">
        <w:rPr>
          <w:rFonts w:ascii="Segoe UI"/>
          <w:color w:val="1F3864" w:themeColor="accent1" w:themeShade="80"/>
          <w:sz w:val="16"/>
        </w:rPr>
        <w:t>evaluated</w:t>
      </w:r>
      <w:r w:rsidRPr="00B0741E">
        <w:rPr>
          <w:rFonts w:ascii="Segoe UI"/>
          <w:color w:val="1F3864" w:themeColor="accent1" w:themeShade="80"/>
          <w:spacing w:val="6"/>
          <w:sz w:val="16"/>
        </w:rPr>
        <w:t xml:space="preserve"> </w:t>
      </w:r>
      <w:r w:rsidRPr="00B0741E">
        <w:rPr>
          <w:rFonts w:ascii="Segoe UI"/>
          <w:color w:val="1F3864" w:themeColor="accent1" w:themeShade="80"/>
          <w:sz w:val="16"/>
        </w:rPr>
        <w:t>and</w:t>
      </w:r>
      <w:r w:rsidRPr="00B0741E">
        <w:rPr>
          <w:rFonts w:ascii="Segoe UI"/>
          <w:color w:val="1F3864" w:themeColor="accent1" w:themeShade="80"/>
          <w:spacing w:val="7"/>
          <w:sz w:val="16"/>
        </w:rPr>
        <w:t xml:space="preserve"> </w:t>
      </w:r>
      <w:r w:rsidRPr="00B0741E">
        <w:rPr>
          <w:rFonts w:ascii="Segoe UI"/>
          <w:color w:val="1F3864" w:themeColor="accent1" w:themeShade="80"/>
          <w:sz w:val="16"/>
        </w:rPr>
        <w:t>did</w:t>
      </w:r>
    </w:p>
    <w:p w14:paraId="498759C2" w14:textId="77777777" w:rsidR="00504BBC" w:rsidRPr="00B0741E" w:rsidRDefault="00504BBC" w:rsidP="00504BBC">
      <w:pPr>
        <w:spacing w:before="18"/>
        <w:ind w:left="630"/>
        <w:jc w:val="both"/>
        <w:rPr>
          <w:rFonts w:ascii="Segoe UI" w:hAnsi="Segoe UI"/>
          <w:color w:val="1F3864" w:themeColor="accent1" w:themeShade="80"/>
          <w:sz w:val="16"/>
        </w:rPr>
      </w:pPr>
      <w:r w:rsidRPr="00B0741E">
        <w:rPr>
          <w:rFonts w:ascii="Segoe UI" w:hAnsi="Segoe UI"/>
          <w:color w:val="1F3864" w:themeColor="accent1" w:themeShade="80"/>
          <w:sz w:val="16"/>
        </w:rPr>
        <w:t>not carry out the project’s Mid-Term Review.</w:t>
      </w:r>
    </w:p>
    <w:p w14:paraId="688B4835" w14:textId="77777777" w:rsidR="00504BBC" w:rsidRPr="00B0741E" w:rsidRDefault="00504BBC" w:rsidP="00504BBC">
      <w:pPr>
        <w:spacing w:before="176"/>
        <w:ind w:left="270"/>
        <w:rPr>
          <w:rFonts w:ascii="Segoe UI"/>
          <w:b/>
          <w:color w:val="1F3864" w:themeColor="accent1" w:themeShade="80"/>
          <w:sz w:val="16"/>
        </w:rPr>
      </w:pPr>
      <w:r w:rsidRPr="00B0741E">
        <w:rPr>
          <w:rFonts w:ascii="Segoe UI"/>
          <w:b/>
          <w:color w:val="1F3864" w:themeColor="accent1" w:themeShade="80"/>
          <w:sz w:val="16"/>
        </w:rPr>
        <w:t>Evaluation Consultant Agreement Form</w:t>
      </w:r>
    </w:p>
    <w:p w14:paraId="425E0633" w14:textId="77777777" w:rsidR="00504BBC" w:rsidRPr="00B0741E" w:rsidRDefault="00504BBC" w:rsidP="00504BBC">
      <w:pPr>
        <w:pStyle w:val="BodyText"/>
        <w:spacing w:before="12"/>
        <w:rPr>
          <w:rFonts w:ascii="Segoe UI"/>
          <w:b/>
          <w:color w:val="1F3864" w:themeColor="accent1" w:themeShade="80"/>
          <w:sz w:val="15"/>
        </w:rPr>
      </w:pPr>
    </w:p>
    <w:p w14:paraId="2C20B06A" w14:textId="77777777" w:rsidR="00504BBC" w:rsidRPr="00B0741E" w:rsidRDefault="00504BBC" w:rsidP="00504BBC">
      <w:pPr>
        <w:ind w:left="270"/>
        <w:rPr>
          <w:rFonts w:ascii="Segoe UI"/>
          <w:color w:val="1F3864" w:themeColor="accent1" w:themeShade="80"/>
          <w:sz w:val="16"/>
        </w:rPr>
      </w:pPr>
      <w:r w:rsidRPr="00B0741E">
        <w:rPr>
          <w:rFonts w:ascii="Segoe UI"/>
          <w:color w:val="1F3864" w:themeColor="accent1" w:themeShade="80"/>
          <w:sz w:val="16"/>
        </w:rPr>
        <w:t>Agreement to abide by the Code of Conduct for Evaluation in the UN System:</w:t>
      </w:r>
    </w:p>
    <w:p w14:paraId="7D1C9CD5" w14:textId="77777777" w:rsidR="00504BBC" w:rsidRPr="00B0741E" w:rsidRDefault="00504BBC" w:rsidP="00504BBC">
      <w:pPr>
        <w:pStyle w:val="BodyText"/>
        <w:spacing w:before="2"/>
        <w:rPr>
          <w:rFonts w:ascii="Segoe UI"/>
          <w:color w:val="1F3864" w:themeColor="accent1" w:themeShade="80"/>
          <w:sz w:val="16"/>
        </w:rPr>
      </w:pPr>
    </w:p>
    <w:p w14:paraId="4DB99EC6" w14:textId="328B6467" w:rsidR="00504BBC" w:rsidRPr="00155E9D" w:rsidRDefault="00504BBC" w:rsidP="00504BBC">
      <w:pPr>
        <w:tabs>
          <w:tab w:val="left" w:pos="5811"/>
        </w:tabs>
        <w:ind w:left="270"/>
        <w:rPr>
          <w:rFonts w:ascii="Segoe UI"/>
          <w:color w:val="1F3864" w:themeColor="accent1" w:themeShade="80"/>
          <w:sz w:val="16"/>
          <w:lang w:val="es-DO"/>
        </w:rPr>
      </w:pPr>
      <w:r w:rsidRPr="00155E9D">
        <w:rPr>
          <w:rFonts w:ascii="Segoe UI"/>
          <w:color w:val="1F3864" w:themeColor="accent1" w:themeShade="80"/>
          <w:sz w:val="16"/>
          <w:lang w:val="es-DO"/>
        </w:rPr>
        <w:t>Name of</w:t>
      </w:r>
      <w:r w:rsidRPr="00155E9D">
        <w:rPr>
          <w:rFonts w:ascii="Segoe UI"/>
          <w:color w:val="1F3864" w:themeColor="accent1" w:themeShade="80"/>
          <w:spacing w:val="-2"/>
          <w:sz w:val="16"/>
          <w:lang w:val="es-DO"/>
        </w:rPr>
        <w:t xml:space="preserve"> </w:t>
      </w:r>
      <w:r w:rsidRPr="00155E9D">
        <w:rPr>
          <w:rFonts w:ascii="Segoe UI"/>
          <w:color w:val="1F3864" w:themeColor="accent1" w:themeShade="80"/>
          <w:sz w:val="16"/>
          <w:lang w:val="es-DO"/>
        </w:rPr>
        <w:t xml:space="preserve">Evaluator: </w:t>
      </w:r>
      <w:r w:rsidR="0074481A" w:rsidRPr="00155E9D">
        <w:rPr>
          <w:rFonts w:ascii="Segoe UI"/>
          <w:color w:val="1F3864" w:themeColor="accent1" w:themeShade="80"/>
          <w:sz w:val="16"/>
          <w:lang w:val="es-DO"/>
        </w:rPr>
        <w:t>Guido Fern</w:t>
      </w:r>
      <w:r w:rsidR="0074481A" w:rsidRPr="00155E9D">
        <w:rPr>
          <w:rFonts w:ascii="Segoe UI"/>
          <w:color w:val="1F3864" w:themeColor="accent1" w:themeShade="80"/>
          <w:sz w:val="16"/>
          <w:lang w:val="es-DO"/>
        </w:rPr>
        <w:t>á</w:t>
      </w:r>
      <w:r w:rsidR="0074481A" w:rsidRPr="00155E9D">
        <w:rPr>
          <w:rFonts w:ascii="Segoe UI"/>
          <w:color w:val="1F3864" w:themeColor="accent1" w:themeShade="80"/>
          <w:sz w:val="16"/>
          <w:lang w:val="es-DO"/>
        </w:rPr>
        <w:t>ndez de Velasco</w:t>
      </w:r>
      <w:r w:rsidRPr="00155E9D">
        <w:rPr>
          <w:rFonts w:ascii="Segoe UI"/>
          <w:color w:val="1F3864" w:themeColor="accent1" w:themeShade="80"/>
          <w:sz w:val="16"/>
          <w:u w:val="single"/>
          <w:lang w:val="es-DO"/>
        </w:rPr>
        <w:t xml:space="preserve"> </w:t>
      </w:r>
      <w:r w:rsidRPr="00155E9D">
        <w:rPr>
          <w:rFonts w:ascii="Segoe UI"/>
          <w:color w:val="1F3864" w:themeColor="accent1" w:themeShade="80"/>
          <w:sz w:val="16"/>
          <w:u w:val="single"/>
          <w:lang w:val="es-DO"/>
        </w:rPr>
        <w:tab/>
      </w:r>
    </w:p>
    <w:p w14:paraId="650CF475" w14:textId="77777777" w:rsidR="00504BBC" w:rsidRPr="00155E9D" w:rsidRDefault="00504BBC" w:rsidP="00504BBC">
      <w:pPr>
        <w:pStyle w:val="BodyText"/>
        <w:rPr>
          <w:rFonts w:ascii="Segoe UI"/>
          <w:color w:val="1F3864" w:themeColor="accent1" w:themeShade="80"/>
          <w:sz w:val="16"/>
          <w:lang w:val="es-DO"/>
        </w:rPr>
      </w:pPr>
    </w:p>
    <w:p w14:paraId="3D0B273D" w14:textId="37C52E61" w:rsidR="00504BBC" w:rsidRPr="00B0741E" w:rsidRDefault="00504BBC" w:rsidP="00504BBC">
      <w:pPr>
        <w:tabs>
          <w:tab w:val="left" w:pos="6424"/>
        </w:tabs>
        <w:ind w:left="270"/>
        <w:rPr>
          <w:rFonts w:ascii="Segoe UI"/>
          <w:color w:val="1F3864" w:themeColor="accent1" w:themeShade="80"/>
          <w:sz w:val="16"/>
        </w:rPr>
      </w:pPr>
      <w:r w:rsidRPr="00B0741E">
        <w:rPr>
          <w:rFonts w:ascii="Segoe UI"/>
          <w:color w:val="1F3864" w:themeColor="accent1" w:themeShade="80"/>
          <w:sz w:val="16"/>
        </w:rPr>
        <w:t>Name of Consultancy Organization (where</w:t>
      </w:r>
      <w:r w:rsidRPr="00B0741E">
        <w:rPr>
          <w:rFonts w:ascii="Segoe UI"/>
          <w:color w:val="1F3864" w:themeColor="accent1" w:themeShade="80"/>
          <w:spacing w:val="-12"/>
          <w:sz w:val="16"/>
        </w:rPr>
        <w:t xml:space="preserve"> </w:t>
      </w:r>
      <w:r w:rsidRPr="00B0741E">
        <w:rPr>
          <w:rFonts w:ascii="Segoe UI"/>
          <w:color w:val="1F3864" w:themeColor="accent1" w:themeShade="80"/>
          <w:sz w:val="16"/>
        </w:rPr>
        <w:t xml:space="preserve">relevant): </w:t>
      </w:r>
      <w:r w:rsidRPr="00B0741E">
        <w:rPr>
          <w:rFonts w:ascii="Segoe UI"/>
          <w:color w:val="1F3864" w:themeColor="accent1" w:themeShade="80"/>
          <w:sz w:val="16"/>
          <w:u w:val="single"/>
        </w:rPr>
        <w:t xml:space="preserve"> </w:t>
      </w:r>
      <w:r w:rsidR="005C474E">
        <w:rPr>
          <w:rFonts w:ascii="Segoe UI"/>
          <w:color w:val="1F3864" w:themeColor="accent1" w:themeShade="80"/>
          <w:sz w:val="16"/>
          <w:u w:val="single"/>
        </w:rPr>
        <w:t>Asesoramiento Ambiental Estrat</w:t>
      </w:r>
      <w:r w:rsidR="005C474E">
        <w:rPr>
          <w:rFonts w:ascii="Segoe UI"/>
          <w:color w:val="1F3864" w:themeColor="accent1" w:themeShade="80"/>
          <w:sz w:val="16"/>
          <w:u w:val="single"/>
        </w:rPr>
        <w:t>é</w:t>
      </w:r>
      <w:r w:rsidR="005C474E">
        <w:rPr>
          <w:rFonts w:ascii="Segoe UI"/>
          <w:color w:val="1F3864" w:themeColor="accent1" w:themeShade="80"/>
          <w:sz w:val="16"/>
          <w:u w:val="single"/>
        </w:rPr>
        <w:t>gico (AAE) SRL</w:t>
      </w:r>
      <w:r w:rsidRPr="00B0741E">
        <w:rPr>
          <w:rFonts w:ascii="Segoe UI"/>
          <w:color w:val="1F3864" w:themeColor="accent1" w:themeShade="80"/>
          <w:sz w:val="16"/>
          <w:u w:val="single"/>
        </w:rPr>
        <w:tab/>
      </w:r>
    </w:p>
    <w:p w14:paraId="6FED16DD" w14:textId="77777777" w:rsidR="00504BBC" w:rsidRPr="00B0741E" w:rsidRDefault="00504BBC" w:rsidP="00504BBC">
      <w:pPr>
        <w:pStyle w:val="BodyText"/>
        <w:spacing w:before="12"/>
        <w:rPr>
          <w:rFonts w:ascii="Segoe UI"/>
          <w:color w:val="1F3864" w:themeColor="accent1" w:themeShade="80"/>
          <w:sz w:val="15"/>
        </w:rPr>
      </w:pPr>
    </w:p>
    <w:p w14:paraId="759315F7" w14:textId="02876E83" w:rsidR="00504BBC" w:rsidRPr="00B0741E" w:rsidRDefault="00504BBC" w:rsidP="00504BBC">
      <w:pPr>
        <w:tabs>
          <w:tab w:val="left" w:pos="3275"/>
          <w:tab w:val="left" w:pos="5516"/>
        </w:tabs>
        <w:spacing w:line="482" w:lineRule="auto"/>
        <w:ind w:left="270" w:right="2958"/>
        <w:rPr>
          <w:rFonts w:ascii="Segoe UI"/>
          <w:color w:val="1F3864" w:themeColor="accent1" w:themeShade="80"/>
          <w:sz w:val="16"/>
        </w:rPr>
      </w:pPr>
      <w:r w:rsidRPr="00B0741E">
        <w:rPr>
          <w:rFonts w:ascii="Segoe UI"/>
          <w:color w:val="1F3864" w:themeColor="accent1" w:themeShade="80"/>
          <w:sz w:val="16"/>
        </w:rPr>
        <w:t>I confirm that I have received and understood and will abide by the United Nations Code of Conduct for Evaluation. Signed</w:t>
      </w:r>
      <w:r w:rsidRPr="00B0741E">
        <w:rPr>
          <w:rFonts w:ascii="Segoe UI"/>
          <w:color w:val="1F3864" w:themeColor="accent1" w:themeShade="80"/>
          <w:spacing w:val="-2"/>
          <w:sz w:val="16"/>
        </w:rPr>
        <w:t xml:space="preserve"> </w:t>
      </w:r>
      <w:r w:rsidRPr="00B0741E">
        <w:rPr>
          <w:rFonts w:ascii="Segoe UI"/>
          <w:color w:val="1F3864" w:themeColor="accent1" w:themeShade="80"/>
          <w:sz w:val="16"/>
        </w:rPr>
        <w:t>at</w:t>
      </w:r>
      <w:r w:rsidR="005C474E">
        <w:rPr>
          <w:rFonts w:ascii="Segoe UI"/>
          <w:color w:val="1F3864" w:themeColor="accent1" w:themeShade="80"/>
          <w:sz w:val="16"/>
        </w:rPr>
        <w:t xml:space="preserve"> Montevideo </w:t>
      </w:r>
      <w:r w:rsidRPr="00B0741E">
        <w:rPr>
          <w:rFonts w:ascii="Segoe UI"/>
          <w:color w:val="1F3864" w:themeColor="accent1" w:themeShade="80"/>
          <w:sz w:val="16"/>
        </w:rPr>
        <w:t>(Place)</w:t>
      </w:r>
      <w:r w:rsidRPr="00B0741E">
        <w:rPr>
          <w:rFonts w:ascii="Segoe UI"/>
          <w:color w:val="1F3864" w:themeColor="accent1" w:themeShade="80"/>
          <w:spacing w:val="-2"/>
          <w:sz w:val="16"/>
        </w:rPr>
        <w:t xml:space="preserve"> </w:t>
      </w:r>
      <w:r w:rsidRPr="00B0741E">
        <w:rPr>
          <w:rFonts w:ascii="Segoe UI"/>
          <w:color w:val="1F3864" w:themeColor="accent1" w:themeShade="80"/>
          <w:sz w:val="16"/>
        </w:rPr>
        <w:t>on</w:t>
      </w:r>
      <w:r w:rsidR="0074481A">
        <w:rPr>
          <w:rFonts w:ascii="Segoe UI"/>
          <w:color w:val="1F3864" w:themeColor="accent1" w:themeShade="80"/>
          <w:sz w:val="16"/>
        </w:rPr>
        <w:t xml:space="preserve"> 17</w:t>
      </w:r>
      <w:r w:rsidR="0074481A" w:rsidRPr="0074481A">
        <w:rPr>
          <w:rFonts w:ascii="Segoe UI"/>
          <w:color w:val="1F3864" w:themeColor="accent1" w:themeShade="80"/>
          <w:sz w:val="16"/>
          <w:vertAlign w:val="superscript"/>
        </w:rPr>
        <w:t>th</w:t>
      </w:r>
      <w:r w:rsidR="0074481A">
        <w:rPr>
          <w:rFonts w:ascii="Segoe UI"/>
          <w:color w:val="1F3864" w:themeColor="accent1" w:themeShade="80"/>
          <w:sz w:val="16"/>
        </w:rPr>
        <w:t xml:space="preserve"> December 2021 </w:t>
      </w:r>
      <w:r w:rsidRPr="00B0741E">
        <w:rPr>
          <w:rFonts w:ascii="Segoe UI"/>
          <w:color w:val="1F3864" w:themeColor="accent1" w:themeShade="80"/>
          <w:sz w:val="16"/>
        </w:rPr>
        <w:t>(Date)</w:t>
      </w:r>
      <w:r w:rsidR="0074481A" w:rsidRPr="0074481A">
        <w:rPr>
          <w:rFonts w:ascii="Segoe UI"/>
          <w:noProof/>
          <w:color w:val="1F3864" w:themeColor="accent1" w:themeShade="80"/>
          <w:sz w:val="16"/>
          <w:u w:val="single"/>
        </w:rPr>
        <w:t xml:space="preserve"> </w:t>
      </w:r>
      <w:r w:rsidR="0074481A">
        <w:rPr>
          <w:rFonts w:ascii="Segoe UI"/>
          <w:noProof/>
          <w:color w:val="1F3864" w:themeColor="accent1" w:themeShade="80"/>
          <w:sz w:val="16"/>
          <w:u w:val="single"/>
        </w:rPr>
        <w:drawing>
          <wp:inline distT="0" distB="0" distL="0" distR="0" wp14:anchorId="0582046B" wp14:editId="36573C7B">
            <wp:extent cx="962025" cy="508497"/>
            <wp:effectExtent l="0" t="0" r="0" b="635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0959" cy="529076"/>
                    </a:xfrm>
                    <a:prstGeom prst="rect">
                      <a:avLst/>
                    </a:prstGeom>
                  </pic:spPr>
                </pic:pic>
              </a:graphicData>
            </a:graphic>
          </wp:inline>
        </w:drawing>
      </w:r>
    </w:p>
    <w:p w14:paraId="26BEA456" w14:textId="0B444A76" w:rsidR="00504BBC" w:rsidRPr="00B0741E" w:rsidRDefault="00504BBC" w:rsidP="00504BBC">
      <w:pPr>
        <w:tabs>
          <w:tab w:val="left" w:pos="5640"/>
        </w:tabs>
        <w:spacing w:line="209" w:lineRule="exact"/>
        <w:ind w:left="270"/>
        <w:rPr>
          <w:rFonts w:ascii="Segoe UI"/>
          <w:color w:val="1F3864" w:themeColor="accent1" w:themeShade="80"/>
          <w:sz w:val="16"/>
        </w:rPr>
      </w:pPr>
      <w:r w:rsidRPr="00B0741E">
        <w:rPr>
          <w:rFonts w:ascii="Segoe UI"/>
          <w:color w:val="1F3864" w:themeColor="accent1" w:themeShade="80"/>
          <w:sz w:val="16"/>
        </w:rPr>
        <w:t xml:space="preserve">Signature: </w:t>
      </w:r>
      <w:r w:rsidRPr="00B0741E">
        <w:rPr>
          <w:rFonts w:ascii="Segoe UI"/>
          <w:color w:val="1F3864" w:themeColor="accent1" w:themeShade="80"/>
          <w:sz w:val="16"/>
          <w:u w:val="single"/>
        </w:rPr>
        <w:t xml:space="preserve"> </w:t>
      </w:r>
      <w:r w:rsidR="0074481A">
        <w:rPr>
          <w:rFonts w:ascii="Segoe UI"/>
          <w:color w:val="1F3864" w:themeColor="accent1" w:themeShade="80"/>
          <w:sz w:val="16"/>
          <w:u w:val="single"/>
        </w:rPr>
        <w:t xml:space="preserve"> </w:t>
      </w:r>
      <w:r w:rsidRPr="00B0741E">
        <w:rPr>
          <w:rFonts w:ascii="Segoe UI"/>
          <w:color w:val="1F3864" w:themeColor="accent1" w:themeShade="80"/>
          <w:sz w:val="16"/>
          <w:u w:val="single"/>
        </w:rPr>
        <w:tab/>
      </w:r>
    </w:p>
    <w:p w14:paraId="537546C0" w14:textId="55280353" w:rsidR="005407BC" w:rsidRDefault="005407BC" w:rsidP="005407BC"/>
    <w:sectPr w:rsidR="005407BC" w:rsidSect="005407BC">
      <w:pgSz w:w="12240" w:h="15840" w:code="1"/>
      <w:pgMar w:top="1440" w:right="1080" w:bottom="1440" w:left="1080" w:header="0" w:footer="93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9FED0" w14:textId="77777777" w:rsidR="006D7FD6" w:rsidRDefault="006D7FD6" w:rsidP="000A7678">
      <w:pPr>
        <w:spacing w:after="0" w:line="240" w:lineRule="auto"/>
      </w:pPr>
      <w:r>
        <w:separator/>
      </w:r>
    </w:p>
  </w:endnote>
  <w:endnote w:type="continuationSeparator" w:id="0">
    <w:p w14:paraId="2AAE20CB" w14:textId="77777777" w:rsidR="006D7FD6" w:rsidRDefault="006D7FD6" w:rsidP="000A7678">
      <w:pPr>
        <w:spacing w:after="0" w:line="240" w:lineRule="auto"/>
      </w:pPr>
      <w:r>
        <w:continuationSeparator/>
      </w:r>
    </w:p>
  </w:endnote>
  <w:endnote w:type="continuationNotice" w:id="1">
    <w:p w14:paraId="5664FDAE" w14:textId="77777777" w:rsidR="006D7FD6" w:rsidRDefault="006D7F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panose1 w:val="020B0502050000020003"/>
    <w:charset w:val="00"/>
    <w:family w:val="swiss"/>
    <w:pitch w:val="variable"/>
    <w:sig w:usb0="800000BF" w:usb1="4000005B" w:usb2="0000000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068E" w14:textId="6AE2D644" w:rsidR="00A57DC5" w:rsidRDefault="00A57DC5">
    <w:pPr>
      <w:pStyle w:val="Footer"/>
    </w:pPr>
    <w:r>
      <w:t>A&amp;L PIMS 5665</w:t>
    </w:r>
    <w:r>
      <w:ptab w:relativeTo="margin" w:alignment="center" w:leader="none"/>
    </w:r>
    <w:r w:rsidR="009A460E">
      <w:t>Terminal Evaluation Report</w:t>
    </w:r>
    <w:r>
      <w:ptab w:relativeTo="margin" w:alignment="right" w:leader="none"/>
    </w:r>
    <w:r w:rsidR="009A460E">
      <w:fldChar w:fldCharType="begin"/>
    </w:r>
    <w:r w:rsidR="009A460E">
      <w:instrText xml:space="preserve"> PAGE   \* MERGEFORMAT </w:instrText>
    </w:r>
    <w:r w:rsidR="009A460E">
      <w:fldChar w:fldCharType="separate"/>
    </w:r>
    <w:r w:rsidR="009A460E">
      <w:rPr>
        <w:noProof/>
      </w:rPr>
      <w:t>1</w:t>
    </w:r>
    <w:r w:rsidR="009A460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1DA5" w14:textId="6F46ACB8" w:rsidR="00992F27" w:rsidRDefault="009A460E">
    <w:pPr>
      <w:pStyle w:val="Footer"/>
    </w:pPr>
    <w:r>
      <w:t>A&amp;L PIMS 5665</w:t>
    </w:r>
    <w:r>
      <w:ptab w:relativeTo="margin" w:alignment="center" w:leader="none"/>
    </w:r>
    <w:r>
      <w:t>Terminal Evaluation Report</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9C0E8" w14:textId="77777777" w:rsidR="006D7FD6" w:rsidRDefault="006D7FD6" w:rsidP="000A7678">
      <w:pPr>
        <w:spacing w:after="0" w:line="240" w:lineRule="auto"/>
      </w:pPr>
      <w:r>
        <w:separator/>
      </w:r>
    </w:p>
  </w:footnote>
  <w:footnote w:type="continuationSeparator" w:id="0">
    <w:p w14:paraId="5EEF26C3" w14:textId="77777777" w:rsidR="006D7FD6" w:rsidRDefault="006D7FD6" w:rsidP="000A7678">
      <w:pPr>
        <w:spacing w:after="0" w:line="240" w:lineRule="auto"/>
      </w:pPr>
      <w:r>
        <w:continuationSeparator/>
      </w:r>
    </w:p>
  </w:footnote>
  <w:footnote w:type="continuationNotice" w:id="1">
    <w:p w14:paraId="2BCE7ACC" w14:textId="77777777" w:rsidR="006D7FD6" w:rsidRDefault="006D7FD6">
      <w:pPr>
        <w:spacing w:after="0" w:line="240" w:lineRule="auto"/>
      </w:pPr>
    </w:p>
  </w:footnote>
  <w:footnote w:id="2">
    <w:p w14:paraId="09247F95" w14:textId="1B8291A1" w:rsidR="003744D9" w:rsidRDefault="003744D9" w:rsidP="002E34E8">
      <w:pPr>
        <w:pStyle w:val="FootnoteText"/>
        <w:jc w:val="both"/>
      </w:pPr>
      <w:r>
        <w:rPr>
          <w:rStyle w:val="FootnoteReference"/>
        </w:rPr>
        <w:footnoteRef/>
      </w:r>
      <w:r>
        <w:t xml:space="preserve"> </w:t>
      </w:r>
      <w:r w:rsidRPr="00D828B8">
        <w:t xml:space="preserve">Financial </w:t>
      </w:r>
      <w:r>
        <w:t xml:space="preserve">analysis </w:t>
      </w:r>
      <w:r w:rsidR="004A3695">
        <w:t xml:space="preserve">includes </w:t>
      </w:r>
      <w:r>
        <w:t>data available as of</w:t>
      </w:r>
      <w:r w:rsidR="00173D86">
        <w:t xml:space="preserve"> December 2021. </w:t>
      </w:r>
      <w:r>
        <w:t xml:space="preserve"> </w:t>
      </w:r>
    </w:p>
  </w:footnote>
  <w:footnote w:id="3">
    <w:p w14:paraId="63B73505" w14:textId="77777777" w:rsidR="00C166F3" w:rsidRPr="00F205C7" w:rsidRDefault="00C166F3" w:rsidP="00C166F3">
      <w:pPr>
        <w:pStyle w:val="FootnoteText"/>
        <w:jc w:val="both"/>
        <w:rPr>
          <w:sz w:val="18"/>
          <w:szCs w:val="18"/>
        </w:rPr>
      </w:pPr>
      <w:r>
        <w:rPr>
          <w:rStyle w:val="FootnoteReference"/>
        </w:rPr>
        <w:footnoteRef/>
      </w:r>
      <w:r>
        <w:t xml:space="preserve"> </w:t>
      </w:r>
      <w:r w:rsidRPr="00F205C7">
        <w:rPr>
          <w:sz w:val="18"/>
          <w:szCs w:val="18"/>
        </w:rPr>
        <w:t>United Nations Development Programme, 2020. UNDP-GEF. Guidance for Conducting Terminal Evaluations of UNDP-Supported GEF-Financed Projects.</w:t>
      </w:r>
    </w:p>
  </w:footnote>
  <w:footnote w:id="4">
    <w:p w14:paraId="3C596DC2" w14:textId="5E2F4B84" w:rsidR="00A12835" w:rsidRPr="00AD6866" w:rsidRDefault="00A12835">
      <w:pPr>
        <w:pStyle w:val="FootnoteText"/>
        <w:rPr>
          <w:sz w:val="18"/>
          <w:szCs w:val="18"/>
        </w:rPr>
      </w:pPr>
      <w:r w:rsidRPr="00AD6866">
        <w:rPr>
          <w:rStyle w:val="FootnoteReference"/>
          <w:sz w:val="18"/>
          <w:szCs w:val="18"/>
        </w:rPr>
        <w:footnoteRef/>
      </w:r>
      <w:r w:rsidRPr="00AD6866">
        <w:rPr>
          <w:sz w:val="18"/>
          <w:szCs w:val="18"/>
        </w:rPr>
        <w:t xml:space="preserve"> </w:t>
      </w:r>
      <w:r w:rsidR="00AD6866" w:rsidRPr="00AD6866">
        <w:rPr>
          <w:sz w:val="18"/>
          <w:szCs w:val="18"/>
        </w:rPr>
        <w:t xml:space="preserve">Available at: </w:t>
      </w:r>
      <w:hyperlink r:id="rId1" w:history="1">
        <w:r w:rsidR="00AD6866" w:rsidRPr="00AD6866">
          <w:rPr>
            <w:rStyle w:val="Hyperlink"/>
            <w:rFonts w:ascii="Segoe UI" w:hAnsi="Segoe UI" w:cs="Segoe UI"/>
            <w:sz w:val="18"/>
            <w:szCs w:val="18"/>
          </w:rPr>
          <w:t>http://www.unevaluation.org/document/detail/100</w:t>
        </w:r>
      </w:hyperlink>
    </w:p>
  </w:footnote>
  <w:footnote w:id="5">
    <w:p w14:paraId="1EE35DCF" w14:textId="42BFDCF6" w:rsidR="00660679" w:rsidRDefault="00660679">
      <w:pPr>
        <w:pStyle w:val="FootnoteText"/>
      </w:pPr>
      <w:r>
        <w:rPr>
          <w:rStyle w:val="FootnoteReference"/>
        </w:rPr>
        <w:footnoteRef/>
      </w:r>
      <w:r>
        <w:t xml:space="preserve"> </w:t>
      </w:r>
      <w:r w:rsidRPr="00D828B8">
        <w:t xml:space="preserve">Financial </w:t>
      </w:r>
      <w:r>
        <w:t xml:space="preserve">analysis </w:t>
      </w:r>
      <w:r w:rsidR="005B1FAD">
        <w:t xml:space="preserve">includes </w:t>
      </w:r>
      <w:r>
        <w:t xml:space="preserve"> data available as of </w:t>
      </w:r>
      <w:r w:rsidR="006E5D1D">
        <w:t xml:space="preserve">December </w:t>
      </w:r>
      <w:r>
        <w:t xml:space="preserve"> 2021.</w:t>
      </w:r>
    </w:p>
  </w:footnote>
  <w:footnote w:id="6">
    <w:p w14:paraId="119E0932" w14:textId="67BEEB02" w:rsidR="001E6266" w:rsidRDefault="001E6266">
      <w:pPr>
        <w:pStyle w:val="FootnoteText"/>
      </w:pPr>
      <w:r>
        <w:rPr>
          <w:rStyle w:val="FootnoteReference"/>
        </w:rPr>
        <w:footnoteRef/>
      </w:r>
      <w:r>
        <w:t xml:space="preserve"> Budget in this report is based on the CEO endorsement request Part I. B</w:t>
      </w:r>
    </w:p>
  </w:footnote>
  <w:footnote w:id="7">
    <w:p w14:paraId="53D6E40A" w14:textId="77777777" w:rsidR="00166826" w:rsidRPr="006F640A" w:rsidRDefault="00166826" w:rsidP="00166826">
      <w:pPr>
        <w:pStyle w:val="FootnoteText"/>
      </w:pPr>
      <w:r>
        <w:rPr>
          <w:rStyle w:val="FootnoteReference"/>
        </w:rPr>
        <w:footnoteRef/>
      </w:r>
      <w:r>
        <w:t xml:space="preserve">  </w:t>
      </w:r>
      <w:r w:rsidRPr="006F640A">
        <w:rPr>
          <w:rFonts w:ascii="Segoe UI" w:eastAsia="Times New Roman" w:hAnsi="Segoe UI" w:cstheme="minorHAnsi"/>
          <w:color w:val="000000"/>
          <w:lang w:bidi="en-US"/>
        </w:rPr>
        <w:t>Rating on UNDP Implementation/oversight; Implementing Partner Execution; and execution</w:t>
      </w:r>
      <w:r>
        <w:rPr>
          <w:rFonts w:ascii="Segoe UI" w:eastAsia="Times New Roman" w:hAnsi="Segoe UI" w:cstheme="minorHAnsi"/>
          <w:color w:val="000000"/>
          <w:lang w:bidi="en-US"/>
        </w:rPr>
        <w:t>. T</w:t>
      </w:r>
      <w:r w:rsidRPr="006F640A">
        <w:rPr>
          <w:rFonts w:ascii="Segoe UI" w:eastAsia="Times New Roman" w:hAnsi="Segoe UI" w:cstheme="minorHAnsi"/>
          <w:color w:val="000000"/>
          <w:lang w:bidi="en-US"/>
        </w:rPr>
        <w:t>he Implementation/Oversight and Execution Ratings Scale</w:t>
      </w:r>
      <w:r>
        <w:rPr>
          <w:rFonts w:ascii="Segoe UI" w:eastAsia="Times New Roman" w:hAnsi="Segoe UI" w:cstheme="minorHAnsi"/>
          <w:color w:val="000000"/>
          <w:lang w:bidi="en-US"/>
        </w:rPr>
        <w:t xml:space="preserve"> required</w:t>
      </w:r>
    </w:p>
  </w:footnote>
  <w:footnote w:id="8">
    <w:p w14:paraId="75F73C61" w14:textId="77777777" w:rsidR="00166826" w:rsidRDefault="00166826" w:rsidP="00166826">
      <w:pPr>
        <w:pStyle w:val="FootnoteText"/>
      </w:pPr>
      <w:r>
        <w:rPr>
          <w:rStyle w:val="FootnoteReference"/>
        </w:rPr>
        <w:footnoteRef/>
      </w:r>
      <w:r>
        <w:t xml:space="preserve"> </w:t>
      </w:r>
      <w:r w:rsidRPr="00E66862">
        <w:t>Ranking Required at Entry, Implementation, and Overall Quality.  M&amp;E Ratings Scale Table required</w:t>
      </w:r>
    </w:p>
  </w:footnote>
  <w:footnote w:id="9">
    <w:p w14:paraId="28D452E5" w14:textId="77777777" w:rsidR="00166826" w:rsidRDefault="00166826" w:rsidP="00166826">
      <w:pPr>
        <w:pStyle w:val="FootnoteText"/>
      </w:pPr>
      <w:r>
        <w:rPr>
          <w:rStyle w:val="FootnoteReference"/>
        </w:rPr>
        <w:footnoteRef/>
      </w:r>
      <w:r>
        <w:t xml:space="preserve"> Global Environment Facility Monitoring and Evaluation Policy complete citation 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3EF8"/>
    <w:multiLevelType w:val="hybridMultilevel"/>
    <w:tmpl w:val="D55C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94623"/>
    <w:multiLevelType w:val="hybridMultilevel"/>
    <w:tmpl w:val="C59A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33D99"/>
    <w:multiLevelType w:val="hybridMultilevel"/>
    <w:tmpl w:val="A0C67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471FAD"/>
    <w:multiLevelType w:val="hybridMultilevel"/>
    <w:tmpl w:val="D43C7840"/>
    <w:styleLink w:val="ImportierterStil11"/>
    <w:lvl w:ilvl="0" w:tplc="89D404B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3BC41BF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EBB4190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50928A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35D0C39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9BD6F1F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20BE8D4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E76CAB3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D8AE196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2DA0A8B"/>
    <w:multiLevelType w:val="hybridMultilevel"/>
    <w:tmpl w:val="6602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B5D19"/>
    <w:multiLevelType w:val="hybridMultilevel"/>
    <w:tmpl w:val="A8263AF8"/>
    <w:lvl w:ilvl="0" w:tplc="CCA2EC98">
      <w:start w:val="1"/>
      <w:numFmt w:val="bullet"/>
      <w:lvlText w:val=""/>
      <w:lvlJc w:val="left"/>
      <w:pPr>
        <w:tabs>
          <w:tab w:val="num" w:pos="720"/>
        </w:tabs>
        <w:ind w:left="720" w:hanging="360"/>
      </w:pPr>
      <w:rPr>
        <w:rFonts w:ascii="Symbol" w:hAnsi="Symbol" w:hint="default"/>
      </w:rPr>
    </w:lvl>
    <w:lvl w:ilvl="1" w:tplc="34CAA8B4" w:tentative="1">
      <w:start w:val="1"/>
      <w:numFmt w:val="bullet"/>
      <w:lvlText w:val=""/>
      <w:lvlJc w:val="left"/>
      <w:pPr>
        <w:tabs>
          <w:tab w:val="num" w:pos="1440"/>
        </w:tabs>
        <w:ind w:left="1440" w:hanging="360"/>
      </w:pPr>
      <w:rPr>
        <w:rFonts w:ascii="Symbol" w:hAnsi="Symbol" w:hint="default"/>
      </w:rPr>
    </w:lvl>
    <w:lvl w:ilvl="2" w:tplc="8ACE80A0" w:tentative="1">
      <w:start w:val="1"/>
      <w:numFmt w:val="bullet"/>
      <w:lvlText w:val=""/>
      <w:lvlJc w:val="left"/>
      <w:pPr>
        <w:tabs>
          <w:tab w:val="num" w:pos="2160"/>
        </w:tabs>
        <w:ind w:left="2160" w:hanging="360"/>
      </w:pPr>
      <w:rPr>
        <w:rFonts w:ascii="Symbol" w:hAnsi="Symbol" w:hint="default"/>
      </w:rPr>
    </w:lvl>
    <w:lvl w:ilvl="3" w:tplc="EED4ED24" w:tentative="1">
      <w:start w:val="1"/>
      <w:numFmt w:val="bullet"/>
      <w:lvlText w:val=""/>
      <w:lvlJc w:val="left"/>
      <w:pPr>
        <w:tabs>
          <w:tab w:val="num" w:pos="2880"/>
        </w:tabs>
        <w:ind w:left="2880" w:hanging="360"/>
      </w:pPr>
      <w:rPr>
        <w:rFonts w:ascii="Symbol" w:hAnsi="Symbol" w:hint="default"/>
      </w:rPr>
    </w:lvl>
    <w:lvl w:ilvl="4" w:tplc="048828A8" w:tentative="1">
      <w:start w:val="1"/>
      <w:numFmt w:val="bullet"/>
      <w:lvlText w:val=""/>
      <w:lvlJc w:val="left"/>
      <w:pPr>
        <w:tabs>
          <w:tab w:val="num" w:pos="3600"/>
        </w:tabs>
        <w:ind w:left="3600" w:hanging="360"/>
      </w:pPr>
      <w:rPr>
        <w:rFonts w:ascii="Symbol" w:hAnsi="Symbol" w:hint="default"/>
      </w:rPr>
    </w:lvl>
    <w:lvl w:ilvl="5" w:tplc="05A6ED5E" w:tentative="1">
      <w:start w:val="1"/>
      <w:numFmt w:val="bullet"/>
      <w:lvlText w:val=""/>
      <w:lvlJc w:val="left"/>
      <w:pPr>
        <w:tabs>
          <w:tab w:val="num" w:pos="4320"/>
        </w:tabs>
        <w:ind w:left="4320" w:hanging="360"/>
      </w:pPr>
      <w:rPr>
        <w:rFonts w:ascii="Symbol" w:hAnsi="Symbol" w:hint="default"/>
      </w:rPr>
    </w:lvl>
    <w:lvl w:ilvl="6" w:tplc="F830F272" w:tentative="1">
      <w:start w:val="1"/>
      <w:numFmt w:val="bullet"/>
      <w:lvlText w:val=""/>
      <w:lvlJc w:val="left"/>
      <w:pPr>
        <w:tabs>
          <w:tab w:val="num" w:pos="5040"/>
        </w:tabs>
        <w:ind w:left="5040" w:hanging="360"/>
      </w:pPr>
      <w:rPr>
        <w:rFonts w:ascii="Symbol" w:hAnsi="Symbol" w:hint="default"/>
      </w:rPr>
    </w:lvl>
    <w:lvl w:ilvl="7" w:tplc="C346D618" w:tentative="1">
      <w:start w:val="1"/>
      <w:numFmt w:val="bullet"/>
      <w:lvlText w:val=""/>
      <w:lvlJc w:val="left"/>
      <w:pPr>
        <w:tabs>
          <w:tab w:val="num" w:pos="5760"/>
        </w:tabs>
        <w:ind w:left="5760" w:hanging="360"/>
      </w:pPr>
      <w:rPr>
        <w:rFonts w:ascii="Symbol" w:hAnsi="Symbol" w:hint="default"/>
      </w:rPr>
    </w:lvl>
    <w:lvl w:ilvl="8" w:tplc="116810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41F4C21"/>
    <w:multiLevelType w:val="multilevel"/>
    <w:tmpl w:val="97B8DF9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646B42"/>
    <w:multiLevelType w:val="hybridMultilevel"/>
    <w:tmpl w:val="958821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EB098A"/>
    <w:multiLevelType w:val="hybridMultilevel"/>
    <w:tmpl w:val="5EE4AEB0"/>
    <w:lvl w:ilvl="0" w:tplc="0EA88492">
      <w:numFmt w:val="bullet"/>
      <w:lvlText w:val=""/>
      <w:lvlJc w:val="left"/>
      <w:pPr>
        <w:ind w:left="1220" w:hanging="360"/>
      </w:pPr>
      <w:rPr>
        <w:rFonts w:ascii="Symbol" w:eastAsia="Symbol" w:hAnsi="Symbol" w:cs="Symbol" w:hint="default"/>
        <w:w w:val="100"/>
        <w:sz w:val="21"/>
        <w:szCs w:val="21"/>
        <w:lang w:val="en-US" w:eastAsia="en-US" w:bidi="ar-SA"/>
      </w:rPr>
    </w:lvl>
    <w:lvl w:ilvl="1" w:tplc="34D43AA0">
      <w:numFmt w:val="bullet"/>
      <w:lvlText w:val="•"/>
      <w:lvlJc w:val="left"/>
      <w:pPr>
        <w:ind w:left="2228" w:hanging="360"/>
      </w:pPr>
      <w:rPr>
        <w:rFonts w:hint="default"/>
        <w:lang w:val="en-US" w:eastAsia="en-US" w:bidi="ar-SA"/>
      </w:rPr>
    </w:lvl>
    <w:lvl w:ilvl="2" w:tplc="99EED036">
      <w:numFmt w:val="bullet"/>
      <w:lvlText w:val="•"/>
      <w:lvlJc w:val="left"/>
      <w:pPr>
        <w:ind w:left="3236" w:hanging="360"/>
      </w:pPr>
      <w:rPr>
        <w:rFonts w:hint="default"/>
        <w:lang w:val="en-US" w:eastAsia="en-US" w:bidi="ar-SA"/>
      </w:rPr>
    </w:lvl>
    <w:lvl w:ilvl="3" w:tplc="67D24BD4">
      <w:numFmt w:val="bullet"/>
      <w:lvlText w:val="•"/>
      <w:lvlJc w:val="left"/>
      <w:pPr>
        <w:ind w:left="4244" w:hanging="360"/>
      </w:pPr>
      <w:rPr>
        <w:rFonts w:hint="default"/>
        <w:lang w:val="en-US" w:eastAsia="en-US" w:bidi="ar-SA"/>
      </w:rPr>
    </w:lvl>
    <w:lvl w:ilvl="4" w:tplc="8B5A9C04">
      <w:numFmt w:val="bullet"/>
      <w:lvlText w:val="•"/>
      <w:lvlJc w:val="left"/>
      <w:pPr>
        <w:ind w:left="5252" w:hanging="360"/>
      </w:pPr>
      <w:rPr>
        <w:rFonts w:hint="default"/>
        <w:lang w:val="en-US" w:eastAsia="en-US" w:bidi="ar-SA"/>
      </w:rPr>
    </w:lvl>
    <w:lvl w:ilvl="5" w:tplc="CDF2663E">
      <w:numFmt w:val="bullet"/>
      <w:lvlText w:val="•"/>
      <w:lvlJc w:val="left"/>
      <w:pPr>
        <w:ind w:left="6260" w:hanging="360"/>
      </w:pPr>
      <w:rPr>
        <w:rFonts w:hint="default"/>
        <w:lang w:val="en-US" w:eastAsia="en-US" w:bidi="ar-SA"/>
      </w:rPr>
    </w:lvl>
    <w:lvl w:ilvl="6" w:tplc="E8B277FE">
      <w:numFmt w:val="bullet"/>
      <w:lvlText w:val="•"/>
      <w:lvlJc w:val="left"/>
      <w:pPr>
        <w:ind w:left="7268" w:hanging="360"/>
      </w:pPr>
      <w:rPr>
        <w:rFonts w:hint="default"/>
        <w:lang w:val="en-US" w:eastAsia="en-US" w:bidi="ar-SA"/>
      </w:rPr>
    </w:lvl>
    <w:lvl w:ilvl="7" w:tplc="D7B836EE">
      <w:numFmt w:val="bullet"/>
      <w:lvlText w:val="•"/>
      <w:lvlJc w:val="left"/>
      <w:pPr>
        <w:ind w:left="8276" w:hanging="360"/>
      </w:pPr>
      <w:rPr>
        <w:rFonts w:hint="default"/>
        <w:lang w:val="en-US" w:eastAsia="en-US" w:bidi="ar-SA"/>
      </w:rPr>
    </w:lvl>
    <w:lvl w:ilvl="8" w:tplc="CECA9766">
      <w:numFmt w:val="bullet"/>
      <w:lvlText w:val="•"/>
      <w:lvlJc w:val="left"/>
      <w:pPr>
        <w:ind w:left="9284" w:hanging="360"/>
      </w:pPr>
      <w:rPr>
        <w:rFonts w:hint="default"/>
        <w:lang w:val="en-US" w:eastAsia="en-US" w:bidi="ar-SA"/>
      </w:rPr>
    </w:lvl>
  </w:abstractNum>
  <w:abstractNum w:abstractNumId="9" w15:restartNumberingAfterBreak="0">
    <w:nsid w:val="07DB7AF5"/>
    <w:multiLevelType w:val="hybridMultilevel"/>
    <w:tmpl w:val="CF463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9F07D78"/>
    <w:multiLevelType w:val="multilevel"/>
    <w:tmpl w:val="9022D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F23D8B"/>
    <w:multiLevelType w:val="hybridMultilevel"/>
    <w:tmpl w:val="6D7C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F4F8D"/>
    <w:multiLevelType w:val="hybridMultilevel"/>
    <w:tmpl w:val="58344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15CEF"/>
    <w:multiLevelType w:val="hybridMultilevel"/>
    <w:tmpl w:val="04B6152C"/>
    <w:lvl w:ilvl="0" w:tplc="C220C1B0">
      <w:numFmt w:val="bullet"/>
      <w:lvlText w:val=""/>
      <w:lvlJc w:val="left"/>
      <w:pPr>
        <w:ind w:left="1220" w:hanging="360"/>
      </w:pPr>
      <w:rPr>
        <w:rFonts w:ascii="Symbol" w:eastAsia="Symbol" w:hAnsi="Symbol" w:cs="Symbol" w:hint="default"/>
        <w:w w:val="99"/>
        <w:sz w:val="20"/>
        <w:szCs w:val="20"/>
        <w:lang w:val="en-US" w:eastAsia="en-US" w:bidi="ar-SA"/>
      </w:rPr>
    </w:lvl>
    <w:lvl w:ilvl="1" w:tplc="EE76B18A">
      <w:numFmt w:val="bullet"/>
      <w:lvlText w:val="•"/>
      <w:lvlJc w:val="left"/>
      <w:pPr>
        <w:ind w:left="2228" w:hanging="360"/>
      </w:pPr>
      <w:rPr>
        <w:rFonts w:hint="default"/>
        <w:lang w:val="en-US" w:eastAsia="en-US" w:bidi="ar-SA"/>
      </w:rPr>
    </w:lvl>
    <w:lvl w:ilvl="2" w:tplc="9A541E1E">
      <w:numFmt w:val="bullet"/>
      <w:lvlText w:val="•"/>
      <w:lvlJc w:val="left"/>
      <w:pPr>
        <w:ind w:left="3236" w:hanging="360"/>
      </w:pPr>
      <w:rPr>
        <w:rFonts w:hint="default"/>
        <w:lang w:val="en-US" w:eastAsia="en-US" w:bidi="ar-SA"/>
      </w:rPr>
    </w:lvl>
    <w:lvl w:ilvl="3" w:tplc="CAFC9C36">
      <w:numFmt w:val="bullet"/>
      <w:lvlText w:val="•"/>
      <w:lvlJc w:val="left"/>
      <w:pPr>
        <w:ind w:left="4244" w:hanging="360"/>
      </w:pPr>
      <w:rPr>
        <w:rFonts w:hint="default"/>
        <w:lang w:val="en-US" w:eastAsia="en-US" w:bidi="ar-SA"/>
      </w:rPr>
    </w:lvl>
    <w:lvl w:ilvl="4" w:tplc="4DE49116">
      <w:numFmt w:val="bullet"/>
      <w:lvlText w:val="•"/>
      <w:lvlJc w:val="left"/>
      <w:pPr>
        <w:ind w:left="5252" w:hanging="360"/>
      </w:pPr>
      <w:rPr>
        <w:rFonts w:hint="default"/>
        <w:lang w:val="en-US" w:eastAsia="en-US" w:bidi="ar-SA"/>
      </w:rPr>
    </w:lvl>
    <w:lvl w:ilvl="5" w:tplc="8EDE74F8">
      <w:numFmt w:val="bullet"/>
      <w:lvlText w:val="•"/>
      <w:lvlJc w:val="left"/>
      <w:pPr>
        <w:ind w:left="6260" w:hanging="360"/>
      </w:pPr>
      <w:rPr>
        <w:rFonts w:hint="default"/>
        <w:lang w:val="en-US" w:eastAsia="en-US" w:bidi="ar-SA"/>
      </w:rPr>
    </w:lvl>
    <w:lvl w:ilvl="6" w:tplc="C7D6EAEE">
      <w:numFmt w:val="bullet"/>
      <w:lvlText w:val="•"/>
      <w:lvlJc w:val="left"/>
      <w:pPr>
        <w:ind w:left="7268" w:hanging="360"/>
      </w:pPr>
      <w:rPr>
        <w:rFonts w:hint="default"/>
        <w:lang w:val="en-US" w:eastAsia="en-US" w:bidi="ar-SA"/>
      </w:rPr>
    </w:lvl>
    <w:lvl w:ilvl="7" w:tplc="3FAE695E">
      <w:numFmt w:val="bullet"/>
      <w:lvlText w:val="•"/>
      <w:lvlJc w:val="left"/>
      <w:pPr>
        <w:ind w:left="8276" w:hanging="360"/>
      </w:pPr>
      <w:rPr>
        <w:rFonts w:hint="default"/>
        <w:lang w:val="en-US" w:eastAsia="en-US" w:bidi="ar-SA"/>
      </w:rPr>
    </w:lvl>
    <w:lvl w:ilvl="8" w:tplc="C5BEB7B2">
      <w:numFmt w:val="bullet"/>
      <w:lvlText w:val="•"/>
      <w:lvlJc w:val="left"/>
      <w:pPr>
        <w:ind w:left="9284" w:hanging="360"/>
      </w:pPr>
      <w:rPr>
        <w:rFonts w:hint="default"/>
        <w:lang w:val="en-US" w:eastAsia="en-US" w:bidi="ar-SA"/>
      </w:rPr>
    </w:lvl>
  </w:abstractNum>
  <w:abstractNum w:abstractNumId="14" w15:restartNumberingAfterBreak="0">
    <w:nsid w:val="10007A2C"/>
    <w:multiLevelType w:val="hybridMultilevel"/>
    <w:tmpl w:val="76C6ED42"/>
    <w:styleLink w:val="ImportierterStil4"/>
    <w:lvl w:ilvl="0" w:tplc="A3F8D38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2B3E2DC6">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4C3645B0">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C9F65E4E">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56AEAF3E">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83548CE2">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3F1A421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9378C69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26D4F2C2">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31408A3"/>
    <w:multiLevelType w:val="hybridMultilevel"/>
    <w:tmpl w:val="EDF0D01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 w15:restartNumberingAfterBreak="0">
    <w:nsid w:val="13BA0C21"/>
    <w:multiLevelType w:val="hybridMultilevel"/>
    <w:tmpl w:val="D63A1B6A"/>
    <w:lvl w:ilvl="0" w:tplc="FA6490DC">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2F7498"/>
    <w:multiLevelType w:val="hybridMultilevel"/>
    <w:tmpl w:val="F4BC714C"/>
    <w:lvl w:ilvl="0" w:tplc="FA6490DC">
      <w:start w:val="1"/>
      <w:numFmt w:val="bullet"/>
      <w:lvlText w:val="•"/>
      <w:lvlJc w:val="left"/>
      <w:pPr>
        <w:tabs>
          <w:tab w:val="num" w:pos="720"/>
        </w:tabs>
        <w:ind w:left="720" w:hanging="360"/>
      </w:pPr>
      <w:rPr>
        <w:rFonts w:ascii="Arial" w:hAnsi="Arial" w:hint="default"/>
      </w:rPr>
    </w:lvl>
    <w:lvl w:ilvl="1" w:tplc="E4229962" w:tentative="1">
      <w:start w:val="1"/>
      <w:numFmt w:val="bullet"/>
      <w:lvlText w:val="•"/>
      <w:lvlJc w:val="left"/>
      <w:pPr>
        <w:tabs>
          <w:tab w:val="num" w:pos="1440"/>
        </w:tabs>
        <w:ind w:left="1440" w:hanging="360"/>
      </w:pPr>
      <w:rPr>
        <w:rFonts w:ascii="Arial" w:hAnsi="Arial" w:hint="default"/>
      </w:rPr>
    </w:lvl>
    <w:lvl w:ilvl="2" w:tplc="AEC4041E" w:tentative="1">
      <w:start w:val="1"/>
      <w:numFmt w:val="bullet"/>
      <w:lvlText w:val="•"/>
      <w:lvlJc w:val="left"/>
      <w:pPr>
        <w:tabs>
          <w:tab w:val="num" w:pos="2160"/>
        </w:tabs>
        <w:ind w:left="2160" w:hanging="360"/>
      </w:pPr>
      <w:rPr>
        <w:rFonts w:ascii="Arial" w:hAnsi="Arial" w:hint="default"/>
      </w:rPr>
    </w:lvl>
    <w:lvl w:ilvl="3" w:tplc="402C2376" w:tentative="1">
      <w:start w:val="1"/>
      <w:numFmt w:val="bullet"/>
      <w:lvlText w:val="•"/>
      <w:lvlJc w:val="left"/>
      <w:pPr>
        <w:tabs>
          <w:tab w:val="num" w:pos="2880"/>
        </w:tabs>
        <w:ind w:left="2880" w:hanging="360"/>
      </w:pPr>
      <w:rPr>
        <w:rFonts w:ascii="Arial" w:hAnsi="Arial" w:hint="default"/>
      </w:rPr>
    </w:lvl>
    <w:lvl w:ilvl="4" w:tplc="C8727A12" w:tentative="1">
      <w:start w:val="1"/>
      <w:numFmt w:val="bullet"/>
      <w:lvlText w:val="•"/>
      <w:lvlJc w:val="left"/>
      <w:pPr>
        <w:tabs>
          <w:tab w:val="num" w:pos="3600"/>
        </w:tabs>
        <w:ind w:left="3600" w:hanging="360"/>
      </w:pPr>
      <w:rPr>
        <w:rFonts w:ascii="Arial" w:hAnsi="Arial" w:hint="default"/>
      </w:rPr>
    </w:lvl>
    <w:lvl w:ilvl="5" w:tplc="6A2C9AFA" w:tentative="1">
      <w:start w:val="1"/>
      <w:numFmt w:val="bullet"/>
      <w:lvlText w:val="•"/>
      <w:lvlJc w:val="left"/>
      <w:pPr>
        <w:tabs>
          <w:tab w:val="num" w:pos="4320"/>
        </w:tabs>
        <w:ind w:left="4320" w:hanging="360"/>
      </w:pPr>
      <w:rPr>
        <w:rFonts w:ascii="Arial" w:hAnsi="Arial" w:hint="default"/>
      </w:rPr>
    </w:lvl>
    <w:lvl w:ilvl="6" w:tplc="DFF0B73C" w:tentative="1">
      <w:start w:val="1"/>
      <w:numFmt w:val="bullet"/>
      <w:lvlText w:val="•"/>
      <w:lvlJc w:val="left"/>
      <w:pPr>
        <w:tabs>
          <w:tab w:val="num" w:pos="5040"/>
        </w:tabs>
        <w:ind w:left="5040" w:hanging="360"/>
      </w:pPr>
      <w:rPr>
        <w:rFonts w:ascii="Arial" w:hAnsi="Arial" w:hint="default"/>
      </w:rPr>
    </w:lvl>
    <w:lvl w:ilvl="7" w:tplc="1F9AC390" w:tentative="1">
      <w:start w:val="1"/>
      <w:numFmt w:val="bullet"/>
      <w:lvlText w:val="•"/>
      <w:lvlJc w:val="left"/>
      <w:pPr>
        <w:tabs>
          <w:tab w:val="num" w:pos="5760"/>
        </w:tabs>
        <w:ind w:left="5760" w:hanging="360"/>
      </w:pPr>
      <w:rPr>
        <w:rFonts w:ascii="Arial" w:hAnsi="Arial" w:hint="default"/>
      </w:rPr>
    </w:lvl>
    <w:lvl w:ilvl="8" w:tplc="0EF678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74605BF"/>
    <w:multiLevelType w:val="hybridMultilevel"/>
    <w:tmpl w:val="1C6EEFFE"/>
    <w:styleLink w:val="ImportierterStil10"/>
    <w:lvl w:ilvl="0" w:tplc="71BCA65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E0B4FE2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A4F48F7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BB14834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8A58FD3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A3C0858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602CD23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059A250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051AF2B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17AF3CE8"/>
    <w:multiLevelType w:val="hybridMultilevel"/>
    <w:tmpl w:val="7CF05F16"/>
    <w:lvl w:ilvl="0" w:tplc="6D8AB886">
      <w:numFmt w:val="bullet"/>
      <w:lvlText w:val=""/>
      <w:lvlJc w:val="left"/>
      <w:pPr>
        <w:ind w:left="439" w:hanging="360"/>
      </w:pPr>
      <w:rPr>
        <w:rFonts w:ascii="Symbol" w:eastAsia="Symbol" w:hAnsi="Symbol" w:cs="Symbol" w:hint="default"/>
        <w:w w:val="100"/>
        <w:sz w:val="21"/>
        <w:szCs w:val="21"/>
        <w:lang w:val="en-US" w:eastAsia="en-US" w:bidi="en-US"/>
      </w:rPr>
    </w:lvl>
    <w:lvl w:ilvl="1" w:tplc="91D64DEC">
      <w:numFmt w:val="bullet"/>
      <w:lvlText w:val="•"/>
      <w:lvlJc w:val="left"/>
      <w:pPr>
        <w:ind w:left="1296" w:hanging="360"/>
      </w:pPr>
      <w:rPr>
        <w:rFonts w:hint="default"/>
        <w:lang w:val="en-US" w:eastAsia="en-US" w:bidi="en-US"/>
      </w:rPr>
    </w:lvl>
    <w:lvl w:ilvl="2" w:tplc="A692E0AC">
      <w:numFmt w:val="bullet"/>
      <w:lvlText w:val="•"/>
      <w:lvlJc w:val="left"/>
      <w:pPr>
        <w:ind w:left="2153" w:hanging="360"/>
      </w:pPr>
      <w:rPr>
        <w:rFonts w:hint="default"/>
        <w:lang w:val="en-US" w:eastAsia="en-US" w:bidi="en-US"/>
      </w:rPr>
    </w:lvl>
    <w:lvl w:ilvl="3" w:tplc="A20AC84E">
      <w:numFmt w:val="bullet"/>
      <w:lvlText w:val="•"/>
      <w:lvlJc w:val="left"/>
      <w:pPr>
        <w:ind w:left="3010" w:hanging="360"/>
      </w:pPr>
      <w:rPr>
        <w:rFonts w:hint="default"/>
        <w:lang w:val="en-US" w:eastAsia="en-US" w:bidi="en-US"/>
      </w:rPr>
    </w:lvl>
    <w:lvl w:ilvl="4" w:tplc="00E83C06">
      <w:numFmt w:val="bullet"/>
      <w:lvlText w:val="•"/>
      <w:lvlJc w:val="left"/>
      <w:pPr>
        <w:ind w:left="3867" w:hanging="360"/>
      </w:pPr>
      <w:rPr>
        <w:rFonts w:hint="default"/>
        <w:lang w:val="en-US" w:eastAsia="en-US" w:bidi="en-US"/>
      </w:rPr>
    </w:lvl>
    <w:lvl w:ilvl="5" w:tplc="4678FA52">
      <w:numFmt w:val="bullet"/>
      <w:lvlText w:val="•"/>
      <w:lvlJc w:val="left"/>
      <w:pPr>
        <w:ind w:left="4724" w:hanging="360"/>
      </w:pPr>
      <w:rPr>
        <w:rFonts w:hint="default"/>
        <w:lang w:val="en-US" w:eastAsia="en-US" w:bidi="en-US"/>
      </w:rPr>
    </w:lvl>
    <w:lvl w:ilvl="6" w:tplc="A9B079F8">
      <w:numFmt w:val="bullet"/>
      <w:lvlText w:val="•"/>
      <w:lvlJc w:val="left"/>
      <w:pPr>
        <w:ind w:left="5581" w:hanging="360"/>
      </w:pPr>
      <w:rPr>
        <w:rFonts w:hint="default"/>
        <w:lang w:val="en-US" w:eastAsia="en-US" w:bidi="en-US"/>
      </w:rPr>
    </w:lvl>
    <w:lvl w:ilvl="7" w:tplc="9ED25E16">
      <w:numFmt w:val="bullet"/>
      <w:lvlText w:val="•"/>
      <w:lvlJc w:val="left"/>
      <w:pPr>
        <w:ind w:left="6438" w:hanging="360"/>
      </w:pPr>
      <w:rPr>
        <w:rFonts w:hint="default"/>
        <w:lang w:val="en-US" w:eastAsia="en-US" w:bidi="en-US"/>
      </w:rPr>
    </w:lvl>
    <w:lvl w:ilvl="8" w:tplc="F8A6A078">
      <w:numFmt w:val="bullet"/>
      <w:lvlText w:val="•"/>
      <w:lvlJc w:val="left"/>
      <w:pPr>
        <w:ind w:left="7294" w:hanging="360"/>
      </w:pPr>
      <w:rPr>
        <w:rFonts w:hint="default"/>
        <w:lang w:val="en-US" w:eastAsia="en-US" w:bidi="en-US"/>
      </w:rPr>
    </w:lvl>
  </w:abstractNum>
  <w:abstractNum w:abstractNumId="20" w15:restartNumberingAfterBreak="0">
    <w:nsid w:val="1959122B"/>
    <w:multiLevelType w:val="multilevel"/>
    <w:tmpl w:val="2698EDA8"/>
    <w:lvl w:ilvl="0">
      <w:start w:val="4"/>
      <w:numFmt w:val="decimal"/>
      <w:lvlText w:val="%1."/>
      <w:lvlJc w:val="left"/>
      <w:pPr>
        <w:ind w:left="45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824" w:hanging="1800"/>
      </w:pPr>
      <w:rPr>
        <w:rFonts w:hint="default"/>
      </w:rPr>
    </w:lvl>
  </w:abstractNum>
  <w:abstractNum w:abstractNumId="21" w15:restartNumberingAfterBreak="0">
    <w:nsid w:val="1C982DB8"/>
    <w:multiLevelType w:val="hybridMultilevel"/>
    <w:tmpl w:val="41A4B02C"/>
    <w:lvl w:ilvl="0" w:tplc="3CF271D4">
      <w:start w:val="1"/>
      <w:numFmt w:val="decimal"/>
      <w:lvlText w:val="%1."/>
      <w:lvlJc w:val="left"/>
      <w:pPr>
        <w:ind w:left="630" w:hanging="361"/>
        <w:jc w:val="left"/>
      </w:pPr>
      <w:rPr>
        <w:rFonts w:ascii="Segoe UI" w:eastAsia="Segoe UI" w:hAnsi="Segoe UI" w:cs="Segoe UI" w:hint="default"/>
        <w:spacing w:val="-1"/>
        <w:w w:val="100"/>
        <w:sz w:val="16"/>
        <w:szCs w:val="16"/>
        <w:lang w:val="en-US" w:eastAsia="en-US" w:bidi="ar-SA"/>
      </w:rPr>
    </w:lvl>
    <w:lvl w:ilvl="1" w:tplc="44BEA5A8">
      <w:numFmt w:val="bullet"/>
      <w:lvlText w:val="•"/>
      <w:lvlJc w:val="left"/>
      <w:pPr>
        <w:ind w:left="1712" w:hanging="361"/>
      </w:pPr>
      <w:rPr>
        <w:rFonts w:hint="default"/>
        <w:lang w:val="en-US" w:eastAsia="en-US" w:bidi="ar-SA"/>
      </w:rPr>
    </w:lvl>
    <w:lvl w:ilvl="2" w:tplc="A230909E">
      <w:numFmt w:val="bullet"/>
      <w:lvlText w:val="•"/>
      <w:lvlJc w:val="left"/>
      <w:pPr>
        <w:ind w:left="2784" w:hanging="361"/>
      </w:pPr>
      <w:rPr>
        <w:rFonts w:hint="default"/>
        <w:lang w:val="en-US" w:eastAsia="en-US" w:bidi="ar-SA"/>
      </w:rPr>
    </w:lvl>
    <w:lvl w:ilvl="3" w:tplc="70144360">
      <w:numFmt w:val="bullet"/>
      <w:lvlText w:val="•"/>
      <w:lvlJc w:val="left"/>
      <w:pPr>
        <w:ind w:left="3856" w:hanging="361"/>
      </w:pPr>
      <w:rPr>
        <w:rFonts w:hint="default"/>
        <w:lang w:val="en-US" w:eastAsia="en-US" w:bidi="ar-SA"/>
      </w:rPr>
    </w:lvl>
    <w:lvl w:ilvl="4" w:tplc="50484D3A">
      <w:numFmt w:val="bullet"/>
      <w:lvlText w:val="•"/>
      <w:lvlJc w:val="left"/>
      <w:pPr>
        <w:ind w:left="4928" w:hanging="361"/>
      </w:pPr>
      <w:rPr>
        <w:rFonts w:hint="default"/>
        <w:lang w:val="en-US" w:eastAsia="en-US" w:bidi="ar-SA"/>
      </w:rPr>
    </w:lvl>
    <w:lvl w:ilvl="5" w:tplc="1B667D2E">
      <w:numFmt w:val="bullet"/>
      <w:lvlText w:val="•"/>
      <w:lvlJc w:val="left"/>
      <w:pPr>
        <w:ind w:left="6000" w:hanging="361"/>
      </w:pPr>
      <w:rPr>
        <w:rFonts w:hint="default"/>
        <w:lang w:val="en-US" w:eastAsia="en-US" w:bidi="ar-SA"/>
      </w:rPr>
    </w:lvl>
    <w:lvl w:ilvl="6" w:tplc="EFF059A2">
      <w:numFmt w:val="bullet"/>
      <w:lvlText w:val="•"/>
      <w:lvlJc w:val="left"/>
      <w:pPr>
        <w:ind w:left="7072" w:hanging="361"/>
      </w:pPr>
      <w:rPr>
        <w:rFonts w:hint="default"/>
        <w:lang w:val="en-US" w:eastAsia="en-US" w:bidi="ar-SA"/>
      </w:rPr>
    </w:lvl>
    <w:lvl w:ilvl="7" w:tplc="2E3AC7BE">
      <w:numFmt w:val="bullet"/>
      <w:lvlText w:val="•"/>
      <w:lvlJc w:val="left"/>
      <w:pPr>
        <w:ind w:left="8144" w:hanging="361"/>
      </w:pPr>
      <w:rPr>
        <w:rFonts w:hint="default"/>
        <w:lang w:val="en-US" w:eastAsia="en-US" w:bidi="ar-SA"/>
      </w:rPr>
    </w:lvl>
    <w:lvl w:ilvl="8" w:tplc="410CD4B0">
      <w:numFmt w:val="bullet"/>
      <w:lvlText w:val="•"/>
      <w:lvlJc w:val="left"/>
      <w:pPr>
        <w:ind w:left="9216" w:hanging="361"/>
      </w:pPr>
      <w:rPr>
        <w:rFonts w:hint="default"/>
        <w:lang w:val="en-US" w:eastAsia="en-US" w:bidi="ar-SA"/>
      </w:rPr>
    </w:lvl>
  </w:abstractNum>
  <w:abstractNum w:abstractNumId="22" w15:restartNumberingAfterBreak="0">
    <w:nsid w:val="1CA1775D"/>
    <w:multiLevelType w:val="hybridMultilevel"/>
    <w:tmpl w:val="EAAC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240439"/>
    <w:multiLevelType w:val="hybridMultilevel"/>
    <w:tmpl w:val="692C335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20715170"/>
    <w:multiLevelType w:val="hybridMultilevel"/>
    <w:tmpl w:val="F170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B14C6E"/>
    <w:multiLevelType w:val="multilevel"/>
    <w:tmpl w:val="D938C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793F02"/>
    <w:multiLevelType w:val="multilevel"/>
    <w:tmpl w:val="FC60A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A42324"/>
    <w:multiLevelType w:val="hybridMultilevel"/>
    <w:tmpl w:val="CB7E31CC"/>
    <w:lvl w:ilvl="0" w:tplc="EE886B1A">
      <w:numFmt w:val="bullet"/>
      <w:lvlText w:val=""/>
      <w:lvlJc w:val="left"/>
      <w:pPr>
        <w:ind w:left="451" w:hanging="360"/>
      </w:pPr>
      <w:rPr>
        <w:rFonts w:ascii="Symbol" w:eastAsia="Symbol" w:hAnsi="Symbol" w:cs="Symbol" w:hint="default"/>
        <w:w w:val="100"/>
        <w:sz w:val="21"/>
        <w:szCs w:val="21"/>
        <w:lang w:val="en-US" w:eastAsia="en-US" w:bidi="en-US"/>
      </w:rPr>
    </w:lvl>
    <w:lvl w:ilvl="1" w:tplc="26E21748">
      <w:numFmt w:val="bullet"/>
      <w:lvlText w:val="•"/>
      <w:lvlJc w:val="left"/>
      <w:pPr>
        <w:ind w:left="820" w:hanging="360"/>
      </w:pPr>
      <w:rPr>
        <w:rFonts w:hint="default"/>
        <w:lang w:val="en-US" w:eastAsia="en-US" w:bidi="en-US"/>
      </w:rPr>
    </w:lvl>
    <w:lvl w:ilvl="2" w:tplc="7996FD4E">
      <w:numFmt w:val="bullet"/>
      <w:lvlText w:val="•"/>
      <w:lvlJc w:val="left"/>
      <w:pPr>
        <w:ind w:left="1739" w:hanging="360"/>
      </w:pPr>
      <w:rPr>
        <w:rFonts w:hint="default"/>
        <w:lang w:val="en-US" w:eastAsia="en-US" w:bidi="en-US"/>
      </w:rPr>
    </w:lvl>
    <w:lvl w:ilvl="3" w:tplc="21FAC732">
      <w:numFmt w:val="bullet"/>
      <w:lvlText w:val="•"/>
      <w:lvlJc w:val="left"/>
      <w:pPr>
        <w:ind w:left="2658" w:hanging="360"/>
      </w:pPr>
      <w:rPr>
        <w:rFonts w:hint="default"/>
        <w:lang w:val="en-US" w:eastAsia="en-US" w:bidi="en-US"/>
      </w:rPr>
    </w:lvl>
    <w:lvl w:ilvl="4" w:tplc="64128C7A">
      <w:numFmt w:val="bullet"/>
      <w:lvlText w:val="•"/>
      <w:lvlJc w:val="left"/>
      <w:pPr>
        <w:ind w:left="3577" w:hanging="360"/>
      </w:pPr>
      <w:rPr>
        <w:rFonts w:hint="default"/>
        <w:lang w:val="en-US" w:eastAsia="en-US" w:bidi="en-US"/>
      </w:rPr>
    </w:lvl>
    <w:lvl w:ilvl="5" w:tplc="A15488A4">
      <w:numFmt w:val="bullet"/>
      <w:lvlText w:val="•"/>
      <w:lvlJc w:val="left"/>
      <w:pPr>
        <w:ind w:left="4496" w:hanging="360"/>
      </w:pPr>
      <w:rPr>
        <w:rFonts w:hint="default"/>
        <w:lang w:val="en-US" w:eastAsia="en-US" w:bidi="en-US"/>
      </w:rPr>
    </w:lvl>
    <w:lvl w:ilvl="6" w:tplc="9FE2262E">
      <w:numFmt w:val="bullet"/>
      <w:lvlText w:val="•"/>
      <w:lvlJc w:val="left"/>
      <w:pPr>
        <w:ind w:left="5415" w:hanging="360"/>
      </w:pPr>
      <w:rPr>
        <w:rFonts w:hint="default"/>
        <w:lang w:val="en-US" w:eastAsia="en-US" w:bidi="en-US"/>
      </w:rPr>
    </w:lvl>
    <w:lvl w:ilvl="7" w:tplc="3AFE9F86">
      <w:numFmt w:val="bullet"/>
      <w:lvlText w:val="•"/>
      <w:lvlJc w:val="left"/>
      <w:pPr>
        <w:ind w:left="6335" w:hanging="360"/>
      </w:pPr>
      <w:rPr>
        <w:rFonts w:hint="default"/>
        <w:lang w:val="en-US" w:eastAsia="en-US" w:bidi="en-US"/>
      </w:rPr>
    </w:lvl>
    <w:lvl w:ilvl="8" w:tplc="656EAFE8">
      <w:numFmt w:val="bullet"/>
      <w:lvlText w:val="•"/>
      <w:lvlJc w:val="left"/>
      <w:pPr>
        <w:ind w:left="7254" w:hanging="360"/>
      </w:pPr>
      <w:rPr>
        <w:rFonts w:hint="default"/>
        <w:lang w:val="en-US" w:eastAsia="en-US" w:bidi="en-US"/>
      </w:rPr>
    </w:lvl>
  </w:abstractNum>
  <w:abstractNum w:abstractNumId="28" w15:restartNumberingAfterBreak="0">
    <w:nsid w:val="22C35111"/>
    <w:multiLevelType w:val="hybridMultilevel"/>
    <w:tmpl w:val="766ECB32"/>
    <w:lvl w:ilvl="0" w:tplc="D30641DE">
      <w:start w:val="1"/>
      <w:numFmt w:val="decimal"/>
      <w:lvlText w:val="%1."/>
      <w:lvlJc w:val="left"/>
      <w:pPr>
        <w:ind w:left="860" w:hanging="360"/>
      </w:pPr>
      <w:rPr>
        <w:rFonts w:hint="default"/>
        <w:b/>
        <w:bCs/>
        <w:spacing w:val="-1"/>
        <w:w w:val="99"/>
        <w:lang w:val="en-US" w:eastAsia="en-US" w:bidi="ar-SA"/>
      </w:rPr>
    </w:lvl>
    <w:lvl w:ilvl="1" w:tplc="6D54CFE8">
      <w:start w:val="1"/>
      <w:numFmt w:val="lowerRoman"/>
      <w:lvlText w:val="%2."/>
      <w:lvlJc w:val="left"/>
      <w:pPr>
        <w:ind w:left="1580" w:hanging="720"/>
      </w:pPr>
      <w:rPr>
        <w:rFonts w:ascii="Segoe UI" w:eastAsia="Segoe UI" w:hAnsi="Segoe UI" w:cs="Segoe UI" w:hint="default"/>
        <w:spacing w:val="-1"/>
        <w:w w:val="100"/>
        <w:sz w:val="21"/>
        <w:szCs w:val="21"/>
        <w:lang w:val="en-US" w:eastAsia="en-US" w:bidi="ar-SA"/>
      </w:rPr>
    </w:lvl>
    <w:lvl w:ilvl="2" w:tplc="90A8FD08">
      <w:numFmt w:val="bullet"/>
      <w:lvlText w:val="•"/>
      <w:lvlJc w:val="left"/>
      <w:pPr>
        <w:ind w:left="2660" w:hanging="720"/>
      </w:pPr>
      <w:rPr>
        <w:rFonts w:hint="default"/>
        <w:lang w:val="en-US" w:eastAsia="en-US" w:bidi="ar-SA"/>
      </w:rPr>
    </w:lvl>
    <w:lvl w:ilvl="3" w:tplc="A69E7FBA">
      <w:numFmt w:val="bullet"/>
      <w:lvlText w:val="•"/>
      <w:lvlJc w:val="left"/>
      <w:pPr>
        <w:ind w:left="3740" w:hanging="720"/>
      </w:pPr>
      <w:rPr>
        <w:rFonts w:hint="default"/>
        <w:lang w:val="en-US" w:eastAsia="en-US" w:bidi="ar-SA"/>
      </w:rPr>
    </w:lvl>
    <w:lvl w:ilvl="4" w:tplc="A7DC104C">
      <w:numFmt w:val="bullet"/>
      <w:lvlText w:val="•"/>
      <w:lvlJc w:val="left"/>
      <w:pPr>
        <w:ind w:left="4820" w:hanging="720"/>
      </w:pPr>
      <w:rPr>
        <w:rFonts w:hint="default"/>
        <w:lang w:val="en-US" w:eastAsia="en-US" w:bidi="ar-SA"/>
      </w:rPr>
    </w:lvl>
    <w:lvl w:ilvl="5" w:tplc="99F83732">
      <w:numFmt w:val="bullet"/>
      <w:lvlText w:val="•"/>
      <w:lvlJc w:val="left"/>
      <w:pPr>
        <w:ind w:left="5900" w:hanging="720"/>
      </w:pPr>
      <w:rPr>
        <w:rFonts w:hint="default"/>
        <w:lang w:val="en-US" w:eastAsia="en-US" w:bidi="ar-SA"/>
      </w:rPr>
    </w:lvl>
    <w:lvl w:ilvl="6" w:tplc="FE489CB4">
      <w:numFmt w:val="bullet"/>
      <w:lvlText w:val="•"/>
      <w:lvlJc w:val="left"/>
      <w:pPr>
        <w:ind w:left="6980" w:hanging="720"/>
      </w:pPr>
      <w:rPr>
        <w:rFonts w:hint="default"/>
        <w:lang w:val="en-US" w:eastAsia="en-US" w:bidi="ar-SA"/>
      </w:rPr>
    </w:lvl>
    <w:lvl w:ilvl="7" w:tplc="2E142DE4">
      <w:numFmt w:val="bullet"/>
      <w:lvlText w:val="•"/>
      <w:lvlJc w:val="left"/>
      <w:pPr>
        <w:ind w:left="8060" w:hanging="720"/>
      </w:pPr>
      <w:rPr>
        <w:rFonts w:hint="default"/>
        <w:lang w:val="en-US" w:eastAsia="en-US" w:bidi="ar-SA"/>
      </w:rPr>
    </w:lvl>
    <w:lvl w:ilvl="8" w:tplc="D64CCABE">
      <w:numFmt w:val="bullet"/>
      <w:lvlText w:val="•"/>
      <w:lvlJc w:val="left"/>
      <w:pPr>
        <w:ind w:left="9140" w:hanging="720"/>
      </w:pPr>
      <w:rPr>
        <w:rFonts w:hint="default"/>
        <w:lang w:val="en-US" w:eastAsia="en-US" w:bidi="ar-SA"/>
      </w:rPr>
    </w:lvl>
  </w:abstractNum>
  <w:abstractNum w:abstractNumId="29" w15:restartNumberingAfterBreak="0">
    <w:nsid w:val="24FB5EF2"/>
    <w:multiLevelType w:val="multilevel"/>
    <w:tmpl w:val="82E6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F050DA"/>
    <w:multiLevelType w:val="multilevel"/>
    <w:tmpl w:val="9022D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98A54B0"/>
    <w:multiLevelType w:val="hybridMultilevel"/>
    <w:tmpl w:val="58E47D1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2" w15:restartNumberingAfterBreak="0">
    <w:nsid w:val="29B076BF"/>
    <w:multiLevelType w:val="hybridMultilevel"/>
    <w:tmpl w:val="AE242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7B454B"/>
    <w:multiLevelType w:val="hybridMultilevel"/>
    <w:tmpl w:val="2CA8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740A42"/>
    <w:multiLevelType w:val="hybridMultilevel"/>
    <w:tmpl w:val="82A0C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D844F6F"/>
    <w:multiLevelType w:val="hybridMultilevel"/>
    <w:tmpl w:val="5198A5AE"/>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36" w15:restartNumberingAfterBreak="0">
    <w:nsid w:val="2EF247E2"/>
    <w:multiLevelType w:val="multilevel"/>
    <w:tmpl w:val="05C00A5E"/>
    <w:lvl w:ilvl="0">
      <w:start w:val="1"/>
      <w:numFmt w:val="decimal"/>
      <w:lvlText w:val="%1."/>
      <w:lvlJc w:val="left"/>
      <w:pPr>
        <w:ind w:left="45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2687845"/>
    <w:multiLevelType w:val="hybridMultilevel"/>
    <w:tmpl w:val="64E664A8"/>
    <w:lvl w:ilvl="0" w:tplc="E774FB4E">
      <w:numFmt w:val="bullet"/>
      <w:lvlText w:val=""/>
      <w:lvlJc w:val="left"/>
      <w:pPr>
        <w:ind w:left="1540" w:hanging="361"/>
      </w:pPr>
      <w:rPr>
        <w:rFonts w:ascii="Symbol" w:eastAsia="Symbol" w:hAnsi="Symbol" w:cs="Symbol" w:hint="default"/>
        <w:w w:val="100"/>
        <w:sz w:val="22"/>
        <w:szCs w:val="22"/>
        <w:lang w:val="en-US" w:eastAsia="en-US" w:bidi="ar-SA"/>
      </w:rPr>
    </w:lvl>
    <w:lvl w:ilvl="1" w:tplc="7E50652A">
      <w:numFmt w:val="bullet"/>
      <w:lvlText w:val="•"/>
      <w:lvlJc w:val="left"/>
      <w:pPr>
        <w:ind w:left="2444" w:hanging="361"/>
      </w:pPr>
      <w:rPr>
        <w:rFonts w:hint="default"/>
        <w:lang w:val="en-US" w:eastAsia="en-US" w:bidi="ar-SA"/>
      </w:rPr>
    </w:lvl>
    <w:lvl w:ilvl="2" w:tplc="8C4EF69C">
      <w:numFmt w:val="bullet"/>
      <w:lvlText w:val="•"/>
      <w:lvlJc w:val="left"/>
      <w:pPr>
        <w:ind w:left="3348" w:hanging="361"/>
      </w:pPr>
      <w:rPr>
        <w:rFonts w:hint="default"/>
        <w:lang w:val="en-US" w:eastAsia="en-US" w:bidi="ar-SA"/>
      </w:rPr>
    </w:lvl>
    <w:lvl w:ilvl="3" w:tplc="88D6031C">
      <w:numFmt w:val="bullet"/>
      <w:lvlText w:val="•"/>
      <w:lvlJc w:val="left"/>
      <w:pPr>
        <w:ind w:left="4252" w:hanging="361"/>
      </w:pPr>
      <w:rPr>
        <w:rFonts w:hint="default"/>
        <w:lang w:val="en-US" w:eastAsia="en-US" w:bidi="ar-SA"/>
      </w:rPr>
    </w:lvl>
    <w:lvl w:ilvl="4" w:tplc="96721120">
      <w:numFmt w:val="bullet"/>
      <w:lvlText w:val="•"/>
      <w:lvlJc w:val="left"/>
      <w:pPr>
        <w:ind w:left="5156" w:hanging="361"/>
      </w:pPr>
      <w:rPr>
        <w:rFonts w:hint="default"/>
        <w:lang w:val="en-US" w:eastAsia="en-US" w:bidi="ar-SA"/>
      </w:rPr>
    </w:lvl>
    <w:lvl w:ilvl="5" w:tplc="6E0079AC">
      <w:numFmt w:val="bullet"/>
      <w:lvlText w:val="•"/>
      <w:lvlJc w:val="left"/>
      <w:pPr>
        <w:ind w:left="6060" w:hanging="361"/>
      </w:pPr>
      <w:rPr>
        <w:rFonts w:hint="default"/>
        <w:lang w:val="en-US" w:eastAsia="en-US" w:bidi="ar-SA"/>
      </w:rPr>
    </w:lvl>
    <w:lvl w:ilvl="6" w:tplc="2D903526">
      <w:numFmt w:val="bullet"/>
      <w:lvlText w:val="•"/>
      <w:lvlJc w:val="left"/>
      <w:pPr>
        <w:ind w:left="6964" w:hanging="361"/>
      </w:pPr>
      <w:rPr>
        <w:rFonts w:hint="default"/>
        <w:lang w:val="en-US" w:eastAsia="en-US" w:bidi="ar-SA"/>
      </w:rPr>
    </w:lvl>
    <w:lvl w:ilvl="7" w:tplc="3BEC19E8">
      <w:numFmt w:val="bullet"/>
      <w:lvlText w:val="•"/>
      <w:lvlJc w:val="left"/>
      <w:pPr>
        <w:ind w:left="7868" w:hanging="361"/>
      </w:pPr>
      <w:rPr>
        <w:rFonts w:hint="default"/>
        <w:lang w:val="en-US" w:eastAsia="en-US" w:bidi="ar-SA"/>
      </w:rPr>
    </w:lvl>
    <w:lvl w:ilvl="8" w:tplc="2432D430">
      <w:numFmt w:val="bullet"/>
      <w:lvlText w:val="•"/>
      <w:lvlJc w:val="left"/>
      <w:pPr>
        <w:ind w:left="8772" w:hanging="361"/>
      </w:pPr>
      <w:rPr>
        <w:rFonts w:hint="default"/>
        <w:lang w:val="en-US" w:eastAsia="en-US" w:bidi="ar-SA"/>
      </w:rPr>
    </w:lvl>
  </w:abstractNum>
  <w:abstractNum w:abstractNumId="38" w15:restartNumberingAfterBreak="0">
    <w:nsid w:val="35111CCB"/>
    <w:multiLevelType w:val="multilevel"/>
    <w:tmpl w:val="C20488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60E0144"/>
    <w:multiLevelType w:val="hybridMultilevel"/>
    <w:tmpl w:val="92C61CD6"/>
    <w:styleLink w:val="ImportierterStil13"/>
    <w:lvl w:ilvl="0" w:tplc="8ADCADC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0F2A099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5D749B3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E02EEA2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B7FA8DB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6E0C557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4372DFF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A7F2901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A3E63B2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3682452E"/>
    <w:multiLevelType w:val="hybridMultilevel"/>
    <w:tmpl w:val="3E8A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0B224B"/>
    <w:multiLevelType w:val="hybridMultilevel"/>
    <w:tmpl w:val="94D07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C110EEB"/>
    <w:multiLevelType w:val="hybridMultilevel"/>
    <w:tmpl w:val="0448B7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3D9719CE"/>
    <w:multiLevelType w:val="multilevel"/>
    <w:tmpl w:val="773A85A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14C2FE5"/>
    <w:multiLevelType w:val="multilevel"/>
    <w:tmpl w:val="B5CABC66"/>
    <w:lvl w:ilvl="0">
      <w:start w:val="1"/>
      <w:numFmt w:val="decimal"/>
      <w:lvlText w:val="%1."/>
      <w:lvlJc w:val="left"/>
      <w:pPr>
        <w:ind w:left="830" w:hanging="720"/>
      </w:pPr>
      <w:rPr>
        <w:rFonts w:hint="default"/>
      </w:rPr>
    </w:lvl>
    <w:lvl w:ilvl="1">
      <w:start w:val="1"/>
      <w:numFmt w:val="decimal"/>
      <w:isLgl/>
      <w:lvlText w:val="%1.%2"/>
      <w:lvlJc w:val="left"/>
      <w:pPr>
        <w:ind w:left="500" w:hanging="390"/>
      </w:pPr>
      <w:rPr>
        <w:rFonts w:hint="default"/>
      </w:rPr>
    </w:lvl>
    <w:lvl w:ilvl="2">
      <w:start w:val="1"/>
      <w:numFmt w:val="decimal"/>
      <w:isLgl/>
      <w:lvlText w:val="%1.%2.%3"/>
      <w:lvlJc w:val="left"/>
      <w:pPr>
        <w:ind w:left="830" w:hanging="720"/>
      </w:pPr>
      <w:rPr>
        <w:rFonts w:hint="default"/>
      </w:rPr>
    </w:lvl>
    <w:lvl w:ilvl="3">
      <w:start w:val="1"/>
      <w:numFmt w:val="decimal"/>
      <w:isLgl/>
      <w:lvlText w:val="%1.%2.%3.%4"/>
      <w:lvlJc w:val="left"/>
      <w:pPr>
        <w:ind w:left="830"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0" w:hanging="1080"/>
      </w:pPr>
      <w:rPr>
        <w:rFonts w:hint="default"/>
      </w:rPr>
    </w:lvl>
    <w:lvl w:ilvl="6">
      <w:start w:val="1"/>
      <w:numFmt w:val="decimal"/>
      <w:isLgl/>
      <w:lvlText w:val="%1.%2.%3.%4.%5.%6.%7"/>
      <w:lvlJc w:val="left"/>
      <w:pPr>
        <w:ind w:left="1550" w:hanging="1440"/>
      </w:pPr>
      <w:rPr>
        <w:rFonts w:hint="default"/>
      </w:rPr>
    </w:lvl>
    <w:lvl w:ilvl="7">
      <w:start w:val="1"/>
      <w:numFmt w:val="decimal"/>
      <w:isLgl/>
      <w:lvlText w:val="%1.%2.%3.%4.%5.%6.%7.%8"/>
      <w:lvlJc w:val="left"/>
      <w:pPr>
        <w:ind w:left="1550" w:hanging="1440"/>
      </w:pPr>
      <w:rPr>
        <w:rFonts w:hint="default"/>
      </w:rPr>
    </w:lvl>
    <w:lvl w:ilvl="8">
      <w:start w:val="1"/>
      <w:numFmt w:val="decimal"/>
      <w:isLgl/>
      <w:lvlText w:val="%1.%2.%3.%4.%5.%6.%7.%8.%9"/>
      <w:lvlJc w:val="left"/>
      <w:pPr>
        <w:ind w:left="1550" w:hanging="1440"/>
      </w:pPr>
      <w:rPr>
        <w:rFonts w:hint="default"/>
      </w:rPr>
    </w:lvl>
  </w:abstractNum>
  <w:abstractNum w:abstractNumId="45" w15:restartNumberingAfterBreak="0">
    <w:nsid w:val="44442A9F"/>
    <w:multiLevelType w:val="hybridMultilevel"/>
    <w:tmpl w:val="A7EA620A"/>
    <w:styleLink w:val="ImportierterStil8"/>
    <w:lvl w:ilvl="0" w:tplc="717E5FD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D540917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2A0EDB3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45F41FD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212E510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EBEA398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DE82A85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5F106B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D9E023F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45325845"/>
    <w:multiLevelType w:val="hybridMultilevel"/>
    <w:tmpl w:val="1A44F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CB52A8"/>
    <w:multiLevelType w:val="hybridMultilevel"/>
    <w:tmpl w:val="7E2847CC"/>
    <w:lvl w:ilvl="0" w:tplc="BA7A8926">
      <w:start w:val="1"/>
      <w:numFmt w:val="lowerRoman"/>
      <w:lvlText w:val="%1."/>
      <w:lvlJc w:val="left"/>
      <w:pPr>
        <w:ind w:left="1580" w:hanging="720"/>
      </w:pPr>
      <w:rPr>
        <w:rFonts w:ascii="Segoe UI" w:eastAsia="Segoe UI" w:hAnsi="Segoe UI" w:cs="Segoe UI" w:hint="default"/>
        <w:spacing w:val="-1"/>
        <w:w w:val="100"/>
        <w:sz w:val="21"/>
        <w:szCs w:val="21"/>
        <w:lang w:val="en-US" w:eastAsia="en-US" w:bidi="ar-SA"/>
      </w:rPr>
    </w:lvl>
    <w:lvl w:ilvl="1" w:tplc="06A2ADEC">
      <w:numFmt w:val="bullet"/>
      <w:lvlText w:val="•"/>
      <w:lvlJc w:val="left"/>
      <w:pPr>
        <w:ind w:left="2552" w:hanging="720"/>
      </w:pPr>
      <w:rPr>
        <w:rFonts w:hint="default"/>
        <w:lang w:val="en-US" w:eastAsia="en-US" w:bidi="ar-SA"/>
      </w:rPr>
    </w:lvl>
    <w:lvl w:ilvl="2" w:tplc="D5886254">
      <w:numFmt w:val="bullet"/>
      <w:lvlText w:val="•"/>
      <w:lvlJc w:val="left"/>
      <w:pPr>
        <w:ind w:left="3524" w:hanging="720"/>
      </w:pPr>
      <w:rPr>
        <w:rFonts w:hint="default"/>
        <w:lang w:val="en-US" w:eastAsia="en-US" w:bidi="ar-SA"/>
      </w:rPr>
    </w:lvl>
    <w:lvl w:ilvl="3" w:tplc="AA6EB5B6">
      <w:numFmt w:val="bullet"/>
      <w:lvlText w:val="•"/>
      <w:lvlJc w:val="left"/>
      <w:pPr>
        <w:ind w:left="4496" w:hanging="720"/>
      </w:pPr>
      <w:rPr>
        <w:rFonts w:hint="default"/>
        <w:lang w:val="en-US" w:eastAsia="en-US" w:bidi="ar-SA"/>
      </w:rPr>
    </w:lvl>
    <w:lvl w:ilvl="4" w:tplc="89AC3312">
      <w:numFmt w:val="bullet"/>
      <w:lvlText w:val="•"/>
      <w:lvlJc w:val="left"/>
      <w:pPr>
        <w:ind w:left="5468" w:hanging="720"/>
      </w:pPr>
      <w:rPr>
        <w:rFonts w:hint="default"/>
        <w:lang w:val="en-US" w:eastAsia="en-US" w:bidi="ar-SA"/>
      </w:rPr>
    </w:lvl>
    <w:lvl w:ilvl="5" w:tplc="A6DA9D98">
      <w:numFmt w:val="bullet"/>
      <w:lvlText w:val="•"/>
      <w:lvlJc w:val="left"/>
      <w:pPr>
        <w:ind w:left="6440" w:hanging="720"/>
      </w:pPr>
      <w:rPr>
        <w:rFonts w:hint="default"/>
        <w:lang w:val="en-US" w:eastAsia="en-US" w:bidi="ar-SA"/>
      </w:rPr>
    </w:lvl>
    <w:lvl w:ilvl="6" w:tplc="7B224ACC">
      <w:numFmt w:val="bullet"/>
      <w:lvlText w:val="•"/>
      <w:lvlJc w:val="left"/>
      <w:pPr>
        <w:ind w:left="7412" w:hanging="720"/>
      </w:pPr>
      <w:rPr>
        <w:rFonts w:hint="default"/>
        <w:lang w:val="en-US" w:eastAsia="en-US" w:bidi="ar-SA"/>
      </w:rPr>
    </w:lvl>
    <w:lvl w:ilvl="7" w:tplc="D3B458F8">
      <w:numFmt w:val="bullet"/>
      <w:lvlText w:val="•"/>
      <w:lvlJc w:val="left"/>
      <w:pPr>
        <w:ind w:left="8384" w:hanging="720"/>
      </w:pPr>
      <w:rPr>
        <w:rFonts w:hint="default"/>
        <w:lang w:val="en-US" w:eastAsia="en-US" w:bidi="ar-SA"/>
      </w:rPr>
    </w:lvl>
    <w:lvl w:ilvl="8" w:tplc="7826D9C0">
      <w:numFmt w:val="bullet"/>
      <w:lvlText w:val="•"/>
      <w:lvlJc w:val="left"/>
      <w:pPr>
        <w:ind w:left="9356" w:hanging="720"/>
      </w:pPr>
      <w:rPr>
        <w:rFonts w:hint="default"/>
        <w:lang w:val="en-US" w:eastAsia="en-US" w:bidi="ar-SA"/>
      </w:rPr>
    </w:lvl>
  </w:abstractNum>
  <w:abstractNum w:abstractNumId="48" w15:restartNumberingAfterBreak="0">
    <w:nsid w:val="490F7B48"/>
    <w:multiLevelType w:val="hybridMultilevel"/>
    <w:tmpl w:val="A14A32B2"/>
    <w:lvl w:ilvl="0" w:tplc="5BFE93EC">
      <w:numFmt w:val="bullet"/>
      <w:lvlText w:val=""/>
      <w:lvlJc w:val="left"/>
      <w:pPr>
        <w:ind w:left="580" w:hanging="360"/>
      </w:pPr>
      <w:rPr>
        <w:rFonts w:ascii="Symbol" w:eastAsia="Symbol" w:hAnsi="Symbol" w:cs="Symbol" w:hint="default"/>
        <w:w w:val="99"/>
        <w:sz w:val="20"/>
        <w:szCs w:val="20"/>
        <w:lang w:val="en-US" w:eastAsia="en-US" w:bidi="ar-SA"/>
      </w:rPr>
    </w:lvl>
    <w:lvl w:ilvl="1" w:tplc="487E7D0C">
      <w:numFmt w:val="bullet"/>
      <w:lvlText w:val="•"/>
      <w:lvlJc w:val="left"/>
      <w:pPr>
        <w:ind w:left="1437" w:hanging="360"/>
      </w:pPr>
      <w:rPr>
        <w:rFonts w:hint="default"/>
        <w:lang w:val="en-US" w:eastAsia="en-US" w:bidi="ar-SA"/>
      </w:rPr>
    </w:lvl>
    <w:lvl w:ilvl="2" w:tplc="A290E414">
      <w:numFmt w:val="bullet"/>
      <w:lvlText w:val="•"/>
      <w:lvlJc w:val="left"/>
      <w:pPr>
        <w:ind w:left="2295" w:hanging="360"/>
      </w:pPr>
      <w:rPr>
        <w:rFonts w:hint="default"/>
        <w:lang w:val="en-US" w:eastAsia="en-US" w:bidi="ar-SA"/>
      </w:rPr>
    </w:lvl>
    <w:lvl w:ilvl="3" w:tplc="71C04C46">
      <w:numFmt w:val="bullet"/>
      <w:lvlText w:val="•"/>
      <w:lvlJc w:val="left"/>
      <w:pPr>
        <w:ind w:left="3153" w:hanging="360"/>
      </w:pPr>
      <w:rPr>
        <w:rFonts w:hint="default"/>
        <w:lang w:val="en-US" w:eastAsia="en-US" w:bidi="ar-SA"/>
      </w:rPr>
    </w:lvl>
    <w:lvl w:ilvl="4" w:tplc="71E0213E">
      <w:numFmt w:val="bullet"/>
      <w:lvlText w:val="•"/>
      <w:lvlJc w:val="left"/>
      <w:pPr>
        <w:ind w:left="4011" w:hanging="360"/>
      </w:pPr>
      <w:rPr>
        <w:rFonts w:hint="default"/>
        <w:lang w:val="en-US" w:eastAsia="en-US" w:bidi="ar-SA"/>
      </w:rPr>
    </w:lvl>
    <w:lvl w:ilvl="5" w:tplc="A6B4E1E4">
      <w:numFmt w:val="bullet"/>
      <w:lvlText w:val="•"/>
      <w:lvlJc w:val="left"/>
      <w:pPr>
        <w:ind w:left="4869" w:hanging="360"/>
      </w:pPr>
      <w:rPr>
        <w:rFonts w:hint="default"/>
        <w:lang w:val="en-US" w:eastAsia="en-US" w:bidi="ar-SA"/>
      </w:rPr>
    </w:lvl>
    <w:lvl w:ilvl="6" w:tplc="667E830E">
      <w:numFmt w:val="bullet"/>
      <w:lvlText w:val="•"/>
      <w:lvlJc w:val="left"/>
      <w:pPr>
        <w:ind w:left="5727" w:hanging="360"/>
      </w:pPr>
      <w:rPr>
        <w:rFonts w:hint="default"/>
        <w:lang w:val="en-US" w:eastAsia="en-US" w:bidi="ar-SA"/>
      </w:rPr>
    </w:lvl>
    <w:lvl w:ilvl="7" w:tplc="3A68F2C2">
      <w:numFmt w:val="bullet"/>
      <w:lvlText w:val="•"/>
      <w:lvlJc w:val="left"/>
      <w:pPr>
        <w:ind w:left="6585" w:hanging="360"/>
      </w:pPr>
      <w:rPr>
        <w:rFonts w:hint="default"/>
        <w:lang w:val="en-US" w:eastAsia="en-US" w:bidi="ar-SA"/>
      </w:rPr>
    </w:lvl>
    <w:lvl w:ilvl="8" w:tplc="8242B0F8">
      <w:numFmt w:val="bullet"/>
      <w:lvlText w:val="•"/>
      <w:lvlJc w:val="left"/>
      <w:pPr>
        <w:ind w:left="7443" w:hanging="360"/>
      </w:pPr>
      <w:rPr>
        <w:rFonts w:hint="default"/>
        <w:lang w:val="en-US" w:eastAsia="en-US" w:bidi="ar-SA"/>
      </w:rPr>
    </w:lvl>
  </w:abstractNum>
  <w:abstractNum w:abstractNumId="49" w15:restartNumberingAfterBreak="0">
    <w:nsid w:val="49EF0D06"/>
    <w:multiLevelType w:val="hybridMultilevel"/>
    <w:tmpl w:val="A8DC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BE0E0D"/>
    <w:multiLevelType w:val="hybridMultilevel"/>
    <w:tmpl w:val="78DE8372"/>
    <w:styleLink w:val="ImportierterStil14"/>
    <w:lvl w:ilvl="0" w:tplc="3860435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A8B0D90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2A4CFD8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EA08C44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9720376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158033A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876EF34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16A6476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5262F0B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51" w15:restartNumberingAfterBreak="0">
    <w:nsid w:val="4D032CF7"/>
    <w:multiLevelType w:val="hybridMultilevel"/>
    <w:tmpl w:val="381290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F693250"/>
    <w:multiLevelType w:val="hybridMultilevel"/>
    <w:tmpl w:val="B6AEC7A8"/>
    <w:styleLink w:val="ImportierterStil9"/>
    <w:lvl w:ilvl="0" w:tplc="15247B3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68CA857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53B8487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9F18CE6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4A30A82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7C4258C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D3D0562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09F0B08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7FC879E2">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53" w15:restartNumberingAfterBreak="0">
    <w:nsid w:val="54046A26"/>
    <w:multiLevelType w:val="hybridMultilevel"/>
    <w:tmpl w:val="1106843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4" w15:restartNumberingAfterBreak="0">
    <w:nsid w:val="563A2D25"/>
    <w:multiLevelType w:val="multilevel"/>
    <w:tmpl w:val="661E2D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7231A1C"/>
    <w:multiLevelType w:val="hybridMultilevel"/>
    <w:tmpl w:val="8F88FAC0"/>
    <w:lvl w:ilvl="0" w:tplc="511E5E3C">
      <w:numFmt w:val="bullet"/>
      <w:lvlText w:val=""/>
      <w:lvlJc w:val="left"/>
      <w:pPr>
        <w:ind w:left="1671" w:hanging="360"/>
      </w:pPr>
      <w:rPr>
        <w:rFonts w:ascii="Symbol" w:eastAsia="Symbol" w:hAnsi="Symbol" w:cs="Symbol" w:hint="default"/>
        <w:w w:val="100"/>
        <w:sz w:val="21"/>
        <w:szCs w:val="21"/>
        <w:lang w:val="en-US" w:eastAsia="en-US" w:bidi="ar-SA"/>
      </w:rPr>
    </w:lvl>
    <w:lvl w:ilvl="1" w:tplc="B6BA881C">
      <w:numFmt w:val="bullet"/>
      <w:lvlText w:val="•"/>
      <w:lvlJc w:val="left"/>
      <w:pPr>
        <w:ind w:left="2642" w:hanging="360"/>
      </w:pPr>
      <w:rPr>
        <w:rFonts w:hint="default"/>
        <w:lang w:val="en-US" w:eastAsia="en-US" w:bidi="ar-SA"/>
      </w:rPr>
    </w:lvl>
    <w:lvl w:ilvl="2" w:tplc="21BEF6BE">
      <w:numFmt w:val="bullet"/>
      <w:lvlText w:val="•"/>
      <w:lvlJc w:val="left"/>
      <w:pPr>
        <w:ind w:left="3604" w:hanging="360"/>
      </w:pPr>
      <w:rPr>
        <w:rFonts w:hint="default"/>
        <w:lang w:val="en-US" w:eastAsia="en-US" w:bidi="ar-SA"/>
      </w:rPr>
    </w:lvl>
    <w:lvl w:ilvl="3" w:tplc="8A2C553C">
      <w:numFmt w:val="bullet"/>
      <w:lvlText w:val="•"/>
      <w:lvlJc w:val="left"/>
      <w:pPr>
        <w:ind w:left="4566" w:hanging="360"/>
      </w:pPr>
      <w:rPr>
        <w:rFonts w:hint="default"/>
        <w:lang w:val="en-US" w:eastAsia="en-US" w:bidi="ar-SA"/>
      </w:rPr>
    </w:lvl>
    <w:lvl w:ilvl="4" w:tplc="6F92BF6C">
      <w:numFmt w:val="bullet"/>
      <w:lvlText w:val="•"/>
      <w:lvlJc w:val="left"/>
      <w:pPr>
        <w:ind w:left="5528" w:hanging="360"/>
      </w:pPr>
      <w:rPr>
        <w:rFonts w:hint="default"/>
        <w:lang w:val="en-US" w:eastAsia="en-US" w:bidi="ar-SA"/>
      </w:rPr>
    </w:lvl>
    <w:lvl w:ilvl="5" w:tplc="351858CE">
      <w:numFmt w:val="bullet"/>
      <w:lvlText w:val="•"/>
      <w:lvlJc w:val="left"/>
      <w:pPr>
        <w:ind w:left="6490" w:hanging="360"/>
      </w:pPr>
      <w:rPr>
        <w:rFonts w:hint="default"/>
        <w:lang w:val="en-US" w:eastAsia="en-US" w:bidi="ar-SA"/>
      </w:rPr>
    </w:lvl>
    <w:lvl w:ilvl="6" w:tplc="47A4BE68">
      <w:numFmt w:val="bullet"/>
      <w:lvlText w:val="•"/>
      <w:lvlJc w:val="left"/>
      <w:pPr>
        <w:ind w:left="7452" w:hanging="360"/>
      </w:pPr>
      <w:rPr>
        <w:rFonts w:hint="default"/>
        <w:lang w:val="en-US" w:eastAsia="en-US" w:bidi="ar-SA"/>
      </w:rPr>
    </w:lvl>
    <w:lvl w:ilvl="7" w:tplc="520607FA">
      <w:numFmt w:val="bullet"/>
      <w:lvlText w:val="•"/>
      <w:lvlJc w:val="left"/>
      <w:pPr>
        <w:ind w:left="8414" w:hanging="360"/>
      </w:pPr>
      <w:rPr>
        <w:rFonts w:hint="default"/>
        <w:lang w:val="en-US" w:eastAsia="en-US" w:bidi="ar-SA"/>
      </w:rPr>
    </w:lvl>
    <w:lvl w:ilvl="8" w:tplc="81284AFC">
      <w:numFmt w:val="bullet"/>
      <w:lvlText w:val="•"/>
      <w:lvlJc w:val="left"/>
      <w:pPr>
        <w:ind w:left="9376" w:hanging="360"/>
      </w:pPr>
      <w:rPr>
        <w:rFonts w:hint="default"/>
        <w:lang w:val="en-US" w:eastAsia="en-US" w:bidi="ar-SA"/>
      </w:rPr>
    </w:lvl>
  </w:abstractNum>
  <w:abstractNum w:abstractNumId="56" w15:restartNumberingAfterBreak="0">
    <w:nsid w:val="5A873D5C"/>
    <w:multiLevelType w:val="hybridMultilevel"/>
    <w:tmpl w:val="8764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A07290"/>
    <w:multiLevelType w:val="hybridMultilevel"/>
    <w:tmpl w:val="4B60F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CBE26F3"/>
    <w:multiLevelType w:val="hybridMultilevel"/>
    <w:tmpl w:val="F2E2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3A4072"/>
    <w:multiLevelType w:val="hybridMultilevel"/>
    <w:tmpl w:val="3DF8B996"/>
    <w:styleLink w:val="ImportierterStil6"/>
    <w:lvl w:ilvl="0" w:tplc="2A54650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CF36C7D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C7D0108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5D42215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F418FD0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6680CE3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AB3CC94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7542DB3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F6BC12B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60" w15:restartNumberingAfterBreak="0">
    <w:nsid w:val="5D607D1E"/>
    <w:multiLevelType w:val="hybridMultilevel"/>
    <w:tmpl w:val="916A2E6C"/>
    <w:lvl w:ilvl="0" w:tplc="75EEA46E">
      <w:start w:val="1"/>
      <w:numFmt w:val="bullet"/>
      <w:lvlText w:val=""/>
      <w:lvlJc w:val="left"/>
      <w:pPr>
        <w:tabs>
          <w:tab w:val="num" w:pos="720"/>
        </w:tabs>
        <w:ind w:left="720" w:hanging="360"/>
      </w:pPr>
      <w:rPr>
        <w:rFonts w:ascii="Symbol" w:hAnsi="Symbol" w:hint="default"/>
      </w:rPr>
    </w:lvl>
    <w:lvl w:ilvl="1" w:tplc="AD00826C" w:tentative="1">
      <w:start w:val="1"/>
      <w:numFmt w:val="bullet"/>
      <w:lvlText w:val=""/>
      <w:lvlJc w:val="left"/>
      <w:pPr>
        <w:tabs>
          <w:tab w:val="num" w:pos="1440"/>
        </w:tabs>
        <w:ind w:left="1440" w:hanging="360"/>
      </w:pPr>
      <w:rPr>
        <w:rFonts w:ascii="Symbol" w:hAnsi="Symbol" w:hint="default"/>
      </w:rPr>
    </w:lvl>
    <w:lvl w:ilvl="2" w:tplc="E6A02532" w:tentative="1">
      <w:start w:val="1"/>
      <w:numFmt w:val="bullet"/>
      <w:lvlText w:val=""/>
      <w:lvlJc w:val="left"/>
      <w:pPr>
        <w:tabs>
          <w:tab w:val="num" w:pos="2160"/>
        </w:tabs>
        <w:ind w:left="2160" w:hanging="360"/>
      </w:pPr>
      <w:rPr>
        <w:rFonts w:ascii="Symbol" w:hAnsi="Symbol" w:hint="default"/>
      </w:rPr>
    </w:lvl>
    <w:lvl w:ilvl="3" w:tplc="6F3CC6A2" w:tentative="1">
      <w:start w:val="1"/>
      <w:numFmt w:val="bullet"/>
      <w:lvlText w:val=""/>
      <w:lvlJc w:val="left"/>
      <w:pPr>
        <w:tabs>
          <w:tab w:val="num" w:pos="2880"/>
        </w:tabs>
        <w:ind w:left="2880" w:hanging="360"/>
      </w:pPr>
      <w:rPr>
        <w:rFonts w:ascii="Symbol" w:hAnsi="Symbol" w:hint="default"/>
      </w:rPr>
    </w:lvl>
    <w:lvl w:ilvl="4" w:tplc="DA9ACD16" w:tentative="1">
      <w:start w:val="1"/>
      <w:numFmt w:val="bullet"/>
      <w:lvlText w:val=""/>
      <w:lvlJc w:val="left"/>
      <w:pPr>
        <w:tabs>
          <w:tab w:val="num" w:pos="3600"/>
        </w:tabs>
        <w:ind w:left="3600" w:hanging="360"/>
      </w:pPr>
      <w:rPr>
        <w:rFonts w:ascii="Symbol" w:hAnsi="Symbol" w:hint="default"/>
      </w:rPr>
    </w:lvl>
    <w:lvl w:ilvl="5" w:tplc="61F2FDF2" w:tentative="1">
      <w:start w:val="1"/>
      <w:numFmt w:val="bullet"/>
      <w:lvlText w:val=""/>
      <w:lvlJc w:val="left"/>
      <w:pPr>
        <w:tabs>
          <w:tab w:val="num" w:pos="4320"/>
        </w:tabs>
        <w:ind w:left="4320" w:hanging="360"/>
      </w:pPr>
      <w:rPr>
        <w:rFonts w:ascii="Symbol" w:hAnsi="Symbol" w:hint="default"/>
      </w:rPr>
    </w:lvl>
    <w:lvl w:ilvl="6" w:tplc="EC3EA35E" w:tentative="1">
      <w:start w:val="1"/>
      <w:numFmt w:val="bullet"/>
      <w:lvlText w:val=""/>
      <w:lvlJc w:val="left"/>
      <w:pPr>
        <w:tabs>
          <w:tab w:val="num" w:pos="5040"/>
        </w:tabs>
        <w:ind w:left="5040" w:hanging="360"/>
      </w:pPr>
      <w:rPr>
        <w:rFonts w:ascii="Symbol" w:hAnsi="Symbol" w:hint="default"/>
      </w:rPr>
    </w:lvl>
    <w:lvl w:ilvl="7" w:tplc="F208B73E" w:tentative="1">
      <w:start w:val="1"/>
      <w:numFmt w:val="bullet"/>
      <w:lvlText w:val=""/>
      <w:lvlJc w:val="left"/>
      <w:pPr>
        <w:tabs>
          <w:tab w:val="num" w:pos="5760"/>
        </w:tabs>
        <w:ind w:left="5760" w:hanging="360"/>
      </w:pPr>
      <w:rPr>
        <w:rFonts w:ascii="Symbol" w:hAnsi="Symbol" w:hint="default"/>
      </w:rPr>
    </w:lvl>
    <w:lvl w:ilvl="8" w:tplc="47E8256C"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5D960FBB"/>
    <w:multiLevelType w:val="hybridMultilevel"/>
    <w:tmpl w:val="34249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EB769D9"/>
    <w:multiLevelType w:val="hybridMultilevel"/>
    <w:tmpl w:val="D0D8AE48"/>
    <w:lvl w:ilvl="0" w:tplc="A264410C">
      <w:start w:val="1"/>
      <w:numFmt w:val="lowerLetter"/>
      <w:lvlText w:val="%1)"/>
      <w:lvlJc w:val="left"/>
      <w:pPr>
        <w:ind w:left="1220" w:hanging="360"/>
      </w:pPr>
      <w:rPr>
        <w:rFonts w:ascii="Segoe UI" w:eastAsia="Segoe UI" w:hAnsi="Segoe UI" w:cs="Segoe UI" w:hint="default"/>
        <w:w w:val="100"/>
        <w:sz w:val="21"/>
        <w:szCs w:val="21"/>
        <w:lang w:val="en-US" w:eastAsia="en-US" w:bidi="ar-SA"/>
      </w:rPr>
    </w:lvl>
    <w:lvl w:ilvl="1" w:tplc="D37837C6">
      <w:numFmt w:val="bullet"/>
      <w:lvlText w:val="•"/>
      <w:lvlJc w:val="left"/>
      <w:pPr>
        <w:ind w:left="2228" w:hanging="360"/>
      </w:pPr>
      <w:rPr>
        <w:rFonts w:hint="default"/>
        <w:lang w:val="en-US" w:eastAsia="en-US" w:bidi="ar-SA"/>
      </w:rPr>
    </w:lvl>
    <w:lvl w:ilvl="2" w:tplc="2B861882">
      <w:numFmt w:val="bullet"/>
      <w:lvlText w:val="•"/>
      <w:lvlJc w:val="left"/>
      <w:pPr>
        <w:ind w:left="3236" w:hanging="360"/>
      </w:pPr>
      <w:rPr>
        <w:rFonts w:hint="default"/>
        <w:lang w:val="en-US" w:eastAsia="en-US" w:bidi="ar-SA"/>
      </w:rPr>
    </w:lvl>
    <w:lvl w:ilvl="3" w:tplc="A1D8613C">
      <w:numFmt w:val="bullet"/>
      <w:lvlText w:val="•"/>
      <w:lvlJc w:val="left"/>
      <w:pPr>
        <w:ind w:left="4244" w:hanging="360"/>
      </w:pPr>
      <w:rPr>
        <w:rFonts w:hint="default"/>
        <w:lang w:val="en-US" w:eastAsia="en-US" w:bidi="ar-SA"/>
      </w:rPr>
    </w:lvl>
    <w:lvl w:ilvl="4" w:tplc="BB5A1BAC">
      <w:numFmt w:val="bullet"/>
      <w:lvlText w:val="•"/>
      <w:lvlJc w:val="left"/>
      <w:pPr>
        <w:ind w:left="5252" w:hanging="360"/>
      </w:pPr>
      <w:rPr>
        <w:rFonts w:hint="default"/>
        <w:lang w:val="en-US" w:eastAsia="en-US" w:bidi="ar-SA"/>
      </w:rPr>
    </w:lvl>
    <w:lvl w:ilvl="5" w:tplc="0F8A9EC0">
      <w:numFmt w:val="bullet"/>
      <w:lvlText w:val="•"/>
      <w:lvlJc w:val="left"/>
      <w:pPr>
        <w:ind w:left="6260" w:hanging="360"/>
      </w:pPr>
      <w:rPr>
        <w:rFonts w:hint="default"/>
        <w:lang w:val="en-US" w:eastAsia="en-US" w:bidi="ar-SA"/>
      </w:rPr>
    </w:lvl>
    <w:lvl w:ilvl="6" w:tplc="9EF84114">
      <w:numFmt w:val="bullet"/>
      <w:lvlText w:val="•"/>
      <w:lvlJc w:val="left"/>
      <w:pPr>
        <w:ind w:left="7268" w:hanging="360"/>
      </w:pPr>
      <w:rPr>
        <w:rFonts w:hint="default"/>
        <w:lang w:val="en-US" w:eastAsia="en-US" w:bidi="ar-SA"/>
      </w:rPr>
    </w:lvl>
    <w:lvl w:ilvl="7" w:tplc="0340F44A">
      <w:numFmt w:val="bullet"/>
      <w:lvlText w:val="•"/>
      <w:lvlJc w:val="left"/>
      <w:pPr>
        <w:ind w:left="8276" w:hanging="360"/>
      </w:pPr>
      <w:rPr>
        <w:rFonts w:hint="default"/>
        <w:lang w:val="en-US" w:eastAsia="en-US" w:bidi="ar-SA"/>
      </w:rPr>
    </w:lvl>
    <w:lvl w:ilvl="8" w:tplc="73842690">
      <w:numFmt w:val="bullet"/>
      <w:lvlText w:val="•"/>
      <w:lvlJc w:val="left"/>
      <w:pPr>
        <w:ind w:left="9284" w:hanging="360"/>
      </w:pPr>
      <w:rPr>
        <w:rFonts w:hint="default"/>
        <w:lang w:val="en-US" w:eastAsia="en-US" w:bidi="ar-SA"/>
      </w:rPr>
    </w:lvl>
  </w:abstractNum>
  <w:abstractNum w:abstractNumId="63" w15:restartNumberingAfterBreak="0">
    <w:nsid w:val="5EE379BF"/>
    <w:multiLevelType w:val="hybridMultilevel"/>
    <w:tmpl w:val="B75AB14A"/>
    <w:styleLink w:val="ImportierterStil12"/>
    <w:lvl w:ilvl="0" w:tplc="FA8093C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580C383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945AB83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54DA856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ECD427D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606C6B1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79E8354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568E1D1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C694C7B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64" w15:restartNumberingAfterBreak="0">
    <w:nsid w:val="5F020BDB"/>
    <w:multiLevelType w:val="multilevel"/>
    <w:tmpl w:val="FD6E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F354AC7"/>
    <w:multiLevelType w:val="hybridMultilevel"/>
    <w:tmpl w:val="EB38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984D4F"/>
    <w:multiLevelType w:val="hybridMultilevel"/>
    <w:tmpl w:val="394A5B24"/>
    <w:lvl w:ilvl="0" w:tplc="F484EF4E">
      <w:start w:val="1"/>
      <w:numFmt w:val="lowerRoman"/>
      <w:lvlText w:val="(%1)"/>
      <w:lvlJc w:val="left"/>
      <w:pPr>
        <w:ind w:left="1121" w:hanging="721"/>
        <w:jc w:val="left"/>
      </w:pPr>
      <w:rPr>
        <w:rFonts w:ascii="Calibri" w:eastAsia="Calibri" w:hAnsi="Calibri" w:cs="Calibri" w:hint="default"/>
        <w:b w:val="0"/>
        <w:bCs w:val="0"/>
        <w:i w:val="0"/>
        <w:iCs w:val="0"/>
        <w:color w:val="666666"/>
        <w:spacing w:val="-1"/>
        <w:w w:val="100"/>
        <w:sz w:val="22"/>
        <w:szCs w:val="22"/>
        <w:lang w:val="en-US" w:eastAsia="en-US" w:bidi="ar-SA"/>
      </w:rPr>
    </w:lvl>
    <w:lvl w:ilvl="1" w:tplc="1B9A49FC">
      <w:start w:val="1"/>
      <w:numFmt w:val="decimal"/>
      <w:lvlText w:val="%2."/>
      <w:lvlJc w:val="left"/>
      <w:pPr>
        <w:ind w:left="861" w:hanging="361"/>
        <w:jc w:val="left"/>
      </w:pPr>
      <w:rPr>
        <w:rFonts w:ascii="Calibri" w:eastAsia="Calibri" w:hAnsi="Calibri" w:cs="Calibri" w:hint="default"/>
        <w:b w:val="0"/>
        <w:bCs w:val="0"/>
        <w:i w:val="0"/>
        <w:iCs w:val="0"/>
        <w:color w:val="666666"/>
        <w:spacing w:val="-2"/>
        <w:w w:val="100"/>
        <w:sz w:val="22"/>
        <w:szCs w:val="22"/>
        <w:lang w:val="en-US" w:eastAsia="en-US" w:bidi="ar-SA"/>
      </w:rPr>
    </w:lvl>
    <w:lvl w:ilvl="2" w:tplc="9BE2A226">
      <w:numFmt w:val="bullet"/>
      <w:lvlText w:val="•"/>
      <w:lvlJc w:val="left"/>
      <w:pPr>
        <w:ind w:left="2027" w:hanging="361"/>
      </w:pPr>
      <w:rPr>
        <w:rFonts w:hint="default"/>
        <w:lang w:val="en-US" w:eastAsia="en-US" w:bidi="ar-SA"/>
      </w:rPr>
    </w:lvl>
    <w:lvl w:ilvl="3" w:tplc="F3907CEE">
      <w:numFmt w:val="bullet"/>
      <w:lvlText w:val="•"/>
      <w:lvlJc w:val="left"/>
      <w:pPr>
        <w:ind w:left="2934" w:hanging="361"/>
      </w:pPr>
      <w:rPr>
        <w:rFonts w:hint="default"/>
        <w:lang w:val="en-US" w:eastAsia="en-US" w:bidi="ar-SA"/>
      </w:rPr>
    </w:lvl>
    <w:lvl w:ilvl="4" w:tplc="1DE4053C">
      <w:numFmt w:val="bullet"/>
      <w:lvlText w:val="•"/>
      <w:lvlJc w:val="left"/>
      <w:pPr>
        <w:ind w:left="3841" w:hanging="361"/>
      </w:pPr>
      <w:rPr>
        <w:rFonts w:hint="default"/>
        <w:lang w:val="en-US" w:eastAsia="en-US" w:bidi="ar-SA"/>
      </w:rPr>
    </w:lvl>
    <w:lvl w:ilvl="5" w:tplc="302EAA4E">
      <w:numFmt w:val="bullet"/>
      <w:lvlText w:val="•"/>
      <w:lvlJc w:val="left"/>
      <w:pPr>
        <w:ind w:left="4748" w:hanging="361"/>
      </w:pPr>
      <w:rPr>
        <w:rFonts w:hint="default"/>
        <w:lang w:val="en-US" w:eastAsia="en-US" w:bidi="ar-SA"/>
      </w:rPr>
    </w:lvl>
    <w:lvl w:ilvl="6" w:tplc="FFEA403E">
      <w:numFmt w:val="bullet"/>
      <w:lvlText w:val="•"/>
      <w:lvlJc w:val="left"/>
      <w:pPr>
        <w:ind w:left="5655" w:hanging="361"/>
      </w:pPr>
      <w:rPr>
        <w:rFonts w:hint="default"/>
        <w:lang w:val="en-US" w:eastAsia="en-US" w:bidi="ar-SA"/>
      </w:rPr>
    </w:lvl>
    <w:lvl w:ilvl="7" w:tplc="D9FC50A0">
      <w:numFmt w:val="bullet"/>
      <w:lvlText w:val="•"/>
      <w:lvlJc w:val="left"/>
      <w:pPr>
        <w:ind w:left="6562" w:hanging="361"/>
      </w:pPr>
      <w:rPr>
        <w:rFonts w:hint="default"/>
        <w:lang w:val="en-US" w:eastAsia="en-US" w:bidi="ar-SA"/>
      </w:rPr>
    </w:lvl>
    <w:lvl w:ilvl="8" w:tplc="5BB463C0">
      <w:numFmt w:val="bullet"/>
      <w:lvlText w:val="•"/>
      <w:lvlJc w:val="left"/>
      <w:pPr>
        <w:ind w:left="7469" w:hanging="361"/>
      </w:pPr>
      <w:rPr>
        <w:rFonts w:hint="default"/>
        <w:lang w:val="en-US" w:eastAsia="en-US" w:bidi="ar-SA"/>
      </w:rPr>
    </w:lvl>
  </w:abstractNum>
  <w:abstractNum w:abstractNumId="67" w15:restartNumberingAfterBreak="0">
    <w:nsid w:val="64DD4662"/>
    <w:multiLevelType w:val="hybridMultilevel"/>
    <w:tmpl w:val="A39AEE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8" w15:restartNumberingAfterBreak="0">
    <w:nsid w:val="64EA293D"/>
    <w:multiLevelType w:val="hybridMultilevel"/>
    <w:tmpl w:val="7BA86034"/>
    <w:lvl w:ilvl="0" w:tplc="0002BFBA">
      <w:numFmt w:val="bullet"/>
      <w:lvlText w:val=""/>
      <w:lvlJc w:val="left"/>
      <w:pPr>
        <w:ind w:left="860" w:hanging="360"/>
      </w:pPr>
      <w:rPr>
        <w:rFonts w:ascii="Symbol" w:eastAsia="Symbol" w:hAnsi="Symbol" w:cs="Symbol" w:hint="default"/>
        <w:w w:val="100"/>
        <w:sz w:val="21"/>
        <w:szCs w:val="21"/>
        <w:lang w:val="en-US" w:eastAsia="en-US" w:bidi="ar-SA"/>
      </w:rPr>
    </w:lvl>
    <w:lvl w:ilvl="1" w:tplc="E5547360">
      <w:numFmt w:val="bullet"/>
      <w:lvlText w:val="•"/>
      <w:lvlJc w:val="left"/>
      <w:pPr>
        <w:ind w:left="1904" w:hanging="360"/>
      </w:pPr>
      <w:rPr>
        <w:rFonts w:hint="default"/>
        <w:lang w:val="en-US" w:eastAsia="en-US" w:bidi="ar-SA"/>
      </w:rPr>
    </w:lvl>
    <w:lvl w:ilvl="2" w:tplc="ACB2B202">
      <w:numFmt w:val="bullet"/>
      <w:lvlText w:val="•"/>
      <w:lvlJc w:val="left"/>
      <w:pPr>
        <w:ind w:left="2948" w:hanging="360"/>
      </w:pPr>
      <w:rPr>
        <w:rFonts w:hint="default"/>
        <w:lang w:val="en-US" w:eastAsia="en-US" w:bidi="ar-SA"/>
      </w:rPr>
    </w:lvl>
    <w:lvl w:ilvl="3" w:tplc="9D4E4D9A">
      <w:numFmt w:val="bullet"/>
      <w:lvlText w:val="•"/>
      <w:lvlJc w:val="left"/>
      <w:pPr>
        <w:ind w:left="3992" w:hanging="360"/>
      </w:pPr>
      <w:rPr>
        <w:rFonts w:hint="default"/>
        <w:lang w:val="en-US" w:eastAsia="en-US" w:bidi="ar-SA"/>
      </w:rPr>
    </w:lvl>
    <w:lvl w:ilvl="4" w:tplc="96AA626E">
      <w:numFmt w:val="bullet"/>
      <w:lvlText w:val="•"/>
      <w:lvlJc w:val="left"/>
      <w:pPr>
        <w:ind w:left="5036" w:hanging="360"/>
      </w:pPr>
      <w:rPr>
        <w:rFonts w:hint="default"/>
        <w:lang w:val="en-US" w:eastAsia="en-US" w:bidi="ar-SA"/>
      </w:rPr>
    </w:lvl>
    <w:lvl w:ilvl="5" w:tplc="7A442A08">
      <w:numFmt w:val="bullet"/>
      <w:lvlText w:val="•"/>
      <w:lvlJc w:val="left"/>
      <w:pPr>
        <w:ind w:left="6080" w:hanging="360"/>
      </w:pPr>
      <w:rPr>
        <w:rFonts w:hint="default"/>
        <w:lang w:val="en-US" w:eastAsia="en-US" w:bidi="ar-SA"/>
      </w:rPr>
    </w:lvl>
    <w:lvl w:ilvl="6" w:tplc="E6CCB960">
      <w:numFmt w:val="bullet"/>
      <w:lvlText w:val="•"/>
      <w:lvlJc w:val="left"/>
      <w:pPr>
        <w:ind w:left="7124" w:hanging="360"/>
      </w:pPr>
      <w:rPr>
        <w:rFonts w:hint="default"/>
        <w:lang w:val="en-US" w:eastAsia="en-US" w:bidi="ar-SA"/>
      </w:rPr>
    </w:lvl>
    <w:lvl w:ilvl="7" w:tplc="34C4BBDA">
      <w:numFmt w:val="bullet"/>
      <w:lvlText w:val="•"/>
      <w:lvlJc w:val="left"/>
      <w:pPr>
        <w:ind w:left="8168" w:hanging="360"/>
      </w:pPr>
      <w:rPr>
        <w:rFonts w:hint="default"/>
        <w:lang w:val="en-US" w:eastAsia="en-US" w:bidi="ar-SA"/>
      </w:rPr>
    </w:lvl>
    <w:lvl w:ilvl="8" w:tplc="525C05AA">
      <w:numFmt w:val="bullet"/>
      <w:lvlText w:val="•"/>
      <w:lvlJc w:val="left"/>
      <w:pPr>
        <w:ind w:left="9212" w:hanging="360"/>
      </w:pPr>
      <w:rPr>
        <w:rFonts w:hint="default"/>
        <w:lang w:val="en-US" w:eastAsia="en-US" w:bidi="ar-SA"/>
      </w:rPr>
    </w:lvl>
  </w:abstractNum>
  <w:abstractNum w:abstractNumId="69" w15:restartNumberingAfterBreak="0">
    <w:nsid w:val="65886089"/>
    <w:multiLevelType w:val="hybridMultilevel"/>
    <w:tmpl w:val="57526A5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15:restartNumberingAfterBreak="0">
    <w:nsid w:val="68E61BB4"/>
    <w:multiLevelType w:val="hybridMultilevel"/>
    <w:tmpl w:val="DB2497EA"/>
    <w:lvl w:ilvl="0" w:tplc="0C0A0001">
      <w:start w:val="1"/>
      <w:numFmt w:val="bullet"/>
      <w:lvlText w:val=""/>
      <w:lvlJc w:val="left"/>
      <w:pPr>
        <w:ind w:left="774" w:hanging="360"/>
      </w:pPr>
      <w:rPr>
        <w:rFonts w:ascii="Symbol" w:hAnsi="Symbol" w:hint="default"/>
      </w:rPr>
    </w:lvl>
    <w:lvl w:ilvl="1" w:tplc="0C0A0003">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71" w15:restartNumberingAfterBreak="0">
    <w:nsid w:val="6A2D1093"/>
    <w:multiLevelType w:val="hybridMultilevel"/>
    <w:tmpl w:val="2A5E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AF17D6"/>
    <w:multiLevelType w:val="multilevel"/>
    <w:tmpl w:val="25DE08F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F057053"/>
    <w:multiLevelType w:val="hybridMultilevel"/>
    <w:tmpl w:val="04D84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F0735C0"/>
    <w:multiLevelType w:val="hybridMultilevel"/>
    <w:tmpl w:val="76089DC2"/>
    <w:styleLink w:val="ImportierterStil5"/>
    <w:lvl w:ilvl="0" w:tplc="BA061C7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61BE0F5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533471D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C57E23F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07742726">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4BC0716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E8BAAA2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FC2A628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E03ABAC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75" w15:restartNumberingAfterBreak="0">
    <w:nsid w:val="701F3684"/>
    <w:multiLevelType w:val="hybridMultilevel"/>
    <w:tmpl w:val="0FC8CD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0496890"/>
    <w:multiLevelType w:val="hybridMultilevel"/>
    <w:tmpl w:val="85B276B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77" w15:restartNumberingAfterBreak="0">
    <w:nsid w:val="76AB43E9"/>
    <w:multiLevelType w:val="hybridMultilevel"/>
    <w:tmpl w:val="123CD10E"/>
    <w:lvl w:ilvl="0" w:tplc="A8984B06">
      <w:numFmt w:val="bullet"/>
      <w:lvlText w:val=""/>
      <w:lvlJc w:val="left"/>
      <w:pPr>
        <w:ind w:left="424" w:hanging="284"/>
      </w:pPr>
      <w:rPr>
        <w:rFonts w:ascii="Symbol" w:eastAsia="Symbol" w:hAnsi="Symbol" w:cs="Symbol" w:hint="default"/>
        <w:w w:val="99"/>
        <w:sz w:val="20"/>
        <w:szCs w:val="20"/>
        <w:lang w:val="en-US" w:eastAsia="en-US" w:bidi="ar-SA"/>
      </w:rPr>
    </w:lvl>
    <w:lvl w:ilvl="1" w:tplc="B2420D0A">
      <w:numFmt w:val="bullet"/>
      <w:lvlText w:val="•"/>
      <w:lvlJc w:val="left"/>
      <w:pPr>
        <w:ind w:left="801" w:hanging="284"/>
      </w:pPr>
      <w:rPr>
        <w:rFonts w:hint="default"/>
        <w:lang w:val="en-US" w:eastAsia="en-US" w:bidi="ar-SA"/>
      </w:rPr>
    </w:lvl>
    <w:lvl w:ilvl="2" w:tplc="7F484D18">
      <w:numFmt w:val="bullet"/>
      <w:lvlText w:val="•"/>
      <w:lvlJc w:val="left"/>
      <w:pPr>
        <w:ind w:left="1183" w:hanging="284"/>
      </w:pPr>
      <w:rPr>
        <w:rFonts w:hint="default"/>
        <w:lang w:val="en-US" w:eastAsia="en-US" w:bidi="ar-SA"/>
      </w:rPr>
    </w:lvl>
    <w:lvl w:ilvl="3" w:tplc="EF38C566">
      <w:numFmt w:val="bullet"/>
      <w:lvlText w:val="•"/>
      <w:lvlJc w:val="left"/>
      <w:pPr>
        <w:ind w:left="1565" w:hanging="284"/>
      </w:pPr>
      <w:rPr>
        <w:rFonts w:hint="default"/>
        <w:lang w:val="en-US" w:eastAsia="en-US" w:bidi="ar-SA"/>
      </w:rPr>
    </w:lvl>
    <w:lvl w:ilvl="4" w:tplc="91CA8D78">
      <w:numFmt w:val="bullet"/>
      <w:lvlText w:val="•"/>
      <w:lvlJc w:val="left"/>
      <w:pPr>
        <w:ind w:left="1946" w:hanging="284"/>
      </w:pPr>
      <w:rPr>
        <w:rFonts w:hint="default"/>
        <w:lang w:val="en-US" w:eastAsia="en-US" w:bidi="ar-SA"/>
      </w:rPr>
    </w:lvl>
    <w:lvl w:ilvl="5" w:tplc="AFCCCBD0">
      <w:numFmt w:val="bullet"/>
      <w:lvlText w:val="•"/>
      <w:lvlJc w:val="left"/>
      <w:pPr>
        <w:ind w:left="2328" w:hanging="284"/>
      </w:pPr>
      <w:rPr>
        <w:rFonts w:hint="default"/>
        <w:lang w:val="en-US" w:eastAsia="en-US" w:bidi="ar-SA"/>
      </w:rPr>
    </w:lvl>
    <w:lvl w:ilvl="6" w:tplc="8C284DF2">
      <w:numFmt w:val="bullet"/>
      <w:lvlText w:val="•"/>
      <w:lvlJc w:val="left"/>
      <w:pPr>
        <w:ind w:left="2710" w:hanging="284"/>
      </w:pPr>
      <w:rPr>
        <w:rFonts w:hint="default"/>
        <w:lang w:val="en-US" w:eastAsia="en-US" w:bidi="ar-SA"/>
      </w:rPr>
    </w:lvl>
    <w:lvl w:ilvl="7" w:tplc="ADA04738">
      <w:numFmt w:val="bullet"/>
      <w:lvlText w:val="•"/>
      <w:lvlJc w:val="left"/>
      <w:pPr>
        <w:ind w:left="3091" w:hanging="284"/>
      </w:pPr>
      <w:rPr>
        <w:rFonts w:hint="default"/>
        <w:lang w:val="en-US" w:eastAsia="en-US" w:bidi="ar-SA"/>
      </w:rPr>
    </w:lvl>
    <w:lvl w:ilvl="8" w:tplc="B61A7EA2">
      <w:numFmt w:val="bullet"/>
      <w:lvlText w:val="•"/>
      <w:lvlJc w:val="left"/>
      <w:pPr>
        <w:ind w:left="3473" w:hanging="284"/>
      </w:pPr>
      <w:rPr>
        <w:rFonts w:hint="default"/>
        <w:lang w:val="en-US" w:eastAsia="en-US" w:bidi="ar-SA"/>
      </w:rPr>
    </w:lvl>
  </w:abstractNum>
  <w:abstractNum w:abstractNumId="78" w15:restartNumberingAfterBreak="0">
    <w:nsid w:val="78E95ACC"/>
    <w:multiLevelType w:val="multilevel"/>
    <w:tmpl w:val="3EB4E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C3145AA"/>
    <w:multiLevelType w:val="hybridMultilevel"/>
    <w:tmpl w:val="AEDCB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122E4A"/>
    <w:multiLevelType w:val="hybridMultilevel"/>
    <w:tmpl w:val="2A80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C277D1"/>
    <w:multiLevelType w:val="hybridMultilevel"/>
    <w:tmpl w:val="AA24ABB0"/>
    <w:lvl w:ilvl="0" w:tplc="FE7472A2">
      <w:start w:val="1"/>
      <w:numFmt w:val="decimal"/>
      <w:lvlText w:val="%1."/>
      <w:lvlJc w:val="left"/>
      <w:pPr>
        <w:ind w:left="951" w:hanging="360"/>
      </w:pPr>
      <w:rPr>
        <w:rFonts w:hint="default"/>
        <w:spacing w:val="-2"/>
        <w:w w:val="100"/>
        <w:lang w:val="en-US" w:eastAsia="en-US" w:bidi="ar-SA"/>
      </w:rPr>
    </w:lvl>
    <w:lvl w:ilvl="1" w:tplc="44AC0CA2">
      <w:numFmt w:val="bullet"/>
      <w:lvlText w:val=""/>
      <w:lvlJc w:val="left"/>
      <w:pPr>
        <w:ind w:left="1220" w:hanging="360"/>
      </w:pPr>
      <w:rPr>
        <w:rFonts w:ascii="Symbol" w:eastAsia="Symbol" w:hAnsi="Symbol" w:cs="Symbol" w:hint="default"/>
        <w:w w:val="99"/>
        <w:sz w:val="20"/>
        <w:szCs w:val="20"/>
        <w:lang w:val="en-US" w:eastAsia="en-US" w:bidi="ar-SA"/>
      </w:rPr>
    </w:lvl>
    <w:lvl w:ilvl="2" w:tplc="EC4E3254">
      <w:numFmt w:val="bullet"/>
      <w:lvlText w:val="•"/>
      <w:lvlJc w:val="left"/>
      <w:pPr>
        <w:ind w:left="2340" w:hanging="360"/>
      </w:pPr>
      <w:rPr>
        <w:rFonts w:hint="default"/>
        <w:lang w:val="en-US" w:eastAsia="en-US" w:bidi="ar-SA"/>
      </w:rPr>
    </w:lvl>
    <w:lvl w:ilvl="3" w:tplc="238AB5C8">
      <w:numFmt w:val="bullet"/>
      <w:lvlText w:val="•"/>
      <w:lvlJc w:val="left"/>
      <w:pPr>
        <w:ind w:left="3460" w:hanging="360"/>
      </w:pPr>
      <w:rPr>
        <w:rFonts w:hint="default"/>
        <w:lang w:val="en-US" w:eastAsia="en-US" w:bidi="ar-SA"/>
      </w:rPr>
    </w:lvl>
    <w:lvl w:ilvl="4" w:tplc="66180E34">
      <w:numFmt w:val="bullet"/>
      <w:lvlText w:val="•"/>
      <w:lvlJc w:val="left"/>
      <w:pPr>
        <w:ind w:left="4580" w:hanging="360"/>
      </w:pPr>
      <w:rPr>
        <w:rFonts w:hint="default"/>
        <w:lang w:val="en-US" w:eastAsia="en-US" w:bidi="ar-SA"/>
      </w:rPr>
    </w:lvl>
    <w:lvl w:ilvl="5" w:tplc="4516DAC8">
      <w:numFmt w:val="bullet"/>
      <w:lvlText w:val="•"/>
      <w:lvlJc w:val="left"/>
      <w:pPr>
        <w:ind w:left="5700" w:hanging="360"/>
      </w:pPr>
      <w:rPr>
        <w:rFonts w:hint="default"/>
        <w:lang w:val="en-US" w:eastAsia="en-US" w:bidi="ar-SA"/>
      </w:rPr>
    </w:lvl>
    <w:lvl w:ilvl="6" w:tplc="B7467FBC">
      <w:numFmt w:val="bullet"/>
      <w:lvlText w:val="•"/>
      <w:lvlJc w:val="left"/>
      <w:pPr>
        <w:ind w:left="6820" w:hanging="360"/>
      </w:pPr>
      <w:rPr>
        <w:rFonts w:hint="default"/>
        <w:lang w:val="en-US" w:eastAsia="en-US" w:bidi="ar-SA"/>
      </w:rPr>
    </w:lvl>
    <w:lvl w:ilvl="7" w:tplc="EE0E12EA">
      <w:numFmt w:val="bullet"/>
      <w:lvlText w:val="•"/>
      <w:lvlJc w:val="left"/>
      <w:pPr>
        <w:ind w:left="7940" w:hanging="360"/>
      </w:pPr>
      <w:rPr>
        <w:rFonts w:hint="default"/>
        <w:lang w:val="en-US" w:eastAsia="en-US" w:bidi="ar-SA"/>
      </w:rPr>
    </w:lvl>
    <w:lvl w:ilvl="8" w:tplc="0EF2CCFA">
      <w:numFmt w:val="bullet"/>
      <w:lvlText w:val="•"/>
      <w:lvlJc w:val="left"/>
      <w:pPr>
        <w:ind w:left="9060" w:hanging="360"/>
      </w:pPr>
      <w:rPr>
        <w:rFonts w:hint="default"/>
        <w:lang w:val="en-US" w:eastAsia="en-US" w:bidi="ar-SA"/>
      </w:rPr>
    </w:lvl>
  </w:abstractNum>
  <w:num w:numId="1" w16cid:durableId="483281165">
    <w:abstractNumId w:val="20"/>
  </w:num>
  <w:num w:numId="2" w16cid:durableId="913853558">
    <w:abstractNumId w:val="56"/>
  </w:num>
  <w:num w:numId="3" w16cid:durableId="976834827">
    <w:abstractNumId w:val="10"/>
  </w:num>
  <w:num w:numId="4" w16cid:durableId="810753229">
    <w:abstractNumId w:val="17"/>
  </w:num>
  <w:num w:numId="5" w16cid:durableId="542524870">
    <w:abstractNumId w:val="44"/>
  </w:num>
  <w:num w:numId="6" w16cid:durableId="238053981">
    <w:abstractNumId w:val="6"/>
  </w:num>
  <w:num w:numId="7" w16cid:durableId="1600064471">
    <w:abstractNumId w:val="76"/>
  </w:num>
  <w:num w:numId="8" w16cid:durableId="1342586805">
    <w:abstractNumId w:val="51"/>
  </w:num>
  <w:num w:numId="9" w16cid:durableId="936446392">
    <w:abstractNumId w:val="38"/>
  </w:num>
  <w:num w:numId="10" w16cid:durableId="1176336902">
    <w:abstractNumId w:val="72"/>
  </w:num>
  <w:num w:numId="11" w16cid:durableId="719716401">
    <w:abstractNumId w:val="43"/>
  </w:num>
  <w:num w:numId="12" w16cid:durableId="1459571680">
    <w:abstractNumId w:val="30"/>
  </w:num>
  <w:num w:numId="13" w16cid:durableId="898054209">
    <w:abstractNumId w:val="14"/>
  </w:num>
  <w:num w:numId="14" w16cid:durableId="653222881">
    <w:abstractNumId w:val="74"/>
  </w:num>
  <w:num w:numId="15" w16cid:durableId="458450173">
    <w:abstractNumId w:val="59"/>
  </w:num>
  <w:num w:numId="16" w16cid:durableId="2135251320">
    <w:abstractNumId w:val="45"/>
  </w:num>
  <w:num w:numId="17" w16cid:durableId="713849378">
    <w:abstractNumId w:val="52"/>
  </w:num>
  <w:num w:numId="18" w16cid:durableId="1259095275">
    <w:abstractNumId w:val="18"/>
  </w:num>
  <w:num w:numId="19" w16cid:durableId="501942916">
    <w:abstractNumId w:val="3"/>
  </w:num>
  <w:num w:numId="20" w16cid:durableId="2073967334">
    <w:abstractNumId w:val="63"/>
  </w:num>
  <w:num w:numId="21" w16cid:durableId="1380470557">
    <w:abstractNumId w:val="39"/>
  </w:num>
  <w:num w:numId="22" w16cid:durableId="1957757985">
    <w:abstractNumId w:val="50"/>
  </w:num>
  <w:num w:numId="23" w16cid:durableId="1712223264">
    <w:abstractNumId w:val="2"/>
  </w:num>
  <w:num w:numId="24" w16cid:durableId="1056317170">
    <w:abstractNumId w:val="75"/>
  </w:num>
  <w:num w:numId="25" w16cid:durableId="1512330127">
    <w:abstractNumId w:val="61"/>
  </w:num>
  <w:num w:numId="26" w16cid:durableId="819736566">
    <w:abstractNumId w:val="41"/>
  </w:num>
  <w:num w:numId="27" w16cid:durableId="536894979">
    <w:abstractNumId w:val="16"/>
  </w:num>
  <w:num w:numId="28" w16cid:durableId="736897805">
    <w:abstractNumId w:val="48"/>
  </w:num>
  <w:num w:numId="29" w16cid:durableId="571235995">
    <w:abstractNumId w:val="32"/>
  </w:num>
  <w:num w:numId="30" w16cid:durableId="863785088">
    <w:abstractNumId w:val="1"/>
  </w:num>
  <w:num w:numId="31" w16cid:durableId="1759331172">
    <w:abstractNumId w:val="46"/>
  </w:num>
  <w:num w:numId="32" w16cid:durableId="1999647731">
    <w:abstractNumId w:val="58"/>
  </w:num>
  <w:num w:numId="33" w16cid:durableId="944072368">
    <w:abstractNumId w:val="79"/>
  </w:num>
  <w:num w:numId="34" w16cid:durableId="612400534">
    <w:abstractNumId w:val="11"/>
  </w:num>
  <w:num w:numId="35" w16cid:durableId="998845431">
    <w:abstractNumId w:val="24"/>
  </w:num>
  <w:num w:numId="36" w16cid:durableId="785580833">
    <w:abstractNumId w:val="37"/>
  </w:num>
  <w:num w:numId="37" w16cid:durableId="1025904062">
    <w:abstractNumId w:val="49"/>
  </w:num>
  <w:num w:numId="38" w16cid:durableId="837382753">
    <w:abstractNumId w:val="40"/>
  </w:num>
  <w:num w:numId="39" w16cid:durableId="1089503125">
    <w:abstractNumId w:val="54"/>
  </w:num>
  <w:num w:numId="40" w16cid:durableId="1388996638">
    <w:abstractNumId w:val="23"/>
  </w:num>
  <w:num w:numId="41" w16cid:durableId="1145318591">
    <w:abstractNumId w:val="5"/>
  </w:num>
  <w:num w:numId="42" w16cid:durableId="1312948407">
    <w:abstractNumId w:val="60"/>
  </w:num>
  <w:num w:numId="43" w16cid:durableId="2026469436">
    <w:abstractNumId w:val="28"/>
  </w:num>
  <w:num w:numId="44" w16cid:durableId="22900279">
    <w:abstractNumId w:val="47"/>
  </w:num>
  <w:num w:numId="45" w16cid:durableId="150870035">
    <w:abstractNumId w:val="68"/>
  </w:num>
  <w:num w:numId="46" w16cid:durableId="670257712">
    <w:abstractNumId w:val="8"/>
  </w:num>
  <w:num w:numId="47" w16cid:durableId="1905682984">
    <w:abstractNumId w:val="62"/>
  </w:num>
  <w:num w:numId="48" w16cid:durableId="882253738">
    <w:abstractNumId w:val="55"/>
  </w:num>
  <w:num w:numId="49" w16cid:durableId="1678338782">
    <w:abstractNumId w:val="81"/>
  </w:num>
  <w:num w:numId="50" w16cid:durableId="957178308">
    <w:abstractNumId w:val="13"/>
  </w:num>
  <w:num w:numId="51" w16cid:durableId="1052727089">
    <w:abstractNumId w:val="67"/>
  </w:num>
  <w:num w:numId="52" w16cid:durableId="1508906510">
    <w:abstractNumId w:val="42"/>
  </w:num>
  <w:num w:numId="53" w16cid:durableId="1943293327">
    <w:abstractNumId w:val="12"/>
  </w:num>
  <w:num w:numId="54" w16cid:durableId="2096433481">
    <w:abstractNumId w:val="9"/>
  </w:num>
  <w:num w:numId="55" w16cid:durableId="630479640">
    <w:abstractNumId w:val="78"/>
  </w:num>
  <w:num w:numId="56" w16cid:durableId="900823257">
    <w:abstractNumId w:val="35"/>
  </w:num>
  <w:num w:numId="57" w16cid:durableId="1698385722">
    <w:abstractNumId w:val="27"/>
  </w:num>
  <w:num w:numId="58" w16cid:durableId="548566322">
    <w:abstractNumId w:val="19"/>
  </w:num>
  <w:num w:numId="59" w16cid:durableId="241642389">
    <w:abstractNumId w:val="22"/>
  </w:num>
  <w:num w:numId="60" w16cid:durableId="1380663904">
    <w:abstractNumId w:val="36"/>
  </w:num>
  <w:num w:numId="61" w16cid:durableId="788204089">
    <w:abstractNumId w:val="65"/>
  </w:num>
  <w:num w:numId="62" w16cid:durableId="1277365862">
    <w:abstractNumId w:val="69"/>
  </w:num>
  <w:num w:numId="63" w16cid:durableId="1198616555">
    <w:abstractNumId w:val="7"/>
  </w:num>
  <w:num w:numId="64" w16cid:durableId="2013950886">
    <w:abstractNumId w:val="34"/>
  </w:num>
  <w:num w:numId="65" w16cid:durableId="636297318">
    <w:abstractNumId w:val="70"/>
  </w:num>
  <w:num w:numId="66" w16cid:durableId="290403977">
    <w:abstractNumId w:val="71"/>
  </w:num>
  <w:num w:numId="67" w16cid:durableId="67076035">
    <w:abstractNumId w:val="0"/>
  </w:num>
  <w:num w:numId="68" w16cid:durableId="2102798030">
    <w:abstractNumId w:val="33"/>
  </w:num>
  <w:num w:numId="69" w16cid:durableId="1302925806">
    <w:abstractNumId w:val="4"/>
  </w:num>
  <w:num w:numId="70" w16cid:durableId="11762967">
    <w:abstractNumId w:val="57"/>
  </w:num>
  <w:num w:numId="71" w16cid:durableId="668211775">
    <w:abstractNumId w:val="73"/>
  </w:num>
  <w:num w:numId="72" w16cid:durableId="1029066557">
    <w:abstractNumId w:val="80"/>
  </w:num>
  <w:num w:numId="73" w16cid:durableId="14960430">
    <w:abstractNumId w:val="53"/>
  </w:num>
  <w:num w:numId="74" w16cid:durableId="90056089">
    <w:abstractNumId w:val="25"/>
  </w:num>
  <w:num w:numId="75" w16cid:durableId="105590018">
    <w:abstractNumId w:val="64"/>
  </w:num>
  <w:num w:numId="76" w16cid:durableId="1188712615">
    <w:abstractNumId w:val="29"/>
  </w:num>
  <w:num w:numId="77" w16cid:durableId="1753769296">
    <w:abstractNumId w:val="77"/>
  </w:num>
  <w:num w:numId="78" w16cid:durableId="464665685">
    <w:abstractNumId w:val="31"/>
  </w:num>
  <w:num w:numId="79" w16cid:durableId="235434151">
    <w:abstractNumId w:val="66"/>
  </w:num>
  <w:num w:numId="80" w16cid:durableId="1363021021">
    <w:abstractNumId w:val="21"/>
  </w:num>
  <w:num w:numId="81" w16cid:durableId="1244685690">
    <w:abstractNumId w:val="15"/>
  </w:num>
  <w:num w:numId="82" w16cid:durableId="541673920">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8A"/>
    <w:rsid w:val="00000205"/>
    <w:rsid w:val="000002AE"/>
    <w:rsid w:val="00000ACC"/>
    <w:rsid w:val="00001266"/>
    <w:rsid w:val="000013D0"/>
    <w:rsid w:val="000018EC"/>
    <w:rsid w:val="00001C73"/>
    <w:rsid w:val="000034FA"/>
    <w:rsid w:val="00005454"/>
    <w:rsid w:val="000054A7"/>
    <w:rsid w:val="00006193"/>
    <w:rsid w:val="0000637E"/>
    <w:rsid w:val="000063A8"/>
    <w:rsid w:val="00007D4E"/>
    <w:rsid w:val="00007E15"/>
    <w:rsid w:val="00010801"/>
    <w:rsid w:val="00010911"/>
    <w:rsid w:val="00010A04"/>
    <w:rsid w:val="00011705"/>
    <w:rsid w:val="000117F4"/>
    <w:rsid w:val="00011C41"/>
    <w:rsid w:val="00011D88"/>
    <w:rsid w:val="000178CF"/>
    <w:rsid w:val="00020A87"/>
    <w:rsid w:val="00020C08"/>
    <w:rsid w:val="00020E5C"/>
    <w:rsid w:val="00021F10"/>
    <w:rsid w:val="00022A2B"/>
    <w:rsid w:val="000239BF"/>
    <w:rsid w:val="000244A5"/>
    <w:rsid w:val="00024879"/>
    <w:rsid w:val="00024C5C"/>
    <w:rsid w:val="00024CDD"/>
    <w:rsid w:val="00024F45"/>
    <w:rsid w:val="00026576"/>
    <w:rsid w:val="00027C6F"/>
    <w:rsid w:val="00027DE6"/>
    <w:rsid w:val="0003197D"/>
    <w:rsid w:val="00032B00"/>
    <w:rsid w:val="0003343E"/>
    <w:rsid w:val="000338F5"/>
    <w:rsid w:val="00033A05"/>
    <w:rsid w:val="00034936"/>
    <w:rsid w:val="0003573D"/>
    <w:rsid w:val="00036DE4"/>
    <w:rsid w:val="00037E3C"/>
    <w:rsid w:val="000408FA"/>
    <w:rsid w:val="0004136C"/>
    <w:rsid w:val="000413F6"/>
    <w:rsid w:val="00044279"/>
    <w:rsid w:val="00044894"/>
    <w:rsid w:val="00044DF8"/>
    <w:rsid w:val="00047B6F"/>
    <w:rsid w:val="00057BF6"/>
    <w:rsid w:val="00060204"/>
    <w:rsid w:val="00060963"/>
    <w:rsid w:val="00060D50"/>
    <w:rsid w:val="00061625"/>
    <w:rsid w:val="00061966"/>
    <w:rsid w:val="00061A7F"/>
    <w:rsid w:val="00062DAE"/>
    <w:rsid w:val="00063503"/>
    <w:rsid w:val="00064F9B"/>
    <w:rsid w:val="00065C05"/>
    <w:rsid w:val="00066188"/>
    <w:rsid w:val="000701A7"/>
    <w:rsid w:val="0007077A"/>
    <w:rsid w:val="00071524"/>
    <w:rsid w:val="000718CF"/>
    <w:rsid w:val="00072138"/>
    <w:rsid w:val="0007353C"/>
    <w:rsid w:val="00073A3D"/>
    <w:rsid w:val="00073C55"/>
    <w:rsid w:val="000750FE"/>
    <w:rsid w:val="00075ABF"/>
    <w:rsid w:val="0007675A"/>
    <w:rsid w:val="00081130"/>
    <w:rsid w:val="000824C8"/>
    <w:rsid w:val="000829D4"/>
    <w:rsid w:val="00085341"/>
    <w:rsid w:val="00090B67"/>
    <w:rsid w:val="00090E16"/>
    <w:rsid w:val="00092133"/>
    <w:rsid w:val="000928E0"/>
    <w:rsid w:val="00095176"/>
    <w:rsid w:val="00095891"/>
    <w:rsid w:val="000968B3"/>
    <w:rsid w:val="00097E1E"/>
    <w:rsid w:val="000A087A"/>
    <w:rsid w:val="000A1FAD"/>
    <w:rsid w:val="000A5357"/>
    <w:rsid w:val="000A5687"/>
    <w:rsid w:val="000A67EC"/>
    <w:rsid w:val="000A73FD"/>
    <w:rsid w:val="000A7678"/>
    <w:rsid w:val="000B0855"/>
    <w:rsid w:val="000B2AA4"/>
    <w:rsid w:val="000B2CDD"/>
    <w:rsid w:val="000B353B"/>
    <w:rsid w:val="000B442F"/>
    <w:rsid w:val="000B541E"/>
    <w:rsid w:val="000B60D8"/>
    <w:rsid w:val="000B6ED1"/>
    <w:rsid w:val="000B72AE"/>
    <w:rsid w:val="000B7F94"/>
    <w:rsid w:val="000C24B3"/>
    <w:rsid w:val="000C3801"/>
    <w:rsid w:val="000C399A"/>
    <w:rsid w:val="000C39BA"/>
    <w:rsid w:val="000C4D7E"/>
    <w:rsid w:val="000C5691"/>
    <w:rsid w:val="000C5998"/>
    <w:rsid w:val="000C6031"/>
    <w:rsid w:val="000C6E38"/>
    <w:rsid w:val="000C7194"/>
    <w:rsid w:val="000C7B16"/>
    <w:rsid w:val="000D02F9"/>
    <w:rsid w:val="000D1973"/>
    <w:rsid w:val="000D19A8"/>
    <w:rsid w:val="000D2AF8"/>
    <w:rsid w:val="000D4B26"/>
    <w:rsid w:val="000D4CA6"/>
    <w:rsid w:val="000D4FA1"/>
    <w:rsid w:val="000D54E1"/>
    <w:rsid w:val="000D5B5E"/>
    <w:rsid w:val="000D6675"/>
    <w:rsid w:val="000D6D2A"/>
    <w:rsid w:val="000D7302"/>
    <w:rsid w:val="000E3392"/>
    <w:rsid w:val="000E40B1"/>
    <w:rsid w:val="000E43CD"/>
    <w:rsid w:val="000E5393"/>
    <w:rsid w:val="000E5782"/>
    <w:rsid w:val="000E622B"/>
    <w:rsid w:val="000E6DCC"/>
    <w:rsid w:val="000E798B"/>
    <w:rsid w:val="000F0B04"/>
    <w:rsid w:val="000F0DE3"/>
    <w:rsid w:val="000F2394"/>
    <w:rsid w:val="000F299F"/>
    <w:rsid w:val="000F31BF"/>
    <w:rsid w:val="000F4CF8"/>
    <w:rsid w:val="000F595A"/>
    <w:rsid w:val="000F6A15"/>
    <w:rsid w:val="000F7A01"/>
    <w:rsid w:val="001013E0"/>
    <w:rsid w:val="001018B7"/>
    <w:rsid w:val="00101BBD"/>
    <w:rsid w:val="00102962"/>
    <w:rsid w:val="00104EE3"/>
    <w:rsid w:val="00106E4C"/>
    <w:rsid w:val="001078C5"/>
    <w:rsid w:val="00107F97"/>
    <w:rsid w:val="00110C4F"/>
    <w:rsid w:val="00112C20"/>
    <w:rsid w:val="0011424D"/>
    <w:rsid w:val="0011437D"/>
    <w:rsid w:val="001143E3"/>
    <w:rsid w:val="00115A97"/>
    <w:rsid w:val="00115F23"/>
    <w:rsid w:val="0011641D"/>
    <w:rsid w:val="00121F7E"/>
    <w:rsid w:val="001222CE"/>
    <w:rsid w:val="00122CA9"/>
    <w:rsid w:val="0012308D"/>
    <w:rsid w:val="001238C9"/>
    <w:rsid w:val="00124E61"/>
    <w:rsid w:val="00124EFB"/>
    <w:rsid w:val="0012521B"/>
    <w:rsid w:val="00125CB0"/>
    <w:rsid w:val="00126EA5"/>
    <w:rsid w:val="00127774"/>
    <w:rsid w:val="00127AAA"/>
    <w:rsid w:val="00127DB1"/>
    <w:rsid w:val="00131CD1"/>
    <w:rsid w:val="00134861"/>
    <w:rsid w:val="0013653B"/>
    <w:rsid w:val="0013728E"/>
    <w:rsid w:val="001374FF"/>
    <w:rsid w:val="0013778A"/>
    <w:rsid w:val="00140C97"/>
    <w:rsid w:val="00143CDD"/>
    <w:rsid w:val="00144162"/>
    <w:rsid w:val="0014506C"/>
    <w:rsid w:val="0014687C"/>
    <w:rsid w:val="00146DAA"/>
    <w:rsid w:val="00146E31"/>
    <w:rsid w:val="001473DD"/>
    <w:rsid w:val="00147F85"/>
    <w:rsid w:val="00150E6C"/>
    <w:rsid w:val="00151AF8"/>
    <w:rsid w:val="00151EDA"/>
    <w:rsid w:val="001522F2"/>
    <w:rsid w:val="0015323F"/>
    <w:rsid w:val="00154ABF"/>
    <w:rsid w:val="00155E9D"/>
    <w:rsid w:val="00156B76"/>
    <w:rsid w:val="001574E3"/>
    <w:rsid w:val="0016037C"/>
    <w:rsid w:val="001615D0"/>
    <w:rsid w:val="001618E3"/>
    <w:rsid w:val="00164BE4"/>
    <w:rsid w:val="00166826"/>
    <w:rsid w:val="00166D6A"/>
    <w:rsid w:val="001675A8"/>
    <w:rsid w:val="0017008F"/>
    <w:rsid w:val="00172BFA"/>
    <w:rsid w:val="0017304D"/>
    <w:rsid w:val="00173D86"/>
    <w:rsid w:val="00173E66"/>
    <w:rsid w:val="00173F38"/>
    <w:rsid w:val="00173FE2"/>
    <w:rsid w:val="001757F6"/>
    <w:rsid w:val="0017590F"/>
    <w:rsid w:val="00177111"/>
    <w:rsid w:val="00177C58"/>
    <w:rsid w:val="00180E0F"/>
    <w:rsid w:val="00182A22"/>
    <w:rsid w:val="00184089"/>
    <w:rsid w:val="00185988"/>
    <w:rsid w:val="00187836"/>
    <w:rsid w:val="0018789F"/>
    <w:rsid w:val="00187A1C"/>
    <w:rsid w:val="00187B9A"/>
    <w:rsid w:val="00191107"/>
    <w:rsid w:val="00192A20"/>
    <w:rsid w:val="001932C1"/>
    <w:rsid w:val="00193FCF"/>
    <w:rsid w:val="001955EC"/>
    <w:rsid w:val="0019579A"/>
    <w:rsid w:val="001A1B16"/>
    <w:rsid w:val="001A28E2"/>
    <w:rsid w:val="001A2BCC"/>
    <w:rsid w:val="001A519B"/>
    <w:rsid w:val="001A6736"/>
    <w:rsid w:val="001B0549"/>
    <w:rsid w:val="001B0EB9"/>
    <w:rsid w:val="001B11B8"/>
    <w:rsid w:val="001B1D76"/>
    <w:rsid w:val="001B25CF"/>
    <w:rsid w:val="001B2A32"/>
    <w:rsid w:val="001B359A"/>
    <w:rsid w:val="001B3CEE"/>
    <w:rsid w:val="001B4669"/>
    <w:rsid w:val="001B54B7"/>
    <w:rsid w:val="001B7DCA"/>
    <w:rsid w:val="001C1186"/>
    <w:rsid w:val="001C1299"/>
    <w:rsid w:val="001C1FE8"/>
    <w:rsid w:val="001C22A1"/>
    <w:rsid w:val="001C267C"/>
    <w:rsid w:val="001C349E"/>
    <w:rsid w:val="001C5D7E"/>
    <w:rsid w:val="001C658E"/>
    <w:rsid w:val="001C6D2B"/>
    <w:rsid w:val="001C7AE0"/>
    <w:rsid w:val="001C7AF0"/>
    <w:rsid w:val="001D0F34"/>
    <w:rsid w:val="001D124E"/>
    <w:rsid w:val="001D1788"/>
    <w:rsid w:val="001D1FD8"/>
    <w:rsid w:val="001D3373"/>
    <w:rsid w:val="001D43C1"/>
    <w:rsid w:val="001D6048"/>
    <w:rsid w:val="001D60B2"/>
    <w:rsid w:val="001D70AD"/>
    <w:rsid w:val="001E0565"/>
    <w:rsid w:val="001E1F0B"/>
    <w:rsid w:val="001E2C48"/>
    <w:rsid w:val="001E37C8"/>
    <w:rsid w:val="001E4730"/>
    <w:rsid w:val="001E5A5B"/>
    <w:rsid w:val="001E6266"/>
    <w:rsid w:val="001E6C9C"/>
    <w:rsid w:val="001E787E"/>
    <w:rsid w:val="001E7984"/>
    <w:rsid w:val="001E7A93"/>
    <w:rsid w:val="001F0AD6"/>
    <w:rsid w:val="001F2747"/>
    <w:rsid w:val="001F30D9"/>
    <w:rsid w:val="001F3A00"/>
    <w:rsid w:val="001F5232"/>
    <w:rsid w:val="001F55E3"/>
    <w:rsid w:val="001F59C0"/>
    <w:rsid w:val="0020211D"/>
    <w:rsid w:val="00202741"/>
    <w:rsid w:val="0020365C"/>
    <w:rsid w:val="00204F01"/>
    <w:rsid w:val="00205EED"/>
    <w:rsid w:val="0020757F"/>
    <w:rsid w:val="00207C7E"/>
    <w:rsid w:val="00207DDD"/>
    <w:rsid w:val="00210301"/>
    <w:rsid w:val="002103D6"/>
    <w:rsid w:val="00210B83"/>
    <w:rsid w:val="00211593"/>
    <w:rsid w:val="0021208C"/>
    <w:rsid w:val="00213A2F"/>
    <w:rsid w:val="00213D72"/>
    <w:rsid w:val="00214065"/>
    <w:rsid w:val="00217975"/>
    <w:rsid w:val="002219BA"/>
    <w:rsid w:val="00221E9A"/>
    <w:rsid w:val="00222D15"/>
    <w:rsid w:val="002234B7"/>
    <w:rsid w:val="002243DD"/>
    <w:rsid w:val="00227340"/>
    <w:rsid w:val="0022796C"/>
    <w:rsid w:val="002317B1"/>
    <w:rsid w:val="0023186A"/>
    <w:rsid w:val="00232596"/>
    <w:rsid w:val="0023579C"/>
    <w:rsid w:val="00235EFF"/>
    <w:rsid w:val="0023662B"/>
    <w:rsid w:val="00237198"/>
    <w:rsid w:val="00241C46"/>
    <w:rsid w:val="00241DA8"/>
    <w:rsid w:val="00241E91"/>
    <w:rsid w:val="00242246"/>
    <w:rsid w:val="00242786"/>
    <w:rsid w:val="00242852"/>
    <w:rsid w:val="00242F11"/>
    <w:rsid w:val="0024361C"/>
    <w:rsid w:val="00243859"/>
    <w:rsid w:val="00244333"/>
    <w:rsid w:val="002444D2"/>
    <w:rsid w:val="00244988"/>
    <w:rsid w:val="00244B53"/>
    <w:rsid w:val="00245715"/>
    <w:rsid w:val="00245A4F"/>
    <w:rsid w:val="0024641A"/>
    <w:rsid w:val="00247BB9"/>
    <w:rsid w:val="00250521"/>
    <w:rsid w:val="00250616"/>
    <w:rsid w:val="0025139C"/>
    <w:rsid w:val="00251503"/>
    <w:rsid w:val="00255474"/>
    <w:rsid w:val="0025578B"/>
    <w:rsid w:val="00256270"/>
    <w:rsid w:val="00260B65"/>
    <w:rsid w:val="00261BF3"/>
    <w:rsid w:val="00262466"/>
    <w:rsid w:val="00262AEF"/>
    <w:rsid w:val="00263261"/>
    <w:rsid w:val="0026381C"/>
    <w:rsid w:val="00265191"/>
    <w:rsid w:val="00265AED"/>
    <w:rsid w:val="00267938"/>
    <w:rsid w:val="002737FA"/>
    <w:rsid w:val="00273801"/>
    <w:rsid w:val="00273C24"/>
    <w:rsid w:val="00273D8D"/>
    <w:rsid w:val="00273EFC"/>
    <w:rsid w:val="00274CC7"/>
    <w:rsid w:val="0027646F"/>
    <w:rsid w:val="00276674"/>
    <w:rsid w:val="002804BE"/>
    <w:rsid w:val="00283C68"/>
    <w:rsid w:val="0028502E"/>
    <w:rsid w:val="00285769"/>
    <w:rsid w:val="0028663F"/>
    <w:rsid w:val="00294DCB"/>
    <w:rsid w:val="002960EC"/>
    <w:rsid w:val="0029655F"/>
    <w:rsid w:val="002965FA"/>
    <w:rsid w:val="002974F8"/>
    <w:rsid w:val="002A13CC"/>
    <w:rsid w:val="002A17E6"/>
    <w:rsid w:val="002A23A7"/>
    <w:rsid w:val="002A24E6"/>
    <w:rsid w:val="002A2C1C"/>
    <w:rsid w:val="002A2E19"/>
    <w:rsid w:val="002A37D7"/>
    <w:rsid w:val="002A4178"/>
    <w:rsid w:val="002A46C3"/>
    <w:rsid w:val="002A5BC8"/>
    <w:rsid w:val="002A5BE8"/>
    <w:rsid w:val="002A5F8E"/>
    <w:rsid w:val="002A6837"/>
    <w:rsid w:val="002A79FD"/>
    <w:rsid w:val="002B0C50"/>
    <w:rsid w:val="002B1544"/>
    <w:rsid w:val="002B27C7"/>
    <w:rsid w:val="002B2A3E"/>
    <w:rsid w:val="002B309F"/>
    <w:rsid w:val="002B34CC"/>
    <w:rsid w:val="002B3CFC"/>
    <w:rsid w:val="002B54D7"/>
    <w:rsid w:val="002B67A8"/>
    <w:rsid w:val="002B69B2"/>
    <w:rsid w:val="002B7766"/>
    <w:rsid w:val="002C1867"/>
    <w:rsid w:val="002C261C"/>
    <w:rsid w:val="002C5659"/>
    <w:rsid w:val="002C62A1"/>
    <w:rsid w:val="002C6B6D"/>
    <w:rsid w:val="002D1A41"/>
    <w:rsid w:val="002D1CA3"/>
    <w:rsid w:val="002D3938"/>
    <w:rsid w:val="002D422D"/>
    <w:rsid w:val="002D4443"/>
    <w:rsid w:val="002D4CDA"/>
    <w:rsid w:val="002D56E9"/>
    <w:rsid w:val="002D61D6"/>
    <w:rsid w:val="002D653D"/>
    <w:rsid w:val="002D6F38"/>
    <w:rsid w:val="002D7C60"/>
    <w:rsid w:val="002E00F0"/>
    <w:rsid w:val="002E0EA1"/>
    <w:rsid w:val="002E1EFE"/>
    <w:rsid w:val="002E1FB2"/>
    <w:rsid w:val="002E34E8"/>
    <w:rsid w:val="002E35E3"/>
    <w:rsid w:val="002E3EAF"/>
    <w:rsid w:val="002E6CBB"/>
    <w:rsid w:val="002F023C"/>
    <w:rsid w:val="002F0A0E"/>
    <w:rsid w:val="002F4673"/>
    <w:rsid w:val="002F5E5F"/>
    <w:rsid w:val="002F6C83"/>
    <w:rsid w:val="002F71D2"/>
    <w:rsid w:val="002F7967"/>
    <w:rsid w:val="00300EC1"/>
    <w:rsid w:val="00300F39"/>
    <w:rsid w:val="00301E53"/>
    <w:rsid w:val="003024D8"/>
    <w:rsid w:val="0030255C"/>
    <w:rsid w:val="003029A6"/>
    <w:rsid w:val="00302CED"/>
    <w:rsid w:val="00303726"/>
    <w:rsid w:val="00303D43"/>
    <w:rsid w:val="00305234"/>
    <w:rsid w:val="0030566A"/>
    <w:rsid w:val="003056C4"/>
    <w:rsid w:val="00305F42"/>
    <w:rsid w:val="0030618F"/>
    <w:rsid w:val="003069D5"/>
    <w:rsid w:val="00307A5C"/>
    <w:rsid w:val="00312182"/>
    <w:rsid w:val="00312A94"/>
    <w:rsid w:val="003137AB"/>
    <w:rsid w:val="00314203"/>
    <w:rsid w:val="00314412"/>
    <w:rsid w:val="00315FEE"/>
    <w:rsid w:val="00316BCE"/>
    <w:rsid w:val="00316E4B"/>
    <w:rsid w:val="00317249"/>
    <w:rsid w:val="00320A0A"/>
    <w:rsid w:val="00322489"/>
    <w:rsid w:val="00322BE2"/>
    <w:rsid w:val="00323340"/>
    <w:rsid w:val="00324402"/>
    <w:rsid w:val="00326397"/>
    <w:rsid w:val="003273CD"/>
    <w:rsid w:val="00330D69"/>
    <w:rsid w:val="00331021"/>
    <w:rsid w:val="003323B0"/>
    <w:rsid w:val="0033262B"/>
    <w:rsid w:val="00332B4D"/>
    <w:rsid w:val="00334424"/>
    <w:rsid w:val="00334A1C"/>
    <w:rsid w:val="0033579A"/>
    <w:rsid w:val="003366F0"/>
    <w:rsid w:val="00336BAF"/>
    <w:rsid w:val="003403F6"/>
    <w:rsid w:val="00341056"/>
    <w:rsid w:val="00341830"/>
    <w:rsid w:val="00341FC0"/>
    <w:rsid w:val="003432A2"/>
    <w:rsid w:val="0034381E"/>
    <w:rsid w:val="00343AF6"/>
    <w:rsid w:val="00344BB3"/>
    <w:rsid w:val="00344FE6"/>
    <w:rsid w:val="00345F2B"/>
    <w:rsid w:val="00346EDC"/>
    <w:rsid w:val="00351A1C"/>
    <w:rsid w:val="00351A21"/>
    <w:rsid w:val="003520D6"/>
    <w:rsid w:val="00353B05"/>
    <w:rsid w:val="00355A2A"/>
    <w:rsid w:val="00355CFB"/>
    <w:rsid w:val="003561FC"/>
    <w:rsid w:val="003566A6"/>
    <w:rsid w:val="00356D64"/>
    <w:rsid w:val="00360CB3"/>
    <w:rsid w:val="00361546"/>
    <w:rsid w:val="00361A92"/>
    <w:rsid w:val="00361ADC"/>
    <w:rsid w:val="003627A0"/>
    <w:rsid w:val="00362980"/>
    <w:rsid w:val="0036387B"/>
    <w:rsid w:val="00364406"/>
    <w:rsid w:val="00364525"/>
    <w:rsid w:val="00364C2E"/>
    <w:rsid w:val="003664F5"/>
    <w:rsid w:val="00366DA9"/>
    <w:rsid w:val="00370D2D"/>
    <w:rsid w:val="003711B8"/>
    <w:rsid w:val="00372917"/>
    <w:rsid w:val="003735D9"/>
    <w:rsid w:val="0037363A"/>
    <w:rsid w:val="003744D9"/>
    <w:rsid w:val="0037630E"/>
    <w:rsid w:val="003769D0"/>
    <w:rsid w:val="003772F9"/>
    <w:rsid w:val="00377C6F"/>
    <w:rsid w:val="00377D73"/>
    <w:rsid w:val="00380FC6"/>
    <w:rsid w:val="003813F1"/>
    <w:rsid w:val="00381B94"/>
    <w:rsid w:val="0038370F"/>
    <w:rsid w:val="00385561"/>
    <w:rsid w:val="00386AF3"/>
    <w:rsid w:val="00392B95"/>
    <w:rsid w:val="00392E21"/>
    <w:rsid w:val="003932D8"/>
    <w:rsid w:val="00394F89"/>
    <w:rsid w:val="003950CE"/>
    <w:rsid w:val="003957AD"/>
    <w:rsid w:val="003960B5"/>
    <w:rsid w:val="0039615F"/>
    <w:rsid w:val="003A014D"/>
    <w:rsid w:val="003A0A1E"/>
    <w:rsid w:val="003A0B0C"/>
    <w:rsid w:val="003A1DC0"/>
    <w:rsid w:val="003A22E8"/>
    <w:rsid w:val="003A26EB"/>
    <w:rsid w:val="003A698A"/>
    <w:rsid w:val="003A6D0A"/>
    <w:rsid w:val="003A70E1"/>
    <w:rsid w:val="003B0508"/>
    <w:rsid w:val="003B0E08"/>
    <w:rsid w:val="003B2739"/>
    <w:rsid w:val="003B311E"/>
    <w:rsid w:val="003B37B7"/>
    <w:rsid w:val="003B3B16"/>
    <w:rsid w:val="003B406A"/>
    <w:rsid w:val="003B4346"/>
    <w:rsid w:val="003B49EB"/>
    <w:rsid w:val="003B5DB3"/>
    <w:rsid w:val="003B67A1"/>
    <w:rsid w:val="003C13B1"/>
    <w:rsid w:val="003C1535"/>
    <w:rsid w:val="003C1B58"/>
    <w:rsid w:val="003C1F43"/>
    <w:rsid w:val="003C1FE7"/>
    <w:rsid w:val="003C36AB"/>
    <w:rsid w:val="003C4F73"/>
    <w:rsid w:val="003C5766"/>
    <w:rsid w:val="003C5F48"/>
    <w:rsid w:val="003C7997"/>
    <w:rsid w:val="003C7D9E"/>
    <w:rsid w:val="003D037F"/>
    <w:rsid w:val="003D28E8"/>
    <w:rsid w:val="003D44A0"/>
    <w:rsid w:val="003D752E"/>
    <w:rsid w:val="003E03AD"/>
    <w:rsid w:val="003E1E18"/>
    <w:rsid w:val="003E2C93"/>
    <w:rsid w:val="003E3172"/>
    <w:rsid w:val="003E3FC3"/>
    <w:rsid w:val="003E4276"/>
    <w:rsid w:val="003E5DFD"/>
    <w:rsid w:val="003E6EDD"/>
    <w:rsid w:val="003E7A6A"/>
    <w:rsid w:val="003F0141"/>
    <w:rsid w:val="003F0453"/>
    <w:rsid w:val="003F1BC9"/>
    <w:rsid w:val="003F204E"/>
    <w:rsid w:val="003F2162"/>
    <w:rsid w:val="003F37FD"/>
    <w:rsid w:val="003F4132"/>
    <w:rsid w:val="003F6018"/>
    <w:rsid w:val="003F6565"/>
    <w:rsid w:val="003F6688"/>
    <w:rsid w:val="003F6B25"/>
    <w:rsid w:val="003F71CF"/>
    <w:rsid w:val="00401574"/>
    <w:rsid w:val="004028DF"/>
    <w:rsid w:val="004030D3"/>
    <w:rsid w:val="00403327"/>
    <w:rsid w:val="00403A2A"/>
    <w:rsid w:val="00403AE1"/>
    <w:rsid w:val="00404336"/>
    <w:rsid w:val="00404C1B"/>
    <w:rsid w:val="00405943"/>
    <w:rsid w:val="00405B8E"/>
    <w:rsid w:val="004071D2"/>
    <w:rsid w:val="00407290"/>
    <w:rsid w:val="004073FB"/>
    <w:rsid w:val="00407476"/>
    <w:rsid w:val="0041001B"/>
    <w:rsid w:val="00410DEF"/>
    <w:rsid w:val="00411C59"/>
    <w:rsid w:val="00411C87"/>
    <w:rsid w:val="00412AF3"/>
    <w:rsid w:val="00413812"/>
    <w:rsid w:val="004158D2"/>
    <w:rsid w:val="00416CBB"/>
    <w:rsid w:val="00416E3B"/>
    <w:rsid w:val="00417B78"/>
    <w:rsid w:val="00417DC8"/>
    <w:rsid w:val="00420473"/>
    <w:rsid w:val="00420E2E"/>
    <w:rsid w:val="0042328D"/>
    <w:rsid w:val="004236D9"/>
    <w:rsid w:val="00423D02"/>
    <w:rsid w:val="00424791"/>
    <w:rsid w:val="00424B2F"/>
    <w:rsid w:val="0042541C"/>
    <w:rsid w:val="0042570D"/>
    <w:rsid w:val="00425759"/>
    <w:rsid w:val="00431AFA"/>
    <w:rsid w:val="00433493"/>
    <w:rsid w:val="004336F9"/>
    <w:rsid w:val="00433BFB"/>
    <w:rsid w:val="004343AB"/>
    <w:rsid w:val="004350E8"/>
    <w:rsid w:val="0043595F"/>
    <w:rsid w:val="00435E92"/>
    <w:rsid w:val="0043691A"/>
    <w:rsid w:val="004371CF"/>
    <w:rsid w:val="00437CBE"/>
    <w:rsid w:val="0044141E"/>
    <w:rsid w:val="00443072"/>
    <w:rsid w:val="00445D9C"/>
    <w:rsid w:val="004478DA"/>
    <w:rsid w:val="0044795B"/>
    <w:rsid w:val="00451C86"/>
    <w:rsid w:val="00452377"/>
    <w:rsid w:val="00453A7A"/>
    <w:rsid w:val="00453B53"/>
    <w:rsid w:val="004557C3"/>
    <w:rsid w:val="0045660E"/>
    <w:rsid w:val="0045727B"/>
    <w:rsid w:val="0046128C"/>
    <w:rsid w:val="004620CE"/>
    <w:rsid w:val="00462545"/>
    <w:rsid w:val="00463811"/>
    <w:rsid w:val="0046415C"/>
    <w:rsid w:val="0046439E"/>
    <w:rsid w:val="00465199"/>
    <w:rsid w:val="00465F5C"/>
    <w:rsid w:val="0046627A"/>
    <w:rsid w:val="00466A23"/>
    <w:rsid w:val="00470277"/>
    <w:rsid w:val="00470E1C"/>
    <w:rsid w:val="0047172C"/>
    <w:rsid w:val="00471756"/>
    <w:rsid w:val="00472206"/>
    <w:rsid w:val="0047284A"/>
    <w:rsid w:val="00475E15"/>
    <w:rsid w:val="004760A3"/>
    <w:rsid w:val="00477673"/>
    <w:rsid w:val="00480121"/>
    <w:rsid w:val="00484608"/>
    <w:rsid w:val="00484DDB"/>
    <w:rsid w:val="00486596"/>
    <w:rsid w:val="00490540"/>
    <w:rsid w:val="00490965"/>
    <w:rsid w:val="00490BB2"/>
    <w:rsid w:val="004913AB"/>
    <w:rsid w:val="004917F0"/>
    <w:rsid w:val="00491BE0"/>
    <w:rsid w:val="00491D40"/>
    <w:rsid w:val="004933F9"/>
    <w:rsid w:val="004935C2"/>
    <w:rsid w:val="00493869"/>
    <w:rsid w:val="00493B9F"/>
    <w:rsid w:val="00494CCE"/>
    <w:rsid w:val="00496797"/>
    <w:rsid w:val="004967BE"/>
    <w:rsid w:val="00496847"/>
    <w:rsid w:val="00496F33"/>
    <w:rsid w:val="004A2465"/>
    <w:rsid w:val="004A2A32"/>
    <w:rsid w:val="004A3695"/>
    <w:rsid w:val="004A4E77"/>
    <w:rsid w:val="004A4EAE"/>
    <w:rsid w:val="004A51CE"/>
    <w:rsid w:val="004A5418"/>
    <w:rsid w:val="004A5F15"/>
    <w:rsid w:val="004A66B2"/>
    <w:rsid w:val="004A6BE1"/>
    <w:rsid w:val="004A7CE5"/>
    <w:rsid w:val="004B0388"/>
    <w:rsid w:val="004B052F"/>
    <w:rsid w:val="004B06F8"/>
    <w:rsid w:val="004B2E1A"/>
    <w:rsid w:val="004B63BD"/>
    <w:rsid w:val="004B7E76"/>
    <w:rsid w:val="004C01EC"/>
    <w:rsid w:val="004C0969"/>
    <w:rsid w:val="004C2458"/>
    <w:rsid w:val="004C4287"/>
    <w:rsid w:val="004C4874"/>
    <w:rsid w:val="004C778F"/>
    <w:rsid w:val="004D2224"/>
    <w:rsid w:val="004D3883"/>
    <w:rsid w:val="004D3AA1"/>
    <w:rsid w:val="004D6F44"/>
    <w:rsid w:val="004E1633"/>
    <w:rsid w:val="004E226F"/>
    <w:rsid w:val="004E5B6A"/>
    <w:rsid w:val="004E7BAE"/>
    <w:rsid w:val="004F24D7"/>
    <w:rsid w:val="004F2E8C"/>
    <w:rsid w:val="004F3663"/>
    <w:rsid w:val="004F3AEC"/>
    <w:rsid w:val="004F527A"/>
    <w:rsid w:val="004F5EA0"/>
    <w:rsid w:val="004F682B"/>
    <w:rsid w:val="004F686A"/>
    <w:rsid w:val="004F7185"/>
    <w:rsid w:val="004F71A1"/>
    <w:rsid w:val="004F78D3"/>
    <w:rsid w:val="00500E84"/>
    <w:rsid w:val="005017E5"/>
    <w:rsid w:val="00501848"/>
    <w:rsid w:val="00501BF0"/>
    <w:rsid w:val="00502BBA"/>
    <w:rsid w:val="00503AC0"/>
    <w:rsid w:val="00504075"/>
    <w:rsid w:val="00504286"/>
    <w:rsid w:val="00504388"/>
    <w:rsid w:val="00504BBC"/>
    <w:rsid w:val="0050598C"/>
    <w:rsid w:val="005064AB"/>
    <w:rsid w:val="005066E7"/>
    <w:rsid w:val="0050794B"/>
    <w:rsid w:val="0051063F"/>
    <w:rsid w:val="00510A4E"/>
    <w:rsid w:val="0051139E"/>
    <w:rsid w:val="00512741"/>
    <w:rsid w:val="00513DB4"/>
    <w:rsid w:val="00514633"/>
    <w:rsid w:val="00516839"/>
    <w:rsid w:val="00517951"/>
    <w:rsid w:val="00517D4B"/>
    <w:rsid w:val="005200A0"/>
    <w:rsid w:val="005213C5"/>
    <w:rsid w:val="00522D63"/>
    <w:rsid w:val="00522D88"/>
    <w:rsid w:val="005233DF"/>
    <w:rsid w:val="00523D41"/>
    <w:rsid w:val="00523E02"/>
    <w:rsid w:val="00524497"/>
    <w:rsid w:val="005253D9"/>
    <w:rsid w:val="00526890"/>
    <w:rsid w:val="005268B6"/>
    <w:rsid w:val="00526EEE"/>
    <w:rsid w:val="005271A3"/>
    <w:rsid w:val="00530317"/>
    <w:rsid w:val="005304C5"/>
    <w:rsid w:val="00531C3D"/>
    <w:rsid w:val="00533803"/>
    <w:rsid w:val="00533EC3"/>
    <w:rsid w:val="0053495A"/>
    <w:rsid w:val="00534A54"/>
    <w:rsid w:val="00535CB1"/>
    <w:rsid w:val="00535DF9"/>
    <w:rsid w:val="00537EA9"/>
    <w:rsid w:val="005407BC"/>
    <w:rsid w:val="00540ADD"/>
    <w:rsid w:val="00542872"/>
    <w:rsid w:val="005429EB"/>
    <w:rsid w:val="0054377B"/>
    <w:rsid w:val="00543DB3"/>
    <w:rsid w:val="00544740"/>
    <w:rsid w:val="00546386"/>
    <w:rsid w:val="0054652C"/>
    <w:rsid w:val="00546D9A"/>
    <w:rsid w:val="005510DE"/>
    <w:rsid w:val="00552002"/>
    <w:rsid w:val="00552C12"/>
    <w:rsid w:val="00552E3E"/>
    <w:rsid w:val="00553E9A"/>
    <w:rsid w:val="0055505B"/>
    <w:rsid w:val="005552D8"/>
    <w:rsid w:val="005560F4"/>
    <w:rsid w:val="005562AE"/>
    <w:rsid w:val="005566AA"/>
    <w:rsid w:val="005607D1"/>
    <w:rsid w:val="00563262"/>
    <w:rsid w:val="00564164"/>
    <w:rsid w:val="00564D44"/>
    <w:rsid w:val="00565893"/>
    <w:rsid w:val="005660CF"/>
    <w:rsid w:val="005662BC"/>
    <w:rsid w:val="00567376"/>
    <w:rsid w:val="00567E8F"/>
    <w:rsid w:val="0057085C"/>
    <w:rsid w:val="00571CC9"/>
    <w:rsid w:val="005720C1"/>
    <w:rsid w:val="00575588"/>
    <w:rsid w:val="005777FD"/>
    <w:rsid w:val="005811BB"/>
    <w:rsid w:val="00581B57"/>
    <w:rsid w:val="00581C16"/>
    <w:rsid w:val="00584413"/>
    <w:rsid w:val="0058489E"/>
    <w:rsid w:val="00586E5C"/>
    <w:rsid w:val="00586EF0"/>
    <w:rsid w:val="005876A6"/>
    <w:rsid w:val="00590C37"/>
    <w:rsid w:val="005916AB"/>
    <w:rsid w:val="00592880"/>
    <w:rsid w:val="00593692"/>
    <w:rsid w:val="00594AF3"/>
    <w:rsid w:val="00596079"/>
    <w:rsid w:val="00596AF5"/>
    <w:rsid w:val="005A026A"/>
    <w:rsid w:val="005A260F"/>
    <w:rsid w:val="005A3367"/>
    <w:rsid w:val="005A3DF5"/>
    <w:rsid w:val="005A544F"/>
    <w:rsid w:val="005A7002"/>
    <w:rsid w:val="005A7AE0"/>
    <w:rsid w:val="005B0091"/>
    <w:rsid w:val="005B06B8"/>
    <w:rsid w:val="005B1E26"/>
    <w:rsid w:val="005B1FAD"/>
    <w:rsid w:val="005B23E4"/>
    <w:rsid w:val="005B2E64"/>
    <w:rsid w:val="005B3594"/>
    <w:rsid w:val="005B52BF"/>
    <w:rsid w:val="005B586E"/>
    <w:rsid w:val="005B6C34"/>
    <w:rsid w:val="005B776D"/>
    <w:rsid w:val="005C1EED"/>
    <w:rsid w:val="005C22F9"/>
    <w:rsid w:val="005C28A7"/>
    <w:rsid w:val="005C3DFB"/>
    <w:rsid w:val="005C4372"/>
    <w:rsid w:val="005C4620"/>
    <w:rsid w:val="005C474E"/>
    <w:rsid w:val="005C52B7"/>
    <w:rsid w:val="005C79C2"/>
    <w:rsid w:val="005D0085"/>
    <w:rsid w:val="005D077C"/>
    <w:rsid w:val="005D1310"/>
    <w:rsid w:val="005D363C"/>
    <w:rsid w:val="005D4A98"/>
    <w:rsid w:val="005D4C63"/>
    <w:rsid w:val="005D51BE"/>
    <w:rsid w:val="005D539A"/>
    <w:rsid w:val="005D54ED"/>
    <w:rsid w:val="005D5E61"/>
    <w:rsid w:val="005D5F1C"/>
    <w:rsid w:val="005D67B5"/>
    <w:rsid w:val="005D71DF"/>
    <w:rsid w:val="005D7943"/>
    <w:rsid w:val="005D7E9A"/>
    <w:rsid w:val="005E0ED7"/>
    <w:rsid w:val="005E1711"/>
    <w:rsid w:val="005E2926"/>
    <w:rsid w:val="005E292C"/>
    <w:rsid w:val="005E2C3C"/>
    <w:rsid w:val="005E33EE"/>
    <w:rsid w:val="005E4DB8"/>
    <w:rsid w:val="005E65D5"/>
    <w:rsid w:val="005E6F49"/>
    <w:rsid w:val="005F0E75"/>
    <w:rsid w:val="005F1E3A"/>
    <w:rsid w:val="005F5B9F"/>
    <w:rsid w:val="005F6D4A"/>
    <w:rsid w:val="005F7A06"/>
    <w:rsid w:val="00600D31"/>
    <w:rsid w:val="00601242"/>
    <w:rsid w:val="00602203"/>
    <w:rsid w:val="00602CF4"/>
    <w:rsid w:val="00603304"/>
    <w:rsid w:val="00603778"/>
    <w:rsid w:val="006041D5"/>
    <w:rsid w:val="0060442C"/>
    <w:rsid w:val="006128AB"/>
    <w:rsid w:val="00612D81"/>
    <w:rsid w:val="00617ACA"/>
    <w:rsid w:val="00617BA1"/>
    <w:rsid w:val="0062151A"/>
    <w:rsid w:val="006223B2"/>
    <w:rsid w:val="006224A3"/>
    <w:rsid w:val="00624082"/>
    <w:rsid w:val="0062483A"/>
    <w:rsid w:val="006256FE"/>
    <w:rsid w:val="0062686F"/>
    <w:rsid w:val="006270E0"/>
    <w:rsid w:val="00627EB5"/>
    <w:rsid w:val="00630036"/>
    <w:rsid w:val="0063097F"/>
    <w:rsid w:val="00631D08"/>
    <w:rsid w:val="00632FBF"/>
    <w:rsid w:val="00633161"/>
    <w:rsid w:val="006344AB"/>
    <w:rsid w:val="0063508B"/>
    <w:rsid w:val="00636C65"/>
    <w:rsid w:val="00640179"/>
    <w:rsid w:val="0064017D"/>
    <w:rsid w:val="006405B7"/>
    <w:rsid w:val="00640893"/>
    <w:rsid w:val="0064109C"/>
    <w:rsid w:val="00641A98"/>
    <w:rsid w:val="0064208C"/>
    <w:rsid w:val="0064368B"/>
    <w:rsid w:val="006452BE"/>
    <w:rsid w:val="006461CD"/>
    <w:rsid w:val="006473A1"/>
    <w:rsid w:val="00647BA5"/>
    <w:rsid w:val="00647C9B"/>
    <w:rsid w:val="006500D6"/>
    <w:rsid w:val="00650A38"/>
    <w:rsid w:val="00651703"/>
    <w:rsid w:val="00651C9F"/>
    <w:rsid w:val="00652D4A"/>
    <w:rsid w:val="00653270"/>
    <w:rsid w:val="00654856"/>
    <w:rsid w:val="00655194"/>
    <w:rsid w:val="006554C5"/>
    <w:rsid w:val="00655AC7"/>
    <w:rsid w:val="00660619"/>
    <w:rsid w:val="00660679"/>
    <w:rsid w:val="00661DFA"/>
    <w:rsid w:val="006620D2"/>
    <w:rsid w:val="00662958"/>
    <w:rsid w:val="0066311C"/>
    <w:rsid w:val="006638DC"/>
    <w:rsid w:val="00664439"/>
    <w:rsid w:val="0066451A"/>
    <w:rsid w:val="00666605"/>
    <w:rsid w:val="00666A21"/>
    <w:rsid w:val="0067068C"/>
    <w:rsid w:val="0067119E"/>
    <w:rsid w:val="0067161F"/>
    <w:rsid w:val="0067209C"/>
    <w:rsid w:val="006729BE"/>
    <w:rsid w:val="00673ACF"/>
    <w:rsid w:val="00673C6B"/>
    <w:rsid w:val="00674384"/>
    <w:rsid w:val="00677437"/>
    <w:rsid w:val="00677517"/>
    <w:rsid w:val="00677B4C"/>
    <w:rsid w:val="00677F2A"/>
    <w:rsid w:val="00680045"/>
    <w:rsid w:val="00680841"/>
    <w:rsid w:val="00680E44"/>
    <w:rsid w:val="00682233"/>
    <w:rsid w:val="006826F8"/>
    <w:rsid w:val="0068300E"/>
    <w:rsid w:val="0068359F"/>
    <w:rsid w:val="00684551"/>
    <w:rsid w:val="00684B63"/>
    <w:rsid w:val="00685A0C"/>
    <w:rsid w:val="006863B4"/>
    <w:rsid w:val="006866FF"/>
    <w:rsid w:val="00686EC7"/>
    <w:rsid w:val="00687246"/>
    <w:rsid w:val="0068737E"/>
    <w:rsid w:val="0068780F"/>
    <w:rsid w:val="00690785"/>
    <w:rsid w:val="006912A0"/>
    <w:rsid w:val="006927C6"/>
    <w:rsid w:val="006928CD"/>
    <w:rsid w:val="006938BE"/>
    <w:rsid w:val="00695108"/>
    <w:rsid w:val="006954E6"/>
    <w:rsid w:val="006965FC"/>
    <w:rsid w:val="00696813"/>
    <w:rsid w:val="00697949"/>
    <w:rsid w:val="006A08B7"/>
    <w:rsid w:val="006A2D72"/>
    <w:rsid w:val="006A2E21"/>
    <w:rsid w:val="006A3015"/>
    <w:rsid w:val="006A4070"/>
    <w:rsid w:val="006A487F"/>
    <w:rsid w:val="006A564A"/>
    <w:rsid w:val="006A649C"/>
    <w:rsid w:val="006A656E"/>
    <w:rsid w:val="006A6C67"/>
    <w:rsid w:val="006B3ACE"/>
    <w:rsid w:val="006B3B6A"/>
    <w:rsid w:val="006B3D87"/>
    <w:rsid w:val="006B4721"/>
    <w:rsid w:val="006B507A"/>
    <w:rsid w:val="006B5356"/>
    <w:rsid w:val="006B58F2"/>
    <w:rsid w:val="006B5B9B"/>
    <w:rsid w:val="006B6A30"/>
    <w:rsid w:val="006B70DD"/>
    <w:rsid w:val="006B7B7D"/>
    <w:rsid w:val="006C02EE"/>
    <w:rsid w:val="006C1616"/>
    <w:rsid w:val="006C2B7D"/>
    <w:rsid w:val="006C319B"/>
    <w:rsid w:val="006C3339"/>
    <w:rsid w:val="006C37C4"/>
    <w:rsid w:val="006C41D0"/>
    <w:rsid w:val="006C660F"/>
    <w:rsid w:val="006C66B4"/>
    <w:rsid w:val="006C6DC5"/>
    <w:rsid w:val="006C7744"/>
    <w:rsid w:val="006D39F5"/>
    <w:rsid w:val="006D78AE"/>
    <w:rsid w:val="006D7FD6"/>
    <w:rsid w:val="006E33E0"/>
    <w:rsid w:val="006E35AD"/>
    <w:rsid w:val="006E5D1D"/>
    <w:rsid w:val="006E6901"/>
    <w:rsid w:val="006F060E"/>
    <w:rsid w:val="006F0DBC"/>
    <w:rsid w:val="006F2D20"/>
    <w:rsid w:val="006F2EDE"/>
    <w:rsid w:val="006F3D77"/>
    <w:rsid w:val="006F4C1B"/>
    <w:rsid w:val="006F4D66"/>
    <w:rsid w:val="006F623C"/>
    <w:rsid w:val="006F7969"/>
    <w:rsid w:val="006F7ED9"/>
    <w:rsid w:val="007001DF"/>
    <w:rsid w:val="0070049D"/>
    <w:rsid w:val="007005AE"/>
    <w:rsid w:val="00700897"/>
    <w:rsid w:val="0070579C"/>
    <w:rsid w:val="00710262"/>
    <w:rsid w:val="00711947"/>
    <w:rsid w:val="00711F35"/>
    <w:rsid w:val="00712A16"/>
    <w:rsid w:val="00712DEC"/>
    <w:rsid w:val="007136E3"/>
    <w:rsid w:val="007137E6"/>
    <w:rsid w:val="0071426C"/>
    <w:rsid w:val="007149CE"/>
    <w:rsid w:val="00716C9E"/>
    <w:rsid w:val="00716FAC"/>
    <w:rsid w:val="0071732D"/>
    <w:rsid w:val="00717B8C"/>
    <w:rsid w:val="00720517"/>
    <w:rsid w:val="00722D04"/>
    <w:rsid w:val="00723EFE"/>
    <w:rsid w:val="00724EDC"/>
    <w:rsid w:val="007265DA"/>
    <w:rsid w:val="00726725"/>
    <w:rsid w:val="00730EE7"/>
    <w:rsid w:val="00731002"/>
    <w:rsid w:val="00731219"/>
    <w:rsid w:val="00731C5E"/>
    <w:rsid w:val="00734524"/>
    <w:rsid w:val="0073564F"/>
    <w:rsid w:val="0073573C"/>
    <w:rsid w:val="007359CA"/>
    <w:rsid w:val="00735B1C"/>
    <w:rsid w:val="00737673"/>
    <w:rsid w:val="00737B95"/>
    <w:rsid w:val="00737E5F"/>
    <w:rsid w:val="007401B0"/>
    <w:rsid w:val="0074055F"/>
    <w:rsid w:val="00740A03"/>
    <w:rsid w:val="00741B40"/>
    <w:rsid w:val="007430DA"/>
    <w:rsid w:val="00743AEE"/>
    <w:rsid w:val="00743F73"/>
    <w:rsid w:val="007440D1"/>
    <w:rsid w:val="0074481A"/>
    <w:rsid w:val="00744990"/>
    <w:rsid w:val="00745311"/>
    <w:rsid w:val="00746B78"/>
    <w:rsid w:val="00746DA1"/>
    <w:rsid w:val="007509B7"/>
    <w:rsid w:val="00751589"/>
    <w:rsid w:val="007530D7"/>
    <w:rsid w:val="007537EE"/>
    <w:rsid w:val="00754017"/>
    <w:rsid w:val="007547C9"/>
    <w:rsid w:val="007551B1"/>
    <w:rsid w:val="00755DAC"/>
    <w:rsid w:val="0076066A"/>
    <w:rsid w:val="0076082A"/>
    <w:rsid w:val="00763E23"/>
    <w:rsid w:val="00767C59"/>
    <w:rsid w:val="0077005A"/>
    <w:rsid w:val="00776FEC"/>
    <w:rsid w:val="00777063"/>
    <w:rsid w:val="007802EC"/>
    <w:rsid w:val="00780923"/>
    <w:rsid w:val="007809A5"/>
    <w:rsid w:val="00780D1E"/>
    <w:rsid w:val="00781082"/>
    <w:rsid w:val="00781FD5"/>
    <w:rsid w:val="00782276"/>
    <w:rsid w:val="00782516"/>
    <w:rsid w:val="0078476B"/>
    <w:rsid w:val="0078481D"/>
    <w:rsid w:val="007848D8"/>
    <w:rsid w:val="00786A77"/>
    <w:rsid w:val="00790D29"/>
    <w:rsid w:val="00790ED6"/>
    <w:rsid w:val="00792B3F"/>
    <w:rsid w:val="00792C0E"/>
    <w:rsid w:val="00792F96"/>
    <w:rsid w:val="0079304B"/>
    <w:rsid w:val="00793688"/>
    <w:rsid w:val="00793A9C"/>
    <w:rsid w:val="00793C5B"/>
    <w:rsid w:val="007946F5"/>
    <w:rsid w:val="00795FBB"/>
    <w:rsid w:val="0079693F"/>
    <w:rsid w:val="007969C9"/>
    <w:rsid w:val="007976E7"/>
    <w:rsid w:val="00797C0F"/>
    <w:rsid w:val="007A08BB"/>
    <w:rsid w:val="007A0A79"/>
    <w:rsid w:val="007A1F8A"/>
    <w:rsid w:val="007A5171"/>
    <w:rsid w:val="007A5F8D"/>
    <w:rsid w:val="007A6629"/>
    <w:rsid w:val="007A6A54"/>
    <w:rsid w:val="007B0011"/>
    <w:rsid w:val="007B037E"/>
    <w:rsid w:val="007B1C65"/>
    <w:rsid w:val="007B2CA3"/>
    <w:rsid w:val="007B30AB"/>
    <w:rsid w:val="007B538E"/>
    <w:rsid w:val="007B5643"/>
    <w:rsid w:val="007B574D"/>
    <w:rsid w:val="007B5D70"/>
    <w:rsid w:val="007B62EB"/>
    <w:rsid w:val="007B67C4"/>
    <w:rsid w:val="007B6A1F"/>
    <w:rsid w:val="007B79E0"/>
    <w:rsid w:val="007C00A6"/>
    <w:rsid w:val="007C0326"/>
    <w:rsid w:val="007C0672"/>
    <w:rsid w:val="007C07C8"/>
    <w:rsid w:val="007C2807"/>
    <w:rsid w:val="007C310D"/>
    <w:rsid w:val="007C33B0"/>
    <w:rsid w:val="007C36F3"/>
    <w:rsid w:val="007C47DF"/>
    <w:rsid w:val="007C6E14"/>
    <w:rsid w:val="007C7640"/>
    <w:rsid w:val="007D17B4"/>
    <w:rsid w:val="007D1D08"/>
    <w:rsid w:val="007D21B0"/>
    <w:rsid w:val="007D3336"/>
    <w:rsid w:val="007D3B47"/>
    <w:rsid w:val="007D3FE4"/>
    <w:rsid w:val="007D40A0"/>
    <w:rsid w:val="007D47F3"/>
    <w:rsid w:val="007D4C1B"/>
    <w:rsid w:val="007D59B2"/>
    <w:rsid w:val="007D63B1"/>
    <w:rsid w:val="007D70D3"/>
    <w:rsid w:val="007D78B7"/>
    <w:rsid w:val="007E05E7"/>
    <w:rsid w:val="007E0B96"/>
    <w:rsid w:val="007E137A"/>
    <w:rsid w:val="007E3597"/>
    <w:rsid w:val="007E3A78"/>
    <w:rsid w:val="007E41B9"/>
    <w:rsid w:val="007E530C"/>
    <w:rsid w:val="007E79AA"/>
    <w:rsid w:val="007F06B4"/>
    <w:rsid w:val="007F21D0"/>
    <w:rsid w:val="007F3028"/>
    <w:rsid w:val="007F3CF0"/>
    <w:rsid w:val="007F4AB3"/>
    <w:rsid w:val="007F5D55"/>
    <w:rsid w:val="007F6CF1"/>
    <w:rsid w:val="007F70FC"/>
    <w:rsid w:val="007F7412"/>
    <w:rsid w:val="007F7967"/>
    <w:rsid w:val="007F7B0D"/>
    <w:rsid w:val="00800308"/>
    <w:rsid w:val="00803B37"/>
    <w:rsid w:val="00803B63"/>
    <w:rsid w:val="00804491"/>
    <w:rsid w:val="0080500E"/>
    <w:rsid w:val="00807101"/>
    <w:rsid w:val="00807D44"/>
    <w:rsid w:val="00810F34"/>
    <w:rsid w:val="008113D9"/>
    <w:rsid w:val="008127AC"/>
    <w:rsid w:val="00812AF6"/>
    <w:rsid w:val="00812BC1"/>
    <w:rsid w:val="00814331"/>
    <w:rsid w:val="00814956"/>
    <w:rsid w:val="00814C9F"/>
    <w:rsid w:val="00814E93"/>
    <w:rsid w:val="00815478"/>
    <w:rsid w:val="00815873"/>
    <w:rsid w:val="00815B63"/>
    <w:rsid w:val="00815EC8"/>
    <w:rsid w:val="00816F0A"/>
    <w:rsid w:val="00817B22"/>
    <w:rsid w:val="00820549"/>
    <w:rsid w:val="00821C3E"/>
    <w:rsid w:val="00821D26"/>
    <w:rsid w:val="00822D3B"/>
    <w:rsid w:val="008252D8"/>
    <w:rsid w:val="008253B0"/>
    <w:rsid w:val="00825656"/>
    <w:rsid w:val="008260B3"/>
    <w:rsid w:val="008316F5"/>
    <w:rsid w:val="00833127"/>
    <w:rsid w:val="00833C58"/>
    <w:rsid w:val="00834B5B"/>
    <w:rsid w:val="0083501F"/>
    <w:rsid w:val="00836A78"/>
    <w:rsid w:val="00837224"/>
    <w:rsid w:val="008419F8"/>
    <w:rsid w:val="008428B7"/>
    <w:rsid w:val="0084307D"/>
    <w:rsid w:val="008440AB"/>
    <w:rsid w:val="00844D98"/>
    <w:rsid w:val="00845B06"/>
    <w:rsid w:val="00846B7C"/>
    <w:rsid w:val="00846EA8"/>
    <w:rsid w:val="0084739C"/>
    <w:rsid w:val="0084780A"/>
    <w:rsid w:val="00850EA2"/>
    <w:rsid w:val="00851E01"/>
    <w:rsid w:val="008528C6"/>
    <w:rsid w:val="008532F6"/>
    <w:rsid w:val="00854270"/>
    <w:rsid w:val="0085485A"/>
    <w:rsid w:val="008559F8"/>
    <w:rsid w:val="00856809"/>
    <w:rsid w:val="00857563"/>
    <w:rsid w:val="008575F8"/>
    <w:rsid w:val="00857840"/>
    <w:rsid w:val="00860A4A"/>
    <w:rsid w:val="00860F9B"/>
    <w:rsid w:val="00861D2E"/>
    <w:rsid w:val="008632C0"/>
    <w:rsid w:val="00866530"/>
    <w:rsid w:val="00867169"/>
    <w:rsid w:val="008677F5"/>
    <w:rsid w:val="00870485"/>
    <w:rsid w:val="008718FB"/>
    <w:rsid w:val="00871F46"/>
    <w:rsid w:val="008727C9"/>
    <w:rsid w:val="00872CA7"/>
    <w:rsid w:val="00873111"/>
    <w:rsid w:val="00874297"/>
    <w:rsid w:val="008772F9"/>
    <w:rsid w:val="008778FD"/>
    <w:rsid w:val="00880165"/>
    <w:rsid w:val="008804DE"/>
    <w:rsid w:val="00881491"/>
    <w:rsid w:val="00882281"/>
    <w:rsid w:val="00883728"/>
    <w:rsid w:val="008846A8"/>
    <w:rsid w:val="00884CE6"/>
    <w:rsid w:val="00885259"/>
    <w:rsid w:val="008873E4"/>
    <w:rsid w:val="00887FAD"/>
    <w:rsid w:val="008906F1"/>
    <w:rsid w:val="008915FE"/>
    <w:rsid w:val="008917CC"/>
    <w:rsid w:val="00891B6C"/>
    <w:rsid w:val="00891FAD"/>
    <w:rsid w:val="00892BF4"/>
    <w:rsid w:val="0089402E"/>
    <w:rsid w:val="00894063"/>
    <w:rsid w:val="008949B7"/>
    <w:rsid w:val="00894F37"/>
    <w:rsid w:val="008965D2"/>
    <w:rsid w:val="008979FD"/>
    <w:rsid w:val="008A0BE7"/>
    <w:rsid w:val="008A2DE9"/>
    <w:rsid w:val="008A3ABF"/>
    <w:rsid w:val="008A3D83"/>
    <w:rsid w:val="008A476A"/>
    <w:rsid w:val="008A4FE3"/>
    <w:rsid w:val="008B0D36"/>
    <w:rsid w:val="008B135E"/>
    <w:rsid w:val="008B1E9C"/>
    <w:rsid w:val="008B1F2F"/>
    <w:rsid w:val="008B3FF2"/>
    <w:rsid w:val="008B4EFA"/>
    <w:rsid w:val="008B650A"/>
    <w:rsid w:val="008B6F1F"/>
    <w:rsid w:val="008C2008"/>
    <w:rsid w:val="008C2A68"/>
    <w:rsid w:val="008C2D3B"/>
    <w:rsid w:val="008C379E"/>
    <w:rsid w:val="008C3F59"/>
    <w:rsid w:val="008C446C"/>
    <w:rsid w:val="008C5D24"/>
    <w:rsid w:val="008D093B"/>
    <w:rsid w:val="008D1AE0"/>
    <w:rsid w:val="008D1C35"/>
    <w:rsid w:val="008D2601"/>
    <w:rsid w:val="008D2A2B"/>
    <w:rsid w:val="008D2A85"/>
    <w:rsid w:val="008D2D4E"/>
    <w:rsid w:val="008D2E05"/>
    <w:rsid w:val="008D2F5D"/>
    <w:rsid w:val="008D638F"/>
    <w:rsid w:val="008D74B0"/>
    <w:rsid w:val="008D7A2B"/>
    <w:rsid w:val="008E1490"/>
    <w:rsid w:val="008E1FDB"/>
    <w:rsid w:val="008E7864"/>
    <w:rsid w:val="008E78E4"/>
    <w:rsid w:val="008F07E1"/>
    <w:rsid w:val="008F2764"/>
    <w:rsid w:val="008F28AE"/>
    <w:rsid w:val="008F2AB4"/>
    <w:rsid w:val="008F40BB"/>
    <w:rsid w:val="008F443E"/>
    <w:rsid w:val="008F77B9"/>
    <w:rsid w:val="00901147"/>
    <w:rsid w:val="009029AE"/>
    <w:rsid w:val="0090312C"/>
    <w:rsid w:val="00907E0C"/>
    <w:rsid w:val="00910997"/>
    <w:rsid w:val="009133B3"/>
    <w:rsid w:val="009150C2"/>
    <w:rsid w:val="00915DFE"/>
    <w:rsid w:val="0091698C"/>
    <w:rsid w:val="00916B63"/>
    <w:rsid w:val="00920A3D"/>
    <w:rsid w:val="0092249C"/>
    <w:rsid w:val="009231A4"/>
    <w:rsid w:val="009260E5"/>
    <w:rsid w:val="009267EE"/>
    <w:rsid w:val="0092729A"/>
    <w:rsid w:val="009304F0"/>
    <w:rsid w:val="00931D62"/>
    <w:rsid w:val="009325B9"/>
    <w:rsid w:val="00933E87"/>
    <w:rsid w:val="0093431D"/>
    <w:rsid w:val="00935996"/>
    <w:rsid w:val="00940DE7"/>
    <w:rsid w:val="009422BC"/>
    <w:rsid w:val="00943B2F"/>
    <w:rsid w:val="00943E4D"/>
    <w:rsid w:val="009441D6"/>
    <w:rsid w:val="00947A22"/>
    <w:rsid w:val="0095243D"/>
    <w:rsid w:val="009524C8"/>
    <w:rsid w:val="00953FB5"/>
    <w:rsid w:val="009541FE"/>
    <w:rsid w:val="009542B5"/>
    <w:rsid w:val="0095678C"/>
    <w:rsid w:val="00960080"/>
    <w:rsid w:val="00961CA6"/>
    <w:rsid w:val="0096227A"/>
    <w:rsid w:val="0096249B"/>
    <w:rsid w:val="0096320C"/>
    <w:rsid w:val="0096498F"/>
    <w:rsid w:val="009649AC"/>
    <w:rsid w:val="009655C5"/>
    <w:rsid w:val="00966069"/>
    <w:rsid w:val="009666C1"/>
    <w:rsid w:val="009669A6"/>
    <w:rsid w:val="009669BF"/>
    <w:rsid w:val="00967FA0"/>
    <w:rsid w:val="009700C2"/>
    <w:rsid w:val="0097050D"/>
    <w:rsid w:val="00970C33"/>
    <w:rsid w:val="009711D0"/>
    <w:rsid w:val="0097151E"/>
    <w:rsid w:val="00973565"/>
    <w:rsid w:val="00973AB9"/>
    <w:rsid w:val="00973E47"/>
    <w:rsid w:val="00976592"/>
    <w:rsid w:val="00976CAA"/>
    <w:rsid w:val="009778BC"/>
    <w:rsid w:val="009807BE"/>
    <w:rsid w:val="00981DDE"/>
    <w:rsid w:val="00981FE1"/>
    <w:rsid w:val="0098246F"/>
    <w:rsid w:val="00982671"/>
    <w:rsid w:val="009832A3"/>
    <w:rsid w:val="00983639"/>
    <w:rsid w:val="0098406E"/>
    <w:rsid w:val="009849B9"/>
    <w:rsid w:val="009872BA"/>
    <w:rsid w:val="0098772A"/>
    <w:rsid w:val="00987DF0"/>
    <w:rsid w:val="00990AF1"/>
    <w:rsid w:val="00992F27"/>
    <w:rsid w:val="009944CB"/>
    <w:rsid w:val="00995FB3"/>
    <w:rsid w:val="009978DF"/>
    <w:rsid w:val="00997E89"/>
    <w:rsid w:val="009A04CA"/>
    <w:rsid w:val="009A0D48"/>
    <w:rsid w:val="009A28DE"/>
    <w:rsid w:val="009A2BDB"/>
    <w:rsid w:val="009A3866"/>
    <w:rsid w:val="009A460E"/>
    <w:rsid w:val="009A4F44"/>
    <w:rsid w:val="009A5AF4"/>
    <w:rsid w:val="009A70E9"/>
    <w:rsid w:val="009A75F3"/>
    <w:rsid w:val="009A7A18"/>
    <w:rsid w:val="009B028A"/>
    <w:rsid w:val="009B18F9"/>
    <w:rsid w:val="009B260A"/>
    <w:rsid w:val="009B2F88"/>
    <w:rsid w:val="009B3482"/>
    <w:rsid w:val="009B402E"/>
    <w:rsid w:val="009B4C22"/>
    <w:rsid w:val="009B59A4"/>
    <w:rsid w:val="009B64E8"/>
    <w:rsid w:val="009B7243"/>
    <w:rsid w:val="009B7627"/>
    <w:rsid w:val="009B7D42"/>
    <w:rsid w:val="009C0C93"/>
    <w:rsid w:val="009C732C"/>
    <w:rsid w:val="009C750C"/>
    <w:rsid w:val="009D1714"/>
    <w:rsid w:val="009D1CCF"/>
    <w:rsid w:val="009D25D6"/>
    <w:rsid w:val="009D2FCD"/>
    <w:rsid w:val="009D5744"/>
    <w:rsid w:val="009D6837"/>
    <w:rsid w:val="009D6EA6"/>
    <w:rsid w:val="009D7CA0"/>
    <w:rsid w:val="009E0FE8"/>
    <w:rsid w:val="009E1652"/>
    <w:rsid w:val="009E38A0"/>
    <w:rsid w:val="009E3B94"/>
    <w:rsid w:val="009E5571"/>
    <w:rsid w:val="009E7CE1"/>
    <w:rsid w:val="009F10E7"/>
    <w:rsid w:val="009F1375"/>
    <w:rsid w:val="009F1884"/>
    <w:rsid w:val="009F5268"/>
    <w:rsid w:val="009F5F98"/>
    <w:rsid w:val="009F6C5B"/>
    <w:rsid w:val="00A00E01"/>
    <w:rsid w:val="00A00FD2"/>
    <w:rsid w:val="00A01F22"/>
    <w:rsid w:val="00A03AD7"/>
    <w:rsid w:val="00A043DC"/>
    <w:rsid w:val="00A04712"/>
    <w:rsid w:val="00A069CD"/>
    <w:rsid w:val="00A078C8"/>
    <w:rsid w:val="00A1117B"/>
    <w:rsid w:val="00A11459"/>
    <w:rsid w:val="00A11998"/>
    <w:rsid w:val="00A12835"/>
    <w:rsid w:val="00A12A26"/>
    <w:rsid w:val="00A14086"/>
    <w:rsid w:val="00A14D74"/>
    <w:rsid w:val="00A15D1C"/>
    <w:rsid w:val="00A17634"/>
    <w:rsid w:val="00A20001"/>
    <w:rsid w:val="00A2070E"/>
    <w:rsid w:val="00A208D8"/>
    <w:rsid w:val="00A2413E"/>
    <w:rsid w:val="00A24210"/>
    <w:rsid w:val="00A243F3"/>
    <w:rsid w:val="00A24B31"/>
    <w:rsid w:val="00A262D6"/>
    <w:rsid w:val="00A27B24"/>
    <w:rsid w:val="00A31498"/>
    <w:rsid w:val="00A32373"/>
    <w:rsid w:val="00A32B45"/>
    <w:rsid w:val="00A32ED9"/>
    <w:rsid w:val="00A337D4"/>
    <w:rsid w:val="00A33AB4"/>
    <w:rsid w:val="00A35DA1"/>
    <w:rsid w:val="00A373CD"/>
    <w:rsid w:val="00A37C1D"/>
    <w:rsid w:val="00A37CD5"/>
    <w:rsid w:val="00A405EE"/>
    <w:rsid w:val="00A411D0"/>
    <w:rsid w:val="00A422DB"/>
    <w:rsid w:val="00A425B6"/>
    <w:rsid w:val="00A45290"/>
    <w:rsid w:val="00A46901"/>
    <w:rsid w:val="00A47D7C"/>
    <w:rsid w:val="00A50947"/>
    <w:rsid w:val="00A50C5E"/>
    <w:rsid w:val="00A55F58"/>
    <w:rsid w:val="00A5640A"/>
    <w:rsid w:val="00A56773"/>
    <w:rsid w:val="00A57DC5"/>
    <w:rsid w:val="00A6143F"/>
    <w:rsid w:val="00A61941"/>
    <w:rsid w:val="00A619CA"/>
    <w:rsid w:val="00A61DBA"/>
    <w:rsid w:val="00A622B1"/>
    <w:rsid w:val="00A624F7"/>
    <w:rsid w:val="00A64652"/>
    <w:rsid w:val="00A654CE"/>
    <w:rsid w:val="00A65C98"/>
    <w:rsid w:val="00A66D56"/>
    <w:rsid w:val="00A67027"/>
    <w:rsid w:val="00A670D8"/>
    <w:rsid w:val="00A67482"/>
    <w:rsid w:val="00A704E1"/>
    <w:rsid w:val="00A71197"/>
    <w:rsid w:val="00A71A90"/>
    <w:rsid w:val="00A7202E"/>
    <w:rsid w:val="00A72F34"/>
    <w:rsid w:val="00A74690"/>
    <w:rsid w:val="00A779E4"/>
    <w:rsid w:val="00A77A2A"/>
    <w:rsid w:val="00A818C3"/>
    <w:rsid w:val="00A81A8F"/>
    <w:rsid w:val="00A83E44"/>
    <w:rsid w:val="00A85261"/>
    <w:rsid w:val="00A86D72"/>
    <w:rsid w:val="00A87211"/>
    <w:rsid w:val="00A87D40"/>
    <w:rsid w:val="00A90BA1"/>
    <w:rsid w:val="00A91BC9"/>
    <w:rsid w:val="00A92531"/>
    <w:rsid w:val="00A926E9"/>
    <w:rsid w:val="00A92826"/>
    <w:rsid w:val="00A932DD"/>
    <w:rsid w:val="00A93A2C"/>
    <w:rsid w:val="00A94F8E"/>
    <w:rsid w:val="00A9513E"/>
    <w:rsid w:val="00A97213"/>
    <w:rsid w:val="00A9753E"/>
    <w:rsid w:val="00AA07E6"/>
    <w:rsid w:val="00AA0D39"/>
    <w:rsid w:val="00AA11FA"/>
    <w:rsid w:val="00AA1AD7"/>
    <w:rsid w:val="00AA1C7E"/>
    <w:rsid w:val="00AA24C8"/>
    <w:rsid w:val="00AA2C8B"/>
    <w:rsid w:val="00AA41C7"/>
    <w:rsid w:val="00AA4240"/>
    <w:rsid w:val="00AA5BEF"/>
    <w:rsid w:val="00AA661A"/>
    <w:rsid w:val="00AA6A0B"/>
    <w:rsid w:val="00AA7575"/>
    <w:rsid w:val="00AB2B2F"/>
    <w:rsid w:val="00AB2CCC"/>
    <w:rsid w:val="00AB2F15"/>
    <w:rsid w:val="00AB338A"/>
    <w:rsid w:val="00AB4699"/>
    <w:rsid w:val="00AB64FE"/>
    <w:rsid w:val="00AB7EDB"/>
    <w:rsid w:val="00AC0418"/>
    <w:rsid w:val="00AC32EF"/>
    <w:rsid w:val="00AC3EC2"/>
    <w:rsid w:val="00AC41DE"/>
    <w:rsid w:val="00AC5879"/>
    <w:rsid w:val="00AC7DF9"/>
    <w:rsid w:val="00AD0C04"/>
    <w:rsid w:val="00AD2222"/>
    <w:rsid w:val="00AD2B8A"/>
    <w:rsid w:val="00AD3118"/>
    <w:rsid w:val="00AD3BC9"/>
    <w:rsid w:val="00AD44A5"/>
    <w:rsid w:val="00AD4F84"/>
    <w:rsid w:val="00AD57C1"/>
    <w:rsid w:val="00AD6534"/>
    <w:rsid w:val="00AD6866"/>
    <w:rsid w:val="00AD6CAA"/>
    <w:rsid w:val="00AD7B12"/>
    <w:rsid w:val="00AE058D"/>
    <w:rsid w:val="00AE0E89"/>
    <w:rsid w:val="00AE187C"/>
    <w:rsid w:val="00AE1916"/>
    <w:rsid w:val="00AE222F"/>
    <w:rsid w:val="00AE25F2"/>
    <w:rsid w:val="00AE32C2"/>
    <w:rsid w:val="00AE47FA"/>
    <w:rsid w:val="00AE5482"/>
    <w:rsid w:val="00AE7836"/>
    <w:rsid w:val="00AF0F35"/>
    <w:rsid w:val="00AF1718"/>
    <w:rsid w:val="00AF1810"/>
    <w:rsid w:val="00AF39F3"/>
    <w:rsid w:val="00AF4B8D"/>
    <w:rsid w:val="00AF588A"/>
    <w:rsid w:val="00AF5E2B"/>
    <w:rsid w:val="00AF63F5"/>
    <w:rsid w:val="00B00417"/>
    <w:rsid w:val="00B00661"/>
    <w:rsid w:val="00B0542F"/>
    <w:rsid w:val="00B068EB"/>
    <w:rsid w:val="00B07C1D"/>
    <w:rsid w:val="00B102AA"/>
    <w:rsid w:val="00B11A10"/>
    <w:rsid w:val="00B13025"/>
    <w:rsid w:val="00B14739"/>
    <w:rsid w:val="00B149CB"/>
    <w:rsid w:val="00B1590F"/>
    <w:rsid w:val="00B15ACB"/>
    <w:rsid w:val="00B15FFE"/>
    <w:rsid w:val="00B16A34"/>
    <w:rsid w:val="00B17CB9"/>
    <w:rsid w:val="00B20053"/>
    <w:rsid w:val="00B216BC"/>
    <w:rsid w:val="00B21D82"/>
    <w:rsid w:val="00B22919"/>
    <w:rsid w:val="00B229DA"/>
    <w:rsid w:val="00B25263"/>
    <w:rsid w:val="00B26108"/>
    <w:rsid w:val="00B30B6D"/>
    <w:rsid w:val="00B33119"/>
    <w:rsid w:val="00B33315"/>
    <w:rsid w:val="00B36264"/>
    <w:rsid w:val="00B401A1"/>
    <w:rsid w:val="00B41303"/>
    <w:rsid w:val="00B41955"/>
    <w:rsid w:val="00B42324"/>
    <w:rsid w:val="00B42535"/>
    <w:rsid w:val="00B4309E"/>
    <w:rsid w:val="00B43574"/>
    <w:rsid w:val="00B45E77"/>
    <w:rsid w:val="00B473CA"/>
    <w:rsid w:val="00B478E0"/>
    <w:rsid w:val="00B5084F"/>
    <w:rsid w:val="00B50BCC"/>
    <w:rsid w:val="00B515BC"/>
    <w:rsid w:val="00B51C94"/>
    <w:rsid w:val="00B52CD9"/>
    <w:rsid w:val="00B546B2"/>
    <w:rsid w:val="00B54DEE"/>
    <w:rsid w:val="00B55FDF"/>
    <w:rsid w:val="00B566F1"/>
    <w:rsid w:val="00B61188"/>
    <w:rsid w:val="00B61234"/>
    <w:rsid w:val="00B62E10"/>
    <w:rsid w:val="00B6328D"/>
    <w:rsid w:val="00B63A10"/>
    <w:rsid w:val="00B63EB4"/>
    <w:rsid w:val="00B65611"/>
    <w:rsid w:val="00B65F45"/>
    <w:rsid w:val="00B67548"/>
    <w:rsid w:val="00B72068"/>
    <w:rsid w:val="00B727D0"/>
    <w:rsid w:val="00B74C7B"/>
    <w:rsid w:val="00B74EB1"/>
    <w:rsid w:val="00B75026"/>
    <w:rsid w:val="00B7616F"/>
    <w:rsid w:val="00B765A5"/>
    <w:rsid w:val="00B76E73"/>
    <w:rsid w:val="00B76FDD"/>
    <w:rsid w:val="00B80909"/>
    <w:rsid w:val="00B87603"/>
    <w:rsid w:val="00B94000"/>
    <w:rsid w:val="00B975DE"/>
    <w:rsid w:val="00B97CF8"/>
    <w:rsid w:val="00BA0302"/>
    <w:rsid w:val="00BA2312"/>
    <w:rsid w:val="00BA2C05"/>
    <w:rsid w:val="00BA35EB"/>
    <w:rsid w:val="00BA3A6C"/>
    <w:rsid w:val="00BA43C0"/>
    <w:rsid w:val="00BA4F05"/>
    <w:rsid w:val="00BA5008"/>
    <w:rsid w:val="00BB09DF"/>
    <w:rsid w:val="00BB0CB6"/>
    <w:rsid w:val="00BB2912"/>
    <w:rsid w:val="00BB2FE1"/>
    <w:rsid w:val="00BB3285"/>
    <w:rsid w:val="00BB3B3D"/>
    <w:rsid w:val="00BB47E4"/>
    <w:rsid w:val="00BB4BA1"/>
    <w:rsid w:val="00BB4D8B"/>
    <w:rsid w:val="00BB526D"/>
    <w:rsid w:val="00BB5607"/>
    <w:rsid w:val="00BB6310"/>
    <w:rsid w:val="00BB64B7"/>
    <w:rsid w:val="00BB6975"/>
    <w:rsid w:val="00BC0B7F"/>
    <w:rsid w:val="00BC0DC7"/>
    <w:rsid w:val="00BC1B65"/>
    <w:rsid w:val="00BC2A78"/>
    <w:rsid w:val="00BC3FC3"/>
    <w:rsid w:val="00BC4224"/>
    <w:rsid w:val="00BC4C17"/>
    <w:rsid w:val="00BC53C5"/>
    <w:rsid w:val="00BC5770"/>
    <w:rsid w:val="00BD0724"/>
    <w:rsid w:val="00BD0834"/>
    <w:rsid w:val="00BD12C6"/>
    <w:rsid w:val="00BD13C3"/>
    <w:rsid w:val="00BD2128"/>
    <w:rsid w:val="00BD304A"/>
    <w:rsid w:val="00BD3D04"/>
    <w:rsid w:val="00BD485F"/>
    <w:rsid w:val="00BD4F65"/>
    <w:rsid w:val="00BD5C4B"/>
    <w:rsid w:val="00BD5C82"/>
    <w:rsid w:val="00BD70D3"/>
    <w:rsid w:val="00BD7937"/>
    <w:rsid w:val="00BE07A3"/>
    <w:rsid w:val="00BE11CE"/>
    <w:rsid w:val="00BE1BC1"/>
    <w:rsid w:val="00BE3EB6"/>
    <w:rsid w:val="00BE5E5F"/>
    <w:rsid w:val="00BE6E55"/>
    <w:rsid w:val="00BE74D6"/>
    <w:rsid w:val="00BE7CF1"/>
    <w:rsid w:val="00BF0653"/>
    <w:rsid w:val="00BF0EF3"/>
    <w:rsid w:val="00BF3452"/>
    <w:rsid w:val="00BF373A"/>
    <w:rsid w:val="00BF395A"/>
    <w:rsid w:val="00BF4472"/>
    <w:rsid w:val="00BF4FCB"/>
    <w:rsid w:val="00BF5831"/>
    <w:rsid w:val="00BF58B5"/>
    <w:rsid w:val="00BF7349"/>
    <w:rsid w:val="00BF7B7E"/>
    <w:rsid w:val="00BF7C26"/>
    <w:rsid w:val="00C001A4"/>
    <w:rsid w:val="00C0051F"/>
    <w:rsid w:val="00C00B71"/>
    <w:rsid w:val="00C014BA"/>
    <w:rsid w:val="00C018AF"/>
    <w:rsid w:val="00C01939"/>
    <w:rsid w:val="00C02304"/>
    <w:rsid w:val="00C03E4D"/>
    <w:rsid w:val="00C05A38"/>
    <w:rsid w:val="00C06156"/>
    <w:rsid w:val="00C06296"/>
    <w:rsid w:val="00C106F5"/>
    <w:rsid w:val="00C107C7"/>
    <w:rsid w:val="00C10C69"/>
    <w:rsid w:val="00C10D78"/>
    <w:rsid w:val="00C119B1"/>
    <w:rsid w:val="00C1325E"/>
    <w:rsid w:val="00C14C6A"/>
    <w:rsid w:val="00C15128"/>
    <w:rsid w:val="00C151B8"/>
    <w:rsid w:val="00C15C73"/>
    <w:rsid w:val="00C166F3"/>
    <w:rsid w:val="00C1715A"/>
    <w:rsid w:val="00C175BF"/>
    <w:rsid w:val="00C21A07"/>
    <w:rsid w:val="00C2327E"/>
    <w:rsid w:val="00C23A59"/>
    <w:rsid w:val="00C23B7D"/>
    <w:rsid w:val="00C240B2"/>
    <w:rsid w:val="00C26233"/>
    <w:rsid w:val="00C263DD"/>
    <w:rsid w:val="00C2661B"/>
    <w:rsid w:val="00C273DF"/>
    <w:rsid w:val="00C31FFE"/>
    <w:rsid w:val="00C330FD"/>
    <w:rsid w:val="00C3349D"/>
    <w:rsid w:val="00C33789"/>
    <w:rsid w:val="00C3494E"/>
    <w:rsid w:val="00C34C90"/>
    <w:rsid w:val="00C3650D"/>
    <w:rsid w:val="00C3763E"/>
    <w:rsid w:val="00C37A80"/>
    <w:rsid w:val="00C44D3B"/>
    <w:rsid w:val="00C455EE"/>
    <w:rsid w:val="00C45626"/>
    <w:rsid w:val="00C4614F"/>
    <w:rsid w:val="00C46CA7"/>
    <w:rsid w:val="00C47EE3"/>
    <w:rsid w:val="00C50292"/>
    <w:rsid w:val="00C502D6"/>
    <w:rsid w:val="00C506F9"/>
    <w:rsid w:val="00C50A93"/>
    <w:rsid w:val="00C5102C"/>
    <w:rsid w:val="00C52CD3"/>
    <w:rsid w:val="00C54619"/>
    <w:rsid w:val="00C55A68"/>
    <w:rsid w:val="00C56AD6"/>
    <w:rsid w:val="00C61050"/>
    <w:rsid w:val="00C61AB9"/>
    <w:rsid w:val="00C62017"/>
    <w:rsid w:val="00C633DD"/>
    <w:rsid w:val="00C639D3"/>
    <w:rsid w:val="00C657DE"/>
    <w:rsid w:val="00C67DE8"/>
    <w:rsid w:val="00C67FF3"/>
    <w:rsid w:val="00C74F90"/>
    <w:rsid w:val="00C76AA7"/>
    <w:rsid w:val="00C82679"/>
    <w:rsid w:val="00C833F3"/>
    <w:rsid w:val="00C84400"/>
    <w:rsid w:val="00C849BE"/>
    <w:rsid w:val="00C87354"/>
    <w:rsid w:val="00C87605"/>
    <w:rsid w:val="00C90853"/>
    <w:rsid w:val="00C917C6"/>
    <w:rsid w:val="00C92021"/>
    <w:rsid w:val="00C92485"/>
    <w:rsid w:val="00C93689"/>
    <w:rsid w:val="00C936E7"/>
    <w:rsid w:val="00C942D5"/>
    <w:rsid w:val="00C94509"/>
    <w:rsid w:val="00C94AFD"/>
    <w:rsid w:val="00C95B12"/>
    <w:rsid w:val="00C960C7"/>
    <w:rsid w:val="00C9687D"/>
    <w:rsid w:val="00CA06E0"/>
    <w:rsid w:val="00CA23EF"/>
    <w:rsid w:val="00CA24C5"/>
    <w:rsid w:val="00CA3358"/>
    <w:rsid w:val="00CA3F4E"/>
    <w:rsid w:val="00CA43D3"/>
    <w:rsid w:val="00CA4747"/>
    <w:rsid w:val="00CA4957"/>
    <w:rsid w:val="00CA50E3"/>
    <w:rsid w:val="00CA5509"/>
    <w:rsid w:val="00CA5F33"/>
    <w:rsid w:val="00CA77DC"/>
    <w:rsid w:val="00CB03F5"/>
    <w:rsid w:val="00CB06A5"/>
    <w:rsid w:val="00CB111E"/>
    <w:rsid w:val="00CB263E"/>
    <w:rsid w:val="00CB26C3"/>
    <w:rsid w:val="00CB295E"/>
    <w:rsid w:val="00CB3297"/>
    <w:rsid w:val="00CB47BB"/>
    <w:rsid w:val="00CB4FCA"/>
    <w:rsid w:val="00CB6575"/>
    <w:rsid w:val="00CB7839"/>
    <w:rsid w:val="00CC1318"/>
    <w:rsid w:val="00CC1ECE"/>
    <w:rsid w:val="00CC31AA"/>
    <w:rsid w:val="00CC4FAF"/>
    <w:rsid w:val="00CC61CF"/>
    <w:rsid w:val="00CC7A91"/>
    <w:rsid w:val="00CD06C9"/>
    <w:rsid w:val="00CD0A03"/>
    <w:rsid w:val="00CD0CE2"/>
    <w:rsid w:val="00CD1380"/>
    <w:rsid w:val="00CD1610"/>
    <w:rsid w:val="00CD1842"/>
    <w:rsid w:val="00CD185E"/>
    <w:rsid w:val="00CD21FD"/>
    <w:rsid w:val="00CD3163"/>
    <w:rsid w:val="00CD42CE"/>
    <w:rsid w:val="00CD453A"/>
    <w:rsid w:val="00CD4D8D"/>
    <w:rsid w:val="00CD4DDC"/>
    <w:rsid w:val="00CD5A26"/>
    <w:rsid w:val="00CD79D4"/>
    <w:rsid w:val="00CE11F0"/>
    <w:rsid w:val="00CE3719"/>
    <w:rsid w:val="00CE4D96"/>
    <w:rsid w:val="00CE53A9"/>
    <w:rsid w:val="00CE6710"/>
    <w:rsid w:val="00CE7218"/>
    <w:rsid w:val="00CF015D"/>
    <w:rsid w:val="00CF0F94"/>
    <w:rsid w:val="00CF2A1C"/>
    <w:rsid w:val="00CF35E1"/>
    <w:rsid w:val="00CF628B"/>
    <w:rsid w:val="00CF66B5"/>
    <w:rsid w:val="00CF6ACB"/>
    <w:rsid w:val="00CF6E98"/>
    <w:rsid w:val="00CF7372"/>
    <w:rsid w:val="00CF7890"/>
    <w:rsid w:val="00D00A67"/>
    <w:rsid w:val="00D00D6D"/>
    <w:rsid w:val="00D01755"/>
    <w:rsid w:val="00D01BC3"/>
    <w:rsid w:val="00D02528"/>
    <w:rsid w:val="00D02AD3"/>
    <w:rsid w:val="00D04197"/>
    <w:rsid w:val="00D056E0"/>
    <w:rsid w:val="00D07048"/>
    <w:rsid w:val="00D072C7"/>
    <w:rsid w:val="00D07465"/>
    <w:rsid w:val="00D0776A"/>
    <w:rsid w:val="00D07FED"/>
    <w:rsid w:val="00D105CF"/>
    <w:rsid w:val="00D1275E"/>
    <w:rsid w:val="00D13496"/>
    <w:rsid w:val="00D13A97"/>
    <w:rsid w:val="00D13AEE"/>
    <w:rsid w:val="00D144AC"/>
    <w:rsid w:val="00D1662F"/>
    <w:rsid w:val="00D17C18"/>
    <w:rsid w:val="00D20CFF"/>
    <w:rsid w:val="00D217E9"/>
    <w:rsid w:val="00D22368"/>
    <w:rsid w:val="00D223F9"/>
    <w:rsid w:val="00D23CD2"/>
    <w:rsid w:val="00D23FF0"/>
    <w:rsid w:val="00D24087"/>
    <w:rsid w:val="00D25C11"/>
    <w:rsid w:val="00D25D9E"/>
    <w:rsid w:val="00D26167"/>
    <w:rsid w:val="00D26E06"/>
    <w:rsid w:val="00D27131"/>
    <w:rsid w:val="00D275DF"/>
    <w:rsid w:val="00D3046E"/>
    <w:rsid w:val="00D3052B"/>
    <w:rsid w:val="00D30D39"/>
    <w:rsid w:val="00D3138F"/>
    <w:rsid w:val="00D3213D"/>
    <w:rsid w:val="00D3250D"/>
    <w:rsid w:val="00D32E5D"/>
    <w:rsid w:val="00D337FB"/>
    <w:rsid w:val="00D3382E"/>
    <w:rsid w:val="00D35018"/>
    <w:rsid w:val="00D35691"/>
    <w:rsid w:val="00D35E0A"/>
    <w:rsid w:val="00D40376"/>
    <w:rsid w:val="00D41A44"/>
    <w:rsid w:val="00D41F8C"/>
    <w:rsid w:val="00D4247E"/>
    <w:rsid w:val="00D42D4D"/>
    <w:rsid w:val="00D435B3"/>
    <w:rsid w:val="00D436D2"/>
    <w:rsid w:val="00D440E8"/>
    <w:rsid w:val="00D4488A"/>
    <w:rsid w:val="00D4628E"/>
    <w:rsid w:val="00D4678A"/>
    <w:rsid w:val="00D468BD"/>
    <w:rsid w:val="00D47704"/>
    <w:rsid w:val="00D504DB"/>
    <w:rsid w:val="00D50761"/>
    <w:rsid w:val="00D51601"/>
    <w:rsid w:val="00D518CD"/>
    <w:rsid w:val="00D53559"/>
    <w:rsid w:val="00D53B01"/>
    <w:rsid w:val="00D54FBA"/>
    <w:rsid w:val="00D56448"/>
    <w:rsid w:val="00D57455"/>
    <w:rsid w:val="00D607B8"/>
    <w:rsid w:val="00D61258"/>
    <w:rsid w:val="00D628EB"/>
    <w:rsid w:val="00D635A1"/>
    <w:rsid w:val="00D63712"/>
    <w:rsid w:val="00D6479C"/>
    <w:rsid w:val="00D64A21"/>
    <w:rsid w:val="00D65BA5"/>
    <w:rsid w:val="00D66BEC"/>
    <w:rsid w:val="00D66F9C"/>
    <w:rsid w:val="00D67A5C"/>
    <w:rsid w:val="00D70CD3"/>
    <w:rsid w:val="00D71F3B"/>
    <w:rsid w:val="00D7212E"/>
    <w:rsid w:val="00D72C9A"/>
    <w:rsid w:val="00D72ED1"/>
    <w:rsid w:val="00D7460E"/>
    <w:rsid w:val="00D755F5"/>
    <w:rsid w:val="00D75708"/>
    <w:rsid w:val="00D758D3"/>
    <w:rsid w:val="00D758E8"/>
    <w:rsid w:val="00D76198"/>
    <w:rsid w:val="00D80059"/>
    <w:rsid w:val="00D80344"/>
    <w:rsid w:val="00D823B4"/>
    <w:rsid w:val="00D85601"/>
    <w:rsid w:val="00D86160"/>
    <w:rsid w:val="00D86626"/>
    <w:rsid w:val="00D86ACF"/>
    <w:rsid w:val="00D91235"/>
    <w:rsid w:val="00D912D1"/>
    <w:rsid w:val="00D92363"/>
    <w:rsid w:val="00D92AD8"/>
    <w:rsid w:val="00D93104"/>
    <w:rsid w:val="00D93160"/>
    <w:rsid w:val="00D94E09"/>
    <w:rsid w:val="00D956A2"/>
    <w:rsid w:val="00D95DF4"/>
    <w:rsid w:val="00D962BC"/>
    <w:rsid w:val="00DA290F"/>
    <w:rsid w:val="00DA2924"/>
    <w:rsid w:val="00DA2F19"/>
    <w:rsid w:val="00DA46CF"/>
    <w:rsid w:val="00DA5F03"/>
    <w:rsid w:val="00DA75DB"/>
    <w:rsid w:val="00DB3A47"/>
    <w:rsid w:val="00DB4A7C"/>
    <w:rsid w:val="00DB7D66"/>
    <w:rsid w:val="00DC081D"/>
    <w:rsid w:val="00DC41F0"/>
    <w:rsid w:val="00DC5B93"/>
    <w:rsid w:val="00DC7872"/>
    <w:rsid w:val="00DD1973"/>
    <w:rsid w:val="00DD3154"/>
    <w:rsid w:val="00DD3370"/>
    <w:rsid w:val="00DD4835"/>
    <w:rsid w:val="00DD5FE8"/>
    <w:rsid w:val="00DD6D91"/>
    <w:rsid w:val="00DD7135"/>
    <w:rsid w:val="00DE05B2"/>
    <w:rsid w:val="00DE1F7D"/>
    <w:rsid w:val="00DE321B"/>
    <w:rsid w:val="00DE3B22"/>
    <w:rsid w:val="00DE456D"/>
    <w:rsid w:val="00DE521F"/>
    <w:rsid w:val="00DE5D9A"/>
    <w:rsid w:val="00DF0E63"/>
    <w:rsid w:val="00DF1E2D"/>
    <w:rsid w:val="00DF29FF"/>
    <w:rsid w:val="00DF2F0A"/>
    <w:rsid w:val="00DF34A2"/>
    <w:rsid w:val="00DF3C0D"/>
    <w:rsid w:val="00DF64BB"/>
    <w:rsid w:val="00DF7BFA"/>
    <w:rsid w:val="00DF7D3F"/>
    <w:rsid w:val="00DF7DE5"/>
    <w:rsid w:val="00E00CAE"/>
    <w:rsid w:val="00E00F6D"/>
    <w:rsid w:val="00E0190B"/>
    <w:rsid w:val="00E02662"/>
    <w:rsid w:val="00E02CEE"/>
    <w:rsid w:val="00E02D5C"/>
    <w:rsid w:val="00E0361A"/>
    <w:rsid w:val="00E042B1"/>
    <w:rsid w:val="00E05750"/>
    <w:rsid w:val="00E06D30"/>
    <w:rsid w:val="00E07259"/>
    <w:rsid w:val="00E07315"/>
    <w:rsid w:val="00E07E0A"/>
    <w:rsid w:val="00E12F0F"/>
    <w:rsid w:val="00E136A1"/>
    <w:rsid w:val="00E142FB"/>
    <w:rsid w:val="00E1455F"/>
    <w:rsid w:val="00E160AF"/>
    <w:rsid w:val="00E202A0"/>
    <w:rsid w:val="00E2195B"/>
    <w:rsid w:val="00E21C9F"/>
    <w:rsid w:val="00E2278B"/>
    <w:rsid w:val="00E23F3C"/>
    <w:rsid w:val="00E247E0"/>
    <w:rsid w:val="00E2496C"/>
    <w:rsid w:val="00E2497A"/>
    <w:rsid w:val="00E24987"/>
    <w:rsid w:val="00E24E75"/>
    <w:rsid w:val="00E25285"/>
    <w:rsid w:val="00E25B17"/>
    <w:rsid w:val="00E26249"/>
    <w:rsid w:val="00E27AE1"/>
    <w:rsid w:val="00E27F52"/>
    <w:rsid w:val="00E30F1E"/>
    <w:rsid w:val="00E312DA"/>
    <w:rsid w:val="00E31833"/>
    <w:rsid w:val="00E31F93"/>
    <w:rsid w:val="00E33B00"/>
    <w:rsid w:val="00E376B5"/>
    <w:rsid w:val="00E3773E"/>
    <w:rsid w:val="00E40F76"/>
    <w:rsid w:val="00E411F7"/>
    <w:rsid w:val="00E415CC"/>
    <w:rsid w:val="00E41C3F"/>
    <w:rsid w:val="00E423C9"/>
    <w:rsid w:val="00E463EE"/>
    <w:rsid w:val="00E46819"/>
    <w:rsid w:val="00E46AA9"/>
    <w:rsid w:val="00E51279"/>
    <w:rsid w:val="00E51806"/>
    <w:rsid w:val="00E51A6F"/>
    <w:rsid w:val="00E52A62"/>
    <w:rsid w:val="00E53412"/>
    <w:rsid w:val="00E540AF"/>
    <w:rsid w:val="00E554AF"/>
    <w:rsid w:val="00E559C4"/>
    <w:rsid w:val="00E55B13"/>
    <w:rsid w:val="00E5632B"/>
    <w:rsid w:val="00E56BCF"/>
    <w:rsid w:val="00E63547"/>
    <w:rsid w:val="00E637EB"/>
    <w:rsid w:val="00E64686"/>
    <w:rsid w:val="00E649B4"/>
    <w:rsid w:val="00E64D5B"/>
    <w:rsid w:val="00E66CFE"/>
    <w:rsid w:val="00E66E22"/>
    <w:rsid w:val="00E67216"/>
    <w:rsid w:val="00E67846"/>
    <w:rsid w:val="00E678C5"/>
    <w:rsid w:val="00E7016B"/>
    <w:rsid w:val="00E70473"/>
    <w:rsid w:val="00E71B58"/>
    <w:rsid w:val="00E71D46"/>
    <w:rsid w:val="00E738E8"/>
    <w:rsid w:val="00E75BDB"/>
    <w:rsid w:val="00E801DD"/>
    <w:rsid w:val="00E80600"/>
    <w:rsid w:val="00E807DC"/>
    <w:rsid w:val="00E80925"/>
    <w:rsid w:val="00E80FB2"/>
    <w:rsid w:val="00E8160A"/>
    <w:rsid w:val="00E81B50"/>
    <w:rsid w:val="00E81D69"/>
    <w:rsid w:val="00E8356D"/>
    <w:rsid w:val="00E843D0"/>
    <w:rsid w:val="00E84EB4"/>
    <w:rsid w:val="00E87461"/>
    <w:rsid w:val="00E87C51"/>
    <w:rsid w:val="00E87C96"/>
    <w:rsid w:val="00E901DB"/>
    <w:rsid w:val="00E90718"/>
    <w:rsid w:val="00E915CA"/>
    <w:rsid w:val="00E92006"/>
    <w:rsid w:val="00E92AC7"/>
    <w:rsid w:val="00E94444"/>
    <w:rsid w:val="00E968CD"/>
    <w:rsid w:val="00E96D13"/>
    <w:rsid w:val="00EA0AA7"/>
    <w:rsid w:val="00EA2F1E"/>
    <w:rsid w:val="00EA38A6"/>
    <w:rsid w:val="00EA3B6F"/>
    <w:rsid w:val="00EA4133"/>
    <w:rsid w:val="00EA416C"/>
    <w:rsid w:val="00EA43F1"/>
    <w:rsid w:val="00EA4D3E"/>
    <w:rsid w:val="00EA5BA4"/>
    <w:rsid w:val="00EA678F"/>
    <w:rsid w:val="00EA67D4"/>
    <w:rsid w:val="00EA6853"/>
    <w:rsid w:val="00EA6F6F"/>
    <w:rsid w:val="00EB06D3"/>
    <w:rsid w:val="00EB2561"/>
    <w:rsid w:val="00EB2702"/>
    <w:rsid w:val="00EB28E0"/>
    <w:rsid w:val="00EB6D73"/>
    <w:rsid w:val="00EB6DF1"/>
    <w:rsid w:val="00EB70D8"/>
    <w:rsid w:val="00EB721A"/>
    <w:rsid w:val="00EC07FA"/>
    <w:rsid w:val="00EC0804"/>
    <w:rsid w:val="00EC2069"/>
    <w:rsid w:val="00EC2618"/>
    <w:rsid w:val="00EC27ED"/>
    <w:rsid w:val="00EC2ACA"/>
    <w:rsid w:val="00EC5392"/>
    <w:rsid w:val="00EC6DAA"/>
    <w:rsid w:val="00EC6FD2"/>
    <w:rsid w:val="00EC77A5"/>
    <w:rsid w:val="00ED24A0"/>
    <w:rsid w:val="00ED26AD"/>
    <w:rsid w:val="00ED3C76"/>
    <w:rsid w:val="00ED3F83"/>
    <w:rsid w:val="00ED49D7"/>
    <w:rsid w:val="00ED4E7A"/>
    <w:rsid w:val="00ED5CC7"/>
    <w:rsid w:val="00ED62B7"/>
    <w:rsid w:val="00ED752C"/>
    <w:rsid w:val="00EE0AC0"/>
    <w:rsid w:val="00EE15E1"/>
    <w:rsid w:val="00EE162E"/>
    <w:rsid w:val="00EE232B"/>
    <w:rsid w:val="00EE2DAF"/>
    <w:rsid w:val="00EE3151"/>
    <w:rsid w:val="00EE3308"/>
    <w:rsid w:val="00EE38EB"/>
    <w:rsid w:val="00EE618F"/>
    <w:rsid w:val="00EF02E4"/>
    <w:rsid w:val="00EF0624"/>
    <w:rsid w:val="00EF2797"/>
    <w:rsid w:val="00EF4795"/>
    <w:rsid w:val="00EF4B98"/>
    <w:rsid w:val="00EF4BA9"/>
    <w:rsid w:val="00EF4E7A"/>
    <w:rsid w:val="00EF50CB"/>
    <w:rsid w:val="00EF655E"/>
    <w:rsid w:val="00EF6E8D"/>
    <w:rsid w:val="00EF6FAF"/>
    <w:rsid w:val="00F0080A"/>
    <w:rsid w:val="00F00920"/>
    <w:rsid w:val="00F017C2"/>
    <w:rsid w:val="00F0180B"/>
    <w:rsid w:val="00F03640"/>
    <w:rsid w:val="00F03661"/>
    <w:rsid w:val="00F03B7E"/>
    <w:rsid w:val="00F03F87"/>
    <w:rsid w:val="00F04F0D"/>
    <w:rsid w:val="00F059B2"/>
    <w:rsid w:val="00F07CC7"/>
    <w:rsid w:val="00F103C4"/>
    <w:rsid w:val="00F12196"/>
    <w:rsid w:val="00F1245C"/>
    <w:rsid w:val="00F12882"/>
    <w:rsid w:val="00F12942"/>
    <w:rsid w:val="00F1394A"/>
    <w:rsid w:val="00F14B33"/>
    <w:rsid w:val="00F15B22"/>
    <w:rsid w:val="00F17011"/>
    <w:rsid w:val="00F171E9"/>
    <w:rsid w:val="00F205C7"/>
    <w:rsid w:val="00F20CF4"/>
    <w:rsid w:val="00F2187B"/>
    <w:rsid w:val="00F21EBF"/>
    <w:rsid w:val="00F23106"/>
    <w:rsid w:val="00F2385F"/>
    <w:rsid w:val="00F24928"/>
    <w:rsid w:val="00F2536E"/>
    <w:rsid w:val="00F26493"/>
    <w:rsid w:val="00F26A77"/>
    <w:rsid w:val="00F27406"/>
    <w:rsid w:val="00F30B67"/>
    <w:rsid w:val="00F3113C"/>
    <w:rsid w:val="00F322ED"/>
    <w:rsid w:val="00F3481C"/>
    <w:rsid w:val="00F371DA"/>
    <w:rsid w:val="00F37780"/>
    <w:rsid w:val="00F40675"/>
    <w:rsid w:val="00F4102B"/>
    <w:rsid w:val="00F41393"/>
    <w:rsid w:val="00F432CA"/>
    <w:rsid w:val="00F43A75"/>
    <w:rsid w:val="00F4622C"/>
    <w:rsid w:val="00F47A4A"/>
    <w:rsid w:val="00F47D6C"/>
    <w:rsid w:val="00F5088C"/>
    <w:rsid w:val="00F530E3"/>
    <w:rsid w:val="00F531E5"/>
    <w:rsid w:val="00F53CF5"/>
    <w:rsid w:val="00F55054"/>
    <w:rsid w:val="00F55438"/>
    <w:rsid w:val="00F5553E"/>
    <w:rsid w:val="00F55C2F"/>
    <w:rsid w:val="00F56141"/>
    <w:rsid w:val="00F60981"/>
    <w:rsid w:val="00F61994"/>
    <w:rsid w:val="00F628B6"/>
    <w:rsid w:val="00F62A64"/>
    <w:rsid w:val="00F64260"/>
    <w:rsid w:val="00F64514"/>
    <w:rsid w:val="00F64942"/>
    <w:rsid w:val="00F662D6"/>
    <w:rsid w:val="00F66BA8"/>
    <w:rsid w:val="00F714E1"/>
    <w:rsid w:val="00F73869"/>
    <w:rsid w:val="00F739CF"/>
    <w:rsid w:val="00F75F6E"/>
    <w:rsid w:val="00F77566"/>
    <w:rsid w:val="00F77C2D"/>
    <w:rsid w:val="00F77DCB"/>
    <w:rsid w:val="00F833E5"/>
    <w:rsid w:val="00F83B0C"/>
    <w:rsid w:val="00F83F35"/>
    <w:rsid w:val="00F848D5"/>
    <w:rsid w:val="00F865CE"/>
    <w:rsid w:val="00F86C07"/>
    <w:rsid w:val="00F87434"/>
    <w:rsid w:val="00F875FE"/>
    <w:rsid w:val="00F9196F"/>
    <w:rsid w:val="00F92D26"/>
    <w:rsid w:val="00F92DC3"/>
    <w:rsid w:val="00F94756"/>
    <w:rsid w:val="00F94D82"/>
    <w:rsid w:val="00F9519B"/>
    <w:rsid w:val="00F95E48"/>
    <w:rsid w:val="00F96470"/>
    <w:rsid w:val="00F973B8"/>
    <w:rsid w:val="00FA03B6"/>
    <w:rsid w:val="00FA0877"/>
    <w:rsid w:val="00FA1020"/>
    <w:rsid w:val="00FA20F7"/>
    <w:rsid w:val="00FA2D2F"/>
    <w:rsid w:val="00FA4A8E"/>
    <w:rsid w:val="00FA4F8C"/>
    <w:rsid w:val="00FA5664"/>
    <w:rsid w:val="00FA6705"/>
    <w:rsid w:val="00FA6AE7"/>
    <w:rsid w:val="00FA7290"/>
    <w:rsid w:val="00FA7CAC"/>
    <w:rsid w:val="00FB070A"/>
    <w:rsid w:val="00FB0BAC"/>
    <w:rsid w:val="00FB1EFE"/>
    <w:rsid w:val="00FB23F7"/>
    <w:rsid w:val="00FB27EB"/>
    <w:rsid w:val="00FB452E"/>
    <w:rsid w:val="00FB4CAB"/>
    <w:rsid w:val="00FB6C7A"/>
    <w:rsid w:val="00FB739F"/>
    <w:rsid w:val="00FB7D66"/>
    <w:rsid w:val="00FB7F86"/>
    <w:rsid w:val="00FC01B6"/>
    <w:rsid w:val="00FC0D66"/>
    <w:rsid w:val="00FC188F"/>
    <w:rsid w:val="00FC2B2F"/>
    <w:rsid w:val="00FC3989"/>
    <w:rsid w:val="00FC4284"/>
    <w:rsid w:val="00FC50B4"/>
    <w:rsid w:val="00FC5A0E"/>
    <w:rsid w:val="00FC61FD"/>
    <w:rsid w:val="00FC7950"/>
    <w:rsid w:val="00FD0E9F"/>
    <w:rsid w:val="00FD2707"/>
    <w:rsid w:val="00FD2DF2"/>
    <w:rsid w:val="00FD2F3E"/>
    <w:rsid w:val="00FD30E9"/>
    <w:rsid w:val="00FD362F"/>
    <w:rsid w:val="00FD38A6"/>
    <w:rsid w:val="00FD4736"/>
    <w:rsid w:val="00FD4A59"/>
    <w:rsid w:val="00FD4B1C"/>
    <w:rsid w:val="00FD55B5"/>
    <w:rsid w:val="00FD6A8F"/>
    <w:rsid w:val="00FD7D38"/>
    <w:rsid w:val="00FE0CE0"/>
    <w:rsid w:val="00FE192E"/>
    <w:rsid w:val="00FE1D25"/>
    <w:rsid w:val="00FE3605"/>
    <w:rsid w:val="00FE4C6F"/>
    <w:rsid w:val="00FE513E"/>
    <w:rsid w:val="00FE5736"/>
    <w:rsid w:val="00FE6B88"/>
    <w:rsid w:val="00FE7811"/>
    <w:rsid w:val="00FF1540"/>
    <w:rsid w:val="00FF1D8F"/>
    <w:rsid w:val="00FF2F4A"/>
    <w:rsid w:val="00FF3892"/>
    <w:rsid w:val="00FF3CAD"/>
    <w:rsid w:val="00FF3D90"/>
    <w:rsid w:val="00FF47DE"/>
    <w:rsid w:val="00FF543B"/>
    <w:rsid w:val="00FF5ED7"/>
    <w:rsid w:val="00FF6AB3"/>
    <w:rsid w:val="00FF73F5"/>
    <w:rsid w:val="00FF7D4D"/>
    <w:rsid w:val="0D55430C"/>
    <w:rsid w:val="0D59FDD1"/>
    <w:rsid w:val="12D2BAD6"/>
    <w:rsid w:val="40931698"/>
    <w:rsid w:val="585BE7EB"/>
    <w:rsid w:val="7154B93B"/>
    <w:rsid w:val="74F78540"/>
    <w:rsid w:val="766AC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064C8"/>
  <w15:docId w15:val="{FB5002BC-410B-4A8F-9C0D-BD639665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38A"/>
    <w:rPr>
      <w:rFonts w:ascii="Calibri" w:eastAsia="Calibri" w:hAnsi="Calibri" w:cs="Calibri"/>
      <w:lang w:val="en-US" w:eastAsia="es-ES"/>
    </w:rPr>
  </w:style>
  <w:style w:type="paragraph" w:styleId="Heading1">
    <w:name w:val="heading 1"/>
    <w:basedOn w:val="Normal"/>
    <w:link w:val="Heading1Char"/>
    <w:uiPriority w:val="9"/>
    <w:qFormat/>
    <w:rsid w:val="00EB28E0"/>
    <w:pPr>
      <w:widowControl w:val="0"/>
      <w:autoSpaceDE w:val="0"/>
      <w:autoSpaceDN w:val="0"/>
      <w:spacing w:after="0" w:line="240" w:lineRule="auto"/>
      <w:ind w:left="110"/>
      <w:outlineLvl w:val="0"/>
    </w:pPr>
    <w:rPr>
      <w:rFonts w:ascii="Tahoma" w:eastAsia="Tahoma" w:hAnsi="Tahoma" w:cs="Tahoma"/>
      <w:b/>
      <w:bCs/>
      <w:sz w:val="32"/>
      <w:szCs w:val="32"/>
      <w:lang w:eastAsia="en-US"/>
    </w:rPr>
  </w:style>
  <w:style w:type="paragraph" w:styleId="Heading2">
    <w:name w:val="heading 2"/>
    <w:basedOn w:val="Normal"/>
    <w:next w:val="Normal"/>
    <w:link w:val="Heading2Char"/>
    <w:uiPriority w:val="9"/>
    <w:unhideWhenUsed/>
    <w:qFormat/>
    <w:rsid w:val="00470E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44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00D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70E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470E1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00D6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678"/>
    <w:rPr>
      <w:rFonts w:ascii="Calibri" w:eastAsia="Calibri" w:hAnsi="Calibri" w:cs="Calibri"/>
      <w:lang w:val="en-US" w:eastAsia="es-ES"/>
    </w:rPr>
  </w:style>
  <w:style w:type="paragraph" w:styleId="Footer">
    <w:name w:val="footer"/>
    <w:basedOn w:val="Normal"/>
    <w:link w:val="FooterChar"/>
    <w:uiPriority w:val="99"/>
    <w:unhideWhenUsed/>
    <w:rsid w:val="000A7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678"/>
    <w:rPr>
      <w:rFonts w:ascii="Calibri" w:eastAsia="Calibri" w:hAnsi="Calibri" w:cs="Calibri"/>
      <w:lang w:val="en-US" w:eastAsia="es-ES"/>
    </w:rPr>
  </w:style>
  <w:style w:type="table" w:customStyle="1" w:styleId="TableNormal1">
    <w:name w:val="Table Normal1"/>
    <w:uiPriority w:val="2"/>
    <w:semiHidden/>
    <w:unhideWhenUsed/>
    <w:qFormat/>
    <w:rsid w:val="000661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6188"/>
    <w:pPr>
      <w:widowControl w:val="0"/>
      <w:autoSpaceDE w:val="0"/>
      <w:autoSpaceDN w:val="0"/>
      <w:spacing w:after="0" w:line="240" w:lineRule="auto"/>
    </w:pPr>
    <w:rPr>
      <w:rFonts w:ascii="Arial" w:eastAsia="Arial" w:hAnsi="Arial" w:cs="Arial"/>
      <w:lang w:eastAsia="en-US"/>
    </w:rPr>
  </w:style>
  <w:style w:type="character" w:styleId="CommentReference">
    <w:name w:val="annotation reference"/>
    <w:basedOn w:val="DefaultParagraphFont"/>
    <w:uiPriority w:val="99"/>
    <w:unhideWhenUsed/>
    <w:rsid w:val="00066188"/>
    <w:rPr>
      <w:sz w:val="16"/>
      <w:szCs w:val="16"/>
    </w:rPr>
  </w:style>
  <w:style w:type="paragraph" w:styleId="CommentText">
    <w:name w:val="annotation text"/>
    <w:basedOn w:val="Normal"/>
    <w:link w:val="CommentTextChar"/>
    <w:uiPriority w:val="99"/>
    <w:unhideWhenUsed/>
    <w:rsid w:val="00066188"/>
    <w:pPr>
      <w:spacing w:line="240" w:lineRule="auto"/>
    </w:pPr>
    <w:rPr>
      <w:sz w:val="20"/>
      <w:szCs w:val="20"/>
    </w:rPr>
  </w:style>
  <w:style w:type="character" w:customStyle="1" w:styleId="CommentTextChar">
    <w:name w:val="Comment Text Char"/>
    <w:basedOn w:val="DefaultParagraphFont"/>
    <w:link w:val="CommentText"/>
    <w:uiPriority w:val="99"/>
    <w:rsid w:val="00066188"/>
    <w:rPr>
      <w:rFonts w:ascii="Calibri" w:eastAsia="Calibri" w:hAnsi="Calibri" w:cs="Calibri"/>
      <w:sz w:val="20"/>
      <w:szCs w:val="20"/>
      <w:lang w:val="en-US" w:eastAsia="es-ES"/>
    </w:rPr>
  </w:style>
  <w:style w:type="table" w:customStyle="1" w:styleId="TableNormal2">
    <w:name w:val="Table Normal2"/>
    <w:uiPriority w:val="2"/>
    <w:semiHidden/>
    <w:unhideWhenUsed/>
    <w:qFormat/>
    <w:rsid w:val="00A564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A5640A"/>
    <w:rPr>
      <w:b/>
      <w:bCs/>
    </w:rPr>
  </w:style>
  <w:style w:type="character" w:customStyle="1" w:styleId="CommentSubjectChar">
    <w:name w:val="Comment Subject Char"/>
    <w:basedOn w:val="CommentTextChar"/>
    <w:link w:val="CommentSubject"/>
    <w:uiPriority w:val="99"/>
    <w:semiHidden/>
    <w:rsid w:val="00A5640A"/>
    <w:rPr>
      <w:rFonts w:ascii="Calibri" w:eastAsia="Calibri" w:hAnsi="Calibri" w:cs="Calibri"/>
      <w:b/>
      <w:bCs/>
      <w:sz w:val="20"/>
      <w:szCs w:val="20"/>
      <w:lang w:val="en-US" w:eastAsia="es-ES"/>
    </w:rPr>
  </w:style>
  <w:style w:type="paragraph" w:styleId="BodyText">
    <w:name w:val="Body Text"/>
    <w:basedOn w:val="Normal"/>
    <w:link w:val="BodyTextChar"/>
    <w:uiPriority w:val="1"/>
    <w:qFormat/>
    <w:rsid w:val="000D4B26"/>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0D4B26"/>
    <w:rPr>
      <w:rFonts w:ascii="Arial" w:eastAsia="Arial" w:hAnsi="Arial" w:cs="Arial"/>
      <w:sz w:val="20"/>
      <w:szCs w:val="20"/>
      <w:lang w:val="en-US"/>
    </w:rPr>
  </w:style>
  <w:style w:type="character" w:customStyle="1" w:styleId="Heading1Char">
    <w:name w:val="Heading 1 Char"/>
    <w:basedOn w:val="DefaultParagraphFont"/>
    <w:link w:val="Heading1"/>
    <w:uiPriority w:val="9"/>
    <w:rsid w:val="00EB28E0"/>
    <w:rPr>
      <w:rFonts w:ascii="Tahoma" w:eastAsia="Tahoma" w:hAnsi="Tahoma" w:cs="Tahoma"/>
      <w:b/>
      <w:bCs/>
      <w:sz w:val="32"/>
      <w:szCs w:val="32"/>
      <w:lang w:val="en-US"/>
    </w:rPr>
  </w:style>
  <w:style w:type="paragraph" w:styleId="ListParagraph">
    <w:name w:val="List Paragraph"/>
    <w:basedOn w:val="Normal"/>
    <w:link w:val="ListParagraphChar"/>
    <w:uiPriority w:val="1"/>
    <w:qFormat/>
    <w:rsid w:val="00EB28E0"/>
    <w:pPr>
      <w:widowControl w:val="0"/>
      <w:autoSpaceDE w:val="0"/>
      <w:autoSpaceDN w:val="0"/>
      <w:spacing w:before="43" w:after="0" w:line="240" w:lineRule="auto"/>
      <w:ind w:left="634" w:hanging="171"/>
    </w:pPr>
    <w:rPr>
      <w:rFonts w:ascii="Tahoma" w:eastAsia="Tahoma" w:hAnsi="Tahoma" w:cs="Tahoma"/>
      <w:lang w:eastAsia="en-US"/>
    </w:rPr>
  </w:style>
  <w:style w:type="character" w:customStyle="1" w:styleId="Heading3Char">
    <w:name w:val="Heading 3 Char"/>
    <w:basedOn w:val="DefaultParagraphFont"/>
    <w:link w:val="Heading3"/>
    <w:uiPriority w:val="9"/>
    <w:rsid w:val="00C84400"/>
    <w:rPr>
      <w:rFonts w:asciiTheme="majorHAnsi" w:eastAsiaTheme="majorEastAsia" w:hAnsiTheme="majorHAnsi" w:cstheme="majorBidi"/>
      <w:color w:val="1F3763" w:themeColor="accent1" w:themeShade="7F"/>
      <w:sz w:val="24"/>
      <w:szCs w:val="24"/>
      <w:lang w:val="en-US" w:eastAsia="es-ES"/>
    </w:rPr>
  </w:style>
  <w:style w:type="character" w:customStyle="1" w:styleId="Heading2Char">
    <w:name w:val="Heading 2 Char"/>
    <w:basedOn w:val="DefaultParagraphFont"/>
    <w:link w:val="Heading2"/>
    <w:uiPriority w:val="9"/>
    <w:rsid w:val="00470E1C"/>
    <w:rPr>
      <w:rFonts w:asciiTheme="majorHAnsi" w:eastAsiaTheme="majorEastAsia" w:hAnsiTheme="majorHAnsi" w:cstheme="majorBidi"/>
      <w:color w:val="2F5496" w:themeColor="accent1" w:themeShade="BF"/>
      <w:sz w:val="26"/>
      <w:szCs w:val="26"/>
      <w:lang w:val="en-US" w:eastAsia="es-ES"/>
    </w:rPr>
  </w:style>
  <w:style w:type="character" w:customStyle="1" w:styleId="Heading5Char">
    <w:name w:val="Heading 5 Char"/>
    <w:basedOn w:val="DefaultParagraphFont"/>
    <w:link w:val="Heading5"/>
    <w:uiPriority w:val="9"/>
    <w:semiHidden/>
    <w:rsid w:val="00470E1C"/>
    <w:rPr>
      <w:rFonts w:asciiTheme="majorHAnsi" w:eastAsiaTheme="majorEastAsia" w:hAnsiTheme="majorHAnsi" w:cstheme="majorBidi"/>
      <w:color w:val="2F5496" w:themeColor="accent1" w:themeShade="BF"/>
      <w:lang w:val="en-US" w:eastAsia="es-ES"/>
    </w:rPr>
  </w:style>
  <w:style w:type="character" w:customStyle="1" w:styleId="Heading7Char">
    <w:name w:val="Heading 7 Char"/>
    <w:basedOn w:val="DefaultParagraphFont"/>
    <w:link w:val="Heading7"/>
    <w:uiPriority w:val="9"/>
    <w:semiHidden/>
    <w:rsid w:val="00470E1C"/>
    <w:rPr>
      <w:rFonts w:asciiTheme="majorHAnsi" w:eastAsiaTheme="majorEastAsia" w:hAnsiTheme="majorHAnsi" w:cstheme="majorBidi"/>
      <w:i/>
      <w:iCs/>
      <w:color w:val="1F3763" w:themeColor="accent1" w:themeShade="7F"/>
      <w:lang w:val="en-US" w:eastAsia="es-ES"/>
    </w:rPr>
  </w:style>
  <w:style w:type="character" w:styleId="Hyperlink">
    <w:name w:val="Hyperlink"/>
    <w:basedOn w:val="DefaultParagraphFont"/>
    <w:uiPriority w:val="99"/>
    <w:unhideWhenUsed/>
    <w:rsid w:val="00F94D82"/>
    <w:rPr>
      <w:color w:val="0563C1" w:themeColor="hyperlink"/>
      <w:u w:val="single"/>
    </w:rPr>
  </w:style>
  <w:style w:type="character" w:styleId="UnresolvedMention">
    <w:name w:val="Unresolved Mention"/>
    <w:basedOn w:val="DefaultParagraphFont"/>
    <w:uiPriority w:val="99"/>
    <w:unhideWhenUsed/>
    <w:rsid w:val="00F94D82"/>
    <w:rPr>
      <w:color w:val="605E5C"/>
      <w:shd w:val="clear" w:color="auto" w:fill="E1DFDD"/>
    </w:rPr>
  </w:style>
  <w:style w:type="character" w:customStyle="1" w:styleId="Heading8Char">
    <w:name w:val="Heading 8 Char"/>
    <w:basedOn w:val="DefaultParagraphFont"/>
    <w:link w:val="Heading8"/>
    <w:uiPriority w:val="9"/>
    <w:semiHidden/>
    <w:rsid w:val="00D00D6D"/>
    <w:rPr>
      <w:rFonts w:asciiTheme="majorHAnsi" w:eastAsiaTheme="majorEastAsia" w:hAnsiTheme="majorHAnsi" w:cstheme="majorBidi"/>
      <w:color w:val="272727" w:themeColor="text1" w:themeTint="D8"/>
      <w:sz w:val="21"/>
      <w:szCs w:val="21"/>
      <w:lang w:val="en-US" w:eastAsia="es-ES"/>
    </w:rPr>
  </w:style>
  <w:style w:type="character" w:customStyle="1" w:styleId="Heading4Char">
    <w:name w:val="Heading 4 Char"/>
    <w:basedOn w:val="DefaultParagraphFont"/>
    <w:link w:val="Heading4"/>
    <w:uiPriority w:val="9"/>
    <w:rsid w:val="00D00D6D"/>
    <w:rPr>
      <w:rFonts w:asciiTheme="majorHAnsi" w:eastAsiaTheme="majorEastAsia" w:hAnsiTheme="majorHAnsi" w:cstheme="majorBidi"/>
      <w:i/>
      <w:iCs/>
      <w:color w:val="2F5496" w:themeColor="accent1" w:themeShade="BF"/>
      <w:lang w:val="en-US" w:eastAsia="es-ES"/>
    </w:rPr>
  </w:style>
  <w:style w:type="table" w:customStyle="1" w:styleId="TableNormal21">
    <w:name w:val="Table Normal21"/>
    <w:uiPriority w:val="2"/>
    <w:semiHidden/>
    <w:unhideWhenUsed/>
    <w:qFormat/>
    <w:rsid w:val="00360C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Heading">
    <w:name w:val="TOC Heading"/>
    <w:basedOn w:val="Heading1"/>
    <w:next w:val="Normal"/>
    <w:uiPriority w:val="39"/>
    <w:unhideWhenUsed/>
    <w:qFormat/>
    <w:rsid w:val="00C0615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lang w:val="es-ES" w:eastAsia="es-ES"/>
    </w:rPr>
  </w:style>
  <w:style w:type="paragraph" w:styleId="TOC2">
    <w:name w:val="toc 2"/>
    <w:basedOn w:val="Normal"/>
    <w:next w:val="Normal"/>
    <w:autoRedefine/>
    <w:uiPriority w:val="39"/>
    <w:unhideWhenUsed/>
    <w:rsid w:val="00C06156"/>
    <w:pPr>
      <w:spacing w:after="100"/>
      <w:ind w:left="220"/>
    </w:pPr>
  </w:style>
  <w:style w:type="paragraph" w:styleId="TOC3">
    <w:name w:val="toc 3"/>
    <w:basedOn w:val="Normal"/>
    <w:next w:val="Normal"/>
    <w:autoRedefine/>
    <w:uiPriority w:val="39"/>
    <w:unhideWhenUsed/>
    <w:rsid w:val="00AC41DE"/>
    <w:pPr>
      <w:tabs>
        <w:tab w:val="left" w:pos="1320"/>
        <w:tab w:val="right" w:leader="dot" w:pos="9350"/>
      </w:tabs>
      <w:spacing w:after="100"/>
      <w:ind w:left="440"/>
    </w:pPr>
  </w:style>
  <w:style w:type="table" w:styleId="TableGrid">
    <w:name w:val="Table Grid"/>
    <w:basedOn w:val="TableNormal"/>
    <w:uiPriority w:val="39"/>
    <w:rsid w:val="00807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807D4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C166F3"/>
    <w:pPr>
      <w:spacing w:after="0" w:line="240" w:lineRule="auto"/>
    </w:pPr>
    <w:rPr>
      <w:rFonts w:ascii="Calibri" w:eastAsia="Calibri" w:hAnsi="Calibri" w:cs="Calibri"/>
      <w:lang w:val="en-US" w:eastAsia="es-ES"/>
    </w:rPr>
  </w:style>
  <w:style w:type="character" w:customStyle="1" w:styleId="NoSpacingChar">
    <w:name w:val="No Spacing Char"/>
    <w:link w:val="NoSpacing"/>
    <w:uiPriority w:val="1"/>
    <w:rsid w:val="00C166F3"/>
    <w:rPr>
      <w:rFonts w:ascii="Calibri" w:eastAsia="Calibri" w:hAnsi="Calibri" w:cs="Calibri"/>
      <w:lang w:val="en-US" w:eastAsia="es-ES"/>
    </w:rPr>
  </w:style>
  <w:style w:type="paragraph" w:styleId="FootnoteText">
    <w:name w:val="footnote text"/>
    <w:basedOn w:val="Normal"/>
    <w:link w:val="FootnoteTextChar"/>
    <w:uiPriority w:val="99"/>
    <w:semiHidden/>
    <w:unhideWhenUsed/>
    <w:rsid w:val="00C166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6F3"/>
    <w:rPr>
      <w:rFonts w:ascii="Calibri" w:eastAsia="Calibri" w:hAnsi="Calibri" w:cs="Calibri"/>
      <w:sz w:val="20"/>
      <w:szCs w:val="20"/>
      <w:lang w:val="en-US" w:eastAsia="es-ES"/>
    </w:rPr>
  </w:style>
  <w:style w:type="character" w:styleId="FootnoteReference">
    <w:name w:val="footnote reference"/>
    <w:basedOn w:val="DefaultParagraphFont"/>
    <w:uiPriority w:val="99"/>
    <w:semiHidden/>
    <w:unhideWhenUsed/>
    <w:rsid w:val="00C166F3"/>
    <w:rPr>
      <w:vertAlign w:val="superscript"/>
    </w:rPr>
  </w:style>
  <w:style w:type="character" w:customStyle="1" w:styleId="ListParagraphChar">
    <w:name w:val="List Paragraph Char"/>
    <w:link w:val="ListParagraph"/>
    <w:uiPriority w:val="34"/>
    <w:rsid w:val="00C166F3"/>
    <w:rPr>
      <w:rFonts w:ascii="Tahoma" w:eastAsia="Tahoma" w:hAnsi="Tahoma" w:cs="Tahoma"/>
      <w:lang w:val="en-US"/>
    </w:rPr>
  </w:style>
  <w:style w:type="paragraph" w:customStyle="1" w:styleId="pf0">
    <w:name w:val="pf0"/>
    <w:basedOn w:val="Normal"/>
    <w:rsid w:val="00661DFA"/>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NormalWeb">
    <w:name w:val="Normal (Web)"/>
    <w:basedOn w:val="Normal"/>
    <w:uiPriority w:val="99"/>
    <w:semiHidden/>
    <w:unhideWhenUsed/>
    <w:rsid w:val="00A243F3"/>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Title">
    <w:name w:val="Title"/>
    <w:basedOn w:val="Normal"/>
    <w:link w:val="TitleChar"/>
    <w:uiPriority w:val="10"/>
    <w:qFormat/>
    <w:rsid w:val="00A932DD"/>
    <w:pPr>
      <w:widowControl w:val="0"/>
      <w:autoSpaceDE w:val="0"/>
      <w:autoSpaceDN w:val="0"/>
      <w:spacing w:before="99" w:after="0" w:line="240" w:lineRule="auto"/>
      <w:ind w:left="4330"/>
    </w:pPr>
    <w:rPr>
      <w:rFonts w:ascii="Cambria" w:eastAsia="Cambria" w:hAnsi="Cambria" w:cs="Cambria"/>
      <w:sz w:val="52"/>
      <w:szCs w:val="52"/>
      <w:lang w:eastAsia="en-US"/>
    </w:rPr>
  </w:style>
  <w:style w:type="character" w:customStyle="1" w:styleId="TitleChar">
    <w:name w:val="Title Char"/>
    <w:basedOn w:val="DefaultParagraphFont"/>
    <w:link w:val="Title"/>
    <w:uiPriority w:val="10"/>
    <w:rsid w:val="00A932DD"/>
    <w:rPr>
      <w:rFonts w:ascii="Cambria" w:eastAsia="Cambria" w:hAnsi="Cambria" w:cs="Cambria"/>
      <w:sz w:val="52"/>
      <w:szCs w:val="52"/>
      <w:lang w:val="en-US"/>
    </w:rPr>
  </w:style>
  <w:style w:type="table" w:styleId="PlainTable1">
    <w:name w:val="Plain Table 1"/>
    <w:basedOn w:val="TableNormal"/>
    <w:uiPriority w:val="41"/>
    <w:rsid w:val="009B64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419F8"/>
    <w:pPr>
      <w:tabs>
        <w:tab w:val="left" w:pos="440"/>
        <w:tab w:val="right" w:leader="dot" w:pos="9350"/>
      </w:tabs>
      <w:spacing w:after="100"/>
    </w:pPr>
  </w:style>
  <w:style w:type="character" w:styleId="Strong">
    <w:name w:val="Strong"/>
    <w:basedOn w:val="DefaultParagraphFont"/>
    <w:uiPriority w:val="22"/>
    <w:qFormat/>
    <w:rsid w:val="00891FAD"/>
    <w:rPr>
      <w:b/>
      <w:bCs/>
    </w:rPr>
  </w:style>
  <w:style w:type="table" w:customStyle="1" w:styleId="TableNormal3">
    <w:name w:val="Table Normal3"/>
    <w:uiPriority w:val="2"/>
    <w:semiHidden/>
    <w:unhideWhenUsed/>
    <w:qFormat/>
    <w:rsid w:val="006E3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E3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E3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E3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E3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E35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E65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F60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
    <w:name w:val="Text"/>
    <w:rsid w:val="0073452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eastAsia="de-DE"/>
    </w:rPr>
  </w:style>
  <w:style w:type="numbering" w:customStyle="1" w:styleId="ImportierterStil4">
    <w:name w:val="Importierter Stil: 4"/>
    <w:rsid w:val="00734524"/>
    <w:pPr>
      <w:numPr>
        <w:numId w:val="13"/>
      </w:numPr>
    </w:pPr>
  </w:style>
  <w:style w:type="numbering" w:customStyle="1" w:styleId="ImportierterStil5">
    <w:name w:val="Importierter Stil: 5"/>
    <w:rsid w:val="008A3ABF"/>
    <w:pPr>
      <w:numPr>
        <w:numId w:val="14"/>
      </w:numPr>
    </w:pPr>
  </w:style>
  <w:style w:type="numbering" w:customStyle="1" w:styleId="ImportierterStil6">
    <w:name w:val="Importierter Stil: 6"/>
    <w:rsid w:val="008A3ABF"/>
    <w:pPr>
      <w:numPr>
        <w:numId w:val="15"/>
      </w:numPr>
    </w:pPr>
  </w:style>
  <w:style w:type="numbering" w:customStyle="1" w:styleId="ImportierterStil8">
    <w:name w:val="Importierter Stil: 8"/>
    <w:rsid w:val="008A3ABF"/>
    <w:pPr>
      <w:numPr>
        <w:numId w:val="16"/>
      </w:numPr>
    </w:pPr>
  </w:style>
  <w:style w:type="numbering" w:customStyle="1" w:styleId="ImportierterStil9">
    <w:name w:val="Importierter Stil: 9"/>
    <w:rsid w:val="008A3ABF"/>
    <w:pPr>
      <w:numPr>
        <w:numId w:val="17"/>
      </w:numPr>
    </w:pPr>
  </w:style>
  <w:style w:type="numbering" w:customStyle="1" w:styleId="ImportierterStil10">
    <w:name w:val="Importierter Stil: 10"/>
    <w:rsid w:val="008A3ABF"/>
    <w:pPr>
      <w:numPr>
        <w:numId w:val="18"/>
      </w:numPr>
    </w:pPr>
  </w:style>
  <w:style w:type="numbering" w:customStyle="1" w:styleId="ImportierterStil11">
    <w:name w:val="Importierter Stil: 11"/>
    <w:rsid w:val="008A3ABF"/>
    <w:pPr>
      <w:numPr>
        <w:numId w:val="19"/>
      </w:numPr>
    </w:pPr>
  </w:style>
  <w:style w:type="numbering" w:customStyle="1" w:styleId="ImportierterStil12">
    <w:name w:val="Importierter Stil: 12"/>
    <w:rsid w:val="008A3ABF"/>
    <w:pPr>
      <w:numPr>
        <w:numId w:val="20"/>
      </w:numPr>
    </w:pPr>
  </w:style>
  <w:style w:type="numbering" w:customStyle="1" w:styleId="ImportierterStil13">
    <w:name w:val="Importierter Stil: 13"/>
    <w:rsid w:val="008A3ABF"/>
    <w:pPr>
      <w:numPr>
        <w:numId w:val="21"/>
      </w:numPr>
    </w:pPr>
  </w:style>
  <w:style w:type="numbering" w:customStyle="1" w:styleId="ImportierterStil14">
    <w:name w:val="Importierter Stil: 14"/>
    <w:rsid w:val="008A3ABF"/>
    <w:pPr>
      <w:numPr>
        <w:numId w:val="22"/>
      </w:numPr>
    </w:pPr>
  </w:style>
  <w:style w:type="paragraph" w:customStyle="1" w:styleId="m-116155759225483040msolistparagraph">
    <w:name w:val="m_-116155759225483040msolistparagraph"/>
    <w:basedOn w:val="Normal"/>
    <w:rsid w:val="00E80600"/>
    <w:pPr>
      <w:spacing w:before="100" w:beforeAutospacing="1" w:after="100" w:afterAutospacing="1" w:line="240" w:lineRule="auto"/>
    </w:pPr>
    <w:rPr>
      <w:rFonts w:ascii="Times New Roman" w:eastAsia="Times New Roman" w:hAnsi="Times New Roman" w:cs="Times New Roman"/>
      <w:sz w:val="24"/>
      <w:szCs w:val="24"/>
      <w:lang w:val="es-ES"/>
    </w:rPr>
  </w:style>
  <w:style w:type="table" w:styleId="GridTable1Light-Accent6">
    <w:name w:val="Grid Table 1 Light Accent 6"/>
    <w:basedOn w:val="TableNormal"/>
    <w:uiPriority w:val="46"/>
    <w:rsid w:val="007265D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065C05"/>
  </w:style>
  <w:style w:type="character" w:styleId="Emphasis">
    <w:name w:val="Emphasis"/>
    <w:basedOn w:val="DefaultParagraphFont"/>
    <w:uiPriority w:val="20"/>
    <w:qFormat/>
    <w:rsid w:val="00535CB1"/>
    <w:rPr>
      <w:i/>
      <w:iCs/>
    </w:rPr>
  </w:style>
  <w:style w:type="character" w:customStyle="1" w:styleId="ts-alignment-element">
    <w:name w:val="ts-alignment-element"/>
    <w:basedOn w:val="DefaultParagraphFont"/>
    <w:rsid w:val="00F77566"/>
  </w:style>
  <w:style w:type="character" w:customStyle="1" w:styleId="ts-alignment-element-highlighted">
    <w:name w:val="ts-alignment-element-highlighted"/>
    <w:basedOn w:val="DefaultParagraphFont"/>
    <w:rsid w:val="00F77566"/>
  </w:style>
  <w:style w:type="table" w:customStyle="1" w:styleId="TableNormal22">
    <w:name w:val="Table Normal22"/>
    <w:uiPriority w:val="2"/>
    <w:semiHidden/>
    <w:unhideWhenUsed/>
    <w:qFormat/>
    <w:rsid w:val="002371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GridTable4-Accent1">
    <w:name w:val="Grid Table 4 Accent 1"/>
    <w:basedOn w:val="TableNormal"/>
    <w:uiPriority w:val="49"/>
    <w:rsid w:val="00E136A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E136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hb8o">
    <w:name w:val="chb8o"/>
    <w:basedOn w:val="DefaultParagraphFont"/>
    <w:rsid w:val="00E136A1"/>
  </w:style>
  <w:style w:type="paragraph" w:styleId="Revision">
    <w:name w:val="Revision"/>
    <w:hidden/>
    <w:uiPriority w:val="99"/>
    <w:semiHidden/>
    <w:rsid w:val="00CF015D"/>
    <w:pPr>
      <w:spacing w:after="0" w:line="240" w:lineRule="auto"/>
    </w:pPr>
    <w:rPr>
      <w:rFonts w:ascii="Calibri" w:eastAsia="Calibri" w:hAnsi="Calibri" w:cs="Calibri"/>
      <w:lang w:val="en-US" w:eastAsia="es-ES"/>
    </w:rPr>
  </w:style>
  <w:style w:type="character" w:styleId="Mention">
    <w:name w:val="Mention"/>
    <w:basedOn w:val="DefaultParagraphFont"/>
    <w:uiPriority w:val="99"/>
    <w:unhideWhenUsed/>
    <w:rsid w:val="00E64D5B"/>
    <w:rPr>
      <w:color w:val="2B579A"/>
      <w:shd w:val="clear" w:color="auto" w:fill="E1DFDD"/>
    </w:rPr>
  </w:style>
  <w:style w:type="character" w:customStyle="1" w:styleId="cf01">
    <w:name w:val="cf01"/>
    <w:basedOn w:val="DefaultParagraphFont"/>
    <w:rsid w:val="0054377B"/>
    <w:rPr>
      <w:rFonts w:ascii="Segoe UI" w:hAnsi="Segoe UI" w:cs="Segoe UI" w:hint="default"/>
      <w:sz w:val="18"/>
      <w:szCs w:val="18"/>
    </w:rPr>
  </w:style>
  <w:style w:type="character" w:styleId="FollowedHyperlink">
    <w:name w:val="FollowedHyperlink"/>
    <w:basedOn w:val="DefaultParagraphFont"/>
    <w:uiPriority w:val="99"/>
    <w:semiHidden/>
    <w:unhideWhenUsed/>
    <w:rsid w:val="006822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1922">
      <w:bodyDiv w:val="1"/>
      <w:marLeft w:val="0"/>
      <w:marRight w:val="0"/>
      <w:marTop w:val="0"/>
      <w:marBottom w:val="0"/>
      <w:divBdr>
        <w:top w:val="none" w:sz="0" w:space="0" w:color="auto"/>
        <w:left w:val="none" w:sz="0" w:space="0" w:color="auto"/>
        <w:bottom w:val="none" w:sz="0" w:space="0" w:color="auto"/>
        <w:right w:val="none" w:sz="0" w:space="0" w:color="auto"/>
      </w:divBdr>
      <w:divsChild>
        <w:div w:id="7409265">
          <w:marLeft w:val="446"/>
          <w:marRight w:val="0"/>
          <w:marTop w:val="0"/>
          <w:marBottom w:val="0"/>
          <w:divBdr>
            <w:top w:val="none" w:sz="0" w:space="0" w:color="auto"/>
            <w:left w:val="none" w:sz="0" w:space="0" w:color="auto"/>
            <w:bottom w:val="none" w:sz="0" w:space="0" w:color="auto"/>
            <w:right w:val="none" w:sz="0" w:space="0" w:color="auto"/>
          </w:divBdr>
        </w:div>
        <w:div w:id="244724991">
          <w:marLeft w:val="446"/>
          <w:marRight w:val="0"/>
          <w:marTop w:val="0"/>
          <w:marBottom w:val="0"/>
          <w:divBdr>
            <w:top w:val="none" w:sz="0" w:space="0" w:color="auto"/>
            <w:left w:val="none" w:sz="0" w:space="0" w:color="auto"/>
            <w:bottom w:val="none" w:sz="0" w:space="0" w:color="auto"/>
            <w:right w:val="none" w:sz="0" w:space="0" w:color="auto"/>
          </w:divBdr>
        </w:div>
      </w:divsChild>
    </w:div>
    <w:div w:id="78794347">
      <w:bodyDiv w:val="1"/>
      <w:marLeft w:val="0"/>
      <w:marRight w:val="0"/>
      <w:marTop w:val="0"/>
      <w:marBottom w:val="0"/>
      <w:divBdr>
        <w:top w:val="none" w:sz="0" w:space="0" w:color="auto"/>
        <w:left w:val="none" w:sz="0" w:space="0" w:color="auto"/>
        <w:bottom w:val="none" w:sz="0" w:space="0" w:color="auto"/>
        <w:right w:val="none" w:sz="0" w:space="0" w:color="auto"/>
      </w:divBdr>
    </w:div>
    <w:div w:id="127868831">
      <w:bodyDiv w:val="1"/>
      <w:marLeft w:val="0"/>
      <w:marRight w:val="0"/>
      <w:marTop w:val="0"/>
      <w:marBottom w:val="0"/>
      <w:divBdr>
        <w:top w:val="none" w:sz="0" w:space="0" w:color="auto"/>
        <w:left w:val="none" w:sz="0" w:space="0" w:color="auto"/>
        <w:bottom w:val="none" w:sz="0" w:space="0" w:color="auto"/>
        <w:right w:val="none" w:sz="0" w:space="0" w:color="auto"/>
      </w:divBdr>
      <w:divsChild>
        <w:div w:id="778645978">
          <w:marLeft w:val="360"/>
          <w:marRight w:val="0"/>
          <w:marTop w:val="0"/>
          <w:marBottom w:val="0"/>
          <w:divBdr>
            <w:top w:val="none" w:sz="0" w:space="0" w:color="auto"/>
            <w:left w:val="none" w:sz="0" w:space="0" w:color="auto"/>
            <w:bottom w:val="none" w:sz="0" w:space="0" w:color="auto"/>
            <w:right w:val="none" w:sz="0" w:space="0" w:color="auto"/>
          </w:divBdr>
        </w:div>
      </w:divsChild>
    </w:div>
    <w:div w:id="131989559">
      <w:bodyDiv w:val="1"/>
      <w:marLeft w:val="0"/>
      <w:marRight w:val="0"/>
      <w:marTop w:val="0"/>
      <w:marBottom w:val="0"/>
      <w:divBdr>
        <w:top w:val="none" w:sz="0" w:space="0" w:color="auto"/>
        <w:left w:val="none" w:sz="0" w:space="0" w:color="auto"/>
        <w:bottom w:val="none" w:sz="0" w:space="0" w:color="auto"/>
        <w:right w:val="none" w:sz="0" w:space="0" w:color="auto"/>
      </w:divBdr>
      <w:divsChild>
        <w:div w:id="517935662">
          <w:marLeft w:val="547"/>
          <w:marRight w:val="0"/>
          <w:marTop w:val="200"/>
          <w:marBottom w:val="0"/>
          <w:divBdr>
            <w:top w:val="none" w:sz="0" w:space="0" w:color="auto"/>
            <w:left w:val="none" w:sz="0" w:space="0" w:color="auto"/>
            <w:bottom w:val="none" w:sz="0" w:space="0" w:color="auto"/>
            <w:right w:val="none" w:sz="0" w:space="0" w:color="auto"/>
          </w:divBdr>
        </w:div>
      </w:divsChild>
    </w:div>
    <w:div w:id="143280054">
      <w:bodyDiv w:val="1"/>
      <w:marLeft w:val="0"/>
      <w:marRight w:val="0"/>
      <w:marTop w:val="0"/>
      <w:marBottom w:val="0"/>
      <w:divBdr>
        <w:top w:val="none" w:sz="0" w:space="0" w:color="auto"/>
        <w:left w:val="none" w:sz="0" w:space="0" w:color="auto"/>
        <w:bottom w:val="none" w:sz="0" w:space="0" w:color="auto"/>
        <w:right w:val="none" w:sz="0" w:space="0" w:color="auto"/>
      </w:divBdr>
    </w:div>
    <w:div w:id="16432783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60">
          <w:marLeft w:val="360"/>
          <w:marRight w:val="0"/>
          <w:marTop w:val="0"/>
          <w:marBottom w:val="0"/>
          <w:divBdr>
            <w:top w:val="none" w:sz="0" w:space="0" w:color="auto"/>
            <w:left w:val="none" w:sz="0" w:space="0" w:color="auto"/>
            <w:bottom w:val="none" w:sz="0" w:space="0" w:color="auto"/>
            <w:right w:val="none" w:sz="0" w:space="0" w:color="auto"/>
          </w:divBdr>
        </w:div>
      </w:divsChild>
    </w:div>
    <w:div w:id="218901117">
      <w:bodyDiv w:val="1"/>
      <w:marLeft w:val="0"/>
      <w:marRight w:val="0"/>
      <w:marTop w:val="0"/>
      <w:marBottom w:val="0"/>
      <w:divBdr>
        <w:top w:val="none" w:sz="0" w:space="0" w:color="auto"/>
        <w:left w:val="none" w:sz="0" w:space="0" w:color="auto"/>
        <w:bottom w:val="none" w:sz="0" w:space="0" w:color="auto"/>
        <w:right w:val="none" w:sz="0" w:space="0" w:color="auto"/>
      </w:divBdr>
      <w:divsChild>
        <w:div w:id="84960251">
          <w:marLeft w:val="360"/>
          <w:marRight w:val="202"/>
          <w:marTop w:val="62"/>
          <w:marBottom w:val="0"/>
          <w:divBdr>
            <w:top w:val="none" w:sz="0" w:space="0" w:color="auto"/>
            <w:left w:val="none" w:sz="0" w:space="0" w:color="auto"/>
            <w:bottom w:val="none" w:sz="0" w:space="0" w:color="auto"/>
            <w:right w:val="none" w:sz="0" w:space="0" w:color="auto"/>
          </w:divBdr>
        </w:div>
        <w:div w:id="794104376">
          <w:marLeft w:val="360"/>
          <w:marRight w:val="0"/>
          <w:marTop w:val="11"/>
          <w:marBottom w:val="0"/>
          <w:divBdr>
            <w:top w:val="none" w:sz="0" w:space="0" w:color="auto"/>
            <w:left w:val="none" w:sz="0" w:space="0" w:color="auto"/>
            <w:bottom w:val="none" w:sz="0" w:space="0" w:color="auto"/>
            <w:right w:val="none" w:sz="0" w:space="0" w:color="auto"/>
          </w:divBdr>
        </w:div>
        <w:div w:id="1337031524">
          <w:marLeft w:val="1080"/>
          <w:marRight w:val="202"/>
          <w:marTop w:val="62"/>
          <w:marBottom w:val="0"/>
          <w:divBdr>
            <w:top w:val="none" w:sz="0" w:space="0" w:color="auto"/>
            <w:left w:val="none" w:sz="0" w:space="0" w:color="auto"/>
            <w:bottom w:val="none" w:sz="0" w:space="0" w:color="auto"/>
            <w:right w:val="none" w:sz="0" w:space="0" w:color="auto"/>
          </w:divBdr>
        </w:div>
        <w:div w:id="1542205072">
          <w:marLeft w:val="1080"/>
          <w:marRight w:val="202"/>
          <w:marTop w:val="62"/>
          <w:marBottom w:val="0"/>
          <w:divBdr>
            <w:top w:val="none" w:sz="0" w:space="0" w:color="auto"/>
            <w:left w:val="none" w:sz="0" w:space="0" w:color="auto"/>
            <w:bottom w:val="none" w:sz="0" w:space="0" w:color="auto"/>
            <w:right w:val="none" w:sz="0" w:space="0" w:color="auto"/>
          </w:divBdr>
        </w:div>
        <w:div w:id="1791780971">
          <w:marLeft w:val="360"/>
          <w:marRight w:val="0"/>
          <w:marTop w:val="11"/>
          <w:marBottom w:val="0"/>
          <w:divBdr>
            <w:top w:val="none" w:sz="0" w:space="0" w:color="auto"/>
            <w:left w:val="none" w:sz="0" w:space="0" w:color="auto"/>
            <w:bottom w:val="none" w:sz="0" w:space="0" w:color="auto"/>
            <w:right w:val="none" w:sz="0" w:space="0" w:color="auto"/>
          </w:divBdr>
        </w:div>
      </w:divsChild>
    </w:div>
    <w:div w:id="244070604">
      <w:bodyDiv w:val="1"/>
      <w:marLeft w:val="0"/>
      <w:marRight w:val="0"/>
      <w:marTop w:val="0"/>
      <w:marBottom w:val="0"/>
      <w:divBdr>
        <w:top w:val="none" w:sz="0" w:space="0" w:color="auto"/>
        <w:left w:val="none" w:sz="0" w:space="0" w:color="auto"/>
        <w:bottom w:val="none" w:sz="0" w:space="0" w:color="auto"/>
        <w:right w:val="none" w:sz="0" w:space="0" w:color="auto"/>
      </w:divBdr>
      <w:divsChild>
        <w:div w:id="185481079">
          <w:marLeft w:val="360"/>
          <w:marRight w:val="0"/>
          <w:marTop w:val="200"/>
          <w:marBottom w:val="0"/>
          <w:divBdr>
            <w:top w:val="none" w:sz="0" w:space="0" w:color="auto"/>
            <w:left w:val="none" w:sz="0" w:space="0" w:color="auto"/>
            <w:bottom w:val="none" w:sz="0" w:space="0" w:color="auto"/>
            <w:right w:val="none" w:sz="0" w:space="0" w:color="auto"/>
          </w:divBdr>
        </w:div>
        <w:div w:id="1031497288">
          <w:marLeft w:val="360"/>
          <w:marRight w:val="0"/>
          <w:marTop w:val="200"/>
          <w:marBottom w:val="0"/>
          <w:divBdr>
            <w:top w:val="none" w:sz="0" w:space="0" w:color="auto"/>
            <w:left w:val="none" w:sz="0" w:space="0" w:color="auto"/>
            <w:bottom w:val="none" w:sz="0" w:space="0" w:color="auto"/>
            <w:right w:val="none" w:sz="0" w:space="0" w:color="auto"/>
          </w:divBdr>
        </w:div>
        <w:div w:id="1818719663">
          <w:marLeft w:val="360"/>
          <w:marRight w:val="0"/>
          <w:marTop w:val="200"/>
          <w:marBottom w:val="0"/>
          <w:divBdr>
            <w:top w:val="none" w:sz="0" w:space="0" w:color="auto"/>
            <w:left w:val="none" w:sz="0" w:space="0" w:color="auto"/>
            <w:bottom w:val="none" w:sz="0" w:space="0" w:color="auto"/>
            <w:right w:val="none" w:sz="0" w:space="0" w:color="auto"/>
          </w:divBdr>
        </w:div>
      </w:divsChild>
    </w:div>
    <w:div w:id="250818724">
      <w:bodyDiv w:val="1"/>
      <w:marLeft w:val="0"/>
      <w:marRight w:val="0"/>
      <w:marTop w:val="0"/>
      <w:marBottom w:val="0"/>
      <w:divBdr>
        <w:top w:val="none" w:sz="0" w:space="0" w:color="auto"/>
        <w:left w:val="none" w:sz="0" w:space="0" w:color="auto"/>
        <w:bottom w:val="none" w:sz="0" w:space="0" w:color="auto"/>
        <w:right w:val="none" w:sz="0" w:space="0" w:color="auto"/>
      </w:divBdr>
    </w:div>
    <w:div w:id="252397934">
      <w:bodyDiv w:val="1"/>
      <w:marLeft w:val="0"/>
      <w:marRight w:val="0"/>
      <w:marTop w:val="0"/>
      <w:marBottom w:val="0"/>
      <w:divBdr>
        <w:top w:val="none" w:sz="0" w:space="0" w:color="auto"/>
        <w:left w:val="none" w:sz="0" w:space="0" w:color="auto"/>
        <w:bottom w:val="none" w:sz="0" w:space="0" w:color="auto"/>
        <w:right w:val="none" w:sz="0" w:space="0" w:color="auto"/>
      </w:divBdr>
    </w:div>
    <w:div w:id="256865574">
      <w:bodyDiv w:val="1"/>
      <w:marLeft w:val="0"/>
      <w:marRight w:val="0"/>
      <w:marTop w:val="0"/>
      <w:marBottom w:val="0"/>
      <w:divBdr>
        <w:top w:val="none" w:sz="0" w:space="0" w:color="auto"/>
        <w:left w:val="none" w:sz="0" w:space="0" w:color="auto"/>
        <w:bottom w:val="none" w:sz="0" w:space="0" w:color="auto"/>
        <w:right w:val="none" w:sz="0" w:space="0" w:color="auto"/>
      </w:divBdr>
    </w:div>
    <w:div w:id="338775138">
      <w:bodyDiv w:val="1"/>
      <w:marLeft w:val="0"/>
      <w:marRight w:val="0"/>
      <w:marTop w:val="0"/>
      <w:marBottom w:val="0"/>
      <w:divBdr>
        <w:top w:val="none" w:sz="0" w:space="0" w:color="auto"/>
        <w:left w:val="none" w:sz="0" w:space="0" w:color="auto"/>
        <w:bottom w:val="none" w:sz="0" w:space="0" w:color="auto"/>
        <w:right w:val="none" w:sz="0" w:space="0" w:color="auto"/>
      </w:divBdr>
    </w:div>
    <w:div w:id="385110194">
      <w:bodyDiv w:val="1"/>
      <w:marLeft w:val="0"/>
      <w:marRight w:val="0"/>
      <w:marTop w:val="0"/>
      <w:marBottom w:val="0"/>
      <w:divBdr>
        <w:top w:val="none" w:sz="0" w:space="0" w:color="auto"/>
        <w:left w:val="none" w:sz="0" w:space="0" w:color="auto"/>
        <w:bottom w:val="none" w:sz="0" w:space="0" w:color="auto"/>
        <w:right w:val="none" w:sz="0" w:space="0" w:color="auto"/>
      </w:divBdr>
    </w:div>
    <w:div w:id="438914346">
      <w:bodyDiv w:val="1"/>
      <w:marLeft w:val="0"/>
      <w:marRight w:val="0"/>
      <w:marTop w:val="0"/>
      <w:marBottom w:val="0"/>
      <w:divBdr>
        <w:top w:val="none" w:sz="0" w:space="0" w:color="auto"/>
        <w:left w:val="none" w:sz="0" w:space="0" w:color="auto"/>
        <w:bottom w:val="none" w:sz="0" w:space="0" w:color="auto"/>
        <w:right w:val="none" w:sz="0" w:space="0" w:color="auto"/>
      </w:divBdr>
    </w:div>
    <w:div w:id="447744502">
      <w:bodyDiv w:val="1"/>
      <w:marLeft w:val="0"/>
      <w:marRight w:val="0"/>
      <w:marTop w:val="0"/>
      <w:marBottom w:val="0"/>
      <w:divBdr>
        <w:top w:val="none" w:sz="0" w:space="0" w:color="auto"/>
        <w:left w:val="none" w:sz="0" w:space="0" w:color="auto"/>
        <w:bottom w:val="none" w:sz="0" w:space="0" w:color="auto"/>
        <w:right w:val="none" w:sz="0" w:space="0" w:color="auto"/>
      </w:divBdr>
      <w:divsChild>
        <w:div w:id="709035820">
          <w:marLeft w:val="360"/>
          <w:marRight w:val="0"/>
          <w:marTop w:val="200"/>
          <w:marBottom w:val="0"/>
          <w:divBdr>
            <w:top w:val="none" w:sz="0" w:space="0" w:color="auto"/>
            <w:left w:val="none" w:sz="0" w:space="0" w:color="auto"/>
            <w:bottom w:val="none" w:sz="0" w:space="0" w:color="auto"/>
            <w:right w:val="none" w:sz="0" w:space="0" w:color="auto"/>
          </w:divBdr>
        </w:div>
      </w:divsChild>
    </w:div>
    <w:div w:id="450243243">
      <w:bodyDiv w:val="1"/>
      <w:marLeft w:val="0"/>
      <w:marRight w:val="0"/>
      <w:marTop w:val="0"/>
      <w:marBottom w:val="0"/>
      <w:divBdr>
        <w:top w:val="none" w:sz="0" w:space="0" w:color="auto"/>
        <w:left w:val="none" w:sz="0" w:space="0" w:color="auto"/>
        <w:bottom w:val="none" w:sz="0" w:space="0" w:color="auto"/>
        <w:right w:val="none" w:sz="0" w:space="0" w:color="auto"/>
      </w:divBdr>
      <w:divsChild>
        <w:div w:id="665936437">
          <w:marLeft w:val="360"/>
          <w:marRight w:val="0"/>
          <w:marTop w:val="200"/>
          <w:marBottom w:val="0"/>
          <w:divBdr>
            <w:top w:val="none" w:sz="0" w:space="0" w:color="auto"/>
            <w:left w:val="none" w:sz="0" w:space="0" w:color="auto"/>
            <w:bottom w:val="none" w:sz="0" w:space="0" w:color="auto"/>
            <w:right w:val="none" w:sz="0" w:space="0" w:color="auto"/>
          </w:divBdr>
        </w:div>
        <w:div w:id="885067875">
          <w:marLeft w:val="360"/>
          <w:marRight w:val="0"/>
          <w:marTop w:val="200"/>
          <w:marBottom w:val="0"/>
          <w:divBdr>
            <w:top w:val="none" w:sz="0" w:space="0" w:color="auto"/>
            <w:left w:val="none" w:sz="0" w:space="0" w:color="auto"/>
            <w:bottom w:val="none" w:sz="0" w:space="0" w:color="auto"/>
            <w:right w:val="none" w:sz="0" w:space="0" w:color="auto"/>
          </w:divBdr>
        </w:div>
        <w:div w:id="1280338743">
          <w:marLeft w:val="360"/>
          <w:marRight w:val="0"/>
          <w:marTop w:val="200"/>
          <w:marBottom w:val="0"/>
          <w:divBdr>
            <w:top w:val="none" w:sz="0" w:space="0" w:color="auto"/>
            <w:left w:val="none" w:sz="0" w:space="0" w:color="auto"/>
            <w:bottom w:val="none" w:sz="0" w:space="0" w:color="auto"/>
            <w:right w:val="none" w:sz="0" w:space="0" w:color="auto"/>
          </w:divBdr>
        </w:div>
        <w:div w:id="1756970850">
          <w:marLeft w:val="360"/>
          <w:marRight w:val="0"/>
          <w:marTop w:val="200"/>
          <w:marBottom w:val="0"/>
          <w:divBdr>
            <w:top w:val="none" w:sz="0" w:space="0" w:color="auto"/>
            <w:left w:val="none" w:sz="0" w:space="0" w:color="auto"/>
            <w:bottom w:val="none" w:sz="0" w:space="0" w:color="auto"/>
            <w:right w:val="none" w:sz="0" w:space="0" w:color="auto"/>
          </w:divBdr>
        </w:div>
      </w:divsChild>
    </w:div>
    <w:div w:id="551422365">
      <w:bodyDiv w:val="1"/>
      <w:marLeft w:val="0"/>
      <w:marRight w:val="0"/>
      <w:marTop w:val="0"/>
      <w:marBottom w:val="0"/>
      <w:divBdr>
        <w:top w:val="none" w:sz="0" w:space="0" w:color="auto"/>
        <w:left w:val="none" w:sz="0" w:space="0" w:color="auto"/>
        <w:bottom w:val="none" w:sz="0" w:space="0" w:color="auto"/>
        <w:right w:val="none" w:sz="0" w:space="0" w:color="auto"/>
      </w:divBdr>
      <w:divsChild>
        <w:div w:id="1367293810">
          <w:marLeft w:val="547"/>
          <w:marRight w:val="0"/>
          <w:marTop w:val="200"/>
          <w:marBottom w:val="0"/>
          <w:divBdr>
            <w:top w:val="none" w:sz="0" w:space="0" w:color="auto"/>
            <w:left w:val="none" w:sz="0" w:space="0" w:color="auto"/>
            <w:bottom w:val="none" w:sz="0" w:space="0" w:color="auto"/>
            <w:right w:val="none" w:sz="0" w:space="0" w:color="auto"/>
          </w:divBdr>
        </w:div>
      </w:divsChild>
    </w:div>
    <w:div w:id="587419830">
      <w:bodyDiv w:val="1"/>
      <w:marLeft w:val="0"/>
      <w:marRight w:val="0"/>
      <w:marTop w:val="0"/>
      <w:marBottom w:val="0"/>
      <w:divBdr>
        <w:top w:val="none" w:sz="0" w:space="0" w:color="auto"/>
        <w:left w:val="none" w:sz="0" w:space="0" w:color="auto"/>
        <w:bottom w:val="none" w:sz="0" w:space="0" w:color="auto"/>
        <w:right w:val="none" w:sz="0" w:space="0" w:color="auto"/>
      </w:divBdr>
    </w:div>
    <w:div w:id="610434711">
      <w:bodyDiv w:val="1"/>
      <w:marLeft w:val="0"/>
      <w:marRight w:val="0"/>
      <w:marTop w:val="0"/>
      <w:marBottom w:val="0"/>
      <w:divBdr>
        <w:top w:val="none" w:sz="0" w:space="0" w:color="auto"/>
        <w:left w:val="none" w:sz="0" w:space="0" w:color="auto"/>
        <w:bottom w:val="none" w:sz="0" w:space="0" w:color="auto"/>
        <w:right w:val="none" w:sz="0" w:space="0" w:color="auto"/>
      </w:divBdr>
    </w:div>
    <w:div w:id="672344656">
      <w:bodyDiv w:val="1"/>
      <w:marLeft w:val="0"/>
      <w:marRight w:val="0"/>
      <w:marTop w:val="0"/>
      <w:marBottom w:val="0"/>
      <w:divBdr>
        <w:top w:val="none" w:sz="0" w:space="0" w:color="auto"/>
        <w:left w:val="none" w:sz="0" w:space="0" w:color="auto"/>
        <w:bottom w:val="none" w:sz="0" w:space="0" w:color="auto"/>
        <w:right w:val="none" w:sz="0" w:space="0" w:color="auto"/>
      </w:divBdr>
      <w:divsChild>
        <w:div w:id="154805929">
          <w:marLeft w:val="547"/>
          <w:marRight w:val="0"/>
          <w:marTop w:val="43"/>
          <w:marBottom w:val="0"/>
          <w:divBdr>
            <w:top w:val="none" w:sz="0" w:space="0" w:color="auto"/>
            <w:left w:val="none" w:sz="0" w:space="0" w:color="auto"/>
            <w:bottom w:val="none" w:sz="0" w:space="0" w:color="auto"/>
            <w:right w:val="none" w:sz="0" w:space="0" w:color="auto"/>
          </w:divBdr>
        </w:div>
        <w:div w:id="389310302">
          <w:marLeft w:val="547"/>
          <w:marRight w:val="0"/>
          <w:marTop w:val="43"/>
          <w:marBottom w:val="0"/>
          <w:divBdr>
            <w:top w:val="none" w:sz="0" w:space="0" w:color="auto"/>
            <w:left w:val="none" w:sz="0" w:space="0" w:color="auto"/>
            <w:bottom w:val="none" w:sz="0" w:space="0" w:color="auto"/>
            <w:right w:val="none" w:sz="0" w:space="0" w:color="auto"/>
          </w:divBdr>
        </w:div>
        <w:div w:id="480729410">
          <w:marLeft w:val="547"/>
          <w:marRight w:val="0"/>
          <w:marTop w:val="23"/>
          <w:marBottom w:val="0"/>
          <w:divBdr>
            <w:top w:val="none" w:sz="0" w:space="0" w:color="auto"/>
            <w:left w:val="none" w:sz="0" w:space="0" w:color="auto"/>
            <w:bottom w:val="none" w:sz="0" w:space="0" w:color="auto"/>
            <w:right w:val="none" w:sz="0" w:space="0" w:color="auto"/>
          </w:divBdr>
        </w:div>
        <w:div w:id="654533427">
          <w:marLeft w:val="547"/>
          <w:marRight w:val="0"/>
          <w:marTop w:val="0"/>
          <w:marBottom w:val="0"/>
          <w:divBdr>
            <w:top w:val="none" w:sz="0" w:space="0" w:color="auto"/>
            <w:left w:val="none" w:sz="0" w:space="0" w:color="auto"/>
            <w:bottom w:val="none" w:sz="0" w:space="0" w:color="auto"/>
            <w:right w:val="none" w:sz="0" w:space="0" w:color="auto"/>
          </w:divBdr>
        </w:div>
        <w:div w:id="657075029">
          <w:marLeft w:val="547"/>
          <w:marRight w:val="0"/>
          <w:marTop w:val="0"/>
          <w:marBottom w:val="0"/>
          <w:divBdr>
            <w:top w:val="none" w:sz="0" w:space="0" w:color="auto"/>
            <w:left w:val="none" w:sz="0" w:space="0" w:color="auto"/>
            <w:bottom w:val="none" w:sz="0" w:space="0" w:color="auto"/>
            <w:right w:val="none" w:sz="0" w:space="0" w:color="auto"/>
          </w:divBdr>
        </w:div>
        <w:div w:id="725565097">
          <w:marLeft w:val="547"/>
          <w:marRight w:val="0"/>
          <w:marTop w:val="0"/>
          <w:marBottom w:val="0"/>
          <w:divBdr>
            <w:top w:val="none" w:sz="0" w:space="0" w:color="auto"/>
            <w:left w:val="none" w:sz="0" w:space="0" w:color="auto"/>
            <w:bottom w:val="none" w:sz="0" w:space="0" w:color="auto"/>
            <w:right w:val="none" w:sz="0" w:space="0" w:color="auto"/>
          </w:divBdr>
        </w:div>
        <w:div w:id="802581981">
          <w:marLeft w:val="547"/>
          <w:marRight w:val="0"/>
          <w:marTop w:val="43"/>
          <w:marBottom w:val="0"/>
          <w:divBdr>
            <w:top w:val="none" w:sz="0" w:space="0" w:color="auto"/>
            <w:left w:val="none" w:sz="0" w:space="0" w:color="auto"/>
            <w:bottom w:val="none" w:sz="0" w:space="0" w:color="auto"/>
            <w:right w:val="none" w:sz="0" w:space="0" w:color="auto"/>
          </w:divBdr>
        </w:div>
        <w:div w:id="871260864">
          <w:marLeft w:val="547"/>
          <w:marRight w:val="0"/>
          <w:marTop w:val="0"/>
          <w:marBottom w:val="0"/>
          <w:divBdr>
            <w:top w:val="none" w:sz="0" w:space="0" w:color="auto"/>
            <w:left w:val="none" w:sz="0" w:space="0" w:color="auto"/>
            <w:bottom w:val="none" w:sz="0" w:space="0" w:color="auto"/>
            <w:right w:val="none" w:sz="0" w:space="0" w:color="auto"/>
          </w:divBdr>
        </w:div>
        <w:div w:id="914319335">
          <w:marLeft w:val="547"/>
          <w:marRight w:val="0"/>
          <w:marTop w:val="43"/>
          <w:marBottom w:val="0"/>
          <w:divBdr>
            <w:top w:val="none" w:sz="0" w:space="0" w:color="auto"/>
            <w:left w:val="none" w:sz="0" w:space="0" w:color="auto"/>
            <w:bottom w:val="none" w:sz="0" w:space="0" w:color="auto"/>
            <w:right w:val="none" w:sz="0" w:space="0" w:color="auto"/>
          </w:divBdr>
        </w:div>
        <w:div w:id="919829364">
          <w:marLeft w:val="547"/>
          <w:marRight w:val="0"/>
          <w:marTop w:val="43"/>
          <w:marBottom w:val="0"/>
          <w:divBdr>
            <w:top w:val="none" w:sz="0" w:space="0" w:color="auto"/>
            <w:left w:val="none" w:sz="0" w:space="0" w:color="auto"/>
            <w:bottom w:val="none" w:sz="0" w:space="0" w:color="auto"/>
            <w:right w:val="none" w:sz="0" w:space="0" w:color="auto"/>
          </w:divBdr>
        </w:div>
        <w:div w:id="928731920">
          <w:marLeft w:val="547"/>
          <w:marRight w:val="0"/>
          <w:marTop w:val="43"/>
          <w:marBottom w:val="0"/>
          <w:divBdr>
            <w:top w:val="none" w:sz="0" w:space="0" w:color="auto"/>
            <w:left w:val="none" w:sz="0" w:space="0" w:color="auto"/>
            <w:bottom w:val="none" w:sz="0" w:space="0" w:color="auto"/>
            <w:right w:val="none" w:sz="0" w:space="0" w:color="auto"/>
          </w:divBdr>
        </w:div>
        <w:div w:id="964776157">
          <w:marLeft w:val="547"/>
          <w:marRight w:val="0"/>
          <w:marTop w:val="0"/>
          <w:marBottom w:val="0"/>
          <w:divBdr>
            <w:top w:val="none" w:sz="0" w:space="0" w:color="auto"/>
            <w:left w:val="none" w:sz="0" w:space="0" w:color="auto"/>
            <w:bottom w:val="none" w:sz="0" w:space="0" w:color="auto"/>
            <w:right w:val="none" w:sz="0" w:space="0" w:color="auto"/>
          </w:divBdr>
        </w:div>
        <w:div w:id="1088505828">
          <w:marLeft w:val="547"/>
          <w:marRight w:val="0"/>
          <w:marTop w:val="43"/>
          <w:marBottom w:val="0"/>
          <w:divBdr>
            <w:top w:val="none" w:sz="0" w:space="0" w:color="auto"/>
            <w:left w:val="none" w:sz="0" w:space="0" w:color="auto"/>
            <w:bottom w:val="none" w:sz="0" w:space="0" w:color="auto"/>
            <w:right w:val="none" w:sz="0" w:space="0" w:color="auto"/>
          </w:divBdr>
        </w:div>
        <w:div w:id="1128477634">
          <w:marLeft w:val="547"/>
          <w:marRight w:val="0"/>
          <w:marTop w:val="0"/>
          <w:marBottom w:val="0"/>
          <w:divBdr>
            <w:top w:val="none" w:sz="0" w:space="0" w:color="auto"/>
            <w:left w:val="none" w:sz="0" w:space="0" w:color="auto"/>
            <w:bottom w:val="none" w:sz="0" w:space="0" w:color="auto"/>
            <w:right w:val="none" w:sz="0" w:space="0" w:color="auto"/>
          </w:divBdr>
        </w:div>
        <w:div w:id="1222518862">
          <w:marLeft w:val="547"/>
          <w:marRight w:val="0"/>
          <w:marTop w:val="43"/>
          <w:marBottom w:val="0"/>
          <w:divBdr>
            <w:top w:val="none" w:sz="0" w:space="0" w:color="auto"/>
            <w:left w:val="none" w:sz="0" w:space="0" w:color="auto"/>
            <w:bottom w:val="none" w:sz="0" w:space="0" w:color="auto"/>
            <w:right w:val="none" w:sz="0" w:space="0" w:color="auto"/>
          </w:divBdr>
        </w:div>
        <w:div w:id="1417828257">
          <w:marLeft w:val="547"/>
          <w:marRight w:val="0"/>
          <w:marTop w:val="0"/>
          <w:marBottom w:val="0"/>
          <w:divBdr>
            <w:top w:val="none" w:sz="0" w:space="0" w:color="auto"/>
            <w:left w:val="none" w:sz="0" w:space="0" w:color="auto"/>
            <w:bottom w:val="none" w:sz="0" w:space="0" w:color="auto"/>
            <w:right w:val="none" w:sz="0" w:space="0" w:color="auto"/>
          </w:divBdr>
        </w:div>
        <w:div w:id="1451973402">
          <w:marLeft w:val="547"/>
          <w:marRight w:val="0"/>
          <w:marTop w:val="0"/>
          <w:marBottom w:val="0"/>
          <w:divBdr>
            <w:top w:val="none" w:sz="0" w:space="0" w:color="auto"/>
            <w:left w:val="none" w:sz="0" w:space="0" w:color="auto"/>
            <w:bottom w:val="none" w:sz="0" w:space="0" w:color="auto"/>
            <w:right w:val="none" w:sz="0" w:space="0" w:color="auto"/>
          </w:divBdr>
        </w:div>
        <w:div w:id="1498961307">
          <w:marLeft w:val="547"/>
          <w:marRight w:val="0"/>
          <w:marTop w:val="0"/>
          <w:marBottom w:val="0"/>
          <w:divBdr>
            <w:top w:val="none" w:sz="0" w:space="0" w:color="auto"/>
            <w:left w:val="none" w:sz="0" w:space="0" w:color="auto"/>
            <w:bottom w:val="none" w:sz="0" w:space="0" w:color="auto"/>
            <w:right w:val="none" w:sz="0" w:space="0" w:color="auto"/>
          </w:divBdr>
        </w:div>
        <w:div w:id="1677731603">
          <w:marLeft w:val="547"/>
          <w:marRight w:val="533"/>
          <w:marTop w:val="21"/>
          <w:marBottom w:val="0"/>
          <w:divBdr>
            <w:top w:val="none" w:sz="0" w:space="0" w:color="auto"/>
            <w:left w:val="none" w:sz="0" w:space="0" w:color="auto"/>
            <w:bottom w:val="none" w:sz="0" w:space="0" w:color="auto"/>
            <w:right w:val="none" w:sz="0" w:space="0" w:color="auto"/>
          </w:divBdr>
        </w:div>
        <w:div w:id="1684475787">
          <w:marLeft w:val="547"/>
          <w:marRight w:val="1440"/>
          <w:marTop w:val="20"/>
          <w:marBottom w:val="0"/>
          <w:divBdr>
            <w:top w:val="none" w:sz="0" w:space="0" w:color="auto"/>
            <w:left w:val="none" w:sz="0" w:space="0" w:color="auto"/>
            <w:bottom w:val="none" w:sz="0" w:space="0" w:color="auto"/>
            <w:right w:val="none" w:sz="0" w:space="0" w:color="auto"/>
          </w:divBdr>
        </w:div>
        <w:div w:id="1759906556">
          <w:marLeft w:val="547"/>
          <w:marRight w:val="0"/>
          <w:marTop w:val="0"/>
          <w:marBottom w:val="0"/>
          <w:divBdr>
            <w:top w:val="none" w:sz="0" w:space="0" w:color="auto"/>
            <w:left w:val="none" w:sz="0" w:space="0" w:color="auto"/>
            <w:bottom w:val="none" w:sz="0" w:space="0" w:color="auto"/>
            <w:right w:val="none" w:sz="0" w:space="0" w:color="auto"/>
          </w:divBdr>
        </w:div>
        <w:div w:id="1838765443">
          <w:marLeft w:val="547"/>
          <w:marRight w:val="0"/>
          <w:marTop w:val="0"/>
          <w:marBottom w:val="0"/>
          <w:divBdr>
            <w:top w:val="none" w:sz="0" w:space="0" w:color="auto"/>
            <w:left w:val="none" w:sz="0" w:space="0" w:color="auto"/>
            <w:bottom w:val="none" w:sz="0" w:space="0" w:color="auto"/>
            <w:right w:val="none" w:sz="0" w:space="0" w:color="auto"/>
          </w:divBdr>
        </w:div>
        <w:div w:id="1892569316">
          <w:marLeft w:val="547"/>
          <w:marRight w:val="720"/>
          <w:marTop w:val="102"/>
          <w:marBottom w:val="0"/>
          <w:divBdr>
            <w:top w:val="none" w:sz="0" w:space="0" w:color="auto"/>
            <w:left w:val="none" w:sz="0" w:space="0" w:color="auto"/>
            <w:bottom w:val="none" w:sz="0" w:space="0" w:color="auto"/>
            <w:right w:val="none" w:sz="0" w:space="0" w:color="auto"/>
          </w:divBdr>
        </w:div>
        <w:div w:id="2113089422">
          <w:marLeft w:val="547"/>
          <w:marRight w:val="0"/>
          <w:marTop w:val="0"/>
          <w:marBottom w:val="0"/>
          <w:divBdr>
            <w:top w:val="none" w:sz="0" w:space="0" w:color="auto"/>
            <w:left w:val="none" w:sz="0" w:space="0" w:color="auto"/>
            <w:bottom w:val="none" w:sz="0" w:space="0" w:color="auto"/>
            <w:right w:val="none" w:sz="0" w:space="0" w:color="auto"/>
          </w:divBdr>
        </w:div>
      </w:divsChild>
    </w:div>
    <w:div w:id="692265641">
      <w:bodyDiv w:val="1"/>
      <w:marLeft w:val="0"/>
      <w:marRight w:val="0"/>
      <w:marTop w:val="0"/>
      <w:marBottom w:val="0"/>
      <w:divBdr>
        <w:top w:val="none" w:sz="0" w:space="0" w:color="auto"/>
        <w:left w:val="none" w:sz="0" w:space="0" w:color="auto"/>
        <w:bottom w:val="none" w:sz="0" w:space="0" w:color="auto"/>
        <w:right w:val="none" w:sz="0" w:space="0" w:color="auto"/>
      </w:divBdr>
    </w:div>
    <w:div w:id="693967251">
      <w:bodyDiv w:val="1"/>
      <w:marLeft w:val="0"/>
      <w:marRight w:val="0"/>
      <w:marTop w:val="0"/>
      <w:marBottom w:val="0"/>
      <w:divBdr>
        <w:top w:val="none" w:sz="0" w:space="0" w:color="auto"/>
        <w:left w:val="none" w:sz="0" w:space="0" w:color="auto"/>
        <w:bottom w:val="none" w:sz="0" w:space="0" w:color="auto"/>
        <w:right w:val="none" w:sz="0" w:space="0" w:color="auto"/>
      </w:divBdr>
      <w:divsChild>
        <w:div w:id="578758272">
          <w:marLeft w:val="360"/>
          <w:marRight w:val="0"/>
          <w:marTop w:val="0"/>
          <w:marBottom w:val="0"/>
          <w:divBdr>
            <w:top w:val="none" w:sz="0" w:space="0" w:color="auto"/>
            <w:left w:val="none" w:sz="0" w:space="0" w:color="auto"/>
            <w:bottom w:val="none" w:sz="0" w:space="0" w:color="auto"/>
            <w:right w:val="none" w:sz="0" w:space="0" w:color="auto"/>
          </w:divBdr>
        </w:div>
        <w:div w:id="1747219492">
          <w:marLeft w:val="360"/>
          <w:marRight w:val="0"/>
          <w:marTop w:val="0"/>
          <w:marBottom w:val="0"/>
          <w:divBdr>
            <w:top w:val="none" w:sz="0" w:space="0" w:color="auto"/>
            <w:left w:val="none" w:sz="0" w:space="0" w:color="auto"/>
            <w:bottom w:val="none" w:sz="0" w:space="0" w:color="auto"/>
            <w:right w:val="none" w:sz="0" w:space="0" w:color="auto"/>
          </w:divBdr>
        </w:div>
      </w:divsChild>
    </w:div>
    <w:div w:id="711465014">
      <w:bodyDiv w:val="1"/>
      <w:marLeft w:val="0"/>
      <w:marRight w:val="0"/>
      <w:marTop w:val="0"/>
      <w:marBottom w:val="0"/>
      <w:divBdr>
        <w:top w:val="none" w:sz="0" w:space="0" w:color="auto"/>
        <w:left w:val="none" w:sz="0" w:space="0" w:color="auto"/>
        <w:bottom w:val="none" w:sz="0" w:space="0" w:color="auto"/>
        <w:right w:val="none" w:sz="0" w:space="0" w:color="auto"/>
      </w:divBdr>
    </w:div>
    <w:div w:id="758864521">
      <w:bodyDiv w:val="1"/>
      <w:marLeft w:val="0"/>
      <w:marRight w:val="0"/>
      <w:marTop w:val="0"/>
      <w:marBottom w:val="0"/>
      <w:divBdr>
        <w:top w:val="none" w:sz="0" w:space="0" w:color="auto"/>
        <w:left w:val="none" w:sz="0" w:space="0" w:color="auto"/>
        <w:bottom w:val="none" w:sz="0" w:space="0" w:color="auto"/>
        <w:right w:val="none" w:sz="0" w:space="0" w:color="auto"/>
      </w:divBdr>
    </w:div>
    <w:div w:id="759108228">
      <w:bodyDiv w:val="1"/>
      <w:marLeft w:val="0"/>
      <w:marRight w:val="0"/>
      <w:marTop w:val="0"/>
      <w:marBottom w:val="0"/>
      <w:divBdr>
        <w:top w:val="none" w:sz="0" w:space="0" w:color="auto"/>
        <w:left w:val="none" w:sz="0" w:space="0" w:color="auto"/>
        <w:bottom w:val="none" w:sz="0" w:space="0" w:color="auto"/>
        <w:right w:val="none" w:sz="0" w:space="0" w:color="auto"/>
      </w:divBdr>
      <w:divsChild>
        <w:div w:id="2007779991">
          <w:marLeft w:val="360"/>
          <w:marRight w:val="0"/>
          <w:marTop w:val="200"/>
          <w:marBottom w:val="0"/>
          <w:divBdr>
            <w:top w:val="none" w:sz="0" w:space="0" w:color="auto"/>
            <w:left w:val="none" w:sz="0" w:space="0" w:color="auto"/>
            <w:bottom w:val="none" w:sz="0" w:space="0" w:color="auto"/>
            <w:right w:val="none" w:sz="0" w:space="0" w:color="auto"/>
          </w:divBdr>
        </w:div>
      </w:divsChild>
    </w:div>
    <w:div w:id="764351834">
      <w:bodyDiv w:val="1"/>
      <w:marLeft w:val="0"/>
      <w:marRight w:val="0"/>
      <w:marTop w:val="0"/>
      <w:marBottom w:val="0"/>
      <w:divBdr>
        <w:top w:val="none" w:sz="0" w:space="0" w:color="auto"/>
        <w:left w:val="none" w:sz="0" w:space="0" w:color="auto"/>
        <w:bottom w:val="none" w:sz="0" w:space="0" w:color="auto"/>
        <w:right w:val="none" w:sz="0" w:space="0" w:color="auto"/>
      </w:divBdr>
    </w:div>
    <w:div w:id="764572951">
      <w:bodyDiv w:val="1"/>
      <w:marLeft w:val="0"/>
      <w:marRight w:val="0"/>
      <w:marTop w:val="0"/>
      <w:marBottom w:val="0"/>
      <w:divBdr>
        <w:top w:val="none" w:sz="0" w:space="0" w:color="auto"/>
        <w:left w:val="none" w:sz="0" w:space="0" w:color="auto"/>
        <w:bottom w:val="none" w:sz="0" w:space="0" w:color="auto"/>
        <w:right w:val="none" w:sz="0" w:space="0" w:color="auto"/>
      </w:divBdr>
      <w:divsChild>
        <w:div w:id="1127968593">
          <w:marLeft w:val="360"/>
          <w:marRight w:val="0"/>
          <w:marTop w:val="200"/>
          <w:marBottom w:val="0"/>
          <w:divBdr>
            <w:top w:val="none" w:sz="0" w:space="0" w:color="auto"/>
            <w:left w:val="none" w:sz="0" w:space="0" w:color="auto"/>
            <w:bottom w:val="none" w:sz="0" w:space="0" w:color="auto"/>
            <w:right w:val="none" w:sz="0" w:space="0" w:color="auto"/>
          </w:divBdr>
        </w:div>
      </w:divsChild>
    </w:div>
    <w:div w:id="765272211">
      <w:bodyDiv w:val="1"/>
      <w:marLeft w:val="0"/>
      <w:marRight w:val="0"/>
      <w:marTop w:val="0"/>
      <w:marBottom w:val="0"/>
      <w:divBdr>
        <w:top w:val="none" w:sz="0" w:space="0" w:color="auto"/>
        <w:left w:val="none" w:sz="0" w:space="0" w:color="auto"/>
        <w:bottom w:val="none" w:sz="0" w:space="0" w:color="auto"/>
        <w:right w:val="none" w:sz="0" w:space="0" w:color="auto"/>
      </w:divBdr>
    </w:div>
    <w:div w:id="773475183">
      <w:bodyDiv w:val="1"/>
      <w:marLeft w:val="0"/>
      <w:marRight w:val="0"/>
      <w:marTop w:val="0"/>
      <w:marBottom w:val="0"/>
      <w:divBdr>
        <w:top w:val="none" w:sz="0" w:space="0" w:color="auto"/>
        <w:left w:val="none" w:sz="0" w:space="0" w:color="auto"/>
        <w:bottom w:val="none" w:sz="0" w:space="0" w:color="auto"/>
        <w:right w:val="none" w:sz="0" w:space="0" w:color="auto"/>
      </w:divBdr>
    </w:div>
    <w:div w:id="798694276">
      <w:bodyDiv w:val="1"/>
      <w:marLeft w:val="0"/>
      <w:marRight w:val="0"/>
      <w:marTop w:val="0"/>
      <w:marBottom w:val="0"/>
      <w:divBdr>
        <w:top w:val="none" w:sz="0" w:space="0" w:color="auto"/>
        <w:left w:val="none" w:sz="0" w:space="0" w:color="auto"/>
        <w:bottom w:val="none" w:sz="0" w:space="0" w:color="auto"/>
        <w:right w:val="none" w:sz="0" w:space="0" w:color="auto"/>
      </w:divBdr>
      <w:divsChild>
        <w:div w:id="1292520378">
          <w:marLeft w:val="360"/>
          <w:marRight w:val="0"/>
          <w:marTop w:val="200"/>
          <w:marBottom w:val="0"/>
          <w:divBdr>
            <w:top w:val="none" w:sz="0" w:space="0" w:color="auto"/>
            <w:left w:val="none" w:sz="0" w:space="0" w:color="auto"/>
            <w:bottom w:val="none" w:sz="0" w:space="0" w:color="auto"/>
            <w:right w:val="none" w:sz="0" w:space="0" w:color="auto"/>
          </w:divBdr>
        </w:div>
      </w:divsChild>
    </w:div>
    <w:div w:id="799768485">
      <w:bodyDiv w:val="1"/>
      <w:marLeft w:val="0"/>
      <w:marRight w:val="0"/>
      <w:marTop w:val="0"/>
      <w:marBottom w:val="0"/>
      <w:divBdr>
        <w:top w:val="none" w:sz="0" w:space="0" w:color="auto"/>
        <w:left w:val="none" w:sz="0" w:space="0" w:color="auto"/>
        <w:bottom w:val="none" w:sz="0" w:space="0" w:color="auto"/>
        <w:right w:val="none" w:sz="0" w:space="0" w:color="auto"/>
      </w:divBdr>
      <w:divsChild>
        <w:div w:id="1505392209">
          <w:marLeft w:val="360"/>
          <w:marRight w:val="0"/>
          <w:marTop w:val="200"/>
          <w:marBottom w:val="0"/>
          <w:divBdr>
            <w:top w:val="none" w:sz="0" w:space="0" w:color="auto"/>
            <w:left w:val="none" w:sz="0" w:space="0" w:color="auto"/>
            <w:bottom w:val="none" w:sz="0" w:space="0" w:color="auto"/>
            <w:right w:val="none" w:sz="0" w:space="0" w:color="auto"/>
          </w:divBdr>
        </w:div>
      </w:divsChild>
    </w:div>
    <w:div w:id="893665845">
      <w:bodyDiv w:val="1"/>
      <w:marLeft w:val="0"/>
      <w:marRight w:val="0"/>
      <w:marTop w:val="0"/>
      <w:marBottom w:val="0"/>
      <w:divBdr>
        <w:top w:val="none" w:sz="0" w:space="0" w:color="auto"/>
        <w:left w:val="none" w:sz="0" w:space="0" w:color="auto"/>
        <w:bottom w:val="none" w:sz="0" w:space="0" w:color="auto"/>
        <w:right w:val="none" w:sz="0" w:space="0" w:color="auto"/>
      </w:divBdr>
    </w:div>
    <w:div w:id="923993754">
      <w:bodyDiv w:val="1"/>
      <w:marLeft w:val="0"/>
      <w:marRight w:val="0"/>
      <w:marTop w:val="0"/>
      <w:marBottom w:val="0"/>
      <w:divBdr>
        <w:top w:val="none" w:sz="0" w:space="0" w:color="auto"/>
        <w:left w:val="none" w:sz="0" w:space="0" w:color="auto"/>
        <w:bottom w:val="none" w:sz="0" w:space="0" w:color="auto"/>
        <w:right w:val="none" w:sz="0" w:space="0" w:color="auto"/>
      </w:divBdr>
      <w:divsChild>
        <w:div w:id="1325207181">
          <w:marLeft w:val="360"/>
          <w:marRight w:val="0"/>
          <w:marTop w:val="0"/>
          <w:marBottom w:val="0"/>
          <w:divBdr>
            <w:top w:val="none" w:sz="0" w:space="0" w:color="auto"/>
            <w:left w:val="none" w:sz="0" w:space="0" w:color="auto"/>
            <w:bottom w:val="none" w:sz="0" w:space="0" w:color="auto"/>
            <w:right w:val="none" w:sz="0" w:space="0" w:color="auto"/>
          </w:divBdr>
        </w:div>
      </w:divsChild>
    </w:div>
    <w:div w:id="949583207">
      <w:bodyDiv w:val="1"/>
      <w:marLeft w:val="0"/>
      <w:marRight w:val="0"/>
      <w:marTop w:val="0"/>
      <w:marBottom w:val="0"/>
      <w:divBdr>
        <w:top w:val="none" w:sz="0" w:space="0" w:color="auto"/>
        <w:left w:val="none" w:sz="0" w:space="0" w:color="auto"/>
        <w:bottom w:val="none" w:sz="0" w:space="0" w:color="auto"/>
        <w:right w:val="none" w:sz="0" w:space="0" w:color="auto"/>
      </w:divBdr>
    </w:div>
    <w:div w:id="1053625078">
      <w:bodyDiv w:val="1"/>
      <w:marLeft w:val="0"/>
      <w:marRight w:val="0"/>
      <w:marTop w:val="0"/>
      <w:marBottom w:val="0"/>
      <w:divBdr>
        <w:top w:val="none" w:sz="0" w:space="0" w:color="auto"/>
        <w:left w:val="none" w:sz="0" w:space="0" w:color="auto"/>
        <w:bottom w:val="none" w:sz="0" w:space="0" w:color="auto"/>
        <w:right w:val="none" w:sz="0" w:space="0" w:color="auto"/>
      </w:divBdr>
    </w:div>
    <w:div w:id="1103645902">
      <w:bodyDiv w:val="1"/>
      <w:marLeft w:val="0"/>
      <w:marRight w:val="0"/>
      <w:marTop w:val="0"/>
      <w:marBottom w:val="0"/>
      <w:divBdr>
        <w:top w:val="none" w:sz="0" w:space="0" w:color="auto"/>
        <w:left w:val="none" w:sz="0" w:space="0" w:color="auto"/>
        <w:bottom w:val="none" w:sz="0" w:space="0" w:color="auto"/>
        <w:right w:val="none" w:sz="0" w:space="0" w:color="auto"/>
      </w:divBdr>
    </w:div>
    <w:div w:id="1170950639">
      <w:bodyDiv w:val="1"/>
      <w:marLeft w:val="0"/>
      <w:marRight w:val="0"/>
      <w:marTop w:val="0"/>
      <w:marBottom w:val="0"/>
      <w:divBdr>
        <w:top w:val="none" w:sz="0" w:space="0" w:color="auto"/>
        <w:left w:val="none" w:sz="0" w:space="0" w:color="auto"/>
        <w:bottom w:val="none" w:sz="0" w:space="0" w:color="auto"/>
        <w:right w:val="none" w:sz="0" w:space="0" w:color="auto"/>
      </w:divBdr>
    </w:div>
    <w:div w:id="1248223264">
      <w:bodyDiv w:val="1"/>
      <w:marLeft w:val="0"/>
      <w:marRight w:val="0"/>
      <w:marTop w:val="0"/>
      <w:marBottom w:val="0"/>
      <w:divBdr>
        <w:top w:val="none" w:sz="0" w:space="0" w:color="auto"/>
        <w:left w:val="none" w:sz="0" w:space="0" w:color="auto"/>
        <w:bottom w:val="none" w:sz="0" w:space="0" w:color="auto"/>
        <w:right w:val="none" w:sz="0" w:space="0" w:color="auto"/>
      </w:divBdr>
      <w:divsChild>
        <w:div w:id="19092991">
          <w:marLeft w:val="360"/>
          <w:marRight w:val="0"/>
          <w:marTop w:val="200"/>
          <w:marBottom w:val="0"/>
          <w:divBdr>
            <w:top w:val="none" w:sz="0" w:space="0" w:color="auto"/>
            <w:left w:val="none" w:sz="0" w:space="0" w:color="auto"/>
            <w:bottom w:val="none" w:sz="0" w:space="0" w:color="auto"/>
            <w:right w:val="none" w:sz="0" w:space="0" w:color="auto"/>
          </w:divBdr>
        </w:div>
      </w:divsChild>
    </w:div>
    <w:div w:id="1291548994">
      <w:bodyDiv w:val="1"/>
      <w:marLeft w:val="0"/>
      <w:marRight w:val="0"/>
      <w:marTop w:val="0"/>
      <w:marBottom w:val="0"/>
      <w:divBdr>
        <w:top w:val="none" w:sz="0" w:space="0" w:color="auto"/>
        <w:left w:val="none" w:sz="0" w:space="0" w:color="auto"/>
        <w:bottom w:val="none" w:sz="0" w:space="0" w:color="auto"/>
        <w:right w:val="none" w:sz="0" w:space="0" w:color="auto"/>
      </w:divBdr>
    </w:div>
    <w:div w:id="1296957792">
      <w:bodyDiv w:val="1"/>
      <w:marLeft w:val="0"/>
      <w:marRight w:val="0"/>
      <w:marTop w:val="0"/>
      <w:marBottom w:val="0"/>
      <w:divBdr>
        <w:top w:val="none" w:sz="0" w:space="0" w:color="auto"/>
        <w:left w:val="none" w:sz="0" w:space="0" w:color="auto"/>
        <w:bottom w:val="none" w:sz="0" w:space="0" w:color="auto"/>
        <w:right w:val="none" w:sz="0" w:space="0" w:color="auto"/>
      </w:divBdr>
      <w:divsChild>
        <w:div w:id="2129160688">
          <w:marLeft w:val="360"/>
          <w:marRight w:val="0"/>
          <w:marTop w:val="0"/>
          <w:marBottom w:val="0"/>
          <w:divBdr>
            <w:top w:val="none" w:sz="0" w:space="0" w:color="auto"/>
            <w:left w:val="none" w:sz="0" w:space="0" w:color="auto"/>
            <w:bottom w:val="none" w:sz="0" w:space="0" w:color="auto"/>
            <w:right w:val="none" w:sz="0" w:space="0" w:color="auto"/>
          </w:divBdr>
        </w:div>
      </w:divsChild>
    </w:div>
    <w:div w:id="1306080171">
      <w:bodyDiv w:val="1"/>
      <w:marLeft w:val="0"/>
      <w:marRight w:val="0"/>
      <w:marTop w:val="0"/>
      <w:marBottom w:val="0"/>
      <w:divBdr>
        <w:top w:val="none" w:sz="0" w:space="0" w:color="auto"/>
        <w:left w:val="none" w:sz="0" w:space="0" w:color="auto"/>
        <w:bottom w:val="none" w:sz="0" w:space="0" w:color="auto"/>
        <w:right w:val="none" w:sz="0" w:space="0" w:color="auto"/>
      </w:divBdr>
      <w:divsChild>
        <w:div w:id="809327184">
          <w:marLeft w:val="446"/>
          <w:marRight w:val="0"/>
          <w:marTop w:val="0"/>
          <w:marBottom w:val="0"/>
          <w:divBdr>
            <w:top w:val="none" w:sz="0" w:space="0" w:color="auto"/>
            <w:left w:val="none" w:sz="0" w:space="0" w:color="auto"/>
            <w:bottom w:val="none" w:sz="0" w:space="0" w:color="auto"/>
            <w:right w:val="none" w:sz="0" w:space="0" w:color="auto"/>
          </w:divBdr>
        </w:div>
        <w:div w:id="1740591202">
          <w:marLeft w:val="446"/>
          <w:marRight w:val="0"/>
          <w:marTop w:val="0"/>
          <w:marBottom w:val="0"/>
          <w:divBdr>
            <w:top w:val="none" w:sz="0" w:space="0" w:color="auto"/>
            <w:left w:val="none" w:sz="0" w:space="0" w:color="auto"/>
            <w:bottom w:val="none" w:sz="0" w:space="0" w:color="auto"/>
            <w:right w:val="none" w:sz="0" w:space="0" w:color="auto"/>
          </w:divBdr>
        </w:div>
        <w:div w:id="2006858398">
          <w:marLeft w:val="446"/>
          <w:marRight w:val="0"/>
          <w:marTop w:val="0"/>
          <w:marBottom w:val="0"/>
          <w:divBdr>
            <w:top w:val="none" w:sz="0" w:space="0" w:color="auto"/>
            <w:left w:val="none" w:sz="0" w:space="0" w:color="auto"/>
            <w:bottom w:val="none" w:sz="0" w:space="0" w:color="auto"/>
            <w:right w:val="none" w:sz="0" w:space="0" w:color="auto"/>
          </w:divBdr>
        </w:div>
      </w:divsChild>
    </w:div>
    <w:div w:id="1327245704">
      <w:bodyDiv w:val="1"/>
      <w:marLeft w:val="0"/>
      <w:marRight w:val="0"/>
      <w:marTop w:val="0"/>
      <w:marBottom w:val="0"/>
      <w:divBdr>
        <w:top w:val="none" w:sz="0" w:space="0" w:color="auto"/>
        <w:left w:val="none" w:sz="0" w:space="0" w:color="auto"/>
        <w:bottom w:val="none" w:sz="0" w:space="0" w:color="auto"/>
        <w:right w:val="none" w:sz="0" w:space="0" w:color="auto"/>
      </w:divBdr>
    </w:div>
    <w:div w:id="1336566062">
      <w:bodyDiv w:val="1"/>
      <w:marLeft w:val="0"/>
      <w:marRight w:val="0"/>
      <w:marTop w:val="0"/>
      <w:marBottom w:val="0"/>
      <w:divBdr>
        <w:top w:val="none" w:sz="0" w:space="0" w:color="auto"/>
        <w:left w:val="none" w:sz="0" w:space="0" w:color="auto"/>
        <w:bottom w:val="none" w:sz="0" w:space="0" w:color="auto"/>
        <w:right w:val="none" w:sz="0" w:space="0" w:color="auto"/>
      </w:divBdr>
      <w:divsChild>
        <w:div w:id="810905830">
          <w:marLeft w:val="446"/>
          <w:marRight w:val="0"/>
          <w:marTop w:val="0"/>
          <w:marBottom w:val="0"/>
          <w:divBdr>
            <w:top w:val="none" w:sz="0" w:space="0" w:color="auto"/>
            <w:left w:val="none" w:sz="0" w:space="0" w:color="auto"/>
            <w:bottom w:val="none" w:sz="0" w:space="0" w:color="auto"/>
            <w:right w:val="none" w:sz="0" w:space="0" w:color="auto"/>
          </w:divBdr>
        </w:div>
        <w:div w:id="918952712">
          <w:marLeft w:val="446"/>
          <w:marRight w:val="0"/>
          <w:marTop w:val="0"/>
          <w:marBottom w:val="0"/>
          <w:divBdr>
            <w:top w:val="none" w:sz="0" w:space="0" w:color="auto"/>
            <w:left w:val="none" w:sz="0" w:space="0" w:color="auto"/>
            <w:bottom w:val="none" w:sz="0" w:space="0" w:color="auto"/>
            <w:right w:val="none" w:sz="0" w:space="0" w:color="auto"/>
          </w:divBdr>
        </w:div>
      </w:divsChild>
    </w:div>
    <w:div w:id="1352685442">
      <w:bodyDiv w:val="1"/>
      <w:marLeft w:val="0"/>
      <w:marRight w:val="0"/>
      <w:marTop w:val="0"/>
      <w:marBottom w:val="0"/>
      <w:divBdr>
        <w:top w:val="none" w:sz="0" w:space="0" w:color="auto"/>
        <w:left w:val="none" w:sz="0" w:space="0" w:color="auto"/>
        <w:bottom w:val="none" w:sz="0" w:space="0" w:color="auto"/>
        <w:right w:val="none" w:sz="0" w:space="0" w:color="auto"/>
      </w:divBdr>
    </w:div>
    <w:div w:id="1357541524">
      <w:bodyDiv w:val="1"/>
      <w:marLeft w:val="0"/>
      <w:marRight w:val="0"/>
      <w:marTop w:val="0"/>
      <w:marBottom w:val="0"/>
      <w:divBdr>
        <w:top w:val="none" w:sz="0" w:space="0" w:color="auto"/>
        <w:left w:val="none" w:sz="0" w:space="0" w:color="auto"/>
        <w:bottom w:val="none" w:sz="0" w:space="0" w:color="auto"/>
        <w:right w:val="none" w:sz="0" w:space="0" w:color="auto"/>
      </w:divBdr>
    </w:div>
    <w:div w:id="1360352260">
      <w:bodyDiv w:val="1"/>
      <w:marLeft w:val="0"/>
      <w:marRight w:val="0"/>
      <w:marTop w:val="0"/>
      <w:marBottom w:val="0"/>
      <w:divBdr>
        <w:top w:val="none" w:sz="0" w:space="0" w:color="auto"/>
        <w:left w:val="none" w:sz="0" w:space="0" w:color="auto"/>
        <w:bottom w:val="none" w:sz="0" w:space="0" w:color="auto"/>
        <w:right w:val="none" w:sz="0" w:space="0" w:color="auto"/>
      </w:divBdr>
    </w:div>
    <w:div w:id="1364869205">
      <w:bodyDiv w:val="1"/>
      <w:marLeft w:val="0"/>
      <w:marRight w:val="0"/>
      <w:marTop w:val="0"/>
      <w:marBottom w:val="0"/>
      <w:divBdr>
        <w:top w:val="none" w:sz="0" w:space="0" w:color="auto"/>
        <w:left w:val="none" w:sz="0" w:space="0" w:color="auto"/>
        <w:bottom w:val="none" w:sz="0" w:space="0" w:color="auto"/>
        <w:right w:val="none" w:sz="0" w:space="0" w:color="auto"/>
      </w:divBdr>
    </w:div>
    <w:div w:id="1374233802">
      <w:bodyDiv w:val="1"/>
      <w:marLeft w:val="0"/>
      <w:marRight w:val="0"/>
      <w:marTop w:val="0"/>
      <w:marBottom w:val="0"/>
      <w:divBdr>
        <w:top w:val="none" w:sz="0" w:space="0" w:color="auto"/>
        <w:left w:val="none" w:sz="0" w:space="0" w:color="auto"/>
        <w:bottom w:val="none" w:sz="0" w:space="0" w:color="auto"/>
        <w:right w:val="none" w:sz="0" w:space="0" w:color="auto"/>
      </w:divBdr>
    </w:div>
    <w:div w:id="1374380442">
      <w:bodyDiv w:val="1"/>
      <w:marLeft w:val="0"/>
      <w:marRight w:val="0"/>
      <w:marTop w:val="0"/>
      <w:marBottom w:val="0"/>
      <w:divBdr>
        <w:top w:val="none" w:sz="0" w:space="0" w:color="auto"/>
        <w:left w:val="none" w:sz="0" w:space="0" w:color="auto"/>
        <w:bottom w:val="none" w:sz="0" w:space="0" w:color="auto"/>
        <w:right w:val="none" w:sz="0" w:space="0" w:color="auto"/>
      </w:divBdr>
      <w:divsChild>
        <w:div w:id="589201225">
          <w:marLeft w:val="360"/>
          <w:marRight w:val="0"/>
          <w:marTop w:val="200"/>
          <w:marBottom w:val="0"/>
          <w:divBdr>
            <w:top w:val="none" w:sz="0" w:space="0" w:color="auto"/>
            <w:left w:val="none" w:sz="0" w:space="0" w:color="auto"/>
            <w:bottom w:val="none" w:sz="0" w:space="0" w:color="auto"/>
            <w:right w:val="none" w:sz="0" w:space="0" w:color="auto"/>
          </w:divBdr>
        </w:div>
      </w:divsChild>
    </w:div>
    <w:div w:id="1419131278">
      <w:bodyDiv w:val="1"/>
      <w:marLeft w:val="0"/>
      <w:marRight w:val="0"/>
      <w:marTop w:val="0"/>
      <w:marBottom w:val="0"/>
      <w:divBdr>
        <w:top w:val="none" w:sz="0" w:space="0" w:color="auto"/>
        <w:left w:val="none" w:sz="0" w:space="0" w:color="auto"/>
        <w:bottom w:val="none" w:sz="0" w:space="0" w:color="auto"/>
        <w:right w:val="none" w:sz="0" w:space="0" w:color="auto"/>
      </w:divBdr>
    </w:div>
    <w:div w:id="1426265778">
      <w:bodyDiv w:val="1"/>
      <w:marLeft w:val="0"/>
      <w:marRight w:val="0"/>
      <w:marTop w:val="0"/>
      <w:marBottom w:val="0"/>
      <w:divBdr>
        <w:top w:val="none" w:sz="0" w:space="0" w:color="auto"/>
        <w:left w:val="none" w:sz="0" w:space="0" w:color="auto"/>
        <w:bottom w:val="none" w:sz="0" w:space="0" w:color="auto"/>
        <w:right w:val="none" w:sz="0" w:space="0" w:color="auto"/>
      </w:divBdr>
    </w:div>
    <w:div w:id="1434396864">
      <w:bodyDiv w:val="1"/>
      <w:marLeft w:val="0"/>
      <w:marRight w:val="0"/>
      <w:marTop w:val="0"/>
      <w:marBottom w:val="0"/>
      <w:divBdr>
        <w:top w:val="none" w:sz="0" w:space="0" w:color="auto"/>
        <w:left w:val="none" w:sz="0" w:space="0" w:color="auto"/>
        <w:bottom w:val="none" w:sz="0" w:space="0" w:color="auto"/>
        <w:right w:val="none" w:sz="0" w:space="0" w:color="auto"/>
      </w:divBdr>
      <w:divsChild>
        <w:div w:id="16011312">
          <w:marLeft w:val="547"/>
          <w:marRight w:val="0"/>
          <w:marTop w:val="200"/>
          <w:marBottom w:val="0"/>
          <w:divBdr>
            <w:top w:val="none" w:sz="0" w:space="0" w:color="auto"/>
            <w:left w:val="none" w:sz="0" w:space="0" w:color="auto"/>
            <w:bottom w:val="none" w:sz="0" w:space="0" w:color="auto"/>
            <w:right w:val="none" w:sz="0" w:space="0" w:color="auto"/>
          </w:divBdr>
        </w:div>
      </w:divsChild>
    </w:div>
    <w:div w:id="1447196457">
      <w:bodyDiv w:val="1"/>
      <w:marLeft w:val="0"/>
      <w:marRight w:val="0"/>
      <w:marTop w:val="0"/>
      <w:marBottom w:val="0"/>
      <w:divBdr>
        <w:top w:val="none" w:sz="0" w:space="0" w:color="auto"/>
        <w:left w:val="none" w:sz="0" w:space="0" w:color="auto"/>
        <w:bottom w:val="none" w:sz="0" w:space="0" w:color="auto"/>
        <w:right w:val="none" w:sz="0" w:space="0" w:color="auto"/>
      </w:divBdr>
    </w:div>
    <w:div w:id="1489519765">
      <w:bodyDiv w:val="1"/>
      <w:marLeft w:val="0"/>
      <w:marRight w:val="0"/>
      <w:marTop w:val="0"/>
      <w:marBottom w:val="0"/>
      <w:divBdr>
        <w:top w:val="none" w:sz="0" w:space="0" w:color="auto"/>
        <w:left w:val="none" w:sz="0" w:space="0" w:color="auto"/>
        <w:bottom w:val="none" w:sz="0" w:space="0" w:color="auto"/>
        <w:right w:val="none" w:sz="0" w:space="0" w:color="auto"/>
      </w:divBdr>
    </w:div>
    <w:div w:id="1556964196">
      <w:bodyDiv w:val="1"/>
      <w:marLeft w:val="0"/>
      <w:marRight w:val="0"/>
      <w:marTop w:val="0"/>
      <w:marBottom w:val="0"/>
      <w:divBdr>
        <w:top w:val="none" w:sz="0" w:space="0" w:color="auto"/>
        <w:left w:val="none" w:sz="0" w:space="0" w:color="auto"/>
        <w:bottom w:val="none" w:sz="0" w:space="0" w:color="auto"/>
        <w:right w:val="none" w:sz="0" w:space="0" w:color="auto"/>
      </w:divBdr>
    </w:div>
    <w:div w:id="1590310282">
      <w:bodyDiv w:val="1"/>
      <w:marLeft w:val="0"/>
      <w:marRight w:val="0"/>
      <w:marTop w:val="0"/>
      <w:marBottom w:val="0"/>
      <w:divBdr>
        <w:top w:val="none" w:sz="0" w:space="0" w:color="auto"/>
        <w:left w:val="none" w:sz="0" w:space="0" w:color="auto"/>
        <w:bottom w:val="none" w:sz="0" w:space="0" w:color="auto"/>
        <w:right w:val="none" w:sz="0" w:space="0" w:color="auto"/>
      </w:divBdr>
      <w:divsChild>
        <w:div w:id="303893271">
          <w:marLeft w:val="360"/>
          <w:marRight w:val="0"/>
          <w:marTop w:val="0"/>
          <w:marBottom w:val="0"/>
          <w:divBdr>
            <w:top w:val="none" w:sz="0" w:space="0" w:color="auto"/>
            <w:left w:val="none" w:sz="0" w:space="0" w:color="auto"/>
            <w:bottom w:val="none" w:sz="0" w:space="0" w:color="auto"/>
            <w:right w:val="none" w:sz="0" w:space="0" w:color="auto"/>
          </w:divBdr>
        </w:div>
        <w:div w:id="527792429">
          <w:marLeft w:val="360"/>
          <w:marRight w:val="0"/>
          <w:marTop w:val="0"/>
          <w:marBottom w:val="0"/>
          <w:divBdr>
            <w:top w:val="none" w:sz="0" w:space="0" w:color="auto"/>
            <w:left w:val="none" w:sz="0" w:space="0" w:color="auto"/>
            <w:bottom w:val="none" w:sz="0" w:space="0" w:color="auto"/>
            <w:right w:val="none" w:sz="0" w:space="0" w:color="auto"/>
          </w:divBdr>
        </w:div>
        <w:div w:id="673990919">
          <w:marLeft w:val="360"/>
          <w:marRight w:val="0"/>
          <w:marTop w:val="0"/>
          <w:marBottom w:val="0"/>
          <w:divBdr>
            <w:top w:val="none" w:sz="0" w:space="0" w:color="auto"/>
            <w:left w:val="none" w:sz="0" w:space="0" w:color="auto"/>
            <w:bottom w:val="none" w:sz="0" w:space="0" w:color="auto"/>
            <w:right w:val="none" w:sz="0" w:space="0" w:color="auto"/>
          </w:divBdr>
        </w:div>
        <w:div w:id="693264419">
          <w:marLeft w:val="360"/>
          <w:marRight w:val="0"/>
          <w:marTop w:val="0"/>
          <w:marBottom w:val="0"/>
          <w:divBdr>
            <w:top w:val="none" w:sz="0" w:space="0" w:color="auto"/>
            <w:left w:val="none" w:sz="0" w:space="0" w:color="auto"/>
            <w:bottom w:val="none" w:sz="0" w:space="0" w:color="auto"/>
            <w:right w:val="none" w:sz="0" w:space="0" w:color="auto"/>
          </w:divBdr>
        </w:div>
        <w:div w:id="841896849">
          <w:marLeft w:val="360"/>
          <w:marRight w:val="0"/>
          <w:marTop w:val="0"/>
          <w:marBottom w:val="0"/>
          <w:divBdr>
            <w:top w:val="none" w:sz="0" w:space="0" w:color="auto"/>
            <w:left w:val="none" w:sz="0" w:space="0" w:color="auto"/>
            <w:bottom w:val="none" w:sz="0" w:space="0" w:color="auto"/>
            <w:right w:val="none" w:sz="0" w:space="0" w:color="auto"/>
          </w:divBdr>
        </w:div>
        <w:div w:id="949701733">
          <w:marLeft w:val="360"/>
          <w:marRight w:val="0"/>
          <w:marTop w:val="0"/>
          <w:marBottom w:val="0"/>
          <w:divBdr>
            <w:top w:val="none" w:sz="0" w:space="0" w:color="auto"/>
            <w:left w:val="none" w:sz="0" w:space="0" w:color="auto"/>
            <w:bottom w:val="none" w:sz="0" w:space="0" w:color="auto"/>
            <w:right w:val="none" w:sz="0" w:space="0" w:color="auto"/>
          </w:divBdr>
        </w:div>
        <w:div w:id="1458059535">
          <w:marLeft w:val="360"/>
          <w:marRight w:val="0"/>
          <w:marTop w:val="0"/>
          <w:marBottom w:val="0"/>
          <w:divBdr>
            <w:top w:val="none" w:sz="0" w:space="0" w:color="auto"/>
            <w:left w:val="none" w:sz="0" w:space="0" w:color="auto"/>
            <w:bottom w:val="none" w:sz="0" w:space="0" w:color="auto"/>
            <w:right w:val="none" w:sz="0" w:space="0" w:color="auto"/>
          </w:divBdr>
        </w:div>
        <w:div w:id="1518883541">
          <w:marLeft w:val="360"/>
          <w:marRight w:val="0"/>
          <w:marTop w:val="0"/>
          <w:marBottom w:val="0"/>
          <w:divBdr>
            <w:top w:val="none" w:sz="0" w:space="0" w:color="auto"/>
            <w:left w:val="none" w:sz="0" w:space="0" w:color="auto"/>
            <w:bottom w:val="none" w:sz="0" w:space="0" w:color="auto"/>
            <w:right w:val="none" w:sz="0" w:space="0" w:color="auto"/>
          </w:divBdr>
        </w:div>
      </w:divsChild>
    </w:div>
    <w:div w:id="1633366149">
      <w:bodyDiv w:val="1"/>
      <w:marLeft w:val="0"/>
      <w:marRight w:val="0"/>
      <w:marTop w:val="0"/>
      <w:marBottom w:val="0"/>
      <w:divBdr>
        <w:top w:val="none" w:sz="0" w:space="0" w:color="auto"/>
        <w:left w:val="none" w:sz="0" w:space="0" w:color="auto"/>
        <w:bottom w:val="none" w:sz="0" w:space="0" w:color="auto"/>
        <w:right w:val="none" w:sz="0" w:space="0" w:color="auto"/>
      </w:divBdr>
    </w:div>
    <w:div w:id="1635718305">
      <w:bodyDiv w:val="1"/>
      <w:marLeft w:val="0"/>
      <w:marRight w:val="0"/>
      <w:marTop w:val="0"/>
      <w:marBottom w:val="0"/>
      <w:divBdr>
        <w:top w:val="none" w:sz="0" w:space="0" w:color="auto"/>
        <w:left w:val="none" w:sz="0" w:space="0" w:color="auto"/>
        <w:bottom w:val="none" w:sz="0" w:space="0" w:color="auto"/>
        <w:right w:val="none" w:sz="0" w:space="0" w:color="auto"/>
      </w:divBdr>
    </w:div>
    <w:div w:id="1642424714">
      <w:bodyDiv w:val="1"/>
      <w:marLeft w:val="0"/>
      <w:marRight w:val="0"/>
      <w:marTop w:val="0"/>
      <w:marBottom w:val="0"/>
      <w:divBdr>
        <w:top w:val="none" w:sz="0" w:space="0" w:color="auto"/>
        <w:left w:val="none" w:sz="0" w:space="0" w:color="auto"/>
        <w:bottom w:val="none" w:sz="0" w:space="0" w:color="auto"/>
        <w:right w:val="none" w:sz="0" w:space="0" w:color="auto"/>
      </w:divBdr>
    </w:div>
    <w:div w:id="1653289407">
      <w:bodyDiv w:val="1"/>
      <w:marLeft w:val="0"/>
      <w:marRight w:val="0"/>
      <w:marTop w:val="0"/>
      <w:marBottom w:val="0"/>
      <w:divBdr>
        <w:top w:val="none" w:sz="0" w:space="0" w:color="auto"/>
        <w:left w:val="none" w:sz="0" w:space="0" w:color="auto"/>
        <w:bottom w:val="none" w:sz="0" w:space="0" w:color="auto"/>
        <w:right w:val="none" w:sz="0" w:space="0" w:color="auto"/>
      </w:divBdr>
      <w:divsChild>
        <w:div w:id="1720012551">
          <w:marLeft w:val="446"/>
          <w:marRight w:val="0"/>
          <w:marTop w:val="0"/>
          <w:marBottom w:val="0"/>
          <w:divBdr>
            <w:top w:val="none" w:sz="0" w:space="0" w:color="auto"/>
            <w:left w:val="none" w:sz="0" w:space="0" w:color="auto"/>
            <w:bottom w:val="none" w:sz="0" w:space="0" w:color="auto"/>
            <w:right w:val="none" w:sz="0" w:space="0" w:color="auto"/>
          </w:divBdr>
        </w:div>
      </w:divsChild>
    </w:div>
    <w:div w:id="1700624745">
      <w:bodyDiv w:val="1"/>
      <w:marLeft w:val="0"/>
      <w:marRight w:val="0"/>
      <w:marTop w:val="0"/>
      <w:marBottom w:val="0"/>
      <w:divBdr>
        <w:top w:val="none" w:sz="0" w:space="0" w:color="auto"/>
        <w:left w:val="none" w:sz="0" w:space="0" w:color="auto"/>
        <w:bottom w:val="none" w:sz="0" w:space="0" w:color="auto"/>
        <w:right w:val="none" w:sz="0" w:space="0" w:color="auto"/>
      </w:divBdr>
    </w:div>
    <w:div w:id="1731146256">
      <w:bodyDiv w:val="1"/>
      <w:marLeft w:val="0"/>
      <w:marRight w:val="0"/>
      <w:marTop w:val="0"/>
      <w:marBottom w:val="0"/>
      <w:divBdr>
        <w:top w:val="none" w:sz="0" w:space="0" w:color="auto"/>
        <w:left w:val="none" w:sz="0" w:space="0" w:color="auto"/>
        <w:bottom w:val="none" w:sz="0" w:space="0" w:color="auto"/>
        <w:right w:val="none" w:sz="0" w:space="0" w:color="auto"/>
      </w:divBdr>
      <w:divsChild>
        <w:div w:id="104470372">
          <w:marLeft w:val="547"/>
          <w:marRight w:val="0"/>
          <w:marTop w:val="200"/>
          <w:marBottom w:val="0"/>
          <w:divBdr>
            <w:top w:val="none" w:sz="0" w:space="0" w:color="auto"/>
            <w:left w:val="none" w:sz="0" w:space="0" w:color="auto"/>
            <w:bottom w:val="none" w:sz="0" w:space="0" w:color="auto"/>
            <w:right w:val="none" w:sz="0" w:space="0" w:color="auto"/>
          </w:divBdr>
        </w:div>
      </w:divsChild>
    </w:div>
    <w:div w:id="1743718061">
      <w:bodyDiv w:val="1"/>
      <w:marLeft w:val="0"/>
      <w:marRight w:val="0"/>
      <w:marTop w:val="0"/>
      <w:marBottom w:val="0"/>
      <w:divBdr>
        <w:top w:val="none" w:sz="0" w:space="0" w:color="auto"/>
        <w:left w:val="none" w:sz="0" w:space="0" w:color="auto"/>
        <w:bottom w:val="none" w:sz="0" w:space="0" w:color="auto"/>
        <w:right w:val="none" w:sz="0" w:space="0" w:color="auto"/>
      </w:divBdr>
    </w:div>
    <w:div w:id="1783452778">
      <w:bodyDiv w:val="1"/>
      <w:marLeft w:val="0"/>
      <w:marRight w:val="0"/>
      <w:marTop w:val="0"/>
      <w:marBottom w:val="0"/>
      <w:divBdr>
        <w:top w:val="none" w:sz="0" w:space="0" w:color="auto"/>
        <w:left w:val="none" w:sz="0" w:space="0" w:color="auto"/>
        <w:bottom w:val="none" w:sz="0" w:space="0" w:color="auto"/>
        <w:right w:val="none" w:sz="0" w:space="0" w:color="auto"/>
      </w:divBdr>
    </w:div>
    <w:div w:id="1825581988">
      <w:bodyDiv w:val="1"/>
      <w:marLeft w:val="0"/>
      <w:marRight w:val="0"/>
      <w:marTop w:val="0"/>
      <w:marBottom w:val="0"/>
      <w:divBdr>
        <w:top w:val="none" w:sz="0" w:space="0" w:color="auto"/>
        <w:left w:val="none" w:sz="0" w:space="0" w:color="auto"/>
        <w:bottom w:val="none" w:sz="0" w:space="0" w:color="auto"/>
        <w:right w:val="none" w:sz="0" w:space="0" w:color="auto"/>
      </w:divBdr>
    </w:div>
    <w:div w:id="1848985427">
      <w:bodyDiv w:val="1"/>
      <w:marLeft w:val="0"/>
      <w:marRight w:val="0"/>
      <w:marTop w:val="0"/>
      <w:marBottom w:val="0"/>
      <w:divBdr>
        <w:top w:val="none" w:sz="0" w:space="0" w:color="auto"/>
        <w:left w:val="none" w:sz="0" w:space="0" w:color="auto"/>
        <w:bottom w:val="none" w:sz="0" w:space="0" w:color="auto"/>
        <w:right w:val="none" w:sz="0" w:space="0" w:color="auto"/>
      </w:divBdr>
    </w:div>
    <w:div w:id="1867212381">
      <w:bodyDiv w:val="1"/>
      <w:marLeft w:val="0"/>
      <w:marRight w:val="0"/>
      <w:marTop w:val="0"/>
      <w:marBottom w:val="0"/>
      <w:divBdr>
        <w:top w:val="none" w:sz="0" w:space="0" w:color="auto"/>
        <w:left w:val="none" w:sz="0" w:space="0" w:color="auto"/>
        <w:bottom w:val="none" w:sz="0" w:space="0" w:color="auto"/>
        <w:right w:val="none" w:sz="0" w:space="0" w:color="auto"/>
      </w:divBdr>
    </w:div>
    <w:div w:id="1868254588">
      <w:bodyDiv w:val="1"/>
      <w:marLeft w:val="0"/>
      <w:marRight w:val="0"/>
      <w:marTop w:val="0"/>
      <w:marBottom w:val="0"/>
      <w:divBdr>
        <w:top w:val="none" w:sz="0" w:space="0" w:color="auto"/>
        <w:left w:val="none" w:sz="0" w:space="0" w:color="auto"/>
        <w:bottom w:val="none" w:sz="0" w:space="0" w:color="auto"/>
        <w:right w:val="none" w:sz="0" w:space="0" w:color="auto"/>
      </w:divBdr>
    </w:div>
    <w:div w:id="1902249553">
      <w:bodyDiv w:val="1"/>
      <w:marLeft w:val="0"/>
      <w:marRight w:val="0"/>
      <w:marTop w:val="0"/>
      <w:marBottom w:val="0"/>
      <w:divBdr>
        <w:top w:val="none" w:sz="0" w:space="0" w:color="auto"/>
        <w:left w:val="none" w:sz="0" w:space="0" w:color="auto"/>
        <w:bottom w:val="none" w:sz="0" w:space="0" w:color="auto"/>
        <w:right w:val="none" w:sz="0" w:space="0" w:color="auto"/>
      </w:divBdr>
    </w:div>
    <w:div w:id="1903252170">
      <w:bodyDiv w:val="1"/>
      <w:marLeft w:val="0"/>
      <w:marRight w:val="0"/>
      <w:marTop w:val="0"/>
      <w:marBottom w:val="0"/>
      <w:divBdr>
        <w:top w:val="none" w:sz="0" w:space="0" w:color="auto"/>
        <w:left w:val="none" w:sz="0" w:space="0" w:color="auto"/>
        <w:bottom w:val="none" w:sz="0" w:space="0" w:color="auto"/>
        <w:right w:val="none" w:sz="0" w:space="0" w:color="auto"/>
      </w:divBdr>
    </w:div>
    <w:div w:id="1910648493">
      <w:bodyDiv w:val="1"/>
      <w:marLeft w:val="0"/>
      <w:marRight w:val="0"/>
      <w:marTop w:val="0"/>
      <w:marBottom w:val="0"/>
      <w:divBdr>
        <w:top w:val="none" w:sz="0" w:space="0" w:color="auto"/>
        <w:left w:val="none" w:sz="0" w:space="0" w:color="auto"/>
        <w:bottom w:val="none" w:sz="0" w:space="0" w:color="auto"/>
        <w:right w:val="none" w:sz="0" w:space="0" w:color="auto"/>
      </w:divBdr>
    </w:div>
    <w:div w:id="1937444397">
      <w:bodyDiv w:val="1"/>
      <w:marLeft w:val="0"/>
      <w:marRight w:val="0"/>
      <w:marTop w:val="0"/>
      <w:marBottom w:val="0"/>
      <w:divBdr>
        <w:top w:val="none" w:sz="0" w:space="0" w:color="auto"/>
        <w:left w:val="none" w:sz="0" w:space="0" w:color="auto"/>
        <w:bottom w:val="none" w:sz="0" w:space="0" w:color="auto"/>
        <w:right w:val="none" w:sz="0" w:space="0" w:color="auto"/>
      </w:divBdr>
    </w:div>
    <w:div w:id="1945376903">
      <w:bodyDiv w:val="1"/>
      <w:marLeft w:val="0"/>
      <w:marRight w:val="0"/>
      <w:marTop w:val="0"/>
      <w:marBottom w:val="0"/>
      <w:divBdr>
        <w:top w:val="none" w:sz="0" w:space="0" w:color="auto"/>
        <w:left w:val="none" w:sz="0" w:space="0" w:color="auto"/>
        <w:bottom w:val="none" w:sz="0" w:space="0" w:color="auto"/>
        <w:right w:val="none" w:sz="0" w:space="0" w:color="auto"/>
      </w:divBdr>
      <w:divsChild>
        <w:div w:id="952977096">
          <w:marLeft w:val="547"/>
          <w:marRight w:val="0"/>
          <w:marTop w:val="200"/>
          <w:marBottom w:val="0"/>
          <w:divBdr>
            <w:top w:val="none" w:sz="0" w:space="0" w:color="auto"/>
            <w:left w:val="none" w:sz="0" w:space="0" w:color="auto"/>
            <w:bottom w:val="none" w:sz="0" w:space="0" w:color="auto"/>
            <w:right w:val="none" w:sz="0" w:space="0" w:color="auto"/>
          </w:divBdr>
        </w:div>
      </w:divsChild>
    </w:div>
    <w:div w:id="1969161258">
      <w:bodyDiv w:val="1"/>
      <w:marLeft w:val="0"/>
      <w:marRight w:val="0"/>
      <w:marTop w:val="0"/>
      <w:marBottom w:val="0"/>
      <w:divBdr>
        <w:top w:val="none" w:sz="0" w:space="0" w:color="auto"/>
        <w:left w:val="none" w:sz="0" w:space="0" w:color="auto"/>
        <w:bottom w:val="none" w:sz="0" w:space="0" w:color="auto"/>
        <w:right w:val="none" w:sz="0" w:space="0" w:color="auto"/>
      </w:divBdr>
      <w:divsChild>
        <w:div w:id="1654606586">
          <w:marLeft w:val="360"/>
          <w:marRight w:val="0"/>
          <w:marTop w:val="200"/>
          <w:marBottom w:val="0"/>
          <w:divBdr>
            <w:top w:val="none" w:sz="0" w:space="0" w:color="auto"/>
            <w:left w:val="none" w:sz="0" w:space="0" w:color="auto"/>
            <w:bottom w:val="none" w:sz="0" w:space="0" w:color="auto"/>
            <w:right w:val="none" w:sz="0" w:space="0" w:color="auto"/>
          </w:divBdr>
        </w:div>
      </w:divsChild>
    </w:div>
    <w:div w:id="1969511237">
      <w:bodyDiv w:val="1"/>
      <w:marLeft w:val="0"/>
      <w:marRight w:val="0"/>
      <w:marTop w:val="0"/>
      <w:marBottom w:val="0"/>
      <w:divBdr>
        <w:top w:val="none" w:sz="0" w:space="0" w:color="auto"/>
        <w:left w:val="none" w:sz="0" w:space="0" w:color="auto"/>
        <w:bottom w:val="none" w:sz="0" w:space="0" w:color="auto"/>
        <w:right w:val="none" w:sz="0" w:space="0" w:color="auto"/>
      </w:divBdr>
    </w:div>
    <w:div w:id="1993440315">
      <w:bodyDiv w:val="1"/>
      <w:marLeft w:val="0"/>
      <w:marRight w:val="0"/>
      <w:marTop w:val="0"/>
      <w:marBottom w:val="0"/>
      <w:divBdr>
        <w:top w:val="none" w:sz="0" w:space="0" w:color="auto"/>
        <w:left w:val="none" w:sz="0" w:space="0" w:color="auto"/>
        <w:bottom w:val="none" w:sz="0" w:space="0" w:color="auto"/>
        <w:right w:val="none" w:sz="0" w:space="0" w:color="auto"/>
      </w:divBdr>
    </w:div>
    <w:div w:id="2003702216">
      <w:bodyDiv w:val="1"/>
      <w:marLeft w:val="0"/>
      <w:marRight w:val="0"/>
      <w:marTop w:val="0"/>
      <w:marBottom w:val="0"/>
      <w:divBdr>
        <w:top w:val="none" w:sz="0" w:space="0" w:color="auto"/>
        <w:left w:val="none" w:sz="0" w:space="0" w:color="auto"/>
        <w:bottom w:val="none" w:sz="0" w:space="0" w:color="auto"/>
        <w:right w:val="none" w:sz="0" w:space="0" w:color="auto"/>
      </w:divBdr>
    </w:div>
    <w:div w:id="2008367001">
      <w:bodyDiv w:val="1"/>
      <w:marLeft w:val="0"/>
      <w:marRight w:val="0"/>
      <w:marTop w:val="0"/>
      <w:marBottom w:val="0"/>
      <w:divBdr>
        <w:top w:val="none" w:sz="0" w:space="0" w:color="auto"/>
        <w:left w:val="none" w:sz="0" w:space="0" w:color="auto"/>
        <w:bottom w:val="none" w:sz="0" w:space="0" w:color="auto"/>
        <w:right w:val="none" w:sz="0" w:space="0" w:color="auto"/>
      </w:divBdr>
    </w:div>
    <w:div w:id="2046832666">
      <w:bodyDiv w:val="1"/>
      <w:marLeft w:val="0"/>
      <w:marRight w:val="0"/>
      <w:marTop w:val="0"/>
      <w:marBottom w:val="0"/>
      <w:divBdr>
        <w:top w:val="none" w:sz="0" w:space="0" w:color="auto"/>
        <w:left w:val="none" w:sz="0" w:space="0" w:color="auto"/>
        <w:bottom w:val="none" w:sz="0" w:space="0" w:color="auto"/>
        <w:right w:val="none" w:sz="0" w:space="0" w:color="auto"/>
      </w:divBdr>
      <w:divsChild>
        <w:div w:id="1886138451">
          <w:marLeft w:val="806"/>
          <w:marRight w:val="0"/>
          <w:marTop w:val="0"/>
          <w:marBottom w:val="0"/>
          <w:divBdr>
            <w:top w:val="none" w:sz="0" w:space="0" w:color="auto"/>
            <w:left w:val="none" w:sz="0" w:space="0" w:color="auto"/>
            <w:bottom w:val="none" w:sz="0" w:space="0" w:color="auto"/>
            <w:right w:val="none" w:sz="0" w:space="0" w:color="auto"/>
          </w:divBdr>
        </w:div>
      </w:divsChild>
    </w:div>
    <w:div w:id="214449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witter.com/undpcommodities" TargetMode="External"/><Relationship Id="rId26" Type="http://schemas.openxmlformats.org/officeDocument/2006/relationships/hyperlink" Target="https://www.evidensia.eco/resources/1120/have-food-supply-chain-policies-improved-forest-conservation-and-rural-livelihoods-a-systematic-review/" TargetMode="External"/><Relationship Id="rId39" Type="http://schemas.openxmlformats.org/officeDocument/2006/relationships/image" Target="media/image17.svg"/><Relationship Id="rId21" Type="http://schemas.openxmlformats.org/officeDocument/2006/relationships/image" Target="media/image10.png"/><Relationship Id="rId34" Type="http://schemas.openxmlformats.org/officeDocument/2006/relationships/hyperlink" Target="https://goodgrowthpartnership.com/wp-content/uploads/Gender-KP-Final-Jan2020.pdf" TargetMode="External"/><Relationship Id="rId42" Type="http://schemas.openxmlformats.org/officeDocument/2006/relationships/hyperlink" Target="https://eur03.safelinks.protection.outlook.com/?url=https%3A%2F%2Fwww.evidensia.eco%2Fabout-evidensia%2Fgovernance%2F&amp;data=04%7C01%7Candrea.bina%40undp.org%7C6464368b264942c87fc408d9ae4926b2%7Cb3e5db5e2944483799f57488ace54319%7C0%7C0%7C637732451506298687%7CUnknown%7CTWFpbGZsb3d8eyJWIjoiMC4wLjAwMDAiLCJQIjoiV2luMzIiLCJBTiI6Ik1haWwiLCJXVCI6Mn0%3D%7C3000&amp;sdata=uBzRWz15TxwVNqJlOimvlY9HyXP%2Fl%2F1YaooTwp0mtf8%3D&amp;reserve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vidensia.eco/work-with-evidence/visual-summaries/" TargetMode="External"/><Relationship Id="rId32" Type="http://schemas.openxmlformats.org/officeDocument/2006/relationships/image" Target="media/image13.jpeg"/><Relationship Id="rId37" Type="http://schemas.openxmlformats.org/officeDocument/2006/relationships/hyperlink" Target="http://web.undp.org/evaluation/guideline/section-6.shtml" TargetMode="External"/><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evidensia.eco/resources/1107/outcomes-of-deforestation-free-commodity-value-chain-approaches/"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linkedin.com/company/undp-commodities/" TargetMode="External"/><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hyperlink" Target="https://www.evidensia.eco/resources/1128/have-food-supply-chain-policies-improved-forest-conservation-and-rural-livelihoods/"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goodgrowthpartnership.com/" TargetMode="External"/><Relationship Id="rId25" Type="http://schemas.openxmlformats.org/officeDocument/2006/relationships/hyperlink" Target="https://www.evidensia.eco/resources/181" TargetMode="External"/><Relationship Id="rId33" Type="http://schemas.openxmlformats.org/officeDocument/2006/relationships/image" Target="media/image14.png"/><Relationship Id="rId38" Type="http://schemas.openxmlformats.org/officeDocument/2006/relationships/image" Target="media/image16.png"/><Relationship Id="rId20" Type="http://schemas.openxmlformats.org/officeDocument/2006/relationships/image" Target="media/image9.png"/><Relationship Id="rId41" Type="http://schemas.openxmlformats.org/officeDocument/2006/relationships/image" Target="media/image19.svg"/></Relationships>
</file>

<file path=word/_rels/footnotes.xml.rels><?xml version="1.0" encoding="UTF-8" standalone="yes"?>
<Relationships xmlns="http://schemas.openxmlformats.org/package/2006/relationships"><Relationship Id="rId1" Type="http://schemas.openxmlformats.org/officeDocument/2006/relationships/hyperlink" Target="http://www.unevaluation.org/document/detail/1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amarch\OneDrive\Documentos\RWC%20TECHNOLOGIES\CONSULTORIAS\GGP-PNUD%20TE\A&amp;L\A&amp;L%20TE%20Report.%20Third%20Revised%20Draft\Finance%20and%20Cofinance%20rev260222sf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aramarch\OneDrive\Documentos\RWC%20TECHNOLOGIES\CONSULTORIAS\GGP-PNUD%20TE\A&amp;L\TE%20Report%20Working%20Drafts\Financial%20Analysis%20for%20TE%20Report\A&amp;L%20Financial%20Analysis.%20rev2%20Sept14sfm.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ramarch\OneDrive\Documentos\RWC%20TECHNOLOGIES\CONSULTORIAS\GGP-PNUD%20TE\A&amp;L\TE%20Report%20Working%20Drafts\GCC%20Members%20List%20Analysis%20rev280921sfm.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ES" sz="1400"/>
              <a:t>Total Project Execution of 92% </a:t>
            </a:r>
          </a:p>
          <a:p>
            <a:pPr>
              <a:defRPr sz="1400"/>
            </a:pPr>
            <a:r>
              <a:rPr lang="es-ES" sz="1400"/>
              <a:t>Total Budget:</a:t>
            </a:r>
            <a:r>
              <a:rPr lang="es-ES" sz="1400" baseline="0"/>
              <a:t> </a:t>
            </a:r>
            <a:r>
              <a:rPr lang="es-ES" sz="1400"/>
              <a:t>$3,978,441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G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12-4199-BBD8-63B7C6009AD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12-4199-BBD8-63B7C6009AD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G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Expenses!$F$45:$G$45</c:f>
              <c:strCache>
                <c:ptCount val="2"/>
                <c:pt idx="0">
                  <c:v>Executed</c:v>
                </c:pt>
                <c:pt idx="1">
                  <c:v>Remaining</c:v>
                </c:pt>
              </c:strCache>
            </c:strRef>
          </c:cat>
          <c:val>
            <c:numRef>
              <c:f>Expenses!$F$46:$G$46</c:f>
              <c:numCache>
                <c:formatCode>0%</c:formatCode>
                <c:ptCount val="2"/>
                <c:pt idx="0">
                  <c:v>0.91607554636048893</c:v>
                </c:pt>
                <c:pt idx="1">
                  <c:v>8.3924453639511093E-2</c:v>
                </c:pt>
              </c:numCache>
            </c:numRef>
          </c:val>
          <c:extLst>
            <c:ext xmlns:c16="http://schemas.microsoft.com/office/drawing/2014/chart" uri="{C3380CC4-5D6E-409C-BE32-E72D297353CC}">
              <c16:uniqueId val="{00000004-6312-4199-BBD8-63B7C6009A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B3-41F5-BD23-DCB66BCF9E7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B3-41F5-BD23-DCB66BCF9E7A}"/>
              </c:ext>
            </c:extLst>
          </c:dPt>
          <c:dLbls>
            <c:dLbl>
              <c:idx val="0"/>
              <c:layout>
                <c:manualLayout>
                  <c:x val="0.49187109533843482"/>
                  <c:y val="-0.65964846811210209"/>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31975749510184465"/>
                      <c:h val="0.20407607816795412"/>
                    </c:manualLayout>
                  </c15:layout>
                </c:ext>
                <c:ext xmlns:c16="http://schemas.microsoft.com/office/drawing/2014/chart" uri="{C3380CC4-5D6E-409C-BE32-E72D297353CC}">
                  <c16:uniqueId val="{00000001-2EB3-41F5-BD23-DCB66BCF9E7A}"/>
                </c:ext>
              </c:extLst>
            </c:dLbl>
            <c:dLbl>
              <c:idx val="1"/>
              <c:delete val="1"/>
              <c:extLst>
                <c:ext xmlns:c15="http://schemas.microsoft.com/office/drawing/2012/chart" uri="{CE6537A1-D6FC-4f65-9D91-7224C49458BB}"/>
                <c:ext xmlns:c16="http://schemas.microsoft.com/office/drawing/2014/chart" uri="{C3380CC4-5D6E-409C-BE32-E72D297353CC}">
                  <c16:uniqueId val="{00000003-2EB3-41F5-BD23-DCB66BCF9E7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G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'Updated '!$C$38:$D$38</c:f>
              <c:strCache>
                <c:ptCount val="2"/>
                <c:pt idx="0">
                  <c:v>Budget Execution</c:v>
                </c:pt>
                <c:pt idx="1">
                  <c:v> Remaining Balance </c:v>
                </c:pt>
              </c:strCache>
            </c:strRef>
          </c:cat>
          <c:val>
            <c:numRef>
              <c:f>'Updated '!$C$39:$D$39</c:f>
              <c:numCache>
                <c:formatCode>_(* #,##0.00_);_(* \(#,##0.00\);_(* "-"??_);_(@_)</c:formatCode>
                <c:ptCount val="2"/>
                <c:pt idx="0" formatCode="_(&quot;$&quot;* #,##0.00_);_(&quot;$&quot;* \(#,##0.00\);_(&quot;$&quot;* &quot;-&quot;??_);_(@_)">
                  <c:v>1229315.87273797</c:v>
                </c:pt>
                <c:pt idx="1">
                  <c:v>1.1272620300296694</c:v>
                </c:pt>
              </c:numCache>
            </c:numRef>
          </c:val>
          <c:extLst>
            <c:ext xmlns:c16="http://schemas.microsoft.com/office/drawing/2014/chart" uri="{C3380CC4-5D6E-409C-BE32-E72D297353CC}">
              <c16:uniqueId val="{00000004-2EB3-41F5-BD23-DCB66BCF9E7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989168607445191"/>
          <c:y val="0.63610951474667576"/>
          <c:w val="0.3225905298423063"/>
          <c:h val="0.14900766543254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5F8-4762-AE9A-D9B1958340A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5F8-4762-AE9A-D9B1958340A5}"/>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endParaRPr lang="en-GR"/>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Sheet1!$AA$7:$AA$8</c:f>
              <c:strCache>
                <c:ptCount val="2"/>
                <c:pt idx="0">
                  <c:v>Other Members</c:v>
                </c:pt>
                <c:pt idx="1">
                  <c:v>UNDP Members</c:v>
                </c:pt>
              </c:strCache>
            </c:strRef>
          </c:cat>
          <c:val>
            <c:numRef>
              <c:f>Sheet1!$AB$7:$AB$8</c:f>
              <c:numCache>
                <c:formatCode>0%</c:formatCode>
                <c:ptCount val="2"/>
                <c:pt idx="0">
                  <c:v>0.47812500000000013</c:v>
                </c:pt>
                <c:pt idx="1">
                  <c:v>0.52</c:v>
                </c:pt>
              </c:numCache>
            </c:numRef>
          </c:val>
          <c:extLst>
            <c:ext xmlns:c16="http://schemas.microsoft.com/office/drawing/2014/chart" uri="{C3380CC4-5D6E-409C-BE32-E72D297353CC}">
              <c16:uniqueId val="{00000004-85F8-4762-AE9A-D9B1958340A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G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4FCCE-252D-4350-93CF-ECC15AC4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167</Pages>
  <Words>55361</Words>
  <Characters>315561</Characters>
  <Application>Microsoft Office Word</Application>
  <DocSecurity>0</DocSecurity>
  <Lines>2629</Lines>
  <Paragraphs>740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5 Submitted 24.03.2022 TE Report  A&amp;L</vt:lpstr>
      <vt:lpstr>Draft4 Submitted 18.03.2022 TE Report  A&amp;L</vt:lpstr>
    </vt:vector>
  </TitlesOfParts>
  <Manager>Guido Fernandez de Velasco</Manager>
  <Company>AAE</Company>
  <LinksUpToDate>false</LinksUpToDate>
  <CharactersWithSpaces>370182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5 Submitted 24.03.2022 TE Report  A&amp;L</dc:title>
  <dc:subject>TE A&amp;L UNDP GEF</dc:subject>
  <dc:creator>Robert Crowley</dc:creator>
  <cp:keywords/>
  <dc:description>5th draft submitted 24.03.2022</dc:description>
  <cp:lastModifiedBy>Marc G</cp:lastModifiedBy>
  <cp:revision>3</cp:revision>
  <cp:lastPrinted>2021-11-19T12:23:00Z</cp:lastPrinted>
  <dcterms:created xsi:type="dcterms:W3CDTF">2022-03-31T21:46:00Z</dcterms:created>
  <dcterms:modified xsi:type="dcterms:W3CDTF">2022-04-06T11:57:00Z</dcterms:modified>
  <cp:category>TE, GEF, AyL</cp:category>
  <cp:contentStatus>4th draft submitted for final approval</cp:contentStatus>
</cp:coreProperties>
</file>