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2DE13" w14:textId="4B8302F2" w:rsidR="007372B6" w:rsidRDefault="00D202D3">
      <w:pPr>
        <w:spacing w:line="312" w:lineRule="auto"/>
        <w:jc w:val="center"/>
        <w:rPr>
          <w:sz w:val="48"/>
          <w:szCs w:val="48"/>
        </w:rPr>
      </w:pPr>
      <w:r>
        <w:rPr>
          <w:noProof/>
        </w:rPr>
        <w:pict w14:anchorId="19B83982">
          <v:group id="Shape1" o:spid="_x0000_s1029" style="position:absolute;left:0;text-align:left;margin-left:-71.9pt;margin-top:-71.65pt;width:468pt;height:130.2pt;z-index:-503316478" coordsize="59436,1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" o:allowincell="f">
            <v:rect id="Rectangle 2" o:spid="_x0000_s1030" style="position:absolute;width:59436;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" filled="f" stroked="f" strokeweight="0"/>
          </v:group>
        </w:pict>
      </w:r>
      <w:r w:rsidR="00000000">
        <w:rPr>
          <w:rFonts w:ascii="Calibri" w:hAnsi="Calibri" w:cs="Calibri"/>
          <w:b/>
          <w:bCs/>
          <w:color w:val="0000FF"/>
          <w:sz w:val="48"/>
          <w:szCs w:val="48"/>
          <w:lang w:eastAsia="zh-CN"/>
        </w:rPr>
        <w:t>Final Report</w:t>
      </w:r>
    </w:p>
    <w:p w14:paraId="1B6E7E5C" w14:textId="77777777" w:rsidR="007372B6" w:rsidRDefault="007372B6">
      <w:pPr>
        <w:spacing w:line="312" w:lineRule="auto"/>
        <w:jc w:val="center"/>
        <w:rPr>
          <w:rFonts w:ascii="Calibri" w:hAnsi="Calibri" w:cs="Calibri"/>
          <w:b/>
          <w:bCs/>
          <w:color w:val="000000"/>
          <w:sz w:val="32"/>
          <w:szCs w:val="32"/>
          <w:lang w:eastAsia="zh-CN"/>
        </w:rPr>
      </w:pPr>
    </w:p>
    <w:p w14:paraId="78F241D8" w14:textId="77777777" w:rsidR="007372B6" w:rsidRDefault="00000000">
      <w:pPr>
        <w:spacing w:line="312" w:lineRule="auto"/>
        <w:jc w:val="center"/>
        <w:rPr>
          <w:rFonts w:ascii="Calibri" w:hAnsi="Calibri" w:cs="Calibri"/>
          <w:b/>
          <w:bCs/>
          <w:color w:val="000000"/>
          <w:sz w:val="32"/>
          <w:szCs w:val="32"/>
          <w:lang w:eastAsia="zh-CN"/>
        </w:rPr>
      </w:pPr>
      <w:r>
        <w:rPr>
          <w:rFonts w:ascii="Calibri" w:hAnsi="Calibri" w:cs="Calibri"/>
          <w:b/>
          <w:bCs/>
          <w:color w:val="000000"/>
          <w:sz w:val="32"/>
          <w:szCs w:val="32"/>
          <w:lang w:eastAsia="zh-CN"/>
        </w:rPr>
        <w:t xml:space="preserve">Terminal Evaluation of </w:t>
      </w:r>
    </w:p>
    <w:p w14:paraId="00D5050B" w14:textId="77777777" w:rsidR="007372B6" w:rsidRDefault="00000000">
      <w:pPr>
        <w:spacing w:line="312" w:lineRule="auto"/>
        <w:jc w:val="center"/>
        <w:rPr>
          <w:rFonts w:ascii="Calibri" w:hAnsi="Calibri" w:cs="Calibri"/>
          <w:b/>
          <w:bCs/>
          <w:color w:val="000000"/>
          <w:sz w:val="32"/>
          <w:szCs w:val="32"/>
          <w:lang w:eastAsia="zh-CN"/>
        </w:rPr>
      </w:pPr>
      <w:r>
        <w:rPr>
          <w:rFonts w:ascii="Calibri" w:hAnsi="Calibri" w:cs="Calibri"/>
          <w:b/>
          <w:bCs/>
          <w:color w:val="000000"/>
          <w:sz w:val="32"/>
          <w:szCs w:val="32"/>
          <w:lang w:eastAsia="zh-CN"/>
        </w:rPr>
        <w:t xml:space="preserve">Implementing a Ridge-to-Reef Approach to Preserve Ecosystem Services, Sequester Carbon, Improve Climate Resilience and Sustain Livelihoods in Fiji </w:t>
      </w:r>
    </w:p>
    <w:p w14:paraId="072F16FF" w14:textId="77777777" w:rsidR="007372B6" w:rsidRDefault="00000000">
      <w:pPr>
        <w:spacing w:line="312" w:lineRule="auto"/>
        <w:jc w:val="center"/>
      </w:pPr>
      <w:r>
        <w:rPr>
          <w:rFonts w:ascii="Calibri" w:hAnsi="Calibri" w:cs="Calibri"/>
          <w:color w:val="000000"/>
          <w:lang w:eastAsia="zh-CN"/>
        </w:rPr>
        <w:t>(GEF ID # 5398 / UNDP PIMS # 5216)</w:t>
      </w:r>
    </w:p>
    <w:p w14:paraId="3491D741" w14:textId="77777777" w:rsidR="007372B6" w:rsidRDefault="007372B6">
      <w:pPr>
        <w:rPr>
          <w:b/>
          <w:bCs/>
          <w:sz w:val="28"/>
          <w:szCs w:val="28"/>
          <w:u w:val="single"/>
        </w:rPr>
      </w:pPr>
    </w:p>
    <w:p w14:paraId="59FBBACE" w14:textId="77777777" w:rsidR="007372B6" w:rsidRDefault="00000000">
      <w:pPr>
        <w:rPr>
          <w:b/>
          <w:bCs/>
          <w:sz w:val="28"/>
          <w:szCs w:val="28"/>
          <w:u w:val="single"/>
        </w:rPr>
      </w:pPr>
      <w:r>
        <w:rPr>
          <w:noProof/>
        </w:rPr>
        <w:drawing>
          <wp:inline distT="0" distB="0" distL="0" distR="0" wp14:anchorId="1242AB8B" wp14:editId="22BBAB9F">
            <wp:extent cx="5943600" cy="156972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
                    <a:srcRect t="24591" b="23184"/>
                    <a:stretch>
                      <a:fillRect/>
                    </a:stretch>
                  </pic:blipFill>
                  <pic:spPr bwMode="auto">
                    <a:xfrm>
                      <a:off x="0" y="0"/>
                      <a:ext cx="5943600" cy="1569720"/>
                    </a:xfrm>
                    <a:prstGeom prst="rect">
                      <a:avLst/>
                    </a:prstGeom>
                  </pic:spPr>
                </pic:pic>
              </a:graphicData>
            </a:graphic>
          </wp:inline>
        </w:drawing>
      </w:r>
    </w:p>
    <w:p w14:paraId="293A5F65" w14:textId="77777777" w:rsidR="007372B6" w:rsidRDefault="00000000">
      <w:pPr>
        <w:rPr>
          <w:b/>
          <w:bCs/>
          <w:sz w:val="28"/>
          <w:szCs w:val="28"/>
          <w:u w:val="single"/>
        </w:rPr>
      </w:pPr>
      <w:r>
        <w:rPr>
          <w:b/>
          <w:bCs/>
          <w:noProof/>
          <w:sz w:val="28"/>
          <w:szCs w:val="28"/>
          <w:u w:val="single"/>
        </w:rPr>
        <w:drawing>
          <wp:anchor distT="0" distB="0" distL="0" distR="0" simplePos="0" relativeHeight="6" behindDoc="0" locked="0" layoutInCell="0" allowOverlap="1" wp14:anchorId="14B3A81D" wp14:editId="4B452099">
            <wp:simplePos x="0" y="0"/>
            <wp:positionH relativeFrom="column">
              <wp:posOffset>-15240</wp:posOffset>
            </wp:positionH>
            <wp:positionV relativeFrom="paragraph">
              <wp:posOffset>113030</wp:posOffset>
            </wp:positionV>
            <wp:extent cx="5943600" cy="1653540"/>
            <wp:effectExtent l="0" t="0" r="0" b="0"/>
            <wp:wrapNone/>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9"/>
                    <a:srcRect b="16983"/>
                    <a:stretch>
                      <a:fillRect/>
                    </a:stretch>
                  </pic:blipFill>
                  <pic:spPr bwMode="auto">
                    <a:xfrm>
                      <a:off x="0" y="0"/>
                      <a:ext cx="5943600" cy="1653540"/>
                    </a:xfrm>
                    <a:prstGeom prst="rect">
                      <a:avLst/>
                    </a:prstGeom>
                  </pic:spPr>
                </pic:pic>
              </a:graphicData>
            </a:graphic>
          </wp:anchor>
        </w:drawing>
      </w:r>
    </w:p>
    <w:p w14:paraId="3F6A6CB9" w14:textId="77777777" w:rsidR="007372B6" w:rsidRDefault="007372B6">
      <w:pPr>
        <w:rPr>
          <w:b/>
          <w:bCs/>
          <w:sz w:val="28"/>
          <w:szCs w:val="28"/>
          <w:u w:val="single"/>
        </w:rPr>
      </w:pPr>
    </w:p>
    <w:p w14:paraId="70D9D689" w14:textId="77777777" w:rsidR="007372B6" w:rsidRDefault="007372B6">
      <w:pPr>
        <w:rPr>
          <w:b/>
          <w:bCs/>
          <w:sz w:val="28"/>
          <w:szCs w:val="28"/>
          <w:u w:val="single"/>
        </w:rPr>
      </w:pPr>
    </w:p>
    <w:p w14:paraId="70084419" w14:textId="77777777" w:rsidR="007372B6" w:rsidRDefault="007372B6">
      <w:pPr>
        <w:jc w:val="center"/>
        <w:rPr>
          <w:rFonts w:ascii="Calibri" w:hAnsi="Calibri" w:cs="Calibri"/>
        </w:rPr>
      </w:pPr>
    </w:p>
    <w:p w14:paraId="08295684" w14:textId="77777777" w:rsidR="007372B6" w:rsidRDefault="007372B6">
      <w:pPr>
        <w:jc w:val="center"/>
        <w:rPr>
          <w:rFonts w:ascii="Calibri" w:hAnsi="Calibri" w:cs="Calibri"/>
        </w:rPr>
      </w:pPr>
    </w:p>
    <w:p w14:paraId="34E8BAEE" w14:textId="77777777" w:rsidR="007372B6" w:rsidRDefault="007372B6">
      <w:pPr>
        <w:jc w:val="center"/>
        <w:rPr>
          <w:rFonts w:ascii="Calibri" w:hAnsi="Calibri" w:cs="Calibri"/>
        </w:rPr>
      </w:pPr>
    </w:p>
    <w:p w14:paraId="5F58000B" w14:textId="77777777" w:rsidR="007372B6" w:rsidRDefault="007372B6">
      <w:pPr>
        <w:jc w:val="center"/>
        <w:rPr>
          <w:rFonts w:ascii="Calibri" w:hAnsi="Calibri" w:cs="Calibri"/>
        </w:rPr>
      </w:pPr>
    </w:p>
    <w:p w14:paraId="4E06A00E" w14:textId="77777777" w:rsidR="007372B6" w:rsidRDefault="007372B6">
      <w:pPr>
        <w:jc w:val="center"/>
        <w:rPr>
          <w:rFonts w:ascii="Calibri" w:hAnsi="Calibri" w:cs="Calibri"/>
        </w:rPr>
      </w:pPr>
    </w:p>
    <w:p w14:paraId="6F370ECD" w14:textId="77777777" w:rsidR="007372B6" w:rsidRDefault="007372B6">
      <w:pPr>
        <w:jc w:val="center"/>
        <w:rPr>
          <w:rFonts w:ascii="Calibri" w:hAnsi="Calibri" w:cs="Calibri"/>
        </w:rPr>
      </w:pPr>
    </w:p>
    <w:p w14:paraId="2E3FC6E2" w14:textId="77777777" w:rsidR="007372B6" w:rsidRDefault="007372B6">
      <w:pPr>
        <w:jc w:val="center"/>
        <w:rPr>
          <w:rFonts w:ascii="Calibri" w:hAnsi="Calibri" w:cs="Calibri"/>
        </w:rPr>
      </w:pPr>
    </w:p>
    <w:p w14:paraId="5FBDA20B" w14:textId="77777777" w:rsidR="007372B6" w:rsidRDefault="007372B6">
      <w:pPr>
        <w:jc w:val="center"/>
        <w:rPr>
          <w:rFonts w:ascii="Calibri" w:hAnsi="Calibri" w:cs="Calibri"/>
        </w:rPr>
      </w:pPr>
    </w:p>
    <w:p w14:paraId="08FE66F4" w14:textId="77777777" w:rsidR="007372B6" w:rsidRDefault="00000000">
      <w:pPr>
        <w:jc w:val="center"/>
      </w:pPr>
      <w:r>
        <w:rPr>
          <w:rFonts w:ascii="Calibri" w:hAnsi="Calibri" w:cs="Calibri"/>
        </w:rPr>
        <w:t>Prepared by:</w:t>
      </w:r>
    </w:p>
    <w:p w14:paraId="22C041C9" w14:textId="77777777" w:rsidR="007372B6" w:rsidRDefault="00000000">
      <w:pPr>
        <w:jc w:val="center"/>
      </w:pPr>
      <w:r>
        <w:rPr>
          <w:rFonts w:ascii="Calibri" w:hAnsi="Calibri" w:cs="Calibri"/>
          <w:b/>
          <w:bCs/>
        </w:rPr>
        <w:t>Stuart Black</w:t>
      </w:r>
      <w:r>
        <w:rPr>
          <w:rFonts w:ascii="Calibri" w:eastAsia="Calibri" w:hAnsi="Calibri" w:cs="Calibri"/>
        </w:rPr>
        <w:t xml:space="preserve"> &amp; </w:t>
      </w:r>
      <w:r>
        <w:rPr>
          <w:rFonts w:ascii="Calibri" w:eastAsia="Calibri" w:hAnsi="Calibri" w:cs="Calibri"/>
          <w:b/>
          <w:bCs/>
        </w:rPr>
        <w:t>Alan Ferguson</w:t>
      </w:r>
      <w:r>
        <w:rPr>
          <w:rFonts w:ascii="Calibri" w:eastAsia="Calibri" w:hAnsi="Calibri" w:cs="Calibri"/>
        </w:rPr>
        <w:t xml:space="preserve"> </w:t>
      </w:r>
    </w:p>
    <w:p w14:paraId="44A876C3" w14:textId="77777777" w:rsidR="007372B6" w:rsidRDefault="00000000">
      <w:pPr>
        <w:jc w:val="center"/>
        <w:rPr>
          <w:rFonts w:ascii="Calibri" w:eastAsia="Calibri" w:hAnsi="Calibri" w:cs="Calibri"/>
        </w:rPr>
      </w:pPr>
      <w:r>
        <w:rPr>
          <w:rFonts w:ascii="Calibri" w:eastAsia="Calibri" w:hAnsi="Calibri" w:cs="Calibri"/>
        </w:rPr>
        <w:t>(International Evaluation Consultant &amp; Technical Evaluation Specialist)</w:t>
      </w:r>
    </w:p>
    <w:p w14:paraId="0DE10044" w14:textId="77777777" w:rsidR="007372B6" w:rsidRDefault="007372B6">
      <w:pPr>
        <w:jc w:val="center"/>
        <w:rPr>
          <w:rFonts w:ascii="Calibri" w:eastAsia="Calibri" w:hAnsi="Calibri" w:cs="Calibri"/>
        </w:rPr>
      </w:pPr>
    </w:p>
    <w:p w14:paraId="0BD3F9FD" w14:textId="77777777" w:rsidR="007372B6" w:rsidRDefault="00000000">
      <w:pPr>
        <w:jc w:val="center"/>
      </w:pPr>
      <w:r>
        <w:rPr>
          <w:rFonts w:ascii="Calibri" w:eastAsia="Calibri" w:hAnsi="Calibri" w:cs="Calibri"/>
        </w:rPr>
        <w:t>With support from:</w:t>
      </w:r>
    </w:p>
    <w:p w14:paraId="5E2A04BF" w14:textId="77777777" w:rsidR="007372B6" w:rsidRDefault="00000000">
      <w:pPr>
        <w:jc w:val="center"/>
      </w:pPr>
      <w:proofErr w:type="spellStart"/>
      <w:r>
        <w:rPr>
          <w:rFonts w:ascii="Calibri" w:eastAsia="Calibri" w:hAnsi="Calibri" w:cs="Calibri"/>
          <w:b/>
          <w:bCs/>
        </w:rPr>
        <w:t>Laitia</w:t>
      </w:r>
      <w:proofErr w:type="spellEnd"/>
      <w:r>
        <w:rPr>
          <w:rFonts w:ascii="Calibri" w:eastAsia="Calibri" w:hAnsi="Calibri" w:cs="Calibri"/>
          <w:b/>
          <w:bCs/>
        </w:rPr>
        <w:t xml:space="preserve"> </w:t>
      </w:r>
      <w:proofErr w:type="spellStart"/>
      <w:r>
        <w:rPr>
          <w:rFonts w:ascii="Calibri" w:eastAsia="Calibri" w:hAnsi="Calibri" w:cs="Calibri"/>
          <w:b/>
          <w:bCs/>
        </w:rPr>
        <w:t>Tamata</w:t>
      </w:r>
      <w:proofErr w:type="spellEnd"/>
      <w:r>
        <w:rPr>
          <w:rFonts w:ascii="Calibri" w:eastAsia="Calibri" w:hAnsi="Calibri" w:cs="Calibri"/>
        </w:rPr>
        <w:t xml:space="preserve"> (National Evaluation Consultant)</w:t>
      </w:r>
    </w:p>
    <w:p w14:paraId="0D05092D" w14:textId="77777777" w:rsidR="007372B6" w:rsidRDefault="007372B6">
      <w:pPr>
        <w:jc w:val="center"/>
        <w:rPr>
          <w:rFonts w:ascii="Calibri" w:eastAsia="Calibri" w:hAnsi="Calibri" w:cs="Calibri"/>
        </w:rPr>
      </w:pPr>
    </w:p>
    <w:p w14:paraId="153DCB82" w14:textId="77777777" w:rsidR="007372B6" w:rsidRDefault="00000000">
      <w:pPr>
        <w:jc w:val="center"/>
        <w:rPr>
          <w:b/>
          <w:bCs/>
        </w:rPr>
      </w:pPr>
      <w:r>
        <w:rPr>
          <w:rFonts w:ascii="Calibri" w:eastAsia="Calibri" w:hAnsi="Calibri" w:cs="Calibri"/>
        </w:rPr>
        <w:t>Submitted to:</w:t>
      </w:r>
      <w:r>
        <w:rPr>
          <w:rFonts w:ascii="Calibri" w:eastAsia="Calibri" w:hAnsi="Calibri" w:cs="Calibri"/>
          <w:b/>
          <w:bCs/>
        </w:rPr>
        <w:t xml:space="preserve"> UNDP Pacific Office in Fiji</w:t>
      </w:r>
    </w:p>
    <w:p w14:paraId="7EB4EAA0" w14:textId="77777777" w:rsidR="007372B6" w:rsidRDefault="007372B6">
      <w:pPr>
        <w:jc w:val="center"/>
        <w:rPr>
          <w:rFonts w:ascii="Calibri" w:hAnsi="Calibri" w:cs="Calibri"/>
          <w:b/>
          <w:bCs/>
          <w:iCs/>
          <w:color w:val="000000"/>
          <w:sz w:val="28"/>
          <w:szCs w:val="28"/>
          <w:lang w:val="en-CA" w:eastAsia="en-US"/>
        </w:rPr>
      </w:pPr>
    </w:p>
    <w:p w14:paraId="7D9A095D" w14:textId="01ACD7B1" w:rsidR="007372B6" w:rsidRDefault="00D202D3">
      <w:pPr>
        <w:spacing w:before="57" w:line="288" w:lineRule="auto"/>
        <w:ind w:right="183"/>
        <w:jc w:val="center"/>
        <w:rPr>
          <w:rFonts w:ascii="Calibri" w:hAnsi="Calibri" w:cs="Calibri"/>
          <w:b/>
          <w:bCs/>
          <w:iCs/>
          <w:color w:val="000000"/>
          <w:sz w:val="28"/>
          <w:szCs w:val="28"/>
          <w:lang w:val="en-CA" w:eastAsia="en-US"/>
        </w:rPr>
      </w:pPr>
      <w:r>
        <w:rPr>
          <w:rFonts w:ascii="Calibri" w:hAnsi="Calibri" w:cs="Calibri"/>
          <w:b/>
          <w:bCs/>
          <w:iCs/>
          <w:color w:val="000000"/>
          <w:sz w:val="28"/>
          <w:szCs w:val="28"/>
          <w:lang w:val="en-CA" w:eastAsia="en-US"/>
        </w:rPr>
        <w:t>January</w:t>
      </w:r>
      <w:r w:rsidR="00000000">
        <w:rPr>
          <w:rFonts w:ascii="Calibri" w:hAnsi="Calibri" w:cs="Calibri"/>
          <w:b/>
          <w:bCs/>
          <w:iCs/>
          <w:color w:val="000000"/>
          <w:sz w:val="28"/>
          <w:szCs w:val="28"/>
          <w:lang w:val="en-CA" w:eastAsia="en-US"/>
        </w:rPr>
        <w:t xml:space="preserve"> 202</w:t>
      </w:r>
      <w:r>
        <w:rPr>
          <w:rFonts w:ascii="Calibri" w:hAnsi="Calibri" w:cs="Calibri"/>
          <w:b/>
          <w:bCs/>
          <w:iCs/>
          <w:color w:val="000000"/>
          <w:sz w:val="28"/>
          <w:szCs w:val="28"/>
          <w:lang w:val="en-CA" w:eastAsia="en-US"/>
        </w:rPr>
        <w:t>3</w:t>
      </w:r>
      <w:r w:rsidR="00000000">
        <w:rPr>
          <w:rFonts w:ascii="Calibri" w:hAnsi="Calibri" w:cs="Calibri"/>
          <w:b/>
          <w:bCs/>
          <w:iCs/>
          <w:color w:val="000000"/>
          <w:sz w:val="28"/>
          <w:szCs w:val="28"/>
          <w:lang w:val="en-CA" w:eastAsia="en-US"/>
        </w:rPr>
        <w:t xml:space="preserve"> </w:t>
      </w:r>
    </w:p>
    <w:p w14:paraId="19661DC3" w14:textId="77777777" w:rsidR="007372B6" w:rsidRDefault="00000000">
      <w:pPr>
        <w:spacing w:before="57" w:line="288" w:lineRule="auto"/>
        <w:ind w:right="183"/>
        <w:jc w:val="center"/>
        <w:rPr>
          <w:rFonts w:ascii="Calibri" w:hAnsi="Calibri" w:cs="Calibri"/>
          <w:b/>
          <w:bCs/>
          <w:iCs/>
          <w:color w:val="000000"/>
          <w:sz w:val="28"/>
          <w:szCs w:val="28"/>
          <w:lang w:val="en-CA" w:eastAsia="en-US"/>
        </w:rPr>
      </w:pPr>
      <w:r>
        <w:br w:type="page"/>
      </w:r>
    </w:p>
    <w:p w14:paraId="7D9087BF" w14:textId="77777777" w:rsidR="007372B6" w:rsidRDefault="00000000">
      <w:pPr>
        <w:spacing w:before="57" w:line="288" w:lineRule="auto"/>
        <w:ind w:right="183"/>
        <w:jc w:val="center"/>
        <w:rPr>
          <w:rFonts w:ascii="Calibri" w:hAnsi="Calibri" w:cs="Calibri"/>
          <w:b/>
          <w:bCs/>
          <w:iCs/>
          <w:color w:val="000000"/>
          <w:sz w:val="28"/>
          <w:szCs w:val="28"/>
          <w:lang w:val="en-CA" w:eastAsia="en-US"/>
        </w:rPr>
      </w:pPr>
      <w:r>
        <w:rPr>
          <w:rFonts w:ascii="Calibri" w:hAnsi="Calibri" w:cs="Calibri"/>
          <w:b/>
          <w:bCs/>
          <w:iCs/>
          <w:color w:val="000000"/>
          <w:sz w:val="28"/>
          <w:szCs w:val="28"/>
          <w:lang w:val="en-CA" w:eastAsia="en-US"/>
        </w:rPr>
        <w:lastRenderedPageBreak/>
        <w:t>Project Data</w:t>
      </w:r>
    </w:p>
    <w:tbl>
      <w:tblPr>
        <w:tblW w:w="5000" w:type="pct"/>
        <w:tblLayout w:type="fixed"/>
        <w:tblLook w:val="04A0" w:firstRow="1" w:lastRow="0" w:firstColumn="1" w:lastColumn="0" w:noHBand="0" w:noVBand="1"/>
      </w:tblPr>
      <w:tblGrid>
        <w:gridCol w:w="2597"/>
        <w:gridCol w:w="3266"/>
        <w:gridCol w:w="3713"/>
      </w:tblGrid>
      <w:tr w:rsidR="007372B6" w14:paraId="4EBEE010" w14:textId="77777777">
        <w:tc>
          <w:tcPr>
            <w:tcW w:w="2539" w:type="dxa"/>
            <w:shd w:val="clear" w:color="auto" w:fill="E6E6FF"/>
          </w:tcPr>
          <w:p w14:paraId="2CB49649"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Project Title:</w:t>
            </w:r>
          </w:p>
        </w:tc>
        <w:tc>
          <w:tcPr>
            <w:tcW w:w="6821" w:type="dxa"/>
            <w:gridSpan w:val="2"/>
          </w:tcPr>
          <w:p w14:paraId="26F63794"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Implementing a Ridge-to-Reef approach to Preserve Ecosystem Services, Sequester Carbon, Improve Climate Resilience and Sustain Livelihoods in Fiji (R2R Fiji Project)</w:t>
            </w:r>
          </w:p>
        </w:tc>
      </w:tr>
      <w:tr w:rsidR="007372B6" w14:paraId="1345F328" w14:textId="77777777">
        <w:tc>
          <w:tcPr>
            <w:tcW w:w="2539" w:type="dxa"/>
          </w:tcPr>
          <w:p w14:paraId="0BA6A19A"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Parent Program:</w:t>
            </w:r>
          </w:p>
        </w:tc>
        <w:tc>
          <w:tcPr>
            <w:tcW w:w="6821" w:type="dxa"/>
            <w:gridSpan w:val="2"/>
          </w:tcPr>
          <w:p w14:paraId="129257FB" w14:textId="77777777" w:rsidR="007372B6" w:rsidRDefault="00000000">
            <w:pPr>
              <w:widowControl w:val="0"/>
              <w:spacing w:before="120"/>
              <w:rPr>
                <w:rFonts w:ascii="Calibri" w:hAnsi="Calibri" w:cs="Calibri"/>
                <w:color w:val="000000"/>
                <w:sz w:val="20"/>
                <w:szCs w:val="20"/>
                <w:lang w:eastAsia="zh-CN"/>
              </w:rPr>
            </w:pPr>
            <w:r>
              <w:rPr>
                <w:rFonts w:ascii="Calibri" w:hAnsi="Calibri" w:cs="Calibri"/>
                <w:color w:val="000000"/>
                <w:sz w:val="20"/>
                <w:szCs w:val="20"/>
                <w:lang w:eastAsia="zh-CN"/>
              </w:rPr>
              <w:t>Pacific Islands Ridge to Reef National Priorities – Integrated Water, Land, Forest &amp; Coastal Management to Preserve Ecosystem Services, Store Carbon, Improve Climate Resilience and Sustain Livelihoods (Pacific R2R Program).</w:t>
            </w:r>
          </w:p>
        </w:tc>
      </w:tr>
      <w:tr w:rsidR="007372B6" w14:paraId="48C13241" w14:textId="77777777">
        <w:tc>
          <w:tcPr>
            <w:tcW w:w="2539" w:type="dxa"/>
          </w:tcPr>
          <w:p w14:paraId="7D8DF721"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GEF Agency:</w:t>
            </w:r>
          </w:p>
        </w:tc>
        <w:tc>
          <w:tcPr>
            <w:tcW w:w="6821" w:type="dxa"/>
            <w:gridSpan w:val="2"/>
          </w:tcPr>
          <w:p w14:paraId="4A4EB6A2" w14:textId="77777777" w:rsidR="007372B6" w:rsidRDefault="00000000">
            <w:pPr>
              <w:widowControl w:val="0"/>
              <w:spacing w:before="120"/>
              <w:rPr>
                <w:rFonts w:ascii="Calibri" w:hAnsi="Calibri" w:cs="Calibri"/>
                <w:color w:val="000000"/>
                <w:sz w:val="20"/>
                <w:szCs w:val="20"/>
                <w:lang w:eastAsia="zh-CN"/>
              </w:rPr>
            </w:pPr>
            <w:r>
              <w:rPr>
                <w:rFonts w:ascii="Calibri" w:hAnsi="Calibri" w:cs="Calibri"/>
                <w:color w:val="000000"/>
                <w:sz w:val="20"/>
                <w:szCs w:val="20"/>
                <w:lang w:eastAsia="zh-CN"/>
              </w:rPr>
              <w:t>United Nations Development Programme (UNDP)</w:t>
            </w:r>
          </w:p>
        </w:tc>
      </w:tr>
      <w:tr w:rsidR="007372B6" w14:paraId="0F54BB67" w14:textId="77777777">
        <w:tc>
          <w:tcPr>
            <w:tcW w:w="2539" w:type="dxa"/>
          </w:tcPr>
          <w:p w14:paraId="36B1B371"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GEF ID:</w:t>
            </w:r>
          </w:p>
        </w:tc>
        <w:tc>
          <w:tcPr>
            <w:tcW w:w="6821" w:type="dxa"/>
            <w:gridSpan w:val="2"/>
          </w:tcPr>
          <w:p w14:paraId="5A3DC8FF" w14:textId="77777777" w:rsidR="007372B6" w:rsidRDefault="00000000">
            <w:pPr>
              <w:widowControl w:val="0"/>
              <w:spacing w:before="120" w:line="312" w:lineRule="auto"/>
              <w:rPr>
                <w:rFonts w:ascii="Calibri" w:hAnsi="Calibri" w:cs="Calibri"/>
                <w:color w:val="000000"/>
                <w:sz w:val="20"/>
                <w:szCs w:val="20"/>
                <w:lang w:eastAsia="zh-CN"/>
              </w:rPr>
            </w:pPr>
            <w:r>
              <w:rPr>
                <w:rFonts w:ascii="Calibri" w:hAnsi="Calibri" w:cs="Calibri"/>
                <w:color w:val="000000"/>
                <w:sz w:val="20"/>
                <w:szCs w:val="20"/>
                <w:lang w:eastAsia="zh-CN"/>
              </w:rPr>
              <w:t>5398</w:t>
            </w:r>
          </w:p>
        </w:tc>
      </w:tr>
      <w:tr w:rsidR="007372B6" w14:paraId="18225DE5" w14:textId="77777777">
        <w:tc>
          <w:tcPr>
            <w:tcW w:w="2539" w:type="dxa"/>
          </w:tcPr>
          <w:p w14:paraId="40A60CF3"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UNDP PIMS:</w:t>
            </w:r>
          </w:p>
        </w:tc>
        <w:tc>
          <w:tcPr>
            <w:tcW w:w="6821" w:type="dxa"/>
            <w:gridSpan w:val="2"/>
          </w:tcPr>
          <w:p w14:paraId="3D4B9866" w14:textId="77777777" w:rsidR="007372B6" w:rsidRDefault="00000000">
            <w:pPr>
              <w:pStyle w:val="BodyText"/>
              <w:widowControl w:val="0"/>
              <w:spacing w:before="120" w:after="0"/>
              <w:rPr>
                <w:rFonts w:ascii="Calibri" w:hAnsi="Calibri" w:cs="Calibri"/>
                <w:color w:val="000000"/>
                <w:sz w:val="20"/>
                <w:szCs w:val="20"/>
                <w:lang w:eastAsia="zh-CN"/>
              </w:rPr>
            </w:pPr>
            <w:r>
              <w:rPr>
                <w:rFonts w:ascii="Calibri" w:hAnsi="Calibri" w:cs="Calibri"/>
                <w:color w:val="000000"/>
                <w:sz w:val="20"/>
                <w:szCs w:val="20"/>
                <w:lang w:eastAsia="zh-CN"/>
              </w:rPr>
              <w:t>5216</w:t>
            </w:r>
          </w:p>
        </w:tc>
      </w:tr>
      <w:tr w:rsidR="007372B6" w14:paraId="50877242" w14:textId="77777777">
        <w:tc>
          <w:tcPr>
            <w:tcW w:w="2539" w:type="dxa"/>
          </w:tcPr>
          <w:p w14:paraId="7978CFB0"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UNDP Project ID:</w:t>
            </w:r>
          </w:p>
        </w:tc>
        <w:tc>
          <w:tcPr>
            <w:tcW w:w="6821" w:type="dxa"/>
            <w:gridSpan w:val="2"/>
          </w:tcPr>
          <w:p w14:paraId="2AC4874E" w14:textId="77777777" w:rsidR="007372B6" w:rsidRDefault="00000000">
            <w:pPr>
              <w:widowControl w:val="0"/>
              <w:spacing w:before="120"/>
              <w:rPr>
                <w:rFonts w:ascii="Calibri" w:hAnsi="Calibri" w:cs="Calibri"/>
                <w:color w:val="000000"/>
                <w:sz w:val="20"/>
                <w:szCs w:val="20"/>
                <w:lang w:eastAsia="zh-CN"/>
              </w:rPr>
            </w:pPr>
            <w:r>
              <w:rPr>
                <w:rFonts w:ascii="Calibri" w:hAnsi="Calibri" w:cs="Calibri"/>
                <w:color w:val="000000"/>
                <w:sz w:val="20"/>
                <w:szCs w:val="20"/>
                <w:lang w:eastAsia="zh-CN"/>
              </w:rPr>
              <w:t>00091748</w:t>
            </w:r>
          </w:p>
        </w:tc>
      </w:tr>
      <w:tr w:rsidR="007372B6" w14:paraId="648B4F10" w14:textId="77777777">
        <w:tc>
          <w:tcPr>
            <w:tcW w:w="2539" w:type="dxa"/>
          </w:tcPr>
          <w:p w14:paraId="77372D48"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Country:</w:t>
            </w:r>
          </w:p>
        </w:tc>
        <w:tc>
          <w:tcPr>
            <w:tcW w:w="6821" w:type="dxa"/>
            <w:gridSpan w:val="2"/>
          </w:tcPr>
          <w:p w14:paraId="1AD12529" w14:textId="77777777" w:rsidR="007372B6" w:rsidRDefault="00000000">
            <w:pPr>
              <w:widowControl w:val="0"/>
              <w:spacing w:before="120"/>
            </w:pPr>
            <w:r>
              <w:rPr>
                <w:rFonts w:ascii="Calibri" w:hAnsi="Calibri" w:cs="Calibri"/>
                <w:color w:val="000000"/>
                <w:sz w:val="20"/>
                <w:szCs w:val="20"/>
                <w:lang w:eastAsia="zh-CN"/>
              </w:rPr>
              <w:t>Republic of Fiji</w:t>
            </w:r>
          </w:p>
        </w:tc>
      </w:tr>
      <w:tr w:rsidR="007372B6" w14:paraId="062CB1DF" w14:textId="77777777">
        <w:tc>
          <w:tcPr>
            <w:tcW w:w="2539" w:type="dxa"/>
          </w:tcPr>
          <w:p w14:paraId="4F65095B"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Region:</w:t>
            </w:r>
          </w:p>
        </w:tc>
        <w:tc>
          <w:tcPr>
            <w:tcW w:w="6821" w:type="dxa"/>
            <w:gridSpan w:val="2"/>
            <w:vAlign w:val="center"/>
          </w:tcPr>
          <w:p w14:paraId="7224BB27" w14:textId="77777777" w:rsidR="007372B6" w:rsidRDefault="00000000">
            <w:pPr>
              <w:widowControl w:val="0"/>
              <w:spacing w:before="120"/>
              <w:rPr>
                <w:rFonts w:ascii="Calibri" w:hAnsi="Calibri" w:cs="Calibri"/>
                <w:color w:val="000000"/>
                <w:sz w:val="20"/>
                <w:szCs w:val="20"/>
                <w:lang w:eastAsia="zh-CN"/>
              </w:rPr>
            </w:pPr>
            <w:r>
              <w:rPr>
                <w:rFonts w:ascii="Calibri" w:hAnsi="Calibri" w:cs="Calibri"/>
                <w:color w:val="000000"/>
                <w:sz w:val="20"/>
                <w:szCs w:val="20"/>
                <w:lang w:eastAsia="zh-CN"/>
              </w:rPr>
              <w:t>Asia Pacific</w:t>
            </w:r>
          </w:p>
        </w:tc>
      </w:tr>
      <w:tr w:rsidR="007372B6" w14:paraId="058E6E6A" w14:textId="77777777">
        <w:tc>
          <w:tcPr>
            <w:tcW w:w="2539" w:type="dxa"/>
          </w:tcPr>
          <w:p w14:paraId="7BB05E4C"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GEF Cycle &amp; Trust Fund:</w:t>
            </w:r>
          </w:p>
        </w:tc>
        <w:tc>
          <w:tcPr>
            <w:tcW w:w="6821" w:type="dxa"/>
            <w:gridSpan w:val="2"/>
            <w:vAlign w:val="center"/>
          </w:tcPr>
          <w:p w14:paraId="381E82D8" w14:textId="77777777" w:rsidR="007372B6" w:rsidRDefault="00000000">
            <w:pPr>
              <w:widowControl w:val="0"/>
              <w:spacing w:before="120"/>
              <w:rPr>
                <w:rFonts w:ascii="Calibri" w:hAnsi="Calibri" w:cs="Calibri"/>
                <w:color w:val="000000"/>
                <w:sz w:val="20"/>
                <w:szCs w:val="20"/>
                <w:lang w:eastAsia="zh-CN"/>
              </w:rPr>
            </w:pPr>
            <w:r>
              <w:rPr>
                <w:rFonts w:ascii="Calibri" w:hAnsi="Calibri" w:cs="Calibri"/>
                <w:color w:val="000000"/>
                <w:sz w:val="20"/>
                <w:szCs w:val="20"/>
                <w:lang w:eastAsia="zh-CN"/>
              </w:rPr>
              <w:t>GEF 5 – GEF Trust Fund (GTF)</w:t>
            </w:r>
          </w:p>
        </w:tc>
      </w:tr>
      <w:tr w:rsidR="007372B6" w14:paraId="7ADFE499" w14:textId="77777777">
        <w:tc>
          <w:tcPr>
            <w:tcW w:w="2539" w:type="dxa"/>
          </w:tcPr>
          <w:p w14:paraId="442E9919"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GEF Focal Area:</w:t>
            </w:r>
          </w:p>
        </w:tc>
        <w:tc>
          <w:tcPr>
            <w:tcW w:w="6821" w:type="dxa"/>
            <w:gridSpan w:val="2"/>
            <w:vAlign w:val="center"/>
          </w:tcPr>
          <w:p w14:paraId="4AB41D96" w14:textId="77777777" w:rsidR="007372B6" w:rsidRDefault="00000000">
            <w:pPr>
              <w:widowControl w:val="0"/>
              <w:spacing w:before="120"/>
              <w:rPr>
                <w:rFonts w:ascii="Calibri" w:hAnsi="Calibri" w:cs="Calibri"/>
                <w:color w:val="000000"/>
                <w:sz w:val="20"/>
                <w:szCs w:val="20"/>
                <w:lang w:eastAsia="zh-CN"/>
              </w:rPr>
            </w:pPr>
            <w:r>
              <w:rPr>
                <w:rFonts w:ascii="Calibri" w:hAnsi="Calibri" w:cs="Calibri"/>
                <w:color w:val="000000"/>
                <w:sz w:val="20"/>
                <w:szCs w:val="20"/>
                <w:lang w:eastAsia="zh-CN"/>
              </w:rPr>
              <w:t>Multi-Focal Area: Biodiversity (BD), Land Degradation (LD) and International Waters (IW).</w:t>
            </w:r>
          </w:p>
        </w:tc>
      </w:tr>
      <w:tr w:rsidR="007372B6" w14:paraId="00E69CCE" w14:textId="77777777">
        <w:tc>
          <w:tcPr>
            <w:tcW w:w="2539" w:type="dxa"/>
          </w:tcPr>
          <w:p w14:paraId="7A51AB01"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GEF Focal Area Objectives:</w:t>
            </w:r>
          </w:p>
          <w:p w14:paraId="2A1A3515" w14:textId="77777777" w:rsidR="007372B6" w:rsidRDefault="007372B6">
            <w:pPr>
              <w:widowControl w:val="0"/>
              <w:spacing w:before="120" w:after="120"/>
              <w:rPr>
                <w:shd w:val="clear" w:color="auto" w:fill="FFFF00"/>
              </w:rPr>
            </w:pPr>
          </w:p>
        </w:tc>
        <w:tc>
          <w:tcPr>
            <w:tcW w:w="6821" w:type="dxa"/>
            <w:gridSpan w:val="2"/>
          </w:tcPr>
          <w:p w14:paraId="4A7339E0" w14:textId="77777777" w:rsidR="007372B6" w:rsidRDefault="00000000">
            <w:pPr>
              <w:pStyle w:val="ListParagraph"/>
              <w:widowControl w:val="0"/>
              <w:numPr>
                <w:ilvl w:val="0"/>
                <w:numId w:val="7"/>
              </w:numPr>
              <w:spacing w:before="120"/>
              <w:ind w:left="770"/>
            </w:pPr>
            <w:r>
              <w:rPr>
                <w:rFonts w:ascii="Calibri" w:hAnsi="Calibri" w:cs="Calibri"/>
                <w:color w:val="000000"/>
                <w:sz w:val="20"/>
                <w:szCs w:val="20"/>
                <w:u w:val="single"/>
                <w:lang w:eastAsia="zh-CN"/>
              </w:rPr>
              <w:t xml:space="preserve">BD-1: </w:t>
            </w:r>
            <w:r>
              <w:rPr>
                <w:rFonts w:ascii="Calibri" w:hAnsi="Calibri" w:cs="Calibri"/>
                <w:iCs/>
                <w:color w:val="000000"/>
                <w:sz w:val="20"/>
                <w:szCs w:val="20"/>
                <w:lang w:eastAsia="zh-CN"/>
              </w:rPr>
              <w:t>Improve Sustainability of Protected Area Systems</w:t>
            </w:r>
          </w:p>
          <w:p w14:paraId="418018A6" w14:textId="77777777" w:rsidR="007372B6" w:rsidRDefault="007372B6">
            <w:pPr>
              <w:pStyle w:val="ListParagraph"/>
              <w:widowControl w:val="0"/>
              <w:ind w:left="170"/>
              <w:rPr>
                <w:rFonts w:ascii="Calibri" w:hAnsi="Calibri" w:cs="Calibri"/>
                <w:color w:val="000000"/>
                <w:sz w:val="12"/>
                <w:szCs w:val="12"/>
                <w:lang w:eastAsia="zh-CN"/>
              </w:rPr>
            </w:pPr>
          </w:p>
          <w:p w14:paraId="6A3E5CB6" w14:textId="77777777" w:rsidR="007372B6" w:rsidRDefault="00000000">
            <w:pPr>
              <w:pStyle w:val="ListParagraph"/>
              <w:widowControl w:val="0"/>
              <w:numPr>
                <w:ilvl w:val="0"/>
                <w:numId w:val="7"/>
              </w:numPr>
              <w:ind w:left="770"/>
            </w:pPr>
            <w:r>
              <w:rPr>
                <w:rFonts w:ascii="Calibri" w:hAnsi="Calibri" w:cs="Calibri"/>
                <w:color w:val="000000"/>
                <w:sz w:val="20"/>
                <w:szCs w:val="20"/>
                <w:u w:val="single"/>
                <w:lang w:eastAsia="zh-CN"/>
              </w:rPr>
              <w:t>BD-2</w:t>
            </w:r>
            <w:r>
              <w:rPr>
                <w:rFonts w:ascii="Calibri" w:hAnsi="Calibri" w:cs="Calibri"/>
                <w:iCs/>
                <w:color w:val="000000"/>
                <w:sz w:val="20"/>
                <w:szCs w:val="20"/>
                <w:lang w:eastAsia="zh-CN"/>
              </w:rPr>
              <w:t xml:space="preserve"> Mainstream Biodiversity Conservation and Sustainable Use into Production Landscapes, Seascapes and Sectors</w:t>
            </w:r>
            <w:r>
              <w:rPr>
                <w:rFonts w:ascii="Calibri" w:hAnsi="Calibri" w:cs="Calibri"/>
                <w:color w:val="000000"/>
                <w:sz w:val="20"/>
                <w:szCs w:val="20"/>
                <w:lang w:eastAsia="zh-CN"/>
              </w:rPr>
              <w:t>.</w:t>
            </w:r>
          </w:p>
          <w:p w14:paraId="7577AC19" w14:textId="77777777" w:rsidR="007372B6" w:rsidRDefault="00000000">
            <w:pPr>
              <w:pStyle w:val="BodyText"/>
              <w:widowControl w:val="0"/>
              <w:numPr>
                <w:ilvl w:val="0"/>
                <w:numId w:val="7"/>
              </w:numPr>
              <w:spacing w:before="120" w:after="0"/>
              <w:ind w:left="770"/>
              <w:contextualSpacing/>
            </w:pPr>
            <w:r>
              <w:rPr>
                <w:rFonts w:ascii="Calibri" w:hAnsi="Calibri" w:cs="Calibri"/>
                <w:color w:val="000000"/>
                <w:sz w:val="20"/>
                <w:szCs w:val="20"/>
                <w:u w:val="single"/>
                <w:lang w:eastAsia="zh-CN"/>
              </w:rPr>
              <w:t>LD-1</w:t>
            </w:r>
            <w:r>
              <w:rPr>
                <w:rFonts w:ascii="Calibri" w:hAnsi="Calibri" w:cs="Calibri"/>
                <w:color w:val="000000"/>
                <w:sz w:val="20"/>
                <w:szCs w:val="20"/>
                <w:lang w:eastAsia="zh-CN"/>
              </w:rPr>
              <w:t xml:space="preserve">: Maintain or Improve Flows of </w:t>
            </w:r>
            <w:proofErr w:type="spellStart"/>
            <w:r>
              <w:rPr>
                <w:rFonts w:ascii="Calibri" w:hAnsi="Calibri" w:cs="Calibri"/>
                <w:color w:val="000000"/>
                <w:sz w:val="20"/>
                <w:szCs w:val="20"/>
                <w:lang w:eastAsia="zh-CN"/>
              </w:rPr>
              <w:t>Agro</w:t>
            </w:r>
            <w:proofErr w:type="spellEnd"/>
            <w:r>
              <w:rPr>
                <w:rFonts w:ascii="Calibri" w:hAnsi="Calibri" w:cs="Calibri"/>
                <w:color w:val="000000"/>
                <w:sz w:val="20"/>
                <w:szCs w:val="20"/>
                <w:lang w:eastAsia="zh-CN"/>
              </w:rPr>
              <w:t>-Ecosystem Services to Sustain Livelihoods of Local Communities</w:t>
            </w:r>
          </w:p>
          <w:p w14:paraId="0B123033" w14:textId="77777777" w:rsidR="007372B6" w:rsidRDefault="00000000">
            <w:pPr>
              <w:pStyle w:val="ListParagraph"/>
              <w:widowControl w:val="0"/>
              <w:numPr>
                <w:ilvl w:val="0"/>
                <w:numId w:val="7"/>
              </w:numPr>
              <w:spacing w:before="120"/>
              <w:ind w:left="770"/>
            </w:pPr>
            <w:r>
              <w:rPr>
                <w:rFonts w:ascii="Calibri" w:hAnsi="Calibri" w:cs="Calibri"/>
                <w:color w:val="000000"/>
                <w:sz w:val="20"/>
                <w:szCs w:val="20"/>
                <w:u w:val="single"/>
                <w:lang w:eastAsia="zh-CN"/>
              </w:rPr>
              <w:t>LD-3</w:t>
            </w:r>
            <w:r>
              <w:rPr>
                <w:rFonts w:ascii="Calibri" w:hAnsi="Calibri" w:cs="Calibri"/>
                <w:color w:val="000000"/>
                <w:sz w:val="20"/>
                <w:szCs w:val="20"/>
                <w:lang w:eastAsia="zh-CN"/>
              </w:rPr>
              <w:t xml:space="preserve">: </w:t>
            </w:r>
            <w:r>
              <w:rPr>
                <w:rFonts w:ascii="Calibri" w:hAnsi="Calibri" w:cs="Calibri"/>
                <w:iCs/>
                <w:color w:val="000000"/>
                <w:sz w:val="20"/>
                <w:szCs w:val="20"/>
                <w:lang w:eastAsia="zh-CN"/>
              </w:rPr>
              <w:t>Reduce pressures on natural resources from competing land uses in the wider landscape.</w:t>
            </w:r>
          </w:p>
          <w:p w14:paraId="53CFC468" w14:textId="77777777" w:rsidR="007372B6" w:rsidRDefault="00000000">
            <w:pPr>
              <w:pStyle w:val="BodyText"/>
              <w:widowControl w:val="0"/>
              <w:numPr>
                <w:ilvl w:val="0"/>
                <w:numId w:val="7"/>
              </w:numPr>
              <w:spacing w:before="120" w:after="0"/>
              <w:ind w:left="770"/>
              <w:contextualSpacing/>
            </w:pPr>
            <w:r>
              <w:rPr>
                <w:rFonts w:ascii="Calibri" w:hAnsi="Calibri" w:cs="Calibri"/>
                <w:iCs/>
                <w:color w:val="000000"/>
                <w:sz w:val="20"/>
                <w:szCs w:val="20"/>
                <w:u w:val="single"/>
                <w:lang w:eastAsia="zh-CN"/>
              </w:rPr>
              <w:t>CC-5</w:t>
            </w:r>
            <w:r>
              <w:rPr>
                <w:rFonts w:ascii="Calibri" w:hAnsi="Calibri" w:cs="Calibri"/>
                <w:iCs/>
                <w:color w:val="000000"/>
                <w:sz w:val="20"/>
                <w:szCs w:val="20"/>
                <w:lang w:eastAsia="zh-CN"/>
              </w:rPr>
              <w:t>: Promote conservation and enhancement of carbon stocks through sustainable management of land use, land-use change, and forestry</w:t>
            </w:r>
          </w:p>
          <w:p w14:paraId="64AEA63E" w14:textId="77777777" w:rsidR="007372B6" w:rsidRDefault="007372B6">
            <w:pPr>
              <w:pStyle w:val="BodyText"/>
              <w:widowControl w:val="0"/>
              <w:spacing w:after="0"/>
              <w:ind w:left="770"/>
              <w:contextualSpacing/>
              <w:rPr>
                <w:rFonts w:ascii="Calibri" w:hAnsi="Calibri" w:cs="Calibri"/>
                <w:color w:val="000000"/>
                <w:sz w:val="12"/>
                <w:szCs w:val="12"/>
                <w:lang w:eastAsia="zh-CN"/>
              </w:rPr>
            </w:pPr>
          </w:p>
          <w:p w14:paraId="1B2C77E9" w14:textId="77777777" w:rsidR="007372B6" w:rsidRDefault="00000000">
            <w:pPr>
              <w:pStyle w:val="BodyText"/>
              <w:widowControl w:val="0"/>
              <w:numPr>
                <w:ilvl w:val="0"/>
                <w:numId w:val="7"/>
              </w:numPr>
              <w:spacing w:before="120" w:after="0"/>
              <w:ind w:left="770"/>
              <w:contextualSpacing/>
            </w:pPr>
            <w:r>
              <w:rPr>
                <w:rFonts w:ascii="Calibri" w:hAnsi="Calibri" w:cs="Calibri"/>
                <w:iCs/>
                <w:color w:val="000000"/>
                <w:sz w:val="20"/>
                <w:szCs w:val="20"/>
                <w:u w:val="single"/>
                <w:lang w:eastAsia="zh-CN"/>
              </w:rPr>
              <w:t>SFM-1</w:t>
            </w:r>
            <w:r>
              <w:rPr>
                <w:rFonts w:ascii="Calibri" w:hAnsi="Calibri" w:cs="Calibri"/>
                <w:iCs/>
                <w:color w:val="000000"/>
                <w:sz w:val="20"/>
                <w:szCs w:val="20"/>
                <w:lang w:eastAsia="zh-CN"/>
              </w:rPr>
              <w:t>: Reduce pressures on forest resources and generate sustainable flows of forest ecosystem services</w:t>
            </w:r>
          </w:p>
          <w:p w14:paraId="1400E1E4" w14:textId="77777777" w:rsidR="007372B6" w:rsidRDefault="00000000">
            <w:pPr>
              <w:pStyle w:val="ListParagraph"/>
              <w:widowControl w:val="0"/>
              <w:numPr>
                <w:ilvl w:val="0"/>
                <w:numId w:val="7"/>
              </w:numPr>
              <w:spacing w:before="120"/>
              <w:ind w:left="770"/>
            </w:pPr>
            <w:r>
              <w:rPr>
                <w:rFonts w:ascii="Calibri" w:hAnsi="Calibri" w:cs="Calibri"/>
                <w:iCs/>
                <w:color w:val="000000"/>
                <w:sz w:val="20"/>
                <w:szCs w:val="20"/>
                <w:u w:val="single"/>
                <w:lang w:eastAsia="zh-CN"/>
              </w:rPr>
              <w:t>IW-3</w:t>
            </w:r>
            <w:r>
              <w:rPr>
                <w:rFonts w:ascii="Calibri" w:hAnsi="Calibri" w:cs="Calibri"/>
                <w:iCs/>
                <w:color w:val="000000"/>
                <w:sz w:val="20"/>
                <w:szCs w:val="20"/>
                <w:lang w:eastAsia="zh-CN"/>
              </w:rPr>
              <w:t>: Support Foundational Capacity Building, Portfolio Learning and Targeted Research Needs for Ecosystem-Based, Joint Management of Transboundary Water Systems.</w:t>
            </w:r>
          </w:p>
        </w:tc>
      </w:tr>
      <w:tr w:rsidR="007372B6" w14:paraId="311F4CC7" w14:textId="77777777">
        <w:tc>
          <w:tcPr>
            <w:tcW w:w="2539" w:type="dxa"/>
          </w:tcPr>
          <w:p w14:paraId="2A1A4E6C"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UNDAF Outcome:</w:t>
            </w:r>
          </w:p>
          <w:p w14:paraId="4E3F58EE" w14:textId="77777777" w:rsidR="007372B6" w:rsidRDefault="00000000">
            <w:pPr>
              <w:widowControl w:val="0"/>
              <w:spacing w:before="120" w:after="120"/>
              <w:rPr>
                <w:rFonts w:ascii="Calibri" w:hAnsi="Calibri" w:cs="Calibri"/>
                <w:color w:val="000000"/>
                <w:sz w:val="20"/>
                <w:szCs w:val="20"/>
                <w:lang w:eastAsia="zh-CN"/>
              </w:rPr>
            </w:pPr>
            <w:r>
              <w:rPr>
                <w:rFonts w:ascii="Calibri" w:hAnsi="Calibri" w:cs="Calibri"/>
                <w:color w:val="000000"/>
                <w:sz w:val="20"/>
                <w:szCs w:val="20"/>
                <w:lang w:eastAsia="zh-CN"/>
              </w:rPr>
              <w:t>(UNDAF Pacific Sub-region 2013-17)</w:t>
            </w:r>
          </w:p>
        </w:tc>
        <w:tc>
          <w:tcPr>
            <w:tcW w:w="6821" w:type="dxa"/>
            <w:gridSpan w:val="2"/>
          </w:tcPr>
          <w:p w14:paraId="6F4383AE" w14:textId="77777777" w:rsidR="007372B6" w:rsidRDefault="00000000">
            <w:pPr>
              <w:pStyle w:val="ListParagraph"/>
              <w:widowControl w:val="0"/>
              <w:spacing w:before="120"/>
              <w:rPr>
                <w:rFonts w:ascii="Calibri" w:hAnsi="Calibri" w:cs="Calibri"/>
                <w:color w:val="000000"/>
                <w:sz w:val="20"/>
                <w:szCs w:val="20"/>
                <w:lang w:eastAsia="zh-CN"/>
              </w:rPr>
            </w:pPr>
            <w:r>
              <w:rPr>
                <w:rFonts w:ascii="Calibri" w:hAnsi="Calibri" w:cs="Calibri"/>
                <w:color w:val="000000"/>
                <w:sz w:val="20"/>
                <w:szCs w:val="20"/>
                <w:lang w:eastAsia="zh-CN"/>
              </w:rPr>
              <w:t>Outcome Area 1: Environmental management, climate change and disaster risk management.</w:t>
            </w:r>
          </w:p>
          <w:p w14:paraId="0C1F8ADF" w14:textId="77777777" w:rsidR="007372B6" w:rsidRDefault="007372B6">
            <w:pPr>
              <w:widowControl w:val="0"/>
              <w:spacing w:before="120"/>
              <w:jc w:val="both"/>
              <w:rPr>
                <w:rFonts w:ascii="Calibri" w:hAnsi="Calibri" w:cs="Calibri"/>
                <w:color w:val="000000"/>
                <w:sz w:val="20"/>
                <w:szCs w:val="20"/>
                <w:lang w:eastAsia="zh-CN"/>
              </w:rPr>
            </w:pPr>
          </w:p>
        </w:tc>
      </w:tr>
      <w:tr w:rsidR="007372B6" w14:paraId="5615874B" w14:textId="77777777">
        <w:tc>
          <w:tcPr>
            <w:tcW w:w="2539" w:type="dxa"/>
          </w:tcPr>
          <w:p w14:paraId="18D137E0"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t>Project Management Arrangement</w:t>
            </w:r>
          </w:p>
        </w:tc>
        <w:tc>
          <w:tcPr>
            <w:tcW w:w="6821" w:type="dxa"/>
            <w:gridSpan w:val="2"/>
          </w:tcPr>
          <w:p w14:paraId="2D594E17" w14:textId="77777777" w:rsidR="007372B6" w:rsidRDefault="00000000">
            <w:pPr>
              <w:pStyle w:val="ListParagraph"/>
              <w:widowControl w:val="0"/>
              <w:spacing w:before="120"/>
              <w:rPr>
                <w:rFonts w:ascii="Calibri" w:hAnsi="Calibri" w:cs="Calibri"/>
                <w:color w:val="000000"/>
                <w:sz w:val="20"/>
                <w:szCs w:val="20"/>
                <w:lang w:eastAsia="zh-CN"/>
              </w:rPr>
            </w:pPr>
            <w:r>
              <w:rPr>
                <w:rFonts w:ascii="Calibri" w:hAnsi="Calibri" w:cs="Calibri"/>
                <w:color w:val="000000"/>
                <w:sz w:val="20"/>
                <w:szCs w:val="20"/>
                <w:lang w:eastAsia="zh-CN"/>
              </w:rPr>
              <w:t>NIM with Country Office Support</w:t>
            </w:r>
          </w:p>
        </w:tc>
      </w:tr>
      <w:tr w:rsidR="007372B6" w14:paraId="299907AE" w14:textId="77777777">
        <w:tc>
          <w:tcPr>
            <w:tcW w:w="2539" w:type="dxa"/>
          </w:tcPr>
          <w:p w14:paraId="12F43844" w14:textId="77777777" w:rsidR="007372B6" w:rsidRDefault="00000000">
            <w:pPr>
              <w:widowControl w:val="0"/>
              <w:spacing w:before="57" w:after="57"/>
              <w:rPr>
                <w:rFonts w:ascii="Calibri" w:hAnsi="Calibri" w:cs="Calibri"/>
                <w:b/>
                <w:bCs/>
                <w:color w:val="000000"/>
                <w:sz w:val="20"/>
                <w:szCs w:val="20"/>
                <w:lang w:eastAsia="zh-CN"/>
              </w:rPr>
            </w:pPr>
            <w:r>
              <w:rPr>
                <w:rFonts w:ascii="Calibri" w:hAnsi="Calibri" w:cs="Calibri"/>
                <w:b/>
                <w:bCs/>
                <w:color w:val="000000"/>
                <w:sz w:val="20"/>
                <w:szCs w:val="20"/>
                <w:lang w:eastAsia="zh-CN"/>
              </w:rPr>
              <w:t>Project Management Organization:</w:t>
            </w:r>
          </w:p>
          <w:p w14:paraId="3E1F5162" w14:textId="77777777" w:rsidR="007372B6" w:rsidRDefault="00000000">
            <w:pPr>
              <w:pStyle w:val="BodyText"/>
              <w:widowControl w:val="0"/>
              <w:spacing w:before="57" w:after="57"/>
              <w:rPr>
                <w:rFonts w:ascii="Calibri" w:hAnsi="Calibri" w:cs="Calibri"/>
                <w:b/>
                <w:bCs/>
                <w:color w:val="000000"/>
                <w:sz w:val="20"/>
                <w:szCs w:val="20"/>
                <w:lang w:eastAsia="zh-CN"/>
              </w:rPr>
            </w:pPr>
            <w:r>
              <w:rPr>
                <w:rFonts w:ascii="Calibri" w:hAnsi="Calibri" w:cs="Calibri"/>
                <w:b/>
                <w:bCs/>
                <w:color w:val="000000"/>
                <w:sz w:val="20"/>
                <w:szCs w:val="20"/>
                <w:lang w:eastAsia="zh-CN"/>
              </w:rPr>
              <w:t>Project Executive Agency:</w:t>
            </w:r>
          </w:p>
        </w:tc>
        <w:tc>
          <w:tcPr>
            <w:tcW w:w="6821" w:type="dxa"/>
            <w:gridSpan w:val="2"/>
          </w:tcPr>
          <w:p w14:paraId="5281FDC8" w14:textId="77777777" w:rsidR="007372B6" w:rsidRDefault="00000000">
            <w:pPr>
              <w:widowControl w:val="0"/>
              <w:spacing w:before="120"/>
              <w:rPr>
                <w:rFonts w:ascii="Calibri" w:eastAsia="MS Mincho" w:hAnsi="Calibri" w:cs="Calibri"/>
                <w:sz w:val="20"/>
                <w:szCs w:val="20"/>
                <w:lang w:eastAsia="zh-CN"/>
              </w:rPr>
            </w:pPr>
            <w:r>
              <w:rPr>
                <w:rFonts w:ascii="Calibri" w:eastAsia="MS Mincho" w:hAnsi="Calibri" w:cs="Calibri"/>
                <w:sz w:val="20"/>
                <w:szCs w:val="20"/>
                <w:lang w:eastAsia="zh-CN"/>
              </w:rPr>
              <w:t>Government of Fiji (</w:t>
            </w:r>
            <w:proofErr w:type="spellStart"/>
            <w:r>
              <w:rPr>
                <w:rFonts w:ascii="Calibri" w:eastAsia="MS Mincho" w:hAnsi="Calibri" w:cs="Calibri"/>
                <w:sz w:val="20"/>
                <w:szCs w:val="20"/>
                <w:lang w:eastAsia="zh-CN"/>
              </w:rPr>
              <w:t>GoF</w:t>
            </w:r>
            <w:proofErr w:type="spellEnd"/>
            <w:r>
              <w:rPr>
                <w:rFonts w:ascii="Calibri" w:eastAsia="MS Mincho" w:hAnsi="Calibri" w:cs="Calibri"/>
                <w:sz w:val="20"/>
                <w:szCs w:val="20"/>
                <w:lang w:eastAsia="zh-CN"/>
              </w:rPr>
              <w:t>)</w:t>
            </w:r>
          </w:p>
          <w:p w14:paraId="5FF1D20C" w14:textId="77777777" w:rsidR="007372B6" w:rsidRDefault="00000000">
            <w:pPr>
              <w:pStyle w:val="BodyText"/>
              <w:widowControl w:val="0"/>
              <w:numPr>
                <w:ilvl w:val="0"/>
                <w:numId w:val="8"/>
              </w:numPr>
              <w:spacing w:after="0"/>
              <w:contextualSpacing/>
              <w:rPr>
                <w:sz w:val="20"/>
                <w:szCs w:val="20"/>
              </w:rPr>
            </w:pPr>
            <w:r>
              <w:rPr>
                <w:rFonts w:ascii="Calibri" w:eastAsia="MS Mincho" w:hAnsi="Calibri" w:cs="Calibri"/>
                <w:sz w:val="20"/>
                <w:szCs w:val="20"/>
                <w:lang w:eastAsia="zh-CN"/>
              </w:rPr>
              <w:t>Ministry of Waterways and Environment (MOWE)</w:t>
            </w:r>
          </w:p>
          <w:p w14:paraId="5B1401E1" w14:textId="77777777" w:rsidR="007372B6" w:rsidRDefault="00000000">
            <w:pPr>
              <w:pStyle w:val="BodyText"/>
              <w:widowControl w:val="0"/>
              <w:numPr>
                <w:ilvl w:val="0"/>
                <w:numId w:val="8"/>
              </w:numPr>
              <w:spacing w:after="0"/>
              <w:contextualSpacing/>
              <w:rPr>
                <w:sz w:val="20"/>
                <w:szCs w:val="20"/>
              </w:rPr>
            </w:pPr>
            <w:r>
              <w:rPr>
                <w:rFonts w:ascii="Calibri" w:eastAsia="MS Mincho" w:hAnsi="Calibri" w:cs="Calibri"/>
                <w:sz w:val="20"/>
                <w:szCs w:val="20"/>
                <w:lang w:eastAsia="zh-CN"/>
              </w:rPr>
              <w:t>Department of Environment (DOE)</w:t>
            </w:r>
          </w:p>
        </w:tc>
      </w:tr>
      <w:tr w:rsidR="007372B6" w14:paraId="694C2525" w14:textId="77777777">
        <w:tc>
          <w:tcPr>
            <w:tcW w:w="2539" w:type="dxa"/>
          </w:tcPr>
          <w:p w14:paraId="6EC86A1C" w14:textId="77777777" w:rsidR="007372B6" w:rsidRDefault="00000000">
            <w:pPr>
              <w:widowControl w:val="0"/>
              <w:spacing w:before="120" w:after="120"/>
              <w:rPr>
                <w:rFonts w:ascii="Calibri" w:hAnsi="Calibri" w:cs="Calibri"/>
                <w:b/>
                <w:bCs/>
                <w:color w:val="000000"/>
                <w:sz w:val="20"/>
                <w:szCs w:val="20"/>
                <w:lang w:eastAsia="zh-CN"/>
              </w:rPr>
            </w:pPr>
            <w:r>
              <w:rPr>
                <w:rFonts w:ascii="Calibri" w:hAnsi="Calibri" w:cs="Calibri"/>
                <w:b/>
                <w:bCs/>
                <w:color w:val="000000"/>
                <w:sz w:val="20"/>
                <w:szCs w:val="20"/>
                <w:lang w:eastAsia="zh-CN"/>
              </w:rPr>
              <w:lastRenderedPageBreak/>
              <w:t>Other Partners:</w:t>
            </w:r>
          </w:p>
        </w:tc>
        <w:tc>
          <w:tcPr>
            <w:tcW w:w="6821" w:type="dxa"/>
            <w:gridSpan w:val="2"/>
          </w:tcPr>
          <w:p w14:paraId="199BB474" w14:textId="77777777" w:rsidR="007372B6" w:rsidRDefault="00000000">
            <w:pPr>
              <w:widowControl w:val="0"/>
              <w:spacing w:before="120"/>
              <w:rPr>
                <w:sz w:val="20"/>
                <w:szCs w:val="20"/>
              </w:rPr>
            </w:pPr>
            <w:proofErr w:type="spellStart"/>
            <w:r>
              <w:rPr>
                <w:rFonts w:ascii="Calibri" w:hAnsi="Calibri"/>
                <w:sz w:val="20"/>
                <w:szCs w:val="20"/>
                <w:lang w:eastAsia="zh-CN"/>
              </w:rPr>
              <w:t>GoF</w:t>
            </w:r>
            <w:proofErr w:type="spellEnd"/>
          </w:p>
          <w:p w14:paraId="0566786C" w14:textId="77777777" w:rsidR="007372B6" w:rsidRDefault="00000000">
            <w:pPr>
              <w:pStyle w:val="BodyText"/>
              <w:widowControl w:val="0"/>
              <w:numPr>
                <w:ilvl w:val="0"/>
                <w:numId w:val="9"/>
              </w:numPr>
              <w:spacing w:after="0"/>
              <w:contextualSpacing/>
              <w:rPr>
                <w:sz w:val="20"/>
                <w:szCs w:val="20"/>
              </w:rPr>
            </w:pPr>
            <w:r>
              <w:rPr>
                <w:rFonts w:ascii="Calibri" w:hAnsi="Calibri"/>
                <w:sz w:val="20"/>
                <w:szCs w:val="20"/>
                <w:lang w:eastAsia="zh-CN"/>
              </w:rPr>
              <w:t>Ministry of Forestry (MoF)</w:t>
            </w:r>
          </w:p>
          <w:p w14:paraId="47267624" w14:textId="77777777" w:rsidR="007372B6" w:rsidRDefault="00000000">
            <w:pPr>
              <w:pStyle w:val="BodyText"/>
              <w:widowControl w:val="0"/>
              <w:numPr>
                <w:ilvl w:val="0"/>
                <w:numId w:val="9"/>
              </w:numPr>
              <w:spacing w:after="0"/>
              <w:contextualSpacing/>
              <w:rPr>
                <w:sz w:val="20"/>
                <w:szCs w:val="20"/>
              </w:rPr>
            </w:pPr>
            <w:r>
              <w:rPr>
                <w:rFonts w:ascii="Calibri" w:hAnsi="Calibri"/>
                <w:sz w:val="20"/>
                <w:szCs w:val="20"/>
                <w:lang w:eastAsia="zh-CN"/>
              </w:rPr>
              <w:t>Ministry of Agriculture (</w:t>
            </w:r>
            <w:proofErr w:type="spellStart"/>
            <w:r>
              <w:rPr>
                <w:rFonts w:ascii="Calibri" w:hAnsi="Calibri"/>
                <w:sz w:val="20"/>
                <w:szCs w:val="20"/>
                <w:lang w:eastAsia="zh-CN"/>
              </w:rPr>
              <w:t>MoA</w:t>
            </w:r>
            <w:proofErr w:type="spellEnd"/>
            <w:r>
              <w:rPr>
                <w:rFonts w:ascii="Calibri" w:hAnsi="Calibri"/>
                <w:sz w:val="20"/>
                <w:szCs w:val="20"/>
                <w:lang w:eastAsia="zh-CN"/>
              </w:rPr>
              <w:t>) Department of Agriculture</w:t>
            </w:r>
          </w:p>
          <w:p w14:paraId="298F11AE" w14:textId="77777777" w:rsidR="007372B6" w:rsidRDefault="00000000">
            <w:pPr>
              <w:pStyle w:val="BodyText"/>
              <w:widowControl w:val="0"/>
              <w:numPr>
                <w:ilvl w:val="0"/>
                <w:numId w:val="9"/>
              </w:numPr>
              <w:spacing w:after="0"/>
              <w:contextualSpacing/>
              <w:rPr>
                <w:sz w:val="20"/>
                <w:szCs w:val="20"/>
              </w:rPr>
            </w:pPr>
            <w:r>
              <w:rPr>
                <w:rFonts w:ascii="Calibri" w:hAnsi="Calibri"/>
                <w:sz w:val="20"/>
                <w:szCs w:val="20"/>
                <w:lang w:eastAsia="zh-CN"/>
              </w:rPr>
              <w:t>Ministry of Fisheries (MoF)</w:t>
            </w:r>
          </w:p>
          <w:p w14:paraId="70A60870" w14:textId="77777777" w:rsidR="007372B6" w:rsidRDefault="00000000">
            <w:pPr>
              <w:pStyle w:val="BodyText"/>
              <w:widowControl w:val="0"/>
              <w:numPr>
                <w:ilvl w:val="0"/>
                <w:numId w:val="9"/>
              </w:numPr>
              <w:spacing w:after="0"/>
              <w:contextualSpacing/>
              <w:rPr>
                <w:sz w:val="20"/>
                <w:szCs w:val="20"/>
              </w:rPr>
            </w:pPr>
            <w:r>
              <w:rPr>
                <w:rFonts w:ascii="Calibri" w:hAnsi="Calibri"/>
                <w:sz w:val="20"/>
                <w:szCs w:val="20"/>
                <w:lang w:eastAsia="zh-CN"/>
              </w:rPr>
              <w:t xml:space="preserve">Ministry of </w:t>
            </w:r>
            <w:r>
              <w:rPr>
                <w:rFonts w:ascii="Calibri" w:hAnsi="Calibri"/>
                <w:bCs/>
                <w:color w:val="000000"/>
                <w:spacing w:val="-2"/>
                <w:w w:val="105"/>
                <w:sz w:val="20"/>
                <w:szCs w:val="20"/>
                <w:lang w:eastAsia="zh-CN"/>
              </w:rPr>
              <w:t>Rural and Maritime Development (</w:t>
            </w:r>
            <w:proofErr w:type="spellStart"/>
            <w:r>
              <w:rPr>
                <w:rFonts w:ascii="Calibri" w:hAnsi="Calibri"/>
                <w:bCs/>
                <w:color w:val="000000"/>
                <w:spacing w:val="-2"/>
                <w:w w:val="105"/>
                <w:sz w:val="20"/>
                <w:szCs w:val="20"/>
                <w:lang w:eastAsia="zh-CN"/>
              </w:rPr>
              <w:t>MoRMD</w:t>
            </w:r>
            <w:proofErr w:type="spellEnd"/>
            <w:r>
              <w:rPr>
                <w:rFonts w:ascii="Calibri" w:hAnsi="Calibri"/>
                <w:bCs/>
                <w:color w:val="000000"/>
                <w:spacing w:val="-2"/>
                <w:w w:val="105"/>
                <w:sz w:val="20"/>
                <w:szCs w:val="20"/>
                <w:lang w:eastAsia="zh-CN"/>
              </w:rPr>
              <w:t>)</w:t>
            </w:r>
          </w:p>
          <w:p w14:paraId="2C9EB4CA" w14:textId="77777777" w:rsidR="007372B6" w:rsidRDefault="00000000">
            <w:pPr>
              <w:pStyle w:val="BodyText"/>
              <w:widowControl w:val="0"/>
              <w:numPr>
                <w:ilvl w:val="0"/>
                <w:numId w:val="9"/>
              </w:numPr>
              <w:spacing w:after="0"/>
              <w:contextualSpacing/>
              <w:rPr>
                <w:sz w:val="20"/>
                <w:szCs w:val="20"/>
              </w:rPr>
            </w:pPr>
            <w:r>
              <w:rPr>
                <w:rFonts w:ascii="Calibri" w:hAnsi="Calibri"/>
                <w:sz w:val="20"/>
                <w:szCs w:val="20"/>
                <w:lang w:eastAsia="zh-CN"/>
              </w:rPr>
              <w:t xml:space="preserve">Ministry of </w:t>
            </w:r>
            <w:proofErr w:type="spellStart"/>
            <w:r>
              <w:rPr>
                <w:rFonts w:ascii="Calibri" w:hAnsi="Calibri"/>
                <w:sz w:val="20"/>
                <w:szCs w:val="20"/>
                <w:lang w:eastAsia="zh-CN"/>
              </w:rPr>
              <w:t>i</w:t>
            </w:r>
            <w:r>
              <w:rPr>
                <w:rFonts w:ascii="Calibri" w:hAnsi="Calibri"/>
                <w:bCs/>
                <w:color w:val="000000"/>
                <w:spacing w:val="-2"/>
                <w:w w:val="105"/>
                <w:sz w:val="20"/>
                <w:szCs w:val="20"/>
                <w:lang w:eastAsia="zh-CN"/>
              </w:rPr>
              <w:t>-Taukei</w:t>
            </w:r>
            <w:proofErr w:type="spellEnd"/>
            <w:r>
              <w:rPr>
                <w:rFonts w:ascii="Calibri" w:hAnsi="Calibri"/>
                <w:bCs/>
                <w:color w:val="000000"/>
                <w:spacing w:val="-2"/>
                <w:w w:val="105"/>
                <w:sz w:val="20"/>
                <w:szCs w:val="20"/>
                <w:lang w:eastAsia="zh-CN"/>
              </w:rPr>
              <w:t xml:space="preserve"> Affairs</w:t>
            </w:r>
          </w:p>
          <w:p w14:paraId="5F8A65D9" w14:textId="77777777" w:rsidR="007372B6" w:rsidRDefault="007372B6">
            <w:pPr>
              <w:pStyle w:val="BodyText"/>
              <w:widowControl w:val="0"/>
              <w:numPr>
                <w:ilvl w:val="0"/>
                <w:numId w:val="9"/>
              </w:numPr>
              <w:spacing w:after="0"/>
              <w:contextualSpacing/>
              <w:rPr>
                <w:sz w:val="20"/>
                <w:szCs w:val="20"/>
              </w:rPr>
            </w:pPr>
          </w:p>
          <w:p w14:paraId="5B722613" w14:textId="77777777" w:rsidR="007372B6" w:rsidRDefault="00000000">
            <w:pPr>
              <w:pStyle w:val="ListParagraph"/>
              <w:widowControl w:val="0"/>
              <w:ind w:left="0"/>
              <w:rPr>
                <w:sz w:val="20"/>
                <w:szCs w:val="20"/>
              </w:rPr>
            </w:pPr>
            <w:r>
              <w:rPr>
                <w:rFonts w:ascii="Calibri" w:hAnsi="Calibri"/>
                <w:sz w:val="20"/>
                <w:szCs w:val="20"/>
                <w:lang w:eastAsia="zh-CN"/>
              </w:rPr>
              <w:t>NGOS</w:t>
            </w:r>
          </w:p>
          <w:p w14:paraId="452B847D" w14:textId="77777777" w:rsidR="007372B6" w:rsidRDefault="00000000">
            <w:pPr>
              <w:pStyle w:val="ListParagraph"/>
              <w:widowControl w:val="0"/>
              <w:numPr>
                <w:ilvl w:val="0"/>
                <w:numId w:val="9"/>
              </w:numPr>
              <w:rPr>
                <w:sz w:val="20"/>
                <w:szCs w:val="20"/>
              </w:rPr>
            </w:pPr>
            <w:r>
              <w:rPr>
                <w:rFonts w:ascii="Calibri" w:hAnsi="Calibri"/>
                <w:color w:val="000000"/>
                <w:sz w:val="20"/>
                <w:szCs w:val="20"/>
                <w:lang w:eastAsia="zh-CN"/>
              </w:rPr>
              <w:t>Secretariat of the Pacific Community (SPC)</w:t>
            </w:r>
          </w:p>
          <w:p w14:paraId="3186843B" w14:textId="77777777" w:rsidR="007372B6" w:rsidRDefault="00000000">
            <w:pPr>
              <w:pStyle w:val="BodyText"/>
              <w:widowControl w:val="0"/>
              <w:numPr>
                <w:ilvl w:val="0"/>
                <w:numId w:val="9"/>
              </w:numPr>
              <w:spacing w:after="0"/>
              <w:contextualSpacing/>
              <w:rPr>
                <w:sz w:val="20"/>
                <w:szCs w:val="20"/>
              </w:rPr>
            </w:pPr>
            <w:r>
              <w:rPr>
                <w:rFonts w:ascii="Calibri" w:hAnsi="Calibri"/>
                <w:color w:val="000000"/>
                <w:sz w:val="20"/>
                <w:szCs w:val="20"/>
                <w:lang w:eastAsia="zh-CN"/>
              </w:rPr>
              <w:t>World Wildlife Fund for Nature, Pacific Office (WWF)</w:t>
            </w:r>
          </w:p>
          <w:p w14:paraId="108B9697" w14:textId="77777777" w:rsidR="007372B6" w:rsidRDefault="00000000">
            <w:pPr>
              <w:pStyle w:val="BodyText"/>
              <w:widowControl w:val="0"/>
              <w:numPr>
                <w:ilvl w:val="0"/>
                <w:numId w:val="9"/>
              </w:numPr>
              <w:spacing w:after="0"/>
              <w:contextualSpacing/>
              <w:rPr>
                <w:sz w:val="20"/>
                <w:szCs w:val="20"/>
              </w:rPr>
            </w:pPr>
            <w:r>
              <w:rPr>
                <w:rFonts w:ascii="Calibri" w:hAnsi="Calibri"/>
                <w:color w:val="000000"/>
                <w:sz w:val="20"/>
                <w:szCs w:val="20"/>
                <w:lang w:eastAsia="zh-CN"/>
              </w:rPr>
              <w:t>University of the South Pacific’s Institute of Applied Science (USP-IAS)</w:t>
            </w:r>
          </w:p>
          <w:p w14:paraId="561CD973" w14:textId="77777777" w:rsidR="007372B6" w:rsidRDefault="00000000">
            <w:pPr>
              <w:pStyle w:val="BodyText"/>
              <w:widowControl w:val="0"/>
              <w:numPr>
                <w:ilvl w:val="0"/>
                <w:numId w:val="9"/>
              </w:numPr>
              <w:spacing w:after="0"/>
              <w:contextualSpacing/>
              <w:rPr>
                <w:sz w:val="20"/>
                <w:szCs w:val="20"/>
              </w:rPr>
            </w:pPr>
            <w:r>
              <w:rPr>
                <w:rFonts w:ascii="Calibri" w:hAnsi="Calibri"/>
                <w:color w:val="000000"/>
                <w:sz w:val="20"/>
                <w:szCs w:val="20"/>
                <w:lang w:eastAsia="zh-CN"/>
              </w:rPr>
              <w:t>Fiji Locally Managed Marine Areas network (FLMMA)</w:t>
            </w:r>
          </w:p>
          <w:p w14:paraId="2BCEEC44" w14:textId="77777777" w:rsidR="007372B6" w:rsidRDefault="00000000">
            <w:pPr>
              <w:pStyle w:val="BodyText"/>
              <w:widowControl w:val="0"/>
              <w:numPr>
                <w:ilvl w:val="0"/>
                <w:numId w:val="9"/>
              </w:numPr>
              <w:spacing w:after="0"/>
              <w:contextualSpacing/>
              <w:rPr>
                <w:sz w:val="20"/>
                <w:szCs w:val="20"/>
              </w:rPr>
            </w:pPr>
            <w:r>
              <w:rPr>
                <w:rFonts w:ascii="Calibri" w:hAnsi="Calibri"/>
                <w:color w:val="000000"/>
                <w:sz w:val="20"/>
                <w:szCs w:val="20"/>
                <w:lang w:eastAsia="zh-CN"/>
              </w:rPr>
              <w:t>Conservation International (CI)</w:t>
            </w:r>
          </w:p>
          <w:p w14:paraId="3C4ABE3A" w14:textId="77777777" w:rsidR="007372B6" w:rsidRDefault="00000000">
            <w:pPr>
              <w:widowControl w:val="0"/>
              <w:numPr>
                <w:ilvl w:val="0"/>
                <w:numId w:val="9"/>
              </w:numPr>
              <w:jc w:val="both"/>
            </w:pPr>
            <w:r>
              <w:rPr>
                <w:rFonts w:ascii="Calibri" w:hAnsi="Calibri"/>
                <w:bCs/>
                <w:color w:val="000000"/>
                <w:spacing w:val="-2"/>
                <w:w w:val="105"/>
                <w:sz w:val="20"/>
                <w:szCs w:val="20"/>
                <w:lang w:eastAsia="zh-CN"/>
              </w:rPr>
              <w:t>Tata Energy Research Institute (TERI)</w:t>
            </w:r>
          </w:p>
          <w:p w14:paraId="1A708287" w14:textId="77777777" w:rsidR="007372B6" w:rsidRDefault="00000000">
            <w:pPr>
              <w:widowControl w:val="0"/>
              <w:numPr>
                <w:ilvl w:val="0"/>
                <w:numId w:val="9"/>
              </w:numPr>
              <w:jc w:val="both"/>
            </w:pPr>
            <w:r>
              <w:rPr>
                <w:rFonts w:ascii="Calibri" w:hAnsi="Calibri"/>
                <w:bCs/>
                <w:color w:val="000000"/>
                <w:spacing w:val="-2"/>
                <w:w w:val="105"/>
                <w:sz w:val="20"/>
                <w:szCs w:val="20"/>
                <w:lang w:eastAsia="zh-CN"/>
              </w:rPr>
              <w:t>The Vetiver Network International (TVNI)</w:t>
            </w:r>
          </w:p>
        </w:tc>
      </w:tr>
      <w:tr w:rsidR="007372B6" w14:paraId="7186D512" w14:textId="77777777">
        <w:tc>
          <w:tcPr>
            <w:tcW w:w="2539" w:type="dxa"/>
          </w:tcPr>
          <w:p w14:paraId="2939EDCF" w14:textId="77777777" w:rsidR="007372B6" w:rsidRDefault="00000000">
            <w:pPr>
              <w:widowControl w:val="0"/>
              <w:spacing w:before="120" w:after="120"/>
              <w:rPr>
                <w:rFonts w:ascii="Calibri" w:hAnsi="Calibri" w:cs="Calibri"/>
                <w:color w:val="000000"/>
                <w:sz w:val="20"/>
                <w:szCs w:val="20"/>
                <w:lang w:eastAsia="zh-CN"/>
              </w:rPr>
            </w:pPr>
            <w:r>
              <w:rPr>
                <w:rFonts w:ascii="Calibri" w:hAnsi="Calibri" w:cs="Calibri"/>
                <w:color w:val="000000"/>
                <w:sz w:val="20"/>
                <w:szCs w:val="20"/>
                <w:lang w:eastAsia="zh-CN"/>
              </w:rPr>
              <w:t>Pilot Sites (see Figure 1):</w:t>
            </w:r>
          </w:p>
        </w:tc>
        <w:tc>
          <w:tcPr>
            <w:tcW w:w="6821" w:type="dxa"/>
            <w:gridSpan w:val="2"/>
          </w:tcPr>
          <w:p w14:paraId="2E64F139" w14:textId="77777777" w:rsidR="007372B6" w:rsidRDefault="00000000">
            <w:pPr>
              <w:widowControl w:val="0"/>
              <w:spacing w:before="120" w:after="120"/>
              <w:rPr>
                <w:rFonts w:eastAsiaTheme="minorHAnsi"/>
                <w:sz w:val="20"/>
                <w:szCs w:val="20"/>
              </w:rPr>
            </w:pPr>
            <w:r>
              <w:rPr>
                <w:rFonts w:ascii="Calibri" w:eastAsiaTheme="minorHAnsi" w:hAnsi="Calibri" w:cs="Calibri"/>
                <w:color w:val="000000"/>
                <w:sz w:val="20"/>
                <w:szCs w:val="20"/>
                <w:lang w:val="en-CA" w:eastAsia="en-US"/>
              </w:rPr>
              <w:t xml:space="preserve">6 Districts: 3 catchments on the main island of Viti </w:t>
            </w:r>
            <w:proofErr w:type="spellStart"/>
            <w:r>
              <w:rPr>
                <w:rFonts w:ascii="Calibri" w:eastAsiaTheme="minorHAnsi" w:hAnsi="Calibri" w:cs="Calibri"/>
                <w:color w:val="000000"/>
                <w:sz w:val="20"/>
                <w:szCs w:val="20"/>
                <w:lang w:val="en-CA" w:eastAsia="en-US"/>
              </w:rPr>
              <w:t>Levu</w:t>
            </w:r>
            <w:proofErr w:type="spellEnd"/>
            <w:r>
              <w:rPr>
                <w:rFonts w:ascii="Calibri" w:eastAsiaTheme="minorHAnsi" w:hAnsi="Calibri" w:cs="Calibri"/>
                <w:color w:val="000000"/>
                <w:sz w:val="20"/>
                <w:szCs w:val="20"/>
                <w:lang w:val="en-CA" w:eastAsia="en-US"/>
              </w:rPr>
              <w:t xml:space="preserve"> (Ba River, Tuva River and </w:t>
            </w:r>
            <w:proofErr w:type="spellStart"/>
            <w:r>
              <w:rPr>
                <w:rFonts w:ascii="Calibri" w:eastAsiaTheme="minorHAnsi" w:hAnsi="Calibri" w:cs="Calibri"/>
                <w:color w:val="000000"/>
                <w:sz w:val="20"/>
                <w:szCs w:val="20"/>
                <w:lang w:val="en-CA" w:eastAsia="en-US"/>
              </w:rPr>
              <w:t>Rewa</w:t>
            </w:r>
            <w:proofErr w:type="spellEnd"/>
            <w:r>
              <w:rPr>
                <w:rFonts w:ascii="Calibri" w:eastAsiaTheme="minorHAnsi" w:hAnsi="Calibri" w:cs="Calibri"/>
                <w:color w:val="000000"/>
                <w:sz w:val="20"/>
                <w:szCs w:val="20"/>
                <w:lang w:val="en-CA" w:eastAsia="en-US"/>
              </w:rPr>
              <w:t xml:space="preserve"> (</w:t>
            </w:r>
            <w:proofErr w:type="spellStart"/>
            <w:r>
              <w:rPr>
                <w:rFonts w:ascii="Calibri" w:eastAsiaTheme="minorHAnsi" w:hAnsi="Calibri" w:cs="Calibri"/>
                <w:color w:val="000000"/>
                <w:sz w:val="20"/>
                <w:szCs w:val="20"/>
                <w:lang w:val="en-CA" w:eastAsia="en-US"/>
              </w:rPr>
              <w:t>Waidina</w:t>
            </w:r>
            <w:proofErr w:type="spellEnd"/>
            <w:r>
              <w:rPr>
                <w:rFonts w:ascii="Calibri" w:eastAsiaTheme="minorHAnsi" w:hAnsi="Calibri" w:cs="Calibri"/>
                <w:color w:val="000000"/>
                <w:sz w:val="20"/>
                <w:szCs w:val="20"/>
                <w:lang w:val="en-CA" w:eastAsia="en-US"/>
              </w:rPr>
              <w:t xml:space="preserve"> River /</w:t>
            </w:r>
            <w:proofErr w:type="spellStart"/>
            <w:r>
              <w:rPr>
                <w:rFonts w:ascii="Calibri" w:eastAsiaTheme="minorHAnsi" w:hAnsi="Calibri" w:cs="Calibri"/>
                <w:color w:val="000000"/>
                <w:sz w:val="20"/>
                <w:szCs w:val="20"/>
                <w:lang w:val="en-CA" w:eastAsia="en-US"/>
              </w:rPr>
              <w:t>Rewa</w:t>
            </w:r>
            <w:proofErr w:type="spellEnd"/>
            <w:r>
              <w:rPr>
                <w:rFonts w:ascii="Calibri" w:eastAsiaTheme="minorHAnsi" w:hAnsi="Calibri" w:cs="Calibri"/>
                <w:color w:val="000000"/>
                <w:sz w:val="20"/>
                <w:szCs w:val="20"/>
                <w:lang w:val="en-CA" w:eastAsia="en-US"/>
              </w:rPr>
              <w:t xml:space="preserve"> Delta)) and 3 catchments on the second largest island of Vanua </w:t>
            </w:r>
            <w:proofErr w:type="spellStart"/>
            <w:r>
              <w:rPr>
                <w:rFonts w:ascii="Calibri" w:eastAsiaTheme="minorHAnsi" w:hAnsi="Calibri" w:cs="Calibri"/>
                <w:color w:val="000000"/>
                <w:sz w:val="20"/>
                <w:szCs w:val="20"/>
                <w:lang w:val="en-CA" w:eastAsia="en-US"/>
              </w:rPr>
              <w:t>Levu</w:t>
            </w:r>
            <w:proofErr w:type="spellEnd"/>
            <w:r>
              <w:rPr>
                <w:rFonts w:ascii="Calibri" w:eastAsiaTheme="minorHAnsi" w:hAnsi="Calibri" w:cs="Calibri"/>
                <w:color w:val="000000"/>
                <w:sz w:val="20"/>
                <w:szCs w:val="20"/>
                <w:lang w:val="en-CA" w:eastAsia="en-US"/>
              </w:rPr>
              <w:t xml:space="preserve"> (Labasa River, </w:t>
            </w:r>
            <w:proofErr w:type="spellStart"/>
            <w:r>
              <w:rPr>
                <w:rFonts w:ascii="Calibri" w:eastAsiaTheme="minorHAnsi" w:hAnsi="Calibri" w:cs="Calibri"/>
                <w:color w:val="000000"/>
                <w:sz w:val="20"/>
                <w:szCs w:val="20"/>
                <w:lang w:val="en-CA" w:eastAsia="en-US"/>
              </w:rPr>
              <w:t>Tunuloa</w:t>
            </w:r>
            <w:proofErr w:type="spellEnd"/>
            <w:r>
              <w:rPr>
                <w:rFonts w:ascii="Calibri" w:eastAsiaTheme="minorHAnsi" w:hAnsi="Calibri" w:cs="Calibri"/>
                <w:color w:val="000000"/>
                <w:sz w:val="20"/>
                <w:szCs w:val="20"/>
                <w:lang w:val="en-CA" w:eastAsia="en-US"/>
              </w:rPr>
              <w:t xml:space="preserve"> district and </w:t>
            </w:r>
            <w:proofErr w:type="spellStart"/>
            <w:r>
              <w:rPr>
                <w:rFonts w:ascii="Calibri" w:eastAsiaTheme="minorHAnsi" w:hAnsi="Calibri" w:cs="Calibri"/>
                <w:color w:val="000000"/>
                <w:sz w:val="20"/>
                <w:szCs w:val="20"/>
                <w:lang w:val="en-CA" w:eastAsia="en-US"/>
              </w:rPr>
              <w:t>Vunivia</w:t>
            </w:r>
            <w:proofErr w:type="spellEnd"/>
            <w:r>
              <w:rPr>
                <w:rFonts w:ascii="Calibri" w:eastAsiaTheme="minorHAnsi" w:hAnsi="Calibri" w:cs="Calibri"/>
                <w:color w:val="000000"/>
                <w:sz w:val="20"/>
                <w:szCs w:val="20"/>
                <w:lang w:val="en-CA" w:eastAsia="en-US"/>
              </w:rPr>
              <w:t xml:space="preserve"> River)</w:t>
            </w:r>
          </w:p>
        </w:tc>
      </w:tr>
      <w:tr w:rsidR="007372B6" w14:paraId="37FBF98F" w14:textId="77777777">
        <w:tc>
          <w:tcPr>
            <w:tcW w:w="2539" w:type="dxa"/>
            <w:shd w:val="clear" w:color="auto" w:fill="D9D9D9"/>
          </w:tcPr>
          <w:p w14:paraId="5CA90AAC" w14:textId="77777777" w:rsidR="007372B6" w:rsidRDefault="00000000">
            <w:pPr>
              <w:widowControl w:val="0"/>
              <w:spacing w:before="120" w:after="120"/>
              <w:ind w:right="-867"/>
              <w:rPr>
                <w:rFonts w:ascii="Calibri" w:hAnsi="Calibri" w:cs="Calibri"/>
                <w:color w:val="000000"/>
                <w:sz w:val="18"/>
                <w:szCs w:val="18"/>
                <w:lang w:eastAsia="zh-CN"/>
              </w:rPr>
            </w:pPr>
            <w:r>
              <w:rPr>
                <w:rFonts w:ascii="Calibri" w:hAnsi="Calibri" w:cs="Calibri"/>
                <w:color w:val="000000"/>
                <w:sz w:val="18"/>
                <w:szCs w:val="18"/>
                <w:lang w:eastAsia="zh-CN"/>
              </w:rPr>
              <w:t>Financing:</w:t>
            </w:r>
          </w:p>
        </w:tc>
        <w:tc>
          <w:tcPr>
            <w:tcW w:w="3192" w:type="dxa"/>
            <w:shd w:val="clear" w:color="auto" w:fill="D9D9D9"/>
          </w:tcPr>
          <w:p w14:paraId="5C0B617E" w14:textId="77777777" w:rsidR="007372B6" w:rsidRDefault="00000000">
            <w:pPr>
              <w:widowControl w:val="0"/>
              <w:spacing w:before="120" w:after="120"/>
              <w:jc w:val="center"/>
              <w:rPr>
                <w:rFonts w:ascii="Calibri" w:hAnsi="Calibri" w:cs="Calibri"/>
                <w:i/>
                <w:color w:val="000000"/>
                <w:sz w:val="18"/>
                <w:szCs w:val="18"/>
                <w:u w:val="single"/>
                <w:lang w:eastAsia="zh-CN"/>
              </w:rPr>
            </w:pPr>
            <w:r>
              <w:rPr>
                <w:rFonts w:ascii="Calibri" w:hAnsi="Calibri" w:cs="Calibri"/>
                <w:i/>
                <w:color w:val="000000"/>
                <w:sz w:val="18"/>
                <w:szCs w:val="18"/>
                <w:u w:val="single"/>
                <w:lang w:eastAsia="zh-CN"/>
              </w:rPr>
              <w:t>At endorsement (US$)</w:t>
            </w:r>
          </w:p>
        </w:tc>
        <w:tc>
          <w:tcPr>
            <w:tcW w:w="3629" w:type="dxa"/>
            <w:shd w:val="clear" w:color="auto" w:fill="D9D9D9"/>
          </w:tcPr>
          <w:p w14:paraId="3BA80606" w14:textId="77777777" w:rsidR="007372B6" w:rsidRDefault="00000000">
            <w:pPr>
              <w:widowControl w:val="0"/>
              <w:spacing w:before="120" w:after="120"/>
              <w:jc w:val="center"/>
              <w:rPr>
                <w:rFonts w:ascii="Calibri" w:hAnsi="Calibri" w:cs="Calibri"/>
                <w:i/>
                <w:color w:val="000000"/>
                <w:sz w:val="18"/>
                <w:szCs w:val="18"/>
                <w:u w:val="single"/>
                <w:lang w:eastAsia="zh-CN"/>
              </w:rPr>
            </w:pPr>
            <w:r>
              <w:rPr>
                <w:rFonts w:ascii="Calibri" w:hAnsi="Calibri" w:cs="Calibri"/>
                <w:i/>
                <w:color w:val="000000"/>
                <w:sz w:val="18"/>
                <w:szCs w:val="18"/>
                <w:u w:val="single"/>
                <w:lang w:eastAsia="zh-CN"/>
              </w:rPr>
              <w:t>At completion (US$)</w:t>
            </w:r>
          </w:p>
        </w:tc>
      </w:tr>
      <w:tr w:rsidR="007372B6" w14:paraId="69A7329A" w14:textId="77777777">
        <w:tc>
          <w:tcPr>
            <w:tcW w:w="2539" w:type="dxa"/>
            <w:shd w:val="clear" w:color="auto" w:fill="F2F2F2"/>
          </w:tcPr>
          <w:p w14:paraId="58A1B392" w14:textId="77777777" w:rsidR="007372B6" w:rsidRDefault="00000000">
            <w:pPr>
              <w:widowControl w:val="0"/>
              <w:spacing w:before="120"/>
              <w:ind w:right="-867"/>
              <w:rPr>
                <w:rFonts w:ascii="Calibri" w:hAnsi="Calibri" w:cs="Calibri"/>
                <w:color w:val="000000"/>
                <w:sz w:val="18"/>
                <w:szCs w:val="18"/>
                <w:lang w:eastAsia="zh-CN"/>
              </w:rPr>
            </w:pPr>
            <w:r>
              <w:rPr>
                <w:rFonts w:ascii="Calibri" w:hAnsi="Calibri" w:cs="Calibri"/>
                <w:color w:val="000000"/>
                <w:sz w:val="18"/>
                <w:szCs w:val="18"/>
                <w:lang w:eastAsia="zh-CN"/>
              </w:rPr>
              <w:t>GEF financing</w:t>
            </w:r>
            <w:r>
              <w:rPr>
                <w:rStyle w:val="FootnoteAnchor"/>
                <w:rFonts w:ascii="Calibri" w:hAnsi="Calibri" w:cs="Calibri"/>
                <w:color w:val="000000"/>
                <w:sz w:val="18"/>
                <w:szCs w:val="18"/>
                <w:lang w:eastAsia="zh-CN"/>
              </w:rPr>
              <w:footnoteReference w:id="1"/>
            </w:r>
            <w:r>
              <w:rPr>
                <w:rFonts w:ascii="Calibri" w:hAnsi="Calibri" w:cs="Calibri"/>
                <w:color w:val="000000"/>
                <w:sz w:val="18"/>
                <w:szCs w:val="18"/>
                <w:lang w:eastAsia="zh-CN"/>
              </w:rPr>
              <w:t xml:space="preserve"> (Total)</w:t>
            </w:r>
          </w:p>
        </w:tc>
        <w:tc>
          <w:tcPr>
            <w:tcW w:w="3192" w:type="dxa"/>
            <w:shd w:val="clear" w:color="auto" w:fill="F2F2F2"/>
            <w:vAlign w:val="center"/>
          </w:tcPr>
          <w:p w14:paraId="4E72D2F6"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7,387,614</w:t>
            </w:r>
          </w:p>
        </w:tc>
        <w:tc>
          <w:tcPr>
            <w:tcW w:w="3629" w:type="dxa"/>
            <w:shd w:val="clear" w:color="auto" w:fill="F2F2F2"/>
          </w:tcPr>
          <w:p w14:paraId="261408ED" w14:textId="77777777" w:rsidR="007372B6" w:rsidRDefault="007372B6">
            <w:pPr>
              <w:widowControl w:val="0"/>
              <w:snapToGrid w:val="0"/>
              <w:spacing w:before="120"/>
              <w:jc w:val="right"/>
              <w:rPr>
                <w:rFonts w:ascii="Calibri" w:hAnsi="Calibri" w:cs="Calibri"/>
                <w:color w:val="000000"/>
                <w:sz w:val="18"/>
                <w:szCs w:val="18"/>
                <w:lang w:eastAsia="zh-CN"/>
              </w:rPr>
            </w:pPr>
          </w:p>
        </w:tc>
      </w:tr>
      <w:tr w:rsidR="007372B6" w14:paraId="36EEEA6F" w14:textId="77777777">
        <w:tc>
          <w:tcPr>
            <w:tcW w:w="2539" w:type="dxa"/>
            <w:shd w:val="clear" w:color="auto" w:fill="F2F2F2"/>
          </w:tcPr>
          <w:p w14:paraId="4E4D3B3A" w14:textId="77777777" w:rsidR="007372B6" w:rsidRDefault="00000000">
            <w:pPr>
              <w:widowControl w:val="0"/>
              <w:spacing w:before="120"/>
              <w:ind w:right="-867"/>
              <w:rPr>
                <w:rFonts w:ascii="Calibri" w:hAnsi="Calibri" w:cs="Calibri"/>
                <w:color w:val="000000"/>
                <w:sz w:val="18"/>
                <w:szCs w:val="18"/>
                <w:lang w:eastAsia="zh-CN"/>
              </w:rPr>
            </w:pPr>
            <w:r>
              <w:rPr>
                <w:rFonts w:ascii="Calibri" w:hAnsi="Calibri" w:cs="Calibri"/>
                <w:color w:val="000000"/>
                <w:sz w:val="18"/>
                <w:szCs w:val="18"/>
                <w:lang w:eastAsia="zh-CN"/>
              </w:rPr>
              <w:t>UNDP (in-kind)</w:t>
            </w:r>
          </w:p>
        </w:tc>
        <w:tc>
          <w:tcPr>
            <w:tcW w:w="3192" w:type="dxa"/>
            <w:shd w:val="clear" w:color="auto" w:fill="F2F2F2"/>
            <w:vAlign w:val="center"/>
          </w:tcPr>
          <w:p w14:paraId="03E5EE86" w14:textId="77777777" w:rsidR="007372B6" w:rsidRDefault="00000000">
            <w:pPr>
              <w:widowControl w:val="0"/>
              <w:spacing w:before="120"/>
              <w:ind w:left="630"/>
              <w:jc w:val="right"/>
              <w:rPr>
                <w:rFonts w:ascii="Calibri" w:hAnsi="Calibri" w:cs="Calibri"/>
                <w:color w:val="000000"/>
                <w:sz w:val="18"/>
                <w:szCs w:val="18"/>
                <w:lang w:eastAsia="zh-CN"/>
              </w:rPr>
            </w:pPr>
            <w:r>
              <w:rPr>
                <w:rFonts w:ascii="Calibri" w:hAnsi="Calibri" w:cs="Calibri"/>
                <w:color w:val="000000"/>
                <w:sz w:val="18"/>
                <w:szCs w:val="18"/>
                <w:lang w:eastAsia="zh-CN"/>
              </w:rPr>
              <w:t>450,000</w:t>
            </w:r>
          </w:p>
        </w:tc>
        <w:tc>
          <w:tcPr>
            <w:tcW w:w="3629" w:type="dxa"/>
            <w:shd w:val="clear" w:color="auto" w:fill="F2F2F2"/>
          </w:tcPr>
          <w:p w14:paraId="26FC44FA" w14:textId="77777777" w:rsidR="007372B6" w:rsidRDefault="007372B6">
            <w:pPr>
              <w:widowControl w:val="0"/>
              <w:spacing w:before="120"/>
              <w:jc w:val="right"/>
              <w:rPr>
                <w:rFonts w:ascii="Calibri" w:hAnsi="Calibri" w:cs="Calibri"/>
                <w:color w:val="000000"/>
                <w:sz w:val="18"/>
                <w:szCs w:val="18"/>
                <w:lang w:eastAsia="zh-CN"/>
              </w:rPr>
            </w:pPr>
          </w:p>
        </w:tc>
      </w:tr>
      <w:tr w:rsidR="007372B6" w14:paraId="5610A8AC" w14:textId="77777777">
        <w:tc>
          <w:tcPr>
            <w:tcW w:w="2539" w:type="dxa"/>
            <w:shd w:val="clear" w:color="auto" w:fill="F2F2F2"/>
          </w:tcPr>
          <w:p w14:paraId="06A48656" w14:textId="77777777" w:rsidR="007372B6" w:rsidRDefault="00000000">
            <w:pPr>
              <w:widowControl w:val="0"/>
              <w:spacing w:before="120"/>
              <w:ind w:right="-867"/>
              <w:rPr>
                <w:rFonts w:ascii="Calibri" w:hAnsi="Calibri" w:cs="Calibri"/>
                <w:color w:val="000000"/>
                <w:sz w:val="18"/>
                <w:szCs w:val="18"/>
                <w:lang w:eastAsia="zh-CN"/>
              </w:rPr>
            </w:pPr>
            <w:proofErr w:type="spellStart"/>
            <w:r>
              <w:rPr>
                <w:rFonts w:ascii="Calibri" w:hAnsi="Calibri" w:cs="Calibri"/>
                <w:color w:val="000000"/>
                <w:sz w:val="18"/>
                <w:szCs w:val="18"/>
                <w:lang w:eastAsia="zh-CN"/>
              </w:rPr>
              <w:t>GoF</w:t>
            </w:r>
            <w:proofErr w:type="spellEnd"/>
            <w:r>
              <w:rPr>
                <w:rFonts w:ascii="Calibri" w:hAnsi="Calibri" w:cs="Calibri"/>
                <w:color w:val="000000"/>
                <w:sz w:val="18"/>
                <w:szCs w:val="18"/>
                <w:lang w:eastAsia="zh-CN"/>
              </w:rPr>
              <w:t xml:space="preserve"> – MOWE</w:t>
            </w:r>
          </w:p>
        </w:tc>
        <w:tc>
          <w:tcPr>
            <w:tcW w:w="3192" w:type="dxa"/>
            <w:shd w:val="clear" w:color="auto" w:fill="F2F2F2"/>
            <w:vAlign w:val="center"/>
          </w:tcPr>
          <w:p w14:paraId="70C234D5" w14:textId="77777777" w:rsidR="007372B6" w:rsidRDefault="00000000">
            <w:pPr>
              <w:widowControl w:val="0"/>
              <w:spacing w:before="120"/>
              <w:jc w:val="right"/>
            </w:pPr>
            <w:r>
              <w:rPr>
                <w:rFonts w:ascii="Calibri" w:hAnsi="Calibri" w:cs="Calibri"/>
                <w:color w:val="000000"/>
                <w:sz w:val="18"/>
                <w:szCs w:val="18"/>
                <w:lang w:eastAsia="zh-CN"/>
              </w:rPr>
              <w:t>26,713,803</w:t>
            </w:r>
          </w:p>
        </w:tc>
        <w:tc>
          <w:tcPr>
            <w:tcW w:w="3629" w:type="dxa"/>
            <w:shd w:val="clear" w:color="auto" w:fill="F2F2F2"/>
          </w:tcPr>
          <w:p w14:paraId="6571B3EE" w14:textId="77777777" w:rsidR="007372B6" w:rsidRDefault="007372B6">
            <w:pPr>
              <w:widowControl w:val="0"/>
              <w:spacing w:before="120"/>
              <w:jc w:val="right"/>
              <w:rPr>
                <w:rFonts w:ascii="Calibri" w:hAnsi="Calibri" w:cs="Calibri"/>
                <w:color w:val="000000"/>
                <w:sz w:val="18"/>
                <w:szCs w:val="18"/>
                <w:lang w:eastAsia="zh-CN"/>
              </w:rPr>
            </w:pPr>
          </w:p>
        </w:tc>
      </w:tr>
      <w:tr w:rsidR="007372B6" w14:paraId="7A4BCC34" w14:textId="77777777">
        <w:tc>
          <w:tcPr>
            <w:tcW w:w="2539" w:type="dxa"/>
            <w:shd w:val="clear" w:color="auto" w:fill="F2F2F2"/>
          </w:tcPr>
          <w:p w14:paraId="5823A7F3" w14:textId="77777777" w:rsidR="007372B6" w:rsidRDefault="00000000">
            <w:pPr>
              <w:widowControl w:val="0"/>
              <w:spacing w:before="120"/>
              <w:ind w:right="-867"/>
            </w:pPr>
            <w:r>
              <w:rPr>
                <w:rFonts w:ascii="Calibri" w:hAnsi="Calibri" w:cs="Calibri"/>
                <w:color w:val="000000"/>
                <w:sz w:val="18"/>
                <w:szCs w:val="18"/>
                <w:lang w:eastAsia="zh-CN"/>
              </w:rPr>
              <w:t>Private sector</w:t>
            </w:r>
          </w:p>
        </w:tc>
        <w:tc>
          <w:tcPr>
            <w:tcW w:w="3192" w:type="dxa"/>
            <w:shd w:val="clear" w:color="auto" w:fill="F2F2F2"/>
            <w:vAlign w:val="center"/>
          </w:tcPr>
          <w:p w14:paraId="6AEEEA78" w14:textId="77777777" w:rsidR="007372B6" w:rsidRDefault="00000000">
            <w:pPr>
              <w:widowControl w:val="0"/>
              <w:spacing w:before="120"/>
              <w:jc w:val="right"/>
            </w:pPr>
            <w:r>
              <w:rPr>
                <w:rFonts w:ascii="Calibri" w:hAnsi="Calibri" w:cs="Calibri"/>
                <w:color w:val="000000"/>
                <w:sz w:val="18"/>
                <w:szCs w:val="18"/>
                <w:lang w:eastAsia="zh-CN"/>
              </w:rPr>
              <w:t>1,210,000</w:t>
            </w:r>
          </w:p>
        </w:tc>
        <w:tc>
          <w:tcPr>
            <w:tcW w:w="3629" w:type="dxa"/>
            <w:shd w:val="clear" w:color="auto" w:fill="F2F2F2"/>
          </w:tcPr>
          <w:p w14:paraId="6AA5EB96" w14:textId="77777777" w:rsidR="007372B6" w:rsidRDefault="007372B6">
            <w:pPr>
              <w:widowControl w:val="0"/>
              <w:spacing w:before="120"/>
              <w:jc w:val="right"/>
              <w:rPr>
                <w:rFonts w:ascii="Calibri" w:hAnsi="Calibri" w:cs="Calibri"/>
                <w:color w:val="000000"/>
                <w:sz w:val="18"/>
                <w:szCs w:val="18"/>
                <w:lang w:eastAsia="zh-CN"/>
              </w:rPr>
            </w:pPr>
          </w:p>
        </w:tc>
      </w:tr>
      <w:tr w:rsidR="007372B6" w14:paraId="6F8D0C61" w14:textId="77777777">
        <w:tc>
          <w:tcPr>
            <w:tcW w:w="2539" w:type="dxa"/>
            <w:shd w:val="clear" w:color="auto" w:fill="F2F2F2"/>
          </w:tcPr>
          <w:p w14:paraId="48E5EA9D" w14:textId="77777777" w:rsidR="007372B6" w:rsidRDefault="00000000">
            <w:pPr>
              <w:widowControl w:val="0"/>
              <w:spacing w:before="120"/>
              <w:ind w:right="-867"/>
              <w:rPr>
                <w:rFonts w:ascii="Calibri" w:hAnsi="Calibri" w:cs="Calibri"/>
                <w:color w:val="000000"/>
                <w:sz w:val="18"/>
                <w:szCs w:val="18"/>
                <w:lang w:eastAsia="zh-CN"/>
              </w:rPr>
            </w:pPr>
            <w:r>
              <w:rPr>
                <w:rFonts w:ascii="Calibri" w:hAnsi="Calibri" w:cs="Calibri"/>
                <w:color w:val="000000"/>
                <w:sz w:val="18"/>
                <w:szCs w:val="18"/>
                <w:lang w:eastAsia="zh-CN"/>
              </w:rPr>
              <w:t>NGO Partners</w:t>
            </w:r>
          </w:p>
        </w:tc>
        <w:tc>
          <w:tcPr>
            <w:tcW w:w="3192" w:type="dxa"/>
            <w:shd w:val="clear" w:color="auto" w:fill="F2F2F2"/>
            <w:vAlign w:val="center"/>
          </w:tcPr>
          <w:p w14:paraId="37666F77"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1,868,209</w:t>
            </w:r>
          </w:p>
        </w:tc>
        <w:tc>
          <w:tcPr>
            <w:tcW w:w="3629" w:type="dxa"/>
            <w:shd w:val="clear" w:color="auto" w:fill="F2F2F2"/>
          </w:tcPr>
          <w:p w14:paraId="6FCEE751" w14:textId="77777777" w:rsidR="007372B6" w:rsidRDefault="007372B6">
            <w:pPr>
              <w:widowControl w:val="0"/>
              <w:spacing w:before="120"/>
              <w:jc w:val="right"/>
              <w:rPr>
                <w:rFonts w:ascii="Calibri" w:hAnsi="Calibri" w:cs="Calibri"/>
                <w:color w:val="000000"/>
                <w:sz w:val="18"/>
                <w:szCs w:val="18"/>
                <w:lang w:eastAsia="zh-CN"/>
              </w:rPr>
            </w:pPr>
          </w:p>
        </w:tc>
      </w:tr>
      <w:tr w:rsidR="007372B6" w14:paraId="5AB98429" w14:textId="77777777">
        <w:tc>
          <w:tcPr>
            <w:tcW w:w="2539" w:type="dxa"/>
            <w:shd w:val="clear" w:color="auto" w:fill="F2F2F2"/>
          </w:tcPr>
          <w:p w14:paraId="1120CC1E" w14:textId="77777777" w:rsidR="007372B6" w:rsidRDefault="00000000">
            <w:pPr>
              <w:widowControl w:val="0"/>
              <w:spacing w:before="120"/>
              <w:ind w:right="-867"/>
              <w:rPr>
                <w:rFonts w:ascii="Calibri" w:hAnsi="Calibri" w:cs="Calibri"/>
                <w:color w:val="000000"/>
                <w:sz w:val="18"/>
                <w:szCs w:val="18"/>
                <w:lang w:eastAsia="zh-CN"/>
              </w:rPr>
            </w:pPr>
            <w:r>
              <w:rPr>
                <w:rFonts w:ascii="Calibri" w:hAnsi="Calibri" w:cs="Calibri"/>
                <w:color w:val="000000"/>
                <w:sz w:val="18"/>
                <w:szCs w:val="18"/>
                <w:lang w:eastAsia="zh-CN"/>
              </w:rPr>
              <w:t>Total co-financing:</w:t>
            </w:r>
          </w:p>
        </w:tc>
        <w:tc>
          <w:tcPr>
            <w:tcW w:w="3192" w:type="dxa"/>
            <w:shd w:val="clear" w:color="auto" w:fill="F2F2F2"/>
            <w:vAlign w:val="center"/>
          </w:tcPr>
          <w:p w14:paraId="32435D83" w14:textId="77777777" w:rsidR="007372B6" w:rsidRDefault="00000000">
            <w:pPr>
              <w:widowControl w:val="0"/>
              <w:spacing w:before="120"/>
              <w:jc w:val="right"/>
            </w:pPr>
            <w:r>
              <w:rPr>
                <w:rFonts w:ascii="Calibri" w:hAnsi="Calibri" w:cs="Calibri"/>
                <w:color w:val="000000"/>
                <w:sz w:val="18"/>
                <w:szCs w:val="18"/>
                <w:lang w:eastAsia="zh-CN"/>
              </w:rPr>
              <w:t>30,242,012</w:t>
            </w:r>
          </w:p>
        </w:tc>
        <w:tc>
          <w:tcPr>
            <w:tcW w:w="3629" w:type="dxa"/>
            <w:shd w:val="clear" w:color="auto" w:fill="F2F2F2"/>
          </w:tcPr>
          <w:p w14:paraId="5D67306C"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Insufficient information to assess co-financing</w:t>
            </w:r>
          </w:p>
        </w:tc>
      </w:tr>
      <w:tr w:rsidR="007372B6" w14:paraId="1A534ED3" w14:textId="77777777">
        <w:tc>
          <w:tcPr>
            <w:tcW w:w="2539" w:type="dxa"/>
            <w:shd w:val="clear" w:color="auto" w:fill="F2F2F2"/>
          </w:tcPr>
          <w:p w14:paraId="1A100C70" w14:textId="77777777" w:rsidR="007372B6" w:rsidRDefault="00000000">
            <w:pPr>
              <w:widowControl w:val="0"/>
              <w:spacing w:before="120"/>
              <w:ind w:right="-867"/>
              <w:rPr>
                <w:rFonts w:ascii="Calibri" w:hAnsi="Calibri" w:cs="Calibri"/>
                <w:i/>
                <w:color w:val="000000"/>
                <w:sz w:val="18"/>
                <w:szCs w:val="18"/>
                <w:lang w:eastAsia="zh-CN"/>
              </w:rPr>
            </w:pPr>
            <w:r>
              <w:rPr>
                <w:rFonts w:ascii="Calibri" w:hAnsi="Calibri" w:cs="Calibri"/>
                <w:i/>
                <w:color w:val="000000"/>
                <w:sz w:val="18"/>
                <w:szCs w:val="18"/>
                <w:lang w:eastAsia="zh-CN"/>
              </w:rPr>
              <w:t>Total Project Cost</w:t>
            </w:r>
          </w:p>
        </w:tc>
        <w:tc>
          <w:tcPr>
            <w:tcW w:w="3192" w:type="dxa"/>
            <w:shd w:val="clear" w:color="auto" w:fill="F2F2F2"/>
            <w:vAlign w:val="center"/>
          </w:tcPr>
          <w:p w14:paraId="74B9DB9B" w14:textId="77777777" w:rsidR="007372B6" w:rsidRDefault="00000000">
            <w:pPr>
              <w:widowControl w:val="0"/>
              <w:spacing w:before="120"/>
              <w:jc w:val="right"/>
            </w:pPr>
            <w:r>
              <w:rPr>
                <w:rFonts w:ascii="Calibri" w:hAnsi="Calibri" w:cs="Calibri"/>
                <w:i/>
                <w:color w:val="000000"/>
                <w:sz w:val="18"/>
                <w:szCs w:val="18"/>
                <w:lang w:eastAsia="zh-CN"/>
              </w:rPr>
              <w:t>37,629,626</w:t>
            </w:r>
          </w:p>
        </w:tc>
        <w:tc>
          <w:tcPr>
            <w:tcW w:w="3629" w:type="dxa"/>
            <w:shd w:val="clear" w:color="auto" w:fill="F2F2F2"/>
          </w:tcPr>
          <w:p w14:paraId="192ACEFC" w14:textId="77777777" w:rsidR="007372B6" w:rsidRDefault="007372B6">
            <w:pPr>
              <w:widowControl w:val="0"/>
              <w:spacing w:before="120"/>
              <w:jc w:val="right"/>
              <w:rPr>
                <w:rFonts w:ascii="Calibri" w:hAnsi="Calibri" w:cs="Calibri"/>
                <w:color w:val="000000"/>
                <w:sz w:val="18"/>
                <w:szCs w:val="18"/>
                <w:lang w:eastAsia="zh-CN"/>
              </w:rPr>
            </w:pPr>
          </w:p>
        </w:tc>
      </w:tr>
      <w:tr w:rsidR="007372B6" w14:paraId="0113F196" w14:textId="77777777">
        <w:tc>
          <w:tcPr>
            <w:tcW w:w="2539" w:type="dxa"/>
          </w:tcPr>
          <w:p w14:paraId="0903ADC0" w14:textId="77777777" w:rsidR="007372B6" w:rsidRDefault="00000000">
            <w:pPr>
              <w:widowControl w:val="0"/>
              <w:spacing w:before="120"/>
              <w:rPr>
                <w:rFonts w:ascii="Calibri" w:hAnsi="Calibri" w:cs="Calibri"/>
                <w:color w:val="000000"/>
                <w:sz w:val="18"/>
                <w:szCs w:val="18"/>
                <w:lang w:eastAsia="zh-CN"/>
              </w:rPr>
            </w:pPr>
            <w:r>
              <w:rPr>
                <w:rFonts w:ascii="Calibri" w:hAnsi="Calibri" w:cs="Calibri"/>
                <w:color w:val="000000"/>
                <w:sz w:val="18"/>
                <w:szCs w:val="18"/>
                <w:lang w:eastAsia="zh-CN"/>
              </w:rPr>
              <w:t>Planned Project duration:</w:t>
            </w:r>
          </w:p>
        </w:tc>
        <w:tc>
          <w:tcPr>
            <w:tcW w:w="6821" w:type="dxa"/>
            <w:gridSpan w:val="2"/>
          </w:tcPr>
          <w:p w14:paraId="6D2D61F5"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 xml:space="preserve">48 </w:t>
            </w:r>
            <w:proofErr w:type="gramStart"/>
            <w:r>
              <w:rPr>
                <w:rFonts w:ascii="Calibri" w:hAnsi="Calibri" w:cs="Calibri"/>
                <w:color w:val="000000"/>
                <w:sz w:val="18"/>
                <w:szCs w:val="18"/>
                <w:lang w:eastAsia="zh-CN"/>
              </w:rPr>
              <w:t>months  (</w:t>
            </w:r>
            <w:proofErr w:type="gramEnd"/>
            <w:r>
              <w:rPr>
                <w:rFonts w:ascii="Calibri" w:hAnsi="Calibri" w:cs="Calibri"/>
                <w:color w:val="000000"/>
                <w:sz w:val="18"/>
                <w:szCs w:val="18"/>
                <w:lang w:eastAsia="zh-CN"/>
              </w:rPr>
              <w:t>4 years)</w:t>
            </w:r>
          </w:p>
        </w:tc>
      </w:tr>
      <w:tr w:rsidR="007372B6" w14:paraId="429A7D14" w14:textId="77777777">
        <w:tc>
          <w:tcPr>
            <w:tcW w:w="2539" w:type="dxa"/>
          </w:tcPr>
          <w:p w14:paraId="7527CB73"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Actual Project duration (Oct 2016-July 2022)</w:t>
            </w:r>
          </w:p>
        </w:tc>
        <w:tc>
          <w:tcPr>
            <w:tcW w:w="6821" w:type="dxa"/>
            <w:gridSpan w:val="2"/>
          </w:tcPr>
          <w:p w14:paraId="12B4F151"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69 months (two extensions granted)</w:t>
            </w:r>
          </w:p>
        </w:tc>
      </w:tr>
      <w:tr w:rsidR="007372B6" w14:paraId="40CBEB3E" w14:textId="77777777">
        <w:tc>
          <w:tcPr>
            <w:tcW w:w="2539" w:type="dxa"/>
          </w:tcPr>
          <w:p w14:paraId="3BBD3B23"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PIF Approval Date</w:t>
            </w:r>
          </w:p>
        </w:tc>
        <w:tc>
          <w:tcPr>
            <w:tcW w:w="6821" w:type="dxa"/>
            <w:gridSpan w:val="2"/>
          </w:tcPr>
          <w:p w14:paraId="65928381"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Jun 20, 2013</w:t>
            </w:r>
          </w:p>
        </w:tc>
      </w:tr>
      <w:tr w:rsidR="007372B6" w14:paraId="2451ADB4" w14:textId="77777777">
        <w:tc>
          <w:tcPr>
            <w:tcW w:w="2539" w:type="dxa"/>
          </w:tcPr>
          <w:p w14:paraId="6A0C7B45"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LPAC Meeting Date</w:t>
            </w:r>
          </w:p>
        </w:tc>
        <w:tc>
          <w:tcPr>
            <w:tcW w:w="6821" w:type="dxa"/>
            <w:gridSpan w:val="2"/>
          </w:tcPr>
          <w:p w14:paraId="7BE1E66C"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Oct 21, 2014</w:t>
            </w:r>
          </w:p>
        </w:tc>
      </w:tr>
      <w:tr w:rsidR="007372B6" w14:paraId="04C20E1A" w14:textId="77777777">
        <w:tc>
          <w:tcPr>
            <w:tcW w:w="2539" w:type="dxa"/>
          </w:tcPr>
          <w:p w14:paraId="6C819E97"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CEO Endorsement Date</w:t>
            </w:r>
          </w:p>
        </w:tc>
        <w:tc>
          <w:tcPr>
            <w:tcW w:w="6821" w:type="dxa"/>
            <w:gridSpan w:val="2"/>
          </w:tcPr>
          <w:p w14:paraId="43ADFCA5"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Mar 11, 2015</w:t>
            </w:r>
          </w:p>
        </w:tc>
      </w:tr>
      <w:tr w:rsidR="007372B6" w14:paraId="1E4A2AA8" w14:textId="77777777">
        <w:tc>
          <w:tcPr>
            <w:tcW w:w="2539" w:type="dxa"/>
          </w:tcPr>
          <w:p w14:paraId="23A3ABDA" w14:textId="77777777" w:rsidR="007372B6" w:rsidRDefault="00000000">
            <w:pPr>
              <w:widowControl w:val="0"/>
              <w:spacing w:before="120"/>
              <w:rPr>
                <w:rFonts w:ascii="Calibri" w:hAnsi="Calibri" w:cs="Calibri"/>
                <w:color w:val="000000"/>
                <w:sz w:val="18"/>
                <w:szCs w:val="18"/>
                <w:lang w:eastAsia="zh-CN"/>
              </w:rPr>
            </w:pPr>
            <w:r>
              <w:rPr>
                <w:rFonts w:ascii="Calibri" w:hAnsi="Calibri" w:cs="Calibri"/>
                <w:color w:val="000000"/>
                <w:sz w:val="18"/>
                <w:szCs w:val="18"/>
                <w:lang w:eastAsia="zh-CN"/>
              </w:rPr>
              <w:t>Planned Start (</w:t>
            </w:r>
            <w:proofErr w:type="spellStart"/>
            <w:r>
              <w:rPr>
                <w:rFonts w:ascii="Calibri" w:hAnsi="Calibri" w:cs="Calibri"/>
                <w:color w:val="000000"/>
                <w:sz w:val="18"/>
                <w:szCs w:val="18"/>
                <w:lang w:eastAsia="zh-CN"/>
              </w:rPr>
              <w:t>ProDoc</w:t>
            </w:r>
            <w:proofErr w:type="spellEnd"/>
            <w:r>
              <w:rPr>
                <w:rFonts w:ascii="Calibri" w:hAnsi="Calibri" w:cs="Calibri"/>
                <w:color w:val="000000"/>
                <w:sz w:val="18"/>
                <w:szCs w:val="18"/>
                <w:lang w:eastAsia="zh-CN"/>
              </w:rPr>
              <w:t xml:space="preserve"> Signature)</w:t>
            </w:r>
          </w:p>
        </w:tc>
        <w:tc>
          <w:tcPr>
            <w:tcW w:w="6821" w:type="dxa"/>
            <w:gridSpan w:val="2"/>
          </w:tcPr>
          <w:p w14:paraId="59048AB5"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March-April 2015</w:t>
            </w:r>
          </w:p>
        </w:tc>
      </w:tr>
      <w:tr w:rsidR="007372B6" w14:paraId="48617E53" w14:textId="77777777">
        <w:tc>
          <w:tcPr>
            <w:tcW w:w="2539" w:type="dxa"/>
          </w:tcPr>
          <w:p w14:paraId="1E532DE6"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Project Document Signature Date (project start)</w:t>
            </w:r>
          </w:p>
        </w:tc>
        <w:tc>
          <w:tcPr>
            <w:tcW w:w="6821" w:type="dxa"/>
            <w:gridSpan w:val="2"/>
          </w:tcPr>
          <w:p w14:paraId="7814933D"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Oct 4, 2016</w:t>
            </w:r>
          </w:p>
        </w:tc>
      </w:tr>
      <w:tr w:rsidR="007372B6" w14:paraId="5F048306" w14:textId="77777777">
        <w:tc>
          <w:tcPr>
            <w:tcW w:w="2539" w:type="dxa"/>
          </w:tcPr>
          <w:p w14:paraId="5F381708" w14:textId="77777777" w:rsidR="007372B6" w:rsidRDefault="00000000">
            <w:pPr>
              <w:widowControl w:val="0"/>
              <w:spacing w:before="120"/>
              <w:rPr>
                <w:rFonts w:ascii="Calibri" w:hAnsi="Calibri" w:cs="Calibri"/>
                <w:color w:val="000000"/>
                <w:sz w:val="18"/>
                <w:szCs w:val="18"/>
                <w:lang w:eastAsia="zh-CN"/>
              </w:rPr>
            </w:pPr>
            <w:r>
              <w:rPr>
                <w:rFonts w:ascii="Calibri" w:hAnsi="Calibri" w:cs="Calibri"/>
                <w:color w:val="000000"/>
                <w:sz w:val="18"/>
                <w:szCs w:val="18"/>
                <w:lang w:eastAsia="zh-CN"/>
              </w:rPr>
              <w:t>Actual Start (Inception Workshop)</w:t>
            </w:r>
          </w:p>
        </w:tc>
        <w:tc>
          <w:tcPr>
            <w:tcW w:w="6821" w:type="dxa"/>
            <w:gridSpan w:val="2"/>
          </w:tcPr>
          <w:p w14:paraId="05D888CB"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February 2016</w:t>
            </w:r>
          </w:p>
        </w:tc>
      </w:tr>
      <w:tr w:rsidR="007372B6" w14:paraId="2231DC5C" w14:textId="77777777">
        <w:tc>
          <w:tcPr>
            <w:tcW w:w="2539" w:type="dxa"/>
          </w:tcPr>
          <w:p w14:paraId="4B236E9F"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Date of Inception Workshop</w:t>
            </w:r>
          </w:p>
        </w:tc>
        <w:tc>
          <w:tcPr>
            <w:tcW w:w="6821" w:type="dxa"/>
            <w:gridSpan w:val="2"/>
          </w:tcPr>
          <w:p w14:paraId="2957A3C1"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Apr 7, 2017</w:t>
            </w:r>
          </w:p>
        </w:tc>
      </w:tr>
      <w:tr w:rsidR="007372B6" w14:paraId="6135844F" w14:textId="77777777">
        <w:tc>
          <w:tcPr>
            <w:tcW w:w="2539" w:type="dxa"/>
          </w:tcPr>
          <w:p w14:paraId="6DDF8691"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First Disbursement Date</w:t>
            </w:r>
          </w:p>
        </w:tc>
        <w:tc>
          <w:tcPr>
            <w:tcW w:w="6821" w:type="dxa"/>
            <w:gridSpan w:val="2"/>
          </w:tcPr>
          <w:p w14:paraId="333A5E04"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Sep 9, 2016</w:t>
            </w:r>
          </w:p>
        </w:tc>
      </w:tr>
      <w:tr w:rsidR="007372B6" w14:paraId="5D55194A" w14:textId="77777777">
        <w:tc>
          <w:tcPr>
            <w:tcW w:w="2539" w:type="dxa"/>
          </w:tcPr>
          <w:p w14:paraId="5D21C821"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Expected Date of Mid-term Review (MTR)</w:t>
            </w:r>
          </w:p>
        </w:tc>
        <w:tc>
          <w:tcPr>
            <w:tcW w:w="6821" w:type="dxa"/>
            <w:gridSpan w:val="2"/>
          </w:tcPr>
          <w:p w14:paraId="7407765F"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Aug 13, 2019</w:t>
            </w:r>
          </w:p>
        </w:tc>
      </w:tr>
      <w:tr w:rsidR="007372B6" w14:paraId="7FE0C551" w14:textId="77777777">
        <w:tc>
          <w:tcPr>
            <w:tcW w:w="2539" w:type="dxa"/>
          </w:tcPr>
          <w:p w14:paraId="24B8129D" w14:textId="77777777" w:rsidR="007372B6" w:rsidRDefault="00000000">
            <w:pPr>
              <w:widowControl w:val="0"/>
              <w:spacing w:before="120"/>
              <w:rPr>
                <w:rFonts w:ascii="Calibri" w:hAnsi="Calibri" w:cs="Calibri"/>
                <w:color w:val="000000"/>
                <w:sz w:val="18"/>
                <w:szCs w:val="18"/>
                <w:lang w:eastAsia="zh-CN"/>
              </w:rPr>
            </w:pPr>
            <w:r>
              <w:rPr>
                <w:rFonts w:ascii="Calibri" w:hAnsi="Calibri" w:cs="Calibri"/>
                <w:color w:val="000000"/>
                <w:sz w:val="18"/>
                <w:szCs w:val="18"/>
                <w:lang w:eastAsia="zh-CN"/>
              </w:rPr>
              <w:t>Actual Date of MTR</w:t>
            </w:r>
          </w:p>
        </w:tc>
        <w:tc>
          <w:tcPr>
            <w:tcW w:w="6821" w:type="dxa"/>
            <w:gridSpan w:val="2"/>
          </w:tcPr>
          <w:p w14:paraId="44AEC5A3"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Oct-Dec 2019</w:t>
            </w:r>
          </w:p>
        </w:tc>
      </w:tr>
      <w:tr w:rsidR="007372B6" w14:paraId="01601143" w14:textId="77777777">
        <w:tc>
          <w:tcPr>
            <w:tcW w:w="2539" w:type="dxa"/>
          </w:tcPr>
          <w:p w14:paraId="6CFEC316"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lastRenderedPageBreak/>
              <w:t>Expected Date of Terminal Evaluation (TE)</w:t>
            </w:r>
          </w:p>
        </w:tc>
        <w:tc>
          <w:tcPr>
            <w:tcW w:w="6821" w:type="dxa"/>
            <w:gridSpan w:val="2"/>
          </w:tcPr>
          <w:p w14:paraId="048F1D34"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Apr 4, 2022</w:t>
            </w:r>
          </w:p>
        </w:tc>
      </w:tr>
      <w:tr w:rsidR="007372B6" w14:paraId="10A236AB" w14:textId="77777777">
        <w:tc>
          <w:tcPr>
            <w:tcW w:w="2539" w:type="dxa"/>
          </w:tcPr>
          <w:p w14:paraId="5D82E1BF" w14:textId="77777777" w:rsidR="007372B6" w:rsidRDefault="00000000">
            <w:pPr>
              <w:widowControl w:val="0"/>
              <w:spacing w:before="120"/>
              <w:rPr>
                <w:rFonts w:ascii="Calibri" w:hAnsi="Calibri" w:cs="Calibri"/>
                <w:color w:val="000000"/>
                <w:sz w:val="18"/>
                <w:szCs w:val="18"/>
                <w:lang w:eastAsia="zh-CN"/>
              </w:rPr>
            </w:pPr>
            <w:r>
              <w:rPr>
                <w:rFonts w:ascii="Calibri" w:hAnsi="Calibri" w:cs="Calibri"/>
                <w:color w:val="000000"/>
                <w:sz w:val="18"/>
                <w:szCs w:val="18"/>
                <w:lang w:eastAsia="zh-CN"/>
              </w:rPr>
              <w:t>Actual Date of TE</w:t>
            </w:r>
          </w:p>
        </w:tc>
        <w:tc>
          <w:tcPr>
            <w:tcW w:w="6821" w:type="dxa"/>
            <w:gridSpan w:val="2"/>
          </w:tcPr>
          <w:p w14:paraId="011B5540"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Nov-Dec 2022</w:t>
            </w:r>
          </w:p>
        </w:tc>
      </w:tr>
      <w:tr w:rsidR="007372B6" w14:paraId="010E6007" w14:textId="77777777">
        <w:tc>
          <w:tcPr>
            <w:tcW w:w="2539" w:type="dxa"/>
          </w:tcPr>
          <w:p w14:paraId="3A17FD5D" w14:textId="77777777" w:rsidR="007372B6" w:rsidRDefault="00000000">
            <w:pPr>
              <w:widowControl w:val="0"/>
              <w:spacing w:before="120"/>
              <w:rPr>
                <w:rFonts w:ascii="Calibri" w:hAnsi="Calibri" w:cs="Calibri"/>
                <w:color w:val="000000"/>
                <w:sz w:val="18"/>
                <w:szCs w:val="18"/>
                <w:lang w:eastAsia="zh-CN"/>
              </w:rPr>
            </w:pPr>
            <w:r>
              <w:rPr>
                <w:rFonts w:ascii="Calibri" w:hAnsi="Calibri" w:cs="Calibri"/>
                <w:color w:val="000000"/>
                <w:sz w:val="18"/>
                <w:szCs w:val="18"/>
                <w:lang w:eastAsia="zh-CN"/>
              </w:rPr>
              <w:t>Original planned Operational Closing Date:</w:t>
            </w:r>
          </w:p>
        </w:tc>
        <w:tc>
          <w:tcPr>
            <w:tcW w:w="6821" w:type="dxa"/>
            <w:gridSpan w:val="2"/>
          </w:tcPr>
          <w:p w14:paraId="455FA374"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Oct 4, 2020</w:t>
            </w:r>
          </w:p>
        </w:tc>
      </w:tr>
      <w:tr w:rsidR="007372B6" w14:paraId="6BBF5AB4" w14:textId="77777777">
        <w:tc>
          <w:tcPr>
            <w:tcW w:w="2539" w:type="dxa"/>
          </w:tcPr>
          <w:p w14:paraId="1F869994" w14:textId="77777777" w:rsidR="007372B6" w:rsidRDefault="00000000">
            <w:pPr>
              <w:widowControl w:val="0"/>
              <w:spacing w:before="120"/>
              <w:rPr>
                <w:rFonts w:ascii="Calibri" w:hAnsi="Calibri" w:cs="Calibri"/>
                <w:color w:val="000000"/>
                <w:sz w:val="18"/>
                <w:szCs w:val="18"/>
                <w:lang w:eastAsia="zh-CN"/>
              </w:rPr>
            </w:pPr>
            <w:r>
              <w:rPr>
                <w:rFonts w:ascii="Calibri" w:hAnsi="Calibri" w:cs="Calibri"/>
                <w:color w:val="000000"/>
                <w:sz w:val="18"/>
                <w:szCs w:val="18"/>
                <w:lang w:eastAsia="zh-CN"/>
              </w:rPr>
              <w:t>No Cost Extension(s)</w:t>
            </w:r>
          </w:p>
        </w:tc>
        <w:tc>
          <w:tcPr>
            <w:tcW w:w="6821" w:type="dxa"/>
            <w:gridSpan w:val="2"/>
          </w:tcPr>
          <w:p w14:paraId="09BE7C9D" w14:textId="77777777" w:rsidR="007372B6" w:rsidRDefault="00000000">
            <w:pPr>
              <w:widowControl w:val="0"/>
              <w:spacing w:before="120"/>
              <w:jc w:val="right"/>
              <w:rPr>
                <w:rFonts w:ascii="Calibri" w:hAnsi="Calibri" w:cs="Calibri"/>
                <w:color w:val="000000"/>
                <w:sz w:val="18"/>
                <w:szCs w:val="18"/>
                <w:lang w:eastAsia="zh-CN"/>
              </w:rPr>
            </w:pPr>
            <w:r>
              <w:rPr>
                <w:rFonts w:ascii="Calibri" w:hAnsi="Calibri" w:cs="Calibri"/>
                <w:color w:val="000000"/>
                <w:sz w:val="18"/>
                <w:szCs w:val="18"/>
                <w:lang w:eastAsia="zh-CN"/>
              </w:rPr>
              <w:t>First: 30 June 2020.  Second Extension: 28 February 2021</w:t>
            </w:r>
          </w:p>
        </w:tc>
      </w:tr>
      <w:tr w:rsidR="007372B6" w14:paraId="5AD0D2BD" w14:textId="77777777">
        <w:tc>
          <w:tcPr>
            <w:tcW w:w="2539" w:type="dxa"/>
          </w:tcPr>
          <w:p w14:paraId="27078E69" w14:textId="77777777" w:rsidR="007372B6" w:rsidRDefault="00000000">
            <w:pPr>
              <w:widowControl w:val="0"/>
              <w:spacing w:before="113"/>
              <w:rPr>
                <w:rFonts w:ascii="Calibri" w:hAnsi="Calibri" w:cs="Calibri"/>
                <w:color w:val="000000"/>
                <w:sz w:val="18"/>
                <w:szCs w:val="18"/>
                <w:lang w:eastAsia="zh-CN"/>
              </w:rPr>
            </w:pPr>
            <w:r>
              <w:rPr>
                <w:rFonts w:ascii="Calibri" w:hAnsi="Calibri" w:cs="Calibri"/>
                <w:color w:val="000000"/>
                <w:sz w:val="18"/>
                <w:szCs w:val="18"/>
                <w:lang w:eastAsia="zh-CN"/>
              </w:rPr>
              <w:t>Revised Planned Closing Date</w:t>
            </w:r>
          </w:p>
        </w:tc>
        <w:tc>
          <w:tcPr>
            <w:tcW w:w="6821" w:type="dxa"/>
            <w:gridSpan w:val="2"/>
          </w:tcPr>
          <w:p w14:paraId="67EF1A4C" w14:textId="77777777" w:rsidR="007372B6" w:rsidRDefault="00000000">
            <w:pPr>
              <w:widowControl w:val="0"/>
              <w:spacing w:before="113"/>
              <w:jc w:val="right"/>
              <w:rPr>
                <w:rFonts w:ascii="Calibri" w:hAnsi="Calibri" w:cs="Calibri"/>
                <w:color w:val="000000"/>
                <w:sz w:val="18"/>
                <w:szCs w:val="18"/>
                <w:lang w:eastAsia="zh-CN"/>
              </w:rPr>
            </w:pPr>
            <w:r>
              <w:rPr>
                <w:rFonts w:ascii="Calibri" w:hAnsi="Calibri" w:cs="Calibri"/>
                <w:color w:val="000000"/>
                <w:sz w:val="18"/>
                <w:szCs w:val="18"/>
                <w:lang w:eastAsia="zh-CN"/>
              </w:rPr>
              <w:t>Jul 4, 2022</w:t>
            </w:r>
          </w:p>
        </w:tc>
      </w:tr>
    </w:tbl>
    <w:p w14:paraId="1831838A" w14:textId="77777777" w:rsidR="007372B6" w:rsidRDefault="00000000">
      <w:pPr>
        <w:spacing w:before="57"/>
        <w:ind w:right="183"/>
        <w:jc w:val="both"/>
        <w:outlineLvl w:val="1"/>
        <w:rPr>
          <w:rFonts w:ascii="Calibri" w:hAnsi="Calibri" w:cs="Calibri"/>
          <w:b/>
          <w:bCs/>
          <w:i/>
          <w:iCs/>
          <w:color w:val="000000"/>
          <w:sz w:val="18"/>
          <w:szCs w:val="18"/>
          <w:lang w:eastAsia="zh-CN"/>
        </w:rPr>
      </w:pPr>
      <w:r>
        <w:rPr>
          <w:rFonts w:ascii="Calibri" w:hAnsi="Calibri" w:cs="Calibri"/>
          <w:b/>
          <w:bCs/>
          <w:i/>
          <w:iCs/>
          <w:color w:val="000000"/>
          <w:sz w:val="18"/>
          <w:szCs w:val="18"/>
          <w:lang w:eastAsia="zh-CN"/>
        </w:rPr>
        <w:t>Source: Key Project Dates (updated from 2022 PIR)</w:t>
      </w:r>
    </w:p>
    <w:p w14:paraId="3E9007AB" w14:textId="77777777" w:rsidR="007372B6" w:rsidRDefault="007372B6">
      <w:pPr>
        <w:rPr>
          <w:rFonts w:ascii="Open Sans" w:eastAsia="Open Sans" w:hAnsi="Open Sans" w:cs="Open Sans"/>
          <w:b/>
          <w:color w:val="000000"/>
          <w:sz w:val="22"/>
          <w:szCs w:val="22"/>
        </w:rPr>
      </w:pPr>
    </w:p>
    <w:p w14:paraId="3683105A" w14:textId="77777777" w:rsidR="007372B6" w:rsidRDefault="007372B6">
      <w:pPr>
        <w:rPr>
          <w:rFonts w:ascii="Open Sans" w:eastAsia="Open Sans" w:hAnsi="Open Sans" w:cs="Open Sans"/>
          <w:b/>
          <w:color w:val="000000"/>
          <w:sz w:val="22"/>
          <w:szCs w:val="22"/>
        </w:rPr>
      </w:pPr>
    </w:p>
    <w:p w14:paraId="5D170F61" w14:textId="77777777" w:rsidR="007372B6" w:rsidRDefault="00000000">
      <w:pPr>
        <w:pStyle w:val="ListParagraph"/>
        <w:spacing w:line="288" w:lineRule="auto"/>
        <w:ind w:left="0"/>
        <w:jc w:val="both"/>
        <w:rPr>
          <w:b/>
          <w:bCs/>
          <w:sz w:val="22"/>
          <w:szCs w:val="22"/>
        </w:rPr>
      </w:pPr>
      <w:r>
        <w:rPr>
          <w:rFonts w:ascii="Calibri" w:hAnsi="Calibri" w:cs="Calibri"/>
          <w:b/>
          <w:bCs/>
          <w:i/>
          <w:iCs/>
          <w:color w:val="000000"/>
          <w:sz w:val="22"/>
          <w:szCs w:val="22"/>
          <w:lang w:val="en-GB" w:eastAsia="zh-CN"/>
        </w:rPr>
        <w:t>Figure 1: Map showing Pilot Catchment Sites on Fiji's R2R Project</w:t>
      </w:r>
    </w:p>
    <w:p w14:paraId="58B5EF67" w14:textId="77777777" w:rsidR="007372B6" w:rsidRDefault="00000000">
      <w:pPr>
        <w:spacing w:line="288" w:lineRule="auto"/>
        <w:jc w:val="both"/>
        <w:rPr>
          <w:rFonts w:ascii="Calibri" w:hAnsi="Calibri" w:cs="Calibri"/>
          <w:color w:val="000000"/>
          <w:sz w:val="22"/>
          <w:szCs w:val="22"/>
          <w:lang w:val="en-GB" w:eastAsia="zh-CN"/>
        </w:rPr>
        <w:sectPr w:rsidR="007372B6">
          <w:footerReference w:type="default" r:id="rId10"/>
          <w:pgSz w:w="12240" w:h="15840"/>
          <w:pgMar w:top="1435" w:right="1440" w:bottom="426" w:left="1440" w:header="0" w:footer="0" w:gutter="0"/>
          <w:pgNumType w:fmt="lowerLetter"/>
          <w:cols w:space="720"/>
          <w:formProt w:val="0"/>
          <w:docGrid w:linePitch="100"/>
        </w:sectPr>
      </w:pPr>
      <w:r>
        <w:rPr>
          <w:noProof/>
        </w:rPr>
        <w:drawing>
          <wp:anchor distT="0" distB="0" distL="0" distR="0" simplePos="0" relativeHeight="7" behindDoc="0" locked="0" layoutInCell="0" allowOverlap="1" wp14:anchorId="36007309" wp14:editId="4A49F7DC">
            <wp:simplePos x="0" y="0"/>
            <wp:positionH relativeFrom="column">
              <wp:align>center</wp:align>
            </wp:positionH>
            <wp:positionV relativeFrom="paragraph">
              <wp:posOffset>635</wp:posOffset>
            </wp:positionV>
            <wp:extent cx="4531995" cy="4965065"/>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1"/>
                    <a:stretch>
                      <a:fillRect/>
                    </a:stretch>
                  </pic:blipFill>
                  <pic:spPr bwMode="auto">
                    <a:xfrm>
                      <a:off x="0" y="0"/>
                      <a:ext cx="4531995" cy="4965065"/>
                    </a:xfrm>
                    <a:prstGeom prst="rect">
                      <a:avLst/>
                    </a:prstGeom>
                  </pic:spPr>
                </pic:pic>
              </a:graphicData>
            </a:graphic>
          </wp:anchor>
        </w:drawing>
      </w:r>
      <w:r>
        <w:rPr>
          <w:rFonts w:ascii="Helvetica" w:hAnsi="Helvetica" w:cs="Calibri"/>
          <w:color w:val="000000"/>
          <w:sz w:val="22"/>
          <w:szCs w:val="22"/>
          <w:lang w:val="en-GB" w:eastAsia="zh-CN"/>
        </w:rPr>
        <w:t xml:space="preserve"> </w:t>
      </w:r>
      <w:r>
        <w:br w:type="page"/>
      </w:r>
    </w:p>
    <w:p w14:paraId="56AE2339" w14:textId="77777777" w:rsidR="007372B6" w:rsidRDefault="00000000">
      <w:pPr>
        <w:pStyle w:val="BodyText"/>
        <w:spacing w:after="0" w:line="259" w:lineRule="auto"/>
        <w:contextualSpacing/>
        <w:jc w:val="center"/>
      </w:pPr>
      <w:r>
        <w:rPr>
          <w:rFonts w:ascii="Calibri" w:eastAsia="Calibri" w:hAnsi="Calibri" w:cs="Calibri"/>
          <w:b/>
          <w:bCs/>
          <w:iCs/>
          <w:color w:val="000000"/>
          <w:sz w:val="30"/>
          <w:szCs w:val="30"/>
          <w:lang w:val="en-CA" w:eastAsia="en-US"/>
        </w:rPr>
        <w:lastRenderedPageBreak/>
        <w:t xml:space="preserve">Table of Contents </w:t>
      </w:r>
    </w:p>
    <w:p w14:paraId="718A359E" w14:textId="77777777" w:rsidR="007372B6" w:rsidRDefault="00000000">
      <w:pPr>
        <w:pStyle w:val="BodyText"/>
        <w:spacing w:after="283" w:line="259" w:lineRule="auto"/>
        <w:ind w:left="360"/>
        <w:contextualSpacing/>
        <w:jc w:val="right"/>
        <w:rPr>
          <w:b/>
          <w:bCs/>
        </w:rPr>
      </w:pPr>
      <w:r>
        <w:rPr>
          <w:rFonts w:ascii="Calibri" w:eastAsiaTheme="minorHAnsi" w:hAnsi="Calibri" w:cs="Calibri"/>
          <w:b/>
          <w:bCs/>
          <w:iCs/>
          <w:color w:val="000000"/>
          <w:sz w:val="22"/>
          <w:szCs w:val="22"/>
          <w:u w:val="single"/>
          <w:lang w:val="en-CA"/>
        </w:rPr>
        <w:t>Page</w:t>
      </w:r>
    </w:p>
    <w:p w14:paraId="5E37EE86" w14:textId="77777777" w:rsidR="007372B6" w:rsidRDefault="00000000">
      <w:pPr>
        <w:pStyle w:val="BodyText"/>
        <w:spacing w:after="0" w:line="312" w:lineRule="auto"/>
        <w:contextualSpacing/>
        <w:rPr>
          <w:rFonts w:asciiTheme="minorHAnsi" w:eastAsiaTheme="minorHAnsi" w:hAnsiTheme="minorHAnsi" w:cs="Calibri"/>
          <w:iCs/>
          <w:color w:val="000000"/>
          <w:sz w:val="22"/>
          <w:szCs w:val="22"/>
          <w:lang w:val="en-CA"/>
        </w:rPr>
      </w:pPr>
      <w:r>
        <w:rPr>
          <w:rFonts w:ascii="Calibri" w:eastAsiaTheme="minorHAnsi" w:hAnsi="Calibri" w:cs="Calibri"/>
          <w:b/>
          <w:bCs/>
          <w:iCs/>
          <w:color w:val="000000"/>
          <w:sz w:val="22"/>
          <w:szCs w:val="22"/>
          <w:lang w:val="en-CA"/>
        </w:rPr>
        <w:t>List of Acronyms</w:t>
      </w:r>
      <w:r>
        <w:rPr>
          <w:rFonts w:ascii="Calibri" w:eastAsiaTheme="minorHAnsi" w:hAnsi="Calibri" w:cs="Calibri"/>
          <w:iCs/>
          <w:color w:val="000000"/>
          <w:sz w:val="22"/>
          <w:szCs w:val="22"/>
          <w:lang w:val="en-CA"/>
        </w:rPr>
        <w:t>..................................................................................................................................    iii</w:t>
      </w:r>
      <w:r>
        <w:rPr>
          <w:rFonts w:ascii="Calibri" w:eastAsiaTheme="minorHAnsi" w:hAnsi="Calibri" w:cs="Calibri"/>
          <w:b/>
          <w:bCs/>
          <w:iCs/>
          <w:color w:val="000000"/>
          <w:sz w:val="22"/>
          <w:szCs w:val="22"/>
          <w:lang w:val="en-CA"/>
        </w:rPr>
        <w:t xml:space="preserve"> </w:t>
      </w:r>
    </w:p>
    <w:p w14:paraId="22C67BE6" w14:textId="77777777" w:rsidR="007372B6" w:rsidRDefault="00000000">
      <w:pPr>
        <w:pStyle w:val="BodyText"/>
        <w:spacing w:after="0" w:line="312" w:lineRule="auto"/>
        <w:contextualSpacing/>
        <w:rPr>
          <w:rFonts w:asciiTheme="minorHAnsi" w:eastAsiaTheme="minorHAnsi" w:hAnsiTheme="minorHAnsi" w:cs="Calibri"/>
          <w:iCs/>
          <w:color w:val="000000"/>
          <w:sz w:val="22"/>
          <w:szCs w:val="22"/>
          <w:lang w:val="en-CA"/>
        </w:rPr>
      </w:pPr>
      <w:r>
        <w:rPr>
          <w:rFonts w:ascii="Calibri" w:eastAsiaTheme="minorHAnsi" w:hAnsi="Calibri" w:cs="Calibri"/>
          <w:b/>
          <w:bCs/>
          <w:iCs/>
          <w:color w:val="000000"/>
          <w:sz w:val="22"/>
          <w:szCs w:val="22"/>
          <w:lang w:val="en-CA"/>
        </w:rPr>
        <w:t>1.0</w:t>
      </w:r>
      <w:r>
        <w:rPr>
          <w:rFonts w:ascii="Calibri" w:eastAsiaTheme="minorHAnsi" w:hAnsi="Calibri" w:cs="Calibri"/>
          <w:b/>
          <w:bCs/>
          <w:iCs/>
          <w:color w:val="000000"/>
          <w:sz w:val="22"/>
          <w:szCs w:val="22"/>
          <w:lang w:val="en-CA"/>
        </w:rPr>
        <w:tab/>
        <w:t>Executive Summary</w:t>
      </w:r>
      <w:r>
        <w:rPr>
          <w:rFonts w:ascii="Calibri" w:eastAsiaTheme="minorHAnsi" w:hAnsi="Calibri" w:cs="Calibri"/>
          <w:iCs/>
          <w:color w:val="000000"/>
          <w:sz w:val="22"/>
          <w:szCs w:val="22"/>
          <w:lang w:val="en-CA"/>
        </w:rPr>
        <w:t>................................................................................................................    vi</w:t>
      </w:r>
    </w:p>
    <w:p w14:paraId="338BEBA4" w14:textId="77777777" w:rsidR="007372B6" w:rsidRDefault="007372B6">
      <w:pPr>
        <w:pStyle w:val="BodyText"/>
        <w:spacing w:after="0"/>
        <w:contextualSpacing/>
        <w:rPr>
          <w:rFonts w:ascii="Calibri" w:eastAsiaTheme="minorHAnsi" w:hAnsi="Calibri" w:cs="Calibri"/>
          <w:iCs/>
          <w:color w:val="000000"/>
          <w:sz w:val="22"/>
          <w:szCs w:val="22"/>
          <w:lang w:val="en-CA"/>
        </w:rPr>
      </w:pPr>
    </w:p>
    <w:p w14:paraId="19DBB830" w14:textId="77777777" w:rsidR="007372B6" w:rsidRDefault="00000000">
      <w:pPr>
        <w:pStyle w:val="BodyText"/>
        <w:spacing w:after="0" w:line="312" w:lineRule="auto"/>
        <w:contextualSpacing/>
        <w:jc w:val="both"/>
        <w:rPr>
          <w:rFonts w:asciiTheme="minorHAnsi" w:eastAsiaTheme="minorHAnsi" w:hAnsiTheme="minorHAnsi" w:cs="Calibri"/>
          <w:iCs/>
          <w:color w:val="000000"/>
          <w:sz w:val="22"/>
          <w:szCs w:val="22"/>
          <w:lang w:val="en-CA"/>
        </w:rPr>
      </w:pPr>
      <w:r>
        <w:rPr>
          <w:rFonts w:ascii="Calibri" w:eastAsiaTheme="minorHAnsi" w:hAnsi="Calibri" w:cs="Calibri"/>
          <w:b/>
          <w:bCs/>
          <w:iCs/>
          <w:color w:val="000000"/>
          <w:sz w:val="22"/>
          <w:szCs w:val="22"/>
          <w:lang w:val="en-CA"/>
        </w:rPr>
        <w:t>2.0</w:t>
      </w:r>
      <w:r>
        <w:rPr>
          <w:rFonts w:ascii="Calibri" w:eastAsiaTheme="minorHAnsi" w:hAnsi="Calibri" w:cs="Calibri"/>
          <w:b/>
          <w:bCs/>
          <w:iCs/>
          <w:color w:val="000000"/>
          <w:sz w:val="22"/>
          <w:szCs w:val="22"/>
          <w:lang w:val="en-CA"/>
        </w:rPr>
        <w:tab/>
        <w:t>Introduction</w:t>
      </w:r>
      <w:r>
        <w:rPr>
          <w:rFonts w:ascii="Calibri" w:eastAsiaTheme="minorHAnsi" w:hAnsi="Calibri" w:cs="Calibri"/>
          <w:iCs/>
          <w:color w:val="000000"/>
          <w:sz w:val="22"/>
          <w:szCs w:val="22"/>
          <w:lang w:val="en-CA"/>
        </w:rPr>
        <w:t>...........................................................................................................................    1</w:t>
      </w:r>
    </w:p>
    <w:p w14:paraId="1D35D977" w14:textId="77777777" w:rsidR="007372B6" w:rsidRDefault="00000000">
      <w:pPr>
        <w:pStyle w:val="BodyText"/>
        <w:spacing w:after="0" w:line="312" w:lineRule="auto"/>
        <w:contextualSpacing/>
        <w:jc w:val="both"/>
        <w:rPr>
          <w:rFonts w:asciiTheme="minorHAnsi" w:eastAsiaTheme="minorHAnsi" w:hAnsiTheme="minorHAnsi" w:cs="Calibri"/>
          <w:iCs/>
          <w:color w:val="000000"/>
          <w:sz w:val="22"/>
          <w:szCs w:val="22"/>
          <w:lang w:val="en-CA"/>
        </w:rPr>
      </w:pPr>
      <w:r>
        <w:rPr>
          <w:rFonts w:ascii="Calibri" w:eastAsiaTheme="minorHAnsi" w:hAnsi="Calibri" w:cs="Calibri"/>
          <w:b/>
          <w:bCs/>
          <w:iCs/>
          <w:color w:val="000000"/>
          <w:sz w:val="22"/>
          <w:szCs w:val="22"/>
          <w:lang w:val="en-CA"/>
        </w:rPr>
        <w:tab/>
        <w:t xml:space="preserve">2.1 </w:t>
      </w:r>
      <w:r>
        <w:rPr>
          <w:rFonts w:ascii="Calibri" w:eastAsiaTheme="minorHAnsi" w:hAnsi="Calibri" w:cs="Calibri"/>
          <w:b/>
          <w:bCs/>
          <w:iCs/>
          <w:color w:val="000000"/>
          <w:sz w:val="22"/>
          <w:szCs w:val="22"/>
          <w:lang w:val="en-CA"/>
        </w:rPr>
        <w:tab/>
        <w:t>Purpose and Objective Scope of the Evaluation</w:t>
      </w:r>
      <w:r>
        <w:rPr>
          <w:rFonts w:ascii="Calibri" w:eastAsiaTheme="minorHAnsi" w:hAnsi="Calibri" w:cs="Calibri"/>
          <w:iCs/>
          <w:color w:val="000000"/>
          <w:sz w:val="22"/>
          <w:szCs w:val="22"/>
          <w:lang w:val="en-CA"/>
        </w:rPr>
        <w:t>......................................................    1</w:t>
      </w:r>
    </w:p>
    <w:p w14:paraId="35E45D68" w14:textId="77777777" w:rsidR="007372B6" w:rsidRDefault="00000000">
      <w:pPr>
        <w:pStyle w:val="BodyText"/>
        <w:spacing w:after="0" w:line="312" w:lineRule="auto"/>
        <w:contextualSpacing/>
        <w:jc w:val="both"/>
        <w:rPr>
          <w:rFonts w:asciiTheme="minorHAnsi" w:eastAsiaTheme="minorHAnsi" w:hAnsiTheme="minorHAnsi" w:cs="Calibri"/>
          <w:iCs/>
          <w:color w:val="000000"/>
          <w:sz w:val="22"/>
          <w:szCs w:val="22"/>
          <w:lang w:val="en-CA"/>
        </w:rPr>
      </w:pPr>
      <w:r>
        <w:rPr>
          <w:rFonts w:ascii="Calibri" w:eastAsiaTheme="minorHAnsi" w:hAnsi="Calibri" w:cs="Calibri"/>
          <w:b/>
          <w:bCs/>
          <w:iCs/>
          <w:color w:val="000000"/>
          <w:sz w:val="22"/>
          <w:szCs w:val="22"/>
          <w:lang w:val="en-CA"/>
        </w:rPr>
        <w:tab/>
        <w:t>2.2</w:t>
      </w:r>
      <w:r>
        <w:rPr>
          <w:rFonts w:ascii="Calibri" w:eastAsiaTheme="minorHAnsi" w:hAnsi="Calibri" w:cs="Calibri"/>
          <w:b/>
          <w:bCs/>
          <w:iCs/>
          <w:color w:val="000000"/>
          <w:sz w:val="22"/>
          <w:szCs w:val="22"/>
          <w:lang w:val="en-CA"/>
        </w:rPr>
        <w:tab/>
        <w:t>Scope of the Evaluation</w:t>
      </w:r>
      <w:r>
        <w:rPr>
          <w:rFonts w:ascii="Calibri" w:eastAsiaTheme="minorHAnsi" w:hAnsi="Calibri" w:cs="Calibri"/>
          <w:iCs/>
          <w:color w:val="000000"/>
          <w:sz w:val="22"/>
          <w:szCs w:val="22"/>
          <w:lang w:val="en-CA"/>
        </w:rPr>
        <w:t>.............................................................................................   1</w:t>
      </w:r>
    </w:p>
    <w:p w14:paraId="14E03AF2" w14:textId="77777777" w:rsidR="007372B6" w:rsidRDefault="00000000">
      <w:pPr>
        <w:pStyle w:val="BodyText"/>
        <w:spacing w:after="0" w:line="312" w:lineRule="auto"/>
        <w:contextualSpacing/>
        <w:jc w:val="both"/>
        <w:rPr>
          <w:b/>
          <w:bCs/>
        </w:rPr>
      </w:pPr>
      <w:r>
        <w:rPr>
          <w:rFonts w:ascii="Calibri" w:eastAsiaTheme="minorHAnsi" w:hAnsi="Calibri" w:cs="Calibri"/>
          <w:b/>
          <w:bCs/>
          <w:iCs/>
          <w:color w:val="000000"/>
          <w:sz w:val="22"/>
          <w:szCs w:val="22"/>
          <w:lang w:val="en-CA"/>
        </w:rPr>
        <w:tab/>
        <w:t xml:space="preserve">2.3 </w:t>
      </w:r>
      <w:r>
        <w:rPr>
          <w:rFonts w:ascii="Calibri" w:eastAsiaTheme="minorHAnsi" w:hAnsi="Calibri" w:cs="Calibri"/>
          <w:b/>
          <w:bCs/>
          <w:iCs/>
          <w:color w:val="000000"/>
          <w:sz w:val="22"/>
          <w:szCs w:val="22"/>
          <w:lang w:val="en-CA"/>
        </w:rPr>
        <w:tab/>
        <w:t>Methodology</w:t>
      </w:r>
      <w:r>
        <w:rPr>
          <w:rFonts w:ascii="Calibri" w:eastAsiaTheme="minorHAnsi" w:hAnsi="Calibri" w:cs="Calibri"/>
          <w:iCs/>
          <w:color w:val="000000"/>
          <w:sz w:val="22"/>
          <w:szCs w:val="22"/>
          <w:lang w:val="en-CA"/>
        </w:rPr>
        <w:t>.............................................................................................................   2</w:t>
      </w:r>
    </w:p>
    <w:p w14:paraId="7942196C" w14:textId="77777777" w:rsidR="007372B6" w:rsidRDefault="00000000">
      <w:pPr>
        <w:pStyle w:val="BodyText"/>
        <w:tabs>
          <w:tab w:val="left" w:pos="884"/>
        </w:tabs>
        <w:spacing w:after="0" w:line="312" w:lineRule="auto"/>
        <w:contextualSpacing/>
        <w:jc w:val="both"/>
      </w:pPr>
      <w:r>
        <w:rPr>
          <w:rFonts w:ascii="Calibri" w:eastAsia="Calibri" w:hAnsi="Calibri" w:cs="MyriadPro-Bold"/>
          <w:color w:val="000000"/>
          <w:spacing w:val="-2"/>
          <w:sz w:val="22"/>
          <w:szCs w:val="22"/>
          <w:lang w:val="en-GB" w:eastAsia="en-US"/>
        </w:rPr>
        <w:tab/>
        <w:t xml:space="preserve">2.3.1 </w:t>
      </w:r>
      <w:r>
        <w:rPr>
          <w:rFonts w:ascii="Calibri" w:eastAsia="Calibri" w:hAnsi="Calibri" w:cs="MyriadPro-Bold"/>
          <w:color w:val="000000"/>
          <w:spacing w:val="-2"/>
          <w:sz w:val="22"/>
          <w:szCs w:val="22"/>
          <w:lang w:val="en-GB" w:eastAsia="en-US"/>
        </w:rPr>
        <w:tab/>
        <w:t xml:space="preserve">Evaluation Guidelines and </w:t>
      </w:r>
      <w:r>
        <w:rPr>
          <w:rFonts w:ascii="Calibri" w:eastAsia="Calibri" w:hAnsi="Calibri" w:cs="MyriadPro-Bold"/>
          <w:caps/>
          <w:color w:val="000000"/>
          <w:spacing w:val="-2"/>
          <w:sz w:val="22"/>
          <w:szCs w:val="22"/>
          <w:lang w:val="en-GB" w:eastAsia="en-US"/>
        </w:rPr>
        <w:t>e</w:t>
      </w:r>
      <w:r>
        <w:rPr>
          <w:rFonts w:ascii="Calibri" w:eastAsia="Calibri" w:hAnsi="Calibri" w:cs="MyriadPro-Bold"/>
          <w:color w:val="000000"/>
          <w:spacing w:val="-2"/>
          <w:sz w:val="22"/>
          <w:szCs w:val="22"/>
          <w:lang w:val="en-GB" w:eastAsia="en-US"/>
        </w:rPr>
        <w:t>thics</w:t>
      </w:r>
      <w:r>
        <w:rPr>
          <w:rFonts w:ascii="Calibri" w:eastAsiaTheme="minorHAnsi" w:hAnsi="Calibri" w:cs="Calibri"/>
          <w:iCs/>
          <w:color w:val="000000"/>
          <w:spacing w:val="-2"/>
          <w:sz w:val="22"/>
          <w:szCs w:val="22"/>
          <w:lang w:val="en-CA" w:eastAsia="en-US"/>
        </w:rPr>
        <w:t xml:space="preserve">...................................................................................   </w:t>
      </w:r>
      <w:r>
        <w:rPr>
          <w:rFonts w:ascii="Calibri" w:eastAsia="Calibri" w:hAnsi="Calibri" w:cs="MyriadPro-Bold"/>
          <w:color w:val="000000"/>
          <w:spacing w:val="-2"/>
          <w:sz w:val="22"/>
          <w:szCs w:val="22"/>
          <w:lang w:val="en-GB" w:eastAsia="en-US"/>
        </w:rPr>
        <w:t>2</w:t>
      </w:r>
    </w:p>
    <w:p w14:paraId="77D63752" w14:textId="77777777" w:rsidR="007372B6" w:rsidRDefault="00000000">
      <w:pPr>
        <w:pStyle w:val="ListParagraph"/>
        <w:tabs>
          <w:tab w:val="left" w:pos="-511"/>
        </w:tabs>
        <w:spacing w:line="312" w:lineRule="auto"/>
        <w:ind w:left="907"/>
        <w:jc w:val="both"/>
      </w:pPr>
      <w:r>
        <w:rPr>
          <w:rFonts w:ascii="Calibri" w:eastAsia="Calibri" w:hAnsi="Calibri" w:cs="MyriadPro-Bold"/>
          <w:color w:val="000000"/>
          <w:spacing w:val="-2"/>
          <w:sz w:val="22"/>
          <w:szCs w:val="22"/>
          <w:lang w:val="en-GB" w:eastAsia="en-US"/>
        </w:rPr>
        <w:t xml:space="preserve">2.3.2 </w:t>
      </w:r>
      <w:r>
        <w:rPr>
          <w:rFonts w:ascii="Calibri" w:eastAsia="Calibri" w:hAnsi="Calibri" w:cs="MyriadPro-Bold"/>
          <w:color w:val="000000"/>
          <w:spacing w:val="-2"/>
          <w:sz w:val="22"/>
          <w:szCs w:val="22"/>
          <w:lang w:val="en-GB" w:eastAsia="en-US"/>
        </w:rPr>
        <w:tab/>
        <w:t>Evaluation Methods</w:t>
      </w:r>
      <w:r>
        <w:rPr>
          <w:rFonts w:ascii="Calibri" w:eastAsiaTheme="minorHAnsi" w:hAnsi="Calibri" w:cs="Calibri"/>
          <w:iCs/>
          <w:color w:val="000000"/>
          <w:spacing w:val="-2"/>
          <w:sz w:val="22"/>
          <w:szCs w:val="22"/>
          <w:lang w:val="en-CA" w:eastAsia="en-US"/>
        </w:rPr>
        <w:t xml:space="preserve">.......................................................................................................   </w:t>
      </w:r>
      <w:r>
        <w:rPr>
          <w:rFonts w:ascii="Calibri" w:eastAsia="Calibri" w:hAnsi="Calibri" w:cs="MyriadPro-Bold"/>
          <w:color w:val="000000"/>
          <w:spacing w:val="-2"/>
          <w:sz w:val="22"/>
          <w:szCs w:val="22"/>
          <w:lang w:val="en-GB" w:eastAsia="en-US"/>
        </w:rPr>
        <w:t>3</w:t>
      </w:r>
    </w:p>
    <w:p w14:paraId="701544FD" w14:textId="77777777" w:rsidR="007372B6" w:rsidRDefault="00000000">
      <w:pPr>
        <w:pStyle w:val="Heading2"/>
        <w:tabs>
          <w:tab w:val="left" w:pos="-511"/>
        </w:tabs>
        <w:spacing w:before="0" w:line="312" w:lineRule="auto"/>
        <w:ind w:left="907"/>
        <w:contextualSpacing/>
        <w:jc w:val="both"/>
      </w:pPr>
      <w:r>
        <w:rPr>
          <w:rFonts w:eastAsia="Calibri" w:cs="MyriadPro-Bold"/>
          <w:b w:val="0"/>
          <w:bCs w:val="0"/>
          <w:color w:val="000000"/>
          <w:spacing w:val="-2"/>
          <w:lang w:val="en-GB" w:eastAsia="en-US"/>
        </w:rPr>
        <w:t>2.3.3</w:t>
      </w:r>
      <w:r>
        <w:rPr>
          <w:rFonts w:eastAsia="Calibri" w:cs="MyriadPro-Bold"/>
          <w:b w:val="0"/>
          <w:bCs w:val="0"/>
          <w:color w:val="000000"/>
          <w:spacing w:val="-2"/>
          <w:lang w:val="en-GB" w:eastAsia="en-US"/>
        </w:rPr>
        <w:tab/>
        <w:t>Data Collection, Analysis &amp; Triangulation</w:t>
      </w:r>
      <w:r>
        <w:rPr>
          <w:rFonts w:eastAsiaTheme="minorHAnsi" w:cs="Calibri"/>
          <w:b w:val="0"/>
          <w:bCs w:val="0"/>
          <w:iCs/>
          <w:color w:val="000000"/>
          <w:spacing w:val="-2"/>
          <w:lang w:val="en-CA" w:eastAsia="en-US"/>
        </w:rPr>
        <w:t xml:space="preserve">.......................................................................  </w:t>
      </w:r>
      <w:r>
        <w:rPr>
          <w:rFonts w:eastAsia="Calibri" w:cs="MyriadPro-Bold"/>
          <w:b w:val="0"/>
          <w:bCs w:val="0"/>
          <w:color w:val="000000"/>
          <w:spacing w:val="-2"/>
          <w:lang w:val="en-GB" w:eastAsia="en-US"/>
        </w:rPr>
        <w:t>4</w:t>
      </w:r>
    </w:p>
    <w:p w14:paraId="7B049604" w14:textId="77777777" w:rsidR="007372B6" w:rsidRDefault="00000000">
      <w:pPr>
        <w:pStyle w:val="BodyText"/>
        <w:spacing w:after="0" w:line="312" w:lineRule="auto"/>
        <w:contextualSpacing/>
        <w:jc w:val="both"/>
        <w:rPr>
          <w:b/>
          <w:bCs/>
        </w:rPr>
      </w:pPr>
      <w:r>
        <w:rPr>
          <w:rFonts w:ascii="Calibri" w:eastAsiaTheme="minorHAnsi" w:hAnsi="Calibri" w:cs="Calibri"/>
          <w:b/>
          <w:bCs/>
          <w:iCs/>
          <w:color w:val="000000"/>
          <w:sz w:val="22"/>
          <w:szCs w:val="22"/>
          <w:lang w:val="en-CA"/>
        </w:rPr>
        <w:tab/>
        <w:t xml:space="preserve">2.4 </w:t>
      </w:r>
      <w:r>
        <w:rPr>
          <w:rFonts w:ascii="Calibri" w:eastAsiaTheme="minorHAnsi" w:hAnsi="Calibri" w:cs="Calibri"/>
          <w:b/>
          <w:bCs/>
          <w:iCs/>
          <w:color w:val="000000"/>
          <w:sz w:val="22"/>
          <w:szCs w:val="22"/>
          <w:lang w:val="en-CA"/>
        </w:rPr>
        <w:tab/>
        <w:t>Limitations to the evaluation</w:t>
      </w:r>
      <w:r>
        <w:rPr>
          <w:rFonts w:ascii="Calibri" w:eastAsiaTheme="minorHAnsi" w:hAnsi="Calibri" w:cs="Calibri"/>
          <w:iCs/>
          <w:color w:val="000000"/>
          <w:sz w:val="22"/>
          <w:szCs w:val="22"/>
          <w:lang w:val="en-CA"/>
        </w:rPr>
        <w:t>....................................................................................   6</w:t>
      </w:r>
    </w:p>
    <w:p w14:paraId="79FC1E3F" w14:textId="77777777" w:rsidR="007372B6" w:rsidRDefault="00000000">
      <w:pPr>
        <w:pStyle w:val="BodyText"/>
        <w:spacing w:after="0" w:line="312" w:lineRule="auto"/>
        <w:contextualSpacing/>
        <w:jc w:val="both"/>
        <w:rPr>
          <w:rFonts w:asciiTheme="minorHAnsi" w:eastAsiaTheme="minorHAnsi" w:hAnsiTheme="minorHAnsi" w:cs="Calibri"/>
          <w:iCs/>
          <w:color w:val="000000"/>
          <w:sz w:val="22"/>
          <w:szCs w:val="22"/>
          <w:lang w:val="en-CA"/>
        </w:rPr>
      </w:pPr>
      <w:r>
        <w:rPr>
          <w:rFonts w:ascii="Calibri" w:eastAsiaTheme="minorHAnsi" w:hAnsi="Calibri" w:cs="Calibri"/>
          <w:b/>
          <w:bCs/>
          <w:iCs/>
          <w:color w:val="000000"/>
          <w:sz w:val="22"/>
          <w:szCs w:val="22"/>
          <w:lang w:val="en-CA"/>
        </w:rPr>
        <w:tab/>
        <w:t xml:space="preserve">2.5 </w:t>
      </w:r>
      <w:r>
        <w:rPr>
          <w:rFonts w:ascii="Calibri" w:eastAsiaTheme="minorHAnsi" w:hAnsi="Calibri" w:cs="Calibri"/>
          <w:b/>
          <w:bCs/>
          <w:iCs/>
          <w:color w:val="000000"/>
          <w:sz w:val="22"/>
          <w:szCs w:val="22"/>
          <w:lang w:val="en-CA"/>
        </w:rPr>
        <w:tab/>
        <w:t>Structure of the TE report.</w:t>
      </w:r>
      <w:r>
        <w:rPr>
          <w:rFonts w:ascii="Calibri" w:eastAsiaTheme="minorHAnsi" w:hAnsi="Calibri" w:cs="Calibri"/>
          <w:iCs/>
          <w:color w:val="000000"/>
          <w:sz w:val="22"/>
          <w:szCs w:val="22"/>
          <w:lang w:val="en-CA"/>
        </w:rPr>
        <w:t>........................................................................................   6</w:t>
      </w:r>
    </w:p>
    <w:p w14:paraId="58214E65" w14:textId="77777777" w:rsidR="007372B6" w:rsidRDefault="007372B6">
      <w:pPr>
        <w:pStyle w:val="BodyText"/>
        <w:spacing w:after="0"/>
        <w:contextualSpacing/>
        <w:rPr>
          <w:rFonts w:ascii="Calibri" w:eastAsiaTheme="minorHAnsi" w:hAnsi="Calibri" w:cs="Calibri"/>
          <w:iCs/>
          <w:color w:val="000000"/>
          <w:sz w:val="22"/>
          <w:szCs w:val="22"/>
          <w:lang w:val="en-CA"/>
        </w:rPr>
      </w:pPr>
    </w:p>
    <w:p w14:paraId="10C96E1B" w14:textId="77777777" w:rsidR="007372B6" w:rsidRDefault="00000000">
      <w:pPr>
        <w:pStyle w:val="BodyText"/>
        <w:spacing w:after="0" w:line="312" w:lineRule="auto"/>
        <w:contextualSpacing/>
        <w:jc w:val="both"/>
        <w:rPr>
          <w:rFonts w:ascii="Calibri" w:eastAsiaTheme="minorHAnsi" w:hAnsi="Calibri" w:cs="Calibri"/>
          <w:iCs/>
          <w:color w:val="000000"/>
          <w:sz w:val="22"/>
          <w:szCs w:val="22"/>
          <w:lang w:val="en-CA"/>
        </w:rPr>
      </w:pPr>
      <w:r>
        <w:rPr>
          <w:rFonts w:ascii="Calibri" w:eastAsiaTheme="minorHAnsi" w:hAnsi="Calibri" w:cs="Calibri"/>
          <w:b/>
          <w:bCs/>
          <w:iCs/>
          <w:color w:val="000000"/>
          <w:sz w:val="22"/>
          <w:szCs w:val="22"/>
          <w:lang w:val="en-CA"/>
        </w:rPr>
        <w:t>3.0</w:t>
      </w:r>
      <w:r>
        <w:rPr>
          <w:rFonts w:ascii="Calibri" w:eastAsiaTheme="minorHAnsi" w:hAnsi="Calibri" w:cs="Calibri"/>
          <w:b/>
          <w:bCs/>
          <w:iCs/>
          <w:color w:val="000000"/>
          <w:sz w:val="22"/>
          <w:szCs w:val="22"/>
          <w:lang w:val="en-CA"/>
        </w:rPr>
        <w:tab/>
        <w:t>Project Description</w:t>
      </w:r>
      <w:r>
        <w:rPr>
          <w:rFonts w:ascii="Calibri" w:eastAsiaTheme="minorHAnsi" w:hAnsi="Calibri" w:cs="Calibri"/>
          <w:iCs/>
          <w:color w:val="000000"/>
          <w:sz w:val="22"/>
          <w:szCs w:val="22"/>
          <w:lang w:val="en-CA"/>
        </w:rPr>
        <w:t>................................................................................................................    7</w:t>
      </w:r>
    </w:p>
    <w:p w14:paraId="1A91CD7D" w14:textId="77777777" w:rsidR="007372B6" w:rsidRDefault="00000000">
      <w:pPr>
        <w:pStyle w:val="BodyText"/>
        <w:spacing w:after="0" w:line="312" w:lineRule="auto"/>
        <w:contextualSpacing/>
        <w:jc w:val="both"/>
        <w:rPr>
          <w:sz w:val="22"/>
          <w:szCs w:val="22"/>
        </w:rPr>
      </w:pPr>
      <w:r>
        <w:rPr>
          <w:rFonts w:ascii="Calibri" w:eastAsia="Calibri Light" w:hAnsi="Calibri" w:cs="Calibri"/>
          <w:color w:val="000000"/>
          <w:sz w:val="22"/>
          <w:szCs w:val="22"/>
        </w:rPr>
        <w:tab/>
      </w:r>
      <w:r>
        <w:rPr>
          <w:rFonts w:ascii="Calibri" w:eastAsia="Calibri Light" w:hAnsi="Calibri" w:cs="Calibri"/>
          <w:b/>
          <w:bCs/>
          <w:color w:val="000000"/>
          <w:sz w:val="22"/>
          <w:szCs w:val="22"/>
        </w:rPr>
        <w:t>3.1 Project start and duration</w:t>
      </w:r>
      <w:r>
        <w:rPr>
          <w:rFonts w:ascii="Calibri" w:eastAsiaTheme="minorHAnsi" w:hAnsi="Calibri" w:cs="Calibri"/>
          <w:iCs/>
          <w:color w:val="000000"/>
          <w:spacing w:val="-2"/>
          <w:w w:val="105"/>
          <w:sz w:val="22"/>
          <w:szCs w:val="22"/>
          <w:lang w:val="en-CA"/>
        </w:rPr>
        <w:t>..............................................................................................    7</w:t>
      </w:r>
    </w:p>
    <w:p w14:paraId="6684F96B" w14:textId="77777777" w:rsidR="007372B6" w:rsidRDefault="00000000">
      <w:pPr>
        <w:spacing w:line="312" w:lineRule="auto"/>
        <w:contextualSpacing/>
        <w:jc w:val="both"/>
        <w:rPr>
          <w:sz w:val="22"/>
          <w:szCs w:val="22"/>
        </w:rPr>
      </w:pPr>
      <w:r>
        <w:rPr>
          <w:rFonts w:ascii="Calibri" w:eastAsia="Calibri Light" w:hAnsi="Calibri" w:cs="Calibri"/>
          <w:color w:val="000000"/>
          <w:sz w:val="22"/>
          <w:szCs w:val="22"/>
        </w:rPr>
        <w:tab/>
      </w:r>
      <w:r>
        <w:rPr>
          <w:rFonts w:ascii="Calibri" w:eastAsia="Calibri Light" w:hAnsi="Calibri" w:cs="Calibri"/>
          <w:b/>
          <w:bCs/>
          <w:color w:val="000000"/>
          <w:sz w:val="22"/>
          <w:szCs w:val="22"/>
        </w:rPr>
        <w:t>3.2</w:t>
      </w:r>
      <w:r>
        <w:rPr>
          <w:rFonts w:ascii="Calibri" w:eastAsia="Calibri Light" w:hAnsi="Calibri" w:cs="Calibri"/>
          <w:color w:val="000000"/>
          <w:sz w:val="22"/>
          <w:szCs w:val="22"/>
        </w:rPr>
        <w:t xml:space="preserve"> </w:t>
      </w:r>
      <w:r>
        <w:rPr>
          <w:rFonts w:ascii="Calibri" w:eastAsia="Calibri Light" w:hAnsi="Calibri" w:cs="Calibri"/>
          <w:b/>
          <w:bCs/>
          <w:color w:val="000000"/>
          <w:sz w:val="22"/>
          <w:szCs w:val="22"/>
        </w:rPr>
        <w:t>Immediate and development objectives of the project and e</w:t>
      </w:r>
      <w:r>
        <w:rPr>
          <w:rFonts w:ascii="Calibri" w:eastAsia="Calibri Light" w:hAnsi="Calibri" w:cs="Calibri"/>
          <w:b/>
          <w:bCs/>
          <w:color w:val="000000"/>
          <w:spacing w:val="-2"/>
          <w:w w:val="105"/>
          <w:sz w:val="22"/>
          <w:szCs w:val="22"/>
        </w:rPr>
        <w:t>xpected results</w:t>
      </w:r>
      <w:r>
        <w:rPr>
          <w:rFonts w:ascii="Calibri" w:eastAsiaTheme="minorHAnsi" w:hAnsi="Calibri" w:cs="Calibri"/>
          <w:iCs/>
          <w:color w:val="000000"/>
          <w:sz w:val="22"/>
          <w:szCs w:val="22"/>
          <w:lang w:val="en-CA"/>
        </w:rPr>
        <w:t>..............   7</w:t>
      </w:r>
    </w:p>
    <w:p w14:paraId="166162E1" w14:textId="557E448E" w:rsidR="007372B6" w:rsidRDefault="00000000" w:rsidP="000B40E8">
      <w:pPr>
        <w:tabs>
          <w:tab w:val="left" w:pos="568"/>
        </w:tabs>
        <w:spacing w:line="312" w:lineRule="auto"/>
        <w:ind w:right="4"/>
        <w:rPr>
          <w:rFonts w:asciiTheme="minorHAnsi" w:hAnsiTheme="minorHAnsi" w:cstheme="minorHAnsi"/>
          <w:color w:val="000000"/>
          <w:lang w:eastAsia="en-US"/>
        </w:rPr>
      </w:pPr>
      <w:r>
        <w:rPr>
          <w:rFonts w:ascii="Calibri" w:hAnsi="Calibri" w:cstheme="minorHAnsi"/>
          <w:b/>
          <w:bCs/>
          <w:color w:val="000000"/>
          <w:sz w:val="22"/>
          <w:szCs w:val="22"/>
          <w:lang w:eastAsia="en-US"/>
        </w:rPr>
        <w:tab/>
      </w:r>
      <w:r>
        <w:rPr>
          <w:rFonts w:ascii="Calibri" w:hAnsi="Calibri" w:cstheme="minorHAnsi"/>
          <w:b/>
          <w:bCs/>
          <w:color w:val="000000"/>
          <w:sz w:val="22"/>
          <w:szCs w:val="22"/>
          <w:lang w:eastAsia="en-US"/>
        </w:rPr>
        <w:tab/>
        <w:t>3.3 Development and Environmental Context</w:t>
      </w:r>
      <w:r>
        <w:rPr>
          <w:rFonts w:ascii="Calibri" w:eastAsiaTheme="minorHAnsi" w:hAnsi="Calibri" w:cstheme="minorHAnsi"/>
          <w:iCs/>
          <w:color w:val="000000"/>
          <w:spacing w:val="-2"/>
          <w:w w:val="105"/>
          <w:sz w:val="22"/>
          <w:szCs w:val="22"/>
          <w:lang w:val="en-CA" w:eastAsia="en-US"/>
        </w:rPr>
        <w:t>........................................</w:t>
      </w:r>
      <w:r w:rsidR="000B40E8">
        <w:rPr>
          <w:rFonts w:ascii="Calibri" w:eastAsiaTheme="minorHAnsi" w:hAnsi="Calibri" w:cstheme="minorHAnsi"/>
          <w:iCs/>
          <w:color w:val="000000"/>
          <w:spacing w:val="-2"/>
          <w:w w:val="105"/>
          <w:sz w:val="22"/>
          <w:szCs w:val="22"/>
          <w:lang w:val="en-CA" w:eastAsia="en-US"/>
        </w:rPr>
        <w:t>..</w:t>
      </w:r>
      <w:r>
        <w:rPr>
          <w:rFonts w:ascii="Calibri" w:eastAsiaTheme="minorHAnsi" w:hAnsi="Calibri" w:cstheme="minorHAnsi"/>
          <w:iCs/>
          <w:color w:val="000000"/>
          <w:spacing w:val="-2"/>
          <w:w w:val="105"/>
          <w:sz w:val="22"/>
          <w:szCs w:val="22"/>
          <w:lang w:val="en-CA" w:eastAsia="en-US"/>
        </w:rPr>
        <w:t>,..........................   8</w:t>
      </w:r>
      <w:r>
        <w:rPr>
          <w:rFonts w:ascii="Calibri" w:hAnsi="Calibri" w:cstheme="minorHAnsi"/>
          <w:i/>
          <w:iCs/>
          <w:color w:val="000000"/>
          <w:sz w:val="22"/>
          <w:szCs w:val="22"/>
          <w:lang w:eastAsia="en-US"/>
        </w:rPr>
        <w:t xml:space="preserve"> </w:t>
      </w:r>
    </w:p>
    <w:p w14:paraId="311AFF85" w14:textId="77777777" w:rsidR="007372B6" w:rsidRDefault="00000000">
      <w:pPr>
        <w:tabs>
          <w:tab w:val="left" w:pos="568"/>
        </w:tabs>
        <w:rPr>
          <w:rFonts w:asciiTheme="minorHAnsi" w:hAnsiTheme="minorHAnsi" w:cstheme="minorHAnsi"/>
          <w:color w:val="000000"/>
          <w:sz w:val="22"/>
          <w:szCs w:val="22"/>
          <w:lang w:eastAsia="en-US"/>
        </w:rPr>
      </w:pPr>
      <w:r>
        <w:rPr>
          <w:rFonts w:asciiTheme="minorHAnsi" w:hAnsiTheme="minorHAnsi" w:cstheme="minorHAnsi"/>
          <w:b/>
          <w:bCs/>
          <w:color w:val="000000"/>
          <w:sz w:val="22"/>
          <w:szCs w:val="22"/>
          <w:lang w:eastAsia="en-US"/>
        </w:rPr>
        <w:tab/>
      </w:r>
      <w:r>
        <w:rPr>
          <w:rFonts w:asciiTheme="minorHAnsi" w:hAnsiTheme="minorHAnsi" w:cstheme="minorHAnsi"/>
          <w:b/>
          <w:bCs/>
          <w:color w:val="000000"/>
          <w:sz w:val="22"/>
          <w:szCs w:val="22"/>
          <w:lang w:eastAsia="en-US"/>
        </w:rPr>
        <w:tab/>
        <w:t xml:space="preserve">3.4 </w:t>
      </w:r>
      <w:r>
        <w:rPr>
          <w:rFonts w:ascii="Calibri" w:eastAsia="Calibri Light" w:hAnsi="Calibri" w:cs="Calibri"/>
          <w:b/>
          <w:bCs/>
          <w:color w:val="000000"/>
          <w:sz w:val="22"/>
          <w:szCs w:val="22"/>
          <w:lang w:eastAsia="en-US"/>
        </w:rPr>
        <w:t>Problems that the project sought to address: threats and barriers targeted</w:t>
      </w:r>
      <w:r>
        <w:rPr>
          <w:rFonts w:ascii="Calibri" w:eastAsiaTheme="minorHAnsi" w:hAnsi="Calibri" w:cs="Calibri"/>
          <w:iCs/>
          <w:color w:val="000000"/>
          <w:sz w:val="22"/>
          <w:szCs w:val="22"/>
          <w:lang w:val="en-CA" w:eastAsia="en-US"/>
        </w:rPr>
        <w:t>.................   11</w:t>
      </w:r>
    </w:p>
    <w:p w14:paraId="73C96A7A" w14:textId="77777777" w:rsidR="007372B6" w:rsidRDefault="007372B6">
      <w:pPr>
        <w:tabs>
          <w:tab w:val="left" w:pos="568"/>
        </w:tabs>
        <w:rPr>
          <w:rFonts w:asciiTheme="minorHAnsi" w:hAnsiTheme="minorHAnsi" w:cstheme="minorHAnsi"/>
          <w:color w:val="000000"/>
          <w:sz w:val="22"/>
          <w:szCs w:val="22"/>
          <w:lang w:eastAsia="en-US"/>
        </w:rPr>
      </w:pPr>
    </w:p>
    <w:p w14:paraId="1106D05F" w14:textId="77777777" w:rsidR="007372B6" w:rsidRDefault="00000000">
      <w:pPr>
        <w:tabs>
          <w:tab w:val="left" w:pos="568"/>
        </w:tabs>
        <w:rPr>
          <w:rFonts w:asciiTheme="minorHAnsi" w:hAnsiTheme="minorHAnsi" w:cstheme="minorHAnsi"/>
          <w:color w:val="000000"/>
          <w:sz w:val="22"/>
          <w:szCs w:val="22"/>
          <w:lang w:eastAsia="en-US"/>
        </w:rPr>
      </w:pPr>
      <w:r>
        <w:rPr>
          <w:rFonts w:asciiTheme="minorHAnsi" w:hAnsiTheme="minorHAnsi" w:cstheme="minorHAnsi"/>
          <w:b/>
          <w:bCs/>
          <w:color w:val="000000"/>
          <w:sz w:val="22"/>
          <w:szCs w:val="22"/>
          <w:lang w:eastAsia="en-US"/>
        </w:rPr>
        <w:t>4.0</w:t>
      </w:r>
      <w:r>
        <w:rPr>
          <w:rFonts w:asciiTheme="minorHAnsi" w:hAnsiTheme="minorHAnsi" w:cstheme="minorHAnsi"/>
          <w:b/>
          <w:bCs/>
          <w:color w:val="000000"/>
          <w:sz w:val="22"/>
          <w:szCs w:val="22"/>
          <w:lang w:eastAsia="en-US"/>
        </w:rPr>
        <w:tab/>
        <w:t>Findings</w:t>
      </w:r>
      <w:r>
        <w:rPr>
          <w:rFonts w:ascii="Calibri" w:eastAsiaTheme="minorHAnsi" w:hAnsi="Calibri" w:cs="Calibri"/>
          <w:iCs/>
          <w:color w:val="000000"/>
          <w:sz w:val="22"/>
          <w:szCs w:val="22"/>
          <w:lang w:val="en-CA" w:eastAsia="en-US"/>
        </w:rPr>
        <w:t>.....................................................................................................................................    13</w:t>
      </w:r>
    </w:p>
    <w:p w14:paraId="4D747E57" w14:textId="77777777" w:rsidR="007372B6" w:rsidRDefault="00000000">
      <w:pPr>
        <w:tabs>
          <w:tab w:val="left" w:pos="568"/>
        </w:tabs>
        <w:spacing w:line="312" w:lineRule="auto"/>
        <w:contextualSpacing/>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b/>
          <w:bCs/>
          <w:color w:val="000000"/>
          <w:sz w:val="22"/>
          <w:szCs w:val="22"/>
          <w:lang w:eastAsia="en-US"/>
        </w:rPr>
        <w:t xml:space="preserve">4.1 </w:t>
      </w:r>
      <w:r>
        <w:rPr>
          <w:rFonts w:asciiTheme="minorHAnsi" w:hAnsiTheme="minorHAnsi" w:cstheme="minorHAnsi"/>
          <w:b/>
          <w:bCs/>
          <w:color w:val="000000"/>
          <w:sz w:val="22"/>
          <w:szCs w:val="22"/>
          <w:lang w:eastAsia="en-US"/>
        </w:rPr>
        <w:tab/>
        <w:t>Project Design/Formulation</w:t>
      </w:r>
      <w:r>
        <w:rPr>
          <w:rFonts w:ascii="Calibri" w:eastAsiaTheme="minorHAnsi" w:hAnsi="Calibri" w:cs="Calibri"/>
          <w:iCs/>
          <w:color w:val="000000"/>
          <w:sz w:val="22"/>
          <w:szCs w:val="22"/>
          <w:lang w:val="en-CA" w:eastAsia="en-US"/>
        </w:rPr>
        <w:t>......................................................................................   13</w:t>
      </w:r>
    </w:p>
    <w:p w14:paraId="091FA16E" w14:textId="77777777" w:rsidR="007372B6" w:rsidRDefault="00000000">
      <w:pPr>
        <w:tabs>
          <w:tab w:val="left" w:pos="556"/>
        </w:tabs>
        <w:spacing w:line="312" w:lineRule="auto"/>
        <w:contextualSpacing/>
      </w:pPr>
      <w:r>
        <w:rPr>
          <w:rFonts w:asciiTheme="minorHAnsi" w:eastAsia="Open Sans" w:hAnsiTheme="minorHAnsi" w:cstheme="minorHAnsi"/>
          <w:color w:val="000000"/>
          <w:sz w:val="22"/>
          <w:szCs w:val="22"/>
        </w:rPr>
        <w:tab/>
      </w:r>
      <w:r>
        <w:rPr>
          <w:rFonts w:asciiTheme="minorHAnsi" w:eastAsia="Open Sans" w:hAnsiTheme="minorHAnsi" w:cstheme="minorHAnsi"/>
          <w:color w:val="000000"/>
          <w:sz w:val="22"/>
          <w:szCs w:val="22"/>
        </w:rPr>
        <w:tab/>
      </w:r>
      <w:r>
        <w:rPr>
          <w:rFonts w:asciiTheme="minorHAnsi" w:eastAsia="Open Sans" w:hAnsiTheme="minorHAnsi" w:cstheme="minorHAnsi"/>
          <w:b/>
          <w:bCs/>
          <w:color w:val="000000"/>
          <w:sz w:val="22"/>
          <w:szCs w:val="22"/>
        </w:rPr>
        <w:t xml:space="preserve">4.2 </w:t>
      </w:r>
      <w:r>
        <w:rPr>
          <w:rFonts w:asciiTheme="minorHAnsi" w:eastAsia="Open Sans" w:hAnsiTheme="minorHAnsi" w:cstheme="minorHAnsi"/>
          <w:b/>
          <w:bCs/>
          <w:color w:val="000000"/>
          <w:sz w:val="22"/>
          <w:szCs w:val="22"/>
        </w:rPr>
        <w:tab/>
        <w:t>Project Implementation</w:t>
      </w:r>
      <w:r>
        <w:rPr>
          <w:rFonts w:ascii="Calibri" w:eastAsiaTheme="minorHAnsi" w:hAnsi="Calibri" w:cs="Calibri"/>
          <w:iCs/>
          <w:color w:val="000000"/>
          <w:sz w:val="22"/>
          <w:szCs w:val="22"/>
          <w:lang w:val="en-CA" w:eastAsia="en-US"/>
        </w:rPr>
        <w:t>.............................................................................................   24</w:t>
      </w:r>
    </w:p>
    <w:p w14:paraId="1D80B9ED" w14:textId="77777777" w:rsidR="007372B6" w:rsidRDefault="00000000">
      <w:pPr>
        <w:pStyle w:val="ListParagraph"/>
        <w:tabs>
          <w:tab w:val="left" w:pos="851"/>
          <w:tab w:val="left" w:pos="1134"/>
        </w:tabs>
        <w:spacing w:line="312" w:lineRule="auto"/>
        <w:ind w:left="0"/>
        <w:contextualSpacing w:val="0"/>
      </w:pPr>
      <w:r>
        <w:rPr>
          <w:rFonts w:asciiTheme="minorHAnsi" w:eastAsia="Open Sans" w:hAnsiTheme="minorHAnsi" w:cstheme="minorHAnsi"/>
          <w:iCs/>
          <w:color w:val="000000"/>
          <w:sz w:val="22"/>
          <w:szCs w:val="22"/>
          <w:lang w:val="en-CA" w:eastAsia="en-US"/>
        </w:rPr>
        <w:tab/>
        <w:t>4.2.1</w:t>
      </w:r>
      <w:r>
        <w:rPr>
          <w:rFonts w:asciiTheme="minorHAnsi" w:eastAsia="Open Sans" w:hAnsiTheme="minorHAnsi" w:cstheme="minorHAnsi"/>
          <w:iCs/>
          <w:color w:val="000000"/>
          <w:sz w:val="22"/>
          <w:szCs w:val="22"/>
          <w:lang w:val="en-CA" w:eastAsia="en-US"/>
        </w:rPr>
        <w:tab/>
        <w:t>Adaptive management (changes to design &amp; outputs during implementation)</w:t>
      </w:r>
      <w:r>
        <w:rPr>
          <w:rFonts w:ascii="Calibri" w:eastAsiaTheme="minorHAnsi" w:hAnsi="Calibri" w:cs="Calibri"/>
          <w:iCs/>
          <w:color w:val="000000"/>
          <w:spacing w:val="-2"/>
          <w:w w:val="105"/>
          <w:sz w:val="22"/>
          <w:szCs w:val="22"/>
          <w:lang w:val="en-CA" w:eastAsia="en-US"/>
        </w:rPr>
        <w:t>........   24</w:t>
      </w:r>
    </w:p>
    <w:p w14:paraId="6E697F14" w14:textId="77777777" w:rsidR="007372B6" w:rsidRDefault="00000000">
      <w:pPr>
        <w:tabs>
          <w:tab w:val="left" w:pos="846"/>
          <w:tab w:val="left" w:pos="1137"/>
        </w:tabs>
        <w:spacing w:line="312" w:lineRule="auto"/>
        <w:contextualSpacing/>
      </w:pPr>
      <w:r>
        <w:rPr>
          <w:rFonts w:asciiTheme="minorHAnsi" w:eastAsia="Open Sans" w:hAnsiTheme="minorHAnsi" w:cstheme="minorHAnsi"/>
          <w:color w:val="000000"/>
          <w:sz w:val="22"/>
          <w:szCs w:val="22"/>
        </w:rPr>
        <w:tab/>
        <w:t>4.2.2</w:t>
      </w:r>
      <w:r>
        <w:rPr>
          <w:rFonts w:asciiTheme="minorHAnsi" w:eastAsia="Open Sans" w:hAnsiTheme="minorHAnsi" w:cstheme="minorHAnsi"/>
          <w:color w:val="000000"/>
          <w:sz w:val="22"/>
          <w:szCs w:val="22"/>
        </w:rPr>
        <w:tab/>
        <w:t>Actual stakeholder participation and partnership arrangements</w:t>
      </w:r>
      <w:r>
        <w:rPr>
          <w:rFonts w:ascii="Calibri" w:eastAsiaTheme="minorHAnsi" w:hAnsi="Calibri" w:cs="Calibri"/>
          <w:iCs/>
          <w:color w:val="000000"/>
          <w:sz w:val="22"/>
          <w:szCs w:val="22"/>
          <w:lang w:val="en-CA"/>
        </w:rPr>
        <w:t>...............................  26</w:t>
      </w:r>
    </w:p>
    <w:p w14:paraId="603D1521" w14:textId="77777777" w:rsidR="007372B6" w:rsidRDefault="00000000">
      <w:pPr>
        <w:pStyle w:val="ListParagraph"/>
        <w:tabs>
          <w:tab w:val="left" w:pos="853"/>
          <w:tab w:val="left" w:pos="1421"/>
        </w:tabs>
        <w:spacing w:line="312" w:lineRule="auto"/>
        <w:ind w:left="0"/>
        <w:rPr>
          <w:rFonts w:asciiTheme="minorHAnsi" w:hAnsiTheme="minorHAnsi" w:cstheme="minorHAnsi"/>
          <w:b/>
          <w:bCs/>
          <w:color w:val="000000"/>
          <w:sz w:val="22"/>
          <w:szCs w:val="22"/>
        </w:rPr>
      </w:pPr>
      <w:r>
        <w:rPr>
          <w:rFonts w:asciiTheme="minorHAnsi" w:eastAsia="Open Sans" w:hAnsiTheme="minorHAnsi" w:cstheme="minorHAnsi"/>
          <w:iCs/>
          <w:color w:val="000000"/>
          <w:sz w:val="22"/>
          <w:szCs w:val="22"/>
          <w:lang w:val="en-CA"/>
        </w:rPr>
        <w:tab/>
        <w:t>4.2.3   Project Finance and Co-finance.</w:t>
      </w:r>
      <w:r>
        <w:rPr>
          <w:rFonts w:ascii="Calibri" w:eastAsiaTheme="minorHAnsi" w:hAnsi="Calibri" w:cs="Calibri"/>
          <w:iCs/>
          <w:color w:val="000000"/>
          <w:sz w:val="22"/>
          <w:szCs w:val="22"/>
          <w:lang w:val="en-CA"/>
        </w:rPr>
        <w:t>............................</w:t>
      </w:r>
      <w:r>
        <w:rPr>
          <w:rFonts w:ascii="Calibri" w:eastAsiaTheme="minorHAnsi" w:hAnsi="Calibri" w:cs="Calibri"/>
          <w:iCs/>
          <w:color w:val="000000"/>
          <w:sz w:val="22"/>
          <w:szCs w:val="22"/>
          <w:lang w:val="en-CA" w:eastAsia="en-US"/>
        </w:rPr>
        <w:t>..........................................</w:t>
      </w:r>
      <w:r>
        <w:rPr>
          <w:rFonts w:ascii="Calibri" w:eastAsiaTheme="minorHAnsi" w:hAnsi="Calibri" w:cs="Calibri"/>
          <w:iCs/>
          <w:color w:val="000000"/>
          <w:sz w:val="22"/>
          <w:szCs w:val="22"/>
          <w:lang w:val="en-CA"/>
        </w:rPr>
        <w:t>.</w:t>
      </w:r>
      <w:r>
        <w:rPr>
          <w:rFonts w:ascii="Calibri" w:eastAsiaTheme="minorHAnsi" w:hAnsi="Calibri" w:cs="Calibri"/>
          <w:iCs/>
          <w:color w:val="000000"/>
          <w:sz w:val="22"/>
          <w:szCs w:val="22"/>
          <w:lang w:val="en-CA" w:eastAsia="en-US"/>
        </w:rPr>
        <w:t>...........</w:t>
      </w:r>
      <w:r>
        <w:rPr>
          <w:rFonts w:ascii="Calibri" w:eastAsiaTheme="minorHAnsi" w:hAnsi="Calibri" w:cs="Calibri"/>
          <w:iCs/>
          <w:color w:val="000000"/>
          <w:sz w:val="22"/>
          <w:szCs w:val="22"/>
          <w:lang w:val="en-CA"/>
        </w:rPr>
        <w:t xml:space="preserve">  27</w:t>
      </w:r>
    </w:p>
    <w:p w14:paraId="22607E5D" w14:textId="77777777" w:rsidR="007372B6" w:rsidRDefault="00000000">
      <w:pPr>
        <w:tabs>
          <w:tab w:val="left" w:pos="846"/>
          <w:tab w:val="left" w:pos="1137"/>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 xml:space="preserve">4.2.4 </w:t>
      </w:r>
      <w:r>
        <w:rPr>
          <w:rFonts w:asciiTheme="minorHAnsi" w:eastAsia="Open Sans" w:hAnsiTheme="minorHAnsi" w:cstheme="minorHAnsi"/>
          <w:color w:val="000000"/>
          <w:sz w:val="22"/>
          <w:szCs w:val="22"/>
        </w:rPr>
        <w:tab/>
        <w:t>Monitoring &amp; Evaluation: design at entry, implementation, assessment of M&amp;E</w:t>
      </w:r>
      <w:r>
        <w:rPr>
          <w:rFonts w:ascii="Calibri" w:eastAsiaTheme="minorHAnsi" w:hAnsi="Calibri" w:cs="Calibri"/>
          <w:iCs/>
          <w:color w:val="000000"/>
          <w:spacing w:val="-2"/>
          <w:w w:val="105"/>
          <w:sz w:val="22"/>
          <w:szCs w:val="22"/>
          <w:lang w:val="en-CA"/>
        </w:rPr>
        <w:t>.....   30</w:t>
      </w:r>
    </w:p>
    <w:p w14:paraId="6ADC746C" w14:textId="2CA32639" w:rsidR="007372B6" w:rsidRDefault="00000000">
      <w:pPr>
        <w:tabs>
          <w:tab w:val="left" w:pos="846"/>
          <w:tab w:val="left" w:pos="1137"/>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4.2.5</w:t>
      </w:r>
      <w:r>
        <w:rPr>
          <w:rFonts w:asciiTheme="minorHAnsi" w:eastAsia="Open Sans" w:hAnsiTheme="minorHAnsi" w:cstheme="minorHAnsi"/>
          <w:color w:val="000000"/>
          <w:sz w:val="22"/>
          <w:szCs w:val="22"/>
        </w:rPr>
        <w:tab/>
        <w:t xml:space="preserve">UNDP implementation/oversight and Implementing Partner execution, project </w:t>
      </w:r>
      <w:r>
        <w:rPr>
          <w:rFonts w:asciiTheme="minorHAnsi" w:eastAsia="Open Sans" w:hAnsiTheme="minorHAnsi" w:cstheme="minorHAnsi"/>
          <w:color w:val="000000"/>
          <w:sz w:val="22"/>
          <w:szCs w:val="22"/>
        </w:rPr>
        <w:tab/>
      </w:r>
      <w:r>
        <w:rPr>
          <w:rFonts w:asciiTheme="minorHAnsi" w:eastAsia="Open Sans" w:hAnsiTheme="minorHAnsi" w:cstheme="minorHAnsi"/>
          <w:color w:val="000000"/>
          <w:sz w:val="22"/>
          <w:szCs w:val="22"/>
        </w:rPr>
        <w:tab/>
      </w:r>
      <w:r>
        <w:rPr>
          <w:rFonts w:asciiTheme="minorHAnsi" w:eastAsia="Open Sans" w:hAnsiTheme="minorHAnsi" w:cstheme="minorHAnsi"/>
          <w:color w:val="000000"/>
          <w:sz w:val="22"/>
          <w:szCs w:val="22"/>
        </w:rPr>
        <w:tab/>
      </w:r>
      <w:r w:rsidR="000B40E8">
        <w:rPr>
          <w:rFonts w:asciiTheme="minorHAnsi" w:eastAsia="Open Sans" w:hAnsiTheme="minorHAnsi" w:cstheme="minorHAnsi"/>
          <w:color w:val="000000"/>
          <w:sz w:val="22"/>
          <w:szCs w:val="22"/>
        </w:rPr>
        <w:tab/>
      </w:r>
      <w:r>
        <w:rPr>
          <w:rFonts w:asciiTheme="minorHAnsi" w:eastAsia="Open Sans" w:hAnsiTheme="minorHAnsi" w:cstheme="minorHAnsi"/>
          <w:color w:val="000000"/>
          <w:sz w:val="22"/>
          <w:szCs w:val="22"/>
        </w:rPr>
        <w:t>implementation/execution, coordination, and operational issues</w:t>
      </w:r>
      <w:r>
        <w:rPr>
          <w:rFonts w:ascii="Calibri" w:eastAsiaTheme="minorHAnsi" w:hAnsi="Calibri" w:cs="Calibri"/>
          <w:iCs/>
          <w:color w:val="000000"/>
          <w:sz w:val="22"/>
          <w:szCs w:val="22"/>
          <w:lang w:val="en-CA"/>
        </w:rPr>
        <w:t>...................................   31</w:t>
      </w:r>
    </w:p>
    <w:p w14:paraId="266B4DBE" w14:textId="77777777" w:rsidR="007372B6" w:rsidRDefault="00000000">
      <w:pPr>
        <w:tabs>
          <w:tab w:val="left" w:pos="567"/>
        </w:tabs>
        <w:spacing w:line="312" w:lineRule="auto"/>
        <w:ind w:left="567"/>
        <w:rPr>
          <w:rFonts w:asciiTheme="minorHAnsi" w:eastAsia="Open Sans" w:hAnsiTheme="minorHAnsi" w:cstheme="minorHAnsi"/>
          <w:color w:val="000000"/>
          <w:sz w:val="22"/>
          <w:szCs w:val="22"/>
        </w:rPr>
      </w:pPr>
      <w:r>
        <w:rPr>
          <w:rFonts w:asciiTheme="minorHAnsi" w:eastAsia="Open Sans" w:hAnsiTheme="minorHAnsi" w:cstheme="minorHAnsi"/>
          <w:b/>
          <w:bCs/>
          <w:color w:val="000000"/>
          <w:sz w:val="22"/>
          <w:szCs w:val="22"/>
        </w:rPr>
        <w:tab/>
        <w:t xml:space="preserve">4.3 </w:t>
      </w:r>
      <w:r>
        <w:rPr>
          <w:rFonts w:asciiTheme="minorHAnsi" w:eastAsia="Open Sans" w:hAnsiTheme="minorHAnsi" w:cstheme="minorHAnsi"/>
          <w:b/>
          <w:bCs/>
          <w:color w:val="000000"/>
          <w:sz w:val="22"/>
          <w:szCs w:val="22"/>
        </w:rPr>
        <w:tab/>
        <w:t>Project Results</w:t>
      </w:r>
      <w:r>
        <w:rPr>
          <w:rFonts w:ascii="Calibri" w:eastAsiaTheme="minorHAnsi" w:hAnsi="Calibri" w:cs="Calibri"/>
          <w:iCs/>
          <w:color w:val="000000"/>
          <w:sz w:val="22"/>
          <w:szCs w:val="22"/>
          <w:lang w:val="en-CA" w:eastAsia="en-US"/>
        </w:rPr>
        <w:t xml:space="preserve">.............................................................................................................   </w:t>
      </w:r>
      <w:r>
        <w:rPr>
          <w:rFonts w:asciiTheme="minorHAnsi" w:eastAsia="Open Sans" w:hAnsiTheme="minorHAnsi" w:cstheme="minorHAnsi"/>
          <w:iCs/>
          <w:color w:val="000000"/>
          <w:sz w:val="22"/>
          <w:szCs w:val="22"/>
          <w:lang w:val="en-CA" w:eastAsia="en-US"/>
        </w:rPr>
        <w:t>33</w:t>
      </w:r>
    </w:p>
    <w:p w14:paraId="7D924B42" w14:textId="77777777"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4.3.1</w:t>
      </w:r>
      <w:r>
        <w:rPr>
          <w:rFonts w:asciiTheme="minorHAnsi" w:eastAsia="Open Sans" w:hAnsiTheme="minorHAnsi" w:cstheme="minorHAnsi"/>
          <w:color w:val="000000"/>
          <w:sz w:val="22"/>
          <w:szCs w:val="22"/>
        </w:rPr>
        <w:tab/>
        <w:t>Relevance</w:t>
      </w:r>
      <w:r>
        <w:rPr>
          <w:rFonts w:ascii="Calibri" w:eastAsiaTheme="minorHAnsi" w:hAnsi="Calibri" w:cs="Calibri"/>
          <w:iCs/>
          <w:color w:val="000000"/>
          <w:sz w:val="22"/>
          <w:szCs w:val="22"/>
          <w:lang w:val="en-CA"/>
        </w:rPr>
        <w:t xml:space="preserve">......................................................................................................................  </w:t>
      </w:r>
      <w:r>
        <w:rPr>
          <w:rFonts w:asciiTheme="minorHAnsi" w:eastAsia="Open Sans" w:hAnsiTheme="minorHAnsi" w:cstheme="minorHAnsi"/>
          <w:iCs/>
          <w:color w:val="000000"/>
          <w:sz w:val="22"/>
          <w:szCs w:val="22"/>
          <w:lang w:val="en-CA"/>
        </w:rPr>
        <w:t>33</w:t>
      </w:r>
    </w:p>
    <w:p w14:paraId="705E2FFD" w14:textId="77777777"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4.3.2</w:t>
      </w:r>
      <w:r>
        <w:rPr>
          <w:rFonts w:asciiTheme="minorHAnsi" w:eastAsia="Open Sans" w:hAnsiTheme="minorHAnsi" w:cstheme="minorHAnsi"/>
          <w:color w:val="000000"/>
          <w:sz w:val="22"/>
          <w:szCs w:val="22"/>
        </w:rPr>
        <w:tab/>
        <w:t>Effectiveness</w:t>
      </w:r>
      <w:r>
        <w:rPr>
          <w:rFonts w:ascii="Calibri" w:eastAsiaTheme="minorHAnsi" w:hAnsi="Calibri" w:cs="Calibri"/>
          <w:iCs/>
          <w:color w:val="000000"/>
          <w:sz w:val="22"/>
          <w:szCs w:val="22"/>
          <w:lang w:val="en-CA"/>
        </w:rPr>
        <w:t>.................................................................................................................   33</w:t>
      </w:r>
    </w:p>
    <w:p w14:paraId="6863F76A" w14:textId="77777777"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4.3.3</w:t>
      </w:r>
      <w:r>
        <w:rPr>
          <w:rFonts w:asciiTheme="minorHAnsi" w:eastAsia="Open Sans" w:hAnsiTheme="minorHAnsi" w:cstheme="minorHAnsi"/>
          <w:color w:val="000000"/>
          <w:sz w:val="22"/>
          <w:szCs w:val="22"/>
        </w:rPr>
        <w:tab/>
        <w:t>Efficiency</w:t>
      </w:r>
      <w:r>
        <w:rPr>
          <w:rFonts w:ascii="Calibri" w:eastAsiaTheme="minorHAnsi" w:hAnsi="Calibri" w:cs="Calibri"/>
          <w:iCs/>
          <w:color w:val="000000"/>
          <w:sz w:val="22"/>
          <w:szCs w:val="22"/>
          <w:lang w:val="en-CA"/>
        </w:rPr>
        <w:t xml:space="preserve">.......................................................................................................................   </w:t>
      </w:r>
      <w:r>
        <w:rPr>
          <w:rFonts w:asciiTheme="minorHAnsi" w:eastAsia="Open Sans" w:hAnsiTheme="minorHAnsi" w:cstheme="minorHAnsi"/>
          <w:iCs/>
          <w:color w:val="000000"/>
          <w:sz w:val="22"/>
          <w:szCs w:val="22"/>
          <w:lang w:val="en-CA"/>
        </w:rPr>
        <w:t>41</w:t>
      </w:r>
    </w:p>
    <w:p w14:paraId="5E179D1C" w14:textId="77777777"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4.3.4</w:t>
      </w:r>
      <w:r>
        <w:rPr>
          <w:rFonts w:asciiTheme="minorHAnsi" w:eastAsia="Open Sans" w:hAnsiTheme="minorHAnsi" w:cstheme="minorHAnsi"/>
          <w:color w:val="000000"/>
          <w:sz w:val="22"/>
          <w:szCs w:val="22"/>
        </w:rPr>
        <w:tab/>
        <w:t>Country ownership</w:t>
      </w:r>
      <w:r>
        <w:rPr>
          <w:rFonts w:ascii="Calibri" w:eastAsiaTheme="minorHAnsi" w:hAnsi="Calibri" w:cs="Calibri"/>
          <w:iCs/>
          <w:color w:val="000000"/>
          <w:sz w:val="22"/>
          <w:szCs w:val="22"/>
          <w:lang w:val="en-CA"/>
        </w:rPr>
        <w:t>........................................................................................................   42</w:t>
      </w:r>
    </w:p>
    <w:p w14:paraId="4AF321D3" w14:textId="77777777"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4.3.5</w:t>
      </w:r>
      <w:r>
        <w:rPr>
          <w:rFonts w:asciiTheme="minorHAnsi" w:eastAsia="Open Sans" w:hAnsiTheme="minorHAnsi" w:cstheme="minorHAnsi"/>
          <w:color w:val="000000"/>
          <w:sz w:val="22"/>
          <w:szCs w:val="22"/>
        </w:rPr>
        <w:tab/>
        <w:t>Gender Equality</w:t>
      </w:r>
      <w:r>
        <w:rPr>
          <w:rFonts w:ascii="Calibri" w:eastAsiaTheme="minorHAnsi" w:hAnsi="Calibri" w:cs="Calibri"/>
          <w:iCs/>
          <w:color w:val="000000"/>
          <w:sz w:val="22"/>
          <w:szCs w:val="22"/>
          <w:lang w:val="en-CA"/>
        </w:rPr>
        <w:t xml:space="preserve">.............................................................................................................   </w:t>
      </w:r>
      <w:r>
        <w:rPr>
          <w:rFonts w:asciiTheme="minorHAnsi" w:eastAsia="Open Sans" w:hAnsiTheme="minorHAnsi" w:cstheme="minorHAnsi"/>
          <w:iCs/>
          <w:color w:val="000000"/>
          <w:sz w:val="22"/>
          <w:szCs w:val="22"/>
          <w:lang w:val="en-CA"/>
        </w:rPr>
        <w:t>43</w:t>
      </w:r>
    </w:p>
    <w:p w14:paraId="6C656FA5" w14:textId="77777777"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4.3.6</w:t>
      </w:r>
      <w:r>
        <w:rPr>
          <w:rFonts w:asciiTheme="minorHAnsi" w:eastAsia="Open Sans" w:hAnsiTheme="minorHAnsi" w:cstheme="minorHAnsi"/>
          <w:color w:val="000000"/>
          <w:sz w:val="22"/>
          <w:szCs w:val="22"/>
        </w:rPr>
        <w:tab/>
        <w:t>Social and environmental standards and other Cross-cutting Issues………...</w:t>
      </w:r>
      <w:r>
        <w:rPr>
          <w:rFonts w:ascii="Calibri" w:eastAsiaTheme="minorHAnsi" w:hAnsi="Calibri" w:cs="Calibri"/>
          <w:iCs/>
          <w:color w:val="000000"/>
          <w:spacing w:val="-2"/>
          <w:w w:val="105"/>
          <w:sz w:val="22"/>
          <w:szCs w:val="22"/>
          <w:lang w:val="en-CA"/>
        </w:rPr>
        <w:t>................    43</w:t>
      </w:r>
    </w:p>
    <w:p w14:paraId="0A78FE89" w14:textId="09FE1601"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4.3.7</w:t>
      </w:r>
      <w:r>
        <w:rPr>
          <w:rFonts w:asciiTheme="minorHAnsi" w:eastAsia="Open Sans" w:hAnsiTheme="minorHAnsi" w:cstheme="minorHAnsi"/>
          <w:color w:val="000000"/>
          <w:sz w:val="22"/>
          <w:szCs w:val="22"/>
        </w:rPr>
        <w:tab/>
        <w:t xml:space="preserve">Sustainability: financial, socio-economic, institutional framework and governance, </w:t>
      </w:r>
      <w:r>
        <w:rPr>
          <w:rFonts w:asciiTheme="minorHAnsi" w:eastAsia="Open Sans" w:hAnsiTheme="minorHAnsi" w:cstheme="minorHAnsi"/>
          <w:color w:val="000000"/>
          <w:sz w:val="22"/>
          <w:szCs w:val="22"/>
        </w:rPr>
        <w:tab/>
      </w:r>
      <w:r>
        <w:rPr>
          <w:rFonts w:asciiTheme="minorHAnsi" w:eastAsia="Open Sans" w:hAnsiTheme="minorHAnsi" w:cstheme="minorHAnsi"/>
          <w:color w:val="000000"/>
          <w:sz w:val="22"/>
          <w:szCs w:val="22"/>
        </w:rPr>
        <w:tab/>
      </w:r>
      <w:r>
        <w:rPr>
          <w:rFonts w:asciiTheme="minorHAnsi" w:eastAsia="Open Sans" w:hAnsiTheme="minorHAnsi" w:cstheme="minorHAnsi"/>
          <w:color w:val="000000"/>
          <w:sz w:val="22"/>
          <w:szCs w:val="22"/>
        </w:rPr>
        <w:tab/>
      </w:r>
      <w:r w:rsidR="000B40E8">
        <w:rPr>
          <w:rFonts w:asciiTheme="minorHAnsi" w:eastAsia="Open Sans" w:hAnsiTheme="minorHAnsi" w:cstheme="minorHAnsi"/>
          <w:color w:val="000000"/>
          <w:sz w:val="22"/>
          <w:szCs w:val="22"/>
        </w:rPr>
        <w:tab/>
      </w:r>
      <w:r>
        <w:rPr>
          <w:rFonts w:asciiTheme="minorHAnsi" w:eastAsia="Open Sans" w:hAnsiTheme="minorHAnsi" w:cstheme="minorHAnsi"/>
          <w:color w:val="000000"/>
          <w:sz w:val="22"/>
          <w:szCs w:val="22"/>
        </w:rPr>
        <w:t>environmental, and overall likelihood</w:t>
      </w:r>
      <w:r>
        <w:rPr>
          <w:rFonts w:ascii="Calibri" w:eastAsiaTheme="minorHAnsi" w:hAnsi="Calibri" w:cs="Calibri"/>
          <w:iCs/>
          <w:color w:val="000000"/>
          <w:sz w:val="22"/>
          <w:szCs w:val="22"/>
          <w:lang w:val="en-CA" w:eastAsia="en-US"/>
        </w:rPr>
        <w:t>..........................................................................   44</w:t>
      </w:r>
    </w:p>
    <w:p w14:paraId="5EC98F55" w14:textId="77777777"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4.3.8</w:t>
      </w:r>
      <w:r>
        <w:rPr>
          <w:rFonts w:asciiTheme="minorHAnsi" w:eastAsia="Open Sans" w:hAnsiTheme="minorHAnsi" w:cstheme="minorHAnsi"/>
          <w:color w:val="000000"/>
          <w:sz w:val="22"/>
          <w:szCs w:val="22"/>
        </w:rPr>
        <w:tab/>
        <w:t>GEF Additionality and Potential Catalytic/Replication Effect</w:t>
      </w:r>
      <w:r>
        <w:rPr>
          <w:rFonts w:ascii="Calibri" w:eastAsiaTheme="minorHAnsi" w:hAnsi="Calibri" w:cs="Calibri"/>
          <w:iCs/>
          <w:color w:val="000000"/>
          <w:sz w:val="22"/>
          <w:szCs w:val="22"/>
          <w:lang w:val="en-CA" w:eastAsia="en-US"/>
        </w:rPr>
        <w:t>.........................................  45</w:t>
      </w:r>
      <w:r>
        <w:rPr>
          <w:rFonts w:asciiTheme="minorHAnsi" w:eastAsia="Open Sans" w:hAnsiTheme="minorHAnsi" w:cstheme="minorHAnsi"/>
          <w:color w:val="000000"/>
          <w:sz w:val="22"/>
          <w:szCs w:val="22"/>
        </w:rPr>
        <w:t xml:space="preserve"> </w:t>
      </w:r>
    </w:p>
    <w:p w14:paraId="758C873E" w14:textId="77777777" w:rsidR="007372B6" w:rsidRDefault="00000000">
      <w:pPr>
        <w:tabs>
          <w:tab w:val="left" w:pos="846"/>
          <w:tab w:val="left" w:pos="1149"/>
        </w:tabs>
        <w:spacing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t>4.3.9</w:t>
      </w:r>
      <w:r>
        <w:rPr>
          <w:rFonts w:asciiTheme="minorHAnsi" w:eastAsia="Open Sans" w:hAnsiTheme="minorHAnsi" w:cstheme="minorHAnsi"/>
          <w:color w:val="000000"/>
          <w:sz w:val="22"/>
          <w:szCs w:val="22"/>
        </w:rPr>
        <w:tab/>
        <w:t>Progress to Impact</w:t>
      </w:r>
      <w:r>
        <w:rPr>
          <w:rFonts w:ascii="Calibri" w:eastAsiaTheme="minorHAnsi" w:hAnsi="Calibri" w:cs="Calibri"/>
          <w:iCs/>
          <w:color w:val="000000"/>
          <w:sz w:val="22"/>
          <w:szCs w:val="22"/>
          <w:lang w:val="en-CA" w:eastAsia="en-US"/>
        </w:rPr>
        <w:t>........................................................................................................   45</w:t>
      </w:r>
    </w:p>
    <w:p w14:paraId="2B2D4DC9" w14:textId="77777777" w:rsidR="007372B6" w:rsidRDefault="007372B6">
      <w:pPr>
        <w:jc w:val="both"/>
        <w:rPr>
          <w:rFonts w:asciiTheme="minorHAnsi" w:eastAsia="Open Sans" w:hAnsiTheme="minorHAnsi" w:cstheme="minorHAnsi"/>
          <w:color w:val="000000"/>
          <w:sz w:val="22"/>
          <w:szCs w:val="22"/>
        </w:rPr>
      </w:pPr>
    </w:p>
    <w:p w14:paraId="040DE008" w14:textId="77777777" w:rsidR="007372B6" w:rsidRDefault="00000000">
      <w:pPr>
        <w:pStyle w:val="ListParagraph"/>
        <w:spacing w:line="312" w:lineRule="auto"/>
        <w:ind w:left="0"/>
        <w:jc w:val="both"/>
        <w:rPr>
          <w:b/>
          <w:bCs/>
        </w:rPr>
      </w:pPr>
      <w:r>
        <w:rPr>
          <w:rFonts w:asciiTheme="minorHAnsi" w:eastAsia="Open Sans" w:hAnsiTheme="minorHAnsi" w:cstheme="minorHAnsi"/>
          <w:b/>
          <w:bCs/>
          <w:color w:val="000000"/>
          <w:sz w:val="22"/>
          <w:szCs w:val="22"/>
        </w:rPr>
        <w:t>5.0</w:t>
      </w:r>
      <w:r>
        <w:rPr>
          <w:rFonts w:asciiTheme="minorHAnsi" w:eastAsia="Open Sans" w:hAnsiTheme="minorHAnsi" w:cstheme="minorHAnsi"/>
          <w:b/>
          <w:bCs/>
          <w:color w:val="000000"/>
          <w:sz w:val="22"/>
          <w:szCs w:val="22"/>
        </w:rPr>
        <w:tab/>
        <w:t>Main Findings, Conclusions, Recommendations &amp; Lessons</w:t>
      </w:r>
      <w:r>
        <w:rPr>
          <w:rFonts w:ascii="Calibri" w:eastAsiaTheme="minorHAnsi" w:hAnsi="Calibri" w:cs="Calibri"/>
          <w:iCs/>
          <w:color w:val="000000"/>
          <w:sz w:val="22"/>
          <w:szCs w:val="22"/>
          <w:lang w:val="en-CA" w:eastAsia="en-US"/>
        </w:rPr>
        <w:t>.....................................................   48</w:t>
      </w:r>
    </w:p>
    <w:p w14:paraId="23583560" w14:textId="77777777" w:rsidR="007372B6" w:rsidRDefault="00000000">
      <w:pPr>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b/>
          <w:bCs/>
          <w:color w:val="000000"/>
          <w:sz w:val="22"/>
          <w:szCs w:val="22"/>
        </w:rPr>
        <w:t>5.1</w:t>
      </w:r>
      <w:r>
        <w:rPr>
          <w:rFonts w:asciiTheme="minorHAnsi" w:hAnsiTheme="minorHAnsi" w:cstheme="minorHAnsi"/>
          <w:b/>
          <w:bCs/>
          <w:color w:val="000000"/>
          <w:sz w:val="22"/>
          <w:szCs w:val="22"/>
        </w:rPr>
        <w:tab/>
        <w:t>Main Findings</w:t>
      </w:r>
      <w:r>
        <w:rPr>
          <w:rFonts w:ascii="Calibri" w:eastAsiaTheme="minorHAnsi" w:hAnsi="Calibri" w:cs="Calibri"/>
          <w:iCs/>
          <w:color w:val="000000"/>
          <w:sz w:val="22"/>
          <w:szCs w:val="22"/>
          <w:lang w:val="en-CA" w:eastAsia="en-US"/>
        </w:rPr>
        <w:t xml:space="preserve">................................................................................................................   </w:t>
      </w:r>
      <w:r>
        <w:rPr>
          <w:rFonts w:asciiTheme="minorHAnsi" w:eastAsia="Calibri" w:hAnsiTheme="minorHAnsi" w:cstheme="minorHAnsi"/>
          <w:iCs/>
          <w:color w:val="000000"/>
          <w:sz w:val="22"/>
          <w:szCs w:val="22"/>
          <w:lang w:val="en-CA" w:eastAsia="en-US"/>
        </w:rPr>
        <w:t>48</w:t>
      </w:r>
    </w:p>
    <w:p w14:paraId="0A046CA2" w14:textId="77777777" w:rsidR="007372B6" w:rsidRDefault="00000000">
      <w:pPr>
        <w:pStyle w:val="ListParagraph"/>
        <w:spacing w:line="312" w:lineRule="auto"/>
        <w:ind w:left="709"/>
        <w:jc w:val="both"/>
        <w:rPr>
          <w:rFonts w:asciiTheme="minorHAnsi" w:eastAsia="Open Sans" w:hAnsiTheme="minorHAnsi" w:cstheme="minorHAnsi"/>
          <w:color w:val="000000"/>
          <w:sz w:val="22"/>
          <w:szCs w:val="22"/>
        </w:rPr>
      </w:pPr>
      <w:r>
        <w:rPr>
          <w:rFonts w:asciiTheme="minorHAnsi" w:eastAsia="Open Sans" w:hAnsiTheme="minorHAnsi" w:cstheme="minorHAnsi"/>
          <w:b/>
          <w:bCs/>
          <w:iCs/>
          <w:color w:val="000000"/>
          <w:sz w:val="22"/>
          <w:szCs w:val="22"/>
          <w:lang w:val="en-CA" w:eastAsia="en-US"/>
        </w:rPr>
        <w:t>5.2</w:t>
      </w:r>
      <w:r>
        <w:rPr>
          <w:rFonts w:asciiTheme="minorHAnsi" w:eastAsia="Open Sans" w:hAnsiTheme="minorHAnsi" w:cstheme="minorHAnsi"/>
          <w:b/>
          <w:bCs/>
          <w:iCs/>
          <w:color w:val="000000"/>
          <w:sz w:val="22"/>
          <w:szCs w:val="22"/>
          <w:lang w:val="en-CA" w:eastAsia="en-US"/>
        </w:rPr>
        <w:tab/>
        <w:t>Conclusions</w:t>
      </w:r>
      <w:r>
        <w:rPr>
          <w:rFonts w:ascii="Calibri" w:eastAsiaTheme="minorHAnsi" w:hAnsi="Calibri" w:cs="Calibri"/>
          <w:iCs/>
          <w:color w:val="000000"/>
          <w:sz w:val="22"/>
          <w:szCs w:val="22"/>
          <w:lang w:val="en-CA" w:eastAsia="en-US"/>
        </w:rPr>
        <w:t>....................................................................................................................  52</w:t>
      </w:r>
    </w:p>
    <w:p w14:paraId="66C844A3" w14:textId="4CCF2111" w:rsidR="007372B6" w:rsidRDefault="00000000">
      <w:pPr>
        <w:pStyle w:val="ListParagraph"/>
        <w:spacing w:line="312" w:lineRule="auto"/>
        <w:ind w:left="709"/>
        <w:jc w:val="both"/>
        <w:rPr>
          <w:rFonts w:asciiTheme="minorHAnsi" w:eastAsia="Open Sans" w:hAnsiTheme="minorHAnsi" w:cstheme="minorHAnsi"/>
          <w:color w:val="000000"/>
          <w:sz w:val="22"/>
          <w:szCs w:val="22"/>
        </w:rPr>
      </w:pPr>
      <w:r>
        <w:rPr>
          <w:rFonts w:asciiTheme="minorHAnsi" w:eastAsia="Open Sans" w:hAnsiTheme="minorHAnsi" w:cstheme="minorHAnsi"/>
          <w:b/>
          <w:bCs/>
          <w:color w:val="000000"/>
          <w:sz w:val="22"/>
          <w:szCs w:val="22"/>
        </w:rPr>
        <w:t>5.3</w:t>
      </w:r>
      <w:r>
        <w:rPr>
          <w:rFonts w:asciiTheme="minorHAnsi" w:eastAsia="Open Sans" w:hAnsiTheme="minorHAnsi" w:cstheme="minorHAnsi"/>
          <w:b/>
          <w:bCs/>
          <w:color w:val="000000"/>
          <w:sz w:val="22"/>
          <w:szCs w:val="22"/>
        </w:rPr>
        <w:tab/>
        <w:t>Recommendations</w:t>
      </w:r>
      <w:r>
        <w:rPr>
          <w:rFonts w:ascii="Calibri" w:eastAsiaTheme="minorHAnsi" w:hAnsi="Calibri" w:cs="Calibri"/>
          <w:iCs/>
          <w:color w:val="000000"/>
          <w:sz w:val="22"/>
          <w:szCs w:val="22"/>
          <w:lang w:val="en-CA" w:eastAsia="en-US"/>
        </w:rPr>
        <w:t xml:space="preserve">........................................................................................................ </w:t>
      </w:r>
      <w:r w:rsidR="003F2687">
        <w:rPr>
          <w:rFonts w:ascii="Calibri" w:eastAsiaTheme="minorHAnsi" w:hAnsi="Calibri" w:cs="Calibri"/>
          <w:iCs/>
          <w:color w:val="000000"/>
          <w:sz w:val="22"/>
          <w:szCs w:val="22"/>
          <w:lang w:val="en-CA" w:eastAsia="en-US"/>
        </w:rPr>
        <w:t xml:space="preserve"> </w:t>
      </w:r>
      <w:r>
        <w:rPr>
          <w:rFonts w:ascii="Calibri" w:eastAsiaTheme="minorHAnsi" w:hAnsi="Calibri" w:cs="Calibri"/>
          <w:iCs/>
          <w:color w:val="000000"/>
          <w:sz w:val="22"/>
          <w:szCs w:val="22"/>
          <w:lang w:val="en-CA" w:eastAsia="en-US"/>
        </w:rPr>
        <w:t xml:space="preserve"> 54</w:t>
      </w:r>
      <w:r>
        <w:rPr>
          <w:rFonts w:asciiTheme="minorHAnsi" w:eastAsia="Open Sans" w:hAnsiTheme="minorHAnsi" w:cstheme="minorHAnsi"/>
          <w:color w:val="000000"/>
          <w:sz w:val="22"/>
          <w:szCs w:val="22"/>
        </w:rPr>
        <w:t xml:space="preserve"> </w:t>
      </w:r>
    </w:p>
    <w:p w14:paraId="2BFE0D7D" w14:textId="77777777" w:rsidR="007372B6" w:rsidRDefault="00000000">
      <w:pPr>
        <w:pStyle w:val="ListParagraph"/>
        <w:spacing w:line="312" w:lineRule="auto"/>
        <w:ind w:left="709" w:hanging="709"/>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b/>
      </w:r>
      <w:r>
        <w:rPr>
          <w:rFonts w:asciiTheme="minorHAnsi" w:eastAsia="Open Sans" w:hAnsiTheme="minorHAnsi" w:cstheme="minorHAnsi"/>
          <w:b/>
          <w:bCs/>
          <w:color w:val="000000"/>
          <w:sz w:val="22"/>
          <w:szCs w:val="22"/>
        </w:rPr>
        <w:t>5.4</w:t>
      </w:r>
      <w:r>
        <w:rPr>
          <w:rFonts w:asciiTheme="minorHAnsi" w:eastAsia="Open Sans" w:hAnsiTheme="minorHAnsi" w:cstheme="minorHAnsi"/>
          <w:b/>
          <w:bCs/>
          <w:color w:val="000000"/>
          <w:sz w:val="22"/>
          <w:szCs w:val="22"/>
        </w:rPr>
        <w:tab/>
        <w:t>Lessons Learned</w:t>
      </w:r>
      <w:r>
        <w:rPr>
          <w:rFonts w:ascii="Calibri" w:eastAsiaTheme="minorHAnsi" w:hAnsi="Calibri" w:cs="Calibri"/>
          <w:iCs/>
          <w:color w:val="000000"/>
          <w:sz w:val="22"/>
          <w:szCs w:val="22"/>
          <w:lang w:val="en-CA" w:eastAsia="en-US"/>
        </w:rPr>
        <w:t>............................................................................................................   57</w:t>
      </w:r>
      <w:r>
        <w:rPr>
          <w:rFonts w:asciiTheme="minorHAnsi" w:eastAsia="Open Sans" w:hAnsiTheme="minorHAnsi" w:cstheme="minorHAnsi"/>
          <w:b/>
          <w:bCs/>
          <w:color w:val="000000"/>
          <w:sz w:val="22"/>
          <w:szCs w:val="22"/>
        </w:rPr>
        <w:t xml:space="preserve"> </w:t>
      </w:r>
    </w:p>
    <w:p w14:paraId="4C5839F1" w14:textId="77777777" w:rsidR="007372B6" w:rsidRDefault="007372B6">
      <w:pPr>
        <w:pStyle w:val="ListParagraph"/>
        <w:spacing w:line="312" w:lineRule="auto"/>
        <w:ind w:left="709" w:hanging="709"/>
        <w:jc w:val="both"/>
        <w:rPr>
          <w:rFonts w:asciiTheme="minorHAnsi" w:eastAsia="Open Sans" w:hAnsiTheme="minorHAnsi" w:cstheme="minorHAnsi"/>
          <w:color w:val="000000"/>
          <w:sz w:val="22"/>
          <w:szCs w:val="22"/>
        </w:rPr>
      </w:pPr>
    </w:p>
    <w:p w14:paraId="6FB3C1F7" w14:textId="77777777" w:rsidR="007372B6" w:rsidRDefault="00000000">
      <w:pPr>
        <w:pStyle w:val="ListParagraph"/>
        <w:spacing w:line="312" w:lineRule="auto"/>
        <w:ind w:left="709" w:hanging="709"/>
        <w:jc w:val="both"/>
        <w:rPr>
          <w:rFonts w:asciiTheme="minorHAnsi" w:eastAsia="Open Sans" w:hAnsiTheme="minorHAnsi" w:cstheme="minorHAnsi"/>
          <w:color w:val="000000"/>
          <w:sz w:val="22"/>
          <w:szCs w:val="22"/>
        </w:rPr>
      </w:pPr>
      <w:r>
        <w:rPr>
          <w:rFonts w:ascii="Calibri" w:eastAsiaTheme="minorHAnsi" w:hAnsi="Calibri" w:cstheme="minorHAnsi"/>
          <w:b/>
          <w:bCs/>
          <w:color w:val="000000"/>
          <w:lang w:val="en-CA" w:eastAsia="en-US"/>
        </w:rPr>
        <w:t>List of Tables:</w:t>
      </w:r>
    </w:p>
    <w:p w14:paraId="5E2524C1" w14:textId="77777777" w:rsidR="007372B6" w:rsidRDefault="00000000">
      <w:pPr>
        <w:widowControl w:val="0"/>
        <w:tabs>
          <w:tab w:val="left" w:pos="567"/>
          <w:tab w:val="left" w:pos="1620"/>
        </w:tabs>
        <w:spacing w:line="312" w:lineRule="auto"/>
        <w:jc w:val="both"/>
        <w:rPr>
          <w:rFonts w:asciiTheme="minorHAnsi" w:hAnsiTheme="minorHAnsi" w:cstheme="minorHAnsi"/>
          <w:color w:val="000000"/>
          <w:sz w:val="22"/>
          <w:szCs w:val="22"/>
        </w:rPr>
      </w:pPr>
      <w:r>
        <w:rPr>
          <w:rFonts w:asciiTheme="minorHAnsi" w:eastAsiaTheme="minorHAnsi" w:hAnsiTheme="minorHAnsi" w:cstheme="minorHAnsi"/>
          <w:color w:val="000000"/>
          <w:sz w:val="22"/>
          <w:szCs w:val="22"/>
          <w:lang w:val="en-CA" w:eastAsia="en-US"/>
        </w:rPr>
        <w:t>Table 1: Rating of Project Indicators</w:t>
      </w:r>
    </w:p>
    <w:p w14:paraId="51FFDC0D" w14:textId="77777777" w:rsidR="007372B6" w:rsidRDefault="00000000">
      <w:pPr>
        <w:widowControl w:val="0"/>
        <w:tabs>
          <w:tab w:val="left" w:pos="567"/>
          <w:tab w:val="left" w:pos="1620"/>
        </w:tabs>
        <w:spacing w:line="312" w:lineRule="auto"/>
        <w:jc w:val="both"/>
        <w:rPr>
          <w:rFonts w:asciiTheme="minorHAnsi" w:hAnsiTheme="minorHAnsi" w:cstheme="minorHAnsi"/>
          <w:color w:val="000000"/>
          <w:sz w:val="22"/>
          <w:szCs w:val="22"/>
        </w:rPr>
      </w:pPr>
      <w:r>
        <w:rPr>
          <w:rFonts w:asciiTheme="minorHAnsi" w:eastAsia="Calibri" w:hAnsiTheme="minorHAnsi" w:cstheme="minorHAnsi"/>
          <w:color w:val="000000"/>
          <w:sz w:val="22"/>
          <w:szCs w:val="22"/>
          <w:lang w:val="en-CA" w:eastAsia="en-US"/>
        </w:rPr>
        <w:t xml:space="preserve">Table 2: </w:t>
      </w:r>
      <w:r>
        <w:rPr>
          <w:rFonts w:asciiTheme="minorHAnsi" w:eastAsiaTheme="minorHAnsi" w:hAnsiTheme="minorHAnsi" w:cstheme="minorHAnsi"/>
          <w:color w:val="000000"/>
          <w:sz w:val="22"/>
          <w:szCs w:val="22"/>
          <w:lang w:val="en-CA" w:eastAsia="en-US"/>
        </w:rPr>
        <w:t>Project Activities undertaken by Lead NGOs/Agencies in each Catchment Area</w:t>
      </w:r>
    </w:p>
    <w:p w14:paraId="5FA9B3B1" w14:textId="77777777" w:rsidR="007372B6" w:rsidRDefault="00000000">
      <w:pPr>
        <w:widowControl w:val="0"/>
        <w:tabs>
          <w:tab w:val="left" w:pos="1980"/>
        </w:tabs>
        <w:spacing w:line="312" w:lineRule="auto"/>
        <w:rPr>
          <w:rFonts w:asciiTheme="minorHAnsi" w:hAnsiTheme="minorHAnsi" w:cstheme="minorHAnsi"/>
          <w:sz w:val="22"/>
          <w:szCs w:val="22"/>
        </w:rPr>
      </w:pPr>
      <w:r>
        <w:rPr>
          <w:rFonts w:asciiTheme="minorHAnsi" w:hAnsiTheme="minorHAnsi" w:cstheme="minorHAnsi"/>
          <w:sz w:val="22"/>
          <w:szCs w:val="22"/>
        </w:rPr>
        <w:t xml:space="preserve">Table 3: </w:t>
      </w:r>
      <w:r>
        <w:rPr>
          <w:rFonts w:asciiTheme="minorHAnsi" w:hAnsiTheme="minorHAnsi" w:cstheme="minorHAnsi"/>
          <w:color w:val="000000"/>
          <w:spacing w:val="-2"/>
          <w:sz w:val="22"/>
          <w:szCs w:val="22"/>
        </w:rPr>
        <w:t xml:space="preserve">Fund Utilisation by Calendar Year </w:t>
      </w:r>
    </w:p>
    <w:p w14:paraId="0C5F6665" w14:textId="77777777" w:rsidR="007372B6" w:rsidRDefault="00000000">
      <w:pPr>
        <w:widowControl w:val="0"/>
        <w:tabs>
          <w:tab w:val="left" w:pos="1980"/>
        </w:tabs>
        <w:spacing w:line="312" w:lineRule="auto"/>
        <w:rPr>
          <w:rFonts w:asciiTheme="minorHAnsi" w:hAnsiTheme="minorHAnsi" w:cstheme="minorHAnsi"/>
          <w:sz w:val="22"/>
          <w:szCs w:val="22"/>
        </w:rPr>
      </w:pPr>
      <w:r>
        <w:rPr>
          <w:rFonts w:asciiTheme="minorHAnsi" w:eastAsia="Calibri" w:hAnsiTheme="minorHAnsi" w:cstheme="minorHAnsi"/>
          <w:color w:val="000000"/>
          <w:spacing w:val="-2"/>
          <w:sz w:val="22"/>
          <w:szCs w:val="22"/>
          <w:lang w:val="en-CA"/>
        </w:rPr>
        <w:t xml:space="preserve">Table 4: </w:t>
      </w:r>
      <w:r>
        <w:rPr>
          <w:rFonts w:asciiTheme="minorHAnsi" w:hAnsiTheme="minorHAnsi" w:cstheme="minorHAnsi"/>
          <w:color w:val="000000"/>
          <w:spacing w:val="-2"/>
          <w:sz w:val="22"/>
          <w:szCs w:val="22"/>
        </w:rPr>
        <w:t>Co-financing Anticipated and Mobilized by June 2022</w:t>
      </w:r>
    </w:p>
    <w:p w14:paraId="42E7E30B" w14:textId="77777777" w:rsidR="007372B6" w:rsidRDefault="00000000">
      <w:pPr>
        <w:widowControl w:val="0"/>
        <w:tabs>
          <w:tab w:val="left" w:pos="1980"/>
        </w:tabs>
        <w:spacing w:line="312" w:lineRule="auto"/>
        <w:rPr>
          <w:rFonts w:asciiTheme="minorHAnsi" w:hAnsiTheme="minorHAnsi" w:cstheme="minorHAnsi"/>
          <w:sz w:val="22"/>
          <w:szCs w:val="22"/>
        </w:rPr>
      </w:pPr>
      <w:r>
        <w:rPr>
          <w:rFonts w:asciiTheme="minorHAnsi" w:eastAsia="Calibri" w:hAnsiTheme="minorHAnsi" w:cstheme="minorHAnsi"/>
          <w:color w:val="000000"/>
          <w:spacing w:val="-2"/>
          <w:sz w:val="22"/>
          <w:szCs w:val="22"/>
          <w:lang w:val="en-CA"/>
        </w:rPr>
        <w:t>Table 5</w:t>
      </w:r>
      <w:r>
        <w:rPr>
          <w:rFonts w:asciiTheme="minorHAnsi" w:hAnsiTheme="minorHAnsi" w:cstheme="minorHAnsi"/>
          <w:color w:val="000000"/>
          <w:spacing w:val="-2"/>
          <w:sz w:val="22"/>
          <w:szCs w:val="22"/>
        </w:rPr>
        <w:t xml:space="preserve">: </w:t>
      </w:r>
      <w:proofErr w:type="gramStart"/>
      <w:r>
        <w:rPr>
          <w:rFonts w:asciiTheme="minorHAnsi" w:hAnsiTheme="minorHAnsi" w:cstheme="minorHAnsi"/>
          <w:color w:val="000000"/>
          <w:spacing w:val="-2"/>
          <w:sz w:val="22"/>
          <w:szCs w:val="22"/>
        </w:rPr>
        <w:t>Estimated forest</w:t>
      </w:r>
      <w:proofErr w:type="gramEnd"/>
      <w:r>
        <w:rPr>
          <w:rFonts w:asciiTheme="minorHAnsi" w:hAnsiTheme="minorHAnsi" w:cstheme="minorHAnsi"/>
          <w:color w:val="000000"/>
          <w:spacing w:val="-2"/>
          <w:sz w:val="22"/>
          <w:szCs w:val="22"/>
        </w:rPr>
        <w:t xml:space="preserve"> carbon stocks in native forests and mangroves in priority catchments 2014-22 </w:t>
      </w:r>
    </w:p>
    <w:p w14:paraId="54FDF93B" w14:textId="77777777" w:rsidR="007372B6" w:rsidRDefault="00000000">
      <w:pPr>
        <w:widowControl w:val="0"/>
        <w:tabs>
          <w:tab w:val="left" w:pos="1980"/>
        </w:tabs>
        <w:spacing w:line="312" w:lineRule="auto"/>
        <w:rPr>
          <w:rFonts w:asciiTheme="minorHAnsi" w:hAnsiTheme="minorHAnsi" w:cstheme="minorHAnsi"/>
          <w:sz w:val="22"/>
          <w:szCs w:val="22"/>
        </w:rPr>
      </w:pPr>
      <w:r>
        <w:rPr>
          <w:rFonts w:asciiTheme="minorHAnsi" w:eastAsia="Calibri" w:hAnsiTheme="minorHAnsi" w:cstheme="minorHAnsi"/>
          <w:color w:val="000000"/>
          <w:spacing w:val="-2"/>
          <w:sz w:val="22"/>
          <w:szCs w:val="22"/>
          <w:lang w:val="en-CA"/>
        </w:rPr>
        <w:t>Table 6: Evaluation Ratings Table for Fiji Ridge to Reef Project</w:t>
      </w:r>
    </w:p>
    <w:p w14:paraId="2E4F3D47" w14:textId="77777777" w:rsidR="007372B6" w:rsidRDefault="00000000">
      <w:pPr>
        <w:widowControl w:val="0"/>
        <w:tabs>
          <w:tab w:val="left" w:pos="1980"/>
        </w:tabs>
        <w:spacing w:line="312" w:lineRule="auto"/>
        <w:rPr>
          <w:rFonts w:asciiTheme="minorHAnsi" w:hAnsiTheme="minorHAnsi" w:cstheme="minorHAnsi"/>
          <w:sz w:val="22"/>
          <w:szCs w:val="22"/>
        </w:rPr>
      </w:pPr>
      <w:r>
        <w:rPr>
          <w:rFonts w:asciiTheme="minorHAnsi" w:eastAsia="Calibri" w:hAnsiTheme="minorHAnsi" w:cstheme="minorHAnsi"/>
          <w:color w:val="000000"/>
          <w:spacing w:val="-2"/>
          <w:sz w:val="22"/>
          <w:szCs w:val="22"/>
          <w:lang w:val="en-CA"/>
        </w:rPr>
        <w:t>Table 7: Recommendations</w:t>
      </w:r>
    </w:p>
    <w:p w14:paraId="30EE9566" w14:textId="77777777" w:rsidR="007372B6" w:rsidRDefault="007372B6">
      <w:pPr>
        <w:pStyle w:val="BodyText"/>
        <w:spacing w:after="170" w:line="259" w:lineRule="auto"/>
        <w:contextualSpacing/>
        <w:rPr>
          <w:rFonts w:ascii="Calibri" w:eastAsia="Calibri" w:hAnsi="Calibri" w:cs="Calibri"/>
          <w:iCs/>
          <w:color w:val="000000"/>
          <w:sz w:val="22"/>
          <w:szCs w:val="22"/>
          <w:lang w:val="en-CA" w:eastAsia="en-US"/>
        </w:rPr>
      </w:pPr>
    </w:p>
    <w:p w14:paraId="4BE64445" w14:textId="77777777" w:rsidR="007372B6" w:rsidRDefault="00000000">
      <w:pPr>
        <w:pStyle w:val="BodyText"/>
        <w:spacing w:after="170" w:line="259" w:lineRule="auto"/>
        <w:contextualSpacing/>
      </w:pPr>
      <w:r>
        <w:rPr>
          <w:rFonts w:ascii="Calibri" w:eastAsiaTheme="minorHAnsi" w:hAnsi="Calibri" w:cs="Calibri"/>
          <w:b/>
          <w:bCs/>
          <w:iCs/>
          <w:color w:val="000000"/>
          <w:lang w:val="en-CA"/>
        </w:rPr>
        <w:t xml:space="preserve">List of </w:t>
      </w:r>
      <w:r>
        <w:rPr>
          <w:rFonts w:ascii="Calibri" w:eastAsia="Bookman Old Style" w:hAnsi="Calibri" w:cs="Calibri"/>
          <w:b/>
          <w:iCs/>
          <w:color w:val="000000"/>
          <w:lang w:val="en-CA"/>
        </w:rPr>
        <w:t>Annexes: A</w:t>
      </w:r>
      <w:r>
        <w:rPr>
          <w:rFonts w:asciiTheme="minorHAnsi" w:eastAsia="Bookman Old Style" w:hAnsiTheme="minorHAnsi" w:cstheme="minorHAnsi"/>
          <w:b/>
          <w:bCs/>
          <w:iCs/>
          <w:color w:val="000000"/>
          <w:lang w:val="en-CA"/>
        </w:rPr>
        <w:t>ttached as a separate document</w:t>
      </w:r>
      <w:r>
        <w:rPr>
          <w:rFonts w:ascii="Calibri" w:eastAsia="Bookman Old Style" w:hAnsi="Calibri" w:cs="Calibri"/>
          <w:b/>
          <w:iCs/>
          <w:color w:val="000000"/>
          <w:lang w:val="en-CA"/>
        </w:rPr>
        <w:t xml:space="preserve"> (</w:t>
      </w:r>
      <w:r>
        <w:rPr>
          <w:rFonts w:asciiTheme="minorHAnsi" w:eastAsia="Bookman Old Style" w:hAnsiTheme="minorHAnsi" w:cstheme="minorHAnsi"/>
          <w:b/>
          <w:bCs/>
          <w:iCs/>
          <w:color w:val="000000"/>
          <w:lang w:val="en-CA"/>
        </w:rPr>
        <w:t xml:space="preserve">Volume II – </w:t>
      </w:r>
      <w:proofErr w:type="gramStart"/>
      <w:r>
        <w:rPr>
          <w:rFonts w:asciiTheme="minorHAnsi" w:eastAsia="Bookman Old Style" w:hAnsiTheme="minorHAnsi" w:cstheme="minorHAnsi"/>
          <w:b/>
          <w:bCs/>
          <w:iCs/>
          <w:color w:val="000000"/>
          <w:lang w:val="en-CA"/>
        </w:rPr>
        <w:t>Annexes)*</w:t>
      </w:r>
      <w:proofErr w:type="gramEnd"/>
    </w:p>
    <w:p w14:paraId="5BD5D937" w14:textId="77777777" w:rsidR="007372B6" w:rsidRDefault="00000000">
      <w:pPr>
        <w:spacing w:after="160" w:line="312" w:lineRule="auto"/>
        <w:contextualSpacing/>
      </w:pPr>
      <w:r>
        <w:rPr>
          <w:rFonts w:asciiTheme="minorHAnsi" w:hAnsiTheme="minorHAnsi" w:cstheme="minorHAnsi"/>
          <w:color w:val="000000"/>
          <w:sz w:val="22"/>
          <w:szCs w:val="22"/>
        </w:rPr>
        <w:t xml:space="preserve">1. </w:t>
      </w:r>
      <w:r>
        <w:rPr>
          <w:rFonts w:ascii="Calibri" w:hAnsi="Calibri" w:cs="Calibri"/>
          <w:color w:val="000000"/>
          <w:sz w:val="22"/>
          <w:szCs w:val="22"/>
        </w:rPr>
        <w:t>Terms of Reference for the Terminal Evaluation</w:t>
      </w:r>
      <w:r>
        <w:rPr>
          <w:rFonts w:asciiTheme="minorHAnsi" w:hAnsiTheme="minorHAnsi" w:cstheme="minorHAnsi"/>
          <w:color w:val="000000"/>
          <w:sz w:val="22"/>
          <w:szCs w:val="22"/>
        </w:rPr>
        <w:t xml:space="preserve"> </w:t>
      </w:r>
    </w:p>
    <w:p w14:paraId="35FAFE21" w14:textId="77777777" w:rsidR="007372B6" w:rsidRDefault="00000000">
      <w:pPr>
        <w:spacing w:after="160" w:line="312" w:lineRule="auto"/>
        <w:contextualSpacing/>
      </w:pPr>
      <w:r>
        <w:rPr>
          <w:rFonts w:asciiTheme="minorHAnsi" w:hAnsiTheme="minorHAnsi" w:cstheme="minorHAnsi"/>
          <w:color w:val="000000"/>
          <w:sz w:val="22"/>
          <w:szCs w:val="22"/>
        </w:rPr>
        <w:t xml:space="preserve">2. Fiji R2R </w:t>
      </w:r>
      <w:r>
        <w:rPr>
          <w:rFonts w:ascii="Calibri" w:eastAsia="Calibri" w:hAnsi="Calibri" w:cs="Calibri"/>
          <w:iCs/>
          <w:color w:val="000000"/>
          <w:sz w:val="22"/>
          <w:szCs w:val="22"/>
        </w:rPr>
        <w:t xml:space="preserve">Strategic </w:t>
      </w:r>
      <w:r>
        <w:rPr>
          <w:rFonts w:asciiTheme="minorHAnsi" w:hAnsiTheme="minorHAnsi" w:cstheme="minorHAnsi"/>
          <w:color w:val="000000"/>
          <w:sz w:val="22"/>
          <w:szCs w:val="22"/>
        </w:rPr>
        <w:t xml:space="preserve">Results Framework </w:t>
      </w:r>
    </w:p>
    <w:p w14:paraId="78F40815" w14:textId="77777777" w:rsidR="007372B6" w:rsidRDefault="00000000">
      <w:pPr>
        <w:spacing w:after="160" w:line="312" w:lineRule="auto"/>
        <w:contextualSpacing/>
      </w:pPr>
      <w:r>
        <w:rPr>
          <w:rFonts w:asciiTheme="minorHAnsi" w:hAnsiTheme="minorHAnsi" w:cstheme="minorHAnsi"/>
          <w:color w:val="000000"/>
          <w:sz w:val="22"/>
          <w:szCs w:val="22"/>
        </w:rPr>
        <w:t>3. Fiji R2R Project Targets</w:t>
      </w:r>
    </w:p>
    <w:p w14:paraId="44E71480" w14:textId="77777777" w:rsidR="007372B6" w:rsidRDefault="00000000">
      <w:pPr>
        <w:spacing w:after="160" w:line="312" w:lineRule="auto"/>
        <w:contextualSpacing/>
      </w:pPr>
      <w:r>
        <w:rPr>
          <w:rFonts w:asciiTheme="minorHAnsi" w:hAnsiTheme="minorHAnsi" w:cstheme="minorHAnsi"/>
          <w:color w:val="000000"/>
          <w:sz w:val="22"/>
          <w:szCs w:val="22"/>
        </w:rPr>
        <w:t>4. Post-project Exit Strategy Action Plan Status</w:t>
      </w:r>
    </w:p>
    <w:p w14:paraId="700A4A8A" w14:textId="77777777" w:rsidR="007372B6" w:rsidRDefault="00000000">
      <w:pPr>
        <w:spacing w:after="160" w:line="312" w:lineRule="auto"/>
        <w:contextualSpacing/>
      </w:pPr>
      <w:r>
        <w:rPr>
          <w:rFonts w:asciiTheme="minorHAnsi" w:hAnsiTheme="minorHAnsi" w:cstheme="minorHAnsi"/>
          <w:color w:val="000000"/>
          <w:sz w:val="22"/>
          <w:szCs w:val="22"/>
        </w:rPr>
        <w:t xml:space="preserve">5. List of </w:t>
      </w:r>
      <w:r>
        <w:rPr>
          <w:rFonts w:asciiTheme="minorHAnsi" w:eastAsiaTheme="minorHAnsi" w:hAnsiTheme="minorHAnsi" w:cstheme="minorHAnsi"/>
          <w:color w:val="000000"/>
          <w:sz w:val="22"/>
          <w:szCs w:val="22"/>
          <w:lang w:val="en-CA" w:eastAsia="en-US"/>
        </w:rPr>
        <w:t>persons interviewed</w:t>
      </w:r>
    </w:p>
    <w:p w14:paraId="55DA7A61" w14:textId="77777777" w:rsidR="007372B6" w:rsidRDefault="00000000">
      <w:pPr>
        <w:spacing w:after="160" w:line="312" w:lineRule="auto"/>
        <w:contextualSpacing/>
      </w:pPr>
      <w:r>
        <w:rPr>
          <w:rFonts w:asciiTheme="minorHAnsi" w:hAnsiTheme="minorHAnsi" w:cstheme="minorHAnsi"/>
          <w:color w:val="000000"/>
          <w:sz w:val="22"/>
          <w:szCs w:val="22"/>
        </w:rPr>
        <w:t xml:space="preserve">6. List of Documents </w:t>
      </w:r>
      <w:r>
        <w:rPr>
          <w:rFonts w:asciiTheme="minorHAnsi" w:eastAsiaTheme="minorHAnsi" w:hAnsiTheme="minorHAnsi" w:cstheme="minorHAnsi"/>
          <w:color w:val="000000"/>
          <w:sz w:val="22"/>
          <w:szCs w:val="22"/>
          <w:lang w:val="en-CA" w:eastAsia="en-US"/>
        </w:rPr>
        <w:t xml:space="preserve">reviewed </w:t>
      </w:r>
    </w:p>
    <w:p w14:paraId="3995CAF5" w14:textId="77777777" w:rsidR="007372B6" w:rsidRDefault="00000000">
      <w:pPr>
        <w:spacing w:after="160" w:line="312" w:lineRule="auto"/>
        <w:contextualSpacing/>
      </w:pPr>
      <w:r>
        <w:rPr>
          <w:rFonts w:ascii="Calibri" w:hAnsi="Calibri" w:cs="Calibri"/>
          <w:color w:val="000000"/>
          <w:sz w:val="22"/>
          <w:szCs w:val="22"/>
        </w:rPr>
        <w:t xml:space="preserve">7. </w:t>
      </w:r>
      <w:r>
        <w:rPr>
          <w:rFonts w:ascii="Calibri" w:hAnsi="Calibri" w:cs="Calibri"/>
          <w:sz w:val="22"/>
          <w:szCs w:val="22"/>
        </w:rPr>
        <w:t>Lessons from Other Pacific R2R Projects</w:t>
      </w:r>
    </w:p>
    <w:p w14:paraId="4297EC2D" w14:textId="77777777" w:rsidR="007372B6" w:rsidRDefault="00000000">
      <w:pPr>
        <w:spacing w:after="160" w:line="312" w:lineRule="auto"/>
        <w:contextualSpacing/>
        <w:rPr>
          <w:rFonts w:asciiTheme="minorHAnsi" w:eastAsiaTheme="minorHAnsi" w:hAnsiTheme="minorHAnsi" w:cstheme="minorHAnsi"/>
        </w:rPr>
      </w:pPr>
      <w:r>
        <w:rPr>
          <w:rFonts w:ascii="Calibri" w:eastAsiaTheme="minorHAnsi" w:hAnsi="Calibri" w:cstheme="minorHAnsi"/>
          <w:color w:val="000000"/>
          <w:sz w:val="22"/>
          <w:szCs w:val="22"/>
          <w:lang w:val="en-CA" w:eastAsia="en-US"/>
        </w:rPr>
        <w:t xml:space="preserve">8: TE Mission itinerary </w:t>
      </w:r>
    </w:p>
    <w:p w14:paraId="594C45A6" w14:textId="77777777" w:rsidR="007372B6" w:rsidRDefault="00000000">
      <w:pPr>
        <w:spacing w:line="312" w:lineRule="auto"/>
      </w:pPr>
      <w:r>
        <w:rPr>
          <w:rFonts w:asciiTheme="minorHAnsi" w:eastAsiaTheme="minorHAnsi" w:hAnsiTheme="minorHAnsi" w:cstheme="minorHAnsi"/>
          <w:color w:val="000000"/>
          <w:sz w:val="22"/>
          <w:szCs w:val="22"/>
          <w:lang w:eastAsia="en-US"/>
        </w:rPr>
        <w:t>9. Synopsis of Field Visits to Communities</w:t>
      </w:r>
    </w:p>
    <w:p w14:paraId="5E18E032" w14:textId="77777777" w:rsidR="007372B6" w:rsidRDefault="00000000">
      <w:pPr>
        <w:spacing w:line="312" w:lineRule="auto"/>
      </w:pPr>
      <w:r>
        <w:rPr>
          <w:rFonts w:asciiTheme="minorHAnsi" w:eastAsiaTheme="minorHAnsi" w:hAnsiTheme="minorHAnsi" w:cstheme="minorHAnsi"/>
          <w:color w:val="000000"/>
          <w:sz w:val="22"/>
          <w:szCs w:val="22"/>
          <w:lang w:eastAsia="en-US"/>
        </w:rPr>
        <w:t xml:space="preserve">10. </w:t>
      </w:r>
      <w:r>
        <w:rPr>
          <w:rFonts w:ascii="Calibri" w:eastAsia="Bookman Old Style" w:hAnsi="Calibri" w:cs="Calibri"/>
          <w:iCs/>
          <w:color w:val="000000"/>
          <w:w w:val="105"/>
          <w:sz w:val="22"/>
          <w:szCs w:val="20"/>
          <w:lang w:val="en-CA"/>
        </w:rPr>
        <w:t>Overview of Local Administration and Community Stakeholder Engagement</w:t>
      </w:r>
    </w:p>
    <w:p w14:paraId="7B5DD7C5" w14:textId="77777777" w:rsidR="007372B6" w:rsidRDefault="00000000">
      <w:pPr>
        <w:spacing w:line="312" w:lineRule="auto"/>
      </w:pPr>
      <w:r>
        <w:rPr>
          <w:rFonts w:asciiTheme="minorHAnsi" w:eastAsiaTheme="minorHAnsi" w:hAnsiTheme="minorHAnsi" w:cstheme="minorHAnsi"/>
          <w:color w:val="000000"/>
          <w:sz w:val="22"/>
          <w:szCs w:val="22"/>
          <w:lang w:eastAsia="en-US"/>
        </w:rPr>
        <w:t xml:space="preserve">11. </w:t>
      </w:r>
      <w:r>
        <w:rPr>
          <w:rFonts w:ascii="Calibri" w:eastAsia="Bookman Old Style" w:hAnsi="Calibri" w:cs="Calibri"/>
          <w:iCs/>
          <w:color w:val="000000"/>
          <w:w w:val="105"/>
          <w:sz w:val="22"/>
          <w:szCs w:val="20"/>
        </w:rPr>
        <w:t>Annual Budgets and Expenditures by Outcome</w:t>
      </w:r>
    </w:p>
    <w:p w14:paraId="5A2B9933" w14:textId="77777777" w:rsidR="007372B6" w:rsidRDefault="00000000">
      <w:pPr>
        <w:tabs>
          <w:tab w:val="left" w:pos="1620"/>
        </w:tabs>
        <w:spacing w:line="312" w:lineRule="auto"/>
      </w:pPr>
      <w:r>
        <w:rPr>
          <w:rFonts w:ascii="Calibri" w:eastAsiaTheme="minorHAnsi" w:hAnsi="Calibri" w:cstheme="minorHAnsi"/>
          <w:color w:val="000000"/>
          <w:sz w:val="22"/>
          <w:szCs w:val="22"/>
          <w:lang w:eastAsia="en-US"/>
        </w:rPr>
        <w:t>12. Signed UNEG Code of Conduct form</w:t>
      </w:r>
    </w:p>
    <w:p w14:paraId="55A12473" w14:textId="77777777" w:rsidR="007372B6" w:rsidRDefault="00000000">
      <w:pPr>
        <w:tabs>
          <w:tab w:val="left" w:pos="1620"/>
        </w:tabs>
        <w:spacing w:line="312" w:lineRule="auto"/>
      </w:pPr>
      <w:r>
        <w:rPr>
          <w:rFonts w:ascii="Calibri" w:eastAsiaTheme="minorHAnsi" w:hAnsi="Calibri" w:cstheme="minorHAnsi"/>
          <w:color w:val="000000"/>
          <w:sz w:val="22"/>
          <w:szCs w:val="22"/>
          <w:lang w:eastAsia="en-US"/>
        </w:rPr>
        <w:t xml:space="preserve">13. </w:t>
      </w:r>
      <w:r>
        <w:rPr>
          <w:rFonts w:ascii="Calibri" w:eastAsia="Bookman Old Style" w:hAnsi="Calibri" w:cs="Calibri"/>
          <w:iCs/>
          <w:color w:val="000000"/>
          <w:w w:val="105"/>
          <w:sz w:val="22"/>
          <w:szCs w:val="20"/>
          <w:lang w:val="en-CA"/>
        </w:rPr>
        <w:t>Diagram of a Whole Watershed Perspective</w:t>
      </w:r>
    </w:p>
    <w:p w14:paraId="22003156" w14:textId="77777777" w:rsidR="007372B6" w:rsidRDefault="00000000">
      <w:pPr>
        <w:tabs>
          <w:tab w:val="left" w:pos="1620"/>
        </w:tabs>
        <w:spacing w:line="312" w:lineRule="auto"/>
        <w:rPr>
          <w:rFonts w:ascii="Calibri" w:eastAsia="Calibri" w:hAnsi="Calibri" w:cs="Calibri"/>
          <w:b/>
          <w:bCs/>
          <w:iCs/>
          <w:color w:val="000000"/>
          <w:w w:val="105"/>
          <w:sz w:val="22"/>
          <w:szCs w:val="22"/>
          <w:lang w:val="en-CA" w:eastAsia="en-US"/>
        </w:rPr>
      </w:pPr>
      <w:r>
        <w:rPr>
          <w:rFonts w:ascii="Calibri" w:eastAsia="Bookman Old Style" w:hAnsi="Calibri" w:cstheme="minorHAnsi"/>
          <w:iCs/>
          <w:color w:val="000000"/>
          <w:w w:val="105"/>
          <w:sz w:val="22"/>
          <w:szCs w:val="20"/>
          <w:lang w:val="en-CA"/>
        </w:rPr>
        <w:t xml:space="preserve">14. </w:t>
      </w:r>
      <w:r>
        <w:rPr>
          <w:rFonts w:asciiTheme="minorHAnsi" w:eastAsiaTheme="minorHAnsi" w:hAnsiTheme="minorHAnsi" w:cstheme="minorHAnsi"/>
          <w:iCs/>
          <w:color w:val="000000"/>
          <w:w w:val="105"/>
          <w:sz w:val="22"/>
          <w:szCs w:val="22"/>
          <w:lang w:val="en-CA" w:eastAsia="en-US"/>
        </w:rPr>
        <w:t xml:space="preserve">Evaluation Matrix </w:t>
      </w:r>
      <w:r>
        <w:rPr>
          <w:rFonts w:ascii="Calibri" w:eastAsiaTheme="minorHAnsi" w:hAnsi="Calibri" w:cstheme="minorHAnsi"/>
          <w:iCs/>
          <w:color w:val="000000"/>
          <w:w w:val="105"/>
          <w:sz w:val="22"/>
          <w:szCs w:val="22"/>
          <w:lang w:val="en-CA" w:eastAsia="en-US"/>
        </w:rPr>
        <w:t>(evaluation criteria with key questions, indicators, sources of data, &amp; methodology)</w:t>
      </w:r>
    </w:p>
    <w:p w14:paraId="7C7176BF" w14:textId="77777777" w:rsidR="007372B6" w:rsidRDefault="00000000">
      <w:pPr>
        <w:tabs>
          <w:tab w:val="left" w:pos="1620"/>
        </w:tabs>
        <w:spacing w:line="312" w:lineRule="auto"/>
        <w:rPr>
          <w:rFonts w:asciiTheme="minorHAnsi" w:eastAsiaTheme="minorHAnsi" w:hAnsiTheme="minorHAnsi" w:cstheme="minorHAnsi"/>
        </w:rPr>
      </w:pPr>
      <w:r>
        <w:rPr>
          <w:rFonts w:ascii="Calibri" w:eastAsiaTheme="minorHAnsi" w:hAnsi="Calibri" w:cstheme="minorHAnsi"/>
          <w:iCs/>
          <w:color w:val="000000"/>
          <w:w w:val="105"/>
          <w:sz w:val="22"/>
          <w:szCs w:val="22"/>
          <w:lang w:val="en-CA" w:eastAsia="en-US"/>
        </w:rPr>
        <w:t>15.</w:t>
      </w:r>
      <w:r>
        <w:rPr>
          <w:rFonts w:asciiTheme="minorHAnsi" w:eastAsiaTheme="minorHAnsi" w:hAnsiTheme="minorHAnsi" w:cstheme="minorHAnsi"/>
          <w:iCs/>
          <w:color w:val="000000"/>
          <w:w w:val="105"/>
          <w:sz w:val="22"/>
          <w:szCs w:val="22"/>
          <w:lang w:val="en-CA" w:eastAsia="en-US"/>
        </w:rPr>
        <w:t xml:space="preserve"> TE Report Clearance Form</w:t>
      </w:r>
    </w:p>
    <w:p w14:paraId="27E57AAB" w14:textId="77777777" w:rsidR="007372B6" w:rsidRDefault="007372B6">
      <w:pPr>
        <w:tabs>
          <w:tab w:val="left" w:pos="1620"/>
        </w:tabs>
        <w:spacing w:line="312" w:lineRule="auto"/>
        <w:rPr>
          <w:rFonts w:asciiTheme="minorHAnsi" w:eastAsiaTheme="minorHAnsi" w:hAnsiTheme="minorHAnsi" w:cstheme="minorHAnsi"/>
          <w:iCs/>
          <w:color w:val="000000"/>
          <w:w w:val="105"/>
          <w:sz w:val="22"/>
          <w:szCs w:val="22"/>
          <w:lang w:val="en-CA" w:eastAsia="en-US"/>
        </w:rPr>
      </w:pPr>
    </w:p>
    <w:p w14:paraId="299FC093" w14:textId="77777777" w:rsidR="007372B6" w:rsidRDefault="007372B6">
      <w:pPr>
        <w:ind w:left="720"/>
        <w:rPr>
          <w:rFonts w:ascii="Open Sans" w:eastAsia="Open Sans" w:hAnsi="Open Sans" w:cs="Open Sans"/>
          <w:color w:val="000000"/>
          <w:sz w:val="21"/>
          <w:szCs w:val="21"/>
        </w:rPr>
      </w:pPr>
    </w:p>
    <w:p w14:paraId="70AB81B2" w14:textId="77777777" w:rsidR="007372B6" w:rsidRDefault="00000000">
      <w:r>
        <w:br w:type="page"/>
      </w:r>
    </w:p>
    <w:p w14:paraId="7E9B6FA3" w14:textId="77777777" w:rsidR="007372B6" w:rsidRDefault="00000000">
      <w:pPr>
        <w:spacing w:after="113" w:line="259" w:lineRule="auto"/>
        <w:contextualSpacing/>
        <w:jc w:val="center"/>
        <w:rPr>
          <w:b/>
          <w:bCs/>
        </w:rPr>
      </w:pPr>
      <w:r>
        <w:rPr>
          <w:rFonts w:ascii="Calibri" w:hAnsi="Calibri"/>
          <w:b/>
          <w:bCs/>
          <w:iCs/>
          <w:color w:val="0000FF"/>
          <w:sz w:val="28"/>
          <w:szCs w:val="28"/>
          <w:lang w:eastAsia="en-US"/>
        </w:rPr>
        <w:lastRenderedPageBreak/>
        <w:t>Acronyms and Abbreviations</w:t>
      </w:r>
    </w:p>
    <w:p w14:paraId="2C16C8A9" w14:textId="77777777" w:rsidR="007372B6" w:rsidRDefault="00000000">
      <w:pPr>
        <w:pStyle w:val="BodyText"/>
        <w:spacing w:after="0"/>
        <w:contextualSpacing/>
        <w:rPr>
          <w:rFonts w:ascii="Calibri" w:eastAsia="Calibri" w:hAnsi="Calibri"/>
          <w:sz w:val="20"/>
          <w:lang w:val="en-CA" w:eastAsia="en-US"/>
        </w:rPr>
      </w:pPr>
      <w:r>
        <w:rPr>
          <w:rFonts w:ascii="Calibri" w:eastAsia="Calibri" w:hAnsi="Calibri"/>
          <w:color w:val="000000"/>
          <w:sz w:val="22"/>
          <w:szCs w:val="22"/>
          <w:lang w:val="en-CA" w:eastAsia="en-US"/>
        </w:rPr>
        <w:t xml:space="preserve">APR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Annual Project Review</w:t>
      </w:r>
    </w:p>
    <w:p w14:paraId="011CCC65"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BD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Biodiversity</w:t>
      </w:r>
      <w:r>
        <w:rPr>
          <w:rFonts w:ascii="Calibri" w:eastAsia="Calibri" w:hAnsi="Calibri"/>
          <w:color w:val="000000"/>
          <w:sz w:val="22"/>
          <w:szCs w:val="22"/>
          <w:lang w:val="en-CA" w:eastAsia="en-US"/>
        </w:rPr>
        <w:br/>
        <w:t xml:space="preserve">CBD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Convention on Biological Diversity</w:t>
      </w:r>
      <w:r>
        <w:rPr>
          <w:rFonts w:ascii="Calibri" w:eastAsia="Calibri" w:hAnsi="Calibri"/>
          <w:color w:val="000000"/>
          <w:sz w:val="22"/>
          <w:szCs w:val="22"/>
          <w:lang w:val="en-CA" w:eastAsia="en-US"/>
        </w:rPr>
        <w:br/>
        <w:t xml:space="preserve">CC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Climate Change </w:t>
      </w:r>
      <w:r>
        <w:rPr>
          <w:rFonts w:ascii="Calibri" w:eastAsia="Calibri" w:hAnsi="Calibri"/>
          <w:color w:val="000000"/>
          <w:sz w:val="22"/>
          <w:szCs w:val="22"/>
          <w:lang w:val="en-CA" w:eastAsia="en-US"/>
        </w:rPr>
        <w:br/>
        <w:t xml:space="preserve">CCA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Climate Change Adaptation</w:t>
      </w:r>
      <w:r>
        <w:rPr>
          <w:rFonts w:ascii="Calibri" w:eastAsia="Calibri" w:hAnsi="Calibri"/>
          <w:color w:val="000000"/>
          <w:sz w:val="22"/>
          <w:szCs w:val="22"/>
          <w:lang w:val="en-CA" w:eastAsia="en-US"/>
        </w:rPr>
        <w:br/>
        <w:t xml:space="preserve">CI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Conservation International</w:t>
      </w:r>
      <w:r>
        <w:rPr>
          <w:rFonts w:ascii="Calibri" w:eastAsia="Calibri" w:hAnsi="Calibri"/>
          <w:color w:val="000000"/>
          <w:sz w:val="22"/>
          <w:szCs w:val="22"/>
          <w:lang w:val="en-CA" w:eastAsia="en-US"/>
        </w:rPr>
        <w:br/>
        <w:t xml:space="preserve">CBO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Community Based Organization</w:t>
      </w:r>
    </w:p>
    <w:p w14:paraId="48D9FFBB"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CMC</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Catchment management committee</w:t>
      </w:r>
    </w:p>
    <w:p w14:paraId="6E3475E2"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CSO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Civil Society Organization</w:t>
      </w:r>
    </w:p>
    <w:p w14:paraId="6D9B594F"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DIM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Direct Implementation Modality</w:t>
      </w:r>
    </w:p>
    <w:p w14:paraId="7BBE0F6D" w14:textId="77777777" w:rsidR="007372B6" w:rsidRDefault="00000000">
      <w:pPr>
        <w:pStyle w:val="BodyText"/>
        <w:spacing w:after="0"/>
        <w:contextualSpacing/>
        <w:rPr>
          <w:rFonts w:ascii="Calibri" w:eastAsia="Calibri" w:hAnsi="Calibri"/>
          <w:color w:val="000000"/>
          <w:sz w:val="22"/>
          <w:szCs w:val="22"/>
          <w:lang w:val="en-CA" w:eastAsia="en-US"/>
        </w:rPr>
      </w:pPr>
      <w:proofErr w:type="spellStart"/>
      <w:r>
        <w:rPr>
          <w:rFonts w:ascii="Calibri" w:eastAsia="Calibri" w:hAnsi="Calibri"/>
          <w:color w:val="000000"/>
          <w:sz w:val="22"/>
          <w:szCs w:val="22"/>
          <w:lang w:val="en-CA" w:eastAsia="en-US"/>
        </w:rPr>
        <w:t>DoA</w:t>
      </w:r>
      <w:proofErr w:type="spellEnd"/>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Department of Agriculture</w:t>
      </w:r>
    </w:p>
    <w:p w14:paraId="4562BFCF"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DoE</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Department of Environment</w:t>
      </w:r>
    </w:p>
    <w:p w14:paraId="786541BC" w14:textId="77777777" w:rsidR="007372B6" w:rsidRDefault="00000000">
      <w:pPr>
        <w:pStyle w:val="BodyText"/>
        <w:spacing w:after="0"/>
        <w:contextualSpacing/>
        <w:rPr>
          <w:rFonts w:ascii="Calibri" w:eastAsia="Calibri" w:hAnsi="Calibri"/>
          <w:color w:val="000000"/>
          <w:sz w:val="22"/>
          <w:szCs w:val="22"/>
          <w:lang w:val="en-CA" w:eastAsia="en-US"/>
        </w:rPr>
      </w:pPr>
      <w:proofErr w:type="spellStart"/>
      <w:r>
        <w:rPr>
          <w:rFonts w:ascii="Calibri" w:eastAsia="Calibri" w:hAnsi="Calibri"/>
          <w:color w:val="000000"/>
          <w:sz w:val="22"/>
          <w:szCs w:val="22"/>
          <w:lang w:val="en-CA" w:eastAsia="en-US"/>
        </w:rPr>
        <w:t>DoF</w:t>
      </w:r>
      <w:proofErr w:type="spellEnd"/>
      <w:r>
        <w:rPr>
          <w:rFonts w:ascii="Calibri" w:eastAsia="Calibri" w:hAnsi="Calibri"/>
          <w:color w:val="000000"/>
          <w:sz w:val="22"/>
          <w:szCs w:val="22"/>
          <w:lang w:val="en-CA" w:eastAsia="en-US"/>
        </w:rPr>
        <w:t xml:space="preserve">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Department of Forestry</w:t>
      </w:r>
    </w:p>
    <w:p w14:paraId="5F97CBD2" w14:textId="77777777" w:rsidR="007372B6" w:rsidRDefault="00000000">
      <w:pPr>
        <w:pStyle w:val="BodyText"/>
        <w:spacing w:after="0"/>
        <w:contextualSpacing/>
        <w:rPr>
          <w:rFonts w:ascii="Calibri" w:eastAsia="Calibri" w:hAnsi="Calibri"/>
          <w:color w:val="000000"/>
          <w:sz w:val="22"/>
          <w:szCs w:val="22"/>
          <w:lang w:val="en-CA" w:eastAsia="en-US"/>
        </w:rPr>
      </w:pPr>
      <w:proofErr w:type="spellStart"/>
      <w:r>
        <w:rPr>
          <w:rFonts w:ascii="Calibri" w:eastAsia="Calibri" w:hAnsi="Calibri"/>
          <w:color w:val="000000"/>
          <w:sz w:val="22"/>
          <w:szCs w:val="22"/>
          <w:lang w:val="en-CA" w:eastAsia="en-US"/>
        </w:rPr>
        <w:t>DoFish</w:t>
      </w:r>
      <w:proofErr w:type="spellEnd"/>
      <w:r>
        <w:rPr>
          <w:rFonts w:ascii="Calibri" w:eastAsia="Calibri" w:hAnsi="Calibri"/>
          <w:color w:val="000000"/>
          <w:sz w:val="22"/>
          <w:szCs w:val="22"/>
          <w:lang w:val="en-CA" w:eastAsia="en-US"/>
        </w:rPr>
        <w:t xml:space="preserve">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Department of Fisheries</w:t>
      </w:r>
    </w:p>
    <w:p w14:paraId="5D732150"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DoT</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Department of Tourism</w:t>
      </w:r>
    </w:p>
    <w:p w14:paraId="24D1D4BA"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EEZ</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Exclusive Economic Zone</w:t>
      </w:r>
    </w:p>
    <w:p w14:paraId="20DAB52B"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EU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European Union</w:t>
      </w:r>
    </w:p>
    <w:p w14:paraId="0165050C"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FLMMA </w:t>
      </w:r>
      <w:r>
        <w:rPr>
          <w:rFonts w:ascii="Calibri" w:eastAsia="Calibri" w:hAnsi="Calibri"/>
          <w:color w:val="000000"/>
          <w:sz w:val="22"/>
          <w:szCs w:val="22"/>
          <w:lang w:val="en-CA" w:eastAsia="en-US"/>
        </w:rPr>
        <w:tab/>
        <w:t>Fiji Locally Managed Marine Areas</w:t>
      </w:r>
    </w:p>
    <w:p w14:paraId="1B7F4958"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FPL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Fiji Pine Limited</w:t>
      </w:r>
    </w:p>
    <w:p w14:paraId="7D2D8058"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FSC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Forest Stewardship Council</w:t>
      </w:r>
    </w:p>
    <w:p w14:paraId="55A1B155"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GEF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Global Environment Facility</w:t>
      </w:r>
    </w:p>
    <w:p w14:paraId="371CE7C4"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GIS</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Geographic Information System</w:t>
      </w:r>
      <w:r>
        <w:rPr>
          <w:rFonts w:ascii="Calibri" w:eastAsia="Calibri" w:hAnsi="Calibri"/>
          <w:color w:val="000000"/>
          <w:sz w:val="22"/>
          <w:szCs w:val="22"/>
          <w:lang w:val="en-CA" w:eastAsia="en-US"/>
        </w:rPr>
        <w:br/>
      </w:r>
      <w:proofErr w:type="spellStart"/>
      <w:r>
        <w:rPr>
          <w:rFonts w:ascii="Calibri" w:eastAsia="Calibri" w:hAnsi="Calibri"/>
          <w:color w:val="000000"/>
          <w:sz w:val="22"/>
          <w:szCs w:val="22"/>
          <w:lang w:val="en-CA" w:eastAsia="en-US"/>
        </w:rPr>
        <w:t>GoF</w:t>
      </w:r>
      <w:proofErr w:type="spellEnd"/>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Government of Fiji</w:t>
      </w:r>
      <w:r>
        <w:rPr>
          <w:rFonts w:ascii="Calibri" w:eastAsia="Calibri" w:hAnsi="Calibri"/>
          <w:color w:val="000000"/>
          <w:sz w:val="22"/>
          <w:szCs w:val="22"/>
          <w:lang w:val="en-CA" w:eastAsia="en-US"/>
        </w:rPr>
        <w:br/>
        <w:t>Ha</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Hectare</w:t>
      </w:r>
      <w:r>
        <w:rPr>
          <w:rFonts w:ascii="Calibri" w:eastAsia="Calibri" w:hAnsi="Calibri"/>
          <w:color w:val="000000"/>
          <w:sz w:val="22"/>
          <w:szCs w:val="22"/>
          <w:lang w:val="en-CA" w:eastAsia="en-US"/>
        </w:rPr>
        <w:br/>
        <w:t>IAS</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Institute of Applied Science (of USP)</w:t>
      </w:r>
      <w:r>
        <w:rPr>
          <w:rFonts w:ascii="Calibri" w:eastAsia="Calibri" w:hAnsi="Calibri"/>
          <w:color w:val="000000"/>
          <w:sz w:val="22"/>
          <w:szCs w:val="22"/>
          <w:lang w:val="en-CA" w:eastAsia="en-US"/>
        </w:rPr>
        <w:br/>
        <w:t>ICCM</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Integrated Catchment and Coastal Management</w:t>
      </w:r>
      <w:r>
        <w:rPr>
          <w:rFonts w:ascii="Calibri" w:eastAsia="Calibri" w:hAnsi="Calibri"/>
          <w:color w:val="000000"/>
          <w:sz w:val="22"/>
          <w:szCs w:val="22"/>
          <w:lang w:val="en-CA" w:eastAsia="en-US"/>
        </w:rPr>
        <w:br/>
        <w:t>ICM</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Integrated Coastal Zone Management</w:t>
      </w:r>
    </w:p>
    <w:p w14:paraId="6AF41488"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IWRM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Integrated Water Resources Management</w:t>
      </w:r>
      <w:r>
        <w:rPr>
          <w:rFonts w:ascii="Calibri" w:eastAsia="Calibri" w:hAnsi="Calibri"/>
          <w:color w:val="000000"/>
          <w:sz w:val="22"/>
          <w:szCs w:val="22"/>
          <w:lang w:val="en-CA" w:eastAsia="en-US"/>
        </w:rPr>
        <w:br/>
        <w:t>IP</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Implementing Partner</w:t>
      </w:r>
      <w:r>
        <w:rPr>
          <w:rFonts w:ascii="Calibri" w:eastAsia="Calibri" w:hAnsi="Calibri"/>
          <w:color w:val="000000"/>
          <w:sz w:val="22"/>
          <w:szCs w:val="22"/>
          <w:lang w:val="en-CA" w:eastAsia="en-US"/>
        </w:rPr>
        <w:br/>
        <w:t xml:space="preserve">INRM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Integrated Natural Resources Management</w:t>
      </w:r>
    </w:p>
    <w:p w14:paraId="30C48671"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IUCN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International Union for Conservation of Nature</w:t>
      </w:r>
      <w:r>
        <w:rPr>
          <w:rFonts w:ascii="Calibri" w:eastAsia="Calibri" w:hAnsi="Calibri"/>
          <w:color w:val="000000"/>
          <w:sz w:val="22"/>
          <w:szCs w:val="22"/>
          <w:lang w:val="en-CA" w:eastAsia="en-US"/>
        </w:rPr>
        <w:br/>
        <w:t xml:space="preserve">KM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Knowledge Management</w:t>
      </w:r>
      <w:r>
        <w:rPr>
          <w:rFonts w:ascii="Calibri" w:eastAsia="Calibri" w:hAnsi="Calibri"/>
          <w:color w:val="000000"/>
          <w:sz w:val="22"/>
          <w:szCs w:val="22"/>
          <w:lang w:val="en-CA" w:eastAsia="en-US"/>
        </w:rPr>
        <w:br/>
        <w:t xml:space="preserve">LDCF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Least Developed Countries Fund</w:t>
      </w:r>
    </w:p>
    <w:p w14:paraId="7E665937"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LMMA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Locally Managed Marine Area</w:t>
      </w:r>
    </w:p>
    <w:p w14:paraId="37798DB7" w14:textId="77777777" w:rsidR="007372B6" w:rsidRDefault="00000000">
      <w:pPr>
        <w:pStyle w:val="BodyText"/>
        <w:spacing w:after="0"/>
        <w:contextualSpacing/>
        <w:rPr>
          <w:rFonts w:ascii="Calibri" w:eastAsia="Calibri" w:hAnsi="Calibri"/>
          <w:color w:val="000000"/>
          <w:sz w:val="22"/>
          <w:szCs w:val="22"/>
          <w:lang w:val="en-CA" w:eastAsia="en-US"/>
        </w:rPr>
      </w:pPr>
      <w:proofErr w:type="spellStart"/>
      <w:r>
        <w:rPr>
          <w:rFonts w:ascii="Calibri" w:eastAsia="Calibri" w:hAnsi="Calibri"/>
          <w:color w:val="000000"/>
          <w:sz w:val="22"/>
          <w:szCs w:val="22"/>
          <w:lang w:val="en-CA" w:eastAsia="en-US"/>
        </w:rPr>
        <w:t>LoA</w:t>
      </w:r>
      <w:proofErr w:type="spellEnd"/>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Letter of Agreement</w:t>
      </w:r>
    </w:p>
    <w:p w14:paraId="4D3E6D56"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LVG</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Low Value Grants</w:t>
      </w:r>
    </w:p>
    <w:p w14:paraId="6EF55D7F"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MCO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Multi-country Office (of UNDP)</w:t>
      </w:r>
    </w:p>
    <w:p w14:paraId="5610C87F"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MDG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Millennium Development Goal</w:t>
      </w:r>
    </w:p>
    <w:p w14:paraId="5CE8979C" w14:textId="77777777" w:rsidR="007372B6" w:rsidRDefault="00000000">
      <w:pPr>
        <w:pStyle w:val="BodyText"/>
        <w:spacing w:after="0"/>
        <w:contextualSpacing/>
        <w:rPr>
          <w:rFonts w:ascii="Calibri" w:eastAsia="Calibri" w:hAnsi="Calibri"/>
          <w:color w:val="000000"/>
          <w:sz w:val="22"/>
          <w:szCs w:val="22"/>
          <w:lang w:val="en-CA" w:eastAsia="en-US"/>
        </w:rPr>
      </w:pPr>
      <w:proofErr w:type="spellStart"/>
      <w:r>
        <w:rPr>
          <w:rFonts w:ascii="Calibri" w:eastAsia="Calibri" w:hAnsi="Calibri"/>
          <w:color w:val="000000"/>
          <w:sz w:val="22"/>
          <w:szCs w:val="22"/>
          <w:lang w:val="en-CA" w:eastAsia="en-US"/>
        </w:rPr>
        <w:t>MiTA</w:t>
      </w:r>
      <w:proofErr w:type="spellEnd"/>
      <w:r>
        <w:rPr>
          <w:rFonts w:ascii="Calibri" w:eastAsia="Calibri" w:hAnsi="Calibri"/>
          <w:color w:val="000000"/>
          <w:sz w:val="22"/>
          <w:szCs w:val="22"/>
          <w:lang w:val="en-CA" w:eastAsia="en-US"/>
        </w:rPr>
        <w:t xml:space="preserve">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 xml:space="preserve">Ministry of </w:t>
      </w:r>
      <w:proofErr w:type="spellStart"/>
      <w:r>
        <w:rPr>
          <w:rFonts w:ascii="Calibri" w:eastAsia="Calibri" w:hAnsi="Calibri"/>
          <w:color w:val="000000"/>
          <w:sz w:val="22"/>
          <w:szCs w:val="22"/>
          <w:lang w:val="en-CA" w:eastAsia="en-US"/>
        </w:rPr>
        <w:t>i-Taukei</w:t>
      </w:r>
      <w:proofErr w:type="spellEnd"/>
      <w:r>
        <w:rPr>
          <w:rFonts w:ascii="Calibri" w:eastAsia="Calibri" w:hAnsi="Calibri"/>
          <w:color w:val="000000"/>
          <w:sz w:val="22"/>
          <w:szCs w:val="22"/>
          <w:lang w:val="en-CA" w:eastAsia="en-US"/>
        </w:rPr>
        <w:t xml:space="preserve"> Affairs</w:t>
      </w:r>
    </w:p>
    <w:p w14:paraId="620D35F4"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MIT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Ministry of Infrastructure and Transport</w:t>
      </w:r>
    </w:p>
    <w:p w14:paraId="2FDBBC44" w14:textId="77777777" w:rsidR="007372B6" w:rsidRDefault="00000000">
      <w:pPr>
        <w:pStyle w:val="BodyText"/>
        <w:spacing w:after="0"/>
        <w:contextualSpacing/>
        <w:rPr>
          <w:rFonts w:ascii="Calibri" w:eastAsia="Calibri" w:hAnsi="Calibri"/>
          <w:color w:val="000000"/>
          <w:sz w:val="22"/>
          <w:szCs w:val="22"/>
          <w:lang w:val="en-CA" w:eastAsia="en-US"/>
        </w:rPr>
      </w:pPr>
      <w:proofErr w:type="spellStart"/>
      <w:r>
        <w:rPr>
          <w:rFonts w:ascii="Calibri" w:eastAsia="Calibri" w:hAnsi="Calibri"/>
          <w:color w:val="000000"/>
          <w:sz w:val="22"/>
          <w:szCs w:val="22"/>
          <w:lang w:val="en-CA" w:eastAsia="en-US"/>
        </w:rPr>
        <w:t>MoWE</w:t>
      </w:r>
      <w:proofErr w:type="spellEnd"/>
      <w:r>
        <w:rPr>
          <w:rFonts w:ascii="Calibri" w:eastAsia="Calibri" w:hAnsi="Calibri"/>
          <w:color w:val="000000"/>
          <w:sz w:val="22"/>
          <w:szCs w:val="22"/>
          <w:lang w:val="en-CA" w:eastAsia="en-US"/>
        </w:rPr>
        <w:t xml:space="preserve">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Ministry of Ministry of Waterways and Environment </w:t>
      </w:r>
    </w:p>
    <w:p w14:paraId="1BD24264"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MLMR</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Ministry of Lands and Mineral Resources Monitoring and Evaluation</w:t>
      </w:r>
      <w:r>
        <w:rPr>
          <w:rFonts w:ascii="Calibri" w:eastAsia="Calibri" w:hAnsi="Calibri"/>
          <w:color w:val="000000"/>
          <w:sz w:val="22"/>
          <w:szCs w:val="22"/>
          <w:lang w:val="en-CA" w:eastAsia="en-US"/>
        </w:rPr>
        <w:br/>
        <w:t>M&amp;E</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Monitoring and Evaluation</w:t>
      </w:r>
      <w:r>
        <w:rPr>
          <w:rFonts w:ascii="Calibri" w:eastAsia="Calibri" w:hAnsi="Calibri"/>
          <w:color w:val="000000"/>
          <w:sz w:val="22"/>
          <w:szCs w:val="22"/>
          <w:lang w:val="en-CA" w:eastAsia="en-US"/>
        </w:rPr>
        <w:br/>
        <w:t>MoF</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Ministry of Forestry</w:t>
      </w:r>
      <w:r>
        <w:rPr>
          <w:rFonts w:ascii="Calibri" w:eastAsia="Calibri" w:hAnsi="Calibri"/>
          <w:color w:val="000000"/>
          <w:sz w:val="22"/>
          <w:szCs w:val="22"/>
          <w:lang w:val="en-CA" w:eastAsia="en-US"/>
        </w:rPr>
        <w:br/>
        <w:t>MoF</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Ministry of Fisheries </w:t>
      </w:r>
      <w:r>
        <w:rPr>
          <w:rFonts w:ascii="Calibri" w:eastAsia="Calibri" w:hAnsi="Calibri"/>
          <w:color w:val="000000"/>
          <w:sz w:val="22"/>
          <w:szCs w:val="22"/>
          <w:lang w:val="en-CA" w:eastAsia="en-US"/>
        </w:rPr>
        <w:br/>
      </w:r>
      <w:proofErr w:type="spellStart"/>
      <w:r>
        <w:rPr>
          <w:rFonts w:ascii="Calibri" w:eastAsia="Calibri" w:hAnsi="Calibri"/>
          <w:color w:val="000000"/>
          <w:sz w:val="22"/>
          <w:szCs w:val="22"/>
          <w:lang w:val="en-CA" w:eastAsia="en-US"/>
        </w:rPr>
        <w:t>MoFA</w:t>
      </w:r>
      <w:proofErr w:type="spellEnd"/>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Ministry of Foreign Affairs</w:t>
      </w:r>
      <w:r>
        <w:rPr>
          <w:rFonts w:ascii="Calibri" w:eastAsia="Calibri" w:hAnsi="Calibri"/>
          <w:color w:val="000000"/>
          <w:sz w:val="22"/>
          <w:szCs w:val="22"/>
          <w:lang w:val="en-CA" w:eastAsia="en-US"/>
        </w:rPr>
        <w:br/>
        <w:t>MoU</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Memorandum of Understanding</w:t>
      </w:r>
      <w:r>
        <w:rPr>
          <w:rFonts w:ascii="Calibri" w:eastAsia="Calibri" w:hAnsi="Calibri"/>
          <w:color w:val="000000"/>
          <w:sz w:val="22"/>
          <w:szCs w:val="22"/>
          <w:lang w:val="en-CA" w:eastAsia="en-US"/>
        </w:rPr>
        <w:br/>
        <w:t xml:space="preserve">MPA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Marine Protected Area </w:t>
      </w:r>
    </w:p>
    <w:p w14:paraId="6C49A6F4"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MRV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Monitoring, Reporting and Verification (of carbon sequestration)</w:t>
      </w:r>
    </w:p>
    <w:p w14:paraId="6096DA6C"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lastRenderedPageBreak/>
        <w:t xml:space="preserve">MTR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Mid-Term Review</w:t>
      </w:r>
      <w:r>
        <w:rPr>
          <w:rFonts w:ascii="Calibri" w:eastAsia="Calibri" w:hAnsi="Calibri"/>
          <w:color w:val="000000"/>
          <w:sz w:val="22"/>
          <w:szCs w:val="22"/>
          <w:lang w:val="en-CA" w:eastAsia="en-US"/>
        </w:rPr>
        <w:br/>
        <w:t xml:space="preserve">MRMD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Ministry of Rural and Maritime Development and National Disaster Management </w:t>
      </w:r>
      <w:r>
        <w:rPr>
          <w:rFonts w:ascii="Calibri" w:eastAsia="Calibri" w:hAnsi="Calibri"/>
          <w:color w:val="000000"/>
          <w:sz w:val="22"/>
          <w:szCs w:val="22"/>
          <w:lang w:val="en-CA" w:eastAsia="en-US"/>
        </w:rPr>
        <w:br/>
        <w:t xml:space="preserve">NCWF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National Council of Women Fiji</w:t>
      </w:r>
    </w:p>
    <w:p w14:paraId="16463DC6"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NEC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National Environment Council</w:t>
      </w:r>
      <w:r>
        <w:rPr>
          <w:rFonts w:ascii="Calibri" w:eastAsia="Calibri" w:hAnsi="Calibri"/>
          <w:color w:val="000000"/>
          <w:sz w:val="22"/>
          <w:szCs w:val="22"/>
          <w:lang w:val="en-CA" w:eastAsia="en-US"/>
        </w:rPr>
        <w:br/>
        <w:t xml:space="preserve">NFMV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Nature Fiji-</w:t>
      </w:r>
      <w:proofErr w:type="spellStart"/>
      <w:r>
        <w:rPr>
          <w:rFonts w:ascii="Calibri" w:eastAsia="Calibri" w:hAnsi="Calibri"/>
          <w:color w:val="000000"/>
          <w:sz w:val="22"/>
          <w:szCs w:val="22"/>
          <w:lang w:val="en-CA" w:eastAsia="en-US"/>
        </w:rPr>
        <w:t>Mareqete</w:t>
      </w:r>
      <w:proofErr w:type="spellEnd"/>
      <w:r>
        <w:rPr>
          <w:rFonts w:ascii="Calibri" w:eastAsia="Calibri" w:hAnsi="Calibri"/>
          <w:color w:val="000000"/>
          <w:sz w:val="22"/>
          <w:szCs w:val="22"/>
          <w:lang w:val="en-CA" w:eastAsia="en-US"/>
        </w:rPr>
        <w:t xml:space="preserve"> Viti</w:t>
      </w:r>
      <w:r>
        <w:rPr>
          <w:rFonts w:ascii="Calibri" w:eastAsia="Calibri" w:hAnsi="Calibri"/>
          <w:color w:val="000000"/>
          <w:sz w:val="22"/>
          <w:szCs w:val="22"/>
          <w:lang w:val="en-CA" w:eastAsia="en-US"/>
        </w:rPr>
        <w:br/>
        <w:t xml:space="preserve">NGO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Non-Government Organization</w:t>
      </w:r>
      <w:r>
        <w:rPr>
          <w:rFonts w:ascii="Calibri" w:eastAsia="Calibri" w:hAnsi="Calibri"/>
          <w:color w:val="000000"/>
          <w:sz w:val="22"/>
          <w:szCs w:val="22"/>
          <w:lang w:val="en-CA" w:eastAsia="en-US"/>
        </w:rPr>
        <w:br/>
        <w:t xml:space="preserve">NIM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National Implementation Modality</w:t>
      </w:r>
    </w:p>
    <w:p w14:paraId="1FBC94EC" w14:textId="77777777" w:rsidR="007372B6" w:rsidRDefault="00000000">
      <w:pPr>
        <w:pStyle w:val="BodyText"/>
        <w:spacing w:after="0"/>
        <w:contextualSpacing/>
        <w:rPr>
          <w:rFonts w:ascii="Calibri" w:eastAsia="Calibri" w:hAnsi="Calibri"/>
          <w:color w:val="000000"/>
          <w:sz w:val="22"/>
          <w:szCs w:val="22"/>
          <w:lang w:val="en-CA" w:eastAsia="en-US"/>
        </w:rPr>
      </w:pPr>
      <w:r>
        <w:rPr>
          <w:rFonts w:asciiTheme="minorHAnsi" w:eastAsia="Calibri" w:hAnsiTheme="minorHAnsi" w:cstheme="minorHAnsi"/>
          <w:color w:val="000000"/>
          <w:sz w:val="22"/>
          <w:szCs w:val="22"/>
          <w:lang w:val="en-CA" w:eastAsia="en-US"/>
        </w:rPr>
        <w:t>NRM</w:t>
      </w:r>
      <w:r>
        <w:rPr>
          <w:rFonts w:asciiTheme="minorHAnsi" w:eastAsia="Calibri" w:hAnsiTheme="minorHAnsi" w:cstheme="minorHAnsi"/>
          <w:color w:val="000000"/>
          <w:sz w:val="22"/>
          <w:szCs w:val="22"/>
          <w:lang w:val="en-CA" w:eastAsia="en-US"/>
        </w:rPr>
        <w:tab/>
      </w:r>
      <w:r>
        <w:rPr>
          <w:rFonts w:asciiTheme="minorHAnsi" w:eastAsia="Calibri" w:hAnsiTheme="minorHAnsi" w:cstheme="minorHAnsi"/>
          <w:color w:val="000000"/>
          <w:sz w:val="22"/>
          <w:szCs w:val="22"/>
          <w:lang w:val="en-CA" w:eastAsia="en-US"/>
        </w:rPr>
        <w:tab/>
        <w:t>Natural Resources Management</w:t>
      </w:r>
      <w:r>
        <w:rPr>
          <w:rFonts w:ascii="Calibri" w:eastAsia="Calibri" w:hAnsi="Calibri"/>
          <w:color w:val="000000"/>
          <w:sz w:val="22"/>
          <w:szCs w:val="22"/>
          <w:lang w:val="en-CA" w:eastAsia="en-US"/>
        </w:rPr>
        <w:br/>
        <w:t xml:space="preserve">NTF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National Trust of Fiji</w:t>
      </w:r>
      <w:r>
        <w:rPr>
          <w:rFonts w:ascii="Calibri" w:eastAsia="Calibri" w:hAnsi="Calibri"/>
          <w:color w:val="000000"/>
          <w:sz w:val="22"/>
          <w:szCs w:val="22"/>
          <w:lang w:val="en-CA" w:eastAsia="en-US"/>
        </w:rPr>
        <w:br/>
        <w:t xml:space="preserve">PA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Protected Area (as recognized in IUCN system)</w:t>
      </w:r>
      <w:r>
        <w:rPr>
          <w:rFonts w:ascii="Calibri" w:eastAsia="Calibri" w:hAnsi="Calibri"/>
          <w:color w:val="000000"/>
          <w:sz w:val="22"/>
          <w:szCs w:val="22"/>
          <w:lang w:val="en-CA" w:eastAsia="en-US"/>
        </w:rPr>
        <w:br/>
        <w:t xml:space="preserve">PAC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Protected Area Committee</w:t>
      </w:r>
      <w:r>
        <w:rPr>
          <w:rFonts w:ascii="Calibri" w:eastAsia="Calibri" w:hAnsi="Calibri"/>
          <w:color w:val="000000"/>
          <w:sz w:val="22"/>
          <w:szCs w:val="22"/>
          <w:lang w:val="en-CA" w:eastAsia="en-US"/>
        </w:rPr>
        <w:br/>
        <w:t xml:space="preserve">PES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Payment for Ecosystem Services</w:t>
      </w:r>
      <w:r>
        <w:rPr>
          <w:rFonts w:ascii="Calibri" w:eastAsia="Calibri" w:hAnsi="Calibri"/>
          <w:color w:val="000000"/>
          <w:sz w:val="22"/>
          <w:szCs w:val="22"/>
          <w:lang w:val="en-CA" w:eastAsia="en-US"/>
        </w:rPr>
        <w:br/>
        <w:t xml:space="preserve">PIC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Pacific Island Country</w:t>
      </w:r>
      <w:r>
        <w:rPr>
          <w:rFonts w:ascii="Calibri" w:eastAsia="Calibri" w:hAnsi="Calibri"/>
          <w:color w:val="000000"/>
          <w:sz w:val="22"/>
          <w:szCs w:val="22"/>
          <w:lang w:val="en-CA" w:eastAsia="en-US"/>
        </w:rPr>
        <w:br/>
        <w:t xml:space="preserve">PIF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Project Identification Form</w:t>
      </w:r>
      <w:r>
        <w:rPr>
          <w:rFonts w:ascii="Calibri" w:eastAsia="Calibri" w:hAnsi="Calibri"/>
          <w:color w:val="000000"/>
          <w:sz w:val="22"/>
          <w:szCs w:val="22"/>
          <w:lang w:val="en-CA" w:eastAsia="en-US"/>
        </w:rPr>
        <w:br/>
        <w:t xml:space="preserve">PIMS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Programme Information Management System</w:t>
      </w:r>
      <w:r>
        <w:rPr>
          <w:rFonts w:ascii="Calibri" w:eastAsia="Calibri" w:hAnsi="Calibri"/>
          <w:color w:val="000000"/>
          <w:sz w:val="22"/>
          <w:szCs w:val="22"/>
          <w:lang w:val="en-CA" w:eastAsia="en-US"/>
        </w:rPr>
        <w:br/>
        <w:t xml:space="preserve">PIR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Project Implementation Report</w:t>
      </w:r>
      <w:r>
        <w:rPr>
          <w:rFonts w:ascii="Calibri" w:eastAsia="Calibri" w:hAnsi="Calibri"/>
          <w:color w:val="000000"/>
          <w:sz w:val="22"/>
          <w:szCs w:val="22"/>
          <w:lang w:val="en-CA" w:eastAsia="en-US"/>
        </w:rPr>
        <w:br/>
        <w:t xml:space="preserve">PMU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Project Management Unit (of Department of Environment)</w:t>
      </w:r>
    </w:p>
    <w:p w14:paraId="20A9D9DC"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Theme="minorHAnsi" w:hAnsi="Calibri"/>
          <w:bCs/>
          <w:color w:val="000000"/>
          <w:sz w:val="22"/>
          <w:szCs w:val="22"/>
          <w:lang w:val="en-CA" w:eastAsia="en-US"/>
        </w:rPr>
        <w:t xml:space="preserve">PPG </w:t>
      </w:r>
      <w:r>
        <w:rPr>
          <w:rFonts w:ascii="Calibri" w:eastAsiaTheme="minorHAnsi" w:hAnsi="Calibri"/>
          <w:bCs/>
          <w:color w:val="000000"/>
          <w:sz w:val="22"/>
          <w:szCs w:val="22"/>
          <w:lang w:val="en-CA" w:eastAsia="en-US"/>
        </w:rPr>
        <w:tab/>
      </w:r>
      <w:r>
        <w:rPr>
          <w:rFonts w:ascii="Calibri" w:eastAsiaTheme="minorHAnsi" w:hAnsi="Calibri"/>
          <w:bCs/>
          <w:color w:val="000000"/>
          <w:sz w:val="22"/>
          <w:szCs w:val="22"/>
          <w:lang w:val="en-CA" w:eastAsia="en-US"/>
        </w:rPr>
        <w:tab/>
        <w:t>Project Preparation Grant</w:t>
      </w:r>
      <w:r>
        <w:rPr>
          <w:rFonts w:ascii="Calibri" w:eastAsia="Calibri" w:hAnsi="Calibri"/>
          <w:color w:val="000000"/>
          <w:sz w:val="22"/>
          <w:szCs w:val="22"/>
          <w:lang w:val="en-CA" w:eastAsia="en-US"/>
        </w:rPr>
        <w:br/>
        <w:t xml:space="preserve">PPR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Project Progress Report</w:t>
      </w:r>
    </w:p>
    <w:p w14:paraId="2F178246"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bCs/>
          <w:color w:val="000000"/>
          <w:sz w:val="22"/>
          <w:szCs w:val="22"/>
          <w:lang w:val="en-CA" w:eastAsia="en-US"/>
        </w:rPr>
        <w:t xml:space="preserve">RBM </w:t>
      </w:r>
      <w:r>
        <w:rPr>
          <w:rFonts w:ascii="Calibri" w:eastAsia="Calibri" w:hAnsi="Calibri"/>
          <w:bCs/>
          <w:color w:val="000000"/>
          <w:sz w:val="22"/>
          <w:szCs w:val="22"/>
          <w:lang w:val="en-CA" w:eastAsia="en-US"/>
        </w:rPr>
        <w:tab/>
      </w:r>
      <w:r>
        <w:rPr>
          <w:rFonts w:ascii="Calibri" w:eastAsia="Calibri" w:hAnsi="Calibri"/>
          <w:bCs/>
          <w:color w:val="000000"/>
          <w:sz w:val="22"/>
          <w:szCs w:val="22"/>
          <w:lang w:val="en-CA" w:eastAsia="en-US"/>
        </w:rPr>
        <w:tab/>
        <w:t>Results Based Management</w:t>
      </w:r>
      <w:r>
        <w:rPr>
          <w:rFonts w:ascii="Calibri" w:eastAsia="Calibri" w:hAnsi="Calibri"/>
          <w:color w:val="000000"/>
          <w:sz w:val="22"/>
          <w:szCs w:val="22"/>
          <w:lang w:val="en-CA" w:eastAsia="en-US"/>
        </w:rPr>
        <w:br/>
        <w:t xml:space="preserve">R2R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Ridge-to-Reef</w:t>
      </w:r>
      <w:r>
        <w:rPr>
          <w:rFonts w:ascii="Calibri" w:eastAsia="Calibri" w:hAnsi="Calibri"/>
          <w:color w:val="000000"/>
          <w:sz w:val="22"/>
          <w:szCs w:val="22"/>
          <w:lang w:val="en-CA" w:eastAsia="en-US"/>
        </w:rPr>
        <w:br/>
        <w:t xml:space="preserve">RCU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Regional Coordinating Unit</w:t>
      </w:r>
      <w:r>
        <w:rPr>
          <w:rFonts w:ascii="Calibri" w:eastAsia="Calibri" w:hAnsi="Calibri"/>
          <w:color w:val="000000"/>
          <w:sz w:val="22"/>
          <w:szCs w:val="22"/>
          <w:lang w:val="en-CA" w:eastAsia="en-US"/>
        </w:rPr>
        <w:br/>
        <w:t xml:space="preserve">REDD+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Reducing Emissions from Deforestation and Forest Degradation </w:t>
      </w:r>
    </w:p>
    <w:p w14:paraId="33ED777F"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RTA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Regional Technical Advisor </w:t>
      </w:r>
    </w:p>
    <w:p w14:paraId="380E023A"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PSC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Project Steering Committee</w:t>
      </w:r>
      <w:r>
        <w:rPr>
          <w:rFonts w:ascii="Calibri" w:eastAsia="Calibri" w:hAnsi="Calibri"/>
          <w:color w:val="000000"/>
          <w:sz w:val="22"/>
          <w:szCs w:val="22"/>
          <w:lang w:val="en-CA" w:eastAsia="en-US"/>
        </w:rPr>
        <w:br/>
        <w:t xml:space="preserve">SCCF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Special Climate Change Fund</w:t>
      </w:r>
      <w:r>
        <w:rPr>
          <w:rFonts w:ascii="Calibri" w:eastAsia="Calibri" w:hAnsi="Calibri"/>
          <w:color w:val="000000"/>
          <w:sz w:val="22"/>
          <w:szCs w:val="22"/>
          <w:lang w:val="en-CA" w:eastAsia="en-US"/>
        </w:rPr>
        <w:br/>
        <w:t xml:space="preserve">SFM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Sustainable Forest Management</w:t>
      </w:r>
      <w:r>
        <w:rPr>
          <w:rFonts w:ascii="Calibri" w:eastAsia="Calibri" w:hAnsi="Calibri"/>
          <w:color w:val="000000"/>
          <w:sz w:val="22"/>
          <w:szCs w:val="22"/>
          <w:lang w:val="en-CA" w:eastAsia="en-US"/>
        </w:rPr>
        <w:br/>
        <w:t xml:space="preserve">SGP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Small Grants Programme of UNDP</w:t>
      </w:r>
      <w:r>
        <w:rPr>
          <w:rFonts w:ascii="Calibri" w:eastAsia="Calibri" w:hAnsi="Calibri"/>
          <w:color w:val="000000"/>
          <w:sz w:val="22"/>
          <w:szCs w:val="22"/>
          <w:lang w:val="en-CA" w:eastAsia="en-US"/>
        </w:rPr>
        <w:br/>
        <w:t xml:space="preserve">SIDS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Small Islands Development States</w:t>
      </w:r>
      <w:r>
        <w:rPr>
          <w:rFonts w:ascii="Calibri" w:eastAsia="Calibri" w:hAnsi="Calibri"/>
          <w:color w:val="000000"/>
          <w:sz w:val="22"/>
          <w:szCs w:val="22"/>
          <w:lang w:val="en-CA" w:eastAsia="en-US"/>
        </w:rPr>
        <w:br/>
        <w:t xml:space="preserve">SLM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Sustainable Land Management</w:t>
      </w:r>
      <w:r>
        <w:rPr>
          <w:rFonts w:ascii="Calibri" w:eastAsia="Calibri" w:hAnsi="Calibri"/>
          <w:color w:val="000000"/>
          <w:sz w:val="22"/>
          <w:szCs w:val="22"/>
          <w:lang w:val="en-CA" w:eastAsia="en-US"/>
        </w:rPr>
        <w:br/>
        <w:t xml:space="preserve">SMART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Specific, Measurable, Achievable, Relevant and Time-bound (of indicators) </w:t>
      </w:r>
      <w:r>
        <w:rPr>
          <w:rFonts w:ascii="Calibri" w:eastAsia="Calibri" w:hAnsi="Calibri"/>
          <w:color w:val="000000"/>
          <w:sz w:val="22"/>
          <w:szCs w:val="22"/>
          <w:lang w:val="en-CA" w:eastAsia="en-US"/>
        </w:rPr>
        <w:br/>
        <w:t xml:space="preserve">SPC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Secretariat of the Pacific Community</w:t>
      </w:r>
    </w:p>
    <w:p w14:paraId="0C7842AA"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s="Calibri"/>
          <w:color w:val="000000"/>
          <w:sz w:val="22"/>
          <w:szCs w:val="22"/>
          <w:lang w:val="en-CA" w:eastAsia="en-US"/>
        </w:rPr>
        <w:t xml:space="preserve">SRF </w:t>
      </w:r>
      <w:r>
        <w:rPr>
          <w:rFonts w:ascii="Calibri" w:eastAsia="Calibri" w:hAnsi="Calibri" w:cs="Calibri"/>
          <w:color w:val="000000"/>
          <w:sz w:val="22"/>
          <w:szCs w:val="22"/>
          <w:lang w:val="en-CA" w:eastAsia="en-US"/>
        </w:rPr>
        <w:tab/>
      </w:r>
      <w:r>
        <w:rPr>
          <w:rFonts w:ascii="Calibri" w:eastAsia="Calibri" w:hAnsi="Calibri" w:cs="Calibri"/>
          <w:color w:val="000000"/>
          <w:sz w:val="22"/>
          <w:szCs w:val="22"/>
          <w:lang w:val="en-CA" w:eastAsia="en-US"/>
        </w:rPr>
        <w:tab/>
        <w:t>Strategic Results Framework</w:t>
      </w:r>
      <w:r>
        <w:rPr>
          <w:rFonts w:ascii="Calibri" w:eastAsia="Calibri" w:hAnsi="Calibri"/>
          <w:color w:val="000000"/>
          <w:sz w:val="22"/>
          <w:szCs w:val="22"/>
          <w:lang w:val="en-CA" w:eastAsia="en-US"/>
        </w:rPr>
        <w:br/>
        <w:t xml:space="preserve">SVT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r>
      <w:proofErr w:type="spellStart"/>
      <w:r>
        <w:rPr>
          <w:rFonts w:ascii="Calibri" w:eastAsia="Calibri" w:hAnsi="Calibri"/>
          <w:color w:val="000000"/>
          <w:sz w:val="22"/>
          <w:szCs w:val="22"/>
          <w:lang w:val="en-CA" w:eastAsia="en-US"/>
        </w:rPr>
        <w:t>Soqosoqo</w:t>
      </w:r>
      <w:proofErr w:type="spellEnd"/>
      <w:r>
        <w:rPr>
          <w:rFonts w:ascii="Calibri" w:eastAsia="Calibri" w:hAnsi="Calibri"/>
          <w:color w:val="000000"/>
          <w:sz w:val="22"/>
          <w:szCs w:val="22"/>
          <w:lang w:val="en-CA" w:eastAsia="en-US"/>
        </w:rPr>
        <w:t xml:space="preserve"> </w:t>
      </w:r>
      <w:proofErr w:type="spellStart"/>
      <w:r>
        <w:rPr>
          <w:rFonts w:ascii="Calibri" w:eastAsia="Calibri" w:hAnsi="Calibri"/>
          <w:color w:val="000000"/>
          <w:sz w:val="22"/>
          <w:szCs w:val="22"/>
          <w:lang w:val="en-CA" w:eastAsia="en-US"/>
        </w:rPr>
        <w:t>Vakamarama</w:t>
      </w:r>
      <w:proofErr w:type="spellEnd"/>
      <w:r>
        <w:rPr>
          <w:rFonts w:ascii="Calibri" w:eastAsia="Calibri" w:hAnsi="Calibri"/>
          <w:color w:val="000000"/>
          <w:sz w:val="22"/>
          <w:szCs w:val="22"/>
          <w:lang w:val="en-CA" w:eastAsia="en-US"/>
        </w:rPr>
        <w:t xml:space="preserve"> </w:t>
      </w:r>
      <w:proofErr w:type="spellStart"/>
      <w:r>
        <w:rPr>
          <w:rFonts w:ascii="Calibri" w:eastAsia="Calibri" w:hAnsi="Calibri"/>
          <w:color w:val="000000"/>
          <w:sz w:val="22"/>
          <w:szCs w:val="22"/>
          <w:lang w:val="en-CA" w:eastAsia="en-US"/>
        </w:rPr>
        <w:t>iTaukei</w:t>
      </w:r>
      <w:proofErr w:type="spellEnd"/>
      <w:r>
        <w:rPr>
          <w:rFonts w:ascii="Calibri" w:eastAsia="Calibri" w:hAnsi="Calibri"/>
          <w:color w:val="000000"/>
          <w:sz w:val="22"/>
          <w:szCs w:val="22"/>
          <w:lang w:val="en-CA" w:eastAsia="en-US"/>
        </w:rPr>
        <w:br/>
        <w:t xml:space="preserve">TA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Technical Assistance</w:t>
      </w:r>
      <w:r>
        <w:rPr>
          <w:rFonts w:ascii="Calibri" w:eastAsia="Calibri" w:hAnsi="Calibri"/>
          <w:color w:val="000000"/>
          <w:sz w:val="22"/>
          <w:szCs w:val="22"/>
          <w:lang w:val="en-CA" w:eastAsia="en-US"/>
        </w:rPr>
        <w:br/>
        <w:t xml:space="preserve">TAB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r>
      <w:proofErr w:type="spellStart"/>
      <w:r>
        <w:rPr>
          <w:rFonts w:ascii="Calibri" w:eastAsia="Calibri" w:hAnsi="Calibri"/>
          <w:color w:val="000000"/>
          <w:sz w:val="22"/>
          <w:szCs w:val="22"/>
          <w:lang w:val="en-CA" w:eastAsia="en-US"/>
        </w:rPr>
        <w:t>iTaukei</w:t>
      </w:r>
      <w:proofErr w:type="spellEnd"/>
      <w:r>
        <w:rPr>
          <w:rFonts w:ascii="Calibri" w:eastAsia="Calibri" w:hAnsi="Calibri"/>
          <w:color w:val="000000"/>
          <w:sz w:val="22"/>
          <w:szCs w:val="22"/>
          <w:lang w:val="en-CA" w:eastAsia="en-US"/>
        </w:rPr>
        <w:t xml:space="preserve"> Affairs Board</w:t>
      </w:r>
      <w:r>
        <w:rPr>
          <w:rFonts w:ascii="Calibri" w:eastAsia="Calibri" w:hAnsi="Calibri"/>
          <w:color w:val="000000"/>
          <w:sz w:val="22"/>
          <w:szCs w:val="22"/>
          <w:lang w:val="en-CA" w:eastAsia="en-US"/>
        </w:rPr>
        <w:br/>
        <w:t xml:space="preserve">TESSA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Toolkit for Ecosystem Service Site-based Assessment</w:t>
      </w:r>
      <w:r>
        <w:rPr>
          <w:rFonts w:ascii="Calibri" w:eastAsia="Calibri" w:hAnsi="Calibri"/>
          <w:color w:val="000000"/>
          <w:sz w:val="22"/>
          <w:szCs w:val="22"/>
          <w:lang w:val="en-CA" w:eastAsia="en-US"/>
        </w:rPr>
        <w:br/>
        <w:t xml:space="preserve">TF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Trust fund </w:t>
      </w:r>
    </w:p>
    <w:p w14:paraId="7CA23431"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TLTB</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r>
      <w:proofErr w:type="spellStart"/>
      <w:r>
        <w:rPr>
          <w:rFonts w:ascii="Calibri" w:eastAsia="Calibri" w:hAnsi="Calibri"/>
          <w:color w:val="000000"/>
          <w:sz w:val="22"/>
          <w:szCs w:val="22"/>
          <w:lang w:val="en-CA" w:eastAsia="en-US"/>
        </w:rPr>
        <w:t>iTaukei</w:t>
      </w:r>
      <w:proofErr w:type="spellEnd"/>
      <w:r>
        <w:rPr>
          <w:rFonts w:ascii="Calibri" w:eastAsia="Calibri" w:hAnsi="Calibri"/>
          <w:color w:val="000000"/>
          <w:sz w:val="22"/>
          <w:szCs w:val="22"/>
          <w:lang w:val="en-CA" w:eastAsia="en-US"/>
        </w:rPr>
        <w:t xml:space="preserve"> Land Trust Board</w:t>
      </w:r>
      <w:r>
        <w:rPr>
          <w:rFonts w:ascii="Calibri" w:eastAsia="Calibri" w:hAnsi="Calibri"/>
          <w:color w:val="000000"/>
          <w:sz w:val="22"/>
          <w:szCs w:val="22"/>
          <w:lang w:val="en-CA" w:eastAsia="en-US"/>
        </w:rPr>
        <w:br/>
      </w:r>
      <w:proofErr w:type="spellStart"/>
      <w:r>
        <w:rPr>
          <w:rFonts w:ascii="Calibri" w:eastAsia="Calibri" w:hAnsi="Calibri"/>
          <w:color w:val="000000"/>
          <w:sz w:val="22"/>
          <w:szCs w:val="22"/>
          <w:lang w:val="en-CA" w:eastAsia="en-US"/>
        </w:rPr>
        <w:t>ToR</w:t>
      </w:r>
      <w:proofErr w:type="spellEnd"/>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Terms of Reference</w:t>
      </w:r>
      <w:r>
        <w:rPr>
          <w:rFonts w:ascii="Calibri" w:eastAsia="Calibri" w:hAnsi="Calibri"/>
          <w:color w:val="000000"/>
          <w:sz w:val="22"/>
          <w:szCs w:val="22"/>
          <w:lang w:val="en-CA" w:eastAsia="en-US"/>
        </w:rPr>
        <w:br/>
        <w:t xml:space="preserve">UNDP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United Nations Development Programme</w:t>
      </w:r>
    </w:p>
    <w:p w14:paraId="75B94418"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UNFCCC </w:t>
      </w:r>
      <w:r>
        <w:rPr>
          <w:rFonts w:ascii="Calibri" w:eastAsia="Calibri" w:hAnsi="Calibri"/>
          <w:color w:val="000000"/>
          <w:sz w:val="22"/>
          <w:szCs w:val="22"/>
          <w:lang w:val="en-CA" w:eastAsia="en-US"/>
        </w:rPr>
        <w:tab/>
        <w:t>United Nations Framework Convention on Climate Change</w:t>
      </w:r>
    </w:p>
    <w:p w14:paraId="5F763624"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UNCCD </w:t>
      </w:r>
      <w:r>
        <w:rPr>
          <w:rFonts w:ascii="Calibri" w:eastAsia="Calibri" w:hAnsi="Calibri"/>
          <w:color w:val="000000"/>
          <w:sz w:val="22"/>
          <w:szCs w:val="22"/>
          <w:lang w:val="en-CA" w:eastAsia="en-US"/>
        </w:rPr>
        <w:tab/>
        <w:t xml:space="preserve"> </w:t>
      </w:r>
      <w:r>
        <w:rPr>
          <w:rFonts w:ascii="Calibri" w:eastAsia="Calibri" w:hAnsi="Calibri"/>
          <w:color w:val="000000"/>
          <w:sz w:val="22"/>
          <w:szCs w:val="22"/>
          <w:lang w:val="en-CA" w:eastAsia="en-US"/>
        </w:rPr>
        <w:tab/>
        <w:t>United Nations Convention to Combat Desertification</w:t>
      </w:r>
    </w:p>
    <w:p w14:paraId="5507F2CC" w14:textId="77777777" w:rsidR="007372B6" w:rsidRDefault="00000000">
      <w:pPr>
        <w:pStyle w:val="BodyText"/>
        <w:spacing w:after="0"/>
        <w:contextualSpacing/>
        <w:rPr>
          <w:rFonts w:ascii="Calibri" w:eastAsia="Calibri" w:hAnsi="Calibri"/>
          <w:color w:val="000000"/>
          <w:sz w:val="22"/>
          <w:szCs w:val="22"/>
          <w:lang w:val="en-CA" w:eastAsia="en-US"/>
        </w:rPr>
      </w:pPr>
      <w:r>
        <w:rPr>
          <w:rFonts w:ascii="Calibri" w:eastAsia="Calibri" w:hAnsi="Calibri"/>
          <w:color w:val="000000"/>
          <w:sz w:val="22"/>
          <w:szCs w:val="22"/>
          <w:lang w:val="en-CA" w:eastAsia="en-US"/>
        </w:rPr>
        <w:t xml:space="preserve">USP-IAS </w:t>
      </w:r>
      <w:r>
        <w:rPr>
          <w:rFonts w:ascii="Calibri" w:eastAsia="Calibri" w:hAnsi="Calibri"/>
          <w:color w:val="000000"/>
          <w:sz w:val="22"/>
          <w:szCs w:val="22"/>
          <w:lang w:val="en-CA" w:eastAsia="en-US"/>
        </w:rPr>
        <w:tab/>
        <w:t>University of the South Pacific’s Institute of Applied Sciences</w:t>
      </w:r>
      <w:r>
        <w:rPr>
          <w:rFonts w:ascii="Calibri" w:eastAsia="Calibri" w:hAnsi="Calibri"/>
          <w:color w:val="000000"/>
          <w:sz w:val="22"/>
          <w:szCs w:val="22"/>
          <w:lang w:val="en-CA" w:eastAsia="en-US"/>
        </w:rPr>
        <w:br/>
        <w:t>WAF</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 xml:space="preserve">Water Authority of Fiji </w:t>
      </w:r>
    </w:p>
    <w:p w14:paraId="2CFA4F48" w14:textId="77777777" w:rsidR="007372B6" w:rsidRDefault="00000000">
      <w:pPr>
        <w:pStyle w:val="BodyText"/>
        <w:spacing w:after="0" w:line="259" w:lineRule="auto"/>
        <w:contextualSpacing/>
        <w:rPr>
          <w:rFonts w:ascii="Calibri" w:hAnsi="Calibri"/>
          <w:sz w:val="22"/>
          <w:szCs w:val="22"/>
          <w:lang w:val="en-CA"/>
        </w:rPr>
      </w:pPr>
      <w:r>
        <w:rPr>
          <w:rFonts w:ascii="Calibri" w:eastAsia="Calibri" w:hAnsi="Calibri"/>
          <w:color w:val="000000"/>
          <w:sz w:val="22"/>
          <w:szCs w:val="22"/>
          <w:lang w:val="en-CA" w:eastAsia="en-US"/>
        </w:rPr>
        <w:t>WCS</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Wildlife Conservation Society</w:t>
      </w:r>
      <w:r>
        <w:rPr>
          <w:rFonts w:ascii="Calibri" w:eastAsia="Calibri" w:hAnsi="Calibri"/>
          <w:color w:val="000000"/>
          <w:sz w:val="22"/>
          <w:szCs w:val="22"/>
          <w:lang w:val="en-CA" w:eastAsia="en-US"/>
        </w:rPr>
        <w:br/>
        <w:t xml:space="preserve">WWF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t>World Wild Fund</w:t>
      </w:r>
      <w:r>
        <w:rPr>
          <w:rFonts w:ascii="Calibri" w:eastAsia="Calibri" w:hAnsi="Calibri"/>
          <w:color w:val="000000"/>
          <w:sz w:val="22"/>
          <w:szCs w:val="22"/>
          <w:lang w:val="en-CA" w:eastAsia="en-US"/>
        </w:rPr>
        <w:br/>
        <w:t xml:space="preserve">YMST </w:t>
      </w:r>
      <w:r>
        <w:rPr>
          <w:rFonts w:ascii="Calibri" w:eastAsia="Calibri" w:hAnsi="Calibri"/>
          <w:color w:val="000000"/>
          <w:sz w:val="22"/>
          <w:szCs w:val="22"/>
          <w:lang w:val="en-CA" w:eastAsia="en-US"/>
        </w:rPr>
        <w:tab/>
      </w:r>
      <w:r>
        <w:rPr>
          <w:rFonts w:ascii="Calibri" w:eastAsia="Calibri" w:hAnsi="Calibri"/>
          <w:color w:val="000000"/>
          <w:sz w:val="22"/>
          <w:szCs w:val="22"/>
          <w:lang w:val="en-CA" w:eastAsia="en-US"/>
        </w:rPr>
        <w:tab/>
      </w:r>
      <w:proofErr w:type="spellStart"/>
      <w:r>
        <w:rPr>
          <w:rFonts w:ascii="Calibri" w:eastAsia="Calibri" w:hAnsi="Calibri"/>
          <w:color w:val="000000"/>
          <w:sz w:val="22"/>
          <w:szCs w:val="22"/>
          <w:lang w:val="en-CA" w:eastAsia="en-US"/>
        </w:rPr>
        <w:t>Yaubula</w:t>
      </w:r>
      <w:proofErr w:type="spellEnd"/>
      <w:r>
        <w:rPr>
          <w:rFonts w:ascii="Calibri" w:eastAsia="Calibri" w:hAnsi="Calibri"/>
          <w:color w:val="000000"/>
          <w:sz w:val="22"/>
          <w:szCs w:val="22"/>
          <w:lang w:val="en-CA" w:eastAsia="en-US"/>
        </w:rPr>
        <w:t xml:space="preserve"> Management Support Team </w:t>
      </w:r>
    </w:p>
    <w:p w14:paraId="19C04876" w14:textId="77777777" w:rsidR="007372B6" w:rsidRDefault="007372B6">
      <w:pPr>
        <w:pStyle w:val="BodyText"/>
        <w:spacing w:after="0" w:line="259" w:lineRule="auto"/>
        <w:contextualSpacing/>
        <w:rPr>
          <w:rFonts w:ascii="Calibri" w:hAnsi="Calibri"/>
          <w:sz w:val="22"/>
          <w:szCs w:val="22"/>
          <w:lang w:val="en-CA"/>
        </w:rPr>
      </w:pPr>
    </w:p>
    <w:p w14:paraId="00A89F67" w14:textId="77777777" w:rsidR="007372B6" w:rsidRDefault="00000000">
      <w:pPr>
        <w:pStyle w:val="BodyText"/>
        <w:spacing w:after="0" w:line="259" w:lineRule="auto"/>
        <w:contextualSpacing/>
        <w:rPr>
          <w:rFonts w:ascii="Calibri" w:hAnsi="Calibri"/>
          <w:sz w:val="22"/>
          <w:szCs w:val="22"/>
          <w:lang w:val="en-CA"/>
        </w:rPr>
      </w:pPr>
      <w:r>
        <w:br w:type="page"/>
      </w:r>
    </w:p>
    <w:p w14:paraId="5FF7DF4C" w14:textId="77777777" w:rsidR="007372B6" w:rsidRDefault="00000000">
      <w:pPr>
        <w:rPr>
          <w:rFonts w:ascii="Calibri" w:eastAsia="Calibri" w:hAnsi="Calibri" w:cs="Arial"/>
          <w:b/>
          <w:bCs/>
          <w:color w:val="000000"/>
          <w:sz w:val="22"/>
          <w:szCs w:val="22"/>
          <w:lang w:val="en-CA"/>
        </w:rPr>
      </w:pPr>
      <w:r>
        <w:rPr>
          <w:rFonts w:ascii="Calibri" w:eastAsia="Calibri" w:hAnsi="Calibri" w:cs="Arial"/>
          <w:b/>
          <w:bCs/>
          <w:color w:val="000000"/>
          <w:sz w:val="22"/>
          <w:szCs w:val="22"/>
          <w:lang w:val="en-CA"/>
        </w:rPr>
        <w:lastRenderedPageBreak/>
        <w:t>Acknowledgements</w:t>
      </w:r>
    </w:p>
    <w:p w14:paraId="433E5F3F" w14:textId="77777777" w:rsidR="007372B6" w:rsidRDefault="00000000">
      <w:pPr>
        <w:pStyle w:val="BodyText"/>
        <w:rPr>
          <w:rFonts w:ascii="Calibri" w:eastAsia="Calibri" w:hAnsi="Calibri" w:cs="Arial"/>
          <w:color w:val="000000"/>
          <w:sz w:val="22"/>
          <w:szCs w:val="22"/>
          <w:lang w:val="en-CA"/>
        </w:rPr>
      </w:pPr>
      <w:r>
        <w:rPr>
          <w:rFonts w:ascii="Calibri" w:eastAsia="Calibri" w:hAnsi="Calibri" w:cs="Arial"/>
          <w:color w:val="000000"/>
          <w:sz w:val="22"/>
          <w:szCs w:val="22"/>
          <w:lang w:val="en-CA"/>
        </w:rPr>
        <w:t xml:space="preserve"> </w:t>
      </w:r>
    </w:p>
    <w:p w14:paraId="4AD8C3C3" w14:textId="77777777" w:rsidR="007372B6" w:rsidRDefault="00000000">
      <w:pPr>
        <w:pStyle w:val="BodyText"/>
        <w:spacing w:after="0" w:line="259" w:lineRule="auto"/>
        <w:contextualSpacing/>
        <w:jc w:val="both"/>
        <w:rPr>
          <w:rFonts w:ascii="Calibri" w:eastAsia="Calibri" w:hAnsi="Calibri" w:cs="Arial"/>
          <w:color w:val="000000"/>
          <w:sz w:val="22"/>
          <w:szCs w:val="22"/>
          <w:lang w:val="en-CA"/>
        </w:rPr>
      </w:pPr>
      <w:r>
        <w:rPr>
          <w:rFonts w:ascii="Calibri" w:eastAsia="Calibri" w:hAnsi="Calibri" w:cs="Arial"/>
          <w:color w:val="000000"/>
          <w:sz w:val="22"/>
          <w:szCs w:val="22"/>
          <w:lang w:val="en-CA"/>
        </w:rPr>
        <w:t xml:space="preserve">The consultants would like to acknowledge the assistance provided by the project implementation team in UNDP’s Pacific office in Fiji and the Regional office based in Bangkok. The team also acknowledges the input provided by national and local authorities who took the time to participate in interviews and field visits. </w:t>
      </w:r>
      <w:r>
        <w:br w:type="page"/>
      </w:r>
    </w:p>
    <w:p w14:paraId="78DADB70" w14:textId="77777777" w:rsidR="007372B6" w:rsidRDefault="00000000">
      <w:r>
        <w:rPr>
          <w:rFonts w:asciiTheme="minorHAnsi" w:eastAsia="Open Sans" w:hAnsiTheme="minorHAnsi" w:cstheme="minorHAnsi"/>
          <w:b/>
          <w:bCs/>
          <w:color w:val="0000FF"/>
          <w:sz w:val="28"/>
          <w:szCs w:val="28"/>
        </w:rPr>
        <w:lastRenderedPageBreak/>
        <w:t xml:space="preserve">1.0 </w:t>
      </w:r>
      <w:r>
        <w:rPr>
          <w:rFonts w:asciiTheme="minorHAnsi" w:eastAsia="Open Sans" w:hAnsiTheme="minorHAnsi" w:cstheme="minorHAnsi"/>
          <w:b/>
          <w:bCs/>
          <w:color w:val="0000FF"/>
          <w:sz w:val="28"/>
          <w:szCs w:val="28"/>
        </w:rPr>
        <w:tab/>
        <w:t>Executive Summary</w:t>
      </w:r>
      <w:r>
        <w:rPr>
          <w:rFonts w:asciiTheme="minorHAnsi" w:eastAsia="Open Sans" w:hAnsiTheme="minorHAnsi" w:cstheme="minorHAnsi"/>
          <w:b/>
          <w:bCs/>
          <w:color w:val="0000FF"/>
          <w:sz w:val="21"/>
          <w:szCs w:val="21"/>
        </w:rPr>
        <w:t xml:space="preserve"> </w:t>
      </w:r>
    </w:p>
    <w:p w14:paraId="7F216273" w14:textId="77777777" w:rsidR="007372B6" w:rsidRDefault="007372B6">
      <w:pPr>
        <w:spacing w:after="160" w:line="259" w:lineRule="auto"/>
        <w:contextualSpacing/>
        <w:rPr>
          <w:rFonts w:ascii="Calibri" w:hAnsi="Calibri"/>
          <w:b/>
          <w:bCs/>
          <w:sz w:val="22"/>
          <w:szCs w:val="22"/>
          <w:lang w:val="en-CA"/>
        </w:rPr>
      </w:pPr>
    </w:p>
    <w:p w14:paraId="3ECAE544"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1. The Fiji R2R project was designed to establish an integrated multi-sector approach to biodiversity conservation, carbon storage, financial sustainability and knowledge development and sharing, with a primary focus on six catchment areas. This was an ambitious task in the face of the many institutional and managerial barriers at the national level constraining integrated approaches to ridge to reef environmental strategies, and limited technical capacity at local levels in Fiji, all of which were compounded by restrictions brought on by the Covid pandemic. The project achieved parts of all of the Outcomes except for Outcome 6 – strengthened governance for integrated natural resources management. W</w:t>
      </w:r>
      <w:proofErr w:type="spellStart"/>
      <w:r>
        <w:rPr>
          <w:rFonts w:ascii="Calibri" w:hAnsi="Calibri" w:cs="Calibri"/>
          <w:color w:val="000000"/>
          <w:sz w:val="22"/>
          <w:szCs w:val="22"/>
          <w:lang w:val="en-NZ" w:eastAsia="en-NZ"/>
        </w:rPr>
        <w:t>hile</w:t>
      </w:r>
      <w:proofErr w:type="spellEnd"/>
      <w:r>
        <w:rPr>
          <w:rFonts w:ascii="Calibri" w:hAnsi="Calibri" w:cs="Calibri"/>
          <w:color w:val="000000"/>
          <w:sz w:val="22"/>
          <w:szCs w:val="22"/>
          <w:lang w:val="en-NZ" w:eastAsia="en-NZ"/>
        </w:rPr>
        <w:t xml:space="preserve"> some local capacity was </w:t>
      </w:r>
      <w:r>
        <w:rPr>
          <w:rFonts w:asciiTheme="minorHAnsi" w:hAnsiTheme="minorHAnsi" w:cstheme="minorBidi"/>
          <w:color w:val="000000"/>
          <w:sz w:val="22"/>
          <w:szCs w:val="22"/>
          <w:lang w:val="en-NZ" w:eastAsia="en-NZ"/>
        </w:rPr>
        <w:t>strengthened for catchment area management (under Outcome 3.2)</w:t>
      </w:r>
      <w:r>
        <w:rPr>
          <w:rFonts w:ascii="Calibri" w:hAnsi="Calibri" w:cs="Calibri"/>
          <w:color w:val="000000"/>
          <w:sz w:val="22"/>
          <w:szCs w:val="22"/>
          <w:lang w:val="en-NZ" w:eastAsia="en-NZ"/>
        </w:rPr>
        <w:t>, an assessment of local capacity to implement the plans was not undertaken, and the interventions, which were led by consultants, are insufficient to declare significant capacity development.</w:t>
      </w:r>
      <w:r>
        <w:rPr>
          <w:rFonts w:asciiTheme="minorHAnsi" w:hAnsiTheme="minorHAnsi" w:cstheme="minorBidi"/>
          <w:color w:val="000000"/>
          <w:sz w:val="22"/>
          <w:szCs w:val="22"/>
        </w:rPr>
        <w:t xml:space="preserve"> T</w:t>
      </w:r>
      <w:r>
        <w:rPr>
          <w:rFonts w:asciiTheme="minorHAnsi" w:hAnsiTheme="minorHAnsi" w:cstheme="minorHAnsi"/>
          <w:color w:val="000000"/>
          <w:sz w:val="22"/>
          <w:szCs w:val="22"/>
        </w:rPr>
        <w:t>he lack of monitoring data leaves some uncertainty about output quality and sustainability</w:t>
      </w:r>
      <w:r>
        <w:rPr>
          <w:rFonts w:cstheme="minorHAnsi"/>
          <w:color w:val="000000"/>
        </w:rPr>
        <w:t xml:space="preserve"> </w:t>
      </w:r>
      <w:r>
        <w:rPr>
          <w:rFonts w:asciiTheme="minorHAnsi" w:hAnsiTheme="minorHAnsi" w:cstheme="minorHAnsi"/>
          <w:color w:val="000000"/>
          <w:sz w:val="22"/>
          <w:szCs w:val="22"/>
        </w:rPr>
        <w:t>in all of the project components. See Annex 3 for a summary of targets and results.</w:t>
      </w:r>
    </w:p>
    <w:p w14:paraId="08CA358D"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50751F83"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2. At least 69% of the planned activities </w:t>
      </w:r>
      <w:r>
        <w:rPr>
          <w:rFonts w:ascii="Calibri" w:hAnsi="Calibri" w:cstheme="minorHAnsi"/>
          <w:color w:val="000000"/>
          <w:sz w:val="22"/>
          <w:szCs w:val="22"/>
        </w:rPr>
        <w:t xml:space="preserve">were completed </w:t>
      </w:r>
      <w:r>
        <w:rPr>
          <w:rFonts w:asciiTheme="minorHAnsi" w:hAnsiTheme="minorHAnsi" w:cstheme="minorHAnsi"/>
          <w:color w:val="000000"/>
          <w:sz w:val="22"/>
          <w:szCs w:val="22"/>
        </w:rPr>
        <w:t xml:space="preserve">by project end (30 June 2022), and some elements for overall catchment management have been initiated involving upland land management and marine conservation with communities and government. The achievements broadly include expanded PAs with better biological baseline data, new methods to reduce invasive species, community mobilization and establishment of Catchment Management Plans and Committees, alternative livelihoods introduced and reforestation and forest management improvements at various sites along with proposed national forestry regulation improvements. About three quarters of the reforestation target (1245 ha) was achieved (although quality is unknown). </w:t>
      </w:r>
    </w:p>
    <w:p w14:paraId="3846D4C2"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105CED19"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3. The R2R operational framework has yet to be fully established in Fiji as envisioned in the project design. This is mainly because the institutional and policy requirements for R2R cooperation and collaboration were never defined or addressed at the initial stages of the project, and the project’s management structure was unable to provide sufficient coordination and active monitoring and field oversight of the various project activities. Too many of the implementation risks noted in the Project Document were encountered. Nevertheless, an initial process for catchment area planning has been developed and various conservation and forestry site activities have been implemented to assist in starting to address some of the issues. But the watershed-scale integrated strategies for jointly rehabilitating degraded catchment and marine areas and sustaining the results still remain to be established. </w:t>
      </w:r>
    </w:p>
    <w:p w14:paraId="58008AA8"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27D4402D"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4. The Terminal Evaluation found that lengthy delays in implementation and the incomplete outputs were due to a combination of poor project planning, coordination and administration, and Covid-related constraints to undertaking the work. Lack of technical capacity, high turnover of staff, bureaucratic administrative processes were also factors adversely affecting project implementation. The general view of participants is that the project was implemented in separate activity silos without an overall R2R </w:t>
      </w:r>
      <w:r>
        <w:rPr>
          <w:rFonts w:asciiTheme="minorHAnsi" w:hAnsiTheme="minorHAnsi" w:cstheme="minorHAnsi"/>
          <w:color w:val="000000"/>
          <w:sz w:val="22"/>
          <w:szCs w:val="22"/>
        </w:rPr>
        <w:lastRenderedPageBreak/>
        <w:t xml:space="preserve">concept or effective coordination functions. The project design and STAR focal area funding arrangement also affected this problem. Thematic (cross-sector) and geographic (upstream-downstream) integration were barely apparent. </w:t>
      </w:r>
    </w:p>
    <w:p w14:paraId="14AEBC77"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0E80EAF7"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5. The project has contributed to R2R environmental improvement in an incremental and unmeasured way through its many and varied activities. Integration between implementing partners and within cross sectoral issues was not a predominant feature of the project. Lack of follow-up independent inspection and response on the tree planting activities by the implementing partners appears to have been a deficiency, and there are uncertainties in communities about next steps for catchment area plans.</w:t>
      </w:r>
    </w:p>
    <w:p w14:paraId="02C2AF05"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01C10985"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6. The R2R concept of a ridge to valley to reef strategy, including important spatial relationships (upstream/downstream/nearshore) and inter-sectoral relationships, was never really defined clearly in the project design or implementation. Overall, the Fiji experience suggests that the R2R concept needs to be completely reviewed, and placed on a more structured operational foundation.</w:t>
      </w:r>
    </w:p>
    <w:p w14:paraId="6596D75B"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66D0BD0E" w14:textId="77777777" w:rsidR="007372B6" w:rsidRDefault="00000000">
      <w:pPr>
        <w:widowControl w:val="0"/>
        <w:tabs>
          <w:tab w:val="left" w:pos="1980"/>
        </w:tabs>
        <w:spacing w:line="312" w:lineRule="auto"/>
        <w:ind w:left="360"/>
        <w:jc w:val="center"/>
        <w:rPr>
          <w:rFonts w:asciiTheme="minorHAnsi" w:hAnsiTheme="minorHAnsi" w:cstheme="minorHAnsi"/>
          <w:color w:val="000000"/>
          <w:sz w:val="22"/>
          <w:szCs w:val="22"/>
        </w:rPr>
      </w:pPr>
      <w:r>
        <w:rPr>
          <w:rFonts w:ascii="Calibri Light" w:eastAsia="Calibri" w:hAnsi="Calibri Light" w:cs="Calibri Light"/>
          <w:b/>
          <w:bCs/>
          <w:color w:val="000000"/>
          <w:spacing w:val="-2"/>
          <w:lang w:val="en-CA"/>
        </w:rPr>
        <w:t>Evaluation Ratings for Fiji Ridge to Reef Project</w:t>
      </w:r>
    </w:p>
    <w:tbl>
      <w:tblPr>
        <w:tblW w:w="9068" w:type="dxa"/>
        <w:jc w:val="center"/>
        <w:tblLayout w:type="fixed"/>
        <w:tblLook w:val="04A0" w:firstRow="1" w:lastRow="0" w:firstColumn="1" w:lastColumn="0" w:noHBand="0" w:noVBand="1"/>
      </w:tblPr>
      <w:tblGrid>
        <w:gridCol w:w="2033"/>
        <w:gridCol w:w="1027"/>
        <w:gridCol w:w="6008"/>
      </w:tblGrid>
      <w:tr w:rsidR="007372B6" w14:paraId="6C19A5DD" w14:textId="77777777">
        <w:trPr>
          <w:jc w:val="center"/>
        </w:trPr>
        <w:tc>
          <w:tcPr>
            <w:tcW w:w="20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1B613" w14:textId="77777777" w:rsidR="007372B6" w:rsidRDefault="00000000">
            <w:pPr>
              <w:pStyle w:val="ListParagraph"/>
              <w:widowControl w:val="0"/>
              <w:ind w:left="340"/>
              <w:contextualSpacing w:val="0"/>
              <w:jc w:val="center"/>
            </w:pPr>
            <w:r>
              <w:rPr>
                <w:rFonts w:ascii="Calibri Light" w:eastAsia="Calibri" w:hAnsi="Calibri Light" w:cs="Calibri Light"/>
                <w:b/>
                <w:bCs/>
                <w:color w:val="000000"/>
                <w:sz w:val="22"/>
                <w:szCs w:val="22"/>
                <w:lang w:eastAsia="en-US"/>
              </w:rPr>
              <w:t>Criteria to be rated</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E2D7A4" w14:textId="77777777" w:rsidR="007372B6" w:rsidRDefault="00000000">
            <w:pPr>
              <w:widowControl w:val="0"/>
              <w:jc w:val="center"/>
            </w:pPr>
            <w:r>
              <w:rPr>
                <w:rFonts w:ascii="Calibri Light" w:eastAsia="Calibri" w:hAnsi="Calibri Light" w:cs="Calibri Light"/>
                <w:b/>
                <w:bCs/>
                <w:color w:val="000000"/>
                <w:sz w:val="22"/>
                <w:szCs w:val="22"/>
                <w:lang w:eastAsia="en-US"/>
              </w:rPr>
              <w:t>Rating</w:t>
            </w:r>
            <w:r>
              <w:rPr>
                <w:rStyle w:val="FootnoteAnchor"/>
                <w:rFonts w:ascii="Calibri Light" w:eastAsia="Calibri" w:hAnsi="Calibri Light" w:cs="Calibri Light"/>
                <w:color w:val="000000"/>
                <w:sz w:val="22"/>
                <w:szCs w:val="22"/>
                <w:lang w:eastAsia="en-US"/>
              </w:rPr>
              <w:footnoteReference w:id="2"/>
            </w:r>
          </w:p>
        </w:tc>
        <w:tc>
          <w:tcPr>
            <w:tcW w:w="6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74EE0" w14:textId="77777777" w:rsidR="007372B6" w:rsidRDefault="00000000">
            <w:pPr>
              <w:widowControl w:val="0"/>
              <w:jc w:val="center"/>
            </w:pPr>
            <w:r>
              <w:rPr>
                <w:rFonts w:ascii="Calibri Light" w:eastAsia="Calibri" w:hAnsi="Calibri Light" w:cs="Calibri Light"/>
                <w:b/>
                <w:bCs/>
                <w:color w:val="000000"/>
                <w:sz w:val="22"/>
                <w:szCs w:val="22"/>
                <w:lang w:eastAsia="en-US"/>
              </w:rPr>
              <w:t>Reasons for rating</w:t>
            </w:r>
          </w:p>
        </w:tc>
      </w:tr>
      <w:tr w:rsidR="007372B6" w14:paraId="322A7F89" w14:textId="77777777">
        <w:trPr>
          <w:jc w:val="center"/>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E6E6FF"/>
          </w:tcPr>
          <w:p w14:paraId="2EFCFBDC" w14:textId="77777777" w:rsidR="007372B6" w:rsidRDefault="00000000">
            <w:pPr>
              <w:pStyle w:val="ListParagraph"/>
              <w:widowControl w:val="0"/>
              <w:ind w:left="340"/>
              <w:contextualSpacing w:val="0"/>
              <w:jc w:val="both"/>
              <w:rPr>
                <w:b/>
                <w:bCs/>
                <w:sz w:val="20"/>
                <w:szCs w:val="20"/>
              </w:rPr>
            </w:pPr>
            <w:r>
              <w:rPr>
                <w:rFonts w:ascii="Calibri Light" w:eastAsia="Calibri" w:hAnsi="Calibri Light" w:cs="Calibri Light"/>
                <w:b/>
                <w:bCs/>
                <w:color w:val="000000"/>
                <w:sz w:val="20"/>
                <w:szCs w:val="20"/>
                <w:lang w:eastAsia="en-US"/>
              </w:rPr>
              <w:t>Monitoring &amp; Evaluation</w:t>
            </w:r>
          </w:p>
        </w:tc>
        <w:tc>
          <w:tcPr>
            <w:tcW w:w="6008" w:type="dxa"/>
            <w:tcBorders>
              <w:top w:val="single" w:sz="4" w:space="0" w:color="000000"/>
              <w:left w:val="single" w:sz="4" w:space="0" w:color="000000"/>
              <w:bottom w:val="single" w:sz="4" w:space="0" w:color="000000"/>
              <w:right w:val="single" w:sz="4" w:space="0" w:color="000000"/>
            </w:tcBorders>
            <w:shd w:val="clear" w:color="auto" w:fill="E6E6FF"/>
          </w:tcPr>
          <w:p w14:paraId="3A56E20A" w14:textId="77777777" w:rsidR="007372B6" w:rsidRDefault="007372B6">
            <w:pPr>
              <w:widowControl w:val="0"/>
              <w:jc w:val="center"/>
              <w:rPr>
                <w:rFonts w:ascii="Calibri Light" w:eastAsia="Calibri" w:hAnsi="Calibri Light" w:cs="Calibri Light"/>
                <w:color w:val="000000"/>
                <w:sz w:val="20"/>
                <w:szCs w:val="20"/>
                <w:lang w:eastAsia="en-US"/>
              </w:rPr>
            </w:pPr>
          </w:p>
        </w:tc>
      </w:tr>
      <w:tr w:rsidR="007372B6" w14:paraId="5839B5F7"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236B85CF"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M&amp;E design at entry</w:t>
            </w:r>
          </w:p>
        </w:tc>
        <w:tc>
          <w:tcPr>
            <w:tcW w:w="1027" w:type="dxa"/>
            <w:tcBorders>
              <w:top w:val="single" w:sz="4" w:space="0" w:color="000000"/>
              <w:left w:val="single" w:sz="4" w:space="0" w:color="000000"/>
              <w:bottom w:val="single" w:sz="4" w:space="0" w:color="000000"/>
              <w:right w:val="single" w:sz="4" w:space="0" w:color="000000"/>
            </w:tcBorders>
          </w:tcPr>
          <w:p w14:paraId="6EF92446"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08" w:type="dxa"/>
            <w:tcBorders>
              <w:top w:val="single" w:sz="4" w:space="0" w:color="000000"/>
              <w:left w:val="single" w:sz="4" w:space="0" w:color="000000"/>
              <w:bottom w:val="single" w:sz="4" w:space="0" w:color="000000"/>
              <w:right w:val="single" w:sz="4" w:space="0" w:color="000000"/>
            </w:tcBorders>
          </w:tcPr>
          <w:p w14:paraId="66F1759B"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 xml:space="preserve">No distinct monitoring </w:t>
            </w:r>
            <w:proofErr w:type="gramStart"/>
            <w:r>
              <w:rPr>
                <w:rFonts w:ascii="Calibri Light" w:eastAsia="Calibri" w:hAnsi="Calibri Light" w:cs="Calibri Light"/>
                <w:color w:val="000000"/>
                <w:sz w:val="20"/>
                <w:szCs w:val="20"/>
                <w:lang w:eastAsia="en-US"/>
              </w:rPr>
              <w:t>plan</w:t>
            </w:r>
            <w:proofErr w:type="gramEnd"/>
            <w:r>
              <w:rPr>
                <w:rFonts w:ascii="Calibri Light" w:eastAsia="Calibri" w:hAnsi="Calibri Light" w:cs="Calibri Light"/>
                <w:color w:val="000000"/>
                <w:sz w:val="20"/>
                <w:szCs w:val="20"/>
                <w:lang w:eastAsia="en-US"/>
              </w:rPr>
              <w:t>. Indicators not sufficiently operational (e.g., PA management effectiveness). Project scope and locations complicates the wide set of monitoring tasks. No assessment of capacity or instructions for implementing a monitoring system.</w:t>
            </w:r>
          </w:p>
        </w:tc>
      </w:tr>
      <w:tr w:rsidR="007372B6" w14:paraId="7149D857"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3906ABD5"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M&amp;E Plan Implementation</w:t>
            </w:r>
          </w:p>
        </w:tc>
        <w:tc>
          <w:tcPr>
            <w:tcW w:w="1027" w:type="dxa"/>
            <w:tcBorders>
              <w:top w:val="single" w:sz="4" w:space="0" w:color="000000"/>
              <w:left w:val="single" w:sz="4" w:space="0" w:color="000000"/>
              <w:bottom w:val="single" w:sz="4" w:space="0" w:color="000000"/>
              <w:right w:val="single" w:sz="4" w:space="0" w:color="000000"/>
            </w:tcBorders>
          </w:tcPr>
          <w:p w14:paraId="4FFAE1D2"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U</w:t>
            </w:r>
          </w:p>
        </w:tc>
        <w:tc>
          <w:tcPr>
            <w:tcW w:w="6008" w:type="dxa"/>
            <w:tcBorders>
              <w:top w:val="single" w:sz="4" w:space="0" w:color="000000"/>
              <w:left w:val="single" w:sz="4" w:space="0" w:color="000000"/>
              <w:bottom w:val="single" w:sz="4" w:space="0" w:color="000000"/>
              <w:right w:val="single" w:sz="4" w:space="0" w:color="000000"/>
            </w:tcBorders>
          </w:tcPr>
          <w:p w14:paraId="66B60E27"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No dedicated monitoring officer with capacity to track and report on progress. GEF tracking tools not updated. No coordinated approach the limited monitoring and reporting functions. Significant results monitoring data not available.</w:t>
            </w:r>
          </w:p>
        </w:tc>
      </w:tr>
      <w:tr w:rsidR="007372B6" w14:paraId="2340CCEC" w14:textId="77777777">
        <w:trPr>
          <w:jc w:val="center"/>
        </w:trPr>
        <w:tc>
          <w:tcPr>
            <w:tcW w:w="20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FD6A35"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Overall Quality of M&amp;E</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E03C9B"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U</w:t>
            </w:r>
          </w:p>
        </w:tc>
        <w:tc>
          <w:tcPr>
            <w:tcW w:w="6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1FFD7"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 xml:space="preserve">Annual PIR reporting based on activities completed. </w:t>
            </w:r>
            <w:proofErr w:type="gramStart"/>
            <w:r>
              <w:rPr>
                <w:rFonts w:ascii="Calibri Light" w:eastAsia="Calibri" w:hAnsi="Calibri Light" w:cs="Calibri Light"/>
                <w:color w:val="000000"/>
                <w:sz w:val="20"/>
                <w:szCs w:val="20"/>
                <w:lang w:eastAsia="en-US"/>
              </w:rPr>
              <w:t xml:space="preserve">Insufficient </w:t>
            </w:r>
            <w:r>
              <w:rPr>
                <w:rFonts w:ascii="Calibri" w:hAnsi="Calibri"/>
                <w:sz w:val="22"/>
              </w:rPr>
              <w:t xml:space="preserve"> </w:t>
            </w:r>
            <w:r>
              <w:rPr>
                <w:rFonts w:ascii="Calibri Light" w:eastAsia="Calibri" w:hAnsi="Calibri Light" w:cs="Calibri Light"/>
                <w:color w:val="000000"/>
                <w:sz w:val="20"/>
                <w:szCs w:val="20"/>
                <w:lang w:eastAsia="en-US"/>
              </w:rPr>
              <w:t>empirical</w:t>
            </w:r>
            <w:proofErr w:type="gramEnd"/>
            <w:r>
              <w:rPr>
                <w:rFonts w:ascii="Calibri Light" w:eastAsia="Calibri" w:hAnsi="Calibri Light" w:cs="Calibri Light"/>
                <w:color w:val="000000"/>
                <w:sz w:val="20"/>
                <w:szCs w:val="20"/>
                <w:lang w:eastAsia="en-US"/>
              </w:rPr>
              <w:t xml:space="preserve"> progress data relative to expected outcomes. (See Annex 3 which highlights the gaps in target achievement information). No quantitative database to evaluate before and after project (e.g., PA area expansion, rehabilitated forests and grasslands).</w:t>
            </w:r>
            <w:r>
              <w:rPr>
                <w:rStyle w:val="FootnoteAnchor"/>
                <w:rFonts w:ascii="Calibri Light" w:eastAsia="Calibri" w:hAnsi="Calibri Light" w:cs="Calibri Light"/>
                <w:color w:val="000000"/>
                <w:sz w:val="20"/>
                <w:szCs w:val="20"/>
                <w:lang w:eastAsia="en-US"/>
              </w:rPr>
              <w:footnoteReference w:id="3"/>
            </w:r>
          </w:p>
        </w:tc>
      </w:tr>
      <w:tr w:rsidR="007372B6" w14:paraId="1CEE7F1B" w14:textId="77777777">
        <w:trPr>
          <w:jc w:val="center"/>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E6E6FF"/>
          </w:tcPr>
          <w:p w14:paraId="08025048" w14:textId="77777777" w:rsidR="007372B6" w:rsidRDefault="00000000">
            <w:pPr>
              <w:pStyle w:val="ListParagraph"/>
              <w:widowControl w:val="0"/>
              <w:ind w:left="340"/>
              <w:contextualSpacing w:val="0"/>
              <w:jc w:val="both"/>
              <w:rPr>
                <w:b/>
                <w:bCs/>
                <w:sz w:val="20"/>
                <w:szCs w:val="20"/>
              </w:rPr>
            </w:pPr>
            <w:r>
              <w:rPr>
                <w:rFonts w:ascii="Calibri Light" w:eastAsia="Calibri" w:hAnsi="Calibri Light" w:cs="Calibri Light"/>
                <w:b/>
                <w:bCs/>
                <w:color w:val="000000"/>
                <w:sz w:val="20"/>
                <w:szCs w:val="20"/>
                <w:lang w:eastAsia="en-US"/>
              </w:rPr>
              <w:t>Implementation &amp; Execution</w:t>
            </w:r>
          </w:p>
        </w:tc>
        <w:tc>
          <w:tcPr>
            <w:tcW w:w="6008" w:type="dxa"/>
            <w:tcBorders>
              <w:top w:val="single" w:sz="4" w:space="0" w:color="000000"/>
              <w:left w:val="single" w:sz="4" w:space="0" w:color="000000"/>
              <w:bottom w:val="single" w:sz="4" w:space="0" w:color="000000"/>
              <w:right w:val="single" w:sz="4" w:space="0" w:color="000000"/>
            </w:tcBorders>
            <w:shd w:val="clear" w:color="auto" w:fill="E6E6FF"/>
          </w:tcPr>
          <w:p w14:paraId="5BCE85C3" w14:textId="77777777" w:rsidR="007372B6" w:rsidRDefault="007372B6">
            <w:pPr>
              <w:widowControl w:val="0"/>
              <w:jc w:val="both"/>
              <w:rPr>
                <w:rFonts w:ascii="Calibri Light" w:eastAsia="Calibri" w:hAnsi="Calibri Light" w:cs="Calibri Light"/>
                <w:color w:val="000000"/>
                <w:sz w:val="20"/>
                <w:szCs w:val="20"/>
                <w:lang w:eastAsia="en-US"/>
              </w:rPr>
            </w:pPr>
          </w:p>
        </w:tc>
      </w:tr>
      <w:tr w:rsidR="007372B6" w14:paraId="3FC29AF5"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048EEC8E" w14:textId="77777777" w:rsidR="007372B6" w:rsidRDefault="00000000">
            <w:pPr>
              <w:widowControl w:val="0"/>
              <w:ind w:left="318"/>
              <w:rPr>
                <w:sz w:val="20"/>
                <w:szCs w:val="20"/>
              </w:rPr>
            </w:pPr>
            <w:r>
              <w:rPr>
                <w:rFonts w:ascii="Calibri Light" w:eastAsia="Calibri" w:hAnsi="Calibri Light" w:cs="Calibri Light"/>
                <w:color w:val="000000"/>
                <w:sz w:val="20"/>
                <w:szCs w:val="20"/>
                <w:lang w:eastAsia="en-US"/>
              </w:rPr>
              <w:t>Quality of UNDP Implementation/ Oversight</w:t>
            </w:r>
          </w:p>
        </w:tc>
        <w:tc>
          <w:tcPr>
            <w:tcW w:w="1027" w:type="dxa"/>
            <w:tcBorders>
              <w:top w:val="single" w:sz="4" w:space="0" w:color="000000"/>
              <w:left w:val="single" w:sz="4" w:space="0" w:color="000000"/>
              <w:bottom w:val="single" w:sz="4" w:space="0" w:color="000000"/>
              <w:right w:val="single" w:sz="4" w:space="0" w:color="000000"/>
            </w:tcBorders>
          </w:tcPr>
          <w:p w14:paraId="7A15AA78"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08" w:type="dxa"/>
            <w:tcBorders>
              <w:top w:val="single" w:sz="4" w:space="0" w:color="000000"/>
              <w:left w:val="single" w:sz="4" w:space="0" w:color="000000"/>
              <w:bottom w:val="single" w:sz="4" w:space="0" w:color="000000"/>
              <w:right w:val="single" w:sz="4" w:space="0" w:color="000000"/>
            </w:tcBorders>
          </w:tcPr>
          <w:p w14:paraId="2C39C836"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Unable to expedite project delivery with government after initial long delays and Covid-related disruptions. Poor monitoring and reporting system. MTR recommendations not fully addressed.</w:t>
            </w:r>
          </w:p>
        </w:tc>
      </w:tr>
      <w:tr w:rsidR="007372B6" w14:paraId="5FA27D98"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27BF6C97"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Quality of Implementing Partner Execution</w:t>
            </w:r>
          </w:p>
        </w:tc>
        <w:tc>
          <w:tcPr>
            <w:tcW w:w="1027" w:type="dxa"/>
            <w:tcBorders>
              <w:top w:val="single" w:sz="4" w:space="0" w:color="000000"/>
              <w:left w:val="single" w:sz="4" w:space="0" w:color="000000"/>
              <w:bottom w:val="single" w:sz="4" w:space="0" w:color="000000"/>
              <w:right w:val="single" w:sz="4" w:space="0" w:color="000000"/>
            </w:tcBorders>
          </w:tcPr>
          <w:p w14:paraId="75B5B08C"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MS</w:t>
            </w:r>
          </w:p>
        </w:tc>
        <w:tc>
          <w:tcPr>
            <w:tcW w:w="6008" w:type="dxa"/>
            <w:tcBorders>
              <w:top w:val="single" w:sz="4" w:space="0" w:color="000000"/>
              <w:left w:val="single" w:sz="4" w:space="0" w:color="000000"/>
              <w:bottom w:val="single" w:sz="4" w:space="0" w:color="000000"/>
              <w:right w:val="single" w:sz="4" w:space="0" w:color="000000"/>
            </w:tcBorders>
          </w:tcPr>
          <w:p w14:paraId="5642E6F1"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Completed biological surveys and studies and catchment area plans and initiated community engagement, along with minor livelihoods development. Limited linkages between IPs and no overall integrated R2R strategies developed.</w:t>
            </w:r>
          </w:p>
        </w:tc>
      </w:tr>
      <w:tr w:rsidR="007372B6" w14:paraId="24D9D2D6" w14:textId="77777777">
        <w:trPr>
          <w:jc w:val="center"/>
        </w:trPr>
        <w:tc>
          <w:tcPr>
            <w:tcW w:w="20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92C72"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Overall quality of Implementation/ Execution</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EB17C3"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B618A"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 xml:space="preserve">Significant coordination and communication issues and major delays leading to underachievement of targets. Confusion over roles and responsibilities in managing and reporting on activities and results. Inexperienced project management staff. Better progress where IPs had previous relationships and programs in the catchment areas. Covid </w:t>
            </w:r>
            <w:proofErr w:type="gramStart"/>
            <w:r>
              <w:rPr>
                <w:rFonts w:ascii="Calibri Light" w:eastAsia="Calibri" w:hAnsi="Calibri Light" w:cs="Calibri Light"/>
                <w:color w:val="000000"/>
                <w:sz w:val="20"/>
                <w:szCs w:val="20"/>
                <w:lang w:eastAsia="en-US"/>
              </w:rPr>
              <w:lastRenderedPageBreak/>
              <w:t>restrictions imposed</w:t>
            </w:r>
            <w:proofErr w:type="gramEnd"/>
            <w:r>
              <w:rPr>
                <w:rFonts w:ascii="Calibri Light" w:eastAsia="Calibri" w:hAnsi="Calibri Light" w:cs="Calibri Light"/>
                <w:color w:val="000000"/>
                <w:sz w:val="20"/>
                <w:szCs w:val="20"/>
                <w:lang w:eastAsia="en-US"/>
              </w:rPr>
              <w:t xml:space="preserve"> implementation constraints.</w:t>
            </w:r>
          </w:p>
        </w:tc>
      </w:tr>
      <w:tr w:rsidR="007372B6" w14:paraId="17B191FA" w14:textId="77777777">
        <w:trPr>
          <w:jc w:val="center"/>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E6E6FF"/>
          </w:tcPr>
          <w:p w14:paraId="537A1E34" w14:textId="77777777" w:rsidR="007372B6" w:rsidRDefault="00000000">
            <w:pPr>
              <w:pStyle w:val="ListParagraph"/>
              <w:widowControl w:val="0"/>
              <w:ind w:left="340"/>
              <w:contextualSpacing w:val="0"/>
              <w:jc w:val="both"/>
              <w:rPr>
                <w:b/>
                <w:bCs/>
                <w:sz w:val="20"/>
                <w:szCs w:val="20"/>
              </w:rPr>
            </w:pPr>
            <w:r>
              <w:rPr>
                <w:rFonts w:ascii="Calibri Light" w:eastAsia="Calibri" w:hAnsi="Calibri Light" w:cs="Calibri Light"/>
                <w:b/>
                <w:bCs/>
                <w:color w:val="000000"/>
                <w:sz w:val="20"/>
                <w:szCs w:val="20"/>
                <w:lang w:eastAsia="en-US"/>
              </w:rPr>
              <w:lastRenderedPageBreak/>
              <w:t>Assessment of Outcomes</w:t>
            </w:r>
          </w:p>
        </w:tc>
        <w:tc>
          <w:tcPr>
            <w:tcW w:w="6008" w:type="dxa"/>
            <w:tcBorders>
              <w:top w:val="single" w:sz="4" w:space="0" w:color="000000"/>
              <w:left w:val="single" w:sz="4" w:space="0" w:color="000000"/>
              <w:bottom w:val="single" w:sz="4" w:space="0" w:color="000000"/>
              <w:right w:val="single" w:sz="4" w:space="0" w:color="000000"/>
            </w:tcBorders>
            <w:shd w:val="clear" w:color="auto" w:fill="E6E6FF"/>
          </w:tcPr>
          <w:p w14:paraId="0EE58F27" w14:textId="77777777" w:rsidR="007372B6" w:rsidRDefault="007372B6">
            <w:pPr>
              <w:widowControl w:val="0"/>
              <w:jc w:val="both"/>
              <w:rPr>
                <w:rFonts w:ascii="Calibri Light" w:eastAsia="Calibri" w:hAnsi="Calibri Light" w:cs="Calibri Light"/>
                <w:color w:val="000000"/>
                <w:sz w:val="20"/>
                <w:szCs w:val="20"/>
                <w:lang w:eastAsia="en-US"/>
              </w:rPr>
            </w:pPr>
          </w:p>
        </w:tc>
      </w:tr>
      <w:tr w:rsidR="007372B6" w14:paraId="2F6A239B"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1239F040"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Relevance</w:t>
            </w:r>
          </w:p>
        </w:tc>
        <w:tc>
          <w:tcPr>
            <w:tcW w:w="1027" w:type="dxa"/>
            <w:tcBorders>
              <w:top w:val="single" w:sz="4" w:space="0" w:color="000000"/>
              <w:left w:val="single" w:sz="4" w:space="0" w:color="000000"/>
              <w:bottom w:val="single" w:sz="4" w:space="0" w:color="000000"/>
              <w:right w:val="single" w:sz="4" w:space="0" w:color="000000"/>
            </w:tcBorders>
          </w:tcPr>
          <w:p w14:paraId="53C28537"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MS</w:t>
            </w:r>
          </w:p>
        </w:tc>
        <w:tc>
          <w:tcPr>
            <w:tcW w:w="6008" w:type="dxa"/>
            <w:tcBorders>
              <w:top w:val="single" w:sz="4" w:space="0" w:color="000000"/>
              <w:left w:val="single" w:sz="4" w:space="0" w:color="000000"/>
              <w:bottom w:val="single" w:sz="4" w:space="0" w:color="000000"/>
              <w:right w:val="single" w:sz="4" w:space="0" w:color="000000"/>
            </w:tcBorders>
          </w:tcPr>
          <w:p w14:paraId="687D7122"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Project addresses key priorities in the catchment areas and is aligned with national and GEF objectives and programs. The importance of hydrological and SLM in affecting watershed-wide environmental and conservation issues (e.g., flooding, sedimentation) not fully recognized due to an emphasis on biodiversity and forestry interests, and absence of a broad R2R strategy.</w:t>
            </w:r>
          </w:p>
        </w:tc>
      </w:tr>
      <w:tr w:rsidR="007372B6" w14:paraId="27833A09"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15E4CDA0"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Effectiveness</w:t>
            </w:r>
          </w:p>
        </w:tc>
        <w:tc>
          <w:tcPr>
            <w:tcW w:w="1027" w:type="dxa"/>
            <w:tcBorders>
              <w:top w:val="single" w:sz="4" w:space="0" w:color="000000"/>
              <w:left w:val="single" w:sz="4" w:space="0" w:color="000000"/>
              <w:bottom w:val="single" w:sz="4" w:space="0" w:color="000000"/>
              <w:right w:val="single" w:sz="4" w:space="0" w:color="000000"/>
            </w:tcBorders>
          </w:tcPr>
          <w:p w14:paraId="05B11E36"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08" w:type="dxa"/>
            <w:tcBorders>
              <w:top w:val="single" w:sz="4" w:space="0" w:color="000000"/>
              <w:left w:val="single" w:sz="4" w:space="0" w:color="000000"/>
              <w:bottom w:val="single" w:sz="4" w:space="0" w:color="000000"/>
              <w:right w:val="single" w:sz="4" w:space="0" w:color="000000"/>
            </w:tcBorders>
          </w:tcPr>
          <w:p w14:paraId="76E0C219"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69% of activities completed (June 2022); PA targets not met; management effectiveness marginally enhanced with biological surveys but capacity gaps unknown; no real progress on PA financing. 5 of 6 catchment plans completed. Communities partially mobilized. 76% reforestation targeted hectares achieved (but no data on quality). Policy development and PA financing not achieved.</w:t>
            </w:r>
          </w:p>
        </w:tc>
      </w:tr>
      <w:tr w:rsidR="007372B6" w14:paraId="19B72C31"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705635F8"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Efficiency</w:t>
            </w:r>
          </w:p>
        </w:tc>
        <w:tc>
          <w:tcPr>
            <w:tcW w:w="1027" w:type="dxa"/>
            <w:tcBorders>
              <w:top w:val="single" w:sz="4" w:space="0" w:color="000000"/>
              <w:left w:val="single" w:sz="4" w:space="0" w:color="000000"/>
              <w:bottom w:val="single" w:sz="4" w:space="0" w:color="000000"/>
              <w:right w:val="single" w:sz="4" w:space="0" w:color="000000"/>
            </w:tcBorders>
          </w:tcPr>
          <w:p w14:paraId="36616EF8"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U</w:t>
            </w:r>
          </w:p>
        </w:tc>
        <w:tc>
          <w:tcPr>
            <w:tcW w:w="6008" w:type="dxa"/>
            <w:tcBorders>
              <w:top w:val="single" w:sz="4" w:space="0" w:color="000000"/>
              <w:left w:val="single" w:sz="4" w:space="0" w:color="000000"/>
              <w:bottom w:val="single" w:sz="4" w:space="0" w:color="000000"/>
              <w:right w:val="single" w:sz="4" w:space="0" w:color="000000"/>
            </w:tcBorders>
          </w:tcPr>
          <w:p w14:paraId="52EAEDF2"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Major implementation delays. Costs are high relative to outputs produced.  Some plantation failures leading to added costs. Inefficiencies in advance payment approvals and issuance, creating IP activity scheduling and delivery problems.</w:t>
            </w:r>
          </w:p>
        </w:tc>
      </w:tr>
      <w:tr w:rsidR="007372B6" w14:paraId="7FF90A3B" w14:textId="77777777">
        <w:trPr>
          <w:jc w:val="center"/>
        </w:trPr>
        <w:tc>
          <w:tcPr>
            <w:tcW w:w="20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270E06"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Overall Project Outcome Rating</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51B4D4"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92E8C7"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Outcomes only partially achieved (e.g., PA management effectiveness improvement, sustainable forestry market mechanisms not achieved), little progress on Outcome 2 (PA finance) and Outcome 6 (policy development) abandoned in favour of reforestation. R2R integrated management approach not established.</w:t>
            </w:r>
          </w:p>
        </w:tc>
      </w:tr>
      <w:tr w:rsidR="007372B6" w14:paraId="1BABE434" w14:textId="77777777">
        <w:trPr>
          <w:jc w:val="center"/>
        </w:trPr>
        <w:tc>
          <w:tcPr>
            <w:tcW w:w="2033" w:type="dxa"/>
            <w:tcBorders>
              <w:top w:val="single" w:sz="4" w:space="0" w:color="000000"/>
              <w:left w:val="single" w:sz="4" w:space="0" w:color="000000"/>
              <w:bottom w:val="single" w:sz="4" w:space="0" w:color="000000"/>
              <w:right w:val="single" w:sz="4" w:space="0" w:color="000000"/>
            </w:tcBorders>
            <w:shd w:val="clear" w:color="auto" w:fill="E6E6FF"/>
          </w:tcPr>
          <w:p w14:paraId="100A87E0" w14:textId="77777777" w:rsidR="007372B6" w:rsidRDefault="00000000">
            <w:pPr>
              <w:pStyle w:val="ListParagraph"/>
              <w:widowControl w:val="0"/>
              <w:ind w:left="340"/>
              <w:contextualSpacing w:val="0"/>
              <w:jc w:val="both"/>
              <w:rPr>
                <w:b/>
                <w:bCs/>
                <w:sz w:val="20"/>
                <w:szCs w:val="20"/>
              </w:rPr>
            </w:pPr>
            <w:r>
              <w:rPr>
                <w:rFonts w:ascii="Calibri Light" w:eastAsia="Calibri" w:hAnsi="Calibri Light" w:cs="Calibri Light"/>
                <w:b/>
                <w:bCs/>
                <w:color w:val="000000"/>
                <w:sz w:val="20"/>
                <w:szCs w:val="20"/>
                <w:lang w:eastAsia="en-US"/>
              </w:rPr>
              <w:t>Sustainability</w:t>
            </w:r>
          </w:p>
        </w:tc>
        <w:tc>
          <w:tcPr>
            <w:tcW w:w="1027" w:type="dxa"/>
            <w:tcBorders>
              <w:top w:val="single" w:sz="4" w:space="0" w:color="000000"/>
              <w:left w:val="single" w:sz="4" w:space="0" w:color="000000"/>
              <w:bottom w:val="single" w:sz="4" w:space="0" w:color="000000"/>
              <w:right w:val="single" w:sz="4" w:space="0" w:color="000000"/>
            </w:tcBorders>
            <w:shd w:val="clear" w:color="auto" w:fill="E6E6FF"/>
          </w:tcPr>
          <w:p w14:paraId="7F0B5B63" w14:textId="77777777" w:rsidR="007372B6" w:rsidRDefault="007372B6">
            <w:pPr>
              <w:widowControl w:val="0"/>
              <w:jc w:val="center"/>
              <w:rPr>
                <w:rFonts w:ascii="Calibri Light" w:eastAsia="Calibri" w:hAnsi="Calibri Light" w:cs="Calibri Light"/>
                <w:color w:val="000000"/>
                <w:sz w:val="20"/>
                <w:szCs w:val="20"/>
                <w:lang w:eastAsia="en-US"/>
              </w:rPr>
            </w:pPr>
          </w:p>
        </w:tc>
        <w:tc>
          <w:tcPr>
            <w:tcW w:w="6008" w:type="dxa"/>
            <w:tcBorders>
              <w:top w:val="single" w:sz="4" w:space="0" w:color="000000"/>
              <w:left w:val="single" w:sz="4" w:space="0" w:color="000000"/>
              <w:bottom w:val="single" w:sz="4" w:space="0" w:color="000000"/>
              <w:right w:val="single" w:sz="4" w:space="0" w:color="000000"/>
            </w:tcBorders>
            <w:shd w:val="clear" w:color="auto" w:fill="E6E6FF"/>
          </w:tcPr>
          <w:p w14:paraId="71BDDBF3" w14:textId="77777777" w:rsidR="007372B6" w:rsidRDefault="007372B6">
            <w:pPr>
              <w:widowControl w:val="0"/>
              <w:jc w:val="both"/>
              <w:rPr>
                <w:rFonts w:ascii="Calibri Light" w:eastAsia="Calibri" w:hAnsi="Calibri Light" w:cs="Calibri Light"/>
                <w:color w:val="000000"/>
                <w:sz w:val="20"/>
                <w:szCs w:val="20"/>
                <w:lang w:eastAsia="en-US"/>
              </w:rPr>
            </w:pPr>
          </w:p>
        </w:tc>
      </w:tr>
      <w:tr w:rsidR="007372B6" w14:paraId="06D8DC87"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2C5E5A29"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Financial resources</w:t>
            </w:r>
          </w:p>
        </w:tc>
        <w:tc>
          <w:tcPr>
            <w:tcW w:w="1027" w:type="dxa"/>
            <w:tcBorders>
              <w:top w:val="single" w:sz="4" w:space="0" w:color="000000"/>
              <w:left w:val="single" w:sz="4" w:space="0" w:color="000000"/>
              <w:bottom w:val="single" w:sz="4" w:space="0" w:color="000000"/>
              <w:right w:val="single" w:sz="4" w:space="0" w:color="000000"/>
            </w:tcBorders>
          </w:tcPr>
          <w:p w14:paraId="3AB5A45F"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08" w:type="dxa"/>
            <w:tcBorders>
              <w:top w:val="single" w:sz="4" w:space="0" w:color="000000"/>
              <w:left w:val="single" w:sz="4" w:space="0" w:color="000000"/>
              <w:bottom w:val="single" w:sz="4" w:space="0" w:color="000000"/>
              <w:right w:val="single" w:sz="4" w:space="0" w:color="000000"/>
            </w:tcBorders>
          </w:tcPr>
          <w:p w14:paraId="656FA34E"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No PA financing measures. Some livelihoods may be financially viable. Uncertainties about resources to continue with catchment area plans implementation.</w:t>
            </w:r>
          </w:p>
        </w:tc>
      </w:tr>
      <w:tr w:rsidR="007372B6" w14:paraId="54763132"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4890DDD1"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Socio-political/economic</w:t>
            </w:r>
          </w:p>
        </w:tc>
        <w:tc>
          <w:tcPr>
            <w:tcW w:w="1027" w:type="dxa"/>
            <w:tcBorders>
              <w:top w:val="single" w:sz="4" w:space="0" w:color="000000"/>
              <w:left w:val="single" w:sz="4" w:space="0" w:color="000000"/>
              <w:bottom w:val="single" w:sz="4" w:space="0" w:color="000000"/>
              <w:right w:val="single" w:sz="4" w:space="0" w:color="000000"/>
            </w:tcBorders>
          </w:tcPr>
          <w:p w14:paraId="789A6C4B"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ML</w:t>
            </w:r>
          </w:p>
        </w:tc>
        <w:tc>
          <w:tcPr>
            <w:tcW w:w="6008" w:type="dxa"/>
            <w:tcBorders>
              <w:top w:val="single" w:sz="4" w:space="0" w:color="000000"/>
              <w:left w:val="single" w:sz="4" w:space="0" w:color="000000"/>
              <w:bottom w:val="single" w:sz="4" w:space="0" w:color="000000"/>
              <w:right w:val="single" w:sz="4" w:space="0" w:color="000000"/>
            </w:tcBorders>
          </w:tcPr>
          <w:p w14:paraId="5739837D"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Communities in 5 catchments have been oriented and mobilized for catchment rehabilitation activities. But leadership is variable, capacity is limited and the committees are generally uncertain about next steps.</w:t>
            </w:r>
          </w:p>
        </w:tc>
      </w:tr>
      <w:tr w:rsidR="007372B6" w14:paraId="7E13B54C"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554A1C63"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Institutional framework and governance</w:t>
            </w:r>
          </w:p>
        </w:tc>
        <w:tc>
          <w:tcPr>
            <w:tcW w:w="1027" w:type="dxa"/>
            <w:tcBorders>
              <w:top w:val="single" w:sz="4" w:space="0" w:color="000000"/>
              <w:left w:val="single" w:sz="4" w:space="0" w:color="000000"/>
              <w:bottom w:val="single" w:sz="4" w:space="0" w:color="000000"/>
              <w:right w:val="single" w:sz="4" w:space="0" w:color="000000"/>
            </w:tcBorders>
          </w:tcPr>
          <w:p w14:paraId="172FD7E9"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08" w:type="dxa"/>
            <w:tcBorders>
              <w:top w:val="single" w:sz="4" w:space="0" w:color="000000"/>
              <w:left w:val="single" w:sz="4" w:space="0" w:color="000000"/>
              <w:bottom w:val="single" w:sz="4" w:space="0" w:color="000000"/>
              <w:right w:val="single" w:sz="4" w:space="0" w:color="000000"/>
            </w:tcBorders>
          </w:tcPr>
          <w:p w14:paraId="217AC63C"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Surveys and plans and established working relationships with communities have provided an initial platform for local catchment area governance. But s</w:t>
            </w:r>
            <w:r>
              <w:rPr>
                <w:rFonts w:asciiTheme="minorHAnsi" w:eastAsia="Open Sans" w:hAnsiTheme="minorHAnsi" w:cstheme="minorHAnsi"/>
                <w:color w:val="000000"/>
                <w:sz w:val="20"/>
                <w:szCs w:val="20"/>
              </w:rPr>
              <w:t>ustainability is limited by a lack of policy, no overall R2R strategy and relatively poor coordination mechanisms amongst implementing partners and across sectors.</w:t>
            </w:r>
          </w:p>
        </w:tc>
      </w:tr>
      <w:tr w:rsidR="007372B6" w14:paraId="2BE5D755" w14:textId="77777777">
        <w:trPr>
          <w:jc w:val="center"/>
        </w:trPr>
        <w:tc>
          <w:tcPr>
            <w:tcW w:w="2033" w:type="dxa"/>
            <w:tcBorders>
              <w:top w:val="single" w:sz="4" w:space="0" w:color="000000"/>
              <w:left w:val="single" w:sz="4" w:space="0" w:color="000000"/>
              <w:bottom w:val="single" w:sz="4" w:space="0" w:color="000000"/>
              <w:right w:val="single" w:sz="4" w:space="0" w:color="000000"/>
            </w:tcBorders>
          </w:tcPr>
          <w:p w14:paraId="551F2C14"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Environmental</w:t>
            </w:r>
          </w:p>
        </w:tc>
        <w:tc>
          <w:tcPr>
            <w:tcW w:w="1027" w:type="dxa"/>
            <w:tcBorders>
              <w:top w:val="single" w:sz="4" w:space="0" w:color="000000"/>
              <w:left w:val="single" w:sz="4" w:space="0" w:color="000000"/>
              <w:bottom w:val="single" w:sz="4" w:space="0" w:color="000000"/>
              <w:right w:val="single" w:sz="4" w:space="0" w:color="000000"/>
            </w:tcBorders>
          </w:tcPr>
          <w:p w14:paraId="27EAE4B1"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ML</w:t>
            </w:r>
          </w:p>
        </w:tc>
        <w:tc>
          <w:tcPr>
            <w:tcW w:w="6008" w:type="dxa"/>
            <w:tcBorders>
              <w:top w:val="single" w:sz="4" w:space="0" w:color="000000"/>
              <w:left w:val="single" w:sz="4" w:space="0" w:color="000000"/>
              <w:bottom w:val="single" w:sz="4" w:space="0" w:color="000000"/>
              <w:right w:val="single" w:sz="4" w:space="0" w:color="000000"/>
            </w:tcBorders>
          </w:tcPr>
          <w:p w14:paraId="79542394" w14:textId="77777777" w:rsidR="007372B6" w:rsidRDefault="00000000">
            <w:pPr>
              <w:widowControl w:val="0"/>
              <w:snapToGrid w:val="0"/>
              <w:jc w:val="both"/>
              <w:rPr>
                <w:sz w:val="20"/>
                <w:szCs w:val="20"/>
              </w:rPr>
            </w:pPr>
            <w:r>
              <w:rPr>
                <w:rFonts w:asciiTheme="minorHAnsi" w:eastAsia="Open Sans" w:hAnsiTheme="minorHAnsi" w:cstheme="minorHAnsi"/>
                <w:color w:val="000000"/>
                <w:sz w:val="20"/>
                <w:szCs w:val="20"/>
              </w:rPr>
              <w:t>Project activities aimed to enhance environmental quality and conservation. No adverse environment/social impacts identified. Future of local conservation commitments may be questionable. The lack of data on reforestation and rehabilitation quality and sustainability makes it difficult to assess environmental changes.</w:t>
            </w:r>
          </w:p>
        </w:tc>
      </w:tr>
      <w:tr w:rsidR="007372B6" w14:paraId="1E173837" w14:textId="77777777">
        <w:trPr>
          <w:jc w:val="center"/>
        </w:trPr>
        <w:tc>
          <w:tcPr>
            <w:tcW w:w="20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82A761"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Overall Likelihood of Sustainability</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5C035D"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F9D96F" w14:textId="77777777" w:rsidR="007372B6" w:rsidRDefault="00000000">
            <w:pPr>
              <w:widowControl w:val="0"/>
              <w:snapToGrid w:val="0"/>
              <w:jc w:val="both"/>
              <w:rPr>
                <w:sz w:val="20"/>
                <w:szCs w:val="20"/>
              </w:rPr>
            </w:pPr>
            <w:r>
              <w:rPr>
                <w:rFonts w:ascii="Calibri" w:eastAsia="Calibri" w:hAnsi="Calibri" w:cs="Calibri"/>
                <w:color w:val="000000"/>
                <w:sz w:val="20"/>
                <w:szCs w:val="20"/>
                <w:lang w:eastAsia="en-US"/>
              </w:rPr>
              <w:t>There are a lot of uncertainties in the future implementation of the catchment area plans and the availability of national and local leadership skills and resources and essential collaborative relationships to sustain the project’s modest results.</w:t>
            </w:r>
          </w:p>
        </w:tc>
      </w:tr>
    </w:tbl>
    <w:p w14:paraId="7BD454FE" w14:textId="77777777" w:rsidR="007372B6" w:rsidRDefault="007372B6">
      <w:pPr>
        <w:spacing w:after="160" w:line="259" w:lineRule="auto"/>
        <w:contextualSpacing/>
        <w:rPr>
          <w:rFonts w:asciiTheme="minorHAnsi" w:hAnsiTheme="minorHAnsi" w:cstheme="minorHAnsi"/>
          <w:sz w:val="22"/>
          <w:szCs w:val="22"/>
        </w:rPr>
      </w:pPr>
    </w:p>
    <w:p w14:paraId="1BCD8B43" w14:textId="77777777" w:rsidR="007372B6" w:rsidRDefault="007372B6">
      <w:pPr>
        <w:spacing w:after="170" w:line="312" w:lineRule="auto"/>
        <w:contextualSpacing/>
        <w:rPr>
          <w:shd w:val="clear" w:color="auto" w:fill="FFFF00"/>
        </w:rPr>
      </w:pPr>
    </w:p>
    <w:p w14:paraId="37644DE6" w14:textId="77777777" w:rsidR="007372B6" w:rsidRDefault="007372B6">
      <w:pPr>
        <w:spacing w:after="170" w:line="312" w:lineRule="auto"/>
        <w:contextualSpacing/>
        <w:rPr>
          <w:shd w:val="clear" w:color="auto" w:fill="FFFF00"/>
        </w:rPr>
      </w:pPr>
    </w:p>
    <w:p w14:paraId="1E0D521D" w14:textId="77777777" w:rsidR="007372B6" w:rsidRDefault="007372B6">
      <w:pPr>
        <w:spacing w:after="170" w:line="312" w:lineRule="auto"/>
        <w:contextualSpacing/>
        <w:rPr>
          <w:shd w:val="clear" w:color="auto" w:fill="FFFF00"/>
        </w:rPr>
      </w:pPr>
    </w:p>
    <w:p w14:paraId="0013E90C" w14:textId="77777777" w:rsidR="007372B6" w:rsidRDefault="007372B6">
      <w:pPr>
        <w:spacing w:after="170" w:line="312" w:lineRule="auto"/>
        <w:contextualSpacing/>
        <w:rPr>
          <w:b/>
          <w:bCs/>
        </w:rPr>
      </w:pPr>
    </w:p>
    <w:p w14:paraId="16E021EA" w14:textId="77777777" w:rsidR="007372B6" w:rsidRDefault="00000000">
      <w:pPr>
        <w:spacing w:after="170" w:line="312" w:lineRule="auto"/>
        <w:contextualSpacing/>
        <w:rPr>
          <w:b/>
          <w:bCs/>
        </w:rPr>
      </w:pPr>
      <w:r>
        <w:br w:type="page"/>
      </w:r>
    </w:p>
    <w:p w14:paraId="2F81DC76" w14:textId="77777777" w:rsidR="007372B6" w:rsidRDefault="00000000">
      <w:pPr>
        <w:spacing w:after="170" w:line="312" w:lineRule="auto"/>
        <w:contextualSpacing/>
        <w:rPr>
          <w:b/>
          <w:bCs/>
        </w:rPr>
      </w:pPr>
      <w:r>
        <w:rPr>
          <w:rFonts w:asciiTheme="minorHAnsi" w:hAnsiTheme="minorHAnsi" w:cstheme="minorHAnsi"/>
          <w:b/>
          <w:bCs/>
          <w:sz w:val="22"/>
          <w:szCs w:val="22"/>
        </w:rPr>
        <w:lastRenderedPageBreak/>
        <w:t>Summary of Recommendations</w:t>
      </w:r>
    </w:p>
    <w:p w14:paraId="23F362D2" w14:textId="77777777" w:rsidR="007372B6" w:rsidRDefault="00000000">
      <w:pPr>
        <w:spacing w:after="170" w:line="312" w:lineRule="auto"/>
        <w:contextualSpacing/>
        <w:jc w:val="both"/>
        <w:rPr>
          <w:rFonts w:asciiTheme="minorHAnsi" w:hAnsiTheme="minorHAnsi" w:cstheme="minorHAnsi"/>
          <w:sz w:val="22"/>
          <w:szCs w:val="22"/>
        </w:rPr>
      </w:pPr>
      <w:r>
        <w:rPr>
          <w:rFonts w:asciiTheme="minorHAnsi" w:hAnsiTheme="minorHAnsi" w:cstheme="minorHAnsi"/>
          <w:sz w:val="22"/>
          <w:szCs w:val="22"/>
        </w:rPr>
        <w:t>Six recommendations are offered from the Terminal Evaluation, with explanatory notes and implementation responsibilities in section 5.3:</w:t>
      </w:r>
    </w:p>
    <w:p w14:paraId="4B22CC49" w14:textId="77777777" w:rsidR="007372B6" w:rsidRDefault="007372B6">
      <w:pPr>
        <w:spacing w:after="170" w:line="312" w:lineRule="auto"/>
        <w:contextualSpacing/>
        <w:jc w:val="both"/>
        <w:rPr>
          <w:rFonts w:asciiTheme="minorHAnsi" w:hAnsiTheme="minorHAnsi" w:cstheme="minorHAnsi"/>
          <w:sz w:val="22"/>
          <w:szCs w:val="22"/>
        </w:rPr>
      </w:pPr>
    </w:p>
    <w:tbl>
      <w:tblPr>
        <w:tblW w:w="9610" w:type="dxa"/>
        <w:tblLayout w:type="fixed"/>
        <w:tblLook w:val="04A0" w:firstRow="1" w:lastRow="0" w:firstColumn="1" w:lastColumn="0" w:noHBand="0" w:noVBand="1"/>
      </w:tblPr>
      <w:tblGrid>
        <w:gridCol w:w="538"/>
        <w:gridCol w:w="5668"/>
        <w:gridCol w:w="2123"/>
        <w:gridCol w:w="1281"/>
      </w:tblGrid>
      <w:tr w:rsidR="007372B6" w14:paraId="3FC1B852" w14:textId="77777777">
        <w:tc>
          <w:tcPr>
            <w:tcW w:w="538" w:type="dxa"/>
            <w:tcBorders>
              <w:top w:val="single" w:sz="4" w:space="0" w:color="000000"/>
              <w:left w:val="single" w:sz="4" w:space="0" w:color="000000"/>
              <w:bottom w:val="single" w:sz="4" w:space="0" w:color="000000"/>
              <w:right w:val="single" w:sz="4" w:space="0" w:color="000000"/>
            </w:tcBorders>
          </w:tcPr>
          <w:p w14:paraId="1103D6A0" w14:textId="77777777" w:rsidR="007372B6" w:rsidRDefault="00000000">
            <w:pPr>
              <w:widowControl w:val="0"/>
              <w:tabs>
                <w:tab w:val="left" w:pos="1620"/>
              </w:tabs>
              <w:spacing w:line="312" w:lineRule="auto"/>
              <w:jc w:val="both"/>
              <w:rPr>
                <w:rFonts w:asciiTheme="minorHAnsi" w:hAnsiTheme="minorHAnsi"/>
                <w:b/>
                <w:bCs/>
                <w:color w:val="000000"/>
                <w:lang w:eastAsia="en-US"/>
              </w:rPr>
            </w:pPr>
            <w:r>
              <w:rPr>
                <w:rFonts w:asciiTheme="minorHAnsi" w:hAnsiTheme="minorHAnsi"/>
                <w:b/>
                <w:bCs/>
                <w:color w:val="000000"/>
                <w:sz w:val="22"/>
                <w:szCs w:val="22"/>
                <w:lang w:eastAsia="en-US"/>
              </w:rPr>
              <w:t>No.</w:t>
            </w:r>
          </w:p>
        </w:tc>
        <w:tc>
          <w:tcPr>
            <w:tcW w:w="5667" w:type="dxa"/>
            <w:tcBorders>
              <w:top w:val="single" w:sz="4" w:space="0" w:color="000000"/>
              <w:left w:val="single" w:sz="4" w:space="0" w:color="000000"/>
              <w:bottom w:val="single" w:sz="4" w:space="0" w:color="000000"/>
              <w:right w:val="single" w:sz="4" w:space="0" w:color="000000"/>
            </w:tcBorders>
          </w:tcPr>
          <w:p w14:paraId="5B4D8440" w14:textId="77777777" w:rsidR="007372B6" w:rsidRDefault="00000000">
            <w:pPr>
              <w:widowControl w:val="0"/>
              <w:tabs>
                <w:tab w:val="left" w:pos="1620"/>
              </w:tabs>
              <w:spacing w:line="312" w:lineRule="auto"/>
              <w:jc w:val="both"/>
              <w:rPr>
                <w:rFonts w:asciiTheme="minorHAnsi" w:hAnsiTheme="minorHAnsi"/>
                <w:b/>
                <w:bCs/>
                <w:color w:val="000000"/>
                <w:lang w:eastAsia="en-US"/>
              </w:rPr>
            </w:pPr>
            <w:r>
              <w:rPr>
                <w:rFonts w:asciiTheme="minorHAnsi" w:hAnsiTheme="minorHAnsi"/>
                <w:b/>
                <w:bCs/>
                <w:color w:val="000000"/>
                <w:sz w:val="22"/>
                <w:szCs w:val="22"/>
                <w:lang w:eastAsia="en-US"/>
              </w:rPr>
              <w:t>Recommendation</w:t>
            </w:r>
          </w:p>
        </w:tc>
        <w:tc>
          <w:tcPr>
            <w:tcW w:w="2123" w:type="dxa"/>
            <w:tcBorders>
              <w:top w:val="single" w:sz="4" w:space="0" w:color="000000"/>
              <w:left w:val="single" w:sz="4" w:space="0" w:color="000000"/>
              <w:bottom w:val="single" w:sz="4" w:space="0" w:color="000000"/>
              <w:right w:val="single" w:sz="4" w:space="0" w:color="000000"/>
            </w:tcBorders>
          </w:tcPr>
          <w:p w14:paraId="47D77A12" w14:textId="77777777" w:rsidR="007372B6" w:rsidRDefault="00000000">
            <w:pPr>
              <w:widowControl w:val="0"/>
              <w:tabs>
                <w:tab w:val="left" w:pos="1620"/>
              </w:tabs>
              <w:spacing w:line="312" w:lineRule="auto"/>
              <w:jc w:val="both"/>
              <w:rPr>
                <w:rFonts w:asciiTheme="minorHAnsi" w:hAnsiTheme="minorHAnsi"/>
                <w:b/>
                <w:bCs/>
                <w:color w:val="000000"/>
                <w:lang w:eastAsia="en-US"/>
              </w:rPr>
            </w:pPr>
            <w:r>
              <w:rPr>
                <w:rFonts w:asciiTheme="minorHAnsi" w:hAnsiTheme="minorHAnsi"/>
                <w:b/>
                <w:bCs/>
                <w:color w:val="000000"/>
                <w:sz w:val="22"/>
                <w:szCs w:val="22"/>
                <w:lang w:eastAsia="en-US"/>
              </w:rPr>
              <w:t>Entity responsible</w:t>
            </w:r>
          </w:p>
        </w:tc>
        <w:tc>
          <w:tcPr>
            <w:tcW w:w="1281" w:type="dxa"/>
            <w:tcBorders>
              <w:top w:val="single" w:sz="4" w:space="0" w:color="000000"/>
              <w:left w:val="single" w:sz="4" w:space="0" w:color="000000"/>
              <w:bottom w:val="single" w:sz="4" w:space="0" w:color="000000"/>
              <w:right w:val="single" w:sz="4" w:space="0" w:color="000000"/>
            </w:tcBorders>
          </w:tcPr>
          <w:p w14:paraId="3072D0D1" w14:textId="77777777" w:rsidR="007372B6" w:rsidRDefault="00000000">
            <w:pPr>
              <w:widowControl w:val="0"/>
              <w:tabs>
                <w:tab w:val="left" w:pos="1620"/>
              </w:tabs>
              <w:spacing w:line="312" w:lineRule="auto"/>
              <w:jc w:val="both"/>
              <w:rPr>
                <w:rFonts w:asciiTheme="minorHAnsi" w:hAnsiTheme="minorHAnsi"/>
                <w:b/>
                <w:bCs/>
                <w:color w:val="000000"/>
                <w:lang w:eastAsia="en-US"/>
              </w:rPr>
            </w:pPr>
            <w:r>
              <w:rPr>
                <w:rFonts w:asciiTheme="minorHAnsi" w:hAnsiTheme="minorHAnsi"/>
                <w:b/>
                <w:bCs/>
                <w:color w:val="000000"/>
                <w:sz w:val="22"/>
                <w:szCs w:val="22"/>
                <w:lang w:eastAsia="en-US"/>
              </w:rPr>
              <w:t>Time frame</w:t>
            </w:r>
          </w:p>
        </w:tc>
      </w:tr>
      <w:tr w:rsidR="007372B6" w14:paraId="0A72B3C4" w14:textId="77777777">
        <w:tc>
          <w:tcPr>
            <w:tcW w:w="538" w:type="dxa"/>
            <w:tcBorders>
              <w:top w:val="single" w:sz="4" w:space="0" w:color="000000"/>
              <w:left w:val="single" w:sz="4" w:space="0" w:color="000000"/>
              <w:bottom w:val="single" w:sz="4" w:space="0" w:color="000000"/>
              <w:right w:val="single" w:sz="4" w:space="0" w:color="000000"/>
            </w:tcBorders>
          </w:tcPr>
          <w:p w14:paraId="05C8E5D4" w14:textId="77777777" w:rsidR="007372B6" w:rsidRDefault="00000000">
            <w:pPr>
              <w:widowControl w:val="0"/>
              <w:tabs>
                <w:tab w:val="left" w:pos="1620"/>
              </w:tabs>
              <w:jc w:val="both"/>
              <w:rPr>
                <w:sz w:val="20"/>
                <w:szCs w:val="20"/>
              </w:rPr>
            </w:pPr>
            <w:r>
              <w:rPr>
                <w:rFonts w:asciiTheme="minorHAnsi" w:hAnsiTheme="minorHAnsi"/>
                <w:color w:val="000000"/>
                <w:sz w:val="20"/>
                <w:szCs w:val="20"/>
                <w:lang w:eastAsia="en-US"/>
              </w:rPr>
              <w:t>1</w:t>
            </w:r>
          </w:p>
        </w:tc>
        <w:tc>
          <w:tcPr>
            <w:tcW w:w="5667" w:type="dxa"/>
            <w:tcBorders>
              <w:top w:val="single" w:sz="4" w:space="0" w:color="000000"/>
              <w:left w:val="single" w:sz="4" w:space="0" w:color="000000"/>
              <w:bottom w:val="single" w:sz="4" w:space="0" w:color="000000"/>
              <w:right w:val="single" w:sz="4" w:space="0" w:color="000000"/>
            </w:tcBorders>
          </w:tcPr>
          <w:p w14:paraId="0725A6CC" w14:textId="77777777" w:rsidR="007372B6" w:rsidRDefault="00000000">
            <w:pPr>
              <w:widowControl w:val="0"/>
              <w:tabs>
                <w:tab w:val="left" w:pos="1620"/>
              </w:tabs>
              <w:jc w:val="both"/>
              <w:rPr>
                <w:rFonts w:asciiTheme="minorHAnsi" w:hAnsiTheme="minorHAnsi"/>
                <w:color w:val="000000"/>
                <w:sz w:val="20"/>
                <w:szCs w:val="20"/>
                <w:lang w:eastAsia="en-US"/>
              </w:rPr>
            </w:pPr>
            <w:r>
              <w:rPr>
                <w:rFonts w:asciiTheme="minorHAnsi" w:eastAsia="Open Sans" w:hAnsiTheme="minorHAnsi" w:cstheme="minorHAnsi"/>
                <w:color w:val="000000"/>
                <w:sz w:val="20"/>
                <w:szCs w:val="20"/>
              </w:rPr>
              <w:t xml:space="preserve">The Fiji UNDP Country Office and the Ministry of </w:t>
            </w:r>
            <w:r>
              <w:rPr>
                <w:rFonts w:asciiTheme="minorHAnsi" w:hAnsiTheme="minorHAnsi" w:cstheme="minorHAnsi"/>
                <w:sz w:val="20"/>
                <w:szCs w:val="20"/>
                <w:lang w:eastAsia="en-GB"/>
              </w:rPr>
              <w:t>Waterways and Environment should coordinate and report on the remaining tasks under the Exit Strategy action plan, as documented in the 2022 Project Implementation Report, and recommend a program for further implementation of the Catchment Area Plans.</w:t>
            </w:r>
          </w:p>
        </w:tc>
        <w:tc>
          <w:tcPr>
            <w:tcW w:w="2123" w:type="dxa"/>
            <w:tcBorders>
              <w:top w:val="single" w:sz="4" w:space="0" w:color="000000"/>
              <w:left w:val="single" w:sz="4" w:space="0" w:color="000000"/>
              <w:bottom w:val="single" w:sz="4" w:space="0" w:color="000000"/>
              <w:right w:val="single" w:sz="4" w:space="0" w:color="000000"/>
            </w:tcBorders>
          </w:tcPr>
          <w:p w14:paraId="4A7C9D1A" w14:textId="77777777" w:rsidR="007372B6" w:rsidRDefault="00000000">
            <w:pPr>
              <w:widowControl w:val="0"/>
              <w:tabs>
                <w:tab w:val="left" w:pos="1620"/>
              </w:tabs>
              <w:jc w:val="both"/>
              <w:rPr>
                <w:sz w:val="20"/>
                <w:szCs w:val="20"/>
              </w:rPr>
            </w:pPr>
            <w:r>
              <w:rPr>
                <w:rFonts w:asciiTheme="minorHAnsi" w:eastAsia="Open Sans" w:hAnsiTheme="minorHAnsi" w:cstheme="minorHAnsi"/>
                <w:color w:val="000000"/>
                <w:sz w:val="20"/>
                <w:szCs w:val="20"/>
              </w:rPr>
              <w:t xml:space="preserve">Fiji UNDP Country Office and the Ministry of </w:t>
            </w:r>
            <w:r>
              <w:rPr>
                <w:rFonts w:asciiTheme="minorHAnsi" w:hAnsiTheme="minorHAnsi" w:cstheme="minorHAnsi"/>
                <w:sz w:val="20"/>
                <w:szCs w:val="20"/>
                <w:lang w:eastAsia="en-GB"/>
              </w:rPr>
              <w:t>Waterways and Environment</w:t>
            </w:r>
          </w:p>
        </w:tc>
        <w:tc>
          <w:tcPr>
            <w:tcW w:w="1281" w:type="dxa"/>
            <w:tcBorders>
              <w:top w:val="single" w:sz="4" w:space="0" w:color="000000"/>
              <w:left w:val="single" w:sz="4" w:space="0" w:color="000000"/>
              <w:bottom w:val="single" w:sz="4" w:space="0" w:color="000000"/>
              <w:right w:val="single" w:sz="4" w:space="0" w:color="000000"/>
            </w:tcBorders>
          </w:tcPr>
          <w:p w14:paraId="29A3C2BE" w14:textId="77777777" w:rsidR="007372B6" w:rsidRDefault="00000000">
            <w:pPr>
              <w:widowControl w:val="0"/>
              <w:tabs>
                <w:tab w:val="left" w:pos="1620"/>
              </w:tabs>
              <w:jc w:val="both"/>
              <w:rPr>
                <w:sz w:val="20"/>
                <w:szCs w:val="20"/>
              </w:rPr>
            </w:pPr>
            <w:r>
              <w:rPr>
                <w:rFonts w:asciiTheme="minorHAnsi" w:hAnsiTheme="minorHAnsi"/>
                <w:color w:val="000000"/>
                <w:sz w:val="20"/>
                <w:szCs w:val="20"/>
                <w:lang w:eastAsia="en-US"/>
              </w:rPr>
              <w:t>Q1 2023</w:t>
            </w:r>
          </w:p>
        </w:tc>
      </w:tr>
      <w:tr w:rsidR="007372B6" w14:paraId="52072FBA" w14:textId="77777777">
        <w:tc>
          <w:tcPr>
            <w:tcW w:w="538" w:type="dxa"/>
            <w:tcBorders>
              <w:top w:val="single" w:sz="4" w:space="0" w:color="000000"/>
              <w:left w:val="single" w:sz="4" w:space="0" w:color="000000"/>
              <w:bottom w:val="single" w:sz="4" w:space="0" w:color="000000"/>
              <w:right w:val="single" w:sz="4" w:space="0" w:color="000000"/>
            </w:tcBorders>
          </w:tcPr>
          <w:p w14:paraId="6D671747"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26F4FE06"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2123" w:type="dxa"/>
            <w:tcBorders>
              <w:top w:val="single" w:sz="4" w:space="0" w:color="000000"/>
              <w:left w:val="single" w:sz="4" w:space="0" w:color="000000"/>
              <w:bottom w:val="single" w:sz="4" w:space="0" w:color="000000"/>
              <w:right w:val="single" w:sz="4" w:space="0" w:color="000000"/>
            </w:tcBorders>
          </w:tcPr>
          <w:p w14:paraId="1FC1F024"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1281" w:type="dxa"/>
            <w:tcBorders>
              <w:top w:val="single" w:sz="4" w:space="0" w:color="000000"/>
              <w:left w:val="single" w:sz="4" w:space="0" w:color="000000"/>
              <w:bottom w:val="single" w:sz="4" w:space="0" w:color="000000"/>
              <w:right w:val="single" w:sz="4" w:space="0" w:color="000000"/>
            </w:tcBorders>
          </w:tcPr>
          <w:p w14:paraId="6E266540" w14:textId="77777777" w:rsidR="007372B6" w:rsidRDefault="007372B6">
            <w:pPr>
              <w:widowControl w:val="0"/>
              <w:tabs>
                <w:tab w:val="left" w:pos="1620"/>
              </w:tabs>
              <w:jc w:val="both"/>
              <w:rPr>
                <w:rFonts w:asciiTheme="minorHAnsi" w:hAnsiTheme="minorHAnsi"/>
                <w:color w:val="000000"/>
                <w:sz w:val="20"/>
                <w:szCs w:val="20"/>
                <w:lang w:eastAsia="en-US"/>
              </w:rPr>
            </w:pPr>
          </w:p>
        </w:tc>
      </w:tr>
      <w:tr w:rsidR="007372B6" w14:paraId="0CF5D0CB" w14:textId="77777777">
        <w:tc>
          <w:tcPr>
            <w:tcW w:w="538" w:type="dxa"/>
            <w:tcBorders>
              <w:top w:val="single" w:sz="4" w:space="0" w:color="000000"/>
              <w:left w:val="single" w:sz="4" w:space="0" w:color="000000"/>
              <w:bottom w:val="single" w:sz="4" w:space="0" w:color="000000"/>
              <w:right w:val="single" w:sz="4" w:space="0" w:color="000000"/>
            </w:tcBorders>
          </w:tcPr>
          <w:p w14:paraId="78BEC690"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2</w:t>
            </w:r>
          </w:p>
        </w:tc>
        <w:tc>
          <w:tcPr>
            <w:tcW w:w="5667" w:type="dxa"/>
            <w:tcBorders>
              <w:top w:val="single" w:sz="4" w:space="0" w:color="000000"/>
              <w:left w:val="single" w:sz="4" w:space="0" w:color="000000"/>
              <w:bottom w:val="single" w:sz="4" w:space="0" w:color="000000"/>
              <w:right w:val="single" w:sz="4" w:space="0" w:color="000000"/>
            </w:tcBorders>
          </w:tcPr>
          <w:p w14:paraId="49D473E7"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UNDP/GEF should establish a regional Pacific technical advisory group to assist R2R projects and to provide guidance for R2R Project Implementation Strategies that need to be prepared during the inception phase of future projects.</w:t>
            </w:r>
          </w:p>
        </w:tc>
        <w:tc>
          <w:tcPr>
            <w:tcW w:w="2123" w:type="dxa"/>
            <w:tcBorders>
              <w:top w:val="single" w:sz="4" w:space="0" w:color="000000"/>
              <w:left w:val="single" w:sz="4" w:space="0" w:color="000000"/>
              <w:bottom w:val="single" w:sz="4" w:space="0" w:color="000000"/>
              <w:right w:val="single" w:sz="4" w:space="0" w:color="000000"/>
            </w:tcBorders>
          </w:tcPr>
          <w:p w14:paraId="766F4CD7" w14:textId="77777777" w:rsidR="007372B6" w:rsidRDefault="00000000">
            <w:pPr>
              <w:widowControl w:val="0"/>
              <w:tabs>
                <w:tab w:val="left" w:pos="1620"/>
              </w:tabs>
              <w:jc w:val="both"/>
              <w:rPr>
                <w:sz w:val="20"/>
                <w:szCs w:val="20"/>
              </w:rPr>
            </w:pPr>
            <w:r>
              <w:rPr>
                <w:rFonts w:asciiTheme="minorHAnsi" w:eastAsia="Open Sans" w:hAnsiTheme="minorHAnsi" w:cstheme="minorHAnsi"/>
                <w:color w:val="000000"/>
                <w:sz w:val="20"/>
                <w:szCs w:val="20"/>
              </w:rPr>
              <w:t>UNDP/GEF</w:t>
            </w:r>
          </w:p>
        </w:tc>
        <w:tc>
          <w:tcPr>
            <w:tcW w:w="1281" w:type="dxa"/>
            <w:tcBorders>
              <w:top w:val="single" w:sz="4" w:space="0" w:color="000000"/>
              <w:left w:val="single" w:sz="4" w:space="0" w:color="000000"/>
              <w:bottom w:val="single" w:sz="4" w:space="0" w:color="000000"/>
              <w:right w:val="single" w:sz="4" w:space="0" w:color="000000"/>
            </w:tcBorders>
          </w:tcPr>
          <w:p w14:paraId="26E3D1D6"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Q1 2023</w:t>
            </w:r>
          </w:p>
        </w:tc>
      </w:tr>
      <w:tr w:rsidR="007372B6" w14:paraId="08BDB4AE" w14:textId="77777777">
        <w:tc>
          <w:tcPr>
            <w:tcW w:w="538" w:type="dxa"/>
            <w:tcBorders>
              <w:top w:val="single" w:sz="4" w:space="0" w:color="000000"/>
              <w:left w:val="single" w:sz="4" w:space="0" w:color="000000"/>
              <w:bottom w:val="single" w:sz="4" w:space="0" w:color="000000"/>
              <w:right w:val="single" w:sz="4" w:space="0" w:color="000000"/>
            </w:tcBorders>
          </w:tcPr>
          <w:p w14:paraId="4D57AB40" w14:textId="77777777" w:rsidR="007372B6" w:rsidRDefault="007372B6">
            <w:pPr>
              <w:widowControl w:val="0"/>
              <w:tabs>
                <w:tab w:val="left" w:pos="1620"/>
              </w:tabs>
              <w:spacing w:line="312" w:lineRule="auto"/>
              <w:jc w:val="both"/>
              <w:rPr>
                <w:rFonts w:asciiTheme="minorHAnsi" w:hAnsiTheme="minorHAnsi"/>
                <w:color w:val="000000"/>
                <w:sz w:val="20"/>
                <w:szCs w:val="2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3751963C" w14:textId="77777777" w:rsidR="007372B6" w:rsidRDefault="007372B6">
            <w:pPr>
              <w:widowControl w:val="0"/>
              <w:tabs>
                <w:tab w:val="left" w:pos="1620"/>
              </w:tabs>
              <w:jc w:val="both"/>
              <w:rPr>
                <w:rFonts w:asciiTheme="minorHAnsi" w:eastAsia="Open Sans" w:hAnsiTheme="minorHAnsi" w:cstheme="minorHAnsi"/>
                <w:color w:val="000000"/>
                <w:sz w:val="20"/>
                <w:szCs w:val="20"/>
              </w:rPr>
            </w:pPr>
          </w:p>
        </w:tc>
        <w:tc>
          <w:tcPr>
            <w:tcW w:w="2123" w:type="dxa"/>
            <w:tcBorders>
              <w:top w:val="single" w:sz="4" w:space="0" w:color="000000"/>
              <w:left w:val="single" w:sz="4" w:space="0" w:color="000000"/>
              <w:bottom w:val="single" w:sz="4" w:space="0" w:color="000000"/>
              <w:right w:val="single" w:sz="4" w:space="0" w:color="000000"/>
            </w:tcBorders>
          </w:tcPr>
          <w:p w14:paraId="4FFD496C"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1281" w:type="dxa"/>
            <w:tcBorders>
              <w:top w:val="single" w:sz="4" w:space="0" w:color="000000"/>
              <w:left w:val="single" w:sz="4" w:space="0" w:color="000000"/>
              <w:bottom w:val="single" w:sz="4" w:space="0" w:color="000000"/>
              <w:right w:val="single" w:sz="4" w:space="0" w:color="000000"/>
            </w:tcBorders>
          </w:tcPr>
          <w:p w14:paraId="42F694F8" w14:textId="77777777" w:rsidR="007372B6" w:rsidRDefault="007372B6">
            <w:pPr>
              <w:widowControl w:val="0"/>
              <w:tabs>
                <w:tab w:val="left" w:pos="1620"/>
              </w:tabs>
              <w:spacing w:line="312" w:lineRule="auto"/>
              <w:jc w:val="both"/>
              <w:rPr>
                <w:rFonts w:asciiTheme="minorHAnsi" w:hAnsiTheme="minorHAnsi"/>
                <w:color w:val="000000"/>
                <w:sz w:val="20"/>
                <w:szCs w:val="20"/>
                <w:lang w:eastAsia="en-US"/>
              </w:rPr>
            </w:pPr>
          </w:p>
        </w:tc>
      </w:tr>
      <w:tr w:rsidR="007372B6" w14:paraId="38AD4642" w14:textId="77777777">
        <w:tc>
          <w:tcPr>
            <w:tcW w:w="538" w:type="dxa"/>
            <w:tcBorders>
              <w:top w:val="single" w:sz="4" w:space="0" w:color="000000"/>
              <w:left w:val="single" w:sz="4" w:space="0" w:color="000000"/>
              <w:bottom w:val="single" w:sz="4" w:space="0" w:color="000000"/>
              <w:right w:val="single" w:sz="4" w:space="0" w:color="000000"/>
            </w:tcBorders>
          </w:tcPr>
          <w:p w14:paraId="70C92EBB"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3</w:t>
            </w:r>
          </w:p>
        </w:tc>
        <w:tc>
          <w:tcPr>
            <w:tcW w:w="5667" w:type="dxa"/>
            <w:tcBorders>
              <w:top w:val="single" w:sz="4" w:space="0" w:color="000000"/>
              <w:left w:val="single" w:sz="4" w:space="0" w:color="000000"/>
              <w:bottom w:val="single" w:sz="4" w:space="0" w:color="000000"/>
              <w:right w:val="single" w:sz="4" w:space="0" w:color="000000"/>
            </w:tcBorders>
          </w:tcPr>
          <w:p w14:paraId="7112ACA0"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The Fiji Ministry of Forests should undertake an independent review of the performance of reforestation activities in the Fiji R2R catchment areas and make program improvements based on experiences including the integration of tree planting and soil and water conservation.</w:t>
            </w:r>
          </w:p>
        </w:tc>
        <w:tc>
          <w:tcPr>
            <w:tcW w:w="2123" w:type="dxa"/>
            <w:tcBorders>
              <w:top w:val="single" w:sz="4" w:space="0" w:color="000000"/>
              <w:left w:val="single" w:sz="4" w:space="0" w:color="000000"/>
              <w:bottom w:val="single" w:sz="4" w:space="0" w:color="000000"/>
              <w:right w:val="single" w:sz="4" w:space="0" w:color="000000"/>
            </w:tcBorders>
          </w:tcPr>
          <w:p w14:paraId="74755727" w14:textId="77777777" w:rsidR="007372B6" w:rsidRDefault="00000000">
            <w:pPr>
              <w:widowControl w:val="0"/>
              <w:tabs>
                <w:tab w:val="left" w:pos="1620"/>
              </w:tabs>
              <w:jc w:val="both"/>
              <w:rPr>
                <w:sz w:val="20"/>
                <w:szCs w:val="20"/>
              </w:rPr>
            </w:pPr>
            <w:r>
              <w:rPr>
                <w:rFonts w:asciiTheme="minorHAnsi" w:eastAsia="Open Sans" w:hAnsiTheme="minorHAnsi" w:cstheme="minorHAnsi"/>
                <w:color w:val="000000"/>
                <w:sz w:val="20"/>
                <w:szCs w:val="20"/>
              </w:rPr>
              <w:t>Fiji Ministry of Forests</w:t>
            </w:r>
          </w:p>
        </w:tc>
        <w:tc>
          <w:tcPr>
            <w:tcW w:w="1281" w:type="dxa"/>
            <w:tcBorders>
              <w:top w:val="single" w:sz="4" w:space="0" w:color="000000"/>
              <w:left w:val="single" w:sz="4" w:space="0" w:color="000000"/>
              <w:bottom w:val="single" w:sz="4" w:space="0" w:color="000000"/>
              <w:right w:val="single" w:sz="4" w:space="0" w:color="000000"/>
            </w:tcBorders>
          </w:tcPr>
          <w:p w14:paraId="549D7C10"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Q1-2 2023</w:t>
            </w:r>
          </w:p>
        </w:tc>
      </w:tr>
      <w:tr w:rsidR="007372B6" w14:paraId="0F18D15A" w14:textId="77777777">
        <w:tc>
          <w:tcPr>
            <w:tcW w:w="538" w:type="dxa"/>
            <w:tcBorders>
              <w:top w:val="single" w:sz="4" w:space="0" w:color="000000"/>
              <w:left w:val="single" w:sz="4" w:space="0" w:color="000000"/>
              <w:bottom w:val="single" w:sz="4" w:space="0" w:color="000000"/>
              <w:right w:val="single" w:sz="4" w:space="0" w:color="000000"/>
            </w:tcBorders>
          </w:tcPr>
          <w:p w14:paraId="6A6D20A6" w14:textId="77777777" w:rsidR="007372B6" w:rsidRDefault="007372B6">
            <w:pPr>
              <w:widowControl w:val="0"/>
              <w:tabs>
                <w:tab w:val="left" w:pos="1620"/>
              </w:tabs>
              <w:spacing w:line="312" w:lineRule="auto"/>
              <w:jc w:val="both"/>
              <w:rPr>
                <w:rFonts w:asciiTheme="minorHAnsi" w:hAnsiTheme="minorHAnsi"/>
                <w:color w:val="000000"/>
                <w:sz w:val="20"/>
                <w:szCs w:val="2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778A75DD" w14:textId="77777777" w:rsidR="007372B6" w:rsidRDefault="007372B6">
            <w:pPr>
              <w:widowControl w:val="0"/>
              <w:tabs>
                <w:tab w:val="left" w:pos="1620"/>
              </w:tabs>
              <w:jc w:val="both"/>
              <w:rPr>
                <w:rFonts w:asciiTheme="minorHAnsi" w:eastAsia="Open Sans" w:hAnsiTheme="minorHAnsi" w:cstheme="minorHAnsi"/>
                <w:color w:val="000000"/>
                <w:sz w:val="20"/>
                <w:szCs w:val="20"/>
              </w:rPr>
            </w:pPr>
          </w:p>
        </w:tc>
        <w:tc>
          <w:tcPr>
            <w:tcW w:w="2123" w:type="dxa"/>
            <w:tcBorders>
              <w:top w:val="single" w:sz="4" w:space="0" w:color="000000"/>
              <w:left w:val="single" w:sz="4" w:space="0" w:color="000000"/>
              <w:bottom w:val="single" w:sz="4" w:space="0" w:color="000000"/>
              <w:right w:val="single" w:sz="4" w:space="0" w:color="000000"/>
            </w:tcBorders>
          </w:tcPr>
          <w:p w14:paraId="15D89F44"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1281" w:type="dxa"/>
            <w:tcBorders>
              <w:top w:val="single" w:sz="4" w:space="0" w:color="000000"/>
              <w:left w:val="single" w:sz="4" w:space="0" w:color="000000"/>
              <w:bottom w:val="single" w:sz="4" w:space="0" w:color="000000"/>
              <w:right w:val="single" w:sz="4" w:space="0" w:color="000000"/>
            </w:tcBorders>
          </w:tcPr>
          <w:p w14:paraId="3262B079" w14:textId="77777777" w:rsidR="007372B6" w:rsidRDefault="007372B6">
            <w:pPr>
              <w:widowControl w:val="0"/>
              <w:tabs>
                <w:tab w:val="left" w:pos="1620"/>
              </w:tabs>
              <w:spacing w:line="312" w:lineRule="auto"/>
              <w:jc w:val="both"/>
              <w:rPr>
                <w:rFonts w:asciiTheme="minorHAnsi" w:hAnsiTheme="minorHAnsi"/>
                <w:color w:val="000000"/>
                <w:sz w:val="20"/>
                <w:szCs w:val="20"/>
                <w:lang w:eastAsia="en-US"/>
              </w:rPr>
            </w:pPr>
          </w:p>
        </w:tc>
      </w:tr>
      <w:tr w:rsidR="007372B6" w14:paraId="6040AED6" w14:textId="77777777">
        <w:tc>
          <w:tcPr>
            <w:tcW w:w="538" w:type="dxa"/>
            <w:tcBorders>
              <w:top w:val="single" w:sz="4" w:space="0" w:color="000000"/>
              <w:left w:val="single" w:sz="4" w:space="0" w:color="000000"/>
              <w:bottom w:val="single" w:sz="4" w:space="0" w:color="000000"/>
              <w:right w:val="single" w:sz="4" w:space="0" w:color="000000"/>
            </w:tcBorders>
          </w:tcPr>
          <w:p w14:paraId="4624106F"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4</w:t>
            </w:r>
          </w:p>
        </w:tc>
        <w:tc>
          <w:tcPr>
            <w:tcW w:w="5667" w:type="dxa"/>
            <w:tcBorders>
              <w:top w:val="single" w:sz="4" w:space="0" w:color="000000"/>
              <w:left w:val="single" w:sz="4" w:space="0" w:color="000000"/>
              <w:bottom w:val="single" w:sz="4" w:space="0" w:color="000000"/>
              <w:right w:val="single" w:sz="4" w:space="0" w:color="000000"/>
            </w:tcBorders>
          </w:tcPr>
          <w:p w14:paraId="709748A4" w14:textId="77777777" w:rsidR="007372B6" w:rsidRDefault="00000000">
            <w:pPr>
              <w:widowControl w:val="0"/>
              <w:tabs>
                <w:tab w:val="left" w:pos="1620"/>
              </w:tabs>
              <w:jc w:val="both"/>
              <w:rPr>
                <w:rFonts w:asciiTheme="minorHAnsi" w:hAnsiTheme="minorHAnsi"/>
                <w:color w:val="000000"/>
                <w:sz w:val="20"/>
                <w:szCs w:val="20"/>
                <w:lang w:eastAsia="en-US"/>
              </w:rPr>
            </w:pPr>
            <w:r>
              <w:rPr>
                <w:rFonts w:asciiTheme="minorHAnsi" w:hAnsiTheme="minorHAnsi" w:cstheme="minorHAnsi"/>
                <w:sz w:val="20"/>
                <w:szCs w:val="20"/>
                <w:lang w:eastAsia="en-GB"/>
              </w:rPr>
              <w:t>The Government of Fiji should initiate a few small demonstration projects of integrated natural resources management by addressing selected priorities in some of the completed Catchment Area plans and in collaboration with Catchment Area Committees.</w:t>
            </w:r>
          </w:p>
        </w:tc>
        <w:tc>
          <w:tcPr>
            <w:tcW w:w="2123" w:type="dxa"/>
            <w:tcBorders>
              <w:top w:val="single" w:sz="4" w:space="0" w:color="000000"/>
              <w:left w:val="single" w:sz="4" w:space="0" w:color="000000"/>
              <w:bottom w:val="single" w:sz="4" w:space="0" w:color="000000"/>
              <w:right w:val="single" w:sz="4" w:space="0" w:color="000000"/>
            </w:tcBorders>
          </w:tcPr>
          <w:p w14:paraId="76CA9F01" w14:textId="77777777" w:rsidR="007372B6" w:rsidRDefault="00000000">
            <w:pPr>
              <w:widowControl w:val="0"/>
              <w:tabs>
                <w:tab w:val="left" w:pos="1620"/>
              </w:tabs>
              <w:jc w:val="both"/>
              <w:rPr>
                <w:sz w:val="20"/>
                <w:szCs w:val="20"/>
              </w:rPr>
            </w:pPr>
            <w:r>
              <w:rPr>
                <w:rFonts w:asciiTheme="minorHAnsi" w:hAnsiTheme="minorHAnsi" w:cstheme="minorHAnsi"/>
                <w:sz w:val="20"/>
                <w:szCs w:val="20"/>
                <w:lang w:eastAsia="en-GB"/>
              </w:rPr>
              <w:t xml:space="preserve">Government of Fiji, </w:t>
            </w:r>
            <w:r>
              <w:rPr>
                <w:rFonts w:asciiTheme="minorHAnsi" w:eastAsia="Open Sans" w:hAnsiTheme="minorHAnsi" w:cstheme="minorHAnsi"/>
                <w:color w:val="000000"/>
                <w:sz w:val="20"/>
                <w:szCs w:val="20"/>
              </w:rPr>
              <w:t xml:space="preserve">Ministry of </w:t>
            </w:r>
            <w:r>
              <w:rPr>
                <w:rFonts w:asciiTheme="minorHAnsi" w:hAnsiTheme="minorHAnsi" w:cstheme="minorHAnsi"/>
                <w:sz w:val="20"/>
                <w:szCs w:val="20"/>
                <w:lang w:eastAsia="en-GB"/>
              </w:rPr>
              <w:t>Waterways and Environment</w:t>
            </w:r>
          </w:p>
        </w:tc>
        <w:tc>
          <w:tcPr>
            <w:tcW w:w="1281" w:type="dxa"/>
            <w:tcBorders>
              <w:top w:val="single" w:sz="4" w:space="0" w:color="000000"/>
              <w:left w:val="single" w:sz="4" w:space="0" w:color="000000"/>
              <w:bottom w:val="single" w:sz="4" w:space="0" w:color="000000"/>
              <w:right w:val="single" w:sz="4" w:space="0" w:color="000000"/>
            </w:tcBorders>
          </w:tcPr>
          <w:p w14:paraId="5642EB10"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2023</w:t>
            </w:r>
          </w:p>
        </w:tc>
      </w:tr>
      <w:tr w:rsidR="007372B6" w14:paraId="407BED67" w14:textId="77777777">
        <w:tc>
          <w:tcPr>
            <w:tcW w:w="538" w:type="dxa"/>
            <w:tcBorders>
              <w:top w:val="single" w:sz="4" w:space="0" w:color="000000"/>
              <w:left w:val="single" w:sz="4" w:space="0" w:color="000000"/>
              <w:bottom w:val="single" w:sz="4" w:space="0" w:color="000000"/>
              <w:right w:val="single" w:sz="4" w:space="0" w:color="000000"/>
            </w:tcBorders>
          </w:tcPr>
          <w:p w14:paraId="2C802268" w14:textId="77777777" w:rsidR="007372B6" w:rsidRDefault="007372B6">
            <w:pPr>
              <w:widowControl w:val="0"/>
              <w:tabs>
                <w:tab w:val="left" w:pos="1620"/>
              </w:tabs>
              <w:spacing w:line="312" w:lineRule="auto"/>
              <w:jc w:val="both"/>
              <w:rPr>
                <w:rFonts w:asciiTheme="minorHAnsi" w:hAnsiTheme="minorHAnsi"/>
                <w:color w:val="000000"/>
                <w:sz w:val="20"/>
                <w:szCs w:val="2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4AB4C161"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2123" w:type="dxa"/>
            <w:tcBorders>
              <w:top w:val="single" w:sz="4" w:space="0" w:color="000000"/>
              <w:left w:val="single" w:sz="4" w:space="0" w:color="000000"/>
              <w:bottom w:val="single" w:sz="4" w:space="0" w:color="000000"/>
              <w:right w:val="single" w:sz="4" w:space="0" w:color="000000"/>
            </w:tcBorders>
          </w:tcPr>
          <w:p w14:paraId="136B78AA"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1281" w:type="dxa"/>
            <w:tcBorders>
              <w:top w:val="single" w:sz="4" w:space="0" w:color="000000"/>
              <w:left w:val="single" w:sz="4" w:space="0" w:color="000000"/>
              <w:bottom w:val="single" w:sz="4" w:space="0" w:color="000000"/>
              <w:right w:val="single" w:sz="4" w:space="0" w:color="000000"/>
            </w:tcBorders>
          </w:tcPr>
          <w:p w14:paraId="1D00BDBE" w14:textId="77777777" w:rsidR="007372B6" w:rsidRDefault="007372B6">
            <w:pPr>
              <w:widowControl w:val="0"/>
              <w:tabs>
                <w:tab w:val="left" w:pos="1620"/>
              </w:tabs>
              <w:spacing w:line="312" w:lineRule="auto"/>
              <w:jc w:val="both"/>
              <w:rPr>
                <w:rFonts w:asciiTheme="minorHAnsi" w:hAnsiTheme="minorHAnsi"/>
                <w:color w:val="000000"/>
                <w:sz w:val="20"/>
                <w:szCs w:val="20"/>
                <w:lang w:eastAsia="en-US"/>
              </w:rPr>
            </w:pPr>
          </w:p>
        </w:tc>
      </w:tr>
      <w:tr w:rsidR="007372B6" w14:paraId="5FC412C2" w14:textId="77777777">
        <w:tc>
          <w:tcPr>
            <w:tcW w:w="538" w:type="dxa"/>
            <w:tcBorders>
              <w:top w:val="single" w:sz="4" w:space="0" w:color="000000"/>
              <w:left w:val="single" w:sz="4" w:space="0" w:color="000000"/>
              <w:bottom w:val="single" w:sz="4" w:space="0" w:color="000000"/>
              <w:right w:val="single" w:sz="4" w:space="0" w:color="000000"/>
            </w:tcBorders>
          </w:tcPr>
          <w:p w14:paraId="6D4F57EA"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5</w:t>
            </w:r>
          </w:p>
        </w:tc>
        <w:tc>
          <w:tcPr>
            <w:tcW w:w="5667" w:type="dxa"/>
            <w:tcBorders>
              <w:top w:val="single" w:sz="4" w:space="0" w:color="000000"/>
              <w:left w:val="single" w:sz="4" w:space="0" w:color="000000"/>
              <w:bottom w:val="single" w:sz="4" w:space="0" w:color="000000"/>
              <w:right w:val="single" w:sz="4" w:space="0" w:color="000000"/>
            </w:tcBorders>
          </w:tcPr>
          <w:p w14:paraId="17ECA180"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The Government of Fiji should actively implement and monitor the progress of the Forest Sector Regulatory Framework and promote the catchment area planning process within this modernization program.</w:t>
            </w:r>
          </w:p>
        </w:tc>
        <w:tc>
          <w:tcPr>
            <w:tcW w:w="2123" w:type="dxa"/>
            <w:tcBorders>
              <w:top w:val="single" w:sz="4" w:space="0" w:color="000000"/>
              <w:left w:val="single" w:sz="4" w:space="0" w:color="000000"/>
              <w:bottom w:val="single" w:sz="4" w:space="0" w:color="000000"/>
              <w:right w:val="single" w:sz="4" w:space="0" w:color="000000"/>
            </w:tcBorders>
          </w:tcPr>
          <w:p w14:paraId="6BFC57C8" w14:textId="77777777" w:rsidR="007372B6" w:rsidRDefault="00000000">
            <w:pPr>
              <w:widowControl w:val="0"/>
              <w:tabs>
                <w:tab w:val="left" w:pos="1620"/>
              </w:tabs>
              <w:jc w:val="both"/>
              <w:rPr>
                <w:sz w:val="20"/>
                <w:szCs w:val="20"/>
              </w:rPr>
            </w:pPr>
            <w:r>
              <w:rPr>
                <w:rFonts w:asciiTheme="minorHAnsi" w:eastAsia="Open Sans" w:hAnsiTheme="minorHAnsi" w:cstheme="minorHAnsi"/>
                <w:color w:val="000000"/>
                <w:sz w:val="20"/>
                <w:szCs w:val="20"/>
              </w:rPr>
              <w:t>Government of Fiji</w:t>
            </w:r>
          </w:p>
          <w:p w14:paraId="4AC07AE8" w14:textId="77777777" w:rsidR="007372B6" w:rsidRDefault="00000000">
            <w:pPr>
              <w:widowControl w:val="0"/>
              <w:tabs>
                <w:tab w:val="left" w:pos="1620"/>
              </w:tabs>
              <w:jc w:val="both"/>
              <w:rPr>
                <w:sz w:val="20"/>
                <w:szCs w:val="20"/>
              </w:rPr>
            </w:pPr>
            <w:r>
              <w:rPr>
                <w:rFonts w:asciiTheme="minorHAnsi" w:eastAsia="Open Sans" w:hAnsiTheme="minorHAnsi" w:cstheme="minorHAnsi"/>
                <w:color w:val="000000"/>
                <w:sz w:val="20"/>
                <w:szCs w:val="20"/>
              </w:rPr>
              <w:t>Ministry of Forests</w:t>
            </w:r>
          </w:p>
        </w:tc>
        <w:tc>
          <w:tcPr>
            <w:tcW w:w="1281" w:type="dxa"/>
            <w:tcBorders>
              <w:top w:val="single" w:sz="4" w:space="0" w:color="000000"/>
              <w:left w:val="single" w:sz="4" w:space="0" w:color="000000"/>
              <w:bottom w:val="single" w:sz="4" w:space="0" w:color="000000"/>
              <w:right w:val="single" w:sz="4" w:space="0" w:color="000000"/>
            </w:tcBorders>
          </w:tcPr>
          <w:p w14:paraId="5537FBCF"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2023</w:t>
            </w:r>
          </w:p>
        </w:tc>
      </w:tr>
      <w:tr w:rsidR="007372B6" w14:paraId="682EA3C7" w14:textId="77777777">
        <w:tc>
          <w:tcPr>
            <w:tcW w:w="538" w:type="dxa"/>
            <w:tcBorders>
              <w:top w:val="single" w:sz="4" w:space="0" w:color="000000"/>
              <w:left w:val="single" w:sz="4" w:space="0" w:color="000000"/>
              <w:bottom w:val="single" w:sz="4" w:space="0" w:color="000000"/>
              <w:right w:val="single" w:sz="4" w:space="0" w:color="000000"/>
            </w:tcBorders>
          </w:tcPr>
          <w:p w14:paraId="00107F29" w14:textId="77777777" w:rsidR="007372B6" w:rsidRDefault="007372B6">
            <w:pPr>
              <w:widowControl w:val="0"/>
              <w:tabs>
                <w:tab w:val="left" w:pos="1620"/>
              </w:tabs>
              <w:spacing w:line="312" w:lineRule="auto"/>
              <w:jc w:val="both"/>
              <w:rPr>
                <w:rFonts w:asciiTheme="minorHAnsi" w:hAnsiTheme="minorHAnsi"/>
                <w:color w:val="000000"/>
                <w:sz w:val="20"/>
                <w:szCs w:val="2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13EB03D7" w14:textId="77777777" w:rsidR="007372B6" w:rsidRDefault="007372B6">
            <w:pPr>
              <w:widowControl w:val="0"/>
              <w:tabs>
                <w:tab w:val="left" w:pos="1620"/>
              </w:tabs>
              <w:jc w:val="both"/>
              <w:rPr>
                <w:rFonts w:asciiTheme="minorHAnsi" w:eastAsia="Open Sans" w:hAnsiTheme="minorHAnsi" w:cstheme="minorHAnsi"/>
                <w:color w:val="000000"/>
                <w:sz w:val="20"/>
                <w:szCs w:val="20"/>
              </w:rPr>
            </w:pPr>
          </w:p>
        </w:tc>
        <w:tc>
          <w:tcPr>
            <w:tcW w:w="2123" w:type="dxa"/>
            <w:tcBorders>
              <w:top w:val="single" w:sz="4" w:space="0" w:color="000000"/>
              <w:left w:val="single" w:sz="4" w:space="0" w:color="000000"/>
              <w:bottom w:val="single" w:sz="4" w:space="0" w:color="000000"/>
              <w:right w:val="single" w:sz="4" w:space="0" w:color="000000"/>
            </w:tcBorders>
          </w:tcPr>
          <w:p w14:paraId="39FF0E92" w14:textId="77777777" w:rsidR="007372B6" w:rsidRDefault="007372B6">
            <w:pPr>
              <w:widowControl w:val="0"/>
              <w:tabs>
                <w:tab w:val="left" w:pos="1620"/>
              </w:tabs>
              <w:jc w:val="both"/>
              <w:rPr>
                <w:rFonts w:asciiTheme="minorHAnsi" w:eastAsia="Open Sans" w:hAnsiTheme="minorHAnsi" w:cstheme="minorHAnsi"/>
                <w:color w:val="000000"/>
                <w:sz w:val="20"/>
                <w:szCs w:val="20"/>
              </w:rPr>
            </w:pPr>
          </w:p>
        </w:tc>
        <w:tc>
          <w:tcPr>
            <w:tcW w:w="1281" w:type="dxa"/>
            <w:tcBorders>
              <w:top w:val="single" w:sz="4" w:space="0" w:color="000000"/>
              <w:left w:val="single" w:sz="4" w:space="0" w:color="000000"/>
              <w:bottom w:val="single" w:sz="4" w:space="0" w:color="000000"/>
              <w:right w:val="single" w:sz="4" w:space="0" w:color="000000"/>
            </w:tcBorders>
          </w:tcPr>
          <w:p w14:paraId="08DED8C5" w14:textId="77777777" w:rsidR="007372B6" w:rsidRDefault="007372B6">
            <w:pPr>
              <w:widowControl w:val="0"/>
              <w:tabs>
                <w:tab w:val="left" w:pos="1620"/>
              </w:tabs>
              <w:spacing w:line="312" w:lineRule="auto"/>
              <w:jc w:val="both"/>
              <w:rPr>
                <w:rFonts w:asciiTheme="minorHAnsi" w:hAnsiTheme="minorHAnsi"/>
                <w:color w:val="000000"/>
                <w:lang w:eastAsia="en-US"/>
              </w:rPr>
            </w:pPr>
          </w:p>
        </w:tc>
      </w:tr>
      <w:tr w:rsidR="007372B6" w14:paraId="2C5FADC1" w14:textId="77777777">
        <w:tc>
          <w:tcPr>
            <w:tcW w:w="538" w:type="dxa"/>
            <w:tcBorders>
              <w:top w:val="single" w:sz="4" w:space="0" w:color="000000"/>
              <w:left w:val="single" w:sz="4" w:space="0" w:color="000000"/>
              <w:bottom w:val="single" w:sz="4" w:space="0" w:color="000000"/>
              <w:right w:val="single" w:sz="4" w:space="0" w:color="000000"/>
            </w:tcBorders>
          </w:tcPr>
          <w:p w14:paraId="604DFB8F" w14:textId="77777777" w:rsidR="007372B6" w:rsidRDefault="00000000">
            <w:pPr>
              <w:widowControl w:val="0"/>
              <w:tabs>
                <w:tab w:val="left" w:pos="1620"/>
              </w:tabs>
              <w:spacing w:line="312" w:lineRule="auto"/>
              <w:jc w:val="both"/>
              <w:rPr>
                <w:sz w:val="20"/>
                <w:szCs w:val="20"/>
              </w:rPr>
            </w:pPr>
            <w:r>
              <w:rPr>
                <w:rFonts w:asciiTheme="minorHAnsi" w:hAnsiTheme="minorHAnsi"/>
                <w:color w:val="000000"/>
                <w:sz w:val="20"/>
                <w:szCs w:val="20"/>
                <w:lang w:eastAsia="en-US"/>
              </w:rPr>
              <w:t>6</w:t>
            </w:r>
          </w:p>
        </w:tc>
        <w:tc>
          <w:tcPr>
            <w:tcW w:w="5667" w:type="dxa"/>
            <w:tcBorders>
              <w:top w:val="single" w:sz="4" w:space="0" w:color="000000"/>
              <w:left w:val="single" w:sz="4" w:space="0" w:color="000000"/>
              <w:bottom w:val="single" w:sz="4" w:space="0" w:color="000000"/>
              <w:right w:val="single" w:sz="4" w:space="0" w:color="000000"/>
            </w:tcBorders>
          </w:tcPr>
          <w:p w14:paraId="2AB876DD"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UNDP should undertake a review of project procurement, management, monitoring, reporting and evaluation procedures consistent with results-based management principles and develop a procedures manual for future international projects. This would provide important guidance for operational improvements to UNDP’s project design and management systems, especially assisting conformance with requirements for climate change financing opportunities.</w:t>
            </w:r>
          </w:p>
        </w:tc>
        <w:tc>
          <w:tcPr>
            <w:tcW w:w="2123" w:type="dxa"/>
            <w:tcBorders>
              <w:top w:val="single" w:sz="4" w:space="0" w:color="000000"/>
              <w:left w:val="single" w:sz="4" w:space="0" w:color="000000"/>
              <w:bottom w:val="single" w:sz="4" w:space="0" w:color="000000"/>
              <w:right w:val="single" w:sz="4" w:space="0" w:color="000000"/>
            </w:tcBorders>
          </w:tcPr>
          <w:p w14:paraId="01B4D4EE" w14:textId="77777777" w:rsidR="007372B6" w:rsidRDefault="00000000">
            <w:pPr>
              <w:widowControl w:val="0"/>
              <w:tabs>
                <w:tab w:val="left" w:pos="1620"/>
              </w:tabs>
              <w:jc w:val="both"/>
              <w:rPr>
                <w:sz w:val="20"/>
                <w:szCs w:val="20"/>
              </w:rPr>
            </w:pPr>
            <w:r>
              <w:rPr>
                <w:rFonts w:asciiTheme="minorHAnsi" w:hAnsiTheme="minorHAnsi"/>
                <w:color w:val="000000"/>
                <w:sz w:val="20"/>
                <w:szCs w:val="20"/>
                <w:lang w:eastAsia="en-US"/>
              </w:rPr>
              <w:t>Fiji UNDP Country Office</w:t>
            </w:r>
          </w:p>
        </w:tc>
        <w:tc>
          <w:tcPr>
            <w:tcW w:w="1281" w:type="dxa"/>
            <w:tcBorders>
              <w:top w:val="single" w:sz="4" w:space="0" w:color="000000"/>
              <w:left w:val="single" w:sz="4" w:space="0" w:color="000000"/>
              <w:bottom w:val="single" w:sz="4" w:space="0" w:color="000000"/>
              <w:right w:val="single" w:sz="4" w:space="0" w:color="000000"/>
            </w:tcBorders>
          </w:tcPr>
          <w:p w14:paraId="11595D5F"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0"/>
                <w:szCs w:val="20"/>
                <w:lang w:eastAsia="en-US"/>
              </w:rPr>
              <w:t>Q1 2023</w:t>
            </w:r>
          </w:p>
        </w:tc>
      </w:tr>
    </w:tbl>
    <w:p w14:paraId="6D997DFB" w14:textId="77777777" w:rsidR="007372B6" w:rsidRDefault="007372B6">
      <w:pPr>
        <w:spacing w:after="170" w:line="312" w:lineRule="auto"/>
        <w:contextualSpacing/>
        <w:jc w:val="both"/>
        <w:rPr>
          <w:rFonts w:asciiTheme="minorHAnsi" w:hAnsiTheme="minorHAnsi" w:cstheme="minorHAnsi"/>
          <w:sz w:val="22"/>
          <w:szCs w:val="22"/>
        </w:rPr>
      </w:pPr>
    </w:p>
    <w:p w14:paraId="34830138" w14:textId="77777777" w:rsidR="007372B6" w:rsidRDefault="007372B6">
      <w:pPr>
        <w:spacing w:after="170" w:line="312" w:lineRule="auto"/>
        <w:contextualSpacing/>
        <w:rPr>
          <w:rFonts w:asciiTheme="minorHAnsi" w:hAnsiTheme="minorHAnsi" w:cstheme="minorHAnsi"/>
          <w:sz w:val="22"/>
          <w:szCs w:val="22"/>
        </w:rPr>
      </w:pPr>
    </w:p>
    <w:p w14:paraId="20D27EB6" w14:textId="77777777" w:rsidR="007372B6" w:rsidRDefault="007372B6">
      <w:pPr>
        <w:tabs>
          <w:tab w:val="left" w:pos="1620"/>
        </w:tabs>
        <w:spacing w:after="170" w:line="312" w:lineRule="auto"/>
        <w:contextualSpacing/>
        <w:jc w:val="both"/>
        <w:rPr>
          <w:rFonts w:asciiTheme="minorHAnsi" w:eastAsia="Open Sans" w:hAnsiTheme="minorHAnsi" w:cstheme="minorHAnsi"/>
          <w:color w:val="000000"/>
          <w:sz w:val="22"/>
          <w:szCs w:val="22"/>
        </w:rPr>
        <w:sectPr w:rsidR="007372B6">
          <w:footerReference w:type="default" r:id="rId12"/>
          <w:pgSz w:w="12240" w:h="15840"/>
          <w:pgMar w:top="1435" w:right="1440" w:bottom="426" w:left="1440" w:header="0" w:footer="0" w:gutter="0"/>
          <w:pgNumType w:fmt="lowerRoman" w:start="1"/>
          <w:cols w:space="720"/>
          <w:formProt w:val="0"/>
          <w:docGrid w:linePitch="100"/>
        </w:sectPr>
      </w:pPr>
    </w:p>
    <w:p w14:paraId="4653DCE4" w14:textId="77777777" w:rsidR="007372B6" w:rsidRDefault="00000000">
      <w:pPr>
        <w:spacing w:after="160" w:line="259" w:lineRule="auto"/>
        <w:contextualSpacing/>
        <w:rPr>
          <w:color w:val="0000FF"/>
        </w:rPr>
      </w:pPr>
      <w:r>
        <w:rPr>
          <w:rFonts w:ascii="Calibri" w:hAnsi="Calibri"/>
          <w:b/>
          <w:bCs/>
          <w:color w:val="0000FF"/>
          <w:sz w:val="28"/>
          <w:szCs w:val="28"/>
          <w:lang w:val="en-CA"/>
        </w:rPr>
        <w:lastRenderedPageBreak/>
        <w:t>2.0</w:t>
      </w:r>
      <w:r>
        <w:rPr>
          <w:rFonts w:ascii="Calibri" w:hAnsi="Calibri"/>
          <w:b/>
          <w:bCs/>
          <w:color w:val="0000FF"/>
          <w:sz w:val="28"/>
          <w:szCs w:val="28"/>
          <w:lang w:val="en-CA"/>
        </w:rPr>
        <w:tab/>
        <w:t>Introduction</w:t>
      </w:r>
    </w:p>
    <w:p w14:paraId="1A4DE954" w14:textId="77777777" w:rsidR="007372B6" w:rsidRDefault="00000000">
      <w:pPr>
        <w:pStyle w:val="ListParagraph"/>
        <w:spacing w:line="312" w:lineRule="auto"/>
        <w:ind w:left="0"/>
        <w:jc w:val="both"/>
      </w:pPr>
      <w:r>
        <w:rPr>
          <w:rFonts w:ascii="Calibri" w:hAnsi="Calibri" w:cs="Arial"/>
          <w:sz w:val="22"/>
          <w:szCs w:val="22"/>
          <w:lang w:val="en-GB" w:eastAsia="en-US"/>
        </w:rPr>
        <w:t>1. The</w:t>
      </w:r>
      <w:r>
        <w:rPr>
          <w:rFonts w:ascii="Calibri" w:hAnsi="Calibri" w:cs="MyriadPro-Bold"/>
          <w:sz w:val="22"/>
          <w:szCs w:val="22"/>
          <w:lang w:eastAsia="en-US"/>
        </w:rPr>
        <w:t xml:space="preserve"> Terminal Evaluation (TE) was conducted by a team of three consultants: two International Evaluation Consultants (Stuart Black and Alan Ferguson) and a National Evaluation Consultant (</w:t>
      </w:r>
      <w:proofErr w:type="spellStart"/>
      <w:r>
        <w:rPr>
          <w:rFonts w:ascii="Calibri" w:hAnsi="Calibri" w:cs="MyriadPro-Bold"/>
          <w:sz w:val="22"/>
          <w:szCs w:val="22"/>
          <w:lang w:eastAsia="en-US"/>
        </w:rPr>
        <w:t>Laitia</w:t>
      </w:r>
      <w:proofErr w:type="spellEnd"/>
      <w:r>
        <w:rPr>
          <w:rFonts w:ascii="Calibri" w:hAnsi="Calibri" w:cs="MyriadPro-Bold"/>
          <w:sz w:val="22"/>
          <w:szCs w:val="22"/>
          <w:lang w:eastAsia="en-US"/>
        </w:rPr>
        <w:t xml:space="preserve"> </w:t>
      </w:r>
      <w:proofErr w:type="spellStart"/>
      <w:r>
        <w:rPr>
          <w:rFonts w:ascii="Calibri" w:hAnsi="Calibri" w:cs="MyriadPro-Bold"/>
          <w:sz w:val="22"/>
          <w:szCs w:val="22"/>
          <w:lang w:eastAsia="en-US"/>
        </w:rPr>
        <w:t>Tamata</w:t>
      </w:r>
      <w:proofErr w:type="spellEnd"/>
      <w:r>
        <w:rPr>
          <w:rFonts w:ascii="Calibri" w:hAnsi="Calibri" w:cs="MyriadPro-Bold"/>
          <w:sz w:val="22"/>
          <w:szCs w:val="22"/>
          <w:lang w:eastAsia="en-US"/>
        </w:rPr>
        <w:t>) based in Fiji. Because of travel restrictions related to Covid-19, the International Consultants were home-based and conducted</w:t>
      </w:r>
      <w:r>
        <w:rPr>
          <w:rFonts w:ascii="Calibri" w:hAnsi="Calibri" w:cs="MyriadPro-Bold"/>
          <w:color w:val="0A0A0A"/>
          <w:sz w:val="22"/>
          <w:szCs w:val="22"/>
          <w:lang w:eastAsia="en-US"/>
        </w:rPr>
        <w:t xml:space="preserve"> all stakeholder consultations using remote video conferencing (Zoom). The</w:t>
      </w:r>
      <w:r>
        <w:rPr>
          <w:rFonts w:ascii="Calibri" w:hAnsi="Calibri" w:cs="MyriadPro-Bold"/>
          <w:sz w:val="22"/>
          <w:szCs w:val="22"/>
          <w:lang w:eastAsia="en-US"/>
        </w:rPr>
        <w:t xml:space="preserve"> National Consultant was able to undertake</w:t>
      </w:r>
      <w:r>
        <w:rPr>
          <w:rFonts w:ascii="Calibri" w:hAnsi="Calibri" w:cs="MyriadPro-Bold"/>
          <w:color w:val="000000"/>
          <w:sz w:val="22"/>
          <w:szCs w:val="22"/>
          <w:lang w:eastAsia="en-US"/>
        </w:rPr>
        <w:t xml:space="preserve"> field visits to all 6 catchment sites, where </w:t>
      </w:r>
      <w:r>
        <w:rPr>
          <w:rFonts w:ascii="Calibri" w:hAnsi="Calibri" w:cs="MyriadPro-Bold"/>
          <w:sz w:val="22"/>
          <w:szCs w:val="22"/>
          <w:lang w:eastAsia="en-US"/>
        </w:rPr>
        <w:t xml:space="preserve">meetings were held with local community stakeholders. </w:t>
      </w:r>
    </w:p>
    <w:p w14:paraId="39FCEE78" w14:textId="77777777" w:rsidR="007372B6" w:rsidRDefault="007372B6">
      <w:pPr>
        <w:pStyle w:val="ListParagraph"/>
        <w:ind w:left="0"/>
        <w:jc w:val="both"/>
        <w:rPr>
          <w:rFonts w:ascii="Calibri" w:hAnsi="Calibri" w:cs="Arial"/>
          <w:color w:val="000000"/>
          <w:sz w:val="22"/>
          <w:szCs w:val="22"/>
          <w:lang w:val="en-GB" w:eastAsia="en-US"/>
        </w:rPr>
      </w:pPr>
    </w:p>
    <w:p w14:paraId="375538DA" w14:textId="77777777" w:rsidR="007372B6" w:rsidRDefault="00000000">
      <w:pPr>
        <w:tabs>
          <w:tab w:val="left" w:pos="1620"/>
        </w:tabs>
        <w:spacing w:after="113" w:line="312" w:lineRule="auto"/>
        <w:ind w:left="624"/>
        <w:contextualSpacing/>
        <w:jc w:val="both"/>
      </w:pPr>
      <w:r>
        <w:rPr>
          <w:rFonts w:ascii="Calibri" w:eastAsia="Open Sans" w:hAnsi="Calibri" w:cs="Open Sans"/>
          <w:b/>
          <w:bCs/>
          <w:i/>
          <w:iCs/>
          <w:color w:val="000000"/>
        </w:rPr>
        <w:t>2.1</w:t>
      </w:r>
      <w:r>
        <w:rPr>
          <w:rFonts w:ascii="Calibri" w:eastAsia="Open Sans" w:hAnsi="Calibri" w:cs="Open Sans"/>
          <w:b/>
          <w:bCs/>
          <w:i/>
          <w:iCs/>
          <w:color w:val="000000"/>
        </w:rPr>
        <w:tab/>
        <w:t>Purpose and Objectives of the TE</w:t>
      </w:r>
    </w:p>
    <w:p w14:paraId="5B72D311" w14:textId="77777777" w:rsidR="007372B6" w:rsidRDefault="00000000">
      <w:pPr>
        <w:spacing w:line="312" w:lineRule="auto"/>
        <w:jc w:val="both"/>
      </w:pPr>
      <w:r>
        <w:rPr>
          <w:rFonts w:ascii="Calibri" w:hAnsi="Calibri" w:cs="Calibri"/>
          <w:sz w:val="22"/>
          <w:szCs w:val="22"/>
        </w:rPr>
        <w:t>2. The Terminal Evaluation (TE)</w:t>
      </w:r>
      <w:r>
        <w:rPr>
          <w:rFonts w:ascii="Calibri" w:hAnsi="Calibri" w:cs="Calibri"/>
          <w:sz w:val="22"/>
          <w:szCs w:val="22"/>
          <w:lang w:eastAsia="en-US"/>
        </w:rPr>
        <w:t xml:space="preserve"> involved an independent review of the project, prepared in accordance with UNDP and </w:t>
      </w:r>
      <w:r>
        <w:rPr>
          <w:rFonts w:ascii="Calibri" w:hAnsi="Calibri" w:cs="Calibri"/>
          <w:color w:val="000000"/>
          <w:sz w:val="22"/>
          <w:szCs w:val="22"/>
          <w:lang w:eastAsia="en-US"/>
        </w:rPr>
        <w:t xml:space="preserve">GEF </w:t>
      </w:r>
      <w:r>
        <w:rPr>
          <w:rFonts w:ascii="Calibri" w:hAnsi="Calibri" w:cs="Calibri"/>
          <w:sz w:val="22"/>
          <w:szCs w:val="22"/>
          <w:lang w:eastAsia="en-US"/>
        </w:rPr>
        <w:t>evaluation policies</w:t>
      </w:r>
      <w:r>
        <w:rPr>
          <w:rStyle w:val="FootnoteAnchor"/>
          <w:rFonts w:ascii="Calibri" w:hAnsi="Calibri" w:cs="Calibri"/>
          <w:sz w:val="22"/>
          <w:szCs w:val="22"/>
          <w:lang w:eastAsia="en-US"/>
        </w:rPr>
        <w:footnoteReference w:id="4"/>
      </w:r>
      <w:r>
        <w:rPr>
          <w:rFonts w:ascii="Calibri" w:hAnsi="Calibri" w:cs="Calibri"/>
          <w:sz w:val="22"/>
          <w:szCs w:val="22"/>
          <w:lang w:eastAsia="en-US"/>
        </w:rPr>
        <w:t xml:space="preserve">, and the specific Terms of Reference issued for the evaluation (Annex 1). </w:t>
      </w:r>
      <w:r>
        <w:rPr>
          <w:rFonts w:ascii="Calibri" w:eastAsia="Open Sans" w:hAnsi="Calibri" w:cs="Calibri"/>
          <w:color w:val="000000"/>
          <w:sz w:val="22"/>
          <w:szCs w:val="22"/>
        </w:rPr>
        <w:t xml:space="preserve">The </w:t>
      </w:r>
      <w:r>
        <w:rPr>
          <w:rFonts w:ascii="Calibri" w:eastAsia="Open Sans" w:hAnsi="Calibri" w:cs="Open Sans"/>
          <w:color w:val="000000"/>
          <w:sz w:val="22"/>
          <w:szCs w:val="22"/>
        </w:rPr>
        <w:t>evaluation</w:t>
      </w:r>
      <w:r>
        <w:rPr>
          <w:rFonts w:ascii="Calibri Light" w:hAnsi="Calibri Light" w:cs="Calibri Light"/>
          <w:color w:val="000000"/>
          <w:sz w:val="22"/>
          <w:szCs w:val="22"/>
        </w:rPr>
        <w:t xml:space="preserve"> objectives, </w:t>
      </w:r>
      <w:r>
        <w:rPr>
          <w:rFonts w:ascii="Calibri" w:eastAsia="Open Sans" w:hAnsi="Calibri" w:cs="Calibri"/>
          <w:color w:val="000000"/>
          <w:sz w:val="22"/>
          <w:szCs w:val="22"/>
        </w:rPr>
        <w:t xml:space="preserve">as set out in the </w:t>
      </w:r>
      <w:proofErr w:type="spellStart"/>
      <w:r>
        <w:rPr>
          <w:rFonts w:ascii="Calibri" w:eastAsia="Open Sans" w:hAnsi="Calibri" w:cs="Calibri"/>
          <w:color w:val="000000"/>
          <w:sz w:val="22"/>
          <w:szCs w:val="22"/>
        </w:rPr>
        <w:t>ToR</w:t>
      </w:r>
      <w:proofErr w:type="spellEnd"/>
      <w:r>
        <w:rPr>
          <w:rFonts w:ascii="Calibri" w:eastAsia="Open Sans" w:hAnsi="Calibri" w:cs="Calibri"/>
          <w:color w:val="000000"/>
          <w:sz w:val="22"/>
          <w:szCs w:val="22"/>
        </w:rPr>
        <w:t>,</w:t>
      </w:r>
      <w:r>
        <w:rPr>
          <w:rFonts w:ascii="Calibri Light" w:hAnsi="Calibri Light" w:cs="Calibri Light"/>
          <w:color w:val="000000"/>
          <w:sz w:val="22"/>
          <w:szCs w:val="22"/>
        </w:rPr>
        <w:t xml:space="preserve"> are </w:t>
      </w:r>
      <w:r>
        <w:rPr>
          <w:rFonts w:ascii="Calibri Light" w:hAnsi="Calibri Light" w:cs="Calibri Light"/>
          <w:bCs/>
          <w:color w:val="000000"/>
          <w:sz w:val="22"/>
          <w:szCs w:val="22"/>
          <w:lang w:eastAsia="en-US"/>
        </w:rPr>
        <w:t xml:space="preserve">to: </w:t>
      </w:r>
      <w:r>
        <w:rPr>
          <w:rStyle w:val="FootnoteAnchor"/>
          <w:rFonts w:ascii="Calibri" w:hAnsi="Calibri" w:cs="Calibri"/>
          <w:bCs/>
          <w:color w:val="000000"/>
          <w:sz w:val="22"/>
          <w:szCs w:val="22"/>
          <w:lang w:eastAsia="en-US"/>
        </w:rPr>
        <w:footnoteReference w:id="5"/>
      </w:r>
      <w:r>
        <w:rPr>
          <w:rFonts w:ascii="Calibri" w:eastAsia="Open Sans" w:hAnsi="Calibri" w:cs="Calibri"/>
          <w:color w:val="000000"/>
          <w:sz w:val="22"/>
          <w:szCs w:val="22"/>
        </w:rPr>
        <w:t xml:space="preserve"> </w:t>
      </w:r>
    </w:p>
    <w:p w14:paraId="5F182524" w14:textId="77777777" w:rsidR="007372B6" w:rsidRDefault="00000000">
      <w:pPr>
        <w:pStyle w:val="ListParagraph"/>
        <w:numPr>
          <w:ilvl w:val="0"/>
          <w:numId w:val="3"/>
        </w:numPr>
        <w:spacing w:before="113" w:after="119" w:line="276" w:lineRule="auto"/>
        <w:jc w:val="both"/>
        <w:rPr>
          <w:rFonts w:ascii="Calibri" w:eastAsia="Open Sans" w:hAnsi="Calibri" w:cs="Open Sans"/>
          <w:color w:val="000000"/>
          <w:sz w:val="22"/>
          <w:szCs w:val="22"/>
        </w:rPr>
      </w:pPr>
      <w:r>
        <w:rPr>
          <w:rFonts w:ascii="Calibri" w:eastAsia="Open Sans" w:hAnsi="Calibri" w:cs="Open Sans"/>
          <w:color w:val="000000"/>
          <w:sz w:val="22"/>
          <w:szCs w:val="22"/>
        </w:rPr>
        <w:t>assess the achievement of project results supported by evidence (</w:t>
      </w:r>
      <w:proofErr w:type="gramStart"/>
      <w:r>
        <w:rPr>
          <w:rFonts w:ascii="Calibri" w:eastAsia="Open Sans" w:hAnsi="Calibri" w:cs="Open Sans"/>
          <w:color w:val="000000"/>
          <w:sz w:val="22"/>
          <w:szCs w:val="22"/>
        </w:rPr>
        <w:t>i.e.</w:t>
      </w:r>
      <w:proofErr w:type="gramEnd"/>
      <w:r>
        <w:rPr>
          <w:rFonts w:ascii="Calibri" w:eastAsia="Open Sans" w:hAnsi="Calibri" w:cs="Open Sans"/>
          <w:color w:val="000000"/>
          <w:sz w:val="22"/>
          <w:szCs w:val="22"/>
        </w:rPr>
        <w:t xml:space="preserve"> progress of project’s outcome targets)</w:t>
      </w:r>
    </w:p>
    <w:p w14:paraId="3C55BA7C" w14:textId="77777777" w:rsidR="007372B6" w:rsidRDefault="00000000">
      <w:pPr>
        <w:pStyle w:val="ListParagraph"/>
        <w:numPr>
          <w:ilvl w:val="0"/>
          <w:numId w:val="3"/>
        </w:numPr>
        <w:spacing w:before="200" w:after="120" w:line="276" w:lineRule="auto"/>
        <w:jc w:val="both"/>
        <w:rPr>
          <w:rFonts w:ascii="Calibri" w:eastAsia="Open Sans" w:hAnsi="Calibri" w:cs="Open Sans"/>
          <w:color w:val="000000"/>
          <w:sz w:val="22"/>
          <w:szCs w:val="22"/>
        </w:rPr>
      </w:pPr>
      <w:r>
        <w:rPr>
          <w:rFonts w:ascii="Calibri" w:eastAsia="Open Sans" w:hAnsi="Calibri" w:cs="Open Sans"/>
          <w:color w:val="000000"/>
          <w:sz w:val="22"/>
          <w:szCs w:val="22"/>
        </w:rPr>
        <w:t>assess the contribution and alignment of the project to relevant national development plan or environmental policies</w:t>
      </w:r>
    </w:p>
    <w:p w14:paraId="3FDFE9CF" w14:textId="77777777" w:rsidR="007372B6" w:rsidRDefault="00000000">
      <w:pPr>
        <w:pStyle w:val="ListParagraph"/>
        <w:numPr>
          <w:ilvl w:val="0"/>
          <w:numId w:val="3"/>
        </w:numPr>
        <w:spacing w:before="200" w:after="120" w:line="276"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assess the contribution of the project results towards the relevant outcome and output of the Sub Regional Programme Document (SRPD) &amp; United Nations Pacific Strategy (UNPS/UNDAF)</w:t>
      </w:r>
    </w:p>
    <w:p w14:paraId="0C197DF9" w14:textId="77777777" w:rsidR="007372B6" w:rsidRDefault="00000000">
      <w:pPr>
        <w:pStyle w:val="ListParagraph"/>
        <w:numPr>
          <w:ilvl w:val="0"/>
          <w:numId w:val="3"/>
        </w:numPr>
        <w:spacing w:before="200" w:after="120"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assess any cross cutting and gender issues </w:t>
      </w:r>
    </w:p>
    <w:p w14:paraId="49026FC8" w14:textId="77777777" w:rsidR="007372B6" w:rsidRDefault="00000000">
      <w:pPr>
        <w:pStyle w:val="ListParagraph"/>
        <w:numPr>
          <w:ilvl w:val="0"/>
          <w:numId w:val="3"/>
        </w:numPr>
        <w:spacing w:before="200" w:after="120"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examine the use of funds and value for money</w:t>
      </w:r>
    </w:p>
    <w:p w14:paraId="7D871994" w14:textId="77777777" w:rsidR="007372B6" w:rsidRDefault="00000000">
      <w:pPr>
        <w:pStyle w:val="ListParagraph"/>
        <w:numPr>
          <w:ilvl w:val="0"/>
          <w:numId w:val="3"/>
        </w:numPr>
        <w:spacing w:line="276" w:lineRule="auto"/>
        <w:ind w:left="357" w:hanging="357"/>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assess the impact of COVID-19 on the project’s implementation, and</w:t>
      </w:r>
    </w:p>
    <w:p w14:paraId="42ED3F5F" w14:textId="77777777" w:rsidR="007372B6" w:rsidRDefault="00000000">
      <w:pPr>
        <w:numPr>
          <w:ilvl w:val="0"/>
          <w:numId w:val="3"/>
        </w:numPr>
        <w:spacing w:line="288" w:lineRule="auto"/>
        <w:jc w:val="both"/>
      </w:pPr>
      <w:r>
        <w:rPr>
          <w:rFonts w:asciiTheme="minorHAnsi" w:hAnsiTheme="minorHAnsi" w:cstheme="minorHAnsi"/>
          <w:color w:val="000000" w:themeColor="text1"/>
          <w:sz w:val="22"/>
          <w:szCs w:val="22"/>
          <w:lang w:eastAsia="en-US"/>
        </w:rPr>
        <w:t>draw lessons that can both improve the sustainability of benefits from this project, and aid in the overall enhancement of UNDP programming.</w:t>
      </w:r>
    </w:p>
    <w:p w14:paraId="22A4FC0D" w14:textId="77777777" w:rsidR="007372B6" w:rsidRDefault="007372B6">
      <w:pPr>
        <w:jc w:val="both"/>
        <w:rPr>
          <w:rFonts w:ascii="Calibri" w:hAnsi="Calibri" w:cs="Calibri"/>
          <w:sz w:val="22"/>
          <w:szCs w:val="22"/>
          <w:shd w:val="clear" w:color="auto" w:fill="00FFFF"/>
        </w:rPr>
      </w:pPr>
    </w:p>
    <w:p w14:paraId="2E663EB6" w14:textId="77777777" w:rsidR="007372B6" w:rsidRDefault="00000000">
      <w:pPr>
        <w:tabs>
          <w:tab w:val="left" w:pos="1620"/>
        </w:tabs>
        <w:spacing w:line="312" w:lineRule="auto"/>
        <w:jc w:val="both"/>
      </w:pPr>
      <w:r>
        <w:rPr>
          <w:rFonts w:ascii="Calibri" w:eastAsia="Open Sans" w:hAnsi="Calibri" w:cs="Open Sans"/>
          <w:color w:val="000000"/>
          <w:sz w:val="22"/>
          <w:szCs w:val="22"/>
        </w:rPr>
        <w:t xml:space="preserve">3. The Terminal Evaluation (TE) report provides an assessment of project results against what was expected to be achieved, along with lessons learned that are designed to improve the sustainability of benefits from the project, and aid in the overall enhancement of UNDP programming. </w:t>
      </w:r>
    </w:p>
    <w:p w14:paraId="2380AA9B" w14:textId="77777777" w:rsidR="007372B6" w:rsidRDefault="007372B6">
      <w:pPr>
        <w:tabs>
          <w:tab w:val="left" w:pos="1620"/>
        </w:tabs>
        <w:jc w:val="both"/>
        <w:rPr>
          <w:rFonts w:ascii="Calibri" w:eastAsia="Open Sans" w:hAnsi="Calibri" w:cs="Calibri"/>
          <w:color w:val="000000"/>
          <w:sz w:val="22"/>
          <w:szCs w:val="22"/>
          <w:shd w:val="clear" w:color="auto" w:fill="00FFFF"/>
        </w:rPr>
      </w:pPr>
    </w:p>
    <w:p w14:paraId="1A1DB1A9" w14:textId="77777777" w:rsidR="007372B6" w:rsidRDefault="00000000">
      <w:pPr>
        <w:pStyle w:val="ListParagraph"/>
        <w:tabs>
          <w:tab w:val="left" w:pos="1620"/>
        </w:tabs>
        <w:spacing w:line="312" w:lineRule="auto"/>
        <w:ind w:left="0"/>
        <w:jc w:val="both"/>
        <w:rPr>
          <w:sz w:val="22"/>
          <w:szCs w:val="22"/>
        </w:rPr>
      </w:pPr>
      <w:r>
        <w:rPr>
          <w:rFonts w:asciiTheme="minorHAnsi" w:eastAsia="Open Sans" w:hAnsiTheme="minorHAnsi" w:cstheme="minorHAnsi"/>
          <w:bCs/>
          <w:color w:val="000000"/>
          <w:spacing w:val="-2"/>
          <w:sz w:val="22"/>
          <w:szCs w:val="22"/>
          <w:lang w:val="en-GB" w:eastAsia="en-US"/>
        </w:rPr>
        <w:t>4. The primary target audiences for the evaluation are expected to benefit</w:t>
      </w:r>
      <w:r>
        <w:rPr>
          <w:rFonts w:ascii="Calibri" w:eastAsia="Open Sans" w:hAnsi="Calibri" w:cs="Calibri"/>
          <w:bCs/>
          <w:color w:val="000000"/>
          <w:spacing w:val="-2"/>
          <w:sz w:val="22"/>
          <w:szCs w:val="22"/>
          <w:lang w:val="en-GB" w:eastAsia="en-US"/>
        </w:rPr>
        <w:t xml:space="preserve"> from the relevant and useful information generated in support of evidence-based decision making. These organizations include:</w:t>
      </w:r>
      <w:r>
        <w:rPr>
          <w:rFonts w:asciiTheme="minorHAnsi" w:eastAsia="Open Sans" w:hAnsiTheme="minorHAnsi" w:cstheme="minorHAnsi"/>
          <w:bCs/>
          <w:color w:val="000000"/>
          <w:spacing w:val="-2"/>
          <w:sz w:val="22"/>
          <w:szCs w:val="22"/>
          <w:lang w:val="en-GB" w:eastAsia="en-US"/>
        </w:rPr>
        <w:t xml:space="preserve"> the United Nations Development Programme (UNDP) and the six implementing partners (</w:t>
      </w:r>
      <w:r>
        <w:rPr>
          <w:rFonts w:asciiTheme="minorHAnsi" w:eastAsia="Calibri" w:hAnsiTheme="minorHAnsi" w:cstheme="minorHAnsi"/>
          <w:bCs/>
          <w:color w:val="000000"/>
          <w:spacing w:val="-2"/>
          <w:w w:val="105"/>
          <w:sz w:val="22"/>
          <w:szCs w:val="22"/>
          <w:lang w:val="en-CA" w:eastAsia="en-US"/>
        </w:rPr>
        <w:t xml:space="preserve">SPC, </w:t>
      </w:r>
      <w:r>
        <w:rPr>
          <w:rFonts w:asciiTheme="minorHAnsi" w:eastAsia="Open Sans" w:hAnsiTheme="minorHAnsi" w:cstheme="minorHAnsi"/>
          <w:bCs/>
          <w:color w:val="000000"/>
          <w:spacing w:val="-2"/>
          <w:sz w:val="22"/>
          <w:szCs w:val="22"/>
          <w:lang w:val="en-GB" w:eastAsia="en-US"/>
        </w:rPr>
        <w:t xml:space="preserve">WWF, </w:t>
      </w:r>
      <w:r>
        <w:rPr>
          <w:rFonts w:asciiTheme="minorHAnsi" w:eastAsia="Calibri" w:hAnsiTheme="minorHAnsi" w:cstheme="minorHAnsi"/>
          <w:caps/>
          <w:color w:val="000000"/>
          <w:spacing w:val="-2"/>
          <w:w w:val="105"/>
          <w:sz w:val="22"/>
          <w:szCs w:val="22"/>
          <w:lang w:val="en-CA" w:eastAsia="en-US"/>
        </w:rPr>
        <w:t xml:space="preserve">usp-ias, </w:t>
      </w:r>
      <w:r>
        <w:rPr>
          <w:rFonts w:asciiTheme="minorHAnsi" w:eastAsia="Open Sans" w:hAnsiTheme="minorHAnsi" w:cstheme="minorHAnsi"/>
          <w:bCs/>
          <w:color w:val="000000"/>
          <w:spacing w:val="-2"/>
          <w:sz w:val="22"/>
          <w:szCs w:val="22"/>
          <w:lang w:val="en-GB" w:eastAsia="en-US"/>
        </w:rPr>
        <w:t xml:space="preserve">Conservation International, FLMMA, </w:t>
      </w:r>
      <w:r>
        <w:rPr>
          <w:rFonts w:asciiTheme="minorHAnsi" w:eastAsia="Open Sans" w:hAnsiTheme="minorHAnsi" w:cstheme="minorHAnsi"/>
          <w:caps/>
          <w:color w:val="000000"/>
          <w:spacing w:val="-2"/>
          <w:w w:val="105"/>
          <w:sz w:val="22"/>
          <w:szCs w:val="22"/>
          <w:lang w:val="en-GB" w:eastAsia="en-US"/>
        </w:rPr>
        <w:t xml:space="preserve">iucn </w:t>
      </w:r>
      <w:r>
        <w:rPr>
          <w:rFonts w:asciiTheme="minorHAnsi" w:eastAsia="Open Sans" w:hAnsiTheme="minorHAnsi" w:cstheme="minorHAnsi"/>
          <w:bCs/>
          <w:color w:val="000000"/>
          <w:spacing w:val="-2"/>
          <w:w w:val="105"/>
          <w:sz w:val="22"/>
          <w:szCs w:val="22"/>
          <w:lang w:val="en-GB" w:eastAsia="en-US"/>
        </w:rPr>
        <w:t>and other</w:t>
      </w:r>
      <w:r>
        <w:rPr>
          <w:rFonts w:asciiTheme="minorHAnsi" w:eastAsia="Open Sans" w:hAnsiTheme="minorHAnsi" w:cstheme="minorHAnsi"/>
          <w:caps/>
          <w:color w:val="000000"/>
          <w:spacing w:val="-2"/>
          <w:w w:val="105"/>
          <w:sz w:val="22"/>
          <w:szCs w:val="22"/>
          <w:lang w:val="en-GB" w:eastAsia="en-US"/>
        </w:rPr>
        <w:t xml:space="preserve"> ngo</w:t>
      </w:r>
      <w:r>
        <w:rPr>
          <w:rFonts w:asciiTheme="minorHAnsi" w:eastAsia="Open Sans" w:hAnsiTheme="minorHAnsi" w:cstheme="minorHAnsi"/>
          <w:bCs/>
          <w:color w:val="000000"/>
          <w:spacing w:val="-2"/>
          <w:w w:val="105"/>
          <w:sz w:val="22"/>
          <w:szCs w:val="22"/>
          <w:lang w:val="en-GB" w:eastAsia="en-US"/>
        </w:rPr>
        <w:t>s); as well as</w:t>
      </w:r>
      <w:r>
        <w:rPr>
          <w:rFonts w:asciiTheme="minorHAnsi" w:eastAsia="Open Sans" w:hAnsiTheme="minorHAnsi" w:cstheme="minorHAnsi"/>
          <w:bCs/>
          <w:color w:val="000000"/>
          <w:spacing w:val="-2"/>
          <w:sz w:val="22"/>
          <w:szCs w:val="22"/>
          <w:lang w:val="en-GB" w:eastAsia="en-US"/>
        </w:rPr>
        <w:t xml:space="preserve"> the main financing partners of this initiative (GEF and the Government of Fiji). </w:t>
      </w:r>
    </w:p>
    <w:p w14:paraId="00356076" w14:textId="77777777" w:rsidR="007372B6" w:rsidRDefault="007372B6">
      <w:pPr>
        <w:tabs>
          <w:tab w:val="left" w:pos="1620"/>
        </w:tabs>
        <w:jc w:val="both"/>
        <w:rPr>
          <w:rFonts w:ascii="Calibri" w:eastAsia="Open Sans" w:hAnsi="Calibri" w:cs="Open Sans"/>
          <w:b/>
          <w:bCs/>
          <w:i/>
          <w:iCs/>
          <w:color w:val="000000"/>
          <w:spacing w:val="-2"/>
        </w:rPr>
      </w:pPr>
    </w:p>
    <w:p w14:paraId="1AC24DF6" w14:textId="77777777" w:rsidR="007372B6" w:rsidRDefault="00000000">
      <w:pPr>
        <w:tabs>
          <w:tab w:val="left" w:pos="1620"/>
        </w:tabs>
        <w:spacing w:after="113" w:line="312" w:lineRule="auto"/>
        <w:ind w:left="680"/>
        <w:contextualSpacing/>
        <w:jc w:val="both"/>
      </w:pPr>
      <w:r>
        <w:rPr>
          <w:rFonts w:ascii="Calibri" w:eastAsia="Open Sans" w:hAnsi="Calibri" w:cs="Open Sans"/>
          <w:b/>
          <w:bCs/>
          <w:i/>
          <w:iCs/>
          <w:color w:val="000000"/>
          <w:spacing w:val="-2"/>
        </w:rPr>
        <w:t xml:space="preserve">2.2 </w:t>
      </w:r>
      <w:r>
        <w:rPr>
          <w:rFonts w:ascii="Calibri" w:eastAsia="Open Sans" w:hAnsi="Calibri" w:cs="Open Sans"/>
          <w:b/>
          <w:bCs/>
          <w:i/>
          <w:iCs/>
          <w:color w:val="000000"/>
          <w:spacing w:val="-2"/>
        </w:rPr>
        <w:tab/>
        <w:t>Scope of the TE</w:t>
      </w:r>
    </w:p>
    <w:p w14:paraId="2B358799" w14:textId="77777777" w:rsidR="007372B6" w:rsidRDefault="00000000">
      <w:pPr>
        <w:tabs>
          <w:tab w:val="left" w:pos="1620"/>
        </w:tabs>
        <w:spacing w:line="312" w:lineRule="auto"/>
        <w:jc w:val="both"/>
        <w:rPr>
          <w:rFonts w:ascii="Calibri" w:hAnsi="Calibri"/>
          <w:sz w:val="22"/>
          <w:szCs w:val="22"/>
        </w:rPr>
      </w:pPr>
      <w:r>
        <w:rPr>
          <w:rFonts w:ascii="Calibri" w:eastAsia="Calibri" w:hAnsi="Calibri" w:cs="Arial"/>
          <w:bCs/>
          <w:color w:val="000000"/>
          <w:sz w:val="22"/>
          <w:szCs w:val="22"/>
          <w:lang w:val="en-CA"/>
        </w:rPr>
        <w:t xml:space="preserve">5. The scope of the assessment for the TE was governed by the Evaluation Criteria outlined in the terms of reference for the evaluation: </w:t>
      </w:r>
      <w:r>
        <w:rPr>
          <w:rFonts w:ascii="Calibri" w:eastAsia="Calibri" w:hAnsi="Calibri" w:cs="Arial"/>
          <w:b/>
          <w:bCs/>
          <w:i/>
          <w:iCs/>
          <w:color w:val="000000"/>
          <w:sz w:val="22"/>
          <w:szCs w:val="22"/>
          <w:lang w:val="en-CA"/>
        </w:rPr>
        <w:t>Relevance, Effectiveness, Efficiency, Sustainability, Gender Equity and Women’s Empowerment</w:t>
      </w:r>
      <w:r>
        <w:rPr>
          <w:rFonts w:ascii="Calibri" w:eastAsia="Calibri" w:hAnsi="Calibri" w:cs="Arial"/>
          <w:bCs/>
          <w:color w:val="000000"/>
          <w:sz w:val="22"/>
          <w:szCs w:val="22"/>
          <w:lang w:val="en-CA"/>
        </w:rPr>
        <w:t xml:space="preserve"> and </w:t>
      </w:r>
      <w:r>
        <w:rPr>
          <w:rFonts w:ascii="Calibri" w:eastAsia="Calibri" w:hAnsi="Calibri" w:cs="Arial"/>
          <w:b/>
          <w:bCs/>
          <w:i/>
          <w:iCs/>
          <w:color w:val="000000"/>
          <w:sz w:val="22"/>
          <w:szCs w:val="22"/>
          <w:lang w:val="en-CA"/>
        </w:rPr>
        <w:t>Impact</w:t>
      </w:r>
      <w:r>
        <w:rPr>
          <w:rFonts w:ascii="Calibri" w:eastAsia="Calibri" w:hAnsi="Calibri" w:cs="Arial"/>
          <w:bCs/>
          <w:color w:val="000000"/>
          <w:sz w:val="22"/>
          <w:szCs w:val="22"/>
          <w:lang w:val="en-CA"/>
        </w:rPr>
        <w:t xml:space="preserve">. </w:t>
      </w:r>
    </w:p>
    <w:p w14:paraId="3F9FC768" w14:textId="77777777" w:rsidR="007372B6" w:rsidRDefault="007372B6">
      <w:pPr>
        <w:tabs>
          <w:tab w:val="left" w:pos="1620"/>
        </w:tabs>
        <w:jc w:val="both"/>
        <w:rPr>
          <w:rFonts w:eastAsia="Calibri" w:cs="Arial"/>
          <w:bCs/>
          <w:color w:val="000000"/>
          <w:lang w:val="en-CA"/>
        </w:rPr>
      </w:pPr>
    </w:p>
    <w:p w14:paraId="6FB1BDEA" w14:textId="77777777" w:rsidR="007372B6" w:rsidRDefault="00000000">
      <w:pPr>
        <w:tabs>
          <w:tab w:val="left" w:pos="1620"/>
        </w:tabs>
        <w:spacing w:line="312" w:lineRule="auto"/>
        <w:jc w:val="both"/>
        <w:rPr>
          <w:rFonts w:ascii="Calibri" w:hAnsi="Calibri"/>
          <w:sz w:val="22"/>
          <w:szCs w:val="22"/>
        </w:rPr>
      </w:pPr>
      <w:r>
        <w:rPr>
          <w:rFonts w:ascii="Calibri" w:eastAsia="Calibri" w:hAnsi="Calibri" w:cs="Arial"/>
          <w:color w:val="000000"/>
          <w:sz w:val="22"/>
          <w:szCs w:val="22"/>
          <w:lang w:val="en-CA"/>
        </w:rPr>
        <w:t xml:space="preserve">6. The TE involved an assessment of the entire eight-year project period from the design and start up (2014-2016), the full period of implementation, which included two no-cost extensions (2016-2022), up until the end of project activities (June 2022). The report also covers the post-project period in examining the likelihood of sustainability (post-2022). It also considers the regional level by briefly comparing the performance of the Fiji R2R project with other ridge to reef projects in the Pacific </w:t>
      </w:r>
      <w:r>
        <w:rPr>
          <w:rFonts w:ascii="Calibri" w:eastAsia="Calibri" w:hAnsi="Calibri" w:cs="Calibri"/>
          <w:color w:val="000000"/>
          <w:sz w:val="22"/>
          <w:szCs w:val="22"/>
          <w:lang w:val="en-CA"/>
        </w:rPr>
        <w:t>(</w:t>
      </w:r>
      <w:r>
        <w:rPr>
          <w:rFonts w:ascii="Calibri" w:eastAsia="Calibri" w:hAnsi="Calibri" w:cs="Calibri"/>
          <w:bCs/>
          <w:color w:val="000000"/>
          <w:sz w:val="22"/>
          <w:szCs w:val="22"/>
          <w:lang w:val="en-CA"/>
        </w:rPr>
        <w:t xml:space="preserve">Tuvalu, Cook Islands, Nauru, Niue and </w:t>
      </w:r>
      <w:r>
        <w:rPr>
          <w:rStyle w:val="Emphasis"/>
          <w:rFonts w:ascii="Calibri" w:eastAsia="Calibri" w:hAnsi="Calibri" w:cs="Calibri"/>
          <w:bCs/>
          <w:i w:val="0"/>
          <w:color w:val="000000"/>
          <w:sz w:val="22"/>
          <w:szCs w:val="22"/>
          <w:lang w:val="en-CA"/>
        </w:rPr>
        <w:t>Marshall Islands, see Annex 7</w:t>
      </w:r>
      <w:r>
        <w:rPr>
          <w:rFonts w:ascii="Calibri" w:eastAsia="Calibri" w:hAnsi="Calibri" w:cs="Arial"/>
          <w:color w:val="000000"/>
          <w:sz w:val="22"/>
          <w:szCs w:val="22"/>
          <w:lang w:val="en-CA"/>
        </w:rPr>
        <w:t>).</w:t>
      </w:r>
    </w:p>
    <w:p w14:paraId="10CFB1BF" w14:textId="77777777" w:rsidR="007372B6" w:rsidRDefault="007372B6">
      <w:pPr>
        <w:jc w:val="both"/>
        <w:rPr>
          <w:rFonts w:ascii="Calibri" w:hAnsi="Calibri"/>
          <w:sz w:val="22"/>
          <w:szCs w:val="22"/>
          <w:lang w:val="en-GB" w:eastAsia="en-US"/>
        </w:rPr>
      </w:pPr>
    </w:p>
    <w:p w14:paraId="0AE2AA0E" w14:textId="77777777" w:rsidR="007372B6" w:rsidRDefault="00000000">
      <w:pPr>
        <w:pStyle w:val="Default0"/>
        <w:spacing w:line="312" w:lineRule="auto"/>
        <w:jc w:val="both"/>
      </w:pPr>
      <w:r>
        <w:rPr>
          <w:rFonts w:cs="Arial"/>
          <w:sz w:val="22"/>
          <w:szCs w:val="22"/>
          <w:lang w:eastAsia="en-CA"/>
        </w:rPr>
        <w:t>7. The geographic scope of the TE focused on the two levels of the project’s interventions: national level and six</w:t>
      </w:r>
      <w:r>
        <w:rPr>
          <w:rFonts w:cs="MyriadPro-Bold"/>
          <w:iCs/>
          <w:sz w:val="22"/>
          <w:szCs w:val="22"/>
        </w:rPr>
        <w:t xml:space="preserve"> pilot catchment sites,</w:t>
      </w:r>
      <w:r>
        <w:rPr>
          <w:rFonts w:cs="MyriadPro-Bold"/>
          <w:sz w:val="22"/>
          <w:szCs w:val="22"/>
        </w:rPr>
        <w:t xml:space="preserve"> three on the larger island of Viti </w:t>
      </w:r>
      <w:proofErr w:type="spellStart"/>
      <w:r>
        <w:rPr>
          <w:rFonts w:cs="MyriadPro-Bold"/>
          <w:sz w:val="22"/>
          <w:szCs w:val="22"/>
        </w:rPr>
        <w:t>Levu</w:t>
      </w:r>
      <w:proofErr w:type="spellEnd"/>
      <w:r>
        <w:rPr>
          <w:rFonts w:cs="MyriadPro-Bold"/>
          <w:sz w:val="22"/>
          <w:szCs w:val="22"/>
        </w:rPr>
        <w:t xml:space="preserve"> (</w:t>
      </w:r>
      <w:proofErr w:type="spellStart"/>
      <w:r>
        <w:rPr>
          <w:rFonts w:cs="MyriadPro-Bold"/>
          <w:iCs/>
          <w:sz w:val="22"/>
          <w:szCs w:val="22"/>
        </w:rPr>
        <w:t>Rewa-Waidina</w:t>
      </w:r>
      <w:proofErr w:type="spellEnd"/>
      <w:r>
        <w:rPr>
          <w:rFonts w:cs="MyriadPro-Bold"/>
          <w:iCs/>
          <w:sz w:val="22"/>
          <w:szCs w:val="22"/>
        </w:rPr>
        <w:t>, Tuva</w:t>
      </w:r>
      <w:r>
        <w:rPr>
          <w:rFonts w:cs="MyriadPro-Bold"/>
          <w:sz w:val="22"/>
          <w:szCs w:val="22"/>
        </w:rPr>
        <w:t xml:space="preserve"> and Ba) and three on Vanua </w:t>
      </w:r>
      <w:proofErr w:type="spellStart"/>
      <w:r>
        <w:rPr>
          <w:rFonts w:cs="MyriadPro-Bold"/>
          <w:sz w:val="22"/>
          <w:szCs w:val="22"/>
        </w:rPr>
        <w:t>Levu</w:t>
      </w:r>
      <w:proofErr w:type="spellEnd"/>
      <w:r>
        <w:rPr>
          <w:rFonts w:cs="MyriadPro-Bold"/>
          <w:sz w:val="22"/>
          <w:szCs w:val="22"/>
        </w:rPr>
        <w:t xml:space="preserve"> (Labasa, </w:t>
      </w:r>
      <w:proofErr w:type="spellStart"/>
      <w:r>
        <w:rPr>
          <w:rFonts w:cs="MyriadPro-Bold"/>
          <w:sz w:val="22"/>
          <w:szCs w:val="22"/>
        </w:rPr>
        <w:t>Vunivia</w:t>
      </w:r>
      <w:proofErr w:type="spellEnd"/>
      <w:r>
        <w:rPr>
          <w:rFonts w:cs="MyriadPro-Bold"/>
          <w:sz w:val="22"/>
          <w:szCs w:val="22"/>
        </w:rPr>
        <w:t xml:space="preserve"> and </w:t>
      </w:r>
      <w:proofErr w:type="spellStart"/>
      <w:r>
        <w:rPr>
          <w:rFonts w:cs="MyriadPro-Bold"/>
          <w:sz w:val="22"/>
          <w:szCs w:val="22"/>
        </w:rPr>
        <w:t>Tunuloa</w:t>
      </w:r>
      <w:proofErr w:type="spellEnd"/>
      <w:r>
        <w:rPr>
          <w:rFonts w:cs="MyriadPro-Bold"/>
          <w:sz w:val="22"/>
          <w:szCs w:val="22"/>
        </w:rPr>
        <w:t xml:space="preserve">, see </w:t>
      </w:r>
      <w:r>
        <w:rPr>
          <w:rFonts w:cs="Arial"/>
          <w:sz w:val="22"/>
          <w:szCs w:val="22"/>
          <w:lang w:eastAsia="en-CA"/>
        </w:rPr>
        <w:t xml:space="preserve">Figure 1). The national level focused on assessing the possibilities for sustainability and linkages to relevant national polices, strategies and plans. The technical scope of the TE focused on the four components of the project: </w:t>
      </w:r>
      <w:r>
        <w:rPr>
          <w:spacing w:val="-2"/>
          <w:w w:val="105"/>
          <w:sz w:val="22"/>
          <w:szCs w:val="22"/>
          <w:lang w:val="en-US" w:eastAsia="en-CA"/>
        </w:rPr>
        <w:t>1. Conservation of Terrestrial and Marine Biodiversity</w:t>
      </w:r>
      <w:r>
        <w:rPr>
          <w:rFonts w:cs="Arial"/>
          <w:sz w:val="22"/>
          <w:szCs w:val="22"/>
          <w:lang w:eastAsia="en-CA"/>
        </w:rPr>
        <w:t xml:space="preserve">, 2. </w:t>
      </w:r>
      <w:r>
        <w:rPr>
          <w:spacing w:val="-2"/>
          <w:w w:val="105"/>
          <w:sz w:val="22"/>
          <w:szCs w:val="22"/>
          <w:lang w:val="en-US" w:eastAsia="en-CA"/>
        </w:rPr>
        <w:t>Conservation, Restoration and Enhancement of Carbon Stocks through Sustainable Forestry</w:t>
      </w:r>
      <w:r>
        <w:rPr>
          <w:rFonts w:cs="Arial"/>
          <w:sz w:val="22"/>
          <w:szCs w:val="22"/>
          <w:lang w:eastAsia="en-CA"/>
        </w:rPr>
        <w:t xml:space="preserve">, 3. </w:t>
      </w:r>
      <w:r>
        <w:rPr>
          <w:spacing w:val="-2"/>
          <w:w w:val="105"/>
          <w:sz w:val="22"/>
          <w:szCs w:val="22"/>
        </w:rPr>
        <w:t>Integrated Natural Resources Management</w:t>
      </w:r>
      <w:r>
        <w:rPr>
          <w:rFonts w:cs="Arial"/>
          <w:sz w:val="22"/>
          <w:szCs w:val="22"/>
          <w:lang w:eastAsia="en-CA"/>
        </w:rPr>
        <w:t xml:space="preserve"> and 4. Knowledge Management.</w:t>
      </w:r>
    </w:p>
    <w:p w14:paraId="34A2A15F" w14:textId="77777777" w:rsidR="007372B6" w:rsidRDefault="007372B6">
      <w:pPr>
        <w:pStyle w:val="Default0"/>
        <w:jc w:val="both"/>
        <w:rPr>
          <w:rFonts w:cs="Arial"/>
          <w:sz w:val="22"/>
          <w:szCs w:val="22"/>
          <w:lang w:eastAsia="en-CA"/>
        </w:rPr>
      </w:pPr>
    </w:p>
    <w:p w14:paraId="5E157B86" w14:textId="77777777" w:rsidR="007372B6" w:rsidRDefault="00000000">
      <w:pPr>
        <w:pStyle w:val="NumberedParas"/>
        <w:numPr>
          <w:ilvl w:val="0"/>
          <w:numId w:val="0"/>
        </w:numPr>
        <w:spacing w:line="312" w:lineRule="auto"/>
        <w:rPr>
          <w:rFonts w:ascii="Calibri" w:eastAsia="Calibri" w:hAnsi="Calibri" w:cs="Calibri"/>
          <w:color w:val="000000"/>
          <w:spacing w:val="-2"/>
          <w:w w:val="105"/>
          <w:sz w:val="22"/>
          <w:szCs w:val="22"/>
          <w:lang w:val="en-CA" w:eastAsia="en-US"/>
        </w:rPr>
      </w:pPr>
      <w:r>
        <w:rPr>
          <w:rFonts w:ascii="Calibri" w:eastAsia="Calibri" w:hAnsi="Calibri" w:cs="Calibri"/>
          <w:color w:val="000000"/>
          <w:spacing w:val="-2"/>
          <w:w w:val="105"/>
          <w:sz w:val="22"/>
          <w:szCs w:val="22"/>
          <w:lang w:val="en-CA" w:eastAsia="en-US"/>
        </w:rPr>
        <w:t>8. The TE was carried out from 24 October through December 2022, and will be completed by 30 December 2022. The scope included preparatory activities, desk review of documents, consultation with stakeholders, site visits and preparation of reports on preliminary findings, the draft and final TE report.</w:t>
      </w:r>
    </w:p>
    <w:p w14:paraId="79309E7D" w14:textId="77777777" w:rsidR="007372B6" w:rsidRDefault="007372B6">
      <w:pPr>
        <w:jc w:val="both"/>
        <w:rPr>
          <w:rFonts w:ascii="Calibri" w:eastAsia="Calibri" w:hAnsi="Calibri" w:cs="Calibri"/>
          <w:color w:val="000000"/>
          <w:spacing w:val="-2"/>
          <w:w w:val="105"/>
          <w:sz w:val="22"/>
          <w:szCs w:val="22"/>
          <w:lang w:val="en-CA" w:eastAsia="en-US"/>
        </w:rPr>
      </w:pPr>
    </w:p>
    <w:p w14:paraId="593D274E" w14:textId="77777777" w:rsidR="007372B6" w:rsidRDefault="00000000">
      <w:pPr>
        <w:spacing w:after="113" w:line="312" w:lineRule="auto"/>
        <w:ind w:left="737"/>
        <w:contextualSpacing/>
        <w:jc w:val="both"/>
      </w:pPr>
      <w:r>
        <w:rPr>
          <w:rFonts w:ascii="Calibri" w:hAnsi="Calibri"/>
          <w:b/>
          <w:bCs/>
          <w:i/>
          <w:iCs/>
        </w:rPr>
        <w:t xml:space="preserve">2.3 </w:t>
      </w:r>
      <w:r>
        <w:rPr>
          <w:rFonts w:ascii="Calibri" w:hAnsi="Calibri"/>
          <w:b/>
          <w:bCs/>
          <w:i/>
          <w:iCs/>
        </w:rPr>
        <w:tab/>
      </w:r>
      <w:r>
        <w:rPr>
          <w:rFonts w:ascii="Calibri" w:eastAsia="Calibri" w:hAnsi="Calibri" w:cs="Calibri"/>
          <w:b/>
          <w:bCs/>
          <w:i/>
          <w:iCs/>
          <w:color w:val="000000"/>
          <w:lang w:val="en-CA"/>
        </w:rPr>
        <w:t>Methodology</w:t>
      </w:r>
    </w:p>
    <w:p w14:paraId="1A19CBF5" w14:textId="77777777" w:rsidR="007372B6" w:rsidRDefault="00000000">
      <w:pPr>
        <w:pStyle w:val="ListParagraph"/>
        <w:tabs>
          <w:tab w:val="left" w:pos="-511"/>
        </w:tabs>
        <w:spacing w:after="113" w:line="312" w:lineRule="auto"/>
        <w:ind w:left="737"/>
        <w:jc w:val="both"/>
      </w:pPr>
      <w:r>
        <w:rPr>
          <w:rFonts w:ascii="Calibri" w:hAnsi="Calibri" w:cs="MyriadPro-Bold"/>
          <w:i/>
          <w:iCs/>
          <w:color w:val="000000"/>
          <w:spacing w:val="-2"/>
          <w:sz w:val="22"/>
          <w:szCs w:val="22"/>
          <w:lang w:val="en-GB" w:eastAsia="en-US"/>
        </w:rPr>
        <w:t xml:space="preserve">2.3.1 </w:t>
      </w:r>
      <w:r>
        <w:rPr>
          <w:rFonts w:ascii="Calibri" w:hAnsi="Calibri" w:cs="MyriadPro-Bold"/>
          <w:i/>
          <w:iCs/>
          <w:color w:val="000000"/>
          <w:spacing w:val="-2"/>
          <w:sz w:val="22"/>
          <w:szCs w:val="22"/>
          <w:lang w:val="en-GB" w:eastAsia="en-US"/>
        </w:rPr>
        <w:tab/>
        <w:t xml:space="preserve">Evaluation Guidelines and </w:t>
      </w:r>
      <w:r>
        <w:rPr>
          <w:rFonts w:ascii="Calibri" w:hAnsi="Calibri" w:cs="MyriadPro-Bold"/>
          <w:i/>
          <w:iCs/>
          <w:caps/>
          <w:color w:val="000000"/>
          <w:spacing w:val="-2"/>
          <w:sz w:val="22"/>
          <w:szCs w:val="22"/>
          <w:lang w:val="en-GB" w:eastAsia="en-US"/>
        </w:rPr>
        <w:t>e</w:t>
      </w:r>
      <w:r>
        <w:rPr>
          <w:rFonts w:ascii="Calibri" w:hAnsi="Calibri" w:cs="MyriadPro-Bold"/>
          <w:i/>
          <w:iCs/>
          <w:color w:val="000000"/>
          <w:spacing w:val="-2"/>
          <w:sz w:val="22"/>
          <w:szCs w:val="22"/>
          <w:lang w:val="en-GB" w:eastAsia="en-US"/>
        </w:rPr>
        <w:t>thics</w:t>
      </w:r>
    </w:p>
    <w:p w14:paraId="6AB229B4" w14:textId="77777777" w:rsidR="007372B6" w:rsidRDefault="00000000">
      <w:pPr>
        <w:tabs>
          <w:tab w:val="left" w:pos="-511"/>
        </w:tabs>
        <w:spacing w:line="312" w:lineRule="auto"/>
        <w:jc w:val="both"/>
        <w:rPr>
          <w:rFonts w:ascii="Calibri" w:hAnsi="Calibri" w:cs="MyriadPro-Bold"/>
          <w:bCs/>
          <w:sz w:val="22"/>
          <w:szCs w:val="22"/>
        </w:rPr>
      </w:pPr>
      <w:r>
        <w:rPr>
          <w:rFonts w:ascii="Calibri" w:eastAsia="Calibri" w:hAnsi="Calibri" w:cs="Calibri"/>
          <w:bCs/>
          <w:color w:val="000000"/>
          <w:sz w:val="22"/>
          <w:szCs w:val="22"/>
          <w:lang w:val="en-CA" w:eastAsia="en-US"/>
        </w:rPr>
        <w:t xml:space="preserve">9. The overall approach and methodology followed by the TE team </w:t>
      </w:r>
      <w:r>
        <w:rPr>
          <w:rFonts w:ascii="Calibri" w:eastAsia="Calibri" w:hAnsi="Calibri" w:cs="Calibri"/>
          <w:bCs/>
          <w:color w:val="000000"/>
          <w:sz w:val="22"/>
          <w:szCs w:val="22"/>
          <w:lang w:val="en-CA"/>
        </w:rPr>
        <w:t>conforms with the requirements of the following documents and protocols: a) the R2R project document, b) the UNDAF for the Pacific Sub-region 2013-2017, c) UN Pacific Strategy 2018-2022, d) the Sub-Regional Programme Document for the Pacific Island Countries and Territories (2018-2022), and e) UNDP’s Strategic Plan for</w:t>
      </w:r>
      <w:r>
        <w:rPr>
          <w:rFonts w:ascii="Calibri" w:eastAsia="Calibri" w:hAnsi="Calibri" w:cs="Calibri"/>
          <w:b/>
          <w:bCs/>
          <w:color w:val="000000"/>
          <w:sz w:val="22"/>
          <w:szCs w:val="22"/>
          <w:lang w:val="en-CA"/>
        </w:rPr>
        <w:t xml:space="preserve"> </w:t>
      </w:r>
      <w:r>
        <w:rPr>
          <w:rFonts w:ascii="Calibri" w:eastAsia="Calibri" w:hAnsi="Calibri" w:cs="Calibri"/>
          <w:bCs/>
          <w:color w:val="000000"/>
          <w:sz w:val="22"/>
          <w:szCs w:val="22"/>
          <w:lang w:val="en-CA"/>
        </w:rPr>
        <w:t xml:space="preserve">Environment and Sustainable Development. The evaluation </w:t>
      </w:r>
      <w:r>
        <w:rPr>
          <w:rFonts w:asciiTheme="minorHAnsi" w:eastAsia="Calibri" w:hAnsiTheme="minorHAnsi" w:cstheme="minorHAnsi"/>
          <w:bCs/>
          <w:color w:val="000000"/>
          <w:sz w:val="22"/>
          <w:szCs w:val="22"/>
          <w:lang w:val="en-CA" w:eastAsia="en-US"/>
        </w:rPr>
        <w:t>was also conducted in accordance with the principles and guidelines outlined in</w:t>
      </w:r>
      <w:r>
        <w:rPr>
          <w:rFonts w:ascii="Calibri" w:eastAsia="Calibri" w:hAnsi="Calibri" w:cs="Calibri"/>
          <w:bCs/>
          <w:color w:val="000000"/>
          <w:sz w:val="22"/>
          <w:szCs w:val="22"/>
          <w:lang w:val="en-CA" w:eastAsia="en-US"/>
        </w:rPr>
        <w:t xml:space="preserve"> UNDP and GEF Evaluation Policy: </w:t>
      </w:r>
      <w:r>
        <w:rPr>
          <w:rFonts w:asciiTheme="minorHAnsi" w:eastAsia="Calibri" w:hAnsiTheme="minorHAnsi" w:cstheme="minorHAnsi"/>
          <w:bCs/>
          <w:color w:val="000000"/>
          <w:sz w:val="22"/>
          <w:szCs w:val="22"/>
          <w:lang w:val="en-CA" w:eastAsia="en-US"/>
        </w:rPr>
        <w:t xml:space="preserve">United Nations Evaluation Group (UNEG) </w:t>
      </w:r>
      <w:r>
        <w:rPr>
          <w:rFonts w:asciiTheme="minorHAnsi" w:eastAsia="Calibri" w:hAnsiTheme="minorHAnsi" w:cstheme="minorHAnsi"/>
          <w:bCs/>
          <w:i/>
          <w:iCs/>
          <w:color w:val="000000"/>
          <w:sz w:val="22"/>
          <w:szCs w:val="22"/>
          <w:lang w:val="en-CA" w:eastAsia="en-US"/>
        </w:rPr>
        <w:t>Ethical Guidelines for Evaluations</w:t>
      </w:r>
      <w:r>
        <w:rPr>
          <w:rFonts w:asciiTheme="minorHAnsi" w:eastAsia="Calibri" w:hAnsiTheme="minorHAnsi" w:cstheme="minorHAnsi"/>
          <w:bCs/>
          <w:color w:val="000000"/>
          <w:sz w:val="22"/>
          <w:szCs w:val="22"/>
          <w:lang w:val="en-CA" w:eastAsia="en-US"/>
        </w:rPr>
        <w:t xml:space="preserve"> </w:t>
      </w:r>
      <w:r>
        <w:rPr>
          <w:rFonts w:asciiTheme="minorHAnsi" w:eastAsia="Calibri" w:hAnsiTheme="minorHAnsi" w:cstheme="minorHAnsi"/>
          <w:bCs/>
          <w:i/>
          <w:iCs/>
          <w:color w:val="000000"/>
          <w:sz w:val="22"/>
          <w:szCs w:val="22"/>
          <w:lang w:val="en-CA" w:eastAsia="en-US"/>
        </w:rPr>
        <w:t>(2020)</w:t>
      </w:r>
      <w:r>
        <w:rPr>
          <w:rStyle w:val="FootnoteAnchor"/>
          <w:rFonts w:asciiTheme="minorHAnsi" w:eastAsia="Calibri" w:hAnsiTheme="minorHAnsi" w:cstheme="minorHAnsi"/>
          <w:bCs/>
          <w:i/>
          <w:iCs/>
          <w:color w:val="000000"/>
          <w:sz w:val="22"/>
          <w:szCs w:val="22"/>
          <w:lang w:val="en-CA" w:eastAsia="en-US"/>
        </w:rPr>
        <w:footnoteReference w:id="6"/>
      </w:r>
      <w:r>
        <w:rPr>
          <w:rFonts w:asciiTheme="minorHAnsi" w:eastAsia="Calibri" w:hAnsiTheme="minorHAnsi" w:cstheme="minorHAnsi"/>
          <w:bCs/>
          <w:color w:val="000000"/>
          <w:sz w:val="22"/>
          <w:szCs w:val="22"/>
          <w:lang w:val="en-CA" w:eastAsia="en-US"/>
        </w:rPr>
        <w:t xml:space="preserve"> and </w:t>
      </w:r>
      <w:r>
        <w:rPr>
          <w:rFonts w:asciiTheme="minorHAnsi" w:eastAsia="Calibri" w:hAnsiTheme="minorHAnsi" w:cstheme="minorHAnsi"/>
          <w:i/>
          <w:color w:val="000000"/>
          <w:sz w:val="22"/>
          <w:szCs w:val="22"/>
          <w:lang w:val="en-CA" w:eastAsia="en-US"/>
        </w:rPr>
        <w:t>Guidance for Conducting Terminal Evaluations of UNDP-Supported, GEF-Financed Projects</w:t>
      </w:r>
      <w:r>
        <w:rPr>
          <w:rFonts w:asciiTheme="minorHAnsi" w:eastAsia="Calibri" w:hAnsiTheme="minorHAnsi" w:cstheme="minorHAnsi"/>
          <w:bCs/>
          <w:i/>
          <w:color w:val="000000"/>
          <w:sz w:val="22"/>
          <w:szCs w:val="22"/>
          <w:lang w:val="en-CA" w:eastAsia="en-US"/>
        </w:rPr>
        <w:t xml:space="preserve"> (2020).</w:t>
      </w:r>
      <w:r>
        <w:rPr>
          <w:rFonts w:ascii="Calibri" w:eastAsia="Calibri" w:hAnsi="Calibri" w:cs="Calibri"/>
          <w:bCs/>
          <w:color w:val="000000"/>
          <w:sz w:val="22"/>
          <w:szCs w:val="22"/>
          <w:lang w:val="en-CA"/>
        </w:rPr>
        <w:t xml:space="preserve"> These documents set out a number of guiding principles, norms and criteria for evaluation in the organization, the most important of which are that the evaluation exercise should be independent, impartial and of appropriate quality, and also that it should be intentional and designed with utility in mind.</w:t>
      </w:r>
      <w:r>
        <w:rPr>
          <w:rStyle w:val="FootnoteAnchor"/>
          <w:rFonts w:ascii="Calibri" w:eastAsia="Calibri" w:hAnsi="Calibri" w:cs="Calibri"/>
          <w:bCs/>
          <w:color w:val="000000"/>
          <w:sz w:val="22"/>
          <w:szCs w:val="22"/>
          <w:lang w:val="en-CA"/>
        </w:rPr>
        <w:footnoteReference w:id="7"/>
      </w:r>
      <w:r>
        <w:rPr>
          <w:rFonts w:ascii="Calibri" w:eastAsia="Calibri" w:hAnsi="Calibri" w:cs="Calibri"/>
          <w:bCs/>
          <w:color w:val="000000"/>
          <w:sz w:val="22"/>
          <w:szCs w:val="22"/>
          <w:lang w:val="en-CA"/>
        </w:rPr>
        <w:t xml:space="preserve"> </w:t>
      </w:r>
      <w:r>
        <w:rPr>
          <w:rFonts w:ascii="Calibri" w:eastAsia="Calibri" w:hAnsi="Calibri" w:cs="Calibri"/>
          <w:color w:val="000000"/>
          <w:spacing w:val="-2"/>
          <w:sz w:val="22"/>
          <w:szCs w:val="22"/>
          <w:lang w:val="en-CA"/>
        </w:rPr>
        <w:t>Annex 12 contains a</w:t>
      </w:r>
      <w:r>
        <w:rPr>
          <w:rFonts w:ascii="Calibri" w:eastAsiaTheme="minorHAnsi" w:hAnsi="Calibri" w:cstheme="minorHAnsi"/>
          <w:color w:val="000000"/>
          <w:spacing w:val="-2"/>
          <w:sz w:val="22"/>
          <w:szCs w:val="22"/>
          <w:lang w:val="en-CA" w:eastAsia="en-US"/>
        </w:rPr>
        <w:t xml:space="preserve"> UNEG Code of Conduct form </w:t>
      </w:r>
      <w:r>
        <w:rPr>
          <w:rFonts w:ascii="Calibri" w:eastAsia="Calibri" w:hAnsi="Calibri" w:cs="Calibri"/>
          <w:color w:val="000000"/>
          <w:spacing w:val="-2"/>
          <w:sz w:val="22"/>
          <w:szCs w:val="22"/>
          <w:lang w:val="en-CA" w:eastAsia="en-US"/>
        </w:rPr>
        <w:t>s</w:t>
      </w:r>
      <w:r>
        <w:rPr>
          <w:rFonts w:ascii="Calibri" w:eastAsiaTheme="minorHAnsi" w:hAnsi="Calibri" w:cstheme="minorHAnsi"/>
          <w:color w:val="000000"/>
          <w:spacing w:val="-2"/>
          <w:sz w:val="22"/>
          <w:szCs w:val="22"/>
          <w:lang w:val="en-CA" w:eastAsia="en-US"/>
        </w:rPr>
        <w:t>igned by the Evaluation Consultant.</w:t>
      </w:r>
    </w:p>
    <w:p w14:paraId="4FF6C4F8" w14:textId="77777777" w:rsidR="007372B6" w:rsidRDefault="007372B6">
      <w:pPr>
        <w:tabs>
          <w:tab w:val="left" w:pos="-511"/>
        </w:tabs>
        <w:jc w:val="both"/>
        <w:rPr>
          <w:rFonts w:ascii="Calibri" w:hAnsi="Calibri" w:cs="MyriadPro-Bold"/>
          <w:bCs/>
          <w:sz w:val="22"/>
          <w:szCs w:val="22"/>
        </w:rPr>
      </w:pPr>
    </w:p>
    <w:p w14:paraId="48EF2B1F" w14:textId="77777777" w:rsidR="007372B6" w:rsidRDefault="00000000">
      <w:pPr>
        <w:pStyle w:val="ListParagraph"/>
        <w:tabs>
          <w:tab w:val="left" w:pos="-511"/>
        </w:tabs>
        <w:spacing w:line="312" w:lineRule="auto"/>
        <w:ind w:left="737"/>
        <w:jc w:val="both"/>
      </w:pPr>
      <w:r>
        <w:rPr>
          <w:rFonts w:ascii="Calibri" w:eastAsia="Calibri" w:hAnsi="Calibri" w:cs="MyriadPro-Bold"/>
          <w:i/>
          <w:iCs/>
          <w:color w:val="000000"/>
          <w:sz w:val="22"/>
          <w:szCs w:val="22"/>
          <w:lang w:val="en-GB" w:eastAsia="en-US"/>
        </w:rPr>
        <w:t xml:space="preserve">2.3.2 </w:t>
      </w:r>
      <w:r>
        <w:rPr>
          <w:rFonts w:ascii="Calibri" w:eastAsia="Calibri" w:hAnsi="Calibri" w:cs="MyriadPro-Bold"/>
          <w:i/>
          <w:iCs/>
          <w:color w:val="000000"/>
          <w:sz w:val="22"/>
          <w:szCs w:val="22"/>
          <w:lang w:val="en-GB" w:eastAsia="en-US"/>
        </w:rPr>
        <w:tab/>
        <w:t xml:space="preserve">Evaluation Methods </w:t>
      </w:r>
    </w:p>
    <w:p w14:paraId="1A56139D" w14:textId="77777777" w:rsidR="007372B6" w:rsidRDefault="00000000">
      <w:pPr>
        <w:tabs>
          <w:tab w:val="left" w:pos="-511"/>
        </w:tabs>
        <w:spacing w:line="312" w:lineRule="auto"/>
        <w:contextualSpacing/>
        <w:jc w:val="both"/>
        <w:rPr>
          <w:rFonts w:ascii="Calibri" w:hAnsi="Calibri" w:cs="MyriadPro-Bold"/>
          <w:bCs/>
          <w:sz w:val="22"/>
          <w:szCs w:val="22"/>
        </w:rPr>
      </w:pPr>
      <w:r>
        <w:rPr>
          <w:rFonts w:ascii="Calibri" w:eastAsia="Calibri" w:hAnsi="Calibri" w:cs="Calibri"/>
          <w:bCs/>
          <w:color w:val="000000"/>
          <w:sz w:val="22"/>
          <w:szCs w:val="22"/>
          <w:lang w:val="en-GB" w:eastAsia="en-US"/>
        </w:rPr>
        <w:lastRenderedPageBreak/>
        <w:t xml:space="preserve">10. The methodology followed the Evaluation Matrix that was prepared based on the evaluation Terms of Reference provided by UNDP. A mix of quantitative and qualitative methods were used to assess project results and performance, with a central focus on the questions, indicators and data sources presented in the Evaluation Matrix (see Annex 14). </w:t>
      </w:r>
    </w:p>
    <w:p w14:paraId="733B2F38" w14:textId="77777777" w:rsidR="007372B6" w:rsidRDefault="007372B6">
      <w:pPr>
        <w:tabs>
          <w:tab w:val="left" w:pos="-511"/>
        </w:tabs>
        <w:jc w:val="both"/>
        <w:rPr>
          <w:rFonts w:ascii="Calibri" w:hAnsi="Calibri" w:cs="MyriadPro-Bold"/>
          <w:bCs/>
          <w:sz w:val="22"/>
          <w:szCs w:val="22"/>
        </w:rPr>
      </w:pPr>
    </w:p>
    <w:p w14:paraId="408F7898" w14:textId="77777777" w:rsidR="007372B6" w:rsidRDefault="00000000">
      <w:pPr>
        <w:tabs>
          <w:tab w:val="left" w:pos="-511"/>
        </w:tabs>
        <w:spacing w:line="288" w:lineRule="auto"/>
        <w:jc w:val="both"/>
        <w:rPr>
          <w:i/>
          <w:iCs/>
        </w:rPr>
      </w:pPr>
      <w:r>
        <w:rPr>
          <w:rFonts w:ascii="Calibri" w:eastAsia="Calibri" w:hAnsi="Calibri" w:cs="Calibri"/>
          <w:b/>
          <w:bCs/>
          <w:i/>
          <w:iCs/>
          <w:color w:val="000000"/>
          <w:sz w:val="22"/>
          <w:szCs w:val="22"/>
          <w:lang w:val="en-CA"/>
        </w:rPr>
        <w:t>Inception Phase</w:t>
      </w:r>
    </w:p>
    <w:p w14:paraId="5B1245CB" w14:textId="77777777" w:rsidR="007372B6" w:rsidRDefault="00000000">
      <w:pPr>
        <w:tabs>
          <w:tab w:val="left" w:pos="-511"/>
        </w:tabs>
        <w:spacing w:line="312" w:lineRule="auto"/>
        <w:jc w:val="both"/>
        <w:rPr>
          <w:rFonts w:ascii="Calibri" w:eastAsia="Calibri" w:hAnsi="Calibri" w:cs="Calibri"/>
          <w:bCs/>
          <w:color w:val="000000"/>
          <w:sz w:val="22"/>
          <w:szCs w:val="22"/>
          <w:lang w:val="en-CA"/>
        </w:rPr>
      </w:pPr>
      <w:r>
        <w:rPr>
          <w:rFonts w:ascii="Calibri" w:eastAsia="Calibri" w:hAnsi="Calibri" w:cs="Calibri"/>
          <w:bCs/>
          <w:color w:val="000000"/>
          <w:sz w:val="22"/>
          <w:szCs w:val="22"/>
          <w:lang w:val="en-CA"/>
        </w:rPr>
        <w:t xml:space="preserve">11. The TE kicked off with the submission of an Inception Report by the International Evaluation Consultant (3 November 2022) following which an inception meeting was held between the UNDP team in Fiji and the International and National evaluation consultants (November 6). Minor revisions were made to the Inception Report, and changes were made to the dates of deliverables because of a slight delay in the contracting process for international and national evaluation consultants. </w:t>
      </w:r>
    </w:p>
    <w:p w14:paraId="670C7022" w14:textId="77777777" w:rsidR="007372B6" w:rsidRDefault="007372B6">
      <w:pPr>
        <w:tabs>
          <w:tab w:val="left" w:pos="-511"/>
        </w:tabs>
        <w:jc w:val="both"/>
        <w:rPr>
          <w:rFonts w:ascii="Calibri" w:eastAsia="Calibri" w:hAnsi="Calibri" w:cs="Calibri"/>
          <w:bCs/>
          <w:color w:val="000000"/>
          <w:sz w:val="22"/>
          <w:szCs w:val="22"/>
          <w:lang w:val="en-CA"/>
        </w:rPr>
      </w:pPr>
    </w:p>
    <w:p w14:paraId="6336BE10" w14:textId="77777777" w:rsidR="007372B6" w:rsidRDefault="00000000">
      <w:pPr>
        <w:tabs>
          <w:tab w:val="left" w:pos="-511"/>
        </w:tabs>
        <w:spacing w:line="312" w:lineRule="auto"/>
        <w:jc w:val="both"/>
        <w:rPr>
          <w:rFonts w:ascii="Calibri" w:hAnsi="Calibri" w:cs="MyriadPro-Bold"/>
          <w:bCs/>
          <w:sz w:val="22"/>
          <w:szCs w:val="22"/>
        </w:rPr>
      </w:pPr>
      <w:r>
        <w:rPr>
          <w:rFonts w:ascii="Calibri" w:eastAsia="Calibri" w:hAnsi="Calibri" w:cs="MyriadPro-Bold"/>
          <w:bCs/>
          <w:color w:val="000000"/>
          <w:sz w:val="22"/>
          <w:szCs w:val="22"/>
          <w:lang w:val="en-CA" w:eastAsia="en-US"/>
        </w:rPr>
        <w:t>12. Because of Covid-19 travel restrictions, the International Consultants were not able to travel to Fiji to conduct</w:t>
      </w:r>
      <w:r>
        <w:rPr>
          <w:rFonts w:ascii="Calibri" w:hAnsi="Calibri" w:cs="MyriadPro-Bold"/>
          <w:bCs/>
          <w:color w:val="0A0A0A"/>
          <w:sz w:val="22"/>
          <w:szCs w:val="22"/>
          <w:lang w:eastAsia="en-US"/>
        </w:rPr>
        <w:t xml:space="preserve"> stakeholder consultations and site visits. This resulted in the TE focusing on remote evaluation methods, which involved a greater </w:t>
      </w:r>
      <w:r>
        <w:rPr>
          <w:rFonts w:ascii="Calibri" w:hAnsi="Calibri" w:cs="MyriadPro-Bold"/>
          <w:bCs/>
          <w:color w:val="000000"/>
          <w:spacing w:val="-2"/>
          <w:sz w:val="22"/>
          <w:szCs w:val="22"/>
          <w:lang w:val="en-GB" w:eastAsia="en-US"/>
        </w:rPr>
        <w:t>effort on the review of documents, analysis of project monitoring reports and collection of information from key stakeholders through remote interviews.</w:t>
      </w:r>
    </w:p>
    <w:p w14:paraId="4626535D" w14:textId="77777777" w:rsidR="007372B6" w:rsidRDefault="007372B6">
      <w:pPr>
        <w:tabs>
          <w:tab w:val="left" w:pos="-511"/>
        </w:tabs>
        <w:jc w:val="both"/>
      </w:pPr>
    </w:p>
    <w:p w14:paraId="4758F1AC" w14:textId="77777777" w:rsidR="007372B6" w:rsidRDefault="00000000">
      <w:pPr>
        <w:pStyle w:val="Heading2"/>
        <w:tabs>
          <w:tab w:val="left" w:pos="-511"/>
        </w:tabs>
        <w:spacing w:before="0" w:line="312" w:lineRule="auto"/>
        <w:jc w:val="both"/>
        <w:rPr>
          <w:i/>
          <w:iCs/>
        </w:rPr>
      </w:pPr>
      <w:r>
        <w:rPr>
          <w:rFonts w:eastAsia="Times New Roman" w:cs="MyriadPro-Bold"/>
          <w:i/>
          <w:iCs/>
          <w:color w:val="000000"/>
          <w:spacing w:val="-2"/>
          <w:lang w:val="en-GB" w:eastAsia="en-US"/>
        </w:rPr>
        <w:t>Home-based Desk Review</w:t>
      </w:r>
    </w:p>
    <w:p w14:paraId="3A3C39FD" w14:textId="77777777" w:rsidR="007372B6" w:rsidRDefault="00000000">
      <w:pPr>
        <w:tabs>
          <w:tab w:val="left" w:pos="-511"/>
        </w:tabs>
        <w:spacing w:line="312" w:lineRule="auto"/>
        <w:jc w:val="both"/>
        <w:rPr>
          <w:rFonts w:ascii="Calibri" w:hAnsi="Calibri" w:cs="MyriadPro-Bold"/>
          <w:bCs/>
          <w:sz w:val="22"/>
          <w:szCs w:val="22"/>
        </w:rPr>
      </w:pPr>
      <w:r>
        <w:rPr>
          <w:rFonts w:ascii="Calibri" w:hAnsi="Calibri" w:cs="MyriadPro-Bold"/>
          <w:bCs/>
          <w:color w:val="000000"/>
          <w:spacing w:val="-2"/>
          <w:sz w:val="22"/>
          <w:szCs w:val="22"/>
          <w:lang w:val="en-GB" w:eastAsia="en-US"/>
        </w:rPr>
        <w:t>13. During the desk review phase, the International Consultants reviewed a variety of documents, including the Project Document, Annual Project Reviews (APRs), Project Implementation Reviews (PIRs), project budget revisions, Mid Term Review (MTR) Report, Back to Office Reports (BTORs), national strategy  documents, minutes of Project Steering Committee (PSC) meetings, agreements signed by Implementing Partners, and other documents that were relevant for assessing project progress (see Annex 6).</w:t>
      </w:r>
    </w:p>
    <w:p w14:paraId="338964F8" w14:textId="77777777" w:rsidR="007372B6" w:rsidRDefault="007372B6">
      <w:pPr>
        <w:tabs>
          <w:tab w:val="left" w:pos="-511"/>
        </w:tabs>
        <w:jc w:val="both"/>
        <w:rPr>
          <w:rFonts w:ascii="Calibri" w:hAnsi="Calibri" w:cs="MyriadPro-Bold"/>
          <w:bCs/>
          <w:color w:val="000000"/>
          <w:spacing w:val="-2"/>
          <w:sz w:val="22"/>
          <w:szCs w:val="22"/>
          <w:shd w:val="clear" w:color="auto" w:fill="FFFF00"/>
          <w:lang w:val="en-GB" w:eastAsia="en-US"/>
        </w:rPr>
      </w:pPr>
    </w:p>
    <w:p w14:paraId="38F35191" w14:textId="77777777" w:rsidR="007372B6" w:rsidRDefault="00000000">
      <w:pPr>
        <w:tabs>
          <w:tab w:val="left" w:pos="-511"/>
        </w:tabs>
        <w:spacing w:line="312" w:lineRule="auto"/>
        <w:jc w:val="both"/>
        <w:rPr>
          <w:rFonts w:ascii="Calibri" w:hAnsi="Calibri" w:cs="MyriadPro-Bold"/>
          <w:bCs/>
          <w:sz w:val="22"/>
          <w:szCs w:val="22"/>
        </w:rPr>
      </w:pPr>
      <w:r>
        <w:rPr>
          <w:rFonts w:ascii="Calibri" w:hAnsi="Calibri" w:cs="MyriadPro-Bold"/>
          <w:bCs/>
          <w:color w:val="000000"/>
          <w:spacing w:val="-2"/>
          <w:sz w:val="22"/>
          <w:szCs w:val="22"/>
          <w:lang w:val="en-GB" w:eastAsia="en-US"/>
        </w:rPr>
        <w:t>14. It was anticipated that the TE would gather information through a combination of interviews and an online survey to about 50 individuals from a variety of representative stakeholder groups (UNDP, implementing partners, NGOs, national and local government representatives and members of the PSC). However, the team’s initial enquiries received a poor response to the proposed online surveys, following which it was realized that the majority of relevant project information was concentrated in a few individuals within the implementing partner organizations (government ministries and NGOs). Instead, emails were sent to 24 interview subjects, who were given a choice of participating in a remote interview or submitting written responses to a set of evaluation questions. The majority of stakeholders who responded (12) preferred to participate in a short Zoom interview, and only two individuals electing to submit written responses. This represents a 58 percent response rate. In addition, stakeholder interviews were conducted at the local administration and community levels in all 6 catchment areas by the National Consultant (see Annexes 5, 8, 9 and 10 for a list of stakeholders interviewed). In order to ensure frank and open discussion, all stakeholders were informed that their responses (whether verbal or written) would be fully confidential.</w:t>
      </w:r>
    </w:p>
    <w:p w14:paraId="698CE87D" w14:textId="77777777" w:rsidR="007372B6" w:rsidRDefault="007372B6">
      <w:pPr>
        <w:tabs>
          <w:tab w:val="left" w:pos="-511"/>
        </w:tabs>
        <w:jc w:val="both"/>
        <w:rPr>
          <w:rFonts w:ascii="Calibri" w:hAnsi="Calibri" w:cs="MyriadPro-Bold"/>
          <w:bCs/>
          <w:sz w:val="22"/>
          <w:szCs w:val="22"/>
        </w:rPr>
      </w:pPr>
    </w:p>
    <w:p w14:paraId="5DBFE1D1" w14:textId="77777777" w:rsidR="007372B6" w:rsidRDefault="00000000">
      <w:pPr>
        <w:tabs>
          <w:tab w:val="left" w:pos="-511"/>
        </w:tabs>
        <w:spacing w:line="288" w:lineRule="auto"/>
        <w:jc w:val="both"/>
        <w:rPr>
          <w:i/>
          <w:iCs/>
        </w:rPr>
      </w:pPr>
      <w:r>
        <w:rPr>
          <w:rFonts w:ascii="Calibri" w:hAnsi="Calibri" w:cs="MyriadPro-Bold"/>
          <w:b/>
          <w:bCs/>
          <w:i/>
          <w:iCs/>
          <w:color w:val="000000"/>
          <w:spacing w:val="-2"/>
          <w:sz w:val="22"/>
          <w:szCs w:val="22"/>
          <w:lang w:val="en-GB" w:eastAsia="en-US"/>
        </w:rPr>
        <w:t>Stakeholder Consultations</w:t>
      </w:r>
    </w:p>
    <w:p w14:paraId="25470A09" w14:textId="77777777" w:rsidR="007372B6" w:rsidRDefault="00000000">
      <w:pPr>
        <w:tabs>
          <w:tab w:val="left" w:pos="-511"/>
        </w:tabs>
        <w:spacing w:line="312" w:lineRule="auto"/>
        <w:jc w:val="both"/>
        <w:rPr>
          <w:color w:val="000000" w:themeColor="text1"/>
        </w:rPr>
      </w:pPr>
      <w:r>
        <w:rPr>
          <w:rFonts w:ascii="Calibri" w:hAnsi="Calibri" w:cs="MyriadPro-Bold"/>
          <w:bCs/>
          <w:color w:val="000000" w:themeColor="text1"/>
          <w:spacing w:val="-2"/>
          <w:sz w:val="22"/>
          <w:szCs w:val="22"/>
          <w:lang w:val="en-GB" w:eastAsia="en-US"/>
        </w:rPr>
        <w:lastRenderedPageBreak/>
        <w:t xml:space="preserve">15. Given the short timeframe to cover the wide range of stakeholders, interviews with the </w:t>
      </w:r>
      <w:proofErr w:type="gramStart"/>
      <w:r>
        <w:rPr>
          <w:rFonts w:ascii="Calibri" w:hAnsi="Calibri" w:cs="MyriadPro-Bold"/>
          <w:bCs/>
          <w:color w:val="000000" w:themeColor="text1"/>
          <w:spacing w:val="-2"/>
          <w:sz w:val="22"/>
          <w:szCs w:val="22"/>
          <w:lang w:val="en-GB" w:eastAsia="en-US"/>
        </w:rPr>
        <w:t>Government  and</w:t>
      </w:r>
      <w:proofErr w:type="gramEnd"/>
      <w:r>
        <w:rPr>
          <w:rFonts w:ascii="Calibri" w:hAnsi="Calibri" w:cs="MyriadPro-Bold"/>
          <w:bCs/>
          <w:color w:val="000000" w:themeColor="text1"/>
          <w:spacing w:val="-2"/>
          <w:sz w:val="22"/>
          <w:szCs w:val="22"/>
          <w:lang w:val="en-GB" w:eastAsia="en-US"/>
        </w:rPr>
        <w:t xml:space="preserve"> Project Management and Implementation Partners were carried out by the International Consultants, while the National Consultant focused on interviews with local administration and in the communities (see Annexes 5, 8, 9 and 10 for a full breakdown of stakeholders consulted).</w:t>
      </w:r>
    </w:p>
    <w:p w14:paraId="3158BF75" w14:textId="77777777" w:rsidR="007372B6" w:rsidRDefault="007372B6">
      <w:pPr>
        <w:pStyle w:val="Default0"/>
        <w:tabs>
          <w:tab w:val="left" w:pos="-511"/>
        </w:tabs>
        <w:jc w:val="both"/>
        <w:rPr>
          <w:rFonts w:eastAsia="Times New Roman" w:cs="MyriadPro-Bold"/>
          <w:bCs/>
          <w:spacing w:val="-2"/>
          <w:sz w:val="22"/>
          <w:szCs w:val="22"/>
          <w:lang w:val="en-GB"/>
        </w:rPr>
      </w:pPr>
    </w:p>
    <w:p w14:paraId="34B5AA38" w14:textId="77777777" w:rsidR="007372B6" w:rsidRDefault="00000000">
      <w:pPr>
        <w:pStyle w:val="Default0"/>
        <w:tabs>
          <w:tab w:val="left" w:pos="-511"/>
        </w:tabs>
        <w:spacing w:line="312" w:lineRule="auto"/>
        <w:jc w:val="both"/>
        <w:rPr>
          <w:rFonts w:eastAsia="Times New Roman" w:cs="MyriadPro-Bold"/>
          <w:bCs/>
          <w:spacing w:val="-2"/>
          <w:sz w:val="22"/>
          <w:szCs w:val="22"/>
          <w:lang w:val="en-GB"/>
        </w:rPr>
      </w:pPr>
      <w:r>
        <w:rPr>
          <w:rFonts w:eastAsia="Times New Roman" w:cs="MyriadPro-Bold"/>
          <w:bCs/>
          <w:spacing w:val="-2"/>
          <w:sz w:val="22"/>
          <w:szCs w:val="22"/>
          <w:lang w:val="en-GB"/>
        </w:rPr>
        <w:t>16. Consultations for the TE included remote interviews with a representative sample of project stakeholders, including project staff from the UNDP implementing office in Fiji, staff from UNDP’s Regional Office in Bangkok, the former R2R Chief Technical Adviser (CTA) based in Manila, senior staff from relevant government ministries, consultants who had worked on the project, community leaders and representatives from the catchment areas, and staff from several NGO Implementing Partners (Annex 5).</w:t>
      </w:r>
    </w:p>
    <w:p w14:paraId="38500175" w14:textId="77777777" w:rsidR="007372B6" w:rsidRDefault="007372B6">
      <w:pPr>
        <w:tabs>
          <w:tab w:val="left" w:pos="-511"/>
        </w:tabs>
        <w:jc w:val="both"/>
        <w:rPr>
          <w:rFonts w:ascii="Calibri" w:hAnsi="Calibri" w:cs="MyriadPro-Bold"/>
          <w:bCs/>
          <w:color w:val="000000"/>
          <w:spacing w:val="-2"/>
          <w:sz w:val="22"/>
          <w:szCs w:val="22"/>
          <w:lang w:val="en-GB" w:eastAsia="en-US"/>
        </w:rPr>
      </w:pPr>
    </w:p>
    <w:p w14:paraId="7054BA8B" w14:textId="77777777" w:rsidR="007372B6" w:rsidRDefault="00000000">
      <w:pPr>
        <w:tabs>
          <w:tab w:val="left" w:pos="-511"/>
        </w:tabs>
        <w:spacing w:line="312" w:lineRule="auto"/>
        <w:jc w:val="both"/>
        <w:rPr>
          <w:rFonts w:ascii="Calibri" w:hAnsi="Calibri" w:cs="MyriadPro-Bold"/>
          <w:bCs/>
          <w:sz w:val="22"/>
          <w:szCs w:val="22"/>
        </w:rPr>
      </w:pPr>
      <w:r>
        <w:rPr>
          <w:rFonts w:ascii="Calibri" w:hAnsi="Calibri" w:cs="MyriadPro-Bold"/>
          <w:bCs/>
          <w:color w:val="000000"/>
          <w:spacing w:val="-2"/>
          <w:sz w:val="22"/>
          <w:szCs w:val="22"/>
          <w:lang w:val="en-GB" w:eastAsia="en-US"/>
        </w:rPr>
        <w:t>17. In addition, the TE team tried to gather project related data from the R2R Project Management Team and the UNDP country office by sending</w:t>
      </w:r>
      <w:r>
        <w:rPr>
          <w:rFonts w:ascii="Calibri" w:hAnsi="Calibri" w:cs="Tahoma"/>
          <w:bCs/>
          <w:color w:val="0A0A0A"/>
          <w:spacing w:val="-2"/>
          <w:sz w:val="22"/>
          <w:szCs w:val="22"/>
          <w:lang w:val="en-GB" w:eastAsia="en-US"/>
        </w:rPr>
        <w:t xml:space="preserve"> a series of tables and templates and </w:t>
      </w:r>
      <w:r>
        <w:rPr>
          <w:rFonts w:ascii="Calibri" w:hAnsi="Calibri" w:cs="MyriadPro-Bold"/>
          <w:bCs/>
          <w:color w:val="000000"/>
          <w:spacing w:val="-2"/>
          <w:sz w:val="22"/>
          <w:szCs w:val="22"/>
          <w:lang w:val="en-GB" w:eastAsia="en-US"/>
        </w:rPr>
        <w:t>requesting updated information on the progress of project activities and financial information, which was to be sent back to the International Consultants. However, the updated information requested was not provided. As a result, the TE was not able to complete the full analysis of all project outcomes and financial information (see gaps in Annexes 3, 4 and 11).</w:t>
      </w:r>
    </w:p>
    <w:p w14:paraId="7D856CEA" w14:textId="77777777" w:rsidR="007372B6" w:rsidRDefault="007372B6">
      <w:pPr>
        <w:tabs>
          <w:tab w:val="left" w:pos="-511"/>
        </w:tabs>
        <w:jc w:val="both"/>
        <w:rPr>
          <w:rFonts w:ascii="Calibri" w:hAnsi="Calibri" w:cs="MyriadPro-Bold"/>
          <w:bCs/>
          <w:sz w:val="22"/>
          <w:szCs w:val="22"/>
        </w:rPr>
      </w:pPr>
    </w:p>
    <w:p w14:paraId="02B0481E" w14:textId="77777777" w:rsidR="007372B6" w:rsidRDefault="00000000">
      <w:pPr>
        <w:tabs>
          <w:tab w:val="left" w:pos="-511"/>
        </w:tabs>
        <w:spacing w:line="312" w:lineRule="auto"/>
        <w:jc w:val="both"/>
        <w:rPr>
          <w:rFonts w:ascii="Calibri" w:hAnsi="Calibri" w:cs="MyriadPro-Bold"/>
          <w:bCs/>
          <w:sz w:val="22"/>
          <w:szCs w:val="22"/>
        </w:rPr>
      </w:pPr>
      <w:r>
        <w:rPr>
          <w:rFonts w:ascii="Calibri" w:hAnsi="Calibri" w:cs="MyriadPro-Bold"/>
          <w:bCs/>
          <w:color w:val="0A0A0A"/>
          <w:sz w:val="22"/>
          <w:szCs w:val="22"/>
          <w:lang w:eastAsia="en-US"/>
        </w:rPr>
        <w:t>18. The</w:t>
      </w:r>
      <w:r>
        <w:rPr>
          <w:rFonts w:ascii="Calibri" w:eastAsia="Calibri" w:hAnsi="Calibri" w:cs="MyriadPro-Bold"/>
          <w:bCs/>
          <w:color w:val="000000"/>
          <w:sz w:val="22"/>
          <w:szCs w:val="22"/>
          <w:lang w:val="en-CA" w:eastAsia="en-US"/>
        </w:rPr>
        <w:t xml:space="preserve"> National Evaluation Consultant was able to support the International Evaluation Consultants by undertaking field visits to all 6 catchment sites, holding meetings and interviews with local administration and community stakeholders and undertaking observations of project activities on the ground</w:t>
      </w:r>
      <w:r>
        <w:rPr>
          <w:rFonts w:ascii="Calibri" w:eastAsia="Calibri" w:hAnsi="Calibri" w:cs="Calibri"/>
          <w:bCs/>
          <w:color w:val="000000"/>
          <w:sz w:val="22"/>
          <w:szCs w:val="22"/>
          <w:lang w:val="en-CA"/>
        </w:rPr>
        <w:t xml:space="preserve"> (see Annexes 8, 9 and 10 for a synopsis of the field m</w:t>
      </w:r>
      <w:r>
        <w:rPr>
          <w:rFonts w:asciiTheme="minorHAnsi" w:eastAsiaTheme="minorHAnsi" w:hAnsiTheme="minorHAnsi" w:cstheme="minorHAnsi"/>
          <w:color w:val="000000"/>
          <w:sz w:val="22"/>
          <w:szCs w:val="22"/>
          <w:lang w:val="en-CA" w:eastAsia="en-US"/>
        </w:rPr>
        <w:t>ission</w:t>
      </w:r>
      <w:r>
        <w:rPr>
          <w:rFonts w:ascii="Calibri" w:eastAsia="Calibri" w:hAnsi="Calibri" w:cs="Calibri"/>
          <w:bCs/>
          <w:color w:val="000000"/>
          <w:sz w:val="22"/>
          <w:szCs w:val="22"/>
          <w:lang w:val="en-CA"/>
        </w:rPr>
        <w:t>).</w:t>
      </w:r>
    </w:p>
    <w:p w14:paraId="3FCB6B29" w14:textId="77777777" w:rsidR="007372B6" w:rsidRDefault="007372B6">
      <w:pPr>
        <w:tabs>
          <w:tab w:val="left" w:pos="-511"/>
        </w:tabs>
        <w:jc w:val="both"/>
        <w:rPr>
          <w:rFonts w:ascii="Calibri" w:hAnsi="Calibri" w:cs="MyriadPro-Bold"/>
          <w:bCs/>
          <w:sz w:val="22"/>
          <w:szCs w:val="22"/>
        </w:rPr>
      </w:pPr>
    </w:p>
    <w:p w14:paraId="79DAC994" w14:textId="77777777" w:rsidR="007372B6" w:rsidRDefault="00000000">
      <w:pPr>
        <w:pStyle w:val="Heading2"/>
        <w:tabs>
          <w:tab w:val="left" w:pos="-511"/>
        </w:tabs>
        <w:spacing w:before="0" w:after="113" w:line="312" w:lineRule="auto"/>
        <w:contextualSpacing/>
        <w:jc w:val="both"/>
        <w:rPr>
          <w:b w:val="0"/>
          <w:bCs w:val="0"/>
          <w:i/>
          <w:iCs/>
        </w:rPr>
      </w:pPr>
      <w:r>
        <w:rPr>
          <w:rFonts w:cs="MyriadPro-Bold"/>
          <w:b w:val="0"/>
          <w:bCs w:val="0"/>
          <w:i/>
          <w:iCs/>
          <w:color w:val="000000"/>
          <w:lang w:val="en-GB" w:eastAsia="en-US"/>
        </w:rPr>
        <w:tab/>
        <w:t>2.3.3</w:t>
      </w:r>
      <w:r>
        <w:rPr>
          <w:rFonts w:cs="MyriadPro-Bold"/>
          <w:b w:val="0"/>
          <w:bCs w:val="0"/>
          <w:i/>
          <w:iCs/>
          <w:color w:val="000000"/>
          <w:lang w:val="en-GB" w:eastAsia="en-US"/>
        </w:rPr>
        <w:tab/>
        <w:t>Data Collection, Analysis &amp; Triangulation</w:t>
      </w:r>
    </w:p>
    <w:p w14:paraId="597420C2" w14:textId="77777777" w:rsidR="007372B6" w:rsidRDefault="00000000">
      <w:pPr>
        <w:pStyle w:val="Default0"/>
        <w:tabs>
          <w:tab w:val="left" w:pos="-511"/>
        </w:tabs>
        <w:spacing w:line="312" w:lineRule="auto"/>
        <w:jc w:val="both"/>
        <w:rPr>
          <w:rFonts w:cs="MyriadPro-Bold"/>
          <w:bCs/>
          <w:sz w:val="22"/>
          <w:szCs w:val="22"/>
        </w:rPr>
      </w:pPr>
      <w:r>
        <w:rPr>
          <w:rFonts w:cs="MyriadPro-Bold"/>
          <w:bCs/>
          <w:sz w:val="22"/>
          <w:szCs w:val="22"/>
        </w:rPr>
        <w:t xml:space="preserve">19. Information to support the TE was collected from a variety of sources (primary, secondary and subjective information).  </w:t>
      </w:r>
    </w:p>
    <w:p w14:paraId="5719A531" w14:textId="77777777" w:rsidR="007372B6" w:rsidRDefault="007372B6">
      <w:pPr>
        <w:pStyle w:val="Default0"/>
        <w:tabs>
          <w:tab w:val="left" w:pos="-511"/>
        </w:tabs>
        <w:jc w:val="both"/>
        <w:rPr>
          <w:rFonts w:cs="MyriadPro-Bold"/>
          <w:bCs/>
          <w:sz w:val="22"/>
          <w:szCs w:val="22"/>
        </w:rPr>
      </w:pPr>
    </w:p>
    <w:p w14:paraId="0DE3262A" w14:textId="77777777" w:rsidR="007372B6" w:rsidRDefault="00000000">
      <w:pPr>
        <w:tabs>
          <w:tab w:val="left" w:pos="-511"/>
        </w:tabs>
        <w:spacing w:after="113" w:line="312" w:lineRule="auto"/>
        <w:contextualSpacing/>
        <w:jc w:val="both"/>
        <w:rPr>
          <w:b/>
          <w:bCs/>
          <w:i/>
          <w:iCs/>
        </w:rPr>
      </w:pPr>
      <w:r>
        <w:rPr>
          <w:rFonts w:ascii="Calibri" w:hAnsi="Calibri" w:cs="MyriadPro-Bold"/>
          <w:b/>
          <w:bCs/>
          <w:i/>
          <w:iCs/>
          <w:color w:val="000000"/>
          <w:sz w:val="22"/>
          <w:szCs w:val="22"/>
          <w:lang w:val="en-GB" w:eastAsia="en-US"/>
        </w:rPr>
        <w:t>Data Collection</w:t>
      </w:r>
    </w:p>
    <w:p w14:paraId="5E3BD92C" w14:textId="77777777" w:rsidR="007372B6" w:rsidRDefault="00000000">
      <w:pPr>
        <w:tabs>
          <w:tab w:val="left" w:pos="-511"/>
        </w:tabs>
        <w:spacing w:after="113" w:line="312" w:lineRule="auto"/>
        <w:contextualSpacing/>
        <w:jc w:val="both"/>
        <w:rPr>
          <w:rFonts w:ascii="Calibri" w:hAnsi="Calibri" w:cs="MyriadPro-Bold"/>
          <w:bCs/>
          <w:sz w:val="22"/>
          <w:szCs w:val="22"/>
        </w:rPr>
      </w:pPr>
      <w:r>
        <w:rPr>
          <w:rFonts w:ascii="Calibri" w:hAnsi="Calibri" w:cs="MyriadPro-Bold"/>
          <w:bCs/>
          <w:color w:val="000000"/>
          <w:sz w:val="22"/>
          <w:szCs w:val="22"/>
          <w:lang w:val="en-GB" w:eastAsia="en-US"/>
        </w:rPr>
        <w:t>20. Data collection tasks were assisted by a number of tools and instruments used to gather information from a wide selection of document sources, beneficiary stakeholders and implementation partners:</w:t>
      </w:r>
    </w:p>
    <w:p w14:paraId="39074480" w14:textId="77777777" w:rsidR="007372B6" w:rsidRDefault="00000000">
      <w:pPr>
        <w:pStyle w:val="ListParagraph"/>
        <w:tabs>
          <w:tab w:val="left" w:pos="-511"/>
        </w:tabs>
        <w:spacing w:after="113" w:line="312" w:lineRule="auto"/>
        <w:ind w:left="567"/>
        <w:jc w:val="both"/>
      </w:pPr>
      <w:r>
        <w:rPr>
          <w:rFonts w:ascii="Calibri" w:hAnsi="Calibri" w:cs="MyriadPro-Bold"/>
          <w:b/>
          <w:bCs/>
          <w:color w:val="000000"/>
          <w:sz w:val="22"/>
          <w:szCs w:val="22"/>
          <w:lang w:val="en-GB" w:eastAsia="en-US"/>
        </w:rPr>
        <w:t>a) Literature review</w:t>
      </w:r>
      <w:r>
        <w:rPr>
          <w:rFonts w:ascii="Calibri" w:hAnsi="Calibri" w:cs="MyriadPro-Bold"/>
          <w:bCs/>
          <w:color w:val="000000"/>
          <w:sz w:val="22"/>
          <w:szCs w:val="22"/>
          <w:lang w:val="en-GB" w:eastAsia="en-US"/>
        </w:rPr>
        <w:t xml:space="preserve">: the International Evaluation Consultants undertook an </w:t>
      </w:r>
      <w:proofErr w:type="gramStart"/>
      <w:r>
        <w:rPr>
          <w:rFonts w:ascii="Calibri" w:hAnsi="Calibri" w:cs="MyriadPro-Bold"/>
          <w:bCs/>
          <w:color w:val="000000"/>
          <w:sz w:val="22"/>
          <w:szCs w:val="22"/>
          <w:lang w:val="en-GB" w:eastAsia="en-US"/>
        </w:rPr>
        <w:t>in depth</w:t>
      </w:r>
      <w:proofErr w:type="gramEnd"/>
      <w:r>
        <w:rPr>
          <w:rFonts w:ascii="Calibri" w:hAnsi="Calibri" w:cs="MyriadPro-Bold"/>
          <w:bCs/>
          <w:color w:val="000000"/>
          <w:sz w:val="22"/>
          <w:szCs w:val="22"/>
          <w:lang w:val="en-GB" w:eastAsia="en-US"/>
        </w:rPr>
        <w:t xml:space="preserve"> review of project documents, technical studies, monitoring reports on outcome achievement, financial reports, steering committee meeting minutes, BTOR and PIR reports, among others (see Annex 5);</w:t>
      </w:r>
    </w:p>
    <w:p w14:paraId="66DBC255" w14:textId="77777777" w:rsidR="007372B6" w:rsidRDefault="00000000">
      <w:pPr>
        <w:pStyle w:val="ListParagraph"/>
        <w:tabs>
          <w:tab w:val="left" w:pos="-511"/>
        </w:tabs>
        <w:spacing w:before="113" w:after="113" w:line="312" w:lineRule="auto"/>
        <w:ind w:left="567"/>
        <w:jc w:val="both"/>
        <w:rPr>
          <w:b/>
          <w:bCs/>
        </w:rPr>
      </w:pPr>
      <w:r>
        <w:rPr>
          <w:rFonts w:ascii="Calibri" w:hAnsi="Calibri" w:cs="MyriadPro-Bold"/>
          <w:b/>
          <w:bCs/>
          <w:color w:val="000000"/>
          <w:sz w:val="22"/>
          <w:szCs w:val="22"/>
          <w:lang w:val="en-GB" w:eastAsia="en-US"/>
        </w:rPr>
        <w:t>b) Tables on outcome achievement and financial data</w:t>
      </w:r>
      <w:r>
        <w:rPr>
          <w:rFonts w:ascii="Calibri" w:hAnsi="Calibri" w:cs="MyriadPro-Bold"/>
          <w:color w:val="000000"/>
          <w:sz w:val="22"/>
          <w:szCs w:val="22"/>
          <w:lang w:val="en-GB" w:eastAsia="en-US"/>
        </w:rPr>
        <w:t xml:space="preserve">: the International Evaluation Consultants tried to obtain </w:t>
      </w:r>
      <w:r>
        <w:rPr>
          <w:rFonts w:ascii="Calibri" w:hAnsi="Calibri" w:cs="MyriadPro-Bold"/>
          <w:bCs/>
          <w:sz w:val="22"/>
          <w:szCs w:val="22"/>
        </w:rPr>
        <w:t>updated information from project staff by compiling tables of existing outcome achievements, training/capacity building activities, and budgets and expenditures, and asked project staff to complete the missing data (see Annex 4);</w:t>
      </w:r>
    </w:p>
    <w:p w14:paraId="17BB1CEF" w14:textId="77777777" w:rsidR="007372B6" w:rsidRDefault="00000000">
      <w:pPr>
        <w:pStyle w:val="ListParagraph"/>
        <w:tabs>
          <w:tab w:val="left" w:pos="-511"/>
        </w:tabs>
        <w:spacing w:after="113" w:line="312" w:lineRule="auto"/>
        <w:ind w:left="567"/>
        <w:jc w:val="both"/>
      </w:pPr>
      <w:r>
        <w:rPr>
          <w:rFonts w:ascii="Calibri" w:hAnsi="Calibri" w:cs="MyriadPro-Bold"/>
          <w:b/>
          <w:bCs/>
          <w:color w:val="000000"/>
          <w:sz w:val="22"/>
          <w:szCs w:val="22"/>
          <w:lang w:val="en-GB" w:eastAsia="en-US"/>
        </w:rPr>
        <w:t>c) Interviews with a representative sample of project beneficiaries and stakeholders</w:t>
      </w:r>
      <w:r>
        <w:rPr>
          <w:rFonts w:ascii="Calibri" w:hAnsi="Calibri" w:cs="MyriadPro-Bold"/>
          <w:color w:val="000000"/>
          <w:sz w:val="22"/>
          <w:szCs w:val="22"/>
          <w:lang w:val="en-GB" w:eastAsia="en-US"/>
        </w:rPr>
        <w:t>: The evaluation team interviewed</w:t>
      </w:r>
      <w:r>
        <w:rPr>
          <w:rFonts w:ascii="Calibri" w:hAnsi="Calibri" w:cs="MyriadPro-Bold"/>
          <w:bCs/>
          <w:color w:val="000000"/>
          <w:sz w:val="22"/>
          <w:szCs w:val="22"/>
          <w:lang w:val="en-GB" w:eastAsia="en-US"/>
        </w:rPr>
        <w:t xml:space="preserve"> a sample of key stakeholders about their experience with project activities, based on their level of knowledge and availability.</w:t>
      </w:r>
      <w:r>
        <w:rPr>
          <w:rFonts w:ascii="Calibri" w:hAnsi="Calibri" w:cs="MyriadPro-Bold"/>
          <w:sz w:val="22"/>
          <w:szCs w:val="22"/>
        </w:rPr>
        <w:t xml:space="preserve"> The selection of key respondents was</w:t>
      </w:r>
      <w:r>
        <w:rPr>
          <w:rFonts w:ascii="Calibri" w:hAnsi="Calibri" w:cs="MyriadPro-Bold"/>
          <w:bCs/>
          <w:sz w:val="22"/>
          <w:szCs w:val="22"/>
        </w:rPr>
        <w:t xml:space="preserve"> </w:t>
      </w:r>
      <w:r>
        <w:rPr>
          <w:rFonts w:ascii="Calibri" w:hAnsi="Calibri" w:cs="MyriadPro-Bold"/>
          <w:bCs/>
          <w:sz w:val="22"/>
          <w:szCs w:val="22"/>
        </w:rPr>
        <w:lastRenderedPageBreak/>
        <w:t xml:space="preserve">done in conjunction with the </w:t>
      </w:r>
      <w:r>
        <w:rPr>
          <w:rFonts w:ascii="Calibri" w:hAnsi="Calibri" w:cs="MyriadPro-Bold"/>
          <w:bCs/>
          <w:sz w:val="22"/>
          <w:szCs w:val="22"/>
          <w:lang w:eastAsia="en-US"/>
        </w:rPr>
        <w:t xml:space="preserve">UNDP </w:t>
      </w:r>
      <w:r>
        <w:rPr>
          <w:rFonts w:ascii="Calibri" w:hAnsi="Calibri" w:cs="MyriadPro-Bold"/>
          <w:sz w:val="22"/>
          <w:szCs w:val="22"/>
          <w:lang w:eastAsia="en-US"/>
        </w:rPr>
        <w:t>project management team</w:t>
      </w:r>
      <w:r>
        <w:rPr>
          <w:rFonts w:ascii="Calibri" w:hAnsi="Calibri" w:cs="MyriadPro-Bold"/>
          <w:bCs/>
          <w:sz w:val="22"/>
          <w:szCs w:val="22"/>
          <w:lang w:eastAsia="en-US"/>
        </w:rPr>
        <w:t xml:space="preserve"> in UNDP’s Fiji Office. Other interviews were arranged based on information gathered from project implementation documents, such as consultants engaged to undertake various activities (see Annex 5).</w:t>
      </w:r>
    </w:p>
    <w:p w14:paraId="0051BF71" w14:textId="77777777" w:rsidR="007372B6" w:rsidRDefault="00000000">
      <w:pPr>
        <w:pStyle w:val="ListParagraph"/>
        <w:tabs>
          <w:tab w:val="left" w:pos="-511"/>
        </w:tabs>
        <w:spacing w:before="113" w:line="312" w:lineRule="auto"/>
        <w:ind w:left="567"/>
        <w:jc w:val="both"/>
        <w:rPr>
          <w:rFonts w:ascii="Calibri" w:hAnsi="Calibri" w:cs="MyriadPro-Bold"/>
          <w:bCs/>
          <w:sz w:val="22"/>
          <w:szCs w:val="22"/>
        </w:rPr>
      </w:pPr>
      <w:r>
        <w:rPr>
          <w:rFonts w:ascii="Calibri" w:hAnsi="Calibri" w:cs="MyriadPro-Bold"/>
          <w:b/>
          <w:bCs/>
          <w:color w:val="000000"/>
          <w:sz w:val="22"/>
          <w:szCs w:val="22"/>
          <w:lang w:val="en-GB" w:eastAsia="en-US"/>
        </w:rPr>
        <w:t>d) An</w:t>
      </w:r>
      <w:r>
        <w:rPr>
          <w:rFonts w:ascii="Calibri" w:hAnsi="Calibri" w:cs="MyriadPro-Bold"/>
          <w:bCs/>
          <w:color w:val="000000"/>
          <w:sz w:val="22"/>
          <w:szCs w:val="22"/>
          <w:lang w:val="en-GB" w:eastAsia="en-US"/>
        </w:rPr>
        <w:t xml:space="preserve"> </w:t>
      </w:r>
      <w:r>
        <w:rPr>
          <w:rFonts w:ascii="Calibri" w:hAnsi="Calibri" w:cs="MyriadPro-Bold"/>
          <w:b/>
          <w:bCs/>
          <w:color w:val="000000"/>
          <w:sz w:val="22"/>
          <w:szCs w:val="22"/>
          <w:lang w:val="en-GB" w:eastAsia="en-US"/>
        </w:rPr>
        <w:t>Interview Guide</w:t>
      </w:r>
      <w:r>
        <w:rPr>
          <w:rFonts w:ascii="Calibri" w:hAnsi="Calibri" w:cs="MyriadPro-Bold"/>
          <w:bCs/>
          <w:color w:val="000000"/>
          <w:sz w:val="22"/>
          <w:szCs w:val="22"/>
          <w:lang w:val="en-GB" w:eastAsia="en-US"/>
        </w:rPr>
        <w:t xml:space="preserve"> was used containing lead questions on several lines of enquiry related to project design, project results, implementation partnerships and management, and exit strategy/sustainability, with the aim to facilitate consistency and triangulation of responses from those interviewed. The interviews involved </w:t>
      </w:r>
      <w:r>
        <w:rPr>
          <w:rFonts w:ascii="Calibri" w:hAnsi="Calibri" w:cs="MyriadPro-Bold"/>
          <w:bCs/>
          <w:color w:val="000000"/>
          <w:spacing w:val="-2"/>
          <w:sz w:val="22"/>
          <w:szCs w:val="22"/>
          <w:lang w:val="en-GB" w:eastAsia="en-US"/>
        </w:rPr>
        <w:t>open-ended questions</w:t>
      </w:r>
      <w:r>
        <w:rPr>
          <w:rFonts w:ascii="Calibri" w:hAnsi="Calibri" w:cs="MyriadPro-Bold"/>
          <w:bCs/>
          <w:color w:val="000000"/>
          <w:sz w:val="22"/>
          <w:szCs w:val="22"/>
          <w:lang w:val="en-GB" w:eastAsia="en-US"/>
        </w:rPr>
        <w:t xml:space="preserve">, where lines of inquiry were </w:t>
      </w:r>
      <w:r>
        <w:rPr>
          <w:rFonts w:ascii="Calibri" w:eastAsia="Calibri" w:hAnsi="Calibri" w:cs="MyriadPro-Bold"/>
          <w:bCs/>
          <w:color w:val="000000"/>
          <w:spacing w:val="-2"/>
          <w:sz w:val="22"/>
          <w:szCs w:val="22"/>
          <w:lang w:val="en-CA" w:eastAsia="en-US"/>
        </w:rPr>
        <w:t>adapted to the context of the individuals, and</w:t>
      </w:r>
      <w:r>
        <w:rPr>
          <w:rFonts w:ascii="Calibri" w:hAnsi="Calibri" w:cs="MyriadPro-Bold"/>
          <w:bCs/>
          <w:color w:val="000000"/>
          <w:sz w:val="22"/>
          <w:szCs w:val="22"/>
          <w:lang w:val="en-GB" w:eastAsia="en-US"/>
        </w:rPr>
        <w:t xml:space="preserve"> focused on the important details (opinion and knowledge) of the particular respondents. The interview notes were consolidated with other information gathered, which was used to </w:t>
      </w:r>
      <w:r>
        <w:rPr>
          <w:rFonts w:ascii="Calibri" w:hAnsi="Calibri" w:cs="MyriadPro-Bold"/>
          <w:bCs/>
          <w:color w:val="000000"/>
          <w:spacing w:val="-2"/>
          <w:sz w:val="22"/>
          <w:szCs w:val="22"/>
          <w:lang w:val="en-GB" w:eastAsia="en-US"/>
        </w:rPr>
        <w:t>provide an assessment of the status and progress of the project toward its intended objective and outcomes. The majority of interviews involved the use of remote technology (Zoom and WhatsApp).</w:t>
      </w:r>
    </w:p>
    <w:p w14:paraId="5B29F185" w14:textId="77777777" w:rsidR="007372B6" w:rsidRDefault="00000000">
      <w:pPr>
        <w:tabs>
          <w:tab w:val="left" w:pos="-511"/>
        </w:tabs>
        <w:spacing w:line="312" w:lineRule="auto"/>
        <w:ind w:left="567"/>
        <w:contextualSpacing/>
        <w:jc w:val="both"/>
        <w:rPr>
          <w:strike/>
        </w:rPr>
      </w:pPr>
      <w:r>
        <w:rPr>
          <w:rFonts w:ascii="Calibri" w:hAnsi="Calibri" w:cs="MyriadPro-Bold"/>
          <w:b/>
          <w:bCs/>
          <w:color w:val="000000"/>
          <w:sz w:val="22"/>
          <w:szCs w:val="22"/>
          <w:lang w:eastAsia="en-US"/>
        </w:rPr>
        <w:t>e) Field Visits</w:t>
      </w:r>
      <w:r>
        <w:rPr>
          <w:rFonts w:ascii="Calibri" w:hAnsi="Calibri" w:cs="MyriadPro-Bold"/>
          <w:color w:val="000000"/>
          <w:sz w:val="22"/>
          <w:szCs w:val="22"/>
          <w:lang w:eastAsia="en-US"/>
        </w:rPr>
        <w:t xml:space="preserve">: </w:t>
      </w:r>
      <w:r>
        <w:rPr>
          <w:rFonts w:ascii="Calibri" w:hAnsi="Calibri" w:cs="MyriadPro-Bold"/>
          <w:bCs/>
          <w:color w:val="000000"/>
          <w:sz w:val="22"/>
          <w:szCs w:val="22"/>
          <w:lang w:eastAsia="en-US"/>
        </w:rPr>
        <w:t>The TE involved a series of field visits intended to assess the activities and achievements of local interventions which were aimed at establishing integrated watershed and coastal management at</w:t>
      </w:r>
      <w:r>
        <w:rPr>
          <w:rFonts w:ascii="Calibri" w:hAnsi="Calibri" w:cs="MyriadPro-Bold"/>
          <w:iCs/>
          <w:color w:val="000000"/>
          <w:sz w:val="22"/>
          <w:szCs w:val="22"/>
          <w:lang w:eastAsia="en-US"/>
        </w:rPr>
        <w:t xml:space="preserve"> the 6 pilot catchments. Field visits to </w:t>
      </w:r>
      <w:proofErr w:type="spellStart"/>
      <w:r>
        <w:rPr>
          <w:rFonts w:ascii="Calibri" w:hAnsi="Calibri" w:cs="MyriadPro-Bold"/>
          <w:iCs/>
          <w:color w:val="000000"/>
          <w:sz w:val="22"/>
          <w:szCs w:val="22"/>
          <w:lang w:eastAsia="en-US"/>
        </w:rPr>
        <w:t>Rewa-Waidina</w:t>
      </w:r>
      <w:proofErr w:type="spellEnd"/>
      <w:r>
        <w:rPr>
          <w:rFonts w:ascii="Calibri" w:hAnsi="Calibri" w:cs="MyriadPro-Bold"/>
          <w:iCs/>
          <w:color w:val="000000"/>
          <w:sz w:val="22"/>
          <w:szCs w:val="22"/>
          <w:lang w:eastAsia="en-US"/>
        </w:rPr>
        <w:t>, Tuva</w:t>
      </w:r>
      <w:r>
        <w:rPr>
          <w:rFonts w:ascii="Calibri" w:hAnsi="Calibri" w:cs="MyriadPro-Bold"/>
          <w:color w:val="000000"/>
          <w:sz w:val="22"/>
          <w:szCs w:val="22"/>
          <w:lang w:eastAsia="en-US"/>
        </w:rPr>
        <w:t xml:space="preserve"> and Ba on the island of Viti </w:t>
      </w:r>
      <w:proofErr w:type="spellStart"/>
      <w:r>
        <w:rPr>
          <w:rFonts w:ascii="Calibri" w:hAnsi="Calibri" w:cs="MyriadPro-Bold"/>
          <w:color w:val="000000"/>
          <w:sz w:val="22"/>
          <w:szCs w:val="22"/>
          <w:lang w:eastAsia="en-US"/>
        </w:rPr>
        <w:t>Levu</w:t>
      </w:r>
      <w:proofErr w:type="spellEnd"/>
      <w:r>
        <w:rPr>
          <w:rFonts w:ascii="Calibri" w:hAnsi="Calibri" w:cs="MyriadPro-Bold"/>
          <w:color w:val="000000"/>
          <w:sz w:val="22"/>
          <w:szCs w:val="22"/>
          <w:lang w:eastAsia="en-US"/>
        </w:rPr>
        <w:t xml:space="preserve"> and Labasa, </w:t>
      </w:r>
      <w:proofErr w:type="spellStart"/>
      <w:r>
        <w:rPr>
          <w:rFonts w:ascii="Calibri" w:hAnsi="Calibri" w:cs="MyriadPro-Bold"/>
          <w:color w:val="000000"/>
          <w:sz w:val="22"/>
          <w:szCs w:val="22"/>
          <w:lang w:eastAsia="en-US"/>
        </w:rPr>
        <w:t>Vunivia</w:t>
      </w:r>
      <w:proofErr w:type="spellEnd"/>
      <w:r>
        <w:rPr>
          <w:rFonts w:ascii="Calibri" w:hAnsi="Calibri" w:cs="MyriadPro-Bold"/>
          <w:color w:val="000000"/>
          <w:sz w:val="22"/>
          <w:szCs w:val="22"/>
          <w:lang w:eastAsia="en-US"/>
        </w:rPr>
        <w:t xml:space="preserve"> and </w:t>
      </w:r>
      <w:proofErr w:type="spellStart"/>
      <w:r>
        <w:rPr>
          <w:rFonts w:ascii="Calibri" w:hAnsi="Calibri" w:cs="MyriadPro-Bold"/>
          <w:color w:val="000000"/>
          <w:sz w:val="22"/>
          <w:szCs w:val="22"/>
          <w:lang w:eastAsia="en-US"/>
        </w:rPr>
        <w:t>Tunuloa</w:t>
      </w:r>
      <w:proofErr w:type="spellEnd"/>
      <w:r>
        <w:rPr>
          <w:rFonts w:ascii="Calibri" w:hAnsi="Calibri" w:cs="MyriadPro-Bold"/>
          <w:color w:val="000000"/>
          <w:sz w:val="22"/>
          <w:szCs w:val="22"/>
          <w:lang w:eastAsia="en-US"/>
        </w:rPr>
        <w:t xml:space="preserve"> on Vanua </w:t>
      </w:r>
      <w:proofErr w:type="spellStart"/>
      <w:r>
        <w:rPr>
          <w:rFonts w:ascii="Calibri" w:hAnsi="Calibri" w:cs="MyriadPro-Bold"/>
          <w:color w:val="000000"/>
          <w:sz w:val="22"/>
          <w:szCs w:val="22"/>
          <w:lang w:eastAsia="en-US"/>
        </w:rPr>
        <w:t>Levu</w:t>
      </w:r>
      <w:proofErr w:type="spellEnd"/>
      <w:r>
        <w:rPr>
          <w:rFonts w:ascii="Calibri" w:hAnsi="Calibri" w:cs="MyriadPro-Bold"/>
          <w:color w:val="000000"/>
          <w:sz w:val="22"/>
          <w:szCs w:val="22"/>
          <w:lang w:eastAsia="en-US"/>
        </w:rPr>
        <w:t xml:space="preserve"> were </w:t>
      </w:r>
      <w:r>
        <w:rPr>
          <w:rFonts w:ascii="Calibri" w:hAnsi="Calibri" w:cs="MyriadPro-Bold"/>
          <w:bCs/>
          <w:color w:val="000000"/>
          <w:spacing w:val="-2"/>
          <w:sz w:val="22"/>
          <w:szCs w:val="22"/>
          <w:lang w:val="en-GB" w:eastAsia="en-US"/>
        </w:rPr>
        <w:t>undertaken by the National Evaluation Consultant</w:t>
      </w:r>
      <w:r>
        <w:rPr>
          <w:rFonts w:ascii="Calibri" w:hAnsi="Calibri" w:cs="MyriadPro-Bold"/>
          <w:color w:val="000000"/>
          <w:sz w:val="22"/>
          <w:szCs w:val="22"/>
          <w:lang w:eastAsia="en-US"/>
        </w:rPr>
        <w:t xml:space="preserve"> </w:t>
      </w:r>
      <w:r>
        <w:rPr>
          <w:rFonts w:ascii="Calibri" w:hAnsi="Calibri" w:cs="MyriadPro-Bold"/>
          <w:color w:val="000000"/>
          <w:spacing w:val="-2"/>
          <w:sz w:val="22"/>
          <w:szCs w:val="22"/>
          <w:lang w:val="en-GB" w:eastAsia="en-US"/>
        </w:rPr>
        <w:t>under the supervision of the international consultants,</w:t>
      </w:r>
      <w:r>
        <w:rPr>
          <w:rFonts w:ascii="Calibri" w:hAnsi="Calibri" w:cs="MyriadPro-Bold"/>
          <w:bCs/>
          <w:color w:val="000000"/>
          <w:spacing w:val="-2"/>
          <w:sz w:val="22"/>
          <w:szCs w:val="22"/>
          <w:lang w:val="en-GB" w:eastAsia="en-US"/>
        </w:rPr>
        <w:t xml:space="preserve"> between November 15 and 24 </w:t>
      </w:r>
      <w:r>
        <w:rPr>
          <w:rFonts w:ascii="Calibri" w:hAnsi="Calibri" w:cs="MyriadPro-Bold"/>
          <w:bCs/>
          <w:color w:val="000000"/>
          <w:sz w:val="22"/>
          <w:szCs w:val="22"/>
          <w:lang w:eastAsia="en-US"/>
        </w:rPr>
        <w:t xml:space="preserve">(see Annexes 8, 9, and 10). </w:t>
      </w:r>
    </w:p>
    <w:p w14:paraId="7323603E" w14:textId="77777777" w:rsidR="007372B6" w:rsidRDefault="007372B6">
      <w:pPr>
        <w:widowControl w:val="0"/>
        <w:jc w:val="both"/>
        <w:rPr>
          <w:rFonts w:ascii="Calibri" w:hAnsi="Calibri" w:cs="MyriadPro-Bold"/>
          <w:bCs/>
          <w:color w:val="000000"/>
          <w:spacing w:val="-2"/>
          <w:sz w:val="22"/>
          <w:szCs w:val="22"/>
          <w:lang w:val="en-GB" w:eastAsia="en-US"/>
        </w:rPr>
      </w:pPr>
    </w:p>
    <w:p w14:paraId="2F302C73" w14:textId="77777777" w:rsidR="007372B6" w:rsidRDefault="00000000">
      <w:pPr>
        <w:pStyle w:val="ListParagraph"/>
        <w:tabs>
          <w:tab w:val="left" w:pos="-511"/>
        </w:tabs>
        <w:spacing w:after="113" w:line="312" w:lineRule="auto"/>
        <w:ind w:left="0"/>
        <w:jc w:val="both"/>
        <w:rPr>
          <w:rFonts w:ascii="Calibri" w:hAnsi="Calibri" w:cs="MyriadPro-Bold"/>
          <w:bCs/>
          <w:sz w:val="22"/>
          <w:szCs w:val="22"/>
        </w:rPr>
      </w:pPr>
      <w:r>
        <w:rPr>
          <w:rFonts w:ascii="Calibri" w:hAnsi="Calibri" w:cs="MyriadPro-Bold"/>
          <w:b/>
          <w:bCs/>
          <w:i/>
          <w:iCs/>
          <w:color w:val="000000"/>
          <w:spacing w:val="-2"/>
          <w:sz w:val="22"/>
          <w:szCs w:val="22"/>
          <w:lang w:val="en-GB" w:eastAsia="en-US"/>
        </w:rPr>
        <w:t>Data Analysis and Triangulation</w:t>
      </w:r>
      <w:r>
        <w:rPr>
          <w:rFonts w:ascii="Calibri" w:hAnsi="Calibri" w:cs="MyriadPro-Bold"/>
          <w:bCs/>
          <w:color w:val="000000"/>
          <w:spacing w:val="-2"/>
          <w:sz w:val="22"/>
          <w:szCs w:val="22"/>
          <w:lang w:val="en-GB" w:eastAsia="en-US"/>
        </w:rPr>
        <w:t xml:space="preserve"> </w:t>
      </w:r>
    </w:p>
    <w:p w14:paraId="6626106A" w14:textId="77777777" w:rsidR="007372B6" w:rsidRDefault="00000000">
      <w:pPr>
        <w:pStyle w:val="ListParagraph"/>
        <w:tabs>
          <w:tab w:val="left" w:pos="-511"/>
        </w:tabs>
        <w:spacing w:line="312" w:lineRule="auto"/>
        <w:ind w:left="0"/>
        <w:jc w:val="both"/>
        <w:rPr>
          <w:rFonts w:ascii="Calibri" w:hAnsi="Calibri" w:cs="MyriadPro-Bold"/>
          <w:bCs/>
          <w:sz w:val="22"/>
          <w:szCs w:val="22"/>
        </w:rPr>
      </w:pPr>
      <w:r>
        <w:rPr>
          <w:rFonts w:ascii="Calibri" w:hAnsi="Calibri" w:cs="MyriadPro-Bold"/>
          <w:bCs/>
          <w:color w:val="000000"/>
          <w:spacing w:val="-2"/>
          <w:sz w:val="22"/>
          <w:szCs w:val="22"/>
          <w:lang w:val="en-GB" w:eastAsia="en-US"/>
        </w:rPr>
        <w:t>21. Data analysis was guided by the Evaluation Matrix, principally comparing the expected or targeted results to actual results, reviewing disbursements against annual budgets, and assessing respondent responses in relation to the indicators for the evaluation questions listed in the Matrix. The ability to answer the evaluation questions and to undertake the planned analyses depended on the information that was gathered and the extent to which information gaps were addressed in the interviews. The consultants used a common internal, confidential interview reporting format and common database for sharing information among the evaluation team members to assist analyses and report preparation. The consultants</w:t>
      </w:r>
      <w:r>
        <w:rPr>
          <w:rFonts w:ascii="Calibri" w:eastAsia="Calibri" w:hAnsi="Calibri" w:cs="Calibri"/>
          <w:bCs/>
          <w:color w:val="000000"/>
          <w:spacing w:val="-2"/>
          <w:sz w:val="22"/>
          <w:szCs w:val="22"/>
          <w:lang w:val="en-CA" w:eastAsia="en-US"/>
        </w:rPr>
        <w:t xml:space="preserve"> triangulated information by </w:t>
      </w:r>
      <w:r>
        <w:rPr>
          <w:rFonts w:asciiTheme="majorHAnsi" w:hAnsiTheme="majorHAnsi" w:cs="Tahoma"/>
          <w:bCs/>
          <w:color w:val="000000" w:themeColor="text1"/>
          <w:spacing w:val="-2"/>
          <w:sz w:val="22"/>
          <w:szCs w:val="22"/>
          <w:lang w:val="en-CA" w:eastAsia="en-US"/>
        </w:rPr>
        <w:t xml:space="preserve">using a variety of sources and cross-checking </w:t>
      </w:r>
      <w:r>
        <w:rPr>
          <w:rFonts w:ascii="Calibri" w:eastAsia="Calibri" w:hAnsi="Calibri" w:cs="MyriadPro-Bold"/>
          <w:bCs/>
          <w:color w:val="000000"/>
          <w:spacing w:val="-2"/>
          <w:sz w:val="22"/>
          <w:szCs w:val="22"/>
          <w:lang w:val="en-CA" w:eastAsia="en-US"/>
        </w:rPr>
        <w:t xml:space="preserve">the </w:t>
      </w:r>
      <w:r>
        <w:rPr>
          <w:rFonts w:ascii="Calibri" w:eastAsia="Calibri" w:hAnsi="Calibri" w:cs="MyriadPro-Bold"/>
          <w:bCs/>
          <w:iCs/>
          <w:color w:val="000000"/>
          <w:spacing w:val="-2"/>
          <w:sz w:val="22"/>
          <w:szCs w:val="22"/>
          <w:lang w:val="en-CA" w:eastAsia="en-US"/>
        </w:rPr>
        <w:t>weight of evidence</w:t>
      </w:r>
      <w:r>
        <w:rPr>
          <w:rFonts w:ascii="Calibri" w:eastAsia="Calibri" w:hAnsi="Calibri" w:cs="MyriadPro-Bold"/>
          <w:bCs/>
          <w:color w:val="000000"/>
          <w:spacing w:val="-2"/>
          <w:sz w:val="22"/>
          <w:szCs w:val="22"/>
          <w:lang w:val="en-CA" w:eastAsia="en-US"/>
        </w:rPr>
        <w:t xml:space="preserve"> against the performance indicators.  The TE GEF project rating scale is provided in Section 5.2.</w:t>
      </w:r>
    </w:p>
    <w:p w14:paraId="5D50AE23" w14:textId="77777777" w:rsidR="007372B6" w:rsidRDefault="007372B6">
      <w:pPr>
        <w:pStyle w:val="Default0"/>
        <w:tabs>
          <w:tab w:val="left" w:pos="-511"/>
        </w:tabs>
        <w:jc w:val="both"/>
        <w:rPr>
          <w:rFonts w:cs="MyriadPro-Bold"/>
          <w:bCs/>
          <w:sz w:val="22"/>
          <w:szCs w:val="22"/>
        </w:rPr>
      </w:pPr>
    </w:p>
    <w:p w14:paraId="7B3569AD" w14:textId="77777777" w:rsidR="007372B6" w:rsidRDefault="00000000">
      <w:pPr>
        <w:pStyle w:val="Default0"/>
        <w:tabs>
          <w:tab w:val="left" w:pos="-511"/>
        </w:tabs>
        <w:spacing w:after="113" w:line="276" w:lineRule="auto"/>
        <w:contextualSpacing/>
        <w:jc w:val="both"/>
        <w:rPr>
          <w:rFonts w:cs="MyriadPro-Bold"/>
          <w:b/>
          <w:bCs/>
          <w:sz w:val="22"/>
          <w:szCs w:val="22"/>
        </w:rPr>
      </w:pPr>
      <w:r>
        <w:rPr>
          <w:rFonts w:cs="MyriadPro-Bold"/>
          <w:b/>
          <w:bCs/>
          <w:i/>
          <w:iCs/>
          <w:spacing w:val="-2"/>
          <w:sz w:val="22"/>
          <w:szCs w:val="22"/>
        </w:rPr>
        <w:t>Financial information</w:t>
      </w:r>
    </w:p>
    <w:p w14:paraId="4B240071" w14:textId="77777777" w:rsidR="007372B6" w:rsidRDefault="00000000">
      <w:pPr>
        <w:tabs>
          <w:tab w:val="left" w:pos="-511"/>
        </w:tabs>
        <w:spacing w:line="312" w:lineRule="auto"/>
        <w:jc w:val="both"/>
      </w:pPr>
      <w:r>
        <w:rPr>
          <w:rFonts w:ascii="Calibri" w:eastAsia="Calibri" w:hAnsi="Calibri" w:cs="MyriadPro-Bold"/>
          <w:bCs/>
          <w:color w:val="000000"/>
          <w:sz w:val="22"/>
          <w:szCs w:val="22"/>
          <w:lang w:val="en-CA" w:eastAsia="en-US"/>
        </w:rPr>
        <w:t>22. The evaluation team attempted to assess the financial aspects of the project, including variances between planned and actual expenditures. However, the team was unable to obtain updated financial information from UNDP. The table shown in Annex 11 was designed to enable an assessment of planned versus actual expenditures. However, in the absence the required information, it was not possible to undertake a full assessment of project finances and financial management.</w:t>
      </w:r>
    </w:p>
    <w:p w14:paraId="3F31CCC9" w14:textId="77777777" w:rsidR="007372B6" w:rsidRDefault="007372B6">
      <w:pPr>
        <w:pStyle w:val="Default0"/>
        <w:jc w:val="both"/>
        <w:rPr>
          <w:bCs/>
        </w:rPr>
      </w:pPr>
    </w:p>
    <w:p w14:paraId="748A1DC6" w14:textId="77777777" w:rsidR="007372B6" w:rsidRDefault="00000000">
      <w:pPr>
        <w:pStyle w:val="Default0"/>
        <w:tabs>
          <w:tab w:val="left" w:pos="-511"/>
        </w:tabs>
        <w:spacing w:line="312" w:lineRule="auto"/>
        <w:jc w:val="both"/>
      </w:pPr>
      <w:r>
        <w:rPr>
          <w:rFonts w:cs="MyriadPro-Bold"/>
          <w:bCs/>
          <w:sz w:val="22"/>
          <w:szCs w:val="22"/>
        </w:rPr>
        <w:t>23. The extent of co-financing (planned and actual) was assessed based on data provided in the project document, and various updates (</w:t>
      </w:r>
      <w:proofErr w:type="spellStart"/>
      <w:r>
        <w:rPr>
          <w:rFonts w:cs="MyriadPro-Bold"/>
          <w:bCs/>
          <w:sz w:val="22"/>
          <w:szCs w:val="22"/>
        </w:rPr>
        <w:t>eg</w:t>
      </w:r>
      <w:proofErr w:type="spellEnd"/>
      <w:r>
        <w:rPr>
          <w:rFonts w:cs="MyriadPro-Bold"/>
          <w:bCs/>
          <w:sz w:val="22"/>
          <w:szCs w:val="22"/>
        </w:rPr>
        <w:t xml:space="preserve">, the PSC meeting of 2022). However, the information is not </w:t>
      </w:r>
      <w:r>
        <w:rPr>
          <w:rFonts w:cs="MyriadPro-Bold"/>
          <w:bCs/>
          <w:sz w:val="22"/>
          <w:szCs w:val="22"/>
        </w:rPr>
        <w:lastRenderedPageBreak/>
        <w:t>complete. In the absence of updated financial information, it was difficult to verify the many in-kind contributions by government departments and NGOs on the project.</w:t>
      </w:r>
    </w:p>
    <w:p w14:paraId="71A51E34" w14:textId="77777777" w:rsidR="007372B6" w:rsidRDefault="00000000">
      <w:pPr>
        <w:pStyle w:val="Default0"/>
        <w:tabs>
          <w:tab w:val="left" w:pos="-511"/>
        </w:tabs>
        <w:spacing w:line="312" w:lineRule="auto"/>
        <w:jc w:val="both"/>
      </w:pPr>
      <w:r>
        <w:rPr>
          <w:rFonts w:cs="MyriadPro-Bold"/>
          <w:bCs/>
          <w:sz w:val="22"/>
          <w:szCs w:val="22"/>
        </w:rPr>
        <w:t xml:space="preserve"> </w:t>
      </w:r>
    </w:p>
    <w:p w14:paraId="668492AC" w14:textId="77777777" w:rsidR="007372B6" w:rsidRDefault="007372B6">
      <w:pPr>
        <w:pStyle w:val="Default0"/>
        <w:tabs>
          <w:tab w:val="left" w:pos="-511"/>
        </w:tabs>
        <w:jc w:val="both"/>
        <w:rPr>
          <w:rFonts w:cs="MyriadPro-Bold"/>
          <w:bCs/>
          <w:sz w:val="22"/>
          <w:szCs w:val="22"/>
        </w:rPr>
      </w:pPr>
    </w:p>
    <w:p w14:paraId="06FBABFA" w14:textId="77777777" w:rsidR="007372B6" w:rsidRDefault="00000000">
      <w:pPr>
        <w:pStyle w:val="ListParagraph"/>
        <w:spacing w:after="113" w:line="288" w:lineRule="auto"/>
        <w:ind w:left="737"/>
        <w:jc w:val="both"/>
        <w:rPr>
          <w:rFonts w:ascii="Calibri" w:hAnsi="Calibri" w:cs="MyriadPro-Bold"/>
          <w:b/>
          <w:bCs/>
          <w:i/>
          <w:iCs/>
          <w:spacing w:val="-2"/>
          <w:sz w:val="22"/>
          <w:szCs w:val="22"/>
          <w:lang w:val="en-GB" w:eastAsia="en-US"/>
        </w:rPr>
      </w:pPr>
      <w:r>
        <w:rPr>
          <w:rFonts w:ascii="Calibri" w:hAnsi="Calibri" w:cs="MyriadPro-Bold"/>
          <w:b/>
          <w:bCs/>
          <w:i/>
          <w:iCs/>
          <w:color w:val="000000"/>
          <w:spacing w:val="-2"/>
          <w:sz w:val="22"/>
          <w:szCs w:val="22"/>
          <w:lang w:val="en-GB" w:eastAsia="en-US"/>
        </w:rPr>
        <w:t>2.4</w:t>
      </w:r>
      <w:r>
        <w:rPr>
          <w:rFonts w:ascii="Calibri" w:hAnsi="Calibri" w:cs="MyriadPro-Bold"/>
          <w:b/>
          <w:bCs/>
          <w:i/>
          <w:iCs/>
          <w:color w:val="000000"/>
          <w:spacing w:val="-2"/>
          <w:sz w:val="22"/>
          <w:szCs w:val="22"/>
          <w:lang w:val="en-GB" w:eastAsia="en-US"/>
        </w:rPr>
        <w:tab/>
        <w:t xml:space="preserve">Limitations of the TE including Covid Restrictions </w:t>
      </w:r>
    </w:p>
    <w:p w14:paraId="000140FC" w14:textId="77777777" w:rsidR="007372B6" w:rsidRDefault="00000000">
      <w:pPr>
        <w:spacing w:before="113" w:line="312" w:lineRule="auto"/>
        <w:contextualSpacing/>
        <w:jc w:val="both"/>
        <w:rPr>
          <w:rFonts w:ascii="Calibri" w:hAnsi="Calibri"/>
          <w:sz w:val="22"/>
          <w:szCs w:val="22"/>
        </w:rPr>
      </w:pPr>
      <w:r>
        <w:rPr>
          <w:rFonts w:ascii="Calibri" w:hAnsi="Calibri" w:cs="MyriadPro-Bold"/>
          <w:bCs/>
          <w:color w:val="000000"/>
          <w:spacing w:val="-2"/>
          <w:sz w:val="22"/>
          <w:szCs w:val="22"/>
          <w:lang w:val="en-GB" w:eastAsia="en-US"/>
        </w:rPr>
        <w:t>24. The evaluation scope, design, methods and activities were influenced by restrictions on travel and face to face meetings necessitated by the Covid pandemic. The TE was also limited by the availability of key stakeholders, such as the R2R Project Management Unit, key government ministries of Environment, Forestry, Fisheries, among others who were non-responsive to emails sent requesting interviews. To compensate, the TE team gathered information from a wide variety of stakeholders, NGOs and beneficiary groups operating in a range of different sectors (FLMMA, WWF, CI</w:t>
      </w:r>
      <w:r>
        <w:rPr>
          <w:rFonts w:ascii="Calibri" w:eastAsia="Calibri" w:hAnsi="Calibri" w:cs="Calibri"/>
          <w:color w:val="000000"/>
          <w:spacing w:val="-2"/>
          <w:w w:val="105"/>
          <w:sz w:val="22"/>
          <w:szCs w:val="22"/>
          <w:lang w:eastAsia="en-US"/>
        </w:rPr>
        <w:t>, an independent forestry consultant, the Ministry of Agriculture, and communities</w:t>
      </w:r>
      <w:r>
        <w:rPr>
          <w:rFonts w:ascii="Calibri" w:hAnsi="Calibri" w:cs="MyriadPro-Bold"/>
          <w:bCs/>
          <w:color w:val="000000"/>
          <w:spacing w:val="-2"/>
          <w:sz w:val="22"/>
          <w:szCs w:val="22"/>
          <w:lang w:val="en-GB" w:eastAsia="en-US"/>
        </w:rPr>
        <w:t xml:space="preserve"> in the six catchment areas – see Annexes 5, 8, 9 and 10 for a list of stakeholders consulted).</w:t>
      </w:r>
    </w:p>
    <w:p w14:paraId="4B26A8A3" w14:textId="77777777" w:rsidR="007372B6" w:rsidRDefault="007372B6">
      <w:pPr>
        <w:spacing w:before="113"/>
        <w:contextualSpacing/>
        <w:jc w:val="both"/>
        <w:rPr>
          <w:rFonts w:ascii="Calibri" w:hAnsi="Calibri"/>
          <w:sz w:val="22"/>
          <w:szCs w:val="22"/>
        </w:rPr>
      </w:pPr>
    </w:p>
    <w:p w14:paraId="25204BAF" w14:textId="77777777" w:rsidR="007372B6" w:rsidRDefault="00000000">
      <w:pPr>
        <w:spacing w:before="113" w:line="312" w:lineRule="auto"/>
        <w:contextualSpacing/>
        <w:jc w:val="both"/>
        <w:rPr>
          <w:rFonts w:ascii="Calibri" w:hAnsi="Calibri"/>
          <w:sz w:val="22"/>
          <w:szCs w:val="22"/>
        </w:rPr>
      </w:pPr>
      <w:r>
        <w:rPr>
          <w:rFonts w:ascii="Calibri" w:hAnsi="Calibri" w:cs="MyriadPro-Bold"/>
          <w:color w:val="000000"/>
          <w:spacing w:val="-2"/>
          <w:sz w:val="22"/>
          <w:szCs w:val="22"/>
          <w:lang w:val="en-GB" w:eastAsia="en-US"/>
        </w:rPr>
        <w:t xml:space="preserve">25. To address the </w:t>
      </w:r>
      <w:r>
        <w:rPr>
          <w:rFonts w:ascii="Calibri" w:hAnsi="Calibri" w:cs="MyriadPro-Bold"/>
          <w:bCs/>
          <w:color w:val="000000"/>
          <w:spacing w:val="-2"/>
          <w:sz w:val="22"/>
          <w:szCs w:val="22"/>
          <w:lang w:val="en-GB" w:eastAsia="en-US"/>
        </w:rPr>
        <w:t xml:space="preserve">limitations of relying solely on a remote evaluation approach (where consultations are confined to groups of stakeholders and beneficiaries with access to the internet) and to </w:t>
      </w:r>
      <w:r>
        <w:rPr>
          <w:rFonts w:ascii="Calibri" w:hAnsi="Calibri" w:cs="MyriadPro-Bold"/>
          <w:color w:val="000000"/>
          <w:spacing w:val="-2"/>
          <w:sz w:val="22"/>
          <w:szCs w:val="22"/>
          <w:lang w:val="en-GB" w:eastAsia="en-US"/>
        </w:rPr>
        <w:t>comply with international travel restrictions, the evaluation team included a national evaluation counterpart who conducted field missions to all 6 project sites.</w:t>
      </w:r>
    </w:p>
    <w:p w14:paraId="63045170" w14:textId="77777777" w:rsidR="007372B6" w:rsidRDefault="007372B6">
      <w:pPr>
        <w:spacing w:before="113"/>
        <w:contextualSpacing/>
        <w:jc w:val="both"/>
        <w:rPr>
          <w:rFonts w:ascii="Calibri" w:hAnsi="Calibri"/>
          <w:sz w:val="22"/>
          <w:szCs w:val="22"/>
        </w:rPr>
      </w:pPr>
    </w:p>
    <w:p w14:paraId="37B51FDD" w14:textId="77777777" w:rsidR="007372B6" w:rsidRDefault="00000000">
      <w:pPr>
        <w:spacing w:before="113" w:line="312" w:lineRule="auto"/>
        <w:contextualSpacing/>
        <w:jc w:val="both"/>
        <w:rPr>
          <w:rFonts w:ascii="Calibri" w:hAnsi="Calibri"/>
          <w:sz w:val="22"/>
          <w:szCs w:val="22"/>
        </w:rPr>
      </w:pPr>
      <w:r>
        <w:rPr>
          <w:rFonts w:ascii="Calibri" w:hAnsi="Calibri" w:cs="MyriadPro-Bold"/>
          <w:bCs/>
          <w:color w:val="000000"/>
          <w:spacing w:val="-2"/>
          <w:sz w:val="22"/>
          <w:szCs w:val="22"/>
          <w:lang w:val="en-GB" w:eastAsia="en-US"/>
        </w:rPr>
        <w:t>26. The beneficiary reach of the evaluation was limited by time-sensitive deadlines, and by access to information through representatives of UNDP, implementing partners, NGOs, national and local government representatives and members of the PSC. Despite multiple requests to UNDP for up-to-date project data on outputs and finances, the necessary data were not provided. As a result, gaps remain in the analysis of results and financial information (see gaps in Annexes 3, 4 and 11). In order to mitigate these limitations, a greater effort was placed on the review of documents, analysis of project monitoring reports and collection of information from the project implementation team, and key stakeholders through remote interviews.</w:t>
      </w:r>
    </w:p>
    <w:p w14:paraId="3A942386" w14:textId="77777777" w:rsidR="007372B6" w:rsidRDefault="007372B6">
      <w:pPr>
        <w:spacing w:before="113"/>
        <w:contextualSpacing/>
        <w:jc w:val="both"/>
        <w:rPr>
          <w:rFonts w:ascii="Calibri" w:hAnsi="Calibri"/>
          <w:sz w:val="22"/>
          <w:szCs w:val="22"/>
        </w:rPr>
      </w:pPr>
    </w:p>
    <w:p w14:paraId="60239508" w14:textId="77777777" w:rsidR="007372B6" w:rsidRDefault="00000000">
      <w:pPr>
        <w:spacing w:before="113" w:line="312" w:lineRule="auto"/>
        <w:contextualSpacing/>
        <w:jc w:val="both"/>
      </w:pPr>
      <w:r>
        <w:rPr>
          <w:rFonts w:ascii="Calibri" w:hAnsi="Calibri" w:cs="Arial"/>
          <w:bCs/>
          <w:color w:val="000000"/>
          <w:spacing w:val="-2"/>
          <w:sz w:val="22"/>
          <w:szCs w:val="22"/>
          <w:lang w:val="en-GB" w:eastAsia="en-US"/>
        </w:rPr>
        <w:t>27. In addition, the evaluation team assessed the overall impact of Covid-19 restrictions and setbacks, including necessary remote adaptations, especially as these related to the sourcing of technical expertise, engagement with community members and financial mechanisms and sustainability. This line of inquiry was included in the evaluation questions</w:t>
      </w:r>
      <w:r>
        <w:rPr>
          <w:rFonts w:ascii="Calibri" w:hAnsi="Calibri" w:cs="MyriadPro-Bold"/>
          <w:bCs/>
          <w:color w:val="000000"/>
          <w:spacing w:val="-2"/>
          <w:sz w:val="22"/>
          <w:szCs w:val="22"/>
          <w:lang w:val="en-GB" w:eastAsia="en-US"/>
        </w:rPr>
        <w:t>, which was useful for deriving lessons and recommendations.</w:t>
      </w:r>
    </w:p>
    <w:p w14:paraId="50194D70" w14:textId="77777777" w:rsidR="007372B6" w:rsidRDefault="007372B6">
      <w:pPr>
        <w:pStyle w:val="ListParagraph"/>
        <w:tabs>
          <w:tab w:val="left" w:pos="-511"/>
        </w:tabs>
        <w:ind w:left="737"/>
        <w:jc w:val="both"/>
        <w:rPr>
          <w:rFonts w:ascii="Calibri" w:hAnsi="Calibri" w:cs="MyriadPro-Bold"/>
          <w:b/>
          <w:bCs/>
          <w:i/>
          <w:iCs/>
          <w:spacing w:val="-2"/>
          <w:sz w:val="22"/>
          <w:szCs w:val="22"/>
          <w:lang w:val="en-GB" w:eastAsia="en-US"/>
        </w:rPr>
      </w:pPr>
    </w:p>
    <w:p w14:paraId="75BCB35A" w14:textId="77777777" w:rsidR="007372B6" w:rsidRDefault="00000000">
      <w:pPr>
        <w:pStyle w:val="ListParagraph"/>
        <w:tabs>
          <w:tab w:val="left" w:pos="-511"/>
        </w:tabs>
        <w:spacing w:after="113" w:line="312" w:lineRule="auto"/>
        <w:ind w:left="737"/>
        <w:jc w:val="both"/>
        <w:rPr>
          <w:rFonts w:ascii="Calibri" w:hAnsi="Calibri" w:cs="MyriadPro-Bold"/>
          <w:b/>
          <w:bCs/>
          <w:i/>
          <w:iCs/>
          <w:spacing w:val="-2"/>
          <w:sz w:val="22"/>
          <w:szCs w:val="22"/>
          <w:lang w:val="en-GB" w:eastAsia="en-US"/>
        </w:rPr>
      </w:pPr>
      <w:r>
        <w:rPr>
          <w:rFonts w:ascii="Calibri" w:hAnsi="Calibri" w:cs="MyriadPro-Bold"/>
          <w:b/>
          <w:bCs/>
          <w:i/>
          <w:iCs/>
          <w:color w:val="000000"/>
          <w:spacing w:val="-2"/>
          <w:sz w:val="22"/>
          <w:szCs w:val="22"/>
          <w:lang w:val="en-GB" w:eastAsia="en-US"/>
        </w:rPr>
        <w:t>2.5</w:t>
      </w:r>
      <w:r>
        <w:rPr>
          <w:rFonts w:ascii="Calibri" w:hAnsi="Calibri" w:cs="MyriadPro-Bold"/>
          <w:b/>
          <w:bCs/>
          <w:i/>
          <w:iCs/>
          <w:color w:val="000000"/>
          <w:spacing w:val="-2"/>
          <w:sz w:val="22"/>
          <w:szCs w:val="22"/>
          <w:lang w:val="en-GB" w:eastAsia="en-US"/>
        </w:rPr>
        <w:tab/>
        <w:t>Structure of the TE Report</w:t>
      </w:r>
    </w:p>
    <w:p w14:paraId="63397296" w14:textId="77777777" w:rsidR="007372B6" w:rsidRDefault="00000000">
      <w:pPr>
        <w:pStyle w:val="ListParagraph"/>
        <w:tabs>
          <w:tab w:val="left" w:pos="-511"/>
        </w:tabs>
        <w:spacing w:before="113" w:line="312" w:lineRule="auto"/>
        <w:ind w:left="0"/>
        <w:jc w:val="both"/>
        <w:rPr>
          <w:rFonts w:ascii="Calibri" w:hAnsi="Calibri" w:cs="MyriadPro-Bold"/>
          <w:sz w:val="22"/>
          <w:szCs w:val="22"/>
          <w:shd w:val="clear" w:color="auto" w:fill="FFFF00"/>
          <w:lang w:eastAsia="en-US"/>
        </w:rPr>
      </w:pPr>
      <w:r>
        <w:rPr>
          <w:rFonts w:ascii="Calibri" w:hAnsi="Calibri" w:cs="MyriadPro-Bold"/>
          <w:bCs/>
          <w:sz w:val="22"/>
          <w:szCs w:val="22"/>
          <w:lang w:eastAsia="en-US"/>
        </w:rPr>
        <w:t xml:space="preserve">28. The </w:t>
      </w:r>
      <w:r>
        <w:rPr>
          <w:rFonts w:ascii="Calibri" w:eastAsia="Open Sans" w:hAnsi="Calibri" w:cs="Open Sans"/>
          <w:color w:val="000000"/>
          <w:sz w:val="22"/>
          <w:szCs w:val="22"/>
        </w:rPr>
        <w:t>TE report</w:t>
      </w:r>
      <w:r>
        <w:rPr>
          <w:rFonts w:ascii="Calibri" w:hAnsi="Calibri" w:cs="MyriadPro-Bold"/>
          <w:sz w:val="22"/>
          <w:szCs w:val="22"/>
          <w:lang w:eastAsia="en-US"/>
        </w:rPr>
        <w:t xml:space="preserve"> is structured to follow the outline provided in the </w:t>
      </w:r>
      <w:proofErr w:type="spellStart"/>
      <w:r>
        <w:rPr>
          <w:rFonts w:ascii="Calibri" w:hAnsi="Calibri" w:cs="MyriadPro-Bold"/>
          <w:sz w:val="22"/>
          <w:szCs w:val="22"/>
          <w:lang w:eastAsia="en-US"/>
        </w:rPr>
        <w:t>ToR</w:t>
      </w:r>
      <w:proofErr w:type="spellEnd"/>
      <w:r>
        <w:rPr>
          <w:rFonts w:ascii="Calibri" w:hAnsi="Calibri" w:cs="MyriadPro-Bold"/>
          <w:sz w:val="22"/>
          <w:szCs w:val="22"/>
          <w:lang w:eastAsia="en-US"/>
        </w:rPr>
        <w:t xml:space="preserve"> for the Evaluation. The report contains five sections: </w:t>
      </w:r>
      <w:r>
        <w:rPr>
          <w:rFonts w:ascii="Calibri" w:hAnsi="Calibri" w:cs="MyriadPro-Bold"/>
          <w:b/>
          <w:bCs/>
          <w:sz w:val="22"/>
          <w:szCs w:val="22"/>
          <w:lang w:eastAsia="en-US"/>
        </w:rPr>
        <w:t>1.0 Executive Summary; 2.0 Introduction; 3.0 Project Description; 4.0 Findings</w:t>
      </w:r>
      <w:r>
        <w:rPr>
          <w:rFonts w:ascii="Calibri" w:hAnsi="Calibri" w:cs="MyriadPro-Bold"/>
          <w:sz w:val="22"/>
          <w:szCs w:val="22"/>
          <w:lang w:eastAsia="en-US"/>
        </w:rPr>
        <w:t xml:space="preserve"> (</w:t>
      </w:r>
      <w:r>
        <w:rPr>
          <w:rFonts w:asciiTheme="minorHAnsi" w:hAnsiTheme="minorHAnsi" w:cstheme="minorHAnsi"/>
          <w:color w:val="000000"/>
          <w:sz w:val="22"/>
          <w:szCs w:val="22"/>
          <w:lang w:eastAsia="en-US"/>
        </w:rPr>
        <w:t>Project Design/Formulation,</w:t>
      </w:r>
      <w:r>
        <w:rPr>
          <w:rFonts w:asciiTheme="minorHAnsi" w:eastAsia="Open Sans" w:hAnsiTheme="minorHAnsi" w:cstheme="minorHAnsi"/>
          <w:color w:val="000000"/>
          <w:sz w:val="22"/>
          <w:szCs w:val="22"/>
          <w:lang w:eastAsia="en-US"/>
        </w:rPr>
        <w:t xml:space="preserve"> Implementation, Results (Relevance, Effectiveness of Achievement in Outcomes and Objective), Efficiency, Country ownership, Gender Equality and other Cross-cutting Issues including social and environmental standards,</w:t>
      </w:r>
      <w:r>
        <w:rPr>
          <w:rFonts w:ascii="Calibri" w:hAnsi="Calibri" w:cs="MyriadPro-Bold"/>
          <w:sz w:val="22"/>
          <w:szCs w:val="22"/>
          <w:lang w:eastAsia="en-US"/>
        </w:rPr>
        <w:t xml:space="preserve"> </w:t>
      </w:r>
      <w:r>
        <w:rPr>
          <w:rFonts w:asciiTheme="minorHAnsi" w:eastAsia="Open Sans" w:hAnsiTheme="minorHAnsi" w:cstheme="minorHAnsi"/>
          <w:color w:val="000000"/>
          <w:sz w:val="22"/>
          <w:szCs w:val="22"/>
          <w:lang w:eastAsia="en-US"/>
        </w:rPr>
        <w:t xml:space="preserve">Sustainability, </w:t>
      </w:r>
      <w:r>
        <w:rPr>
          <w:rFonts w:ascii="Calibri" w:eastAsia="Open Sans" w:hAnsi="Calibri" w:cs="MyriadPro-Bold"/>
          <w:color w:val="000000"/>
          <w:sz w:val="22"/>
          <w:szCs w:val="22"/>
          <w:lang w:eastAsia="en-US"/>
        </w:rPr>
        <w:t xml:space="preserve">and </w:t>
      </w:r>
      <w:r>
        <w:rPr>
          <w:rFonts w:asciiTheme="minorHAnsi" w:eastAsia="Open Sans" w:hAnsiTheme="minorHAnsi" w:cstheme="minorHAnsi"/>
          <w:color w:val="000000"/>
          <w:sz w:val="22"/>
          <w:szCs w:val="22"/>
          <w:lang w:eastAsia="en-US"/>
        </w:rPr>
        <w:t xml:space="preserve">Progress to Impact); and </w:t>
      </w:r>
      <w:r>
        <w:rPr>
          <w:rFonts w:ascii="Calibri" w:hAnsi="Calibri" w:cs="MyriadPro-Bold"/>
          <w:b/>
          <w:bCs/>
          <w:sz w:val="22"/>
          <w:szCs w:val="22"/>
          <w:lang w:eastAsia="en-US"/>
        </w:rPr>
        <w:t xml:space="preserve">5.0 </w:t>
      </w:r>
      <w:r>
        <w:rPr>
          <w:rFonts w:ascii="Calibri" w:hAnsi="Calibri" w:cs="MyriadPro-Bold"/>
          <w:b/>
          <w:bCs/>
          <w:color w:val="000000"/>
          <w:sz w:val="22"/>
          <w:szCs w:val="22"/>
          <w:lang w:eastAsia="en-US"/>
        </w:rPr>
        <w:t>Main Findings, Conclusions, Recommendations &amp; Lessons</w:t>
      </w:r>
      <w:r>
        <w:rPr>
          <w:rFonts w:ascii="Calibri" w:hAnsi="Calibri" w:cs="MyriadPro-Bold"/>
          <w:color w:val="000000"/>
          <w:sz w:val="22"/>
          <w:szCs w:val="22"/>
          <w:lang w:eastAsia="en-US"/>
        </w:rPr>
        <w:t xml:space="preserve">. </w:t>
      </w:r>
      <w:r>
        <w:br w:type="page"/>
      </w:r>
    </w:p>
    <w:p w14:paraId="2DEDDE1A" w14:textId="77777777" w:rsidR="007372B6" w:rsidRDefault="00000000">
      <w:pPr>
        <w:tabs>
          <w:tab w:val="left" w:pos="594"/>
          <w:tab w:val="left" w:pos="1620"/>
        </w:tabs>
        <w:spacing w:line="312" w:lineRule="auto"/>
        <w:ind w:left="720"/>
        <w:jc w:val="both"/>
        <w:rPr>
          <w:color w:val="0000FF"/>
        </w:rPr>
      </w:pPr>
      <w:r>
        <w:rPr>
          <w:rFonts w:ascii="Calibri" w:eastAsia="Open Sans" w:hAnsi="Calibri" w:cstheme="minorHAnsi"/>
          <w:b/>
          <w:bCs/>
          <w:color w:val="0000FF"/>
          <w:sz w:val="28"/>
          <w:szCs w:val="28"/>
          <w:lang w:val="en-CA" w:eastAsia="en-US"/>
        </w:rPr>
        <w:lastRenderedPageBreak/>
        <w:t xml:space="preserve">3.0 </w:t>
      </w:r>
      <w:r>
        <w:rPr>
          <w:rFonts w:ascii="Calibri" w:eastAsia="Open Sans" w:hAnsi="Calibri" w:cstheme="minorHAnsi"/>
          <w:b/>
          <w:bCs/>
          <w:color w:val="0000FF"/>
          <w:sz w:val="28"/>
          <w:szCs w:val="28"/>
          <w:lang w:val="en-CA" w:eastAsia="en-US"/>
        </w:rPr>
        <w:tab/>
        <w:t>Project Description</w:t>
      </w:r>
    </w:p>
    <w:p w14:paraId="196E5DB8" w14:textId="77777777" w:rsidR="007372B6" w:rsidRDefault="007372B6">
      <w:pPr>
        <w:rPr>
          <w:rFonts w:asciiTheme="minorHAnsi" w:eastAsia="Open Sans" w:hAnsiTheme="minorHAnsi" w:cstheme="minorHAnsi"/>
          <w:b/>
          <w:bCs/>
          <w:i/>
          <w:iCs/>
          <w:color w:val="000000"/>
          <w:sz w:val="22"/>
          <w:szCs w:val="22"/>
          <w:lang w:eastAsia="en-US"/>
        </w:rPr>
      </w:pPr>
    </w:p>
    <w:p w14:paraId="3A0E2041" w14:textId="77777777" w:rsidR="007372B6" w:rsidRDefault="00000000">
      <w:pPr>
        <w:rPr>
          <w:rFonts w:ascii="Calibri" w:hAnsi="Calibri"/>
          <w:b/>
          <w:bCs/>
          <w:i/>
          <w:iCs/>
        </w:rPr>
      </w:pPr>
      <w:r>
        <w:rPr>
          <w:rFonts w:ascii="Calibri" w:hAnsi="Calibri"/>
          <w:b/>
          <w:bCs/>
          <w:i/>
          <w:iCs/>
        </w:rPr>
        <w:tab/>
        <w:t>3.1. Project start and duration</w:t>
      </w:r>
      <w:r>
        <w:rPr>
          <w:rFonts w:ascii="Calibri" w:hAnsi="Calibri"/>
        </w:rPr>
        <w:t xml:space="preserve"> </w:t>
      </w:r>
    </w:p>
    <w:p w14:paraId="4AF8313C" w14:textId="77777777" w:rsidR="007372B6" w:rsidRDefault="007372B6"/>
    <w:p w14:paraId="2E85998C" w14:textId="77777777" w:rsidR="007372B6" w:rsidRDefault="00000000">
      <w:pPr>
        <w:spacing w:line="312" w:lineRule="auto"/>
        <w:jc w:val="both"/>
      </w:pPr>
      <w:r>
        <w:rPr>
          <w:rFonts w:ascii="Calibri" w:eastAsia="Calibri" w:hAnsi="Calibri" w:cs="Arial"/>
          <w:color w:val="000000"/>
          <w:sz w:val="22"/>
          <w:szCs w:val="22"/>
        </w:rPr>
        <w:t>1. The Project was launched in October 2016</w:t>
      </w:r>
      <w:r>
        <w:rPr>
          <w:rFonts w:ascii="Calibri" w:eastAsia="Calibri" w:hAnsi="Calibri" w:cs="Arial"/>
          <w:sz w:val="22"/>
          <w:szCs w:val="22"/>
        </w:rPr>
        <w:t xml:space="preserve"> with funding of US$7.39 million provided by the Global Environment Facility (GEF) and substantial (in-kind) co-financing from the Government of Fiji, the private sector and NGO partners (US$</w:t>
      </w:r>
      <w:r>
        <w:rPr>
          <w:rFonts w:ascii="Calibri" w:eastAsia="Calibri" w:hAnsi="Calibri" w:cs="Calibri"/>
          <w:color w:val="000000"/>
          <w:sz w:val="20"/>
          <w:szCs w:val="22"/>
        </w:rPr>
        <w:t>30.24</w:t>
      </w:r>
      <w:r>
        <w:rPr>
          <w:rFonts w:ascii="Calibri" w:eastAsia="Calibri" w:hAnsi="Calibri" w:cs="Arial"/>
          <w:sz w:val="22"/>
          <w:szCs w:val="22"/>
        </w:rPr>
        <w:t xml:space="preserve"> million), along with administrative and technical assistance provided by UNDP. </w:t>
      </w:r>
      <w:r>
        <w:rPr>
          <w:rFonts w:ascii="Calibri" w:eastAsia="Calibri" w:hAnsi="Calibri" w:cs="Arial"/>
          <w:color w:val="000000"/>
          <w:sz w:val="22"/>
          <w:szCs w:val="22"/>
          <w:lang w:eastAsia="en-US"/>
        </w:rPr>
        <w:t xml:space="preserve">The project is an integrated multi-focal ‘umbrella’ initiative which combines Fiji’s GEF 5 STAR allocation under three thematic funding streams/allocations from Biodiversity (USD$4.74m), Climate Change (USD$2.0m) and Land Degradation (USD$0.65m). </w:t>
      </w:r>
      <w:r>
        <w:rPr>
          <w:rFonts w:ascii="Calibri" w:eastAsia="Calibri" w:hAnsi="Calibri" w:cs="Arial"/>
          <w:sz w:val="22"/>
          <w:szCs w:val="22"/>
        </w:rPr>
        <w:t>The project is part of the Pacific Islands Ridge-to-Reef National Priorities initiative, a comprehensive approach</w:t>
      </w:r>
      <w:r>
        <w:rPr>
          <w:rFonts w:ascii="Calibri" w:eastAsia="Calibri" w:hAnsi="Calibri" w:cs="Arial"/>
          <w:color w:val="C9211E"/>
          <w:sz w:val="22"/>
          <w:szCs w:val="22"/>
        </w:rPr>
        <w:t xml:space="preserve"> </w:t>
      </w:r>
      <w:r>
        <w:rPr>
          <w:rFonts w:ascii="Calibri" w:eastAsia="Calibri" w:hAnsi="Calibri" w:cs="Arial"/>
          <w:color w:val="000000"/>
          <w:sz w:val="22"/>
          <w:szCs w:val="22"/>
        </w:rPr>
        <w:t xml:space="preserve">that includes integrating </w:t>
      </w:r>
      <w:r>
        <w:rPr>
          <w:rFonts w:ascii="Calibri" w:eastAsia="Calibri" w:hAnsi="Calibri" w:cs="Arial"/>
          <w:sz w:val="22"/>
          <w:szCs w:val="22"/>
        </w:rPr>
        <w:t>water, land, forest and coastal management to preserve biodiversity, ecosystem services, store carbon, improve climate resilience and sustain livelihoods.</w:t>
      </w:r>
    </w:p>
    <w:p w14:paraId="56606607" w14:textId="77777777" w:rsidR="007372B6" w:rsidRDefault="007372B6">
      <w:pPr>
        <w:spacing w:line="288" w:lineRule="auto"/>
        <w:jc w:val="both"/>
        <w:rPr>
          <w:rFonts w:ascii="Calibri" w:eastAsia="Calibri" w:hAnsi="Calibri" w:cs="Arial"/>
          <w:color w:val="000000"/>
          <w:sz w:val="22"/>
          <w:szCs w:val="22"/>
          <w:lang w:eastAsia="en-US"/>
        </w:rPr>
      </w:pPr>
    </w:p>
    <w:p w14:paraId="4B36F009" w14:textId="77777777" w:rsidR="007372B6" w:rsidRDefault="00000000">
      <w:pPr>
        <w:pStyle w:val="BodyText"/>
        <w:spacing w:line="312" w:lineRule="auto"/>
        <w:jc w:val="both"/>
      </w:pPr>
      <w:r>
        <w:rPr>
          <w:rFonts w:ascii="Calibri" w:eastAsia="Calibri" w:hAnsi="Calibri" w:cs="Arial"/>
          <w:sz w:val="22"/>
          <w:szCs w:val="22"/>
        </w:rPr>
        <w:t>2. The Project was implemented through UNDP’s National Implementation Modality (NIM), with the Government of Fiji’s Ministry of Local Government, Housing and Environment (</w:t>
      </w:r>
      <w:r>
        <w:rPr>
          <w:rFonts w:ascii="Calibri" w:eastAsia="Calibri" w:hAnsi="Calibri" w:cs="Calibri"/>
          <w:spacing w:val="-2"/>
          <w:w w:val="105"/>
          <w:sz w:val="22"/>
          <w:szCs w:val="22"/>
          <w:lang w:val="en-CA"/>
        </w:rPr>
        <w:t>MLGHE</w:t>
      </w:r>
      <w:r>
        <w:rPr>
          <w:rFonts w:ascii="Calibri" w:eastAsia="Calibri" w:hAnsi="Calibri" w:cs="Arial"/>
          <w:sz w:val="22"/>
          <w:szCs w:val="22"/>
        </w:rPr>
        <w:t>) serving as the designated national executing agency (“Implementing Partner”). I</w:t>
      </w:r>
      <w:r>
        <w:rPr>
          <w:rFonts w:ascii="Calibri" w:eastAsia="Calibri" w:hAnsi="Calibri" w:cs="Calibri"/>
          <w:sz w:val="22"/>
          <w:szCs w:val="22"/>
        </w:rPr>
        <w:t xml:space="preserve">t was implemented with support from </w:t>
      </w:r>
      <w:r>
        <w:rPr>
          <w:rFonts w:ascii="Calibri" w:eastAsia="Calibri" w:hAnsi="Calibri" w:cs="Calibri"/>
          <w:color w:val="000000"/>
          <w:sz w:val="22"/>
          <w:szCs w:val="22"/>
        </w:rPr>
        <w:t>a number of technical</w:t>
      </w:r>
      <w:r>
        <w:rPr>
          <w:rFonts w:ascii="Calibri" w:eastAsia="Calibri" w:hAnsi="Calibri" w:cs="Calibri"/>
          <w:sz w:val="22"/>
          <w:szCs w:val="22"/>
        </w:rPr>
        <w:t xml:space="preserve"> implementing partners:</w:t>
      </w:r>
      <w:r>
        <w:rPr>
          <w:rFonts w:ascii="Calibri" w:eastAsia="Calibri" w:hAnsi="Calibri" w:cs="Calibri"/>
          <w:color w:val="000000"/>
          <w:sz w:val="22"/>
          <w:szCs w:val="22"/>
        </w:rPr>
        <w:t xml:space="preserve"> </w:t>
      </w:r>
      <w:r>
        <w:rPr>
          <w:rFonts w:ascii="Calibri Light" w:eastAsia="Calibri" w:hAnsi="Calibri Light" w:cs="Calibri Light"/>
          <w:color w:val="000000"/>
          <w:sz w:val="22"/>
          <w:szCs w:val="22"/>
        </w:rPr>
        <w:t>Secretariat of the Pacific Community (SPC); World Wildlife Fund for Nature, Pacific Office (WWF);</w:t>
      </w:r>
      <w:r>
        <w:rPr>
          <w:rFonts w:ascii="Calibri" w:eastAsia="Calibri" w:hAnsi="Calibri" w:cs="Calibri"/>
          <w:color w:val="000000"/>
          <w:sz w:val="22"/>
          <w:szCs w:val="22"/>
        </w:rPr>
        <w:t xml:space="preserve"> </w:t>
      </w:r>
      <w:r>
        <w:rPr>
          <w:rFonts w:ascii="Calibri Light" w:eastAsia="Calibri" w:hAnsi="Calibri Light" w:cs="Calibri Light"/>
          <w:color w:val="000000"/>
          <w:sz w:val="22"/>
          <w:szCs w:val="22"/>
        </w:rPr>
        <w:t>University of the South Pacific’s Institute of Applied Science (USP-UAS); Fiji Locally Managed Marine Areas network (FLMMA); and Conservation International (CI) and International Union for Conservation of Nature (</w:t>
      </w:r>
      <w:r>
        <w:rPr>
          <w:rFonts w:asciiTheme="minorHAnsi" w:eastAsia="Open Sans" w:hAnsiTheme="minorHAnsi" w:cstheme="minorHAnsi"/>
          <w:caps/>
          <w:color w:val="000000"/>
          <w:spacing w:val="-2"/>
          <w:w w:val="105"/>
          <w:sz w:val="22"/>
          <w:szCs w:val="22"/>
          <w:lang w:val="en-GB" w:eastAsia="en-US"/>
        </w:rPr>
        <w:t>iucn)</w:t>
      </w:r>
      <w:r>
        <w:rPr>
          <w:rFonts w:ascii="Calibri Light" w:eastAsia="Calibri" w:hAnsi="Calibri Light" w:cs="Calibri Light"/>
          <w:color w:val="000000"/>
          <w:sz w:val="22"/>
          <w:szCs w:val="22"/>
        </w:rPr>
        <w:t>.</w:t>
      </w:r>
      <w:r>
        <w:rPr>
          <w:rFonts w:ascii="Calibri" w:eastAsia="Calibri" w:hAnsi="Calibri" w:cs="Calibri"/>
          <w:spacing w:val="-2"/>
          <w:w w:val="105"/>
          <w:sz w:val="22"/>
          <w:szCs w:val="22"/>
          <w:lang w:val="en-CA"/>
        </w:rPr>
        <w:t xml:space="preserve"> The Ministry (MLGHE), together with the R2R Project Management Unit was responsible for the timely delivery of project inputs and outputs, allocating resources, and coordination of all responsible parties, including other line ministries, local government authorities, NGOs, contractors and others. The R2R Project Management Unit (PMU), located in the Department of Environment, ran the project on a day-to-day basis on behalf of MLGHE, including overall operational and financial management, and monitoring and reporting.</w:t>
      </w:r>
    </w:p>
    <w:p w14:paraId="15A36CC7" w14:textId="77777777" w:rsidR="007372B6" w:rsidRDefault="00000000">
      <w:pPr>
        <w:pStyle w:val="BodyText"/>
        <w:spacing w:line="312" w:lineRule="auto"/>
        <w:jc w:val="both"/>
      </w:pPr>
      <w:r>
        <w:rPr>
          <w:rFonts w:ascii="Calibri" w:eastAsia="Calibri" w:hAnsi="Calibri" w:cs="Calibri"/>
          <w:spacing w:val="-2"/>
          <w:w w:val="105"/>
          <w:sz w:val="22"/>
          <w:szCs w:val="22"/>
          <w:lang w:val="en-CA"/>
        </w:rPr>
        <w:t>3. The UNDP MCO located in Suva supported project implementation by assisting in the monitoring of project budgets and expenditures, providing support for procurement and recruitment of consultants and facilitating and streamlining various processes at the request of the MLGHE. The UNDP Asia Pacific Regional Center (APRC) in Bangkok provided technical oversight in the implementation of the project through its Regional Technical Adviso</w:t>
      </w:r>
      <w:r>
        <w:rPr>
          <w:rFonts w:ascii="Calibri" w:eastAsia="Calibri" w:hAnsi="Calibri" w:cs="Calibri"/>
          <w:color w:val="000000"/>
          <w:spacing w:val="-2"/>
          <w:w w:val="105"/>
          <w:sz w:val="22"/>
          <w:szCs w:val="22"/>
          <w:lang w:val="en-CA"/>
        </w:rPr>
        <w:t>r for Water and Oceans</w:t>
      </w:r>
      <w:r>
        <w:rPr>
          <w:rFonts w:ascii="Calibri" w:eastAsia="Calibri" w:hAnsi="Calibri" w:cs="Calibri"/>
          <w:spacing w:val="-2"/>
          <w:w w:val="105"/>
          <w:sz w:val="22"/>
          <w:szCs w:val="22"/>
          <w:lang w:val="en-CA"/>
        </w:rPr>
        <w:t>.</w:t>
      </w:r>
    </w:p>
    <w:p w14:paraId="3990CA29" w14:textId="77777777" w:rsidR="007372B6" w:rsidRDefault="00000000">
      <w:pPr>
        <w:pStyle w:val="BodyText"/>
        <w:spacing w:after="0" w:line="312" w:lineRule="auto"/>
        <w:jc w:val="both"/>
      </w:pPr>
      <w:r>
        <w:rPr>
          <w:rFonts w:ascii="Calibri" w:eastAsia="Calibri" w:hAnsi="Calibri" w:cs="Calibri"/>
          <w:spacing w:val="-2"/>
          <w:w w:val="105"/>
          <w:sz w:val="22"/>
          <w:szCs w:val="22"/>
          <w:lang w:val="en-CA"/>
        </w:rPr>
        <w:t xml:space="preserve">4. </w:t>
      </w:r>
      <w:r>
        <w:rPr>
          <w:rFonts w:ascii="Calibri" w:eastAsia="Calibri" w:hAnsi="Calibri" w:cs="Arial"/>
          <w:color w:val="000000"/>
          <w:spacing w:val="-2"/>
          <w:w w:val="105"/>
          <w:sz w:val="22"/>
          <w:szCs w:val="22"/>
        </w:rPr>
        <w:t>The planned duration of the project was 4 years, with an expected end date of October 2020. However, the executing agency</w:t>
      </w:r>
      <w:r>
        <w:rPr>
          <w:rFonts w:ascii="Calibri" w:eastAsia="Calibri Light" w:hAnsi="Calibri" w:cs="Cambria"/>
          <w:color w:val="000000"/>
          <w:w w:val="105"/>
          <w:sz w:val="22"/>
          <w:szCs w:val="22"/>
          <w:lang w:eastAsia="en-US"/>
        </w:rPr>
        <w:t xml:space="preserve"> faced multiple challenges related to administrative delays, contracting and financial disbursements, and the project required two no-cost extensions, which is quite rare in GEF projects.  </w:t>
      </w:r>
    </w:p>
    <w:p w14:paraId="02A865C2" w14:textId="77777777" w:rsidR="007372B6" w:rsidRDefault="007372B6">
      <w:pPr>
        <w:tabs>
          <w:tab w:val="left" w:pos="0"/>
        </w:tabs>
        <w:contextualSpacing/>
        <w:jc w:val="both"/>
        <w:rPr>
          <w:rFonts w:ascii="Calibri" w:eastAsiaTheme="minorHAnsi" w:hAnsi="Calibri"/>
          <w:bCs/>
          <w:sz w:val="18"/>
          <w:szCs w:val="18"/>
          <w:lang w:val="en-CA" w:eastAsia="en-US"/>
        </w:rPr>
      </w:pPr>
    </w:p>
    <w:p w14:paraId="1154754F" w14:textId="77777777" w:rsidR="007372B6" w:rsidRDefault="00000000">
      <w:pPr>
        <w:pStyle w:val="BodyText"/>
        <w:spacing w:line="288" w:lineRule="auto"/>
        <w:ind w:left="794"/>
        <w:jc w:val="both"/>
      </w:pPr>
      <w:r>
        <w:rPr>
          <w:rFonts w:ascii="Calibri" w:eastAsia="Calibri Light" w:hAnsi="Calibri" w:cs="Calibri"/>
          <w:b/>
          <w:bCs/>
          <w:i/>
          <w:iCs/>
          <w:color w:val="000000"/>
        </w:rPr>
        <w:t xml:space="preserve">3.2 </w:t>
      </w:r>
      <w:r>
        <w:rPr>
          <w:rFonts w:ascii="Calibri" w:eastAsia="Calibri Light" w:hAnsi="Calibri" w:cs="Calibri"/>
          <w:b/>
          <w:bCs/>
          <w:i/>
          <w:iCs/>
          <w:color w:val="000000"/>
        </w:rPr>
        <w:tab/>
        <w:t>Immediate and development objectives of the project and e</w:t>
      </w:r>
      <w:r>
        <w:rPr>
          <w:rFonts w:ascii="Calibri" w:eastAsia="Calibri Light" w:hAnsi="Calibri" w:cs="Calibri"/>
          <w:b/>
          <w:bCs/>
          <w:i/>
          <w:iCs/>
          <w:color w:val="000000"/>
          <w:spacing w:val="-2"/>
          <w:w w:val="105"/>
        </w:rPr>
        <w:t>xpected results</w:t>
      </w:r>
    </w:p>
    <w:p w14:paraId="70250328" w14:textId="77777777" w:rsidR="007372B6" w:rsidRDefault="00000000">
      <w:pPr>
        <w:tabs>
          <w:tab w:val="left" w:pos="1620"/>
        </w:tabs>
        <w:spacing w:line="288" w:lineRule="auto"/>
        <w:jc w:val="both"/>
        <w:rPr>
          <w:shd w:val="clear" w:color="auto" w:fill="00FFFF"/>
        </w:rPr>
      </w:pPr>
      <w:r>
        <w:rPr>
          <w:rFonts w:ascii="Calibri" w:eastAsia="Calibri" w:hAnsi="Calibri" w:cs="Calibri"/>
          <w:color w:val="000000"/>
          <w:spacing w:val="-2"/>
          <w:w w:val="105"/>
          <w:sz w:val="22"/>
          <w:szCs w:val="22"/>
          <w:shd w:val="clear" w:color="auto" w:fill="FFFFFF"/>
          <w:lang w:eastAsia="en-US"/>
        </w:rPr>
        <w:t>4. The</w:t>
      </w:r>
      <w:r>
        <w:rPr>
          <w:rFonts w:ascii="Calibri" w:eastAsia="Calibri" w:hAnsi="Calibri" w:cs="Calibri"/>
          <w:b/>
          <w:bCs/>
          <w:color w:val="000000"/>
          <w:spacing w:val="-2"/>
          <w:w w:val="105"/>
          <w:sz w:val="22"/>
          <w:szCs w:val="22"/>
          <w:shd w:val="clear" w:color="auto" w:fill="FFFFFF"/>
          <w:lang w:eastAsia="en-US"/>
        </w:rPr>
        <w:t xml:space="preserve"> </w:t>
      </w:r>
      <w:r>
        <w:rPr>
          <w:rFonts w:ascii="Calibri" w:eastAsia="Calibri" w:hAnsi="Calibri" w:cs="Calibri"/>
          <w:color w:val="000000"/>
          <w:spacing w:val="-2"/>
          <w:w w:val="105"/>
          <w:sz w:val="22"/>
          <w:szCs w:val="22"/>
          <w:shd w:val="clear" w:color="auto" w:fill="FFFFFF"/>
          <w:lang w:eastAsia="en-US"/>
        </w:rPr>
        <w:t>project’s</w:t>
      </w:r>
      <w:r>
        <w:rPr>
          <w:rFonts w:ascii="Calibri" w:eastAsia="Calibri" w:hAnsi="Calibri" w:cs="Calibri"/>
          <w:b/>
          <w:bCs/>
          <w:color w:val="000000"/>
          <w:spacing w:val="-2"/>
          <w:w w:val="105"/>
          <w:sz w:val="22"/>
          <w:szCs w:val="22"/>
          <w:shd w:val="clear" w:color="auto" w:fill="FFFFFF"/>
          <w:lang w:eastAsia="en-US"/>
        </w:rPr>
        <w:t xml:space="preserve"> Development Goal</w:t>
      </w:r>
      <w:r>
        <w:rPr>
          <w:rFonts w:ascii="Calibri" w:eastAsia="Calibri" w:hAnsi="Calibri" w:cs="Calibri"/>
          <w:color w:val="000000"/>
          <w:spacing w:val="-2"/>
          <w:w w:val="105"/>
          <w:sz w:val="22"/>
          <w:szCs w:val="22"/>
          <w:shd w:val="clear" w:color="auto" w:fill="FFFFFF"/>
          <w:lang w:eastAsia="en-US"/>
        </w:rPr>
        <w:t xml:space="preserve"> is </w:t>
      </w:r>
      <w:r>
        <w:rPr>
          <w:rFonts w:ascii="Calibri" w:eastAsia="Calibri" w:hAnsi="Calibri" w:cs="Calibri"/>
          <w:b/>
          <w:bCs/>
          <w:i/>
          <w:iCs/>
          <w:color w:val="000000"/>
          <w:spacing w:val="-2"/>
          <w:w w:val="105"/>
          <w:sz w:val="22"/>
          <w:szCs w:val="22"/>
          <w:shd w:val="clear" w:color="auto" w:fill="FFFFFF"/>
          <w:lang w:eastAsia="en-US"/>
        </w:rPr>
        <w:t xml:space="preserve">to maintain and enhance Fiji’s and Pacific Island countries’ ecosystem goods and services (provisioning, regulating, supporting and cultural) through </w:t>
      </w:r>
      <w:r>
        <w:rPr>
          <w:rFonts w:ascii="Calibri" w:eastAsia="Calibri" w:hAnsi="Calibri" w:cs="Calibri"/>
          <w:b/>
          <w:bCs/>
          <w:i/>
          <w:iCs/>
          <w:color w:val="000000"/>
          <w:spacing w:val="-2"/>
          <w:w w:val="105"/>
          <w:sz w:val="22"/>
          <w:szCs w:val="22"/>
          <w:shd w:val="clear" w:color="auto" w:fill="FFFFFF"/>
          <w:lang w:eastAsia="en-US"/>
        </w:rPr>
        <w:lastRenderedPageBreak/>
        <w:t>integrated approaches to land, water, forest, biodiversity and coastal resource management that contribute to poverty reduction, sustainable livelihoods and climate resilience.</w:t>
      </w:r>
      <w:r>
        <w:rPr>
          <w:rFonts w:ascii="Calibri" w:eastAsia="Calibri" w:hAnsi="Calibri" w:cs="Calibri"/>
          <w:color w:val="000000"/>
          <w:spacing w:val="-2"/>
          <w:w w:val="105"/>
          <w:sz w:val="22"/>
          <w:szCs w:val="22"/>
          <w:shd w:val="clear" w:color="auto" w:fill="FFFFFF"/>
          <w:lang w:eastAsia="en-US"/>
        </w:rPr>
        <w:t xml:space="preserve"> </w:t>
      </w:r>
    </w:p>
    <w:p w14:paraId="56F713DC" w14:textId="77777777" w:rsidR="007372B6" w:rsidRDefault="00000000">
      <w:pPr>
        <w:pStyle w:val="LO-normal"/>
        <w:spacing w:before="120" w:after="60" w:line="240" w:lineRule="auto"/>
        <w:contextualSpacing/>
        <w:jc w:val="both"/>
        <w:rPr>
          <w:rFonts w:cs="Calibri"/>
          <w:lang w:val="en-US"/>
        </w:rPr>
      </w:pPr>
      <w:r>
        <w:rPr>
          <w:rFonts w:cs="Calibri"/>
          <w:spacing w:val="-2"/>
          <w:w w:val="105"/>
          <w:lang w:val="en-US"/>
        </w:rPr>
        <w:t>5. The</w:t>
      </w:r>
      <w:r>
        <w:rPr>
          <w:rFonts w:cs="Calibri"/>
          <w:b/>
          <w:bCs/>
          <w:spacing w:val="-2"/>
          <w:w w:val="105"/>
          <w:lang w:val="en-US"/>
        </w:rPr>
        <w:t xml:space="preserve"> immediate objective</w:t>
      </w:r>
      <w:r>
        <w:rPr>
          <w:rFonts w:cs="Calibri"/>
          <w:spacing w:val="-2"/>
          <w:w w:val="105"/>
          <w:lang w:val="en-US"/>
        </w:rPr>
        <w:t xml:space="preserve"> is to </w:t>
      </w:r>
      <w:r>
        <w:rPr>
          <w:rFonts w:cs="Calibri"/>
          <w:b/>
          <w:bCs/>
          <w:i/>
          <w:iCs/>
          <w:spacing w:val="-2"/>
          <w:w w:val="105"/>
          <w:lang w:val="en-US"/>
        </w:rPr>
        <w:t>preserve biodiversity, ecosystem services, sequester carbon, improve climate resilience and sustain livelihoods through a ridge-to-reef management of priority watersheds in the two main islands of Fiji</w:t>
      </w:r>
      <w:r>
        <w:rPr>
          <w:rFonts w:cs="Calibri"/>
          <w:spacing w:val="-2"/>
          <w:w w:val="105"/>
          <w:lang w:val="en-US"/>
        </w:rPr>
        <w:t xml:space="preserve">. </w:t>
      </w:r>
    </w:p>
    <w:p w14:paraId="5FC1C25A" w14:textId="77777777" w:rsidR="007372B6" w:rsidRDefault="00000000">
      <w:pPr>
        <w:spacing w:before="120" w:after="60" w:line="288" w:lineRule="auto"/>
        <w:contextualSpacing/>
        <w:jc w:val="both"/>
        <w:rPr>
          <w:rFonts w:ascii="Calibri" w:eastAsia="Calibri" w:hAnsi="Calibri" w:cs="Calibri"/>
          <w:sz w:val="22"/>
          <w:szCs w:val="22"/>
          <w:lang w:eastAsia="en-US"/>
        </w:rPr>
      </w:pPr>
      <w:r>
        <w:rPr>
          <w:rFonts w:ascii="Calibri" w:eastAsia="Calibri" w:hAnsi="Calibri" w:cs="Calibri"/>
          <w:spacing w:val="-2"/>
          <w:w w:val="105"/>
          <w:sz w:val="22"/>
          <w:szCs w:val="22"/>
          <w:lang w:val="en-CA" w:eastAsia="en-US"/>
        </w:rPr>
        <w:t>6. This chain of results was pursued through four</w:t>
      </w:r>
      <w:r>
        <w:rPr>
          <w:rFonts w:ascii="Calibri" w:eastAsia="Calibri" w:hAnsi="Calibri" w:cs="Arial"/>
          <w:spacing w:val="-2"/>
          <w:w w:val="105"/>
          <w:sz w:val="22"/>
          <w:szCs w:val="22"/>
          <w:lang w:eastAsia="en-US"/>
        </w:rPr>
        <w:t xml:space="preserve"> C</w:t>
      </w:r>
      <w:r>
        <w:rPr>
          <w:rFonts w:ascii="Calibri" w:eastAsia="Calibri" w:hAnsi="Calibri" w:cs="Calibri"/>
          <w:spacing w:val="-2"/>
          <w:w w:val="105"/>
          <w:sz w:val="22"/>
          <w:szCs w:val="22"/>
          <w:lang w:eastAsia="en-US"/>
        </w:rPr>
        <w:t>omponents</w:t>
      </w:r>
      <w:r>
        <w:rPr>
          <w:rFonts w:ascii="Calibri" w:eastAsia="Calibri" w:hAnsi="Calibri" w:cs="Arial"/>
          <w:spacing w:val="-2"/>
          <w:w w:val="105"/>
          <w:sz w:val="22"/>
          <w:szCs w:val="22"/>
          <w:lang w:eastAsia="en-US"/>
        </w:rPr>
        <w:t xml:space="preserve"> and seven Outcomes, as follows:</w:t>
      </w:r>
    </w:p>
    <w:p w14:paraId="2749D1F6" w14:textId="77777777" w:rsidR="007372B6" w:rsidRDefault="00000000">
      <w:pPr>
        <w:pStyle w:val="LO-normal"/>
        <w:spacing w:before="120" w:after="60" w:line="240" w:lineRule="auto"/>
        <w:contextualSpacing/>
        <w:jc w:val="both"/>
        <w:rPr>
          <w:rFonts w:cs="Calibri"/>
          <w:b/>
          <w:bCs/>
          <w:spacing w:val="-2"/>
          <w:w w:val="105"/>
          <w:lang w:val="en-US"/>
        </w:rPr>
      </w:pPr>
      <w:r>
        <w:rPr>
          <w:rFonts w:cs="Arial"/>
          <w:b/>
          <w:bCs/>
          <w:spacing w:val="-2"/>
          <w:w w:val="105"/>
          <w:lang w:val="en-US"/>
        </w:rPr>
        <w:t>C</w:t>
      </w:r>
      <w:r>
        <w:rPr>
          <w:rFonts w:cs="Calibri"/>
          <w:b/>
          <w:bCs/>
          <w:spacing w:val="-2"/>
          <w:w w:val="105"/>
          <w:lang w:val="en-US"/>
        </w:rPr>
        <w:t>OMPONENT</w:t>
      </w:r>
      <w:r>
        <w:rPr>
          <w:rFonts w:cs="Calibri"/>
          <w:spacing w:val="-2"/>
          <w:w w:val="105"/>
          <w:lang w:val="en-US"/>
        </w:rPr>
        <w:t xml:space="preserve"> </w:t>
      </w:r>
      <w:r>
        <w:rPr>
          <w:rFonts w:cs="Calibri"/>
          <w:b/>
          <w:bCs/>
          <w:spacing w:val="-2"/>
          <w:w w:val="105"/>
          <w:lang w:val="en-US"/>
        </w:rPr>
        <w:t>1. CONSERVATION OF TERRESTRIAL AND MARINE BIODIVERSITY</w:t>
      </w:r>
    </w:p>
    <w:p w14:paraId="560886FC" w14:textId="77777777" w:rsidR="007372B6" w:rsidRDefault="00000000">
      <w:pPr>
        <w:pStyle w:val="LO-normal"/>
        <w:numPr>
          <w:ilvl w:val="0"/>
          <w:numId w:val="16"/>
        </w:numPr>
        <w:tabs>
          <w:tab w:val="left" w:pos="568"/>
        </w:tabs>
        <w:spacing w:before="120" w:after="60" w:line="240" w:lineRule="auto"/>
        <w:ind w:left="283" w:firstLine="0"/>
        <w:contextualSpacing/>
      </w:pPr>
      <w:r>
        <w:rPr>
          <w:rFonts w:cs="Calibri"/>
          <w:spacing w:val="-2"/>
          <w:w w:val="105"/>
          <w:lang w:val="en-US"/>
        </w:rPr>
        <w:t>Outcome 1.1 Improved management effectiveness of existing and new protected areas;</w:t>
      </w:r>
    </w:p>
    <w:p w14:paraId="202F495D" w14:textId="77777777" w:rsidR="007372B6" w:rsidRDefault="00000000">
      <w:pPr>
        <w:pStyle w:val="LO-normal"/>
        <w:numPr>
          <w:ilvl w:val="0"/>
          <w:numId w:val="16"/>
        </w:numPr>
        <w:tabs>
          <w:tab w:val="left" w:pos="568"/>
        </w:tabs>
        <w:spacing w:before="120" w:after="60" w:line="240" w:lineRule="auto"/>
        <w:ind w:left="283" w:firstLine="0"/>
        <w:contextualSpacing/>
      </w:pPr>
      <w:r>
        <w:rPr>
          <w:rFonts w:cs="Calibri"/>
          <w:spacing w:val="-2"/>
          <w:w w:val="105"/>
          <w:lang w:val="en-US"/>
        </w:rPr>
        <w:t>Outcome 1.2 Improved financial sustainability for terrestrial &amp; marine protected area systems</w:t>
      </w:r>
    </w:p>
    <w:p w14:paraId="511E4A21" w14:textId="77777777" w:rsidR="007372B6" w:rsidRDefault="007372B6">
      <w:pPr>
        <w:pStyle w:val="LO-normal"/>
        <w:spacing w:before="170" w:after="62" w:line="240" w:lineRule="auto"/>
        <w:contextualSpacing/>
        <w:jc w:val="both"/>
        <w:rPr>
          <w:rFonts w:cs="Calibri"/>
          <w:b/>
          <w:spacing w:val="-2"/>
          <w:w w:val="105"/>
          <w:lang w:val="en-US"/>
        </w:rPr>
      </w:pPr>
    </w:p>
    <w:p w14:paraId="120EA98F" w14:textId="77777777" w:rsidR="007372B6" w:rsidRDefault="00000000">
      <w:pPr>
        <w:pStyle w:val="LO-normal"/>
        <w:spacing w:before="170" w:after="62" w:line="240" w:lineRule="auto"/>
        <w:contextualSpacing/>
        <w:jc w:val="both"/>
        <w:rPr>
          <w:rFonts w:cs="Calibri"/>
          <w:b/>
          <w:spacing w:val="-2"/>
          <w:w w:val="105"/>
          <w:lang w:val="en-US"/>
        </w:rPr>
      </w:pPr>
      <w:r>
        <w:rPr>
          <w:rFonts w:cs="Arial"/>
          <w:b/>
          <w:bCs/>
          <w:spacing w:val="-2"/>
          <w:w w:val="105"/>
          <w:lang w:val="en-US"/>
        </w:rPr>
        <w:t>C</w:t>
      </w:r>
      <w:r>
        <w:rPr>
          <w:rFonts w:cs="Calibri"/>
          <w:b/>
          <w:bCs/>
          <w:spacing w:val="-2"/>
          <w:w w:val="105"/>
          <w:lang w:val="en-US"/>
        </w:rPr>
        <w:t xml:space="preserve">OMPONENT </w:t>
      </w:r>
      <w:r>
        <w:rPr>
          <w:rFonts w:cs="Calibri"/>
          <w:b/>
          <w:spacing w:val="-2"/>
          <w:w w:val="105"/>
          <w:lang w:val="en-US"/>
        </w:rPr>
        <w:t>2. CONSERVATION, RESTORATION AND ENHANCEMENT OF CARBON STOCKS THROUGH SUSTAINABLE FORESTRY</w:t>
      </w:r>
    </w:p>
    <w:p w14:paraId="578B970F" w14:textId="77777777" w:rsidR="007372B6" w:rsidRDefault="00000000">
      <w:pPr>
        <w:pStyle w:val="LO-normal"/>
        <w:numPr>
          <w:ilvl w:val="0"/>
          <w:numId w:val="16"/>
        </w:numPr>
        <w:tabs>
          <w:tab w:val="left" w:pos="568"/>
        </w:tabs>
        <w:spacing w:before="120" w:after="60" w:line="240" w:lineRule="auto"/>
        <w:ind w:left="283" w:firstLine="0"/>
        <w:contextualSpacing/>
        <w:jc w:val="both"/>
        <w:rPr>
          <w:rFonts w:cs="Calibri"/>
          <w:spacing w:val="-2"/>
          <w:w w:val="105"/>
          <w:lang w:val="en-US"/>
        </w:rPr>
      </w:pPr>
      <w:r>
        <w:rPr>
          <w:rFonts w:cs="Calibri"/>
          <w:spacing w:val="-2"/>
          <w:w w:val="105"/>
          <w:lang w:val="en-US"/>
        </w:rPr>
        <w:t>Outcome 2.1 Carbon stocks restored and enhanced in priority catchments;</w:t>
      </w:r>
    </w:p>
    <w:p w14:paraId="212EF890" w14:textId="77777777" w:rsidR="007372B6" w:rsidRDefault="00000000">
      <w:pPr>
        <w:pStyle w:val="LO-normal"/>
        <w:numPr>
          <w:ilvl w:val="0"/>
          <w:numId w:val="16"/>
        </w:numPr>
        <w:tabs>
          <w:tab w:val="left" w:pos="568"/>
        </w:tabs>
        <w:spacing w:before="120" w:after="60" w:line="240" w:lineRule="auto"/>
        <w:ind w:left="567" w:hanging="283"/>
        <w:contextualSpacing/>
        <w:rPr>
          <w:rFonts w:cs="Calibri"/>
          <w:spacing w:val="-2"/>
          <w:w w:val="105"/>
          <w:lang w:val="en-US"/>
        </w:rPr>
      </w:pPr>
      <w:r>
        <w:rPr>
          <w:rFonts w:cs="Calibri"/>
          <w:spacing w:val="-2"/>
          <w:w w:val="105"/>
          <w:lang w:val="en-US"/>
        </w:rPr>
        <w:t xml:space="preserve">Outcome 2.2 </w:t>
      </w:r>
      <w:proofErr w:type="gramStart"/>
      <w:r>
        <w:rPr>
          <w:rFonts w:cs="Calibri"/>
          <w:spacing w:val="-2"/>
          <w:w w:val="105"/>
          <w:lang w:val="en-US"/>
        </w:rPr>
        <w:t>Sustainable forest</w:t>
      </w:r>
      <w:proofErr w:type="gramEnd"/>
      <w:r>
        <w:rPr>
          <w:rFonts w:cs="Calibri"/>
          <w:spacing w:val="-2"/>
          <w:w w:val="105"/>
          <w:lang w:val="en-US"/>
        </w:rPr>
        <w:t xml:space="preserve"> management achieved through innovative market-based schemes</w:t>
      </w:r>
    </w:p>
    <w:p w14:paraId="2202652F" w14:textId="77777777" w:rsidR="007372B6" w:rsidRDefault="007372B6">
      <w:pPr>
        <w:pStyle w:val="LO-normal"/>
        <w:tabs>
          <w:tab w:val="left" w:pos="568"/>
        </w:tabs>
        <w:spacing w:before="120" w:after="60" w:line="240" w:lineRule="auto"/>
        <w:contextualSpacing/>
        <w:rPr>
          <w:b/>
          <w:bCs/>
        </w:rPr>
      </w:pPr>
    </w:p>
    <w:p w14:paraId="50F090BE" w14:textId="77777777" w:rsidR="007372B6" w:rsidRDefault="00000000">
      <w:pPr>
        <w:pStyle w:val="LO-normal"/>
        <w:tabs>
          <w:tab w:val="left" w:pos="568"/>
        </w:tabs>
        <w:spacing w:before="120" w:after="60" w:line="240" w:lineRule="auto"/>
        <w:contextualSpacing/>
        <w:rPr>
          <w:b/>
          <w:bCs/>
        </w:rPr>
      </w:pPr>
      <w:r>
        <w:rPr>
          <w:rFonts w:eastAsia="Calibri" w:cs="Arial"/>
          <w:b/>
          <w:bCs/>
          <w:spacing w:val="-2"/>
          <w:w w:val="105"/>
        </w:rPr>
        <w:t>C</w:t>
      </w:r>
      <w:r>
        <w:rPr>
          <w:rFonts w:eastAsia="Calibri" w:cs="Calibri"/>
          <w:b/>
          <w:bCs/>
          <w:spacing w:val="-2"/>
          <w:w w:val="105"/>
        </w:rPr>
        <w:t>OMPONENT 3. INTEGRATED NATURAL RESOURCES MANAGEMENT</w:t>
      </w:r>
    </w:p>
    <w:p w14:paraId="37EDAC9B" w14:textId="77777777" w:rsidR="007372B6" w:rsidRDefault="00000000">
      <w:pPr>
        <w:pStyle w:val="LO-normal"/>
        <w:numPr>
          <w:ilvl w:val="0"/>
          <w:numId w:val="16"/>
        </w:numPr>
        <w:tabs>
          <w:tab w:val="left" w:pos="568"/>
        </w:tabs>
        <w:spacing w:before="120" w:after="60" w:line="240" w:lineRule="auto"/>
        <w:ind w:left="567" w:hanging="283"/>
        <w:contextualSpacing/>
      </w:pPr>
      <w:r>
        <w:rPr>
          <w:rFonts w:cs="Calibri"/>
          <w:color w:val="000000"/>
          <w:spacing w:val="-2"/>
          <w:w w:val="105"/>
          <w:lang w:val="en-US"/>
        </w:rPr>
        <w:t>Outcome 3.1 Integrated catchment management plans integrating conservation of biodiversity, forests, land and water formulated and implemented in priority sites;</w:t>
      </w:r>
    </w:p>
    <w:p w14:paraId="34037925" w14:textId="77777777" w:rsidR="007372B6" w:rsidRDefault="00000000">
      <w:pPr>
        <w:pStyle w:val="LO-normal"/>
        <w:numPr>
          <w:ilvl w:val="0"/>
          <w:numId w:val="16"/>
        </w:numPr>
        <w:tabs>
          <w:tab w:val="left" w:pos="568"/>
        </w:tabs>
        <w:spacing w:before="120" w:after="60" w:line="240" w:lineRule="auto"/>
        <w:ind w:left="567" w:hanging="283"/>
        <w:contextualSpacing/>
        <w:rPr>
          <w:rFonts w:cs="Calibri"/>
          <w:lang w:val="en-US"/>
        </w:rPr>
      </w:pPr>
      <w:r>
        <w:rPr>
          <w:rFonts w:cs="Calibri"/>
          <w:color w:val="000000"/>
          <w:spacing w:val="-2"/>
          <w:w w:val="105"/>
          <w:lang w:val="en-US"/>
        </w:rPr>
        <w:t>Outcome 3.2 Strengthened governance for integrated natural resources (land, water, biodiversity, forests) management</w:t>
      </w:r>
    </w:p>
    <w:p w14:paraId="044B5B2F" w14:textId="77777777" w:rsidR="007372B6" w:rsidRDefault="007372B6">
      <w:pPr>
        <w:pStyle w:val="Heading4"/>
        <w:numPr>
          <w:ilvl w:val="0"/>
          <w:numId w:val="0"/>
        </w:numPr>
        <w:spacing w:before="57" w:after="119"/>
        <w:contextualSpacing/>
        <w:jc w:val="both"/>
      </w:pPr>
    </w:p>
    <w:p w14:paraId="59F5CC46" w14:textId="77777777" w:rsidR="007372B6" w:rsidRDefault="00000000">
      <w:pPr>
        <w:pStyle w:val="Heading4"/>
        <w:numPr>
          <w:ilvl w:val="0"/>
          <w:numId w:val="0"/>
        </w:numPr>
        <w:spacing w:before="120" w:after="120"/>
        <w:contextualSpacing/>
        <w:jc w:val="both"/>
        <w:rPr>
          <w:rFonts w:ascii="Calibri" w:eastAsia="Calibri" w:hAnsi="Calibri" w:cs="Calibri"/>
          <w:bCs/>
          <w:spacing w:val="-2"/>
          <w:w w:val="105"/>
          <w:sz w:val="22"/>
          <w:szCs w:val="22"/>
          <w:lang w:eastAsia="en-US"/>
        </w:rPr>
      </w:pPr>
      <w:r>
        <w:rPr>
          <w:rFonts w:ascii="Calibri" w:eastAsia="Calibri" w:hAnsi="Calibri" w:cs="Arial"/>
          <w:bCs/>
          <w:color w:val="000000"/>
          <w:spacing w:val="-2"/>
          <w:w w:val="105"/>
          <w:sz w:val="22"/>
          <w:szCs w:val="22"/>
          <w:lang w:eastAsia="en-US"/>
        </w:rPr>
        <w:t>C</w:t>
      </w:r>
      <w:r>
        <w:rPr>
          <w:rFonts w:ascii="Calibri" w:eastAsia="Calibri" w:hAnsi="Calibri" w:cs="Calibri"/>
          <w:bCs/>
          <w:color w:val="000000"/>
          <w:spacing w:val="-2"/>
          <w:w w:val="105"/>
          <w:sz w:val="22"/>
          <w:szCs w:val="22"/>
          <w:lang w:eastAsia="en-US"/>
        </w:rPr>
        <w:t>OMPONENT 4. KNOWLEDGE MANAGEMENT</w:t>
      </w:r>
    </w:p>
    <w:p w14:paraId="45AA8E18" w14:textId="77777777" w:rsidR="007372B6" w:rsidRDefault="00000000">
      <w:pPr>
        <w:numPr>
          <w:ilvl w:val="0"/>
          <w:numId w:val="16"/>
        </w:numPr>
        <w:tabs>
          <w:tab w:val="left" w:pos="568"/>
        </w:tabs>
        <w:spacing w:before="120" w:after="60"/>
        <w:ind w:left="567" w:hanging="283"/>
        <w:contextualSpacing/>
        <w:rPr>
          <w:rFonts w:ascii="Calibri" w:eastAsia="Calibri" w:hAnsi="Calibri" w:cs="Calibri"/>
          <w:spacing w:val="-2"/>
          <w:w w:val="105"/>
          <w:sz w:val="22"/>
          <w:szCs w:val="22"/>
          <w:lang w:eastAsia="en-US"/>
        </w:rPr>
      </w:pPr>
      <w:r>
        <w:rPr>
          <w:rFonts w:ascii="Calibri" w:eastAsia="Calibri" w:hAnsi="Calibri" w:cs="Calibri"/>
          <w:color w:val="000000"/>
          <w:spacing w:val="-2"/>
          <w:w w:val="105"/>
          <w:sz w:val="22"/>
          <w:szCs w:val="22"/>
          <w:lang w:eastAsia="en-US"/>
        </w:rPr>
        <w:t xml:space="preserve">Outcome 4.1 Improved data and information systems on biodiversity; land, forests, coastal and marine management; climate change and best practices. </w:t>
      </w:r>
    </w:p>
    <w:p w14:paraId="3B1A0171" w14:textId="77777777" w:rsidR="007372B6" w:rsidRDefault="007372B6">
      <w:pPr>
        <w:tabs>
          <w:tab w:val="left" w:pos="1620"/>
        </w:tabs>
        <w:spacing w:line="312" w:lineRule="auto"/>
        <w:jc w:val="both"/>
        <w:rPr>
          <w:rFonts w:ascii="Calibri" w:hAnsi="Calibri" w:cs="Calibri"/>
          <w:b/>
          <w:bCs/>
          <w:i/>
          <w:iCs/>
        </w:rPr>
      </w:pPr>
    </w:p>
    <w:p w14:paraId="6FB613E8" w14:textId="77777777" w:rsidR="007372B6" w:rsidRDefault="00000000">
      <w:pPr>
        <w:pStyle w:val="TableParagraph"/>
        <w:spacing w:line="312" w:lineRule="auto"/>
        <w:ind w:right="170"/>
        <w:jc w:val="both"/>
        <w:rPr>
          <w:rFonts w:ascii="Calibri" w:hAnsi="Calibri" w:cs="Calibri"/>
          <w:b/>
          <w:bCs/>
          <w:i/>
          <w:iCs/>
        </w:rPr>
      </w:pPr>
      <w:r>
        <w:rPr>
          <w:rFonts w:ascii="Calibri" w:hAnsi="Calibri" w:cs="Calibri"/>
          <w:b/>
          <w:bCs/>
          <w:i/>
          <w:iCs/>
        </w:rPr>
        <w:t>Strategic Results Framework</w:t>
      </w:r>
    </w:p>
    <w:p w14:paraId="37268C8A" w14:textId="77777777" w:rsidR="007372B6" w:rsidRDefault="00000000">
      <w:pPr>
        <w:widowControl w:val="0"/>
        <w:spacing w:line="312" w:lineRule="auto"/>
        <w:ind w:right="170"/>
        <w:jc w:val="both"/>
        <w:rPr>
          <w:rFonts w:ascii="Calibri" w:hAnsi="Calibri" w:cs="Calibri"/>
          <w:b/>
          <w:bCs/>
          <w:i/>
          <w:iCs/>
        </w:rPr>
      </w:pPr>
      <w:r>
        <w:rPr>
          <w:rFonts w:ascii="Calibri" w:eastAsia="Calibri" w:hAnsi="Calibri" w:cs="Calibri"/>
          <w:sz w:val="22"/>
          <w:szCs w:val="22"/>
        </w:rPr>
        <w:t xml:space="preserve">7. The Logic Model represented by a Strategic Results Framework (SRF, see Annex 2) shows the categories of </w:t>
      </w:r>
      <w:r>
        <w:rPr>
          <w:rFonts w:ascii="Calibri" w:eastAsia="Calibri" w:hAnsi="Calibri" w:cs="Calibri"/>
          <w:b/>
          <w:bCs/>
          <w:sz w:val="22"/>
          <w:szCs w:val="22"/>
        </w:rPr>
        <w:t xml:space="preserve">Outputs </w:t>
      </w:r>
      <w:r>
        <w:rPr>
          <w:rFonts w:ascii="Calibri" w:eastAsia="Calibri" w:hAnsi="Calibri" w:cs="Calibri"/>
          <w:sz w:val="22"/>
          <w:szCs w:val="22"/>
        </w:rPr>
        <w:t xml:space="preserve">that were deemed to be needed to arrive at the above </w:t>
      </w:r>
      <w:r>
        <w:rPr>
          <w:rFonts w:ascii="Calibri" w:eastAsia="Calibri" w:hAnsi="Calibri" w:cs="Calibri"/>
          <w:b/>
          <w:bCs/>
          <w:sz w:val="22"/>
          <w:szCs w:val="22"/>
        </w:rPr>
        <w:t>Outcomes</w:t>
      </w:r>
      <w:r>
        <w:rPr>
          <w:rFonts w:ascii="Calibri" w:eastAsia="Calibri" w:hAnsi="Calibri" w:cs="Calibri"/>
          <w:sz w:val="22"/>
          <w:szCs w:val="22"/>
        </w:rPr>
        <w:t>. The Activities and Inputs provided by the various Implementing Partners and donors were designed to support the production of the necessary outputs.</w:t>
      </w:r>
    </w:p>
    <w:p w14:paraId="5CEA5B47" w14:textId="77777777" w:rsidR="007372B6" w:rsidRDefault="007372B6">
      <w:pPr>
        <w:spacing w:line="288" w:lineRule="auto"/>
        <w:ind w:left="720" w:right="183"/>
        <w:jc w:val="both"/>
        <w:rPr>
          <w:rFonts w:ascii="Calibri" w:eastAsia="Calibri" w:hAnsi="Calibri" w:cs="Calibri"/>
          <w:sz w:val="22"/>
          <w:szCs w:val="22"/>
        </w:rPr>
      </w:pPr>
    </w:p>
    <w:p w14:paraId="25BCA822" w14:textId="77777777" w:rsidR="007372B6" w:rsidRDefault="00000000">
      <w:pPr>
        <w:widowControl w:val="0"/>
        <w:tabs>
          <w:tab w:val="left" w:pos="220"/>
        </w:tabs>
        <w:spacing w:line="312" w:lineRule="auto"/>
        <w:ind w:right="170"/>
        <w:jc w:val="both"/>
        <w:rPr>
          <w:rFonts w:ascii="Calibri" w:hAnsi="Calibri" w:cs="Calibri"/>
          <w:b/>
          <w:bCs/>
          <w:i/>
          <w:iCs/>
        </w:rPr>
      </w:pPr>
      <w:r>
        <w:rPr>
          <w:rFonts w:ascii="Calibri" w:hAnsi="Calibri" w:cs="Cambria"/>
          <w:color w:val="000000"/>
          <w:sz w:val="22"/>
          <w:szCs w:val="22"/>
          <w:lang w:val="en-GB" w:eastAsia="en-US"/>
        </w:rPr>
        <w:t>8. This</w:t>
      </w:r>
      <w:r>
        <w:rPr>
          <w:rFonts w:ascii="Calibri" w:eastAsia="Calibri" w:hAnsi="Calibri" w:cs="Cambria"/>
          <w:color w:val="000000"/>
          <w:sz w:val="22"/>
          <w:szCs w:val="22"/>
          <w:lang w:val="en-GB" w:eastAsia="en-US"/>
        </w:rPr>
        <w:t xml:space="preserve"> logic model does not fully convey an </w:t>
      </w:r>
      <w:r>
        <w:rPr>
          <w:rFonts w:ascii="Calibri" w:hAnsi="Calibri" w:cs="Cambria"/>
          <w:color w:val="000000"/>
          <w:sz w:val="22"/>
          <w:szCs w:val="22"/>
          <w:lang w:val="en-GB" w:eastAsia="en-US"/>
        </w:rPr>
        <w:t>overall</w:t>
      </w:r>
      <w:r>
        <w:rPr>
          <w:rFonts w:ascii="Calibri" w:eastAsia="Calibri" w:hAnsi="Calibri" w:cs="Cambria"/>
          <w:color w:val="000000"/>
          <w:sz w:val="22"/>
          <w:szCs w:val="22"/>
          <w:lang w:val="en-GB" w:eastAsia="en-US"/>
        </w:rPr>
        <w:t xml:space="preserve"> theory of change for a complex project such as the Ridge to Reef (see summary of project logic in Section 4.1, page 13). </w:t>
      </w:r>
      <w:r>
        <w:rPr>
          <w:rFonts w:ascii="Calibri" w:hAnsi="Calibri" w:cs="Cambria"/>
          <w:color w:val="000000"/>
          <w:sz w:val="22"/>
          <w:szCs w:val="22"/>
          <w:lang w:val="en-GB" w:eastAsia="en-US"/>
        </w:rPr>
        <w:t>Nevertheless, the existing logic model provided enough of a basis against which the evaluation could measure progress.</w:t>
      </w:r>
      <w:r>
        <w:rPr>
          <w:rFonts w:ascii="Calibri" w:eastAsia="Calibri" w:hAnsi="Calibri" w:cs="Cambria"/>
          <w:color w:val="000000"/>
          <w:sz w:val="22"/>
          <w:szCs w:val="22"/>
        </w:rPr>
        <w:t xml:space="preserve"> T</w:t>
      </w:r>
      <w:r>
        <w:rPr>
          <w:rFonts w:ascii="Calibri" w:eastAsia="Calibri" w:hAnsi="Calibri" w:cs="Cambria"/>
          <w:color w:val="000000"/>
          <w:spacing w:val="-2"/>
          <w:w w:val="105"/>
          <w:sz w:val="22"/>
          <w:szCs w:val="22"/>
          <w:lang w:val="en-CA"/>
        </w:rPr>
        <w:t>his shortcoming was recognized by the MTR, which recommended that the project</w:t>
      </w:r>
      <w:r>
        <w:rPr>
          <w:rFonts w:ascii="Calibri" w:eastAsia="Calibri" w:hAnsi="Calibri" w:cs="Cambria"/>
          <w:color w:val="FF0000"/>
          <w:spacing w:val="-2"/>
          <w:w w:val="105"/>
          <w:sz w:val="22"/>
          <w:szCs w:val="22"/>
          <w:lang w:val="en-CA"/>
        </w:rPr>
        <w:t xml:space="preserve"> </w:t>
      </w:r>
      <w:r>
        <w:rPr>
          <w:rFonts w:ascii="Calibri" w:eastAsia="Calibri" w:hAnsi="Calibri" w:cs="Cambria"/>
          <w:color w:val="000000"/>
          <w:spacing w:val="-2"/>
          <w:w w:val="105"/>
          <w:sz w:val="22"/>
          <w:szCs w:val="22"/>
          <w:lang w:val="en-CA"/>
        </w:rPr>
        <w:t>improve its technical capabilities in order to</w:t>
      </w:r>
      <w:r>
        <w:rPr>
          <w:rFonts w:ascii="Calibri" w:hAnsi="Calibri" w:cs="Cambria"/>
          <w:color w:val="000000"/>
          <w:spacing w:val="-2"/>
          <w:w w:val="105"/>
          <w:sz w:val="22"/>
          <w:szCs w:val="22"/>
          <w:lang w:val="en-GB" w:eastAsia="en-US"/>
        </w:rPr>
        <w:t xml:space="preserve"> meet the expected results during the second half of the project.</w:t>
      </w:r>
      <w:r>
        <w:rPr>
          <w:rStyle w:val="FootnoteAnchor"/>
          <w:rFonts w:ascii="Calibri" w:hAnsi="Calibri" w:cs="Cambria"/>
          <w:color w:val="000000"/>
          <w:spacing w:val="-2"/>
          <w:w w:val="105"/>
          <w:sz w:val="22"/>
          <w:szCs w:val="22"/>
          <w:lang w:val="en-GB" w:eastAsia="en-US"/>
        </w:rPr>
        <w:footnoteReference w:id="8"/>
      </w:r>
    </w:p>
    <w:p w14:paraId="518AE50F" w14:textId="77777777" w:rsidR="007372B6" w:rsidRDefault="007372B6">
      <w:pPr>
        <w:widowControl w:val="0"/>
        <w:tabs>
          <w:tab w:val="left" w:pos="220"/>
        </w:tabs>
        <w:spacing w:line="312" w:lineRule="auto"/>
        <w:ind w:right="170"/>
        <w:jc w:val="both"/>
        <w:rPr>
          <w:rFonts w:ascii="Calibri" w:hAnsi="Calibri" w:cs="Calibri"/>
          <w:b/>
          <w:bCs/>
          <w:i/>
          <w:iCs/>
        </w:rPr>
      </w:pPr>
    </w:p>
    <w:p w14:paraId="58825FF1" w14:textId="77777777" w:rsidR="007372B6" w:rsidRDefault="00000000">
      <w:pPr>
        <w:rPr>
          <w:rFonts w:ascii="Calibri" w:hAnsi="Calibri"/>
          <w:b/>
          <w:bCs/>
          <w:i/>
          <w:iCs/>
          <w:sz w:val="22"/>
          <w:shd w:val="clear" w:color="auto" w:fill="00FFFF"/>
        </w:rPr>
      </w:pPr>
      <w:r>
        <w:rPr>
          <w:rFonts w:ascii="Calibri" w:hAnsi="Calibri"/>
          <w:b/>
          <w:bCs/>
          <w:i/>
          <w:iCs/>
          <w:sz w:val="22"/>
        </w:rPr>
        <w:tab/>
        <w:t xml:space="preserve">3.3 </w:t>
      </w:r>
      <w:r>
        <w:rPr>
          <w:rFonts w:ascii="Calibri" w:hAnsi="Calibri"/>
          <w:b/>
          <w:bCs/>
          <w:i/>
          <w:iCs/>
          <w:sz w:val="22"/>
        </w:rPr>
        <w:tab/>
      </w:r>
      <w:r>
        <w:rPr>
          <w:rFonts w:ascii="Calibri" w:hAnsi="Calibri" w:cs="Calibri"/>
          <w:b/>
          <w:bCs/>
          <w:i/>
          <w:iCs/>
          <w:sz w:val="22"/>
          <w:szCs w:val="22"/>
        </w:rPr>
        <w:t>Development and Environmental Context</w:t>
      </w:r>
      <w:r>
        <w:rPr>
          <w:rFonts w:ascii="Calibri" w:hAnsi="Calibri" w:cs="Calibri"/>
          <w:b/>
          <w:bCs/>
          <w:i/>
          <w:iCs/>
          <w:sz w:val="22"/>
          <w:szCs w:val="22"/>
          <w:shd w:val="clear" w:color="auto" w:fill="00FFFF"/>
        </w:rPr>
        <w:t xml:space="preserve"> </w:t>
      </w:r>
    </w:p>
    <w:p w14:paraId="1CA7852F" w14:textId="77777777" w:rsidR="007372B6" w:rsidRDefault="007372B6">
      <w:pPr>
        <w:spacing w:line="288" w:lineRule="auto"/>
        <w:ind w:left="720" w:right="183"/>
        <w:jc w:val="both"/>
        <w:rPr>
          <w:rFonts w:ascii="Calibri" w:eastAsia="Calibri" w:hAnsi="Calibri" w:cs="Arial"/>
          <w:color w:val="000000"/>
          <w:sz w:val="22"/>
          <w:szCs w:val="22"/>
        </w:rPr>
      </w:pPr>
    </w:p>
    <w:p w14:paraId="61AD0D60" w14:textId="77777777" w:rsidR="007372B6" w:rsidRDefault="00000000">
      <w:pPr>
        <w:widowControl w:val="0"/>
        <w:spacing w:line="312" w:lineRule="auto"/>
        <w:ind w:right="170"/>
        <w:jc w:val="both"/>
        <w:rPr>
          <w:rFonts w:ascii="Calibri" w:hAnsi="Calibri" w:cs="Calibri"/>
          <w:b/>
          <w:bCs/>
          <w:i/>
          <w:iCs/>
        </w:rPr>
      </w:pPr>
      <w:r>
        <w:rPr>
          <w:rFonts w:ascii="Calibri" w:hAnsi="Calibri"/>
          <w:bCs/>
          <w:color w:val="000000"/>
          <w:sz w:val="22"/>
          <w:szCs w:val="22"/>
          <w:lang w:eastAsia="en-US"/>
        </w:rPr>
        <w:t xml:space="preserve">9. The R2R project fits into the larger Pacific regional and Fijian environmental and development landscape, where there exists a broad set of multilateral, bilateral and civil society institutions and </w:t>
      </w:r>
      <w:r>
        <w:rPr>
          <w:rFonts w:ascii="Calibri" w:hAnsi="Calibri"/>
          <w:bCs/>
          <w:color w:val="000000"/>
          <w:sz w:val="22"/>
          <w:szCs w:val="22"/>
          <w:lang w:eastAsia="en-US"/>
        </w:rPr>
        <w:lastRenderedPageBreak/>
        <w:t>project interventions designed to</w:t>
      </w:r>
      <w:r>
        <w:rPr>
          <w:rFonts w:ascii="Calibri" w:eastAsia="Calibri" w:hAnsi="Calibri" w:cs="Calibri"/>
          <w:b/>
          <w:bCs/>
          <w:i/>
          <w:iCs/>
          <w:color w:val="000000"/>
          <w:spacing w:val="-2"/>
          <w:w w:val="105"/>
          <w:sz w:val="22"/>
          <w:szCs w:val="22"/>
          <w:shd w:val="clear" w:color="auto" w:fill="FFFFFF"/>
          <w:lang w:eastAsia="en-US"/>
        </w:rPr>
        <w:t xml:space="preserve"> maintain and enhance ecosystem goods and services through implementing integrated approaches to land, water, forest, biodiversity and coastal resource management that are designed to contribute to poverty reduction, sustainable livelihoods and climate resilience</w:t>
      </w:r>
      <w:r>
        <w:rPr>
          <w:rFonts w:ascii="Calibri" w:hAnsi="Calibri"/>
          <w:bCs/>
          <w:color w:val="000000"/>
          <w:sz w:val="22"/>
          <w:szCs w:val="22"/>
          <w:lang w:eastAsia="en-US"/>
        </w:rPr>
        <w:t>.</w:t>
      </w:r>
    </w:p>
    <w:p w14:paraId="46E709A5" w14:textId="77777777" w:rsidR="007372B6" w:rsidRDefault="007372B6">
      <w:pPr>
        <w:spacing w:line="312" w:lineRule="auto"/>
        <w:ind w:left="720" w:right="121"/>
        <w:jc w:val="both"/>
        <w:rPr>
          <w:rFonts w:ascii="Calibri" w:hAnsi="Calibri"/>
          <w:bCs/>
          <w:color w:val="000000"/>
          <w:sz w:val="22"/>
          <w:szCs w:val="22"/>
          <w:lang w:eastAsia="en-US"/>
        </w:rPr>
      </w:pPr>
    </w:p>
    <w:p w14:paraId="2869DCC1" w14:textId="77777777" w:rsidR="007372B6" w:rsidRDefault="00000000">
      <w:pPr>
        <w:spacing w:line="312" w:lineRule="auto"/>
        <w:jc w:val="both"/>
        <w:rPr>
          <w:rFonts w:ascii="Calibri" w:hAnsi="Calibri"/>
          <w:bCs/>
          <w:color w:val="000000"/>
          <w:sz w:val="22"/>
          <w:szCs w:val="22"/>
          <w:lang w:eastAsia="en-US"/>
        </w:rPr>
      </w:pPr>
      <w:r>
        <w:rPr>
          <w:rFonts w:ascii="Calibri" w:hAnsi="Calibri"/>
          <w:bCs/>
          <w:color w:val="000000"/>
          <w:w w:val="105"/>
          <w:sz w:val="22"/>
          <w:szCs w:val="22"/>
          <w:lang w:eastAsia="en-US"/>
        </w:rPr>
        <w:t>10. The Ridge to Reef project was built on efforts by the Fijian Government to adopt a whole-of-government, integrated, holistic and environmentally sustainable approach through the Green Growth Framework, and building on the lessons and experiences generated from previous projects such as Sustainable Land Management project, the Integrated Watershed Resources Management, Ecosystem Based Management approaches, REDD+ readiness and forest carbon assessments, reforestation of native trees, and other relevant initiatives that key implementing partners of the project have executed.</w:t>
      </w:r>
      <w:r>
        <w:rPr>
          <w:rStyle w:val="FootnoteAnchor"/>
          <w:rFonts w:ascii="Calibri" w:hAnsi="Calibri"/>
          <w:bCs/>
          <w:color w:val="000000"/>
          <w:w w:val="105"/>
          <w:sz w:val="22"/>
          <w:szCs w:val="22"/>
          <w:lang w:eastAsia="en-US"/>
        </w:rPr>
        <w:footnoteReference w:id="9"/>
      </w:r>
      <w:r>
        <w:rPr>
          <w:rFonts w:ascii="Calibri" w:hAnsi="Calibri"/>
          <w:bCs/>
          <w:color w:val="000000"/>
          <w:w w:val="105"/>
          <w:sz w:val="22"/>
          <w:szCs w:val="22"/>
          <w:lang w:eastAsia="en-US"/>
        </w:rPr>
        <w:t xml:space="preserve"> The project was an expansion of a Protected Areas project, where the concept was to improve protection by engaging communities to manage their land and watershed sustainably. </w:t>
      </w:r>
      <w:r>
        <w:rPr>
          <w:rFonts w:ascii="Calibri" w:eastAsia="Calibri" w:hAnsi="Calibri" w:cs="Calibri"/>
          <w:bCs/>
          <w:color w:val="000000"/>
          <w:spacing w:val="-2"/>
          <w:w w:val="105"/>
          <w:sz w:val="22"/>
          <w:szCs w:val="22"/>
          <w:lang w:eastAsia="en-US"/>
        </w:rPr>
        <w:t>See lessons</w:t>
      </w:r>
      <w:r>
        <w:rPr>
          <w:rFonts w:ascii="Calibri" w:eastAsia="Calibri" w:hAnsi="Calibri" w:cs="Calibri"/>
          <w:color w:val="000000"/>
          <w:spacing w:val="-2"/>
          <w:w w:val="105"/>
          <w:sz w:val="22"/>
          <w:szCs w:val="22"/>
          <w:lang w:eastAsia="en-US"/>
        </w:rPr>
        <w:t xml:space="preserve"> </w:t>
      </w:r>
      <w:r>
        <w:rPr>
          <w:rFonts w:ascii="Calibri" w:eastAsiaTheme="minorHAnsi" w:hAnsi="Calibri" w:cs="Calibri"/>
          <w:color w:val="000000"/>
          <w:spacing w:val="-2"/>
          <w:w w:val="105"/>
          <w:sz w:val="22"/>
          <w:szCs w:val="28"/>
          <w:lang w:val="en-CA" w:eastAsia="en-US" w:bidi="th-TH"/>
        </w:rPr>
        <w:t xml:space="preserve">from other relevant projects (the Findings Section below, page 20) and </w:t>
      </w:r>
      <w:r>
        <w:rPr>
          <w:rFonts w:ascii="Calibri" w:eastAsia="Calibri" w:hAnsi="Calibri" w:cs="Calibri"/>
          <w:bCs/>
          <w:color w:val="000000"/>
          <w:spacing w:val="-2"/>
          <w:w w:val="105"/>
          <w:sz w:val="22"/>
          <w:szCs w:val="22"/>
          <w:lang w:eastAsia="en-US"/>
        </w:rPr>
        <w:t>Annex 7 for a list of relevant projects in Fiji and the Pacific region.</w:t>
      </w:r>
    </w:p>
    <w:p w14:paraId="00469B7A" w14:textId="77777777" w:rsidR="007372B6" w:rsidRDefault="007372B6">
      <w:pPr>
        <w:ind w:left="1433"/>
        <w:jc w:val="both"/>
        <w:rPr>
          <w:rFonts w:ascii="Calibri" w:hAnsi="Calibri"/>
          <w:bCs/>
          <w:color w:val="000000"/>
          <w:w w:val="105"/>
          <w:sz w:val="22"/>
          <w:szCs w:val="22"/>
          <w:lang w:eastAsia="en-US"/>
        </w:rPr>
      </w:pPr>
    </w:p>
    <w:p w14:paraId="2FC7561D" w14:textId="77777777" w:rsidR="007372B6" w:rsidRDefault="00000000">
      <w:pPr>
        <w:widowControl w:val="0"/>
        <w:spacing w:line="312" w:lineRule="auto"/>
        <w:jc w:val="both"/>
        <w:rPr>
          <w:rFonts w:ascii="Calibri" w:hAnsi="Calibri" w:cs="Calibri"/>
          <w:b/>
          <w:bCs/>
          <w:i/>
          <w:iCs/>
        </w:rPr>
      </w:pPr>
      <w:r>
        <w:rPr>
          <w:rFonts w:ascii="Calibri" w:hAnsi="Calibri"/>
          <w:bCs/>
          <w:color w:val="000000"/>
          <w:sz w:val="22"/>
          <w:szCs w:val="22"/>
          <w:lang w:eastAsia="en-US"/>
        </w:rPr>
        <w:t>11. Fiji comprises more than 332 islands, about one-third of which are inhabited, with a total land area of 18,333 km</w:t>
      </w:r>
      <w:r>
        <w:rPr>
          <w:rFonts w:ascii="Calibri" w:hAnsi="Calibri"/>
          <w:bCs/>
          <w:color w:val="000000"/>
          <w:sz w:val="22"/>
          <w:szCs w:val="22"/>
          <w:vertAlign w:val="superscript"/>
          <w:lang w:eastAsia="en-US"/>
        </w:rPr>
        <w:t>2</w:t>
      </w:r>
      <w:r>
        <w:rPr>
          <w:rFonts w:ascii="Calibri" w:hAnsi="Calibri"/>
          <w:bCs/>
          <w:color w:val="000000"/>
          <w:sz w:val="22"/>
          <w:szCs w:val="22"/>
          <w:lang w:eastAsia="en-US"/>
        </w:rPr>
        <w:t xml:space="preserve"> in a vast marine Exclusive Economic Zone (EEZ) of 1.6 M km</w:t>
      </w:r>
      <w:r>
        <w:rPr>
          <w:rFonts w:ascii="Calibri" w:hAnsi="Calibri"/>
          <w:bCs/>
          <w:color w:val="000000"/>
          <w:sz w:val="22"/>
          <w:szCs w:val="22"/>
          <w:vertAlign w:val="superscript"/>
          <w:lang w:eastAsia="en-US"/>
        </w:rPr>
        <w:t>2</w:t>
      </w:r>
      <w:r>
        <w:rPr>
          <w:rFonts w:ascii="Calibri" w:hAnsi="Calibri"/>
          <w:bCs/>
          <w:color w:val="000000"/>
          <w:sz w:val="22"/>
          <w:szCs w:val="22"/>
          <w:lang w:eastAsia="en-US"/>
        </w:rPr>
        <w:t xml:space="preserve">. A significant portion of the economy is dependent on exploitation of Fiji’s natural resource base especially the pelagic fisheries in its exclusive economic zone. With limited land area, Fiji experiences intense competing pressures on land resources for agriculture, tourism, transport, water and other needs. With some of the highest rainfall on the planet (typically more than 2000mm), Fiji is endowed with abundant natural water resources and indeed bottled mineral water has become a top export earner. </w:t>
      </w:r>
      <w:proofErr w:type="gramStart"/>
      <w:r>
        <w:rPr>
          <w:rFonts w:ascii="Calibri" w:hAnsi="Calibri"/>
          <w:bCs/>
          <w:color w:val="000000"/>
          <w:sz w:val="22"/>
          <w:szCs w:val="22"/>
          <w:lang w:eastAsia="en-US"/>
        </w:rPr>
        <w:t>Nevertheless</w:t>
      </w:r>
      <w:proofErr w:type="gramEnd"/>
      <w:r>
        <w:rPr>
          <w:rFonts w:ascii="Calibri" w:hAnsi="Calibri"/>
          <w:bCs/>
          <w:color w:val="000000"/>
          <w:sz w:val="22"/>
          <w:szCs w:val="22"/>
          <w:lang w:eastAsia="en-US"/>
        </w:rPr>
        <w:t xml:space="preserve"> domestic water supply and quality matters are common problems, exacerbated by leakages (often 50% or more losses) in poorly maintained water supply infrastructure. Improperly treated wastewater releases, poorly sited toilets and/or overuse of fertilizer in upstream communities/farms pollute coastal waters, create disease outbreaks, and contaminate sensitive groundwater supplies. Native forests are threatened by climate change and fire (although climate modeling indicates increased rainfall in the drier zones of Fiji), conversion to agriculture and most pervasively by invasive species especially by African tulip tree which invades abandoned shifting agricultural sites and open, degraded secondary forest. Forest harvesting practices, including in mahogany and pine plantations, are all too often not conducted in accordance with Fiji’s code of logging practice.</w:t>
      </w:r>
      <w:r>
        <w:rPr>
          <w:rStyle w:val="FootnoteAnchor"/>
          <w:rFonts w:ascii="Calibri" w:hAnsi="Calibri"/>
          <w:bCs/>
          <w:color w:val="000000"/>
          <w:sz w:val="22"/>
          <w:szCs w:val="22"/>
          <w:lang w:eastAsia="en-US"/>
        </w:rPr>
        <w:footnoteReference w:id="10"/>
      </w:r>
    </w:p>
    <w:p w14:paraId="0D3F5242" w14:textId="77777777" w:rsidR="007372B6" w:rsidRDefault="007372B6">
      <w:pPr>
        <w:spacing w:line="312" w:lineRule="auto"/>
        <w:ind w:left="720" w:right="121"/>
        <w:jc w:val="both"/>
        <w:rPr>
          <w:rFonts w:ascii="Calibri" w:hAnsi="Calibri"/>
          <w:bCs/>
          <w:color w:val="000000"/>
          <w:sz w:val="22"/>
          <w:szCs w:val="22"/>
          <w:lang w:eastAsia="en-US"/>
        </w:rPr>
      </w:pPr>
    </w:p>
    <w:p w14:paraId="514366EC" w14:textId="77777777" w:rsidR="007372B6" w:rsidRDefault="00000000">
      <w:pPr>
        <w:widowControl w:val="0"/>
        <w:spacing w:line="312" w:lineRule="auto"/>
        <w:jc w:val="both"/>
        <w:rPr>
          <w:rFonts w:ascii="Calibri" w:hAnsi="Calibri" w:cs="Calibri"/>
          <w:b/>
          <w:bCs/>
          <w:i/>
          <w:iCs/>
        </w:rPr>
      </w:pPr>
      <w:r>
        <w:rPr>
          <w:rFonts w:ascii="Calibri" w:hAnsi="Calibri"/>
          <w:bCs/>
          <w:color w:val="000000"/>
          <w:sz w:val="22"/>
          <w:szCs w:val="22"/>
          <w:lang w:eastAsia="en-US"/>
        </w:rPr>
        <w:t>12. Extreme weather events, notably episodes of intense rainfall, coupled with cultivation on steep erodible soils</w:t>
      </w:r>
      <w:r>
        <w:rPr>
          <w:rStyle w:val="FootnoteAnchor"/>
          <w:rFonts w:ascii="Calibri" w:hAnsi="Calibri"/>
          <w:bCs/>
          <w:color w:val="000000"/>
          <w:sz w:val="22"/>
          <w:szCs w:val="22"/>
          <w:lang w:eastAsia="en-US"/>
        </w:rPr>
        <w:footnoteReference w:id="11"/>
      </w:r>
      <w:r>
        <w:rPr>
          <w:rFonts w:ascii="Calibri" w:hAnsi="Calibri"/>
          <w:bCs/>
          <w:color w:val="000000"/>
          <w:sz w:val="22"/>
          <w:szCs w:val="22"/>
          <w:lang w:eastAsia="en-US"/>
        </w:rPr>
        <w:t xml:space="preserve"> and in riparian zones and bad logging practices over many decades, have massively increased the frequency of damaging and flash flooding. Flooding has also been aggravated by poorly </w:t>
      </w:r>
      <w:r>
        <w:rPr>
          <w:rFonts w:ascii="Calibri" w:hAnsi="Calibri"/>
          <w:bCs/>
          <w:color w:val="000000"/>
          <w:sz w:val="22"/>
          <w:szCs w:val="22"/>
          <w:lang w:eastAsia="en-US"/>
        </w:rPr>
        <w:lastRenderedPageBreak/>
        <w:t xml:space="preserve">regulated and excessive gravel and boulder extraction in the mid and upper catchments, with the economic damage compounded by inappropriate developments and squatter settlements in flood plains. For some river systems, extreme sedimentation and reduced hydraulic capacity may need to be rectified by dredging, but such flood control measures will only be beneficial if complemented by measures to reduce soil erosion and improve infiltration (i.e. rotational cropping, reforestation, retarding basins, bunds, Keyline farming/subsoiling and other systems to slow runoff) and relocate sensitive infrastructure away from areas which will be subject to increasingly regular flooding due to climate change. </w:t>
      </w:r>
    </w:p>
    <w:p w14:paraId="21D04760" w14:textId="77777777" w:rsidR="007372B6" w:rsidRDefault="007372B6">
      <w:pPr>
        <w:spacing w:line="312" w:lineRule="auto"/>
        <w:ind w:left="720" w:right="121"/>
        <w:jc w:val="both"/>
        <w:rPr>
          <w:rFonts w:ascii="Calibri" w:hAnsi="Calibri"/>
          <w:bCs/>
          <w:color w:val="000000"/>
          <w:sz w:val="22"/>
          <w:szCs w:val="22"/>
          <w:shd w:val="clear" w:color="auto" w:fill="FFFF00"/>
          <w:lang w:eastAsia="en-US"/>
        </w:rPr>
      </w:pPr>
    </w:p>
    <w:p w14:paraId="4E4EE6F8" w14:textId="77777777" w:rsidR="007372B6" w:rsidRDefault="00000000">
      <w:pPr>
        <w:pStyle w:val="ListParagraph"/>
        <w:widowControl w:val="0"/>
        <w:tabs>
          <w:tab w:val="left" w:pos="220"/>
        </w:tabs>
        <w:spacing w:line="312" w:lineRule="auto"/>
        <w:ind w:left="0"/>
        <w:contextualSpacing w:val="0"/>
        <w:jc w:val="both"/>
        <w:rPr>
          <w:rFonts w:ascii="Calibri" w:hAnsi="Calibri" w:cs="Calibri"/>
          <w:b/>
          <w:bCs/>
          <w:i/>
          <w:iCs/>
        </w:rPr>
      </w:pPr>
      <w:r>
        <w:rPr>
          <w:rFonts w:ascii="Calibri" w:eastAsia="Calibri Light" w:hAnsi="Calibri" w:cs="Calibri"/>
          <w:color w:val="000000"/>
          <w:sz w:val="22"/>
          <w:szCs w:val="22"/>
          <w:lang w:eastAsia="en-US"/>
        </w:rPr>
        <w:t>13. The R2R project was designed on the foundations of the</w:t>
      </w:r>
      <w:r>
        <w:rPr>
          <w:rFonts w:ascii="Calibri" w:eastAsia="Calibri" w:hAnsi="Calibri" w:cs="Calibri"/>
          <w:bCs/>
          <w:color w:val="000000"/>
          <w:spacing w:val="-2"/>
          <w:w w:val="105"/>
          <w:sz w:val="22"/>
          <w:szCs w:val="22"/>
          <w:lang w:eastAsia="en-US"/>
        </w:rPr>
        <w:t xml:space="preserve"> GEF’s 5 Focal Area strategies: the Biodiversity Strategy, Land Degradation Strategy, Sustainable Forest Management/REDD+ Strategy, Climate Change Strategy, and International Waters Strategy.</w:t>
      </w:r>
      <w:r>
        <w:rPr>
          <w:rFonts w:ascii="Calibri" w:eastAsia="Calibri" w:hAnsi="Calibri" w:cs="Calibri"/>
          <w:bCs/>
          <w:color w:val="000000"/>
          <w:spacing w:val="-2"/>
          <w:w w:val="105"/>
          <w:sz w:val="22"/>
          <w:szCs w:val="22"/>
          <w:shd w:val="clear" w:color="auto" w:fill="FFFF00"/>
          <w:lang w:eastAsia="en-US"/>
        </w:rPr>
        <w:t xml:space="preserve"> </w:t>
      </w:r>
    </w:p>
    <w:p w14:paraId="43FFA1AB" w14:textId="77777777" w:rsidR="007372B6" w:rsidRDefault="00000000">
      <w:pPr>
        <w:spacing w:before="120" w:after="120"/>
        <w:contextualSpacing/>
        <w:jc w:val="both"/>
        <w:rPr>
          <w:rFonts w:ascii="Calibri" w:eastAsia="Calibri Light" w:hAnsi="Calibri" w:cs="Calibri"/>
          <w:bCs/>
          <w:color w:val="000000"/>
          <w:sz w:val="22"/>
          <w:szCs w:val="22"/>
          <w:lang w:eastAsia="en-US"/>
        </w:rPr>
      </w:pPr>
      <w:r>
        <w:rPr>
          <w:rFonts w:ascii="Calibri" w:eastAsia="Calibri Light" w:hAnsi="Calibri" w:cs="Calibri"/>
          <w:bCs/>
          <w:color w:val="000000"/>
          <w:sz w:val="22"/>
          <w:szCs w:val="22"/>
          <w:lang w:eastAsia="en-US"/>
        </w:rPr>
        <w:t>14. Nationally, the Ridge to Reef project is fully consistent with Fiji’s national priorities and plans described in the following documents:</w:t>
      </w:r>
    </w:p>
    <w:p w14:paraId="40E9F457" w14:textId="77777777" w:rsidR="007372B6" w:rsidRDefault="00000000">
      <w:pPr>
        <w:pStyle w:val="ListParagraph"/>
        <w:numPr>
          <w:ilvl w:val="0"/>
          <w:numId w:val="2"/>
        </w:numPr>
        <w:spacing w:before="120" w:after="120"/>
        <w:ind w:left="1571" w:hanging="425"/>
        <w:jc w:val="both"/>
      </w:pPr>
      <w:r>
        <w:rPr>
          <w:rFonts w:ascii="Calibri" w:eastAsia="Calibri Light" w:hAnsi="Calibri" w:cs="Calibri"/>
          <w:bCs/>
          <w:color w:val="000000"/>
          <w:sz w:val="22"/>
          <w:szCs w:val="22"/>
          <w:lang w:eastAsia="en-US"/>
        </w:rPr>
        <w:t>5 Year &amp; 20 Year National Development Plan (2017)</w:t>
      </w:r>
    </w:p>
    <w:p w14:paraId="6A4F7190" w14:textId="77777777" w:rsidR="007372B6" w:rsidRDefault="00000000">
      <w:pPr>
        <w:pStyle w:val="ListParagraph"/>
        <w:numPr>
          <w:ilvl w:val="0"/>
          <w:numId w:val="2"/>
        </w:numPr>
        <w:spacing w:before="120" w:after="120"/>
        <w:ind w:left="1571" w:hanging="425"/>
        <w:jc w:val="both"/>
      </w:pPr>
      <w:r>
        <w:rPr>
          <w:rFonts w:ascii="Calibri" w:eastAsia="Calibri Light" w:hAnsi="Calibri" w:cs="Calibri"/>
          <w:bCs/>
          <w:color w:val="000000"/>
          <w:sz w:val="22"/>
          <w:szCs w:val="22"/>
          <w:lang w:eastAsia="en-US"/>
        </w:rPr>
        <w:t>Green Growth Framework (2014)</w:t>
      </w:r>
    </w:p>
    <w:p w14:paraId="04C497DA" w14:textId="77777777" w:rsidR="007372B6" w:rsidRDefault="00000000">
      <w:pPr>
        <w:pStyle w:val="ListParagraph"/>
        <w:numPr>
          <w:ilvl w:val="0"/>
          <w:numId w:val="2"/>
        </w:numPr>
        <w:spacing w:before="120" w:after="120"/>
        <w:ind w:left="1571" w:hanging="425"/>
        <w:jc w:val="both"/>
      </w:pPr>
      <w:r>
        <w:rPr>
          <w:rFonts w:ascii="Calibri" w:eastAsia="Calibri Light" w:hAnsi="Calibri" w:cs="Calibri"/>
          <w:bCs/>
          <w:color w:val="000000"/>
          <w:sz w:val="22"/>
          <w:szCs w:val="22"/>
          <w:lang w:eastAsia="en-US"/>
        </w:rPr>
        <w:t>National Biodiversity Strategy and National Action Plan (2007)</w:t>
      </w:r>
    </w:p>
    <w:p w14:paraId="05024750" w14:textId="77777777" w:rsidR="007372B6" w:rsidRDefault="00000000">
      <w:pPr>
        <w:pStyle w:val="ListParagraph"/>
        <w:numPr>
          <w:ilvl w:val="0"/>
          <w:numId w:val="2"/>
        </w:numPr>
        <w:spacing w:before="120" w:after="120"/>
        <w:ind w:left="1571" w:hanging="425"/>
        <w:jc w:val="both"/>
      </w:pPr>
      <w:r>
        <w:rPr>
          <w:rFonts w:ascii="Calibri" w:eastAsia="Calibri Light" w:hAnsi="Calibri" w:cs="Calibri"/>
          <w:bCs/>
          <w:color w:val="000000"/>
          <w:sz w:val="22"/>
          <w:szCs w:val="22"/>
          <w:lang w:eastAsia="en-US"/>
        </w:rPr>
        <w:t>Fiji REDD + Policy (2011)</w:t>
      </w:r>
    </w:p>
    <w:p w14:paraId="4376759E" w14:textId="77777777" w:rsidR="007372B6" w:rsidRDefault="00000000">
      <w:pPr>
        <w:pStyle w:val="ListParagraph"/>
        <w:numPr>
          <w:ilvl w:val="0"/>
          <w:numId w:val="2"/>
        </w:numPr>
        <w:spacing w:before="120" w:after="120"/>
        <w:ind w:left="1571" w:hanging="425"/>
        <w:jc w:val="both"/>
      </w:pPr>
      <w:r>
        <w:rPr>
          <w:rFonts w:ascii="Calibri" w:eastAsia="Calibri Light" w:hAnsi="Calibri" w:cs="Calibri"/>
          <w:bCs/>
          <w:color w:val="000000"/>
          <w:sz w:val="22"/>
          <w:szCs w:val="22"/>
          <w:lang w:eastAsia="en-US"/>
        </w:rPr>
        <w:t>National Climate Change Policy (2012)</w:t>
      </w:r>
    </w:p>
    <w:p w14:paraId="328B1906" w14:textId="77777777" w:rsidR="007372B6" w:rsidRDefault="00000000">
      <w:pPr>
        <w:pStyle w:val="ListParagraph"/>
        <w:numPr>
          <w:ilvl w:val="0"/>
          <w:numId w:val="2"/>
        </w:numPr>
        <w:tabs>
          <w:tab w:val="left" w:pos="220"/>
        </w:tabs>
        <w:spacing w:before="120" w:after="120"/>
        <w:ind w:left="1571" w:hanging="425"/>
        <w:jc w:val="both"/>
        <w:rPr>
          <w:rFonts w:ascii="Calibri" w:eastAsia="Calibri Light" w:hAnsi="Calibri" w:cs="Calibri"/>
          <w:bCs/>
          <w:color w:val="000000"/>
          <w:sz w:val="22"/>
          <w:szCs w:val="22"/>
          <w:lang w:eastAsia="en-US"/>
        </w:rPr>
      </w:pPr>
      <w:r>
        <w:rPr>
          <w:rFonts w:ascii="Calibri" w:eastAsia="Calibri Light" w:hAnsi="Calibri" w:cs="Calibri"/>
          <w:bCs/>
          <w:color w:val="000000"/>
          <w:spacing w:val="-2"/>
          <w:w w:val="105"/>
          <w:sz w:val="22"/>
          <w:szCs w:val="22"/>
          <w:lang w:eastAsia="en-US"/>
        </w:rPr>
        <w:t>National Framework for Integrated Coastal Management (2011).</w:t>
      </w:r>
    </w:p>
    <w:p w14:paraId="1D4BC0DE" w14:textId="77777777" w:rsidR="007372B6" w:rsidRDefault="007372B6">
      <w:pPr>
        <w:pStyle w:val="ListParagraph"/>
        <w:tabs>
          <w:tab w:val="left" w:pos="220"/>
        </w:tabs>
        <w:spacing w:after="57" w:line="312" w:lineRule="auto"/>
        <w:ind w:left="0" w:right="121"/>
        <w:jc w:val="both"/>
        <w:rPr>
          <w:rFonts w:ascii="Calibri" w:eastAsia="Calibri" w:hAnsi="Calibri" w:cs="Calibri"/>
          <w:bCs/>
          <w:color w:val="000000"/>
          <w:spacing w:val="-2"/>
          <w:w w:val="105"/>
          <w:sz w:val="22"/>
          <w:szCs w:val="22"/>
          <w:shd w:val="clear" w:color="auto" w:fill="FFFF00"/>
          <w:lang w:eastAsia="en-US"/>
        </w:rPr>
      </w:pPr>
    </w:p>
    <w:p w14:paraId="7E32B546" w14:textId="77777777" w:rsidR="007372B6" w:rsidRDefault="00000000">
      <w:pPr>
        <w:pStyle w:val="ListParagraph"/>
        <w:widowControl w:val="0"/>
        <w:tabs>
          <w:tab w:val="left" w:pos="220"/>
        </w:tabs>
        <w:spacing w:line="312" w:lineRule="auto"/>
        <w:ind w:left="0"/>
        <w:contextualSpacing w:val="0"/>
        <w:jc w:val="both"/>
        <w:rPr>
          <w:rFonts w:ascii="Calibri" w:hAnsi="Calibri" w:cs="Calibri"/>
          <w:b/>
          <w:bCs/>
          <w:i/>
          <w:iCs/>
        </w:rPr>
      </w:pPr>
      <w:r>
        <w:rPr>
          <w:rFonts w:ascii="Calibri" w:eastAsia="Calibri Light" w:hAnsi="Calibri" w:cs="Calibri"/>
          <w:bCs/>
          <w:color w:val="000000"/>
          <w:spacing w:val="-2"/>
          <w:w w:val="105"/>
          <w:sz w:val="22"/>
          <w:szCs w:val="22"/>
          <w:lang w:eastAsia="en-US"/>
        </w:rPr>
        <w:t>15. The R2R planning and overarching management approach was intended to be comprehensive. It aimed to cover all activities within a catchment area and out to sea to ensure natural resource sustainability and biodiversity. The six selected priority catchments</w:t>
      </w:r>
      <w:r>
        <w:rPr>
          <w:rStyle w:val="FootnoteAnchor"/>
          <w:rFonts w:ascii="Calibri" w:eastAsia="Calibri Light" w:hAnsi="Calibri" w:cs="Calibri"/>
          <w:bCs/>
          <w:color w:val="000000"/>
          <w:spacing w:val="-2"/>
          <w:w w:val="105"/>
          <w:sz w:val="22"/>
          <w:szCs w:val="22"/>
          <w:lang w:eastAsia="en-US"/>
        </w:rPr>
        <w:footnoteReference w:id="12"/>
      </w:r>
      <w:r>
        <w:rPr>
          <w:rFonts w:ascii="Calibri" w:eastAsia="Calibri Light" w:hAnsi="Calibri" w:cs="Calibri"/>
          <w:bCs/>
          <w:color w:val="000000"/>
          <w:spacing w:val="-2"/>
          <w:w w:val="105"/>
          <w:sz w:val="22"/>
          <w:szCs w:val="22"/>
          <w:lang w:eastAsia="en-US"/>
        </w:rPr>
        <w:t xml:space="preserve"> encompass a diverse and geographically dispersed group with markedly different environments and scales, intensities of land use and degradation, challenges and opportunities. The sites were selected to provide a suite of learning environments for biodiversity conservation (Component 1), forest carbon stock protection and increase (Component 2) and integrated natural resources management (Component 3). Broadly based Catchment Management Committees were to be established for each catchment. Some catchments (Ba, Labasa, Tuva and </w:t>
      </w:r>
      <w:proofErr w:type="spellStart"/>
      <w:r>
        <w:rPr>
          <w:rFonts w:ascii="Calibri" w:eastAsia="Calibri Light" w:hAnsi="Calibri" w:cs="Calibri"/>
          <w:bCs/>
          <w:color w:val="000000"/>
          <w:spacing w:val="-2"/>
          <w:w w:val="105"/>
          <w:sz w:val="22"/>
          <w:szCs w:val="22"/>
          <w:lang w:eastAsia="en-US"/>
        </w:rPr>
        <w:t>Waidina</w:t>
      </w:r>
      <w:proofErr w:type="spellEnd"/>
      <w:r>
        <w:rPr>
          <w:rFonts w:ascii="Calibri" w:eastAsia="Calibri Light" w:hAnsi="Calibri" w:cs="Calibri"/>
          <w:bCs/>
          <w:color w:val="000000"/>
          <w:spacing w:val="-2"/>
          <w:w w:val="105"/>
          <w:sz w:val="22"/>
          <w:szCs w:val="22"/>
          <w:lang w:eastAsia="en-US"/>
        </w:rPr>
        <w:t>/</w:t>
      </w:r>
      <w:proofErr w:type="spellStart"/>
      <w:r>
        <w:rPr>
          <w:rFonts w:ascii="Calibri" w:eastAsia="Calibri Light" w:hAnsi="Calibri" w:cs="Calibri"/>
          <w:bCs/>
          <w:color w:val="000000"/>
          <w:spacing w:val="-2"/>
          <w:w w:val="105"/>
          <w:sz w:val="22"/>
          <w:szCs w:val="22"/>
          <w:lang w:eastAsia="en-US"/>
        </w:rPr>
        <w:t>Rewa</w:t>
      </w:r>
      <w:proofErr w:type="spellEnd"/>
      <w:r>
        <w:rPr>
          <w:rFonts w:ascii="Calibri" w:eastAsia="Calibri Light" w:hAnsi="Calibri" w:cs="Calibri"/>
          <w:bCs/>
          <w:color w:val="000000"/>
          <w:spacing w:val="-2"/>
          <w:w w:val="105"/>
          <w:sz w:val="22"/>
          <w:szCs w:val="22"/>
          <w:lang w:eastAsia="en-US"/>
        </w:rPr>
        <w:t xml:space="preserve">) have major catchment-wide concerns such as land degradation, sedimentation and flooding. Component 4 (knowledge management) was designed to ensure that project experiences and results are properly captured and widely disseminated, and contribute to data and information systems on biodiversity, forests, climate change, and land, coastal and marine management in Fiji. </w:t>
      </w:r>
    </w:p>
    <w:p w14:paraId="7A613A35" w14:textId="77777777" w:rsidR="007372B6" w:rsidRDefault="007372B6">
      <w:pPr>
        <w:pStyle w:val="ListParagraph"/>
        <w:tabs>
          <w:tab w:val="left" w:pos="220"/>
        </w:tabs>
        <w:spacing w:after="57" w:line="312" w:lineRule="auto"/>
        <w:ind w:left="0" w:right="121"/>
        <w:jc w:val="both"/>
        <w:rPr>
          <w:rFonts w:ascii="Calibri" w:eastAsia="Calibri Light" w:hAnsi="Calibri" w:cs="Calibri"/>
          <w:bCs/>
          <w:color w:val="000000"/>
          <w:spacing w:val="-2"/>
          <w:w w:val="105"/>
          <w:sz w:val="22"/>
          <w:szCs w:val="22"/>
          <w:lang w:eastAsia="en-US"/>
        </w:rPr>
      </w:pPr>
    </w:p>
    <w:p w14:paraId="7F030626" w14:textId="77777777" w:rsidR="007372B6" w:rsidRDefault="00000000">
      <w:pPr>
        <w:pStyle w:val="ListParagraph"/>
        <w:widowControl w:val="0"/>
        <w:tabs>
          <w:tab w:val="left" w:pos="220"/>
        </w:tabs>
        <w:spacing w:line="312" w:lineRule="auto"/>
        <w:ind w:left="0"/>
        <w:contextualSpacing w:val="0"/>
        <w:jc w:val="both"/>
        <w:rPr>
          <w:rFonts w:ascii="Calibri" w:hAnsi="Calibri" w:cs="Calibri"/>
          <w:b/>
          <w:bCs/>
          <w:i/>
          <w:iCs/>
        </w:rPr>
      </w:pPr>
      <w:r>
        <w:rPr>
          <w:rFonts w:ascii="Calibri" w:eastAsia="Open Sans" w:hAnsi="Calibri" w:cs="Calibri"/>
          <w:bCs/>
          <w:color w:val="000000"/>
          <w:spacing w:val="-7"/>
          <w:sz w:val="22"/>
          <w:szCs w:val="22"/>
        </w:rPr>
        <w:t>16. Within this context, t</w:t>
      </w:r>
      <w:r>
        <w:rPr>
          <w:rFonts w:ascii="Calibri" w:eastAsia="Open Sans" w:hAnsi="Calibri" w:cs="Calibri"/>
          <w:bCs/>
          <w:color w:val="000000"/>
          <w:spacing w:val="-2"/>
          <w:sz w:val="22"/>
          <w:szCs w:val="22"/>
        </w:rPr>
        <w:t>he R2R project</w:t>
      </w:r>
      <w:r>
        <w:rPr>
          <w:rFonts w:ascii="Calibri" w:eastAsia="Open Sans" w:hAnsi="Calibri" w:cs="Calibri"/>
          <w:bCs/>
          <w:color w:val="000000"/>
          <w:spacing w:val="-4"/>
          <w:sz w:val="22"/>
          <w:szCs w:val="22"/>
        </w:rPr>
        <w:t xml:space="preserve"> was</w:t>
      </w:r>
      <w:r>
        <w:rPr>
          <w:rFonts w:ascii="Calibri" w:eastAsia="Open Sans" w:hAnsi="Calibri" w:cs="Calibri"/>
          <w:bCs/>
          <w:color w:val="000000"/>
          <w:spacing w:val="-2"/>
          <w:sz w:val="22"/>
          <w:szCs w:val="22"/>
        </w:rPr>
        <w:t xml:space="preserve"> designed to support implementation and/or upscaling of the country’s priority actions, </w:t>
      </w:r>
      <w:proofErr w:type="spellStart"/>
      <w:r>
        <w:rPr>
          <w:rFonts w:ascii="Calibri" w:eastAsia="Open Sans" w:hAnsi="Calibri" w:cs="Calibri"/>
          <w:bCs/>
          <w:color w:val="000000"/>
          <w:spacing w:val="-2"/>
          <w:sz w:val="22"/>
          <w:szCs w:val="22"/>
        </w:rPr>
        <w:t>analysing</w:t>
      </w:r>
      <w:proofErr w:type="spellEnd"/>
      <w:r>
        <w:rPr>
          <w:rFonts w:ascii="Calibri" w:eastAsia="Open Sans" w:hAnsi="Calibri" w:cs="Calibri"/>
          <w:bCs/>
          <w:color w:val="000000"/>
          <w:spacing w:val="-4"/>
          <w:sz w:val="22"/>
          <w:szCs w:val="22"/>
        </w:rPr>
        <w:t xml:space="preserve"> </w:t>
      </w:r>
      <w:r>
        <w:rPr>
          <w:rFonts w:ascii="Calibri" w:eastAsia="Open Sans" w:hAnsi="Calibri" w:cs="Calibri"/>
          <w:bCs/>
          <w:color w:val="000000"/>
          <w:spacing w:val="-2"/>
          <w:sz w:val="22"/>
          <w:szCs w:val="22"/>
        </w:rPr>
        <w:t>and</w:t>
      </w:r>
      <w:r>
        <w:rPr>
          <w:rFonts w:ascii="Calibri" w:eastAsia="Open Sans" w:hAnsi="Calibri" w:cs="Calibri"/>
          <w:bCs/>
          <w:color w:val="000000"/>
          <w:spacing w:val="-5"/>
          <w:sz w:val="22"/>
          <w:szCs w:val="22"/>
        </w:rPr>
        <w:t xml:space="preserve"> </w:t>
      </w:r>
      <w:proofErr w:type="spellStart"/>
      <w:r>
        <w:rPr>
          <w:rFonts w:ascii="Calibri" w:eastAsia="Open Sans" w:hAnsi="Calibri" w:cs="Calibri"/>
          <w:bCs/>
          <w:color w:val="000000"/>
          <w:spacing w:val="-2"/>
          <w:sz w:val="22"/>
          <w:szCs w:val="22"/>
        </w:rPr>
        <w:t>prioritising</w:t>
      </w:r>
      <w:proofErr w:type="spellEnd"/>
      <w:r>
        <w:rPr>
          <w:rFonts w:ascii="Calibri" w:eastAsia="Open Sans" w:hAnsi="Calibri" w:cs="Calibri"/>
          <w:bCs/>
          <w:color w:val="000000"/>
          <w:spacing w:val="-4"/>
          <w:sz w:val="22"/>
          <w:szCs w:val="22"/>
        </w:rPr>
        <w:t xml:space="preserve"> </w:t>
      </w:r>
      <w:r>
        <w:rPr>
          <w:rFonts w:ascii="Calibri" w:eastAsia="Open Sans" w:hAnsi="Calibri" w:cs="Calibri"/>
          <w:bCs/>
          <w:color w:val="000000"/>
          <w:spacing w:val="-2"/>
          <w:sz w:val="22"/>
          <w:szCs w:val="22"/>
        </w:rPr>
        <w:t>the</w:t>
      </w:r>
      <w:r>
        <w:rPr>
          <w:rFonts w:ascii="Calibri" w:eastAsia="Open Sans" w:hAnsi="Calibri" w:cs="Calibri"/>
          <w:bCs/>
          <w:color w:val="000000"/>
          <w:spacing w:val="-5"/>
          <w:sz w:val="22"/>
          <w:szCs w:val="22"/>
        </w:rPr>
        <w:t xml:space="preserve"> </w:t>
      </w:r>
      <w:r>
        <w:rPr>
          <w:rFonts w:ascii="Calibri" w:eastAsia="Open Sans" w:hAnsi="Calibri" w:cs="Calibri"/>
          <w:bCs/>
          <w:color w:val="000000"/>
          <w:spacing w:val="-2"/>
          <w:sz w:val="22"/>
          <w:szCs w:val="22"/>
        </w:rPr>
        <w:t>needs</w:t>
      </w:r>
      <w:r>
        <w:rPr>
          <w:rFonts w:ascii="Calibri" w:eastAsia="Open Sans" w:hAnsi="Calibri" w:cs="Calibri"/>
          <w:bCs/>
          <w:color w:val="000000"/>
          <w:spacing w:val="-6"/>
          <w:sz w:val="22"/>
          <w:szCs w:val="22"/>
        </w:rPr>
        <w:t xml:space="preserve"> </w:t>
      </w:r>
      <w:r>
        <w:rPr>
          <w:rFonts w:ascii="Calibri" w:eastAsia="Open Sans" w:hAnsi="Calibri" w:cs="Calibri"/>
          <w:bCs/>
          <w:color w:val="000000"/>
          <w:spacing w:val="-2"/>
          <w:sz w:val="22"/>
          <w:szCs w:val="22"/>
        </w:rPr>
        <w:t>of</w:t>
      </w:r>
      <w:r>
        <w:rPr>
          <w:rFonts w:ascii="Calibri" w:eastAsia="Open Sans" w:hAnsi="Calibri" w:cs="Calibri"/>
          <w:bCs/>
          <w:color w:val="000000"/>
          <w:spacing w:val="-4"/>
          <w:sz w:val="22"/>
          <w:szCs w:val="22"/>
        </w:rPr>
        <w:t xml:space="preserve"> </w:t>
      </w:r>
      <w:r>
        <w:rPr>
          <w:rFonts w:ascii="Calibri" w:eastAsia="Open Sans" w:hAnsi="Calibri" w:cs="Calibri"/>
          <w:bCs/>
          <w:color w:val="000000"/>
          <w:spacing w:val="-2"/>
          <w:sz w:val="22"/>
          <w:szCs w:val="22"/>
        </w:rPr>
        <w:t>the</w:t>
      </w:r>
      <w:r>
        <w:rPr>
          <w:rFonts w:ascii="Calibri" w:eastAsia="Open Sans" w:hAnsi="Calibri" w:cs="Calibri"/>
          <w:bCs/>
          <w:color w:val="000000"/>
          <w:spacing w:val="-5"/>
          <w:sz w:val="22"/>
          <w:szCs w:val="22"/>
        </w:rPr>
        <w:t xml:space="preserve"> catchment areas</w:t>
      </w:r>
      <w:r>
        <w:rPr>
          <w:rFonts w:ascii="Calibri" w:eastAsia="Open Sans" w:hAnsi="Calibri" w:cs="Calibri"/>
          <w:bCs/>
          <w:color w:val="000000"/>
          <w:spacing w:val="-2"/>
          <w:sz w:val="22"/>
          <w:szCs w:val="22"/>
        </w:rPr>
        <w:t xml:space="preserve"> with</w:t>
      </w:r>
      <w:r>
        <w:rPr>
          <w:rFonts w:ascii="Calibri" w:eastAsia="Open Sans" w:hAnsi="Calibri" w:cs="Calibri"/>
          <w:bCs/>
          <w:color w:val="000000"/>
          <w:spacing w:val="-5"/>
          <w:sz w:val="22"/>
          <w:szCs w:val="22"/>
        </w:rPr>
        <w:t xml:space="preserve"> </w:t>
      </w:r>
      <w:r>
        <w:rPr>
          <w:rFonts w:ascii="Calibri" w:eastAsia="Open Sans" w:hAnsi="Calibri" w:cs="Calibri"/>
          <w:bCs/>
          <w:color w:val="000000"/>
          <w:spacing w:val="-2"/>
          <w:sz w:val="22"/>
          <w:szCs w:val="22"/>
        </w:rPr>
        <w:t xml:space="preserve">respect to climate change adaptation and mitigation in priority sectors, including increasing their resilience in key </w:t>
      </w:r>
      <w:r>
        <w:rPr>
          <w:rFonts w:ascii="Calibri" w:eastAsia="Open Sans" w:hAnsi="Calibri" w:cs="Calibri"/>
          <w:bCs/>
          <w:color w:val="000000"/>
          <w:spacing w:val="-2"/>
          <w:sz w:val="22"/>
          <w:szCs w:val="22"/>
        </w:rPr>
        <w:lastRenderedPageBreak/>
        <w:t>livelihood sectors.</w:t>
      </w:r>
      <w:r>
        <w:rPr>
          <w:rStyle w:val="FootnoteAnchor"/>
          <w:rFonts w:ascii="Calibri" w:eastAsia="Open Sans" w:hAnsi="Calibri" w:cs="Calibri"/>
          <w:bCs/>
          <w:color w:val="000000"/>
          <w:spacing w:val="-3"/>
          <w:sz w:val="22"/>
          <w:szCs w:val="22"/>
        </w:rPr>
        <w:footnoteReference w:id="13"/>
      </w:r>
    </w:p>
    <w:p w14:paraId="320FEC99" w14:textId="77777777" w:rsidR="007372B6" w:rsidRDefault="007372B6">
      <w:pPr>
        <w:tabs>
          <w:tab w:val="left" w:pos="1620"/>
        </w:tabs>
        <w:rPr>
          <w:color w:val="000000"/>
        </w:rPr>
      </w:pPr>
    </w:p>
    <w:p w14:paraId="27F468C0" w14:textId="77777777" w:rsidR="007372B6" w:rsidRDefault="00000000">
      <w:pPr>
        <w:tabs>
          <w:tab w:val="left" w:pos="1620"/>
        </w:tabs>
        <w:spacing w:after="113" w:line="312" w:lineRule="auto"/>
        <w:contextualSpacing/>
        <w:rPr>
          <w:rFonts w:ascii="Calibri" w:hAnsi="Calibri"/>
          <w:sz w:val="22"/>
          <w:szCs w:val="22"/>
        </w:rPr>
      </w:pPr>
      <w:r>
        <w:rPr>
          <w:rFonts w:ascii="Calibri" w:eastAsia="Calibri" w:hAnsi="Calibri" w:cs="Calibri"/>
          <w:b/>
          <w:bCs/>
          <w:i/>
          <w:iCs/>
          <w:color w:val="000000"/>
          <w:sz w:val="22"/>
          <w:szCs w:val="22"/>
        </w:rPr>
        <w:t>Main stakeholders</w:t>
      </w:r>
    </w:p>
    <w:p w14:paraId="666345F2" w14:textId="77777777" w:rsidR="007372B6" w:rsidRDefault="00000000">
      <w:pPr>
        <w:tabs>
          <w:tab w:val="left" w:pos="1620"/>
        </w:tabs>
        <w:spacing w:after="113" w:line="312" w:lineRule="auto"/>
        <w:contextualSpacing/>
        <w:jc w:val="both"/>
        <w:rPr>
          <w:rFonts w:ascii="Calibri" w:hAnsi="Calibri"/>
          <w:sz w:val="22"/>
          <w:szCs w:val="22"/>
          <w:lang w:val="en-CA"/>
        </w:rPr>
      </w:pPr>
      <w:r>
        <w:rPr>
          <w:rFonts w:ascii="Calibri" w:hAnsi="Calibri"/>
          <w:color w:val="000000"/>
          <w:sz w:val="22"/>
          <w:szCs w:val="22"/>
          <w:lang w:val="en-CA"/>
        </w:rPr>
        <w:t xml:space="preserve">17. The main stakeholders in the project are also the beneficiaries, represented through the Government of Fiji’s GEF focal point, the Ministry of Waterways and Environment (MOWE), along with other ministries involved in implementation (Forestry, Fisheries, Agriculture, </w:t>
      </w:r>
      <w:r>
        <w:rPr>
          <w:rFonts w:ascii="Calibri" w:hAnsi="Calibri"/>
          <w:bCs/>
          <w:color w:val="000000"/>
          <w:spacing w:val="-2"/>
          <w:w w:val="105"/>
          <w:sz w:val="22"/>
          <w:szCs w:val="22"/>
          <w:lang w:val="en-CA"/>
        </w:rPr>
        <w:t xml:space="preserve">Rural and Maritime Development and </w:t>
      </w:r>
      <w:proofErr w:type="spellStart"/>
      <w:r>
        <w:rPr>
          <w:rFonts w:ascii="Calibri" w:hAnsi="Calibri"/>
          <w:bCs/>
          <w:color w:val="000000"/>
          <w:spacing w:val="-2"/>
          <w:w w:val="105"/>
          <w:sz w:val="22"/>
          <w:szCs w:val="22"/>
          <w:lang w:val="en-CA"/>
        </w:rPr>
        <w:t>i-Taukei</w:t>
      </w:r>
      <w:proofErr w:type="spellEnd"/>
      <w:r>
        <w:rPr>
          <w:rFonts w:ascii="Calibri" w:hAnsi="Calibri"/>
          <w:bCs/>
          <w:color w:val="000000"/>
          <w:spacing w:val="-2"/>
          <w:w w:val="105"/>
          <w:sz w:val="22"/>
          <w:szCs w:val="22"/>
          <w:lang w:val="en-CA"/>
        </w:rPr>
        <w:t xml:space="preserve"> Affairs)</w:t>
      </w:r>
      <w:r>
        <w:rPr>
          <w:rFonts w:ascii="Calibri" w:hAnsi="Calibri"/>
          <w:color w:val="000000"/>
          <w:sz w:val="22"/>
          <w:szCs w:val="22"/>
          <w:lang w:val="en-CA"/>
        </w:rPr>
        <w:t>. The project also required technical support from</w:t>
      </w:r>
      <w:r>
        <w:rPr>
          <w:rFonts w:ascii="Calibri" w:hAnsi="Calibri"/>
          <w:bCs/>
          <w:color w:val="000000"/>
          <w:spacing w:val="-2"/>
          <w:w w:val="105"/>
          <w:sz w:val="22"/>
          <w:szCs w:val="22"/>
          <w:lang w:val="en-CA"/>
        </w:rPr>
        <w:t xml:space="preserve"> two regional institutions </w:t>
      </w:r>
      <w:r>
        <w:rPr>
          <w:rFonts w:ascii="Calibri" w:hAnsi="Calibri"/>
          <w:bCs/>
          <w:color w:val="000000"/>
          <w:spacing w:val="-2"/>
          <w:w w:val="105"/>
          <w:sz w:val="22"/>
          <w:szCs w:val="22"/>
          <w:lang w:val="en-CA" w:eastAsia="en-US"/>
        </w:rPr>
        <w:t>(SPC, USP-IAS)</w:t>
      </w:r>
      <w:r>
        <w:rPr>
          <w:rFonts w:ascii="Calibri" w:hAnsi="Calibri"/>
          <w:bCs/>
          <w:color w:val="000000"/>
          <w:spacing w:val="-2"/>
          <w:w w:val="105"/>
          <w:sz w:val="22"/>
          <w:szCs w:val="22"/>
          <w:lang w:val="en-CA"/>
        </w:rPr>
        <w:t xml:space="preserve"> and five national and international NGOs </w:t>
      </w:r>
      <w:r>
        <w:rPr>
          <w:rFonts w:ascii="Calibri" w:hAnsi="Calibri"/>
          <w:bCs/>
          <w:color w:val="000000"/>
          <w:spacing w:val="-2"/>
          <w:w w:val="105"/>
          <w:sz w:val="22"/>
          <w:szCs w:val="22"/>
          <w:lang w:val="en-CA" w:eastAsia="en-US"/>
        </w:rPr>
        <w:t xml:space="preserve">(CI, FLMMA, </w:t>
      </w:r>
      <w:r>
        <w:rPr>
          <w:rFonts w:ascii="Calibri" w:hAnsi="Calibri"/>
          <w:bCs/>
          <w:color w:val="000000"/>
          <w:spacing w:val="-2"/>
          <w:w w:val="105"/>
          <w:sz w:val="22"/>
          <w:szCs w:val="22"/>
          <w:shd w:val="clear" w:color="auto" w:fill="FFFFFF"/>
          <w:lang w:val="en-CA" w:eastAsia="en-US"/>
        </w:rPr>
        <w:t xml:space="preserve">WWF, </w:t>
      </w:r>
      <w:r>
        <w:rPr>
          <w:rFonts w:ascii="Calibri" w:hAnsi="Calibri"/>
          <w:bCs/>
          <w:color w:val="000000"/>
          <w:spacing w:val="-2"/>
          <w:w w:val="105"/>
          <w:sz w:val="22"/>
          <w:szCs w:val="22"/>
          <w:lang w:val="en-CA" w:eastAsia="en-US"/>
        </w:rPr>
        <w:t>TERI, TVNI), all of which</w:t>
      </w:r>
      <w:r>
        <w:rPr>
          <w:rFonts w:ascii="Calibri" w:eastAsia="Calibri" w:hAnsi="Calibri" w:cs="Calibri"/>
          <w:color w:val="000000"/>
          <w:spacing w:val="-2"/>
          <w:w w:val="105"/>
          <w:sz w:val="22"/>
          <w:szCs w:val="22"/>
          <w:lang w:val="en-CA"/>
        </w:rPr>
        <w:t xml:space="preserve"> signed Memorandum of </w:t>
      </w:r>
      <w:r>
        <w:rPr>
          <w:rFonts w:ascii="Calibri" w:eastAsia="Calibri" w:hAnsi="Calibri" w:cs="Calibri"/>
          <w:color w:val="000000"/>
          <w:spacing w:val="-2"/>
          <w:w w:val="105"/>
          <w:sz w:val="22"/>
          <w:szCs w:val="22"/>
          <w:lang w:val="en-CA" w:eastAsia="en-US"/>
        </w:rPr>
        <w:t>Understandings</w:t>
      </w:r>
      <w:r>
        <w:rPr>
          <w:rFonts w:ascii="Calibri" w:eastAsia="Calibri" w:hAnsi="Calibri" w:cs="Calibri"/>
          <w:color w:val="000000"/>
          <w:spacing w:val="-2"/>
          <w:w w:val="105"/>
          <w:sz w:val="22"/>
          <w:szCs w:val="22"/>
          <w:lang w:val="en-CA"/>
        </w:rPr>
        <w:t xml:space="preserve"> (</w:t>
      </w:r>
      <w:proofErr w:type="spellStart"/>
      <w:r>
        <w:rPr>
          <w:rFonts w:ascii="Calibri" w:eastAsia="Calibri" w:hAnsi="Calibri" w:cs="Calibri"/>
          <w:color w:val="000000"/>
          <w:spacing w:val="-2"/>
          <w:w w:val="105"/>
          <w:sz w:val="22"/>
          <w:szCs w:val="22"/>
          <w:lang w:val="en-CA"/>
        </w:rPr>
        <w:t>MoUs</w:t>
      </w:r>
      <w:proofErr w:type="spellEnd"/>
      <w:r>
        <w:rPr>
          <w:rFonts w:ascii="Calibri" w:eastAsia="Calibri" w:hAnsi="Calibri" w:cs="Calibri"/>
          <w:color w:val="000000"/>
          <w:spacing w:val="-2"/>
          <w:w w:val="105"/>
          <w:sz w:val="22"/>
          <w:szCs w:val="22"/>
          <w:lang w:val="en-CA"/>
        </w:rPr>
        <w:t>) or Low Value Grant (LVG)</w:t>
      </w:r>
      <w:r>
        <w:rPr>
          <w:rFonts w:ascii="Calibri" w:hAnsi="Calibri"/>
          <w:bCs/>
          <w:color w:val="000000"/>
          <w:spacing w:val="-2"/>
          <w:w w:val="105"/>
          <w:sz w:val="22"/>
          <w:szCs w:val="22"/>
          <w:lang w:val="en-CA"/>
        </w:rPr>
        <w:t xml:space="preserve"> agreements with </w:t>
      </w:r>
      <w:r>
        <w:rPr>
          <w:rFonts w:ascii="Calibri" w:eastAsia="Calibri" w:hAnsi="Calibri" w:cs="Calibri"/>
          <w:bCs/>
          <w:color w:val="000000"/>
          <w:spacing w:val="-2"/>
          <w:w w:val="105"/>
          <w:sz w:val="22"/>
          <w:szCs w:val="22"/>
          <w:lang w:val="en-CA"/>
        </w:rPr>
        <w:t>UNDP in order to expedite implementation.</w:t>
      </w:r>
      <w:r>
        <w:rPr>
          <w:rFonts w:ascii="Calibri" w:eastAsia="Calibri" w:hAnsi="Calibri" w:cs="Calibri"/>
          <w:color w:val="000000"/>
          <w:spacing w:val="-2"/>
          <w:w w:val="105"/>
          <w:sz w:val="22"/>
          <w:szCs w:val="22"/>
          <w:lang w:val="en-CA"/>
        </w:rPr>
        <w:t xml:space="preserve"> </w:t>
      </w:r>
      <w:r>
        <w:rPr>
          <w:rFonts w:ascii="Calibri" w:hAnsi="Calibri"/>
          <w:bCs/>
          <w:spacing w:val="-2"/>
          <w:w w:val="105"/>
          <w:sz w:val="22"/>
          <w:szCs w:val="22"/>
          <w:lang w:val="en-CA" w:eastAsia="en-US"/>
        </w:rPr>
        <w:t xml:space="preserve">These organizations improved implementation by working under various components, outcomes and outputs, as follows: </w:t>
      </w:r>
    </w:p>
    <w:p w14:paraId="097F3799" w14:textId="77777777" w:rsidR="007372B6" w:rsidRDefault="00000000">
      <w:pPr>
        <w:numPr>
          <w:ilvl w:val="0"/>
          <w:numId w:val="17"/>
        </w:numPr>
        <w:tabs>
          <w:tab w:val="left" w:pos="2040"/>
        </w:tabs>
        <w:spacing w:before="170" w:line="288" w:lineRule="auto"/>
        <w:ind w:left="737" w:right="-113" w:hanging="340"/>
        <w:contextualSpacing/>
        <w:jc w:val="both"/>
        <w:rPr>
          <w:rFonts w:ascii="Calibri" w:hAnsi="Calibri"/>
          <w:bCs/>
          <w:spacing w:val="-2"/>
          <w:w w:val="105"/>
          <w:sz w:val="22"/>
          <w:szCs w:val="22"/>
          <w:lang w:val="en-CA" w:eastAsia="en-US"/>
        </w:rPr>
      </w:pPr>
      <w:r>
        <w:rPr>
          <w:rFonts w:ascii="Calibri" w:hAnsi="Calibri"/>
          <w:bCs/>
          <w:color w:val="000000"/>
          <w:spacing w:val="-2"/>
          <w:w w:val="105"/>
          <w:sz w:val="22"/>
          <w:szCs w:val="22"/>
          <w:lang w:val="en-CA" w:eastAsia="en-US"/>
        </w:rPr>
        <w:t xml:space="preserve">Secretariat of the Pacific Community (SPC): Conservation, Restoration and Enhancement of Carbon Stocks through Sustainable Forestry (Component 2) </w:t>
      </w:r>
    </w:p>
    <w:p w14:paraId="7084A486" w14:textId="77777777" w:rsidR="007372B6" w:rsidRDefault="00000000">
      <w:pPr>
        <w:numPr>
          <w:ilvl w:val="0"/>
          <w:numId w:val="17"/>
        </w:numPr>
        <w:spacing w:line="288" w:lineRule="auto"/>
        <w:rPr>
          <w:rFonts w:ascii="Calibri" w:hAnsi="Calibri"/>
          <w:bCs/>
          <w:spacing w:val="-2"/>
          <w:w w:val="105"/>
          <w:sz w:val="22"/>
          <w:szCs w:val="22"/>
          <w:lang w:val="en-CA" w:eastAsia="en-US"/>
        </w:rPr>
      </w:pPr>
      <w:r>
        <w:rPr>
          <w:rFonts w:ascii="Calibri" w:hAnsi="Calibri"/>
          <w:bCs/>
          <w:color w:val="000000"/>
          <w:spacing w:val="-2"/>
          <w:w w:val="105"/>
          <w:sz w:val="22"/>
          <w:szCs w:val="22"/>
          <w:lang w:val="en-CA" w:eastAsia="en-US"/>
        </w:rPr>
        <w:t xml:space="preserve">World Wildlife Fund for Nature – Pacific Office (WWF): Improved Management Effectiveness of Existing and New Protected Areas (Outcome 1.1) </w:t>
      </w:r>
    </w:p>
    <w:p w14:paraId="2BA88E82" w14:textId="77777777" w:rsidR="007372B6" w:rsidRDefault="00000000">
      <w:pPr>
        <w:numPr>
          <w:ilvl w:val="0"/>
          <w:numId w:val="17"/>
        </w:numPr>
        <w:spacing w:line="288" w:lineRule="auto"/>
        <w:rPr>
          <w:rFonts w:ascii="Calibri" w:hAnsi="Calibri"/>
          <w:bCs/>
          <w:spacing w:val="-2"/>
          <w:w w:val="105"/>
          <w:sz w:val="22"/>
          <w:szCs w:val="22"/>
          <w:lang w:val="en-CA" w:eastAsia="en-US"/>
        </w:rPr>
      </w:pPr>
      <w:r>
        <w:rPr>
          <w:rFonts w:ascii="Calibri" w:hAnsi="Calibri"/>
          <w:bCs/>
          <w:color w:val="000000"/>
          <w:spacing w:val="-2"/>
          <w:w w:val="105"/>
          <w:sz w:val="22"/>
          <w:szCs w:val="22"/>
          <w:lang w:val="en-CA" w:eastAsia="en-US"/>
        </w:rPr>
        <w:t>University of the South Pacific’s Institute of Applied Science (</w:t>
      </w:r>
      <w:r>
        <w:rPr>
          <w:rFonts w:ascii="Calibri" w:hAnsi="Calibri"/>
          <w:bCs/>
          <w:caps/>
          <w:color w:val="000000"/>
          <w:spacing w:val="-2"/>
          <w:w w:val="105"/>
          <w:sz w:val="22"/>
          <w:szCs w:val="22"/>
          <w:lang w:val="en-CA" w:eastAsia="en-US"/>
        </w:rPr>
        <w:t>usp-ias</w:t>
      </w:r>
      <w:r>
        <w:rPr>
          <w:rFonts w:ascii="Calibri" w:hAnsi="Calibri"/>
          <w:bCs/>
          <w:color w:val="000000"/>
          <w:spacing w:val="-2"/>
          <w:w w:val="105"/>
          <w:sz w:val="22"/>
          <w:szCs w:val="22"/>
          <w:lang w:val="en-CA" w:eastAsia="en-US"/>
        </w:rPr>
        <w:t>), Fiji: improved Management Effectiveness of Existing and New Protected Areas (Outcome 1.1)</w:t>
      </w:r>
    </w:p>
    <w:p w14:paraId="7C6FE55E" w14:textId="77777777" w:rsidR="007372B6" w:rsidRDefault="00000000">
      <w:pPr>
        <w:numPr>
          <w:ilvl w:val="0"/>
          <w:numId w:val="17"/>
        </w:numPr>
        <w:spacing w:line="288" w:lineRule="auto"/>
        <w:rPr>
          <w:rFonts w:ascii="Calibri" w:hAnsi="Calibri"/>
          <w:bCs/>
          <w:spacing w:val="-2"/>
          <w:w w:val="105"/>
          <w:sz w:val="22"/>
          <w:szCs w:val="22"/>
          <w:lang w:val="en-CA" w:eastAsia="en-US"/>
        </w:rPr>
      </w:pPr>
      <w:r>
        <w:rPr>
          <w:rFonts w:ascii="Calibri" w:hAnsi="Calibri"/>
          <w:bCs/>
          <w:color w:val="000000"/>
          <w:spacing w:val="-2"/>
          <w:w w:val="105"/>
          <w:sz w:val="22"/>
          <w:szCs w:val="22"/>
          <w:lang w:val="en-CA" w:eastAsia="en-US"/>
        </w:rPr>
        <w:t>Locally Managed Marine Areas network: Improved Management Effectiveness of Existing and New Protected Areas (Outcome 1.1)</w:t>
      </w:r>
    </w:p>
    <w:p w14:paraId="6BBF46AD" w14:textId="77777777" w:rsidR="007372B6" w:rsidRDefault="00000000">
      <w:pPr>
        <w:numPr>
          <w:ilvl w:val="0"/>
          <w:numId w:val="17"/>
        </w:numPr>
        <w:spacing w:line="288" w:lineRule="auto"/>
        <w:rPr>
          <w:rFonts w:ascii="Calibri" w:hAnsi="Calibri"/>
          <w:bCs/>
          <w:spacing w:val="-2"/>
          <w:w w:val="105"/>
          <w:sz w:val="22"/>
          <w:szCs w:val="22"/>
          <w:lang w:val="en-CA" w:eastAsia="en-US"/>
        </w:rPr>
      </w:pPr>
      <w:r>
        <w:rPr>
          <w:rFonts w:ascii="Calibri" w:hAnsi="Calibri"/>
          <w:bCs/>
          <w:color w:val="000000"/>
          <w:spacing w:val="-2"/>
          <w:w w:val="105"/>
          <w:sz w:val="22"/>
          <w:szCs w:val="22"/>
          <w:lang w:val="en-CA" w:eastAsia="en-US"/>
        </w:rPr>
        <w:t xml:space="preserve">Conservation International (CI): responsible for a range of activities across Components 1 to 4 involving the pilot catchment of Tuva, on the larger island of Viti </w:t>
      </w:r>
      <w:proofErr w:type="spellStart"/>
      <w:r>
        <w:rPr>
          <w:rFonts w:ascii="Calibri" w:hAnsi="Calibri"/>
          <w:bCs/>
          <w:color w:val="000000"/>
          <w:spacing w:val="-2"/>
          <w:w w:val="105"/>
          <w:sz w:val="22"/>
          <w:szCs w:val="22"/>
          <w:lang w:val="en-CA" w:eastAsia="en-US"/>
        </w:rPr>
        <w:t>Levu</w:t>
      </w:r>
      <w:proofErr w:type="spellEnd"/>
    </w:p>
    <w:p w14:paraId="24073AAF" w14:textId="77777777" w:rsidR="007372B6" w:rsidRDefault="00000000">
      <w:pPr>
        <w:numPr>
          <w:ilvl w:val="0"/>
          <w:numId w:val="17"/>
        </w:numPr>
        <w:tabs>
          <w:tab w:val="left" w:pos="1620"/>
        </w:tabs>
        <w:spacing w:line="288" w:lineRule="auto"/>
        <w:rPr>
          <w:rFonts w:ascii="Calibri" w:hAnsi="Calibri"/>
          <w:sz w:val="22"/>
          <w:szCs w:val="22"/>
          <w:lang w:val="en-CA"/>
        </w:rPr>
      </w:pPr>
      <w:r>
        <w:rPr>
          <w:rStyle w:val="Emphasis"/>
          <w:rFonts w:ascii="Calibri" w:hAnsi="Calibri"/>
          <w:bCs/>
          <w:i w:val="0"/>
          <w:color w:val="000000"/>
          <w:spacing w:val="-2"/>
          <w:w w:val="105"/>
          <w:sz w:val="22"/>
          <w:szCs w:val="22"/>
          <w:lang w:val="en-CA" w:eastAsia="en-US"/>
        </w:rPr>
        <w:t>International Union for Conservation of Nature (</w:t>
      </w:r>
      <w:r>
        <w:rPr>
          <w:rStyle w:val="Emphasis"/>
          <w:rFonts w:ascii="Calibri" w:hAnsi="Calibri"/>
          <w:bCs/>
          <w:i w:val="0"/>
          <w:caps/>
          <w:color w:val="000000"/>
          <w:spacing w:val="-2"/>
          <w:w w:val="105"/>
          <w:sz w:val="22"/>
          <w:szCs w:val="22"/>
          <w:lang w:val="en-CA" w:eastAsia="en-US"/>
        </w:rPr>
        <w:t>usp-ias, iucn</w:t>
      </w:r>
      <w:r>
        <w:rPr>
          <w:rFonts w:ascii="Calibri" w:hAnsi="Calibri"/>
          <w:bCs/>
          <w:caps/>
          <w:color w:val="000000"/>
          <w:spacing w:val="-2"/>
          <w:w w:val="105"/>
          <w:sz w:val="22"/>
          <w:szCs w:val="22"/>
          <w:lang w:val="en-CA" w:eastAsia="en-US"/>
        </w:rPr>
        <w:t xml:space="preserve">) </w:t>
      </w:r>
      <w:r>
        <w:rPr>
          <w:rFonts w:ascii="Calibri" w:hAnsi="Calibri"/>
          <w:bCs/>
          <w:color w:val="000000"/>
          <w:spacing w:val="-2"/>
          <w:w w:val="105"/>
          <w:sz w:val="22"/>
          <w:szCs w:val="22"/>
          <w:lang w:val="en-CA" w:eastAsia="en-US"/>
        </w:rPr>
        <w:t>and other</w:t>
      </w:r>
      <w:r>
        <w:rPr>
          <w:rFonts w:ascii="Calibri" w:hAnsi="Calibri"/>
          <w:bCs/>
          <w:caps/>
          <w:color w:val="000000"/>
          <w:spacing w:val="-2"/>
          <w:w w:val="105"/>
          <w:sz w:val="22"/>
          <w:szCs w:val="22"/>
          <w:lang w:val="en-CA" w:eastAsia="en-US"/>
        </w:rPr>
        <w:t xml:space="preserve"> ngo</w:t>
      </w:r>
      <w:r>
        <w:rPr>
          <w:rFonts w:ascii="Calibri" w:hAnsi="Calibri"/>
          <w:bCs/>
          <w:color w:val="000000"/>
          <w:spacing w:val="-2"/>
          <w:w w:val="105"/>
          <w:sz w:val="22"/>
          <w:szCs w:val="22"/>
          <w:lang w:val="en-CA" w:eastAsia="en-US"/>
        </w:rPr>
        <w:t>s involved in empowering catchment communities to formulate their own conservation and catchment management plans through training and empowerment programmes to be undertaken by community catchments coordinators</w:t>
      </w:r>
      <w:r>
        <w:rPr>
          <w:rFonts w:ascii="Calibri" w:hAnsi="Calibri"/>
          <w:bCs/>
          <w:caps/>
          <w:color w:val="000000"/>
          <w:spacing w:val="-2"/>
          <w:w w:val="105"/>
          <w:sz w:val="22"/>
          <w:szCs w:val="22"/>
          <w:lang w:val="en-CA" w:eastAsia="en-US"/>
        </w:rPr>
        <w:t>, ngo</w:t>
      </w:r>
      <w:r>
        <w:rPr>
          <w:rFonts w:ascii="Calibri" w:hAnsi="Calibri"/>
          <w:bCs/>
          <w:color w:val="000000"/>
          <w:spacing w:val="-2"/>
          <w:w w:val="105"/>
          <w:sz w:val="22"/>
          <w:szCs w:val="22"/>
          <w:lang w:val="en-CA" w:eastAsia="en-US"/>
        </w:rPr>
        <w:t xml:space="preserve">s and provincial environment/conservation officers </w:t>
      </w:r>
      <w:r>
        <w:rPr>
          <w:rFonts w:ascii="Calibri" w:hAnsi="Calibri"/>
          <w:bCs/>
          <w:caps/>
          <w:color w:val="000000"/>
          <w:spacing w:val="-2"/>
          <w:w w:val="105"/>
          <w:sz w:val="22"/>
          <w:szCs w:val="22"/>
          <w:lang w:val="en-CA" w:eastAsia="en-US"/>
        </w:rPr>
        <w:t>(</w:t>
      </w:r>
      <w:r>
        <w:rPr>
          <w:rFonts w:ascii="Calibri" w:hAnsi="Calibri"/>
          <w:bCs/>
          <w:color w:val="000000"/>
          <w:spacing w:val="-2"/>
          <w:w w:val="105"/>
          <w:sz w:val="22"/>
          <w:szCs w:val="22"/>
          <w:lang w:val="en-CA" w:eastAsia="en-US"/>
        </w:rPr>
        <w:t>output</w:t>
      </w:r>
      <w:r>
        <w:rPr>
          <w:rFonts w:ascii="Calibri" w:hAnsi="Calibri"/>
          <w:bCs/>
          <w:caps/>
          <w:color w:val="000000"/>
          <w:spacing w:val="-2"/>
          <w:w w:val="105"/>
          <w:sz w:val="22"/>
          <w:szCs w:val="22"/>
          <w:lang w:val="en-CA" w:eastAsia="en-US"/>
        </w:rPr>
        <w:t xml:space="preserve"> 3.2.3). </w:t>
      </w:r>
    </w:p>
    <w:p w14:paraId="44630B57" w14:textId="77777777" w:rsidR="007372B6" w:rsidRDefault="007372B6">
      <w:pPr>
        <w:tabs>
          <w:tab w:val="left" w:pos="1620"/>
        </w:tabs>
        <w:rPr>
          <w:rFonts w:ascii="Calibri" w:hAnsi="Calibri"/>
          <w:sz w:val="22"/>
          <w:szCs w:val="22"/>
          <w:lang w:val="en-CA"/>
        </w:rPr>
      </w:pPr>
    </w:p>
    <w:p w14:paraId="26B6D230" w14:textId="77777777" w:rsidR="007372B6" w:rsidRDefault="00000000">
      <w:pPr>
        <w:tabs>
          <w:tab w:val="left" w:pos="1620"/>
        </w:tabs>
        <w:spacing w:line="288" w:lineRule="auto"/>
        <w:ind w:left="737"/>
        <w:jc w:val="both"/>
      </w:pPr>
      <w:r>
        <w:rPr>
          <w:rFonts w:ascii="Calibri" w:eastAsia="Calibri Light" w:hAnsi="Calibri" w:cs="Calibri"/>
          <w:b/>
          <w:bCs/>
          <w:i/>
          <w:iCs/>
          <w:color w:val="000000"/>
        </w:rPr>
        <w:t xml:space="preserve">3.4 </w:t>
      </w:r>
      <w:r>
        <w:rPr>
          <w:rFonts w:ascii="Calibri" w:eastAsia="Calibri Light" w:hAnsi="Calibri" w:cs="Calibri"/>
          <w:b/>
          <w:bCs/>
          <w:i/>
          <w:iCs/>
          <w:color w:val="000000"/>
        </w:rPr>
        <w:tab/>
        <w:t>Problems that the project sought to address: threats and barriers targeted</w:t>
      </w:r>
    </w:p>
    <w:p w14:paraId="4EAA3D26" w14:textId="77777777" w:rsidR="007372B6" w:rsidRDefault="007372B6">
      <w:pPr>
        <w:tabs>
          <w:tab w:val="left" w:pos="0"/>
        </w:tabs>
        <w:spacing w:line="312" w:lineRule="auto"/>
        <w:jc w:val="both"/>
        <w:rPr>
          <w:rFonts w:ascii="Calibri" w:eastAsiaTheme="minorHAnsi" w:hAnsi="Calibri"/>
          <w:bCs/>
          <w:sz w:val="18"/>
          <w:szCs w:val="18"/>
          <w:lang w:val="en-CA" w:eastAsia="en-US"/>
        </w:rPr>
      </w:pPr>
    </w:p>
    <w:p w14:paraId="73F8C01B" w14:textId="77777777" w:rsidR="007372B6" w:rsidRDefault="00000000">
      <w:pPr>
        <w:tabs>
          <w:tab w:val="left" w:pos="0"/>
        </w:tabs>
        <w:spacing w:line="312" w:lineRule="auto"/>
        <w:jc w:val="both"/>
        <w:rPr>
          <w:rFonts w:ascii="Calibri" w:eastAsiaTheme="minorHAnsi" w:hAnsi="Calibri"/>
          <w:bCs/>
          <w:sz w:val="18"/>
          <w:szCs w:val="18"/>
          <w:lang w:val="en-CA" w:eastAsia="en-US"/>
        </w:rPr>
      </w:pPr>
      <w:r>
        <w:rPr>
          <w:rFonts w:ascii="Calibri" w:hAnsi="Calibri"/>
          <w:sz w:val="22"/>
          <w:szCs w:val="22"/>
          <w:lang w:val="en-CA"/>
        </w:rPr>
        <w:t>18. The key threats that the project sought to address included:</w:t>
      </w:r>
      <w:r>
        <w:rPr>
          <w:rFonts w:ascii="Calibri" w:hAnsi="Calibri"/>
          <w:bCs/>
          <w:sz w:val="22"/>
          <w:szCs w:val="22"/>
          <w:lang w:val="en-CA" w:bidi="th-TH"/>
        </w:rPr>
        <w:t xml:space="preserve"> </w:t>
      </w:r>
    </w:p>
    <w:p w14:paraId="28EEBBD4" w14:textId="77777777" w:rsidR="007372B6" w:rsidRDefault="00000000">
      <w:pPr>
        <w:pStyle w:val="ListParagraph"/>
        <w:numPr>
          <w:ilvl w:val="0"/>
          <w:numId w:val="21"/>
        </w:numPr>
        <w:tabs>
          <w:tab w:val="left" w:pos="0"/>
        </w:tabs>
        <w:spacing w:line="312" w:lineRule="auto"/>
        <w:jc w:val="both"/>
        <w:rPr>
          <w:rFonts w:ascii="Calibri" w:hAnsi="Calibri"/>
          <w:sz w:val="22"/>
          <w:szCs w:val="22"/>
          <w:lang w:val="en-CA"/>
        </w:rPr>
      </w:pPr>
      <w:r>
        <w:rPr>
          <w:rFonts w:ascii="Calibri" w:hAnsi="Calibri"/>
          <w:bCs/>
          <w:sz w:val="22"/>
          <w:szCs w:val="22"/>
          <w:lang w:bidi="th-TH"/>
        </w:rPr>
        <w:t>threats to the conservation of terrestrial and marine biodiversity involving mangrove loss and degradation; loss and damage to seagrass beds; coral reef bleaching and decline; loss of aquatic ecosystem diversity and fisheries decline; loss of agrobiodiversity and terrestrial biodiversity;</w:t>
      </w:r>
    </w:p>
    <w:p w14:paraId="69A87CC5" w14:textId="77777777" w:rsidR="007372B6" w:rsidRDefault="00000000">
      <w:pPr>
        <w:pStyle w:val="ListParagraph"/>
        <w:numPr>
          <w:ilvl w:val="0"/>
          <w:numId w:val="21"/>
        </w:numPr>
        <w:tabs>
          <w:tab w:val="left" w:pos="0"/>
        </w:tabs>
        <w:spacing w:line="312" w:lineRule="auto"/>
        <w:jc w:val="both"/>
        <w:rPr>
          <w:rFonts w:ascii="Calibri" w:hAnsi="Calibri"/>
          <w:sz w:val="22"/>
          <w:szCs w:val="22"/>
          <w:lang w:val="en-CA"/>
        </w:rPr>
      </w:pPr>
      <w:r>
        <w:rPr>
          <w:rFonts w:ascii="Calibri" w:hAnsi="Calibri"/>
          <w:bCs/>
          <w:sz w:val="22"/>
          <w:szCs w:val="22"/>
          <w:lang w:bidi="th-TH"/>
        </w:rPr>
        <w:t xml:space="preserve">threats to the conservation, restoration and enhancement of carbon stocks from fire and deforestation; </w:t>
      </w:r>
    </w:p>
    <w:p w14:paraId="7FC779B7" w14:textId="77777777" w:rsidR="007372B6" w:rsidRDefault="00000000">
      <w:pPr>
        <w:pStyle w:val="ListParagraph"/>
        <w:numPr>
          <w:ilvl w:val="0"/>
          <w:numId w:val="21"/>
        </w:numPr>
        <w:tabs>
          <w:tab w:val="left" w:pos="0"/>
        </w:tabs>
        <w:spacing w:line="312" w:lineRule="auto"/>
        <w:jc w:val="both"/>
        <w:rPr>
          <w:rFonts w:ascii="Calibri" w:hAnsi="Calibri"/>
          <w:sz w:val="22"/>
          <w:szCs w:val="22"/>
          <w:lang w:val="en-CA"/>
        </w:rPr>
      </w:pPr>
      <w:r>
        <w:rPr>
          <w:rFonts w:ascii="Calibri" w:hAnsi="Calibri"/>
          <w:bCs/>
          <w:sz w:val="22"/>
          <w:szCs w:val="22"/>
          <w:lang w:bidi="th-TH"/>
        </w:rPr>
        <w:t>threats related to integrated catchment management and a lack of proper planning coupled with inappropriate developments and resource extraction, and bad agricultural and forest harvesting practices;</w:t>
      </w:r>
    </w:p>
    <w:p w14:paraId="22954DC1" w14:textId="77777777" w:rsidR="007372B6" w:rsidRDefault="00000000">
      <w:pPr>
        <w:pStyle w:val="ListParagraph"/>
        <w:numPr>
          <w:ilvl w:val="0"/>
          <w:numId w:val="21"/>
        </w:numPr>
        <w:tabs>
          <w:tab w:val="left" w:pos="0"/>
        </w:tabs>
        <w:spacing w:line="312" w:lineRule="auto"/>
        <w:jc w:val="both"/>
        <w:rPr>
          <w:rFonts w:ascii="Calibri" w:hAnsi="Calibri"/>
          <w:sz w:val="22"/>
          <w:szCs w:val="22"/>
          <w:lang w:val="en-CA"/>
        </w:rPr>
      </w:pPr>
      <w:r>
        <w:rPr>
          <w:rFonts w:ascii="Calibri" w:hAnsi="Calibri"/>
          <w:bCs/>
          <w:sz w:val="22"/>
          <w:szCs w:val="22"/>
          <w:lang w:val="en-CA" w:bidi="th-TH"/>
        </w:rPr>
        <w:lastRenderedPageBreak/>
        <w:t>cross-cutting threats to the R2R project being able to achieve its objectives, notably climate change, alien invasive species and mining. The main barrier to the objectives of the project being achieved was considered to be institutional.</w:t>
      </w:r>
      <w:r>
        <w:rPr>
          <w:rStyle w:val="FootnoteAnchor"/>
          <w:rFonts w:ascii="Calibri" w:hAnsi="Calibri"/>
          <w:bCs/>
          <w:sz w:val="22"/>
          <w:szCs w:val="22"/>
          <w:lang w:val="en-CA" w:bidi="th-TH"/>
        </w:rPr>
        <w:footnoteReference w:id="14"/>
      </w:r>
    </w:p>
    <w:p w14:paraId="54D4AAB9" w14:textId="77777777" w:rsidR="007372B6" w:rsidRDefault="007372B6">
      <w:pPr>
        <w:tabs>
          <w:tab w:val="left" w:pos="0"/>
        </w:tabs>
        <w:spacing w:line="312" w:lineRule="auto"/>
        <w:jc w:val="both"/>
        <w:rPr>
          <w:rFonts w:ascii="Calibri" w:hAnsi="Calibri"/>
          <w:sz w:val="22"/>
          <w:szCs w:val="22"/>
          <w:lang w:val="en-CA"/>
        </w:rPr>
      </w:pPr>
    </w:p>
    <w:p w14:paraId="7DA64B3A" w14:textId="77777777" w:rsidR="007372B6" w:rsidRDefault="00000000">
      <w:pPr>
        <w:tabs>
          <w:tab w:val="left" w:pos="0"/>
        </w:tabs>
        <w:spacing w:line="312" w:lineRule="auto"/>
        <w:jc w:val="both"/>
        <w:rPr>
          <w:rFonts w:ascii="Calibri" w:eastAsiaTheme="minorHAnsi" w:hAnsi="Calibri"/>
          <w:bCs/>
          <w:sz w:val="18"/>
          <w:szCs w:val="18"/>
          <w:lang w:val="en-CA" w:eastAsia="en-US"/>
        </w:rPr>
      </w:pPr>
      <w:r>
        <w:rPr>
          <w:rFonts w:ascii="Calibri" w:hAnsi="Calibri" w:cs="Calibri"/>
          <w:sz w:val="22"/>
          <w:szCs w:val="22"/>
          <w:lang w:val="en-CA"/>
        </w:rPr>
        <w:t>19. In Fiji, t</w:t>
      </w:r>
      <w:r>
        <w:rPr>
          <w:rFonts w:ascii="Calibri" w:hAnsi="Calibri"/>
          <w:sz w:val="22"/>
          <w:szCs w:val="22"/>
          <w:lang w:val="en-CA"/>
        </w:rPr>
        <w:t xml:space="preserve">he R2R approach in priority catchments was designed to address key environmental issues in an integrated manner, in part by bolstering Fiji’s national system of marine protected areas through an enhanced, representative and sustainable system of </w:t>
      </w:r>
      <w:r>
        <w:rPr>
          <w:rFonts w:ascii="Calibri" w:hAnsi="Calibri" w:cstheme="minorHAnsi"/>
          <w:color w:val="000000"/>
          <w:sz w:val="22"/>
          <w:szCs w:val="22"/>
          <w:lang w:val="en-CA"/>
        </w:rPr>
        <w:t>Locally Managed Marine Areas (</w:t>
      </w:r>
      <w:r>
        <w:rPr>
          <w:rFonts w:ascii="Calibri" w:hAnsi="Calibri"/>
          <w:sz w:val="22"/>
          <w:szCs w:val="22"/>
          <w:lang w:val="en-CA"/>
        </w:rPr>
        <w:t xml:space="preserve">LMMAs) including greater protection of threatened marine species. Negative impacts of land-based activities on these MPAs were to be reduced through development and implementation of integrated catchment management plans, including mangrove protection, the adoption of appropriate sustainable land use practices and riparian restoration in adjoining upstream watersheds as well as </w:t>
      </w:r>
      <w:r>
        <w:rPr>
          <w:rFonts w:asciiTheme="minorHAnsi" w:hAnsiTheme="minorHAnsi" w:cstheme="minorHAnsi"/>
          <w:sz w:val="22"/>
          <w:szCs w:val="22"/>
          <w:lang w:val="en-CA"/>
        </w:rPr>
        <w:t>terrestrial PAs, restored and rehabilitated forests.</w:t>
      </w:r>
      <w:r>
        <w:rPr>
          <w:rStyle w:val="FootnoteAnchor"/>
          <w:rFonts w:asciiTheme="minorHAnsi" w:hAnsiTheme="minorHAnsi" w:cstheme="minorHAnsi"/>
          <w:sz w:val="22"/>
          <w:szCs w:val="22"/>
          <w:lang w:val="en-CA"/>
        </w:rPr>
        <w:footnoteReference w:id="15"/>
      </w:r>
      <w:r>
        <w:rPr>
          <w:rFonts w:ascii="Calibri Light" w:eastAsiaTheme="minorHAnsi" w:hAnsi="Calibri Light" w:cs="Calibri Light"/>
          <w:bCs/>
          <w:color w:val="000000"/>
          <w:sz w:val="22"/>
          <w:szCs w:val="22"/>
          <w:lang w:val="en-CA" w:eastAsia="en-US" w:bidi="th-TH"/>
        </w:rPr>
        <w:t xml:space="preserve"> </w:t>
      </w:r>
      <w:r>
        <w:br w:type="page"/>
      </w:r>
    </w:p>
    <w:p w14:paraId="6FA0EFF8" w14:textId="77777777" w:rsidR="007372B6" w:rsidRDefault="00000000">
      <w:pPr>
        <w:tabs>
          <w:tab w:val="left" w:pos="594"/>
          <w:tab w:val="left" w:pos="1620"/>
        </w:tabs>
        <w:ind w:left="720"/>
        <w:rPr>
          <w:color w:val="0000FF"/>
        </w:rPr>
      </w:pPr>
      <w:r>
        <w:rPr>
          <w:rFonts w:asciiTheme="minorHAnsi" w:hAnsiTheme="minorHAnsi" w:cstheme="minorHAnsi"/>
          <w:b/>
          <w:bCs/>
          <w:color w:val="0000FF"/>
          <w:sz w:val="28"/>
          <w:szCs w:val="28"/>
          <w:lang w:eastAsia="en-US"/>
        </w:rPr>
        <w:lastRenderedPageBreak/>
        <w:t xml:space="preserve">4.0 </w:t>
      </w:r>
      <w:r>
        <w:rPr>
          <w:rFonts w:asciiTheme="minorHAnsi" w:hAnsiTheme="minorHAnsi" w:cstheme="minorHAnsi"/>
          <w:b/>
          <w:bCs/>
          <w:color w:val="0000FF"/>
          <w:sz w:val="28"/>
          <w:szCs w:val="28"/>
          <w:lang w:eastAsia="en-US"/>
        </w:rPr>
        <w:tab/>
        <w:t>Findings</w:t>
      </w:r>
    </w:p>
    <w:p w14:paraId="0C22FFB2" w14:textId="77777777" w:rsidR="007372B6" w:rsidRDefault="007372B6">
      <w:pPr>
        <w:tabs>
          <w:tab w:val="left" w:pos="1620"/>
        </w:tabs>
        <w:ind w:left="720"/>
        <w:rPr>
          <w:rFonts w:asciiTheme="minorHAnsi" w:hAnsiTheme="minorHAnsi" w:cstheme="minorHAnsi"/>
          <w:b/>
          <w:bCs/>
          <w:color w:val="000000"/>
          <w:sz w:val="22"/>
          <w:szCs w:val="22"/>
          <w:lang w:eastAsia="en-US"/>
        </w:rPr>
      </w:pPr>
    </w:p>
    <w:p w14:paraId="35B81A38" w14:textId="77777777" w:rsidR="007372B6" w:rsidRDefault="00000000">
      <w:pPr>
        <w:tabs>
          <w:tab w:val="left" w:pos="568"/>
        </w:tabs>
        <w:rPr>
          <w:rFonts w:asciiTheme="minorHAnsi" w:hAnsiTheme="minorHAnsi" w:cstheme="minorHAnsi"/>
          <w:b/>
          <w:bCs/>
          <w:color w:val="000000"/>
          <w:lang w:eastAsia="en-US"/>
        </w:rPr>
      </w:pPr>
      <w:r>
        <w:rPr>
          <w:rFonts w:asciiTheme="minorHAnsi" w:hAnsiTheme="minorHAnsi" w:cstheme="minorHAnsi"/>
          <w:b/>
          <w:bCs/>
          <w:color w:val="000000"/>
          <w:lang w:eastAsia="en-US"/>
        </w:rPr>
        <w:tab/>
        <w:t xml:space="preserve">4.1 </w:t>
      </w:r>
      <w:r>
        <w:rPr>
          <w:rFonts w:asciiTheme="minorHAnsi" w:hAnsiTheme="minorHAnsi" w:cstheme="minorHAnsi"/>
          <w:b/>
          <w:bCs/>
          <w:color w:val="000000"/>
          <w:lang w:eastAsia="en-US"/>
        </w:rPr>
        <w:tab/>
        <w:t>Project Design/Formulation</w:t>
      </w:r>
    </w:p>
    <w:p w14:paraId="72D2A5EA" w14:textId="77777777" w:rsidR="007372B6" w:rsidRDefault="007372B6">
      <w:pPr>
        <w:tabs>
          <w:tab w:val="left" w:pos="1620"/>
        </w:tabs>
        <w:rPr>
          <w:rFonts w:asciiTheme="minorHAnsi" w:hAnsiTheme="minorHAnsi" w:cstheme="minorHAnsi"/>
          <w:color w:val="000000"/>
          <w:sz w:val="22"/>
          <w:szCs w:val="22"/>
        </w:rPr>
      </w:pPr>
    </w:p>
    <w:p w14:paraId="1633FE77" w14:textId="77777777" w:rsidR="007372B6" w:rsidRDefault="00000000">
      <w:pPr>
        <w:pStyle w:val="ListParagraph"/>
        <w:spacing w:line="312" w:lineRule="auto"/>
        <w:ind w:left="0"/>
        <w:jc w:val="both"/>
        <w:rPr>
          <w:rFonts w:ascii="Calibri" w:eastAsiaTheme="minorHAnsi" w:hAnsi="Calibri"/>
          <w:bCs/>
          <w:sz w:val="22"/>
          <w:szCs w:val="28"/>
          <w:lang w:val="en-CA" w:eastAsia="en-US" w:bidi="th-TH"/>
        </w:rPr>
      </w:pPr>
      <w:r>
        <w:rPr>
          <w:rFonts w:ascii="Calibri" w:eastAsiaTheme="minorHAnsi" w:hAnsi="Calibri"/>
          <w:bCs/>
          <w:color w:val="000000"/>
          <w:sz w:val="22"/>
          <w:szCs w:val="28"/>
          <w:lang w:val="en-CA" w:eastAsia="en-US" w:bidi="th-TH"/>
        </w:rPr>
        <w:t xml:space="preserve">1. The Fiji R2R project was designed with ambitious intentions aiming to address key environmental issues in an integrated manner through preserving biodiversity, ecosystem services, sequester carbon, improve climate resilience and sustain livelihoods. </w:t>
      </w:r>
    </w:p>
    <w:p w14:paraId="63B5E9D4" w14:textId="77777777" w:rsidR="007372B6" w:rsidRDefault="007372B6">
      <w:pPr>
        <w:tabs>
          <w:tab w:val="left" w:pos="284"/>
        </w:tabs>
        <w:contextualSpacing/>
        <w:rPr>
          <w:rFonts w:ascii="Calibri" w:eastAsiaTheme="minorHAnsi" w:hAnsi="Calibri"/>
          <w:b/>
          <w:bCs/>
          <w:color w:val="000000"/>
          <w:sz w:val="22"/>
          <w:szCs w:val="28"/>
          <w:lang w:val="en-CA" w:eastAsia="en-US" w:bidi="th-TH"/>
        </w:rPr>
      </w:pPr>
    </w:p>
    <w:p w14:paraId="54D8589C" w14:textId="77777777" w:rsidR="007372B6" w:rsidRDefault="00000000">
      <w:pPr>
        <w:tabs>
          <w:tab w:val="left" w:pos="284"/>
        </w:tabs>
        <w:spacing w:after="113" w:line="312" w:lineRule="auto"/>
        <w:contextualSpacing/>
        <w:rPr>
          <w:i/>
          <w:iCs/>
        </w:rPr>
      </w:pPr>
      <w:r>
        <w:rPr>
          <w:rFonts w:asciiTheme="minorHAnsi" w:hAnsiTheme="minorHAnsi" w:cstheme="minorHAnsi"/>
          <w:b/>
          <w:bCs/>
          <w:i/>
          <w:iCs/>
          <w:color w:val="000000"/>
          <w:sz w:val="22"/>
          <w:szCs w:val="22"/>
          <w:lang w:eastAsia="en-US"/>
        </w:rPr>
        <w:t>Analysis of Results Framework: project logic and strategy, indicators</w:t>
      </w:r>
    </w:p>
    <w:p w14:paraId="0ACC3669" w14:textId="77777777" w:rsidR="007372B6" w:rsidRDefault="00000000">
      <w:pPr>
        <w:tabs>
          <w:tab w:val="left" w:pos="0"/>
        </w:tabs>
        <w:spacing w:line="312" w:lineRule="auto"/>
        <w:contextualSpacing/>
        <w:jc w:val="both"/>
        <w:rPr>
          <w:rFonts w:ascii="Calibri" w:eastAsiaTheme="minorHAnsi" w:hAnsi="Calibri"/>
          <w:bCs/>
          <w:sz w:val="22"/>
          <w:szCs w:val="28"/>
          <w:lang w:val="en-CA" w:eastAsia="en-US" w:bidi="th-TH"/>
        </w:rPr>
      </w:pPr>
      <w:r>
        <w:rPr>
          <w:rFonts w:ascii="Calibri" w:eastAsiaTheme="minorHAnsi" w:hAnsi="Calibri"/>
          <w:bCs/>
          <w:sz w:val="22"/>
          <w:szCs w:val="22"/>
          <w:lang w:val="en-CA" w:eastAsia="en-US"/>
        </w:rPr>
        <w:t xml:space="preserve">2. The </w:t>
      </w:r>
      <w:r>
        <w:rPr>
          <w:rFonts w:ascii="Calibri" w:eastAsiaTheme="minorHAnsi" w:hAnsi="Calibri"/>
          <w:bCs/>
          <w:sz w:val="22"/>
          <w:szCs w:val="28"/>
          <w:lang w:val="en-CA" w:eastAsia="en-US" w:bidi="th-TH"/>
        </w:rPr>
        <w:t>critical threats, their root causes and existing and potential impacts on Fijians’ traditional way of life and culture (</w:t>
      </w:r>
      <w:proofErr w:type="spellStart"/>
      <w:r>
        <w:rPr>
          <w:rFonts w:ascii="Calibri" w:eastAsiaTheme="minorHAnsi" w:hAnsi="Calibri"/>
          <w:bCs/>
          <w:i/>
          <w:sz w:val="22"/>
          <w:szCs w:val="28"/>
          <w:lang w:val="en-CA" w:eastAsia="en-US" w:bidi="th-TH"/>
        </w:rPr>
        <w:t>vanua</w:t>
      </w:r>
      <w:proofErr w:type="spellEnd"/>
      <w:r>
        <w:rPr>
          <w:rFonts w:ascii="Calibri" w:eastAsiaTheme="minorHAnsi" w:hAnsi="Calibri"/>
          <w:bCs/>
          <w:sz w:val="22"/>
          <w:szCs w:val="28"/>
          <w:lang w:val="en-CA" w:eastAsia="en-US" w:bidi="th-TH"/>
        </w:rPr>
        <w:t>), livelihoods, economy, human health and ecosystems and the planned work in the six R2R catchments were described in Annex 3 of the Project Document. These included:</w:t>
      </w:r>
    </w:p>
    <w:p w14:paraId="57501689" w14:textId="77777777" w:rsidR="007372B6" w:rsidRDefault="00000000">
      <w:pPr>
        <w:numPr>
          <w:ilvl w:val="0"/>
          <w:numId w:val="8"/>
        </w:numPr>
        <w:tabs>
          <w:tab w:val="left" w:pos="284"/>
        </w:tabs>
        <w:spacing w:line="312" w:lineRule="auto"/>
        <w:contextualSpacing/>
        <w:jc w:val="both"/>
        <w:rPr>
          <w:rFonts w:ascii="Calibri" w:eastAsiaTheme="minorHAnsi" w:hAnsi="Calibri"/>
          <w:bCs/>
          <w:sz w:val="22"/>
          <w:szCs w:val="28"/>
          <w:lang w:val="en-CA" w:eastAsia="en-US" w:bidi="th-TH"/>
        </w:rPr>
      </w:pPr>
      <w:r>
        <w:rPr>
          <w:rFonts w:ascii="Calibri" w:eastAsiaTheme="minorHAnsi" w:hAnsi="Calibri"/>
          <w:bCs/>
          <w:sz w:val="22"/>
          <w:szCs w:val="28"/>
          <w:lang w:val="en-CA" w:eastAsia="en-US" w:bidi="th-TH"/>
        </w:rPr>
        <w:t>threats to the conservation of terrestrial and marine biodiversity (Component 1) involving mangrove loss and degradation; loss and damage to seagrass beds; coral reef bleaching and decline; loss of aquatic ecosystem diversity and fisheries decline; loss of agrobiodiversity and terrestrial biodiversity;</w:t>
      </w:r>
    </w:p>
    <w:p w14:paraId="367D6F0B" w14:textId="77777777" w:rsidR="007372B6" w:rsidRDefault="00000000">
      <w:pPr>
        <w:numPr>
          <w:ilvl w:val="0"/>
          <w:numId w:val="8"/>
        </w:numPr>
        <w:tabs>
          <w:tab w:val="left" w:pos="284"/>
        </w:tabs>
        <w:spacing w:line="312" w:lineRule="auto"/>
        <w:contextualSpacing/>
        <w:jc w:val="both"/>
        <w:rPr>
          <w:rFonts w:ascii="Calibri" w:eastAsiaTheme="minorHAnsi" w:hAnsi="Calibri"/>
          <w:bCs/>
          <w:sz w:val="22"/>
          <w:szCs w:val="28"/>
          <w:lang w:val="en-CA" w:eastAsia="en-US" w:bidi="th-TH"/>
        </w:rPr>
      </w:pPr>
      <w:r>
        <w:rPr>
          <w:rFonts w:ascii="Calibri" w:eastAsiaTheme="minorHAnsi" w:hAnsi="Calibri"/>
          <w:bCs/>
          <w:sz w:val="22"/>
          <w:szCs w:val="28"/>
          <w:lang w:val="en-CA" w:eastAsia="en-US" w:bidi="th-TH"/>
        </w:rPr>
        <w:t>fire and deforestation threats to the conservation, restoration and enhancement of carbon stocks through sustainable forestry (Component 2) in the priority catchments;</w:t>
      </w:r>
    </w:p>
    <w:p w14:paraId="0519DAB5" w14:textId="77777777" w:rsidR="007372B6" w:rsidRDefault="00000000">
      <w:pPr>
        <w:numPr>
          <w:ilvl w:val="0"/>
          <w:numId w:val="8"/>
        </w:numPr>
        <w:tabs>
          <w:tab w:val="left" w:pos="284"/>
        </w:tabs>
        <w:spacing w:line="312" w:lineRule="auto"/>
        <w:contextualSpacing/>
        <w:jc w:val="both"/>
        <w:rPr>
          <w:rFonts w:ascii="Calibri" w:eastAsiaTheme="minorHAnsi" w:hAnsi="Calibri"/>
          <w:bCs/>
          <w:sz w:val="22"/>
          <w:szCs w:val="28"/>
          <w:lang w:val="en-CA" w:eastAsia="en-US" w:bidi="th-TH"/>
        </w:rPr>
      </w:pPr>
      <w:r>
        <w:rPr>
          <w:rFonts w:ascii="Calibri" w:eastAsiaTheme="minorHAnsi" w:hAnsi="Calibri"/>
          <w:bCs/>
          <w:sz w:val="22"/>
          <w:szCs w:val="28"/>
          <w:lang w:val="en-CA" w:eastAsia="en-US" w:bidi="th-TH"/>
        </w:rPr>
        <w:t>threats related to integrated catchment management (Component 3) frequently stemming from a lack of proper planning coupled with inappropriate developments and resource extraction, and bad agricultural and forest harvesting practices, leading to soil decline, loss and erosion; sedimentation and damaging floods; water quality degradation and pollution; and</w:t>
      </w:r>
    </w:p>
    <w:p w14:paraId="4BE7FFD6" w14:textId="77777777" w:rsidR="007372B6" w:rsidRDefault="00000000">
      <w:pPr>
        <w:numPr>
          <w:ilvl w:val="0"/>
          <w:numId w:val="8"/>
        </w:numPr>
        <w:tabs>
          <w:tab w:val="left" w:pos="284"/>
        </w:tabs>
        <w:spacing w:line="312" w:lineRule="auto"/>
        <w:contextualSpacing/>
        <w:jc w:val="both"/>
        <w:rPr>
          <w:rFonts w:asciiTheme="minorHAnsi" w:eastAsiaTheme="minorHAnsi" w:hAnsiTheme="minorHAnsi" w:cstheme="minorHAnsi"/>
          <w:bCs/>
          <w:sz w:val="22"/>
          <w:szCs w:val="22"/>
          <w:lang w:val="en-CA" w:eastAsia="en-US" w:bidi="th-TH"/>
        </w:rPr>
      </w:pPr>
      <w:r>
        <w:rPr>
          <w:rFonts w:ascii="Calibri" w:eastAsiaTheme="minorHAnsi" w:hAnsi="Calibri"/>
          <w:bCs/>
          <w:sz w:val="22"/>
          <w:szCs w:val="28"/>
          <w:lang w:val="en-CA" w:eastAsia="en-US" w:bidi="th-TH"/>
        </w:rPr>
        <w:t xml:space="preserve">major cross-cutting threats to the R2R project objectives from climate change, alien invasive species and mining.  </w:t>
      </w:r>
    </w:p>
    <w:p w14:paraId="1E4E836B" w14:textId="77777777" w:rsidR="007372B6" w:rsidRDefault="007372B6">
      <w:pPr>
        <w:jc w:val="both"/>
        <w:rPr>
          <w:rFonts w:asciiTheme="minorHAnsi" w:eastAsiaTheme="minorHAnsi" w:hAnsiTheme="minorHAnsi" w:cstheme="minorHAnsi"/>
          <w:bCs/>
          <w:sz w:val="22"/>
          <w:szCs w:val="22"/>
          <w:lang w:val="en-CA" w:eastAsia="en-US"/>
        </w:rPr>
      </w:pPr>
    </w:p>
    <w:p w14:paraId="45146F12" w14:textId="77777777" w:rsidR="007372B6" w:rsidRDefault="00000000">
      <w:pPr>
        <w:spacing w:after="113"/>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Cs/>
          <w:sz w:val="22"/>
          <w:szCs w:val="22"/>
          <w:lang w:val="en-CA" w:eastAsia="en-US"/>
        </w:rPr>
        <w:t>3. The Project Results Framework (see Annex 2) provides the main results chain:</w:t>
      </w:r>
    </w:p>
    <w:p w14:paraId="3BF5DF27" w14:textId="1C44CBB6" w:rsidR="007372B6" w:rsidRDefault="00000000">
      <w:pPr>
        <w:spacing w:before="360" w:after="240"/>
        <w:ind w:left="720"/>
        <w:contextualSpacing/>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
          <w:bCs/>
          <w:sz w:val="22"/>
          <w:szCs w:val="22"/>
          <w:lang w:val="en-CA" w:eastAsia="en-US"/>
        </w:rPr>
        <w:t>Overall Goal:</w:t>
      </w:r>
      <w:r>
        <w:rPr>
          <w:rFonts w:asciiTheme="minorHAnsi" w:eastAsiaTheme="minorHAnsi" w:hAnsiTheme="minorHAnsi" w:cstheme="minorHAnsi"/>
          <w:bCs/>
          <w:sz w:val="22"/>
          <w:szCs w:val="22"/>
          <w:lang w:val="en-CA" w:eastAsia="en-US"/>
        </w:rPr>
        <w:t xml:space="preserve"> To maintain and enhance ecosystem goods and services through integrated approaches to land, water, forest, biodiversity and coastal resource management that contribute to poverty reduction, sustainable </w:t>
      </w:r>
      <w:r w:rsidR="00D202D3">
        <w:rPr>
          <w:noProof/>
        </w:rPr>
        <w:pict w14:anchorId="358A78B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28" type="#_x0000_t68" style="position:absolute;left:0;text-align:left;margin-left:221.05pt;margin-top:37.85pt;width:18pt;height:17.1pt;z-index:8;visibility:visible;mso-wrap-style:square;mso-wrap-distance-left:1.3pt;mso-wrap-distance-top:.7pt;mso-wrap-distance-right:1.3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" o:allowincell="f" adj="10800" fillcolor="#4472c4" strokecolor="#325490" strokeweight=".35mm"/>
        </w:pict>
      </w:r>
      <w:r>
        <w:rPr>
          <w:rFonts w:asciiTheme="minorHAnsi" w:eastAsiaTheme="minorHAnsi" w:hAnsiTheme="minorHAnsi" w:cstheme="minorHAnsi"/>
          <w:bCs/>
          <w:sz w:val="22"/>
          <w:szCs w:val="22"/>
          <w:lang w:val="en-CA" w:eastAsia="en-US"/>
        </w:rPr>
        <w:t>livelihoods and climate resilience.</w:t>
      </w:r>
    </w:p>
    <w:p w14:paraId="627EBE4C" w14:textId="77777777" w:rsidR="007372B6" w:rsidRDefault="007372B6">
      <w:pPr>
        <w:spacing w:before="360" w:after="240"/>
        <w:ind w:left="720"/>
        <w:contextualSpacing/>
        <w:jc w:val="both"/>
        <w:rPr>
          <w:rFonts w:asciiTheme="minorHAnsi" w:eastAsiaTheme="minorHAnsi" w:hAnsiTheme="minorHAnsi" w:cstheme="minorHAnsi"/>
          <w:bCs/>
          <w:sz w:val="22"/>
          <w:szCs w:val="22"/>
          <w:lang w:val="en-CA" w:eastAsia="en-US"/>
        </w:rPr>
      </w:pPr>
    </w:p>
    <w:p w14:paraId="33574F5D" w14:textId="77777777" w:rsidR="007372B6" w:rsidRDefault="00000000">
      <w:pPr>
        <w:spacing w:before="360"/>
        <w:ind w:left="720"/>
        <w:contextualSpacing/>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
          <w:sz w:val="22"/>
          <w:szCs w:val="22"/>
          <w:lang w:val="en-CA" w:eastAsia="en-US" w:bidi="th-TH"/>
        </w:rPr>
        <w:t>Project Objective</w:t>
      </w:r>
      <w:r>
        <w:rPr>
          <w:rFonts w:asciiTheme="minorHAnsi" w:eastAsiaTheme="minorHAnsi" w:hAnsiTheme="minorHAnsi" w:cstheme="minorHAnsi"/>
          <w:bCs/>
          <w:sz w:val="22"/>
          <w:szCs w:val="22"/>
          <w:lang w:val="en-CA" w:eastAsia="en-US" w:bidi="th-TH"/>
        </w:rPr>
        <w:t>:</w:t>
      </w:r>
      <w:r>
        <w:rPr>
          <w:rFonts w:asciiTheme="minorHAnsi" w:eastAsiaTheme="minorHAnsi" w:hAnsiTheme="minorHAnsi" w:cstheme="minorHAnsi"/>
          <w:bCs/>
          <w:sz w:val="22"/>
          <w:szCs w:val="22"/>
          <w:lang w:val="en-CA" w:eastAsia="en-US"/>
        </w:rPr>
        <w:t xml:space="preserve"> To preserve biodiversity, ecosystem services, sequester carbon, improve climate resilience and sustain livelihoods through a ridge-to-reef management of priority water catchments in the two main islands of Fiji.</w:t>
      </w:r>
    </w:p>
    <w:p w14:paraId="378C6FE3" w14:textId="084982ED" w:rsidR="007372B6" w:rsidRDefault="00D202D3">
      <w:pPr>
        <w:jc w:val="center"/>
        <w:rPr>
          <w:rFonts w:asciiTheme="minorHAnsi" w:eastAsiaTheme="minorHAnsi" w:hAnsiTheme="minorHAnsi" w:cstheme="minorHAnsi"/>
          <w:b/>
          <w:sz w:val="22"/>
          <w:szCs w:val="22"/>
          <w:lang w:val="en-CA" w:eastAsia="en-US"/>
        </w:rPr>
      </w:pPr>
      <w:r>
        <w:rPr>
          <w:noProof/>
        </w:rPr>
        <w:pict w14:anchorId="6F681DBB">
          <v:shape id="Arrow: Up 3" o:spid="_x0000_s1027" type="#_x0000_t68" style="position:absolute;left:0;text-align:left;margin-left:225.1pt;margin-top:1.9pt;width:18pt;height:18.6pt;z-index:4;visibility:visible;mso-wrap-style:square;mso-wrap-distance-left:1.25pt;mso-wrap-distance-top:.75pt;mso-wrap-distance-right:1.3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" o:allowincell="f" adj="10454" fillcolor="#4472c4" strokecolor="#325490" strokeweight=".35mm"/>
        </w:pict>
      </w:r>
    </w:p>
    <w:p w14:paraId="21AD2DC9" w14:textId="77777777" w:rsidR="007372B6" w:rsidRDefault="00000000">
      <w:pPr>
        <w:ind w:left="714"/>
        <w:jc w:val="both"/>
        <w:rPr>
          <w:rFonts w:asciiTheme="minorHAnsi" w:eastAsiaTheme="minorHAnsi" w:hAnsiTheme="minorHAnsi" w:cstheme="minorHAnsi"/>
          <w:b/>
          <w:sz w:val="22"/>
          <w:szCs w:val="22"/>
          <w:lang w:val="en-CA" w:eastAsia="en-US"/>
        </w:rPr>
      </w:pPr>
      <w:r>
        <w:rPr>
          <w:rFonts w:asciiTheme="minorHAnsi" w:eastAsiaTheme="minorHAnsi" w:hAnsiTheme="minorHAnsi" w:cstheme="minorHAnsi"/>
          <w:b/>
          <w:sz w:val="22"/>
          <w:szCs w:val="22"/>
          <w:lang w:val="en-CA" w:eastAsia="en-US"/>
        </w:rPr>
        <w:t>Outcomes:</w:t>
      </w:r>
    </w:p>
    <w:p w14:paraId="0BC23517" w14:textId="77777777" w:rsidR="007372B6" w:rsidRDefault="00000000">
      <w:pPr>
        <w:numPr>
          <w:ilvl w:val="0"/>
          <w:numId w:val="30"/>
        </w:numPr>
        <w:spacing w:after="240"/>
        <w:ind w:left="1428" w:hanging="357"/>
        <w:contextualSpacing/>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Cs/>
          <w:sz w:val="22"/>
          <w:szCs w:val="22"/>
          <w:lang w:val="en-CA" w:eastAsia="en-US"/>
        </w:rPr>
        <w:t>Improved management effectiveness of existing and new protected areas</w:t>
      </w:r>
    </w:p>
    <w:p w14:paraId="347B6842" w14:textId="77777777" w:rsidR="007372B6" w:rsidRDefault="00000000">
      <w:pPr>
        <w:numPr>
          <w:ilvl w:val="0"/>
          <w:numId w:val="31"/>
        </w:numPr>
        <w:spacing w:before="360" w:after="240"/>
        <w:ind w:left="1434"/>
        <w:contextualSpacing/>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Cs/>
          <w:sz w:val="22"/>
          <w:szCs w:val="22"/>
          <w:lang w:val="en-CA" w:eastAsia="en-US"/>
        </w:rPr>
        <w:t>Improved financial sustainability for terrestrial and marine protected area systems</w:t>
      </w:r>
    </w:p>
    <w:p w14:paraId="7D5B6897" w14:textId="77777777" w:rsidR="007372B6" w:rsidRDefault="00000000">
      <w:pPr>
        <w:numPr>
          <w:ilvl w:val="0"/>
          <w:numId w:val="32"/>
        </w:numPr>
        <w:spacing w:before="360" w:after="240"/>
        <w:ind w:left="1434"/>
        <w:contextualSpacing/>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Cs/>
          <w:sz w:val="22"/>
          <w:szCs w:val="22"/>
          <w:lang w:val="en-CA" w:eastAsia="en-US"/>
        </w:rPr>
        <w:t>Carbon stocks restored and enhanced in priority catchments</w:t>
      </w:r>
    </w:p>
    <w:p w14:paraId="36C86709" w14:textId="77777777" w:rsidR="007372B6" w:rsidRDefault="00000000">
      <w:pPr>
        <w:numPr>
          <w:ilvl w:val="0"/>
          <w:numId w:val="33"/>
        </w:numPr>
        <w:spacing w:before="360" w:after="240"/>
        <w:ind w:left="1434"/>
        <w:contextualSpacing/>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Cs/>
          <w:sz w:val="22"/>
          <w:szCs w:val="22"/>
          <w:lang w:val="en-CA" w:eastAsia="en-US"/>
        </w:rPr>
        <w:t>Sustainable forest management achieved through innovative market-based schemes</w:t>
      </w:r>
    </w:p>
    <w:p w14:paraId="4125999D" w14:textId="77777777" w:rsidR="007372B6" w:rsidRDefault="00000000">
      <w:pPr>
        <w:numPr>
          <w:ilvl w:val="0"/>
          <w:numId w:val="34"/>
        </w:numPr>
        <w:spacing w:before="360" w:after="240"/>
        <w:ind w:left="1434"/>
        <w:contextualSpacing/>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Cs/>
          <w:sz w:val="22"/>
          <w:szCs w:val="22"/>
          <w:lang w:val="en-CA" w:eastAsia="en-US"/>
        </w:rPr>
        <w:t>Integrated catchment management plans integrating conservation of biodiversity, forest, land and water formulated and implemented in priority sites</w:t>
      </w:r>
    </w:p>
    <w:p w14:paraId="5A82F19A" w14:textId="77777777" w:rsidR="007372B6" w:rsidRDefault="00000000">
      <w:pPr>
        <w:numPr>
          <w:ilvl w:val="0"/>
          <w:numId w:val="35"/>
        </w:numPr>
        <w:spacing w:before="360" w:after="240"/>
        <w:ind w:left="1434"/>
        <w:contextualSpacing/>
        <w:jc w:val="both"/>
        <w:rPr>
          <w:rFonts w:asciiTheme="minorHAnsi" w:eastAsiaTheme="minorHAnsi" w:hAnsiTheme="minorHAnsi" w:cstheme="minorHAnsi"/>
          <w:bCs/>
          <w:sz w:val="22"/>
          <w:szCs w:val="22"/>
          <w:lang w:val="en-CA" w:eastAsia="en-US"/>
        </w:rPr>
      </w:pPr>
      <w:r>
        <w:rPr>
          <w:rFonts w:asciiTheme="minorHAnsi" w:eastAsiaTheme="minorHAnsi" w:hAnsiTheme="minorHAnsi" w:cstheme="minorHAnsi"/>
          <w:bCs/>
          <w:sz w:val="22"/>
          <w:szCs w:val="22"/>
          <w:lang w:val="en-CA" w:eastAsia="en-US"/>
        </w:rPr>
        <w:t>Strengthened governance for integrated natural resources (land, water, biodiversity, forests) management</w:t>
      </w:r>
    </w:p>
    <w:p w14:paraId="6C7B8B6B" w14:textId="77777777" w:rsidR="007372B6" w:rsidRDefault="00000000">
      <w:pPr>
        <w:numPr>
          <w:ilvl w:val="0"/>
          <w:numId w:val="36"/>
        </w:numPr>
        <w:spacing w:before="360" w:after="240"/>
        <w:ind w:left="1434"/>
        <w:contextualSpacing/>
        <w:jc w:val="both"/>
        <w:rPr>
          <w:rFonts w:asciiTheme="minorHAnsi" w:eastAsiaTheme="minorHAnsi" w:hAnsiTheme="minorHAnsi" w:cstheme="minorHAnsi"/>
          <w:bCs/>
          <w:sz w:val="22"/>
          <w:szCs w:val="22"/>
          <w:lang w:val="en-CA" w:eastAsia="en-US" w:bidi="th-TH"/>
        </w:rPr>
      </w:pPr>
      <w:r>
        <w:rPr>
          <w:rFonts w:asciiTheme="minorHAnsi" w:eastAsiaTheme="minorHAnsi" w:hAnsiTheme="minorHAnsi" w:cstheme="minorHAnsi"/>
          <w:bCs/>
          <w:sz w:val="22"/>
          <w:szCs w:val="22"/>
          <w:lang w:val="en-CA" w:eastAsia="en-US"/>
        </w:rPr>
        <w:t>Improved data and information systems on biodiversity; land, forests, coastal and marine management; climate change and best practices</w:t>
      </w:r>
      <w:r>
        <w:rPr>
          <w:rFonts w:asciiTheme="minorHAnsi" w:eastAsiaTheme="minorHAnsi" w:hAnsiTheme="minorHAnsi" w:cstheme="minorHAnsi"/>
          <w:bCs/>
          <w:sz w:val="22"/>
          <w:szCs w:val="22"/>
          <w:lang w:val="en-CA" w:eastAsia="en-US" w:bidi="th-TH"/>
        </w:rPr>
        <w:t>.</w:t>
      </w:r>
    </w:p>
    <w:p w14:paraId="5AA065FB" w14:textId="018BEC1B" w:rsidR="007372B6" w:rsidRDefault="00D202D3">
      <w:pPr>
        <w:ind w:left="360" w:firstLine="360"/>
        <w:jc w:val="both"/>
        <w:rPr>
          <w:rFonts w:asciiTheme="minorHAnsi" w:eastAsiaTheme="minorHAnsi" w:hAnsiTheme="minorHAnsi" w:cstheme="minorHAnsi"/>
          <w:b/>
          <w:sz w:val="22"/>
          <w:szCs w:val="22"/>
          <w:lang w:val="en-CA" w:eastAsia="en-US"/>
        </w:rPr>
      </w:pPr>
      <w:r>
        <w:rPr>
          <w:noProof/>
        </w:rPr>
        <w:lastRenderedPageBreak/>
        <w:pict w14:anchorId="4CEB7FA0">
          <v:shape id="Arrow: Up 1" o:spid="_x0000_s1026" type="#_x0000_t68" style="position:absolute;left:0;text-align:left;margin-left:225pt;margin-top:1.4pt;width:18pt;height:18.6pt;z-index:5;visibility:visible;mso-wrap-style:square;mso-wrap-distance-left:1.25pt;mso-wrap-distance-top:.75pt;mso-wrap-distance-right:1.3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" o:allowincell="f" adj="10454" fillcolor="#4472c4" strokecolor="#325490" strokeweight=".35mm"/>
        </w:pict>
      </w:r>
    </w:p>
    <w:p w14:paraId="56752D6B" w14:textId="77777777" w:rsidR="007372B6" w:rsidRDefault="00000000">
      <w:pPr>
        <w:ind w:left="360" w:firstLine="360"/>
        <w:jc w:val="both"/>
        <w:rPr>
          <w:rFonts w:asciiTheme="minorHAnsi" w:eastAsiaTheme="minorHAnsi" w:hAnsiTheme="minorHAnsi" w:cstheme="minorHAnsi"/>
          <w:b/>
          <w:sz w:val="22"/>
          <w:szCs w:val="22"/>
          <w:lang w:val="en-CA" w:eastAsia="en-US"/>
        </w:rPr>
      </w:pPr>
      <w:r>
        <w:rPr>
          <w:rFonts w:asciiTheme="minorHAnsi" w:eastAsiaTheme="minorHAnsi" w:hAnsiTheme="minorHAnsi" w:cstheme="minorHAnsi"/>
          <w:b/>
          <w:sz w:val="22"/>
          <w:szCs w:val="22"/>
          <w:lang w:val="en-CA" w:eastAsia="en-US"/>
        </w:rPr>
        <w:t>Activity Components:</w:t>
      </w:r>
    </w:p>
    <w:p w14:paraId="685C368A" w14:textId="77777777" w:rsidR="007372B6" w:rsidRDefault="00000000">
      <w:pPr>
        <w:pStyle w:val="ListParagraph"/>
        <w:numPr>
          <w:ilvl w:val="3"/>
          <w:numId w:val="4"/>
        </w:numPr>
        <w:ind w:left="1418" w:hanging="394"/>
        <w:jc w:val="both"/>
        <w:rPr>
          <w:rFonts w:asciiTheme="minorHAnsi" w:eastAsiaTheme="minorHAnsi" w:hAnsiTheme="minorHAnsi" w:cstheme="minorHAnsi"/>
          <w:bCs/>
          <w:sz w:val="22"/>
          <w:szCs w:val="22"/>
          <w:lang w:val="en-CA" w:eastAsia="en-US"/>
        </w:rPr>
      </w:pPr>
      <w:r>
        <w:rPr>
          <w:rFonts w:asciiTheme="minorHAnsi" w:hAnsiTheme="minorHAnsi" w:cstheme="minorHAnsi"/>
          <w:bCs/>
          <w:sz w:val="22"/>
          <w:szCs w:val="22"/>
        </w:rPr>
        <w:t>Improved management effectiveness of existing and new protected areas</w:t>
      </w:r>
      <w:r>
        <w:rPr>
          <w:rFonts w:asciiTheme="minorHAnsi" w:eastAsiaTheme="minorHAnsi" w:hAnsiTheme="minorHAnsi" w:cstheme="minorHAnsi"/>
          <w:bCs/>
          <w:sz w:val="22"/>
          <w:szCs w:val="22"/>
          <w:lang w:val="en-CA" w:eastAsia="en-US"/>
        </w:rPr>
        <w:t xml:space="preserve">, and </w:t>
      </w:r>
      <w:proofErr w:type="gramStart"/>
      <w:r>
        <w:rPr>
          <w:rFonts w:asciiTheme="minorHAnsi" w:hAnsiTheme="minorHAnsi" w:cstheme="minorHAnsi"/>
          <w:bCs/>
          <w:sz w:val="22"/>
          <w:szCs w:val="22"/>
        </w:rPr>
        <w:t>Improved</w:t>
      </w:r>
      <w:proofErr w:type="gramEnd"/>
      <w:r>
        <w:rPr>
          <w:rFonts w:asciiTheme="minorHAnsi" w:hAnsiTheme="minorHAnsi" w:cstheme="minorHAnsi"/>
          <w:bCs/>
          <w:sz w:val="22"/>
          <w:szCs w:val="22"/>
        </w:rPr>
        <w:t xml:space="preserve"> financial sustainability for terrestrial and marine protected area system</w:t>
      </w:r>
    </w:p>
    <w:p w14:paraId="34A52FB7" w14:textId="77777777" w:rsidR="007372B6" w:rsidRDefault="00000000">
      <w:pPr>
        <w:pStyle w:val="ListParagraph"/>
        <w:numPr>
          <w:ilvl w:val="3"/>
          <w:numId w:val="4"/>
        </w:numPr>
        <w:ind w:left="1418" w:hanging="394"/>
        <w:jc w:val="both"/>
        <w:rPr>
          <w:rFonts w:asciiTheme="minorHAnsi" w:eastAsiaTheme="minorHAnsi" w:hAnsiTheme="minorHAnsi" w:cstheme="minorHAnsi"/>
          <w:bCs/>
          <w:sz w:val="22"/>
          <w:szCs w:val="22"/>
          <w:lang w:val="en-CA" w:eastAsia="en-US"/>
        </w:rPr>
      </w:pPr>
      <w:r>
        <w:rPr>
          <w:rFonts w:asciiTheme="minorHAnsi" w:hAnsiTheme="minorHAnsi" w:cstheme="minorHAnsi"/>
          <w:bCs/>
          <w:sz w:val="22"/>
          <w:szCs w:val="22"/>
        </w:rPr>
        <w:t>Carbon stocks restored and enhanced in priority catchments</w:t>
      </w:r>
    </w:p>
    <w:p w14:paraId="40244251" w14:textId="77777777" w:rsidR="007372B6" w:rsidRDefault="00000000">
      <w:pPr>
        <w:pStyle w:val="ListParagraph"/>
        <w:numPr>
          <w:ilvl w:val="3"/>
          <w:numId w:val="4"/>
        </w:numPr>
        <w:ind w:left="1418" w:hanging="394"/>
        <w:jc w:val="both"/>
        <w:rPr>
          <w:rFonts w:asciiTheme="minorHAnsi" w:eastAsiaTheme="minorHAnsi" w:hAnsiTheme="minorHAnsi" w:cstheme="minorHAnsi"/>
          <w:bCs/>
          <w:sz w:val="22"/>
          <w:szCs w:val="22"/>
          <w:lang w:val="en-CA" w:eastAsia="en-US"/>
        </w:rPr>
      </w:pPr>
      <w:r>
        <w:rPr>
          <w:rFonts w:asciiTheme="minorHAnsi" w:hAnsiTheme="minorHAnsi" w:cstheme="minorHAnsi"/>
          <w:bCs/>
          <w:sz w:val="22"/>
          <w:szCs w:val="22"/>
        </w:rPr>
        <w:t>Strengthened governance for integrated natural resources</w:t>
      </w:r>
    </w:p>
    <w:p w14:paraId="4A10F82A" w14:textId="77777777" w:rsidR="007372B6" w:rsidRDefault="00000000">
      <w:pPr>
        <w:pStyle w:val="ListParagraph"/>
        <w:numPr>
          <w:ilvl w:val="3"/>
          <w:numId w:val="4"/>
        </w:numPr>
        <w:ind w:left="1418" w:hanging="394"/>
        <w:jc w:val="both"/>
        <w:rPr>
          <w:rFonts w:asciiTheme="minorHAnsi" w:eastAsiaTheme="minorHAnsi" w:hAnsiTheme="minorHAnsi" w:cstheme="minorHAnsi"/>
          <w:bCs/>
          <w:sz w:val="22"/>
          <w:szCs w:val="22"/>
          <w:lang w:val="en-CA" w:eastAsia="en-US"/>
        </w:rPr>
      </w:pPr>
      <w:r>
        <w:rPr>
          <w:rFonts w:asciiTheme="minorHAnsi" w:hAnsiTheme="minorHAnsi" w:cstheme="minorHAnsi"/>
          <w:bCs/>
          <w:sz w:val="22"/>
          <w:szCs w:val="22"/>
        </w:rPr>
        <w:t>Improved data and information systems on biodiversity; land, forests, coastal and marine management; climate change and best practices</w:t>
      </w:r>
      <w:r>
        <w:rPr>
          <w:rFonts w:asciiTheme="minorHAnsi" w:eastAsiaTheme="minorHAnsi" w:hAnsiTheme="minorHAnsi" w:cstheme="minorHAnsi"/>
          <w:bCs/>
          <w:sz w:val="22"/>
          <w:szCs w:val="22"/>
          <w:lang w:val="en-CA" w:eastAsia="en-US"/>
        </w:rPr>
        <w:t>.</w:t>
      </w:r>
    </w:p>
    <w:p w14:paraId="080D3BD4" w14:textId="77777777" w:rsidR="007372B6" w:rsidRDefault="007372B6">
      <w:pPr>
        <w:tabs>
          <w:tab w:val="left" w:pos="0"/>
        </w:tabs>
        <w:spacing w:line="312" w:lineRule="auto"/>
        <w:jc w:val="both"/>
        <w:rPr>
          <w:rFonts w:asciiTheme="minorHAnsi" w:hAnsiTheme="minorHAnsi" w:cstheme="minorHAnsi"/>
          <w:color w:val="000000"/>
          <w:sz w:val="22"/>
          <w:szCs w:val="22"/>
          <w:lang w:eastAsia="en-US"/>
        </w:rPr>
      </w:pPr>
    </w:p>
    <w:p w14:paraId="7EBCDBF3" w14:textId="77777777" w:rsidR="007372B6" w:rsidRDefault="00000000">
      <w:pPr>
        <w:tabs>
          <w:tab w:val="left" w:pos="0"/>
        </w:tabs>
        <w:spacing w:line="312" w:lineRule="auto"/>
        <w:jc w:val="both"/>
        <w:rPr>
          <w:rFonts w:ascii="Calibri" w:eastAsia="Calibri" w:hAnsi="Calibri" w:cstheme="minorHAnsi"/>
          <w:b/>
          <w:bCs/>
          <w:i/>
          <w:iCs/>
          <w:sz w:val="22"/>
          <w:szCs w:val="22"/>
          <w:lang w:val="en-CA" w:eastAsia="en-US"/>
        </w:rPr>
      </w:pPr>
      <w:r>
        <w:rPr>
          <w:rFonts w:ascii="Calibri" w:eastAsia="Calibri" w:hAnsi="Calibri" w:cstheme="minorHAnsi"/>
          <w:b/>
          <w:bCs/>
          <w:i/>
          <w:iCs/>
          <w:sz w:val="22"/>
          <w:szCs w:val="22"/>
          <w:lang w:val="en-CA" w:eastAsia="en-US"/>
        </w:rPr>
        <w:t>Rating of Project Indicators</w:t>
      </w:r>
    </w:p>
    <w:p w14:paraId="2E4EF25D" w14:textId="77777777" w:rsidR="007372B6" w:rsidRDefault="00000000">
      <w:pPr>
        <w:tabs>
          <w:tab w:val="left" w:pos="0"/>
        </w:tabs>
        <w:spacing w:line="312" w:lineRule="auto"/>
        <w:jc w:val="both"/>
        <w:rPr>
          <w:rFonts w:asciiTheme="minorHAnsi" w:hAnsiTheme="minorHAnsi" w:cstheme="minorHAnsi"/>
          <w:bCs/>
          <w:sz w:val="22"/>
          <w:szCs w:val="22"/>
        </w:rPr>
      </w:pPr>
      <w:r>
        <w:rPr>
          <w:rFonts w:ascii="Calibri" w:hAnsi="Calibri" w:cstheme="minorHAnsi"/>
          <w:bCs/>
          <w:sz w:val="22"/>
          <w:szCs w:val="22"/>
        </w:rPr>
        <w:t>4. The project indicators were assessed from the perspective of ‘SMART’* attributes. Table 1 summarizes the compliant, potentially compliant and non-compliant aspects of the indicators relative to SMART criteria. The ‘potentially compliant’ ratings are dependent on the context and use of an active monitoring system. The indicator quality also depends on the clarity and achievability of the expected results.</w:t>
      </w:r>
    </w:p>
    <w:p w14:paraId="25B4A1A5" w14:textId="77777777" w:rsidR="007372B6" w:rsidRDefault="007372B6"/>
    <w:p w14:paraId="1DA9F1D6" w14:textId="77777777" w:rsidR="007372B6" w:rsidRDefault="00000000">
      <w:pPr>
        <w:spacing w:after="113"/>
        <w:jc w:val="center"/>
        <w:rPr>
          <w:rFonts w:ascii="Calibri" w:eastAsia="Calibri" w:hAnsi="Calibri" w:cstheme="minorHAnsi"/>
          <w:b/>
          <w:bCs/>
          <w:sz w:val="22"/>
          <w:szCs w:val="22"/>
          <w:lang w:val="en-CA" w:eastAsia="en-US"/>
        </w:rPr>
      </w:pPr>
      <w:r>
        <w:rPr>
          <w:rFonts w:ascii="Calibri" w:eastAsia="Calibri" w:hAnsi="Calibri" w:cstheme="minorHAnsi"/>
          <w:b/>
          <w:bCs/>
          <w:sz w:val="22"/>
          <w:szCs w:val="22"/>
          <w:lang w:val="en-CA" w:eastAsia="en-US"/>
        </w:rPr>
        <w:t>Table 1: Rating of Project Indicators</w:t>
      </w:r>
    </w:p>
    <w:tbl>
      <w:tblPr>
        <w:tblW w:w="9493" w:type="dxa"/>
        <w:tblInd w:w="113" w:type="dxa"/>
        <w:tblLayout w:type="fixed"/>
        <w:tblLook w:val="04A0" w:firstRow="1" w:lastRow="0" w:firstColumn="1" w:lastColumn="0" w:noHBand="0" w:noVBand="1"/>
      </w:tblPr>
      <w:tblGrid>
        <w:gridCol w:w="4106"/>
        <w:gridCol w:w="648"/>
        <w:gridCol w:w="564"/>
        <w:gridCol w:w="567"/>
        <w:gridCol w:w="570"/>
        <w:gridCol w:w="567"/>
        <w:gridCol w:w="2471"/>
      </w:tblGrid>
      <w:tr w:rsidR="007372B6" w14:paraId="53D157B4" w14:textId="77777777">
        <w:tc>
          <w:tcPr>
            <w:tcW w:w="4105" w:type="dxa"/>
            <w:tcBorders>
              <w:top w:val="single" w:sz="4" w:space="0" w:color="000000"/>
              <w:left w:val="single" w:sz="4" w:space="0" w:color="000000"/>
              <w:bottom w:val="single" w:sz="4" w:space="0" w:color="000000"/>
              <w:right w:val="single" w:sz="4" w:space="0" w:color="000000"/>
            </w:tcBorders>
          </w:tcPr>
          <w:p w14:paraId="1BAF6FBE" w14:textId="77777777" w:rsidR="007372B6" w:rsidRDefault="00000000">
            <w:pPr>
              <w:widowControl w:val="0"/>
              <w:rPr>
                <w:rFonts w:ascii="Calibri" w:eastAsia="Calibri" w:hAnsi="Calibri"/>
                <w:lang w:val="en-CA" w:eastAsia="en-US"/>
              </w:rPr>
            </w:pPr>
            <w:r>
              <w:rPr>
                <w:rFonts w:ascii="Calibri" w:eastAsia="Calibri" w:hAnsi="Calibri" w:cstheme="minorHAnsi"/>
                <w:b/>
                <w:bCs/>
                <w:sz w:val="22"/>
                <w:szCs w:val="22"/>
                <w:lang w:val="en-CA" w:eastAsia="en-US"/>
              </w:rPr>
              <w:t>INDICATOR</w:t>
            </w:r>
          </w:p>
        </w:tc>
        <w:tc>
          <w:tcPr>
            <w:tcW w:w="648" w:type="dxa"/>
            <w:tcBorders>
              <w:top w:val="single" w:sz="4" w:space="0" w:color="000000"/>
              <w:left w:val="single" w:sz="4" w:space="0" w:color="000000"/>
              <w:bottom w:val="single" w:sz="4" w:space="0" w:color="000000"/>
              <w:right w:val="single" w:sz="4" w:space="0" w:color="000000"/>
            </w:tcBorders>
          </w:tcPr>
          <w:p w14:paraId="345E8D10" w14:textId="77777777" w:rsidR="007372B6" w:rsidRDefault="00000000">
            <w:pPr>
              <w:widowControl w:val="0"/>
              <w:jc w:val="center"/>
              <w:rPr>
                <w:rFonts w:ascii="Calibri" w:eastAsia="Calibri" w:hAnsi="Calibri"/>
                <w:lang w:val="en-CA" w:eastAsia="en-US"/>
              </w:rPr>
            </w:pPr>
            <w:r>
              <w:rPr>
                <w:rFonts w:ascii="Calibri" w:eastAsia="Calibri" w:hAnsi="Calibri" w:cstheme="minorHAnsi"/>
                <w:b/>
                <w:bCs/>
                <w:sz w:val="22"/>
                <w:szCs w:val="22"/>
                <w:lang w:val="en-CA" w:eastAsia="en-US"/>
              </w:rPr>
              <w:t>S</w:t>
            </w:r>
          </w:p>
        </w:tc>
        <w:tc>
          <w:tcPr>
            <w:tcW w:w="564" w:type="dxa"/>
            <w:tcBorders>
              <w:top w:val="single" w:sz="4" w:space="0" w:color="000000"/>
              <w:left w:val="single" w:sz="4" w:space="0" w:color="000000"/>
              <w:bottom w:val="single" w:sz="4" w:space="0" w:color="000000"/>
              <w:right w:val="single" w:sz="4" w:space="0" w:color="000000"/>
            </w:tcBorders>
          </w:tcPr>
          <w:p w14:paraId="2A566BC4" w14:textId="77777777" w:rsidR="007372B6" w:rsidRDefault="00000000">
            <w:pPr>
              <w:widowControl w:val="0"/>
              <w:jc w:val="center"/>
              <w:rPr>
                <w:rFonts w:ascii="Calibri" w:eastAsia="Calibri" w:hAnsi="Calibri"/>
                <w:lang w:val="en-CA" w:eastAsia="en-US"/>
              </w:rPr>
            </w:pPr>
            <w:r>
              <w:rPr>
                <w:rFonts w:ascii="Calibri" w:eastAsia="Calibri" w:hAnsi="Calibri" w:cstheme="minorHAnsi"/>
                <w:b/>
                <w:bCs/>
                <w:sz w:val="22"/>
                <w:szCs w:val="22"/>
                <w:lang w:val="en-CA" w:eastAsia="en-US"/>
              </w:rPr>
              <w:t>M</w:t>
            </w:r>
          </w:p>
        </w:tc>
        <w:tc>
          <w:tcPr>
            <w:tcW w:w="567" w:type="dxa"/>
            <w:tcBorders>
              <w:top w:val="single" w:sz="4" w:space="0" w:color="000000"/>
              <w:left w:val="single" w:sz="4" w:space="0" w:color="000000"/>
              <w:bottom w:val="single" w:sz="4" w:space="0" w:color="000000"/>
              <w:right w:val="single" w:sz="4" w:space="0" w:color="000000"/>
            </w:tcBorders>
          </w:tcPr>
          <w:p w14:paraId="50710695" w14:textId="77777777" w:rsidR="007372B6" w:rsidRDefault="00000000">
            <w:pPr>
              <w:widowControl w:val="0"/>
              <w:jc w:val="center"/>
              <w:rPr>
                <w:rFonts w:ascii="Calibri" w:eastAsia="Calibri" w:hAnsi="Calibri"/>
                <w:lang w:val="en-CA" w:eastAsia="en-US"/>
              </w:rPr>
            </w:pPr>
            <w:r>
              <w:rPr>
                <w:rFonts w:ascii="Calibri" w:eastAsia="Calibri" w:hAnsi="Calibri" w:cstheme="minorHAnsi"/>
                <w:b/>
                <w:bCs/>
                <w:sz w:val="22"/>
                <w:szCs w:val="22"/>
                <w:lang w:val="en-CA" w:eastAsia="en-US"/>
              </w:rPr>
              <w:t>A</w:t>
            </w:r>
          </w:p>
        </w:tc>
        <w:tc>
          <w:tcPr>
            <w:tcW w:w="570" w:type="dxa"/>
            <w:tcBorders>
              <w:top w:val="single" w:sz="4" w:space="0" w:color="000000"/>
              <w:left w:val="single" w:sz="4" w:space="0" w:color="000000"/>
              <w:bottom w:val="single" w:sz="4" w:space="0" w:color="000000"/>
              <w:right w:val="single" w:sz="4" w:space="0" w:color="000000"/>
            </w:tcBorders>
          </w:tcPr>
          <w:p w14:paraId="1B166DCE" w14:textId="77777777" w:rsidR="007372B6" w:rsidRDefault="00000000">
            <w:pPr>
              <w:widowControl w:val="0"/>
              <w:jc w:val="center"/>
              <w:rPr>
                <w:rFonts w:ascii="Calibri" w:eastAsia="Calibri" w:hAnsi="Calibri"/>
                <w:lang w:val="en-CA" w:eastAsia="en-US"/>
              </w:rPr>
            </w:pPr>
            <w:r>
              <w:rPr>
                <w:rFonts w:ascii="Calibri" w:eastAsia="Calibri" w:hAnsi="Calibri" w:cstheme="minorHAnsi"/>
                <w:b/>
                <w:bCs/>
                <w:sz w:val="22"/>
                <w:szCs w:val="22"/>
                <w:lang w:val="en-CA" w:eastAsia="en-US"/>
              </w:rPr>
              <w:t>R</w:t>
            </w:r>
          </w:p>
        </w:tc>
        <w:tc>
          <w:tcPr>
            <w:tcW w:w="567" w:type="dxa"/>
            <w:tcBorders>
              <w:top w:val="single" w:sz="4" w:space="0" w:color="000000"/>
              <w:left w:val="single" w:sz="4" w:space="0" w:color="000000"/>
              <w:bottom w:val="single" w:sz="4" w:space="0" w:color="000000"/>
              <w:right w:val="single" w:sz="4" w:space="0" w:color="000000"/>
            </w:tcBorders>
          </w:tcPr>
          <w:p w14:paraId="467F2BFC" w14:textId="77777777" w:rsidR="007372B6" w:rsidRDefault="00000000">
            <w:pPr>
              <w:widowControl w:val="0"/>
              <w:jc w:val="center"/>
              <w:rPr>
                <w:rFonts w:ascii="Calibri" w:eastAsia="Calibri" w:hAnsi="Calibri"/>
                <w:lang w:val="en-CA" w:eastAsia="en-US"/>
              </w:rPr>
            </w:pPr>
            <w:r>
              <w:rPr>
                <w:rFonts w:ascii="Calibri" w:eastAsia="Calibri" w:hAnsi="Calibri" w:cstheme="minorHAnsi"/>
                <w:b/>
                <w:bCs/>
                <w:sz w:val="22"/>
                <w:szCs w:val="22"/>
                <w:lang w:val="en-CA" w:eastAsia="en-US"/>
              </w:rPr>
              <w:t>T</w:t>
            </w:r>
          </w:p>
        </w:tc>
        <w:tc>
          <w:tcPr>
            <w:tcW w:w="2471" w:type="dxa"/>
            <w:tcBorders>
              <w:top w:val="single" w:sz="4" w:space="0" w:color="000000"/>
              <w:left w:val="single" w:sz="4" w:space="0" w:color="000000"/>
              <w:bottom w:val="single" w:sz="4" w:space="0" w:color="000000"/>
              <w:right w:val="single" w:sz="4" w:space="0" w:color="000000"/>
            </w:tcBorders>
          </w:tcPr>
          <w:p w14:paraId="17C74C93" w14:textId="77777777" w:rsidR="007372B6" w:rsidRDefault="00000000">
            <w:pPr>
              <w:widowControl w:val="0"/>
              <w:rPr>
                <w:rFonts w:ascii="Calibri" w:eastAsia="Calibri" w:hAnsi="Calibri"/>
                <w:lang w:val="en-CA" w:eastAsia="en-US"/>
              </w:rPr>
            </w:pPr>
            <w:r>
              <w:rPr>
                <w:rFonts w:ascii="Calibri" w:eastAsia="Calibri" w:hAnsi="Calibri" w:cstheme="minorHAnsi"/>
                <w:b/>
                <w:bCs/>
                <w:sz w:val="22"/>
                <w:szCs w:val="22"/>
                <w:lang w:val="en-CA" w:eastAsia="en-US"/>
              </w:rPr>
              <w:t>Comment</w:t>
            </w:r>
          </w:p>
        </w:tc>
      </w:tr>
      <w:tr w:rsidR="007372B6" w14:paraId="50DE2839" w14:textId="77777777">
        <w:tc>
          <w:tcPr>
            <w:tcW w:w="7021" w:type="dxa"/>
            <w:gridSpan w:val="6"/>
            <w:tcBorders>
              <w:top w:val="single" w:sz="4" w:space="0" w:color="000000"/>
              <w:left w:val="single" w:sz="4" w:space="0" w:color="000000"/>
              <w:bottom w:val="single" w:sz="4" w:space="0" w:color="000000"/>
              <w:right w:val="single" w:sz="4" w:space="0" w:color="000000"/>
            </w:tcBorders>
          </w:tcPr>
          <w:p w14:paraId="211E65FD" w14:textId="77777777" w:rsidR="007372B6" w:rsidRDefault="00000000">
            <w:pPr>
              <w:widowControl w:val="0"/>
              <w:rPr>
                <w:rFonts w:ascii="Calibri" w:eastAsia="Calibri" w:hAnsi="Calibri"/>
                <w:lang w:val="en-CA" w:eastAsia="en-US"/>
              </w:rPr>
            </w:pPr>
            <w:r>
              <w:rPr>
                <w:rFonts w:ascii="Calibri" w:eastAsia="Calibri" w:hAnsi="Calibri" w:cstheme="minorHAnsi"/>
                <w:b/>
                <w:bCs/>
                <w:sz w:val="22"/>
                <w:szCs w:val="22"/>
                <w:lang w:val="en-CA" w:eastAsia="en-US"/>
              </w:rPr>
              <w:t>Objective:</w:t>
            </w:r>
          </w:p>
        </w:tc>
        <w:tc>
          <w:tcPr>
            <w:tcW w:w="2471" w:type="dxa"/>
            <w:tcBorders>
              <w:top w:val="single" w:sz="4" w:space="0" w:color="000000"/>
              <w:left w:val="single" w:sz="4" w:space="0" w:color="000000"/>
              <w:bottom w:val="single" w:sz="4" w:space="0" w:color="000000"/>
              <w:right w:val="single" w:sz="4" w:space="0" w:color="000000"/>
            </w:tcBorders>
          </w:tcPr>
          <w:p w14:paraId="263B6D55" w14:textId="77777777" w:rsidR="007372B6" w:rsidRDefault="007372B6">
            <w:pPr>
              <w:widowControl w:val="0"/>
              <w:rPr>
                <w:rFonts w:ascii="Calibri" w:eastAsia="Calibri" w:hAnsi="Calibri" w:cstheme="minorHAnsi"/>
                <w:lang w:val="en-CA" w:eastAsia="en-US"/>
              </w:rPr>
            </w:pPr>
          </w:p>
        </w:tc>
      </w:tr>
      <w:tr w:rsidR="007372B6" w14:paraId="6BBF5DA2" w14:textId="77777777">
        <w:tc>
          <w:tcPr>
            <w:tcW w:w="4105" w:type="dxa"/>
            <w:tcBorders>
              <w:top w:val="single" w:sz="4" w:space="0" w:color="000000"/>
              <w:left w:val="single" w:sz="4" w:space="0" w:color="000000"/>
              <w:bottom w:val="single" w:sz="4" w:space="0" w:color="000000"/>
              <w:right w:val="single" w:sz="4" w:space="0" w:color="000000"/>
            </w:tcBorders>
          </w:tcPr>
          <w:p w14:paraId="75BA0472"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Status of completion and implementation of the Fiji R2R Project Work plan</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497F46"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AA495FE"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1B0AF7"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806977"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5ADBDC"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18B17AC4"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Measures activity completion. Only relevant if linked to actual objective results</w:t>
            </w:r>
          </w:p>
        </w:tc>
      </w:tr>
      <w:tr w:rsidR="007372B6" w14:paraId="57A478B0" w14:textId="77777777">
        <w:tc>
          <w:tcPr>
            <w:tcW w:w="4105" w:type="dxa"/>
            <w:tcBorders>
              <w:top w:val="single" w:sz="4" w:space="0" w:color="000000"/>
              <w:left w:val="single" w:sz="4" w:space="0" w:color="000000"/>
              <w:bottom w:val="single" w:sz="4" w:space="0" w:color="000000"/>
              <w:right w:val="single" w:sz="4" w:space="0" w:color="000000"/>
            </w:tcBorders>
          </w:tcPr>
          <w:p w14:paraId="2778050B"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Tracking Tool BD 1: Improved management effectiveness of existing and new protected areas</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2662DC5"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4F6AFF0"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6C86E11"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23360E3"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7818AEB7"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65F3A2E8"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Depends upon sustainability and performance factors</w:t>
            </w:r>
          </w:p>
          <w:p w14:paraId="4EBD8502"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Tracking Tools data not available</w:t>
            </w:r>
          </w:p>
        </w:tc>
      </w:tr>
      <w:tr w:rsidR="007372B6" w14:paraId="5346C99B" w14:textId="77777777">
        <w:tc>
          <w:tcPr>
            <w:tcW w:w="4105" w:type="dxa"/>
            <w:tcBorders>
              <w:top w:val="single" w:sz="4" w:space="0" w:color="000000"/>
              <w:left w:val="single" w:sz="4" w:space="0" w:color="000000"/>
              <w:bottom w:val="single" w:sz="4" w:space="0" w:color="000000"/>
              <w:right w:val="single" w:sz="4" w:space="0" w:color="000000"/>
            </w:tcBorders>
          </w:tcPr>
          <w:p w14:paraId="5BB6E568" w14:textId="77777777" w:rsidR="007372B6" w:rsidRDefault="00000000">
            <w:pPr>
              <w:widowControl w:val="0"/>
              <w:rPr>
                <w:rFonts w:ascii="Calibri" w:eastAsia="Calibri" w:hAnsi="Calibri"/>
                <w:lang w:val="en-CA" w:eastAsia="en-US"/>
              </w:rPr>
            </w:pPr>
            <w:r>
              <w:rPr>
                <w:rFonts w:ascii="Calibri" w:eastAsia="Calibri" w:hAnsi="Calibri" w:cstheme="minorHAnsi"/>
                <w:bCs/>
                <w:sz w:val="18"/>
                <w:szCs w:val="18"/>
                <w:lang w:val="en-CA" w:eastAsia="en-US"/>
              </w:rPr>
              <w:t>Tracking Tool BD 2: Increase in sustainably managed landscapes and seascapes that integrate biodiversity conservation</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28BAF16"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3C88C7A"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FC1E19D"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BF90DD8"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3C94C7B9"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32BEDD26"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 xml:space="preserve">Potential bias in </w:t>
            </w:r>
            <w:proofErr w:type="gramStart"/>
            <w:r>
              <w:rPr>
                <w:rFonts w:ascii="Calibri" w:eastAsia="Calibri" w:hAnsi="Calibri" w:cstheme="minorHAnsi"/>
                <w:sz w:val="18"/>
                <w:szCs w:val="18"/>
                <w:lang w:val="en-CA" w:eastAsia="en-US"/>
              </w:rPr>
              <w:t>scoring;  relevance</w:t>
            </w:r>
            <w:proofErr w:type="gramEnd"/>
            <w:r>
              <w:rPr>
                <w:rFonts w:ascii="Calibri" w:eastAsia="Calibri" w:hAnsi="Calibri" w:cstheme="minorHAnsi"/>
                <w:sz w:val="18"/>
                <w:szCs w:val="18"/>
                <w:lang w:val="en-CA" w:eastAsia="en-US"/>
              </w:rPr>
              <w:t xml:space="preserve"> depends on context and qualitative assessment of long-term changes</w:t>
            </w:r>
          </w:p>
          <w:p w14:paraId="5F36C595"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Tracking Tools data not available</w:t>
            </w:r>
          </w:p>
        </w:tc>
      </w:tr>
      <w:tr w:rsidR="007372B6" w14:paraId="7BAB446B" w14:textId="77777777">
        <w:tc>
          <w:tcPr>
            <w:tcW w:w="4105" w:type="dxa"/>
            <w:tcBorders>
              <w:top w:val="single" w:sz="4" w:space="0" w:color="000000"/>
              <w:left w:val="single" w:sz="4" w:space="0" w:color="000000"/>
              <w:bottom w:val="single" w:sz="4" w:space="0" w:color="000000"/>
              <w:right w:val="single" w:sz="4" w:space="0" w:color="000000"/>
            </w:tcBorders>
          </w:tcPr>
          <w:p w14:paraId="5DB12F66" w14:textId="77777777" w:rsidR="007372B6" w:rsidRDefault="00000000">
            <w:pPr>
              <w:widowControl w:val="0"/>
              <w:rPr>
                <w:rFonts w:ascii="Calibri" w:eastAsia="Calibri" w:hAnsi="Calibri"/>
                <w:lang w:val="en-CA" w:eastAsia="en-US"/>
              </w:rPr>
            </w:pPr>
            <w:r>
              <w:rPr>
                <w:rFonts w:ascii="Calibri" w:eastAsia="Calibri" w:hAnsi="Calibri" w:cstheme="minorHAnsi"/>
                <w:bCs/>
                <w:sz w:val="18"/>
                <w:szCs w:val="18"/>
                <w:lang w:val="en-CA" w:eastAsia="en-US"/>
              </w:rPr>
              <w:t>Tracking Tool LD 3: Integrated landscape management practices adopted by local communities</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1745210"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67D333D"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C2375B6"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767BD0E"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41CC982E"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60F6EB3C"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See above</w:t>
            </w:r>
          </w:p>
        </w:tc>
      </w:tr>
      <w:tr w:rsidR="007372B6" w14:paraId="27D196F4" w14:textId="77777777">
        <w:tc>
          <w:tcPr>
            <w:tcW w:w="4105" w:type="dxa"/>
            <w:tcBorders>
              <w:top w:val="single" w:sz="4" w:space="0" w:color="000000"/>
              <w:left w:val="single" w:sz="4" w:space="0" w:color="000000"/>
              <w:bottom w:val="single" w:sz="4" w:space="0" w:color="000000"/>
              <w:right w:val="single" w:sz="4" w:space="0" w:color="000000"/>
            </w:tcBorders>
          </w:tcPr>
          <w:p w14:paraId="746CC516" w14:textId="77777777" w:rsidR="007372B6" w:rsidRDefault="00000000">
            <w:pPr>
              <w:widowControl w:val="0"/>
              <w:rPr>
                <w:rFonts w:ascii="Calibri" w:eastAsia="Calibri" w:hAnsi="Calibri"/>
                <w:lang w:val="en-CA" w:eastAsia="en-US"/>
              </w:rPr>
            </w:pPr>
            <w:r>
              <w:rPr>
                <w:rFonts w:ascii="Calibri" w:eastAsia="Calibri" w:hAnsi="Calibri" w:cstheme="minorHAnsi"/>
                <w:bCs/>
                <w:sz w:val="18"/>
                <w:szCs w:val="18"/>
                <w:lang w:val="en-CA" w:eastAsia="en-US"/>
              </w:rPr>
              <w:t>Tracking Tool SFM/REDD+. Sustainable Forest Management Objective 1: Reduce pressures on forest resources and generate sustainable flows of forest ecosystem services</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BD1E5E4"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6D09EA"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821FE53"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B265EFE"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2A16E987"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4C099CCF"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See above</w:t>
            </w:r>
          </w:p>
        </w:tc>
      </w:tr>
      <w:tr w:rsidR="007372B6" w14:paraId="7AE9000C" w14:textId="77777777">
        <w:tc>
          <w:tcPr>
            <w:tcW w:w="4105" w:type="dxa"/>
            <w:tcBorders>
              <w:top w:val="single" w:sz="4" w:space="0" w:color="000000"/>
              <w:left w:val="single" w:sz="4" w:space="0" w:color="000000"/>
              <w:bottom w:val="single" w:sz="4" w:space="0" w:color="000000"/>
              <w:right w:val="single" w:sz="4" w:space="0" w:color="000000"/>
            </w:tcBorders>
          </w:tcPr>
          <w:p w14:paraId="2E98DBBE" w14:textId="77777777" w:rsidR="007372B6" w:rsidRDefault="00000000">
            <w:pPr>
              <w:widowControl w:val="0"/>
              <w:rPr>
                <w:rFonts w:ascii="Calibri" w:eastAsia="Calibri" w:hAnsi="Calibri"/>
                <w:lang w:val="en-CA" w:eastAsia="en-US"/>
              </w:rPr>
            </w:pPr>
            <w:r>
              <w:rPr>
                <w:rFonts w:ascii="Calibri" w:eastAsia="Calibri" w:hAnsi="Calibri" w:cstheme="minorHAnsi"/>
                <w:bCs/>
                <w:sz w:val="18"/>
                <w:szCs w:val="18"/>
                <w:lang w:val="en-CA" w:eastAsia="en-US"/>
              </w:rPr>
              <w:t>Tracking Tool CC 5. Promote conservation and enhancement of carbon stocks through sustainable management of land use, land-use change, and forestry</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932DE57"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F889308"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7D9B88"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EC4938A"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765CD485"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6251E5C7"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See above</w:t>
            </w:r>
          </w:p>
        </w:tc>
      </w:tr>
      <w:tr w:rsidR="007372B6" w14:paraId="272EB3E5" w14:textId="77777777">
        <w:tc>
          <w:tcPr>
            <w:tcW w:w="4105" w:type="dxa"/>
            <w:tcBorders>
              <w:top w:val="single" w:sz="4" w:space="0" w:color="000000"/>
              <w:left w:val="single" w:sz="4" w:space="0" w:color="000000"/>
              <w:bottom w:val="single" w:sz="4" w:space="0" w:color="000000"/>
              <w:right w:val="single" w:sz="4" w:space="0" w:color="000000"/>
            </w:tcBorders>
          </w:tcPr>
          <w:p w14:paraId="57B3B6C2" w14:textId="77777777" w:rsidR="007372B6" w:rsidRDefault="00000000">
            <w:pPr>
              <w:widowControl w:val="0"/>
              <w:rPr>
                <w:rFonts w:ascii="Calibri" w:eastAsia="Calibri" w:hAnsi="Calibri"/>
                <w:lang w:val="en-CA" w:eastAsia="en-US"/>
              </w:rPr>
            </w:pPr>
            <w:r>
              <w:rPr>
                <w:rFonts w:ascii="Calibri" w:eastAsia="Calibri" w:hAnsi="Calibri" w:cstheme="minorHAnsi"/>
                <w:bCs/>
                <w:sz w:val="18"/>
                <w:szCs w:val="18"/>
                <w:lang w:val="en-CA" w:eastAsia="en-US"/>
              </w:rPr>
              <w:t>Tracking Tool IW 3. Capacity Building:  Support foundational capacity building, portfolio learning, and targeted research needs for joint, ecosystem-based management of trans-boundary water systems</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77079F"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6C1BC2"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F718F69"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2976FE1"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66AC088A"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70D0955C"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See above</w:t>
            </w:r>
          </w:p>
          <w:p w14:paraId="0CFED499"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Tracking tool scores can be significantly affected by the short-term project expenditures effects</w:t>
            </w:r>
          </w:p>
        </w:tc>
      </w:tr>
      <w:tr w:rsidR="007372B6" w14:paraId="576D350A" w14:textId="77777777">
        <w:tc>
          <w:tcPr>
            <w:tcW w:w="7021" w:type="dxa"/>
            <w:gridSpan w:val="6"/>
            <w:tcBorders>
              <w:top w:val="single" w:sz="4" w:space="0" w:color="000000"/>
              <w:left w:val="single" w:sz="4" w:space="0" w:color="000000"/>
              <w:bottom w:val="single" w:sz="4" w:space="0" w:color="000000"/>
              <w:right w:val="single" w:sz="4" w:space="0" w:color="000000"/>
            </w:tcBorders>
          </w:tcPr>
          <w:p w14:paraId="45B82884" w14:textId="77777777" w:rsidR="007372B6" w:rsidRDefault="00000000">
            <w:pPr>
              <w:widowControl w:val="0"/>
              <w:rPr>
                <w:rFonts w:ascii="Calibri" w:eastAsia="Calibri" w:hAnsi="Calibri"/>
                <w:lang w:val="en-CA" w:eastAsia="en-US"/>
              </w:rPr>
            </w:pPr>
            <w:r>
              <w:rPr>
                <w:rFonts w:ascii="Calibri" w:eastAsia="Calibri" w:hAnsi="Calibri" w:cstheme="minorHAnsi"/>
                <w:b/>
                <w:bCs/>
                <w:sz w:val="22"/>
                <w:szCs w:val="22"/>
                <w:lang w:val="en-CA" w:eastAsia="en-US"/>
              </w:rPr>
              <w:t>Outcome 1</w:t>
            </w:r>
          </w:p>
        </w:tc>
        <w:tc>
          <w:tcPr>
            <w:tcW w:w="2471" w:type="dxa"/>
            <w:tcBorders>
              <w:top w:val="single" w:sz="4" w:space="0" w:color="000000"/>
              <w:left w:val="single" w:sz="4" w:space="0" w:color="000000"/>
              <w:bottom w:val="single" w:sz="4" w:space="0" w:color="000000"/>
              <w:right w:val="single" w:sz="4" w:space="0" w:color="000000"/>
            </w:tcBorders>
          </w:tcPr>
          <w:p w14:paraId="44F71F01" w14:textId="77777777" w:rsidR="007372B6" w:rsidRDefault="007372B6">
            <w:pPr>
              <w:widowControl w:val="0"/>
              <w:rPr>
                <w:rFonts w:ascii="Calibri" w:eastAsia="Calibri" w:hAnsi="Calibri" w:cstheme="minorHAnsi"/>
                <w:b/>
                <w:bCs/>
                <w:lang w:val="en-CA" w:eastAsia="en-US"/>
              </w:rPr>
            </w:pPr>
          </w:p>
        </w:tc>
      </w:tr>
      <w:tr w:rsidR="007372B6" w14:paraId="353D8A2D" w14:textId="77777777">
        <w:tc>
          <w:tcPr>
            <w:tcW w:w="4105" w:type="dxa"/>
            <w:tcBorders>
              <w:top w:val="single" w:sz="4" w:space="0" w:color="000000"/>
              <w:left w:val="single" w:sz="4" w:space="0" w:color="000000"/>
              <w:bottom w:val="single" w:sz="4" w:space="0" w:color="000000"/>
              <w:right w:val="single" w:sz="4" w:space="0" w:color="000000"/>
            </w:tcBorders>
          </w:tcPr>
          <w:p w14:paraId="1398AC02" w14:textId="77777777" w:rsidR="007372B6" w:rsidRDefault="00000000">
            <w:pPr>
              <w:widowControl w:val="0"/>
              <w:rPr>
                <w:lang w:val="en-CA"/>
              </w:rPr>
            </w:pPr>
            <w:r>
              <w:rPr>
                <w:rFonts w:ascii="Arial Narrow" w:eastAsia="Calibri" w:hAnsi="Arial Narrow" w:cs="ArialNarrow"/>
                <w:kern w:val="2"/>
                <w:sz w:val="20"/>
                <w:szCs w:val="20"/>
                <w:lang w:val="en-CA" w:bidi="hi-IN"/>
              </w:rPr>
              <w:t>Outcome 1.1 Improved management effectiveness of existing and new protected areas</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30B875D"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C54F54B"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2531768"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8B5F6D3"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77CAFB34"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4113F227"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Indicator appropriate but no data generated during implementation. See above.</w:t>
            </w:r>
          </w:p>
        </w:tc>
      </w:tr>
      <w:tr w:rsidR="007372B6" w14:paraId="39BFEDCD" w14:textId="77777777">
        <w:tc>
          <w:tcPr>
            <w:tcW w:w="4105" w:type="dxa"/>
            <w:tcBorders>
              <w:top w:val="single" w:sz="4" w:space="0" w:color="000000"/>
              <w:left w:val="single" w:sz="4" w:space="0" w:color="000000"/>
              <w:bottom w:val="single" w:sz="4" w:space="0" w:color="000000"/>
              <w:right w:val="single" w:sz="4" w:space="0" w:color="000000"/>
            </w:tcBorders>
          </w:tcPr>
          <w:p w14:paraId="14EAA92E" w14:textId="77777777" w:rsidR="007372B6" w:rsidRDefault="00000000">
            <w:pPr>
              <w:widowControl w:val="0"/>
              <w:rPr>
                <w:lang w:val="en-CA"/>
              </w:rPr>
            </w:pPr>
            <w:r>
              <w:rPr>
                <w:rFonts w:ascii="Arial Narrow" w:eastAsia="Calibri" w:hAnsi="Arial Narrow" w:cs="ArialNarrow"/>
                <w:kern w:val="2"/>
                <w:sz w:val="20"/>
                <w:szCs w:val="20"/>
                <w:lang w:val="en-CA" w:bidi="hi-IN"/>
              </w:rPr>
              <w:t>Outcome 1.2 Improved financial sustainability for terrestrial and marine protected area systems</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691278"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F64762"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91D4082"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240A720"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25583FAF"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458FD3DF"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See above</w:t>
            </w:r>
          </w:p>
        </w:tc>
      </w:tr>
      <w:tr w:rsidR="007372B6" w14:paraId="599D4C21" w14:textId="77777777">
        <w:tc>
          <w:tcPr>
            <w:tcW w:w="7021" w:type="dxa"/>
            <w:gridSpan w:val="6"/>
            <w:tcBorders>
              <w:top w:val="single" w:sz="4" w:space="0" w:color="000000"/>
              <w:left w:val="single" w:sz="4" w:space="0" w:color="000000"/>
              <w:bottom w:val="single" w:sz="4" w:space="0" w:color="000000"/>
              <w:right w:val="single" w:sz="4" w:space="0" w:color="000000"/>
            </w:tcBorders>
          </w:tcPr>
          <w:p w14:paraId="13129882" w14:textId="77777777" w:rsidR="007372B6" w:rsidRDefault="00000000">
            <w:pPr>
              <w:widowControl w:val="0"/>
              <w:rPr>
                <w:lang w:eastAsia="en-US"/>
              </w:rPr>
            </w:pPr>
            <w:r>
              <w:rPr>
                <w:rFonts w:ascii="Arial Narrow" w:eastAsia="Calibri" w:hAnsi="Arial Narrow" w:cs="Calibri"/>
                <w:b/>
                <w:bCs/>
                <w:spacing w:val="-2"/>
                <w:w w:val="105"/>
                <w:sz w:val="20"/>
                <w:szCs w:val="20"/>
                <w:lang w:eastAsia="en-US"/>
              </w:rPr>
              <w:lastRenderedPageBreak/>
              <w:t>Outcome 2</w:t>
            </w:r>
          </w:p>
        </w:tc>
        <w:tc>
          <w:tcPr>
            <w:tcW w:w="2471" w:type="dxa"/>
            <w:tcBorders>
              <w:top w:val="single" w:sz="4" w:space="0" w:color="000000"/>
              <w:left w:val="single" w:sz="4" w:space="0" w:color="000000"/>
              <w:bottom w:val="single" w:sz="4" w:space="0" w:color="000000"/>
              <w:right w:val="single" w:sz="4" w:space="0" w:color="000000"/>
            </w:tcBorders>
          </w:tcPr>
          <w:p w14:paraId="4B716E32" w14:textId="77777777" w:rsidR="007372B6" w:rsidRDefault="007372B6">
            <w:pPr>
              <w:widowControl w:val="0"/>
              <w:rPr>
                <w:rFonts w:ascii="Calibri" w:eastAsia="Calibri" w:hAnsi="Calibri" w:cstheme="minorHAnsi"/>
                <w:lang w:val="en-CA" w:eastAsia="en-US"/>
              </w:rPr>
            </w:pPr>
          </w:p>
        </w:tc>
      </w:tr>
      <w:tr w:rsidR="007372B6" w14:paraId="563ED097" w14:textId="77777777">
        <w:tc>
          <w:tcPr>
            <w:tcW w:w="4105" w:type="dxa"/>
            <w:tcBorders>
              <w:top w:val="single" w:sz="4" w:space="0" w:color="000000"/>
              <w:left w:val="single" w:sz="4" w:space="0" w:color="000000"/>
              <w:bottom w:val="single" w:sz="4" w:space="0" w:color="000000"/>
              <w:right w:val="single" w:sz="4" w:space="0" w:color="000000"/>
            </w:tcBorders>
          </w:tcPr>
          <w:p w14:paraId="027E7146" w14:textId="77777777" w:rsidR="007372B6" w:rsidRDefault="00000000">
            <w:pPr>
              <w:widowControl w:val="0"/>
              <w:rPr>
                <w:lang w:val="en-CA"/>
              </w:rPr>
            </w:pPr>
            <w:r>
              <w:rPr>
                <w:rFonts w:ascii="Arial Narrow" w:eastAsia="Calibri" w:hAnsi="Arial Narrow" w:cs="ArialNarrow"/>
                <w:kern w:val="2"/>
                <w:sz w:val="20"/>
                <w:szCs w:val="20"/>
                <w:lang w:val="en-CA" w:bidi="hi-IN"/>
              </w:rPr>
              <w:t>Outcome 2.1 Carbon stocks restored and enhanced in priority catchments</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7CC3164"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8FB48D"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70E734B"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069D7A5"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7828EC9"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76AC978C"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Indicator appropriate but carbon stocks data not tracked during implementation</w:t>
            </w:r>
          </w:p>
        </w:tc>
      </w:tr>
      <w:tr w:rsidR="007372B6" w14:paraId="2F5EB718" w14:textId="77777777">
        <w:tc>
          <w:tcPr>
            <w:tcW w:w="4105" w:type="dxa"/>
            <w:tcBorders>
              <w:top w:val="single" w:sz="4" w:space="0" w:color="000000"/>
              <w:left w:val="single" w:sz="4" w:space="0" w:color="000000"/>
              <w:bottom w:val="single" w:sz="4" w:space="0" w:color="000000"/>
              <w:right w:val="single" w:sz="4" w:space="0" w:color="000000"/>
            </w:tcBorders>
          </w:tcPr>
          <w:p w14:paraId="42D51F13" w14:textId="77777777" w:rsidR="007372B6" w:rsidRDefault="00000000">
            <w:pPr>
              <w:widowControl w:val="0"/>
              <w:rPr>
                <w:lang w:eastAsia="en-US"/>
              </w:rPr>
            </w:pPr>
            <w:r>
              <w:rPr>
                <w:rFonts w:ascii="Arial Narrow" w:eastAsia="Calibri" w:hAnsi="Arial Narrow" w:cs="Calibri"/>
                <w:spacing w:val="-2"/>
                <w:w w:val="105"/>
                <w:sz w:val="20"/>
                <w:szCs w:val="20"/>
                <w:lang w:eastAsia="en-US"/>
              </w:rPr>
              <w:t xml:space="preserve">Outcome 2.2 </w:t>
            </w:r>
            <w:proofErr w:type="gramStart"/>
            <w:r>
              <w:rPr>
                <w:rFonts w:ascii="Arial Narrow" w:eastAsia="Calibri" w:hAnsi="Arial Narrow" w:cs="Calibri"/>
                <w:spacing w:val="-2"/>
                <w:w w:val="105"/>
                <w:sz w:val="20"/>
                <w:szCs w:val="20"/>
                <w:lang w:eastAsia="en-US"/>
              </w:rPr>
              <w:t>Sustainable forest</w:t>
            </w:r>
            <w:proofErr w:type="gramEnd"/>
            <w:r>
              <w:rPr>
                <w:rFonts w:ascii="Arial Narrow" w:eastAsia="Calibri" w:hAnsi="Arial Narrow" w:cs="Calibri"/>
                <w:spacing w:val="-2"/>
                <w:w w:val="105"/>
                <w:sz w:val="20"/>
                <w:szCs w:val="20"/>
                <w:lang w:eastAsia="en-US"/>
              </w:rPr>
              <w:t xml:space="preserve"> management achieved through innovative market-based schemes</w:t>
            </w:r>
          </w:p>
        </w:tc>
        <w:tc>
          <w:tcPr>
            <w:tcW w:w="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15FD2A"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79DDEE5"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E7CB83B"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1B47C62"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1414AA59"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77D7DDA3"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Linked to measures of forest sector reform progress</w:t>
            </w:r>
          </w:p>
        </w:tc>
      </w:tr>
      <w:tr w:rsidR="007372B6" w14:paraId="3D6A3584" w14:textId="77777777">
        <w:tc>
          <w:tcPr>
            <w:tcW w:w="7021" w:type="dxa"/>
            <w:gridSpan w:val="6"/>
            <w:tcBorders>
              <w:top w:val="single" w:sz="4" w:space="0" w:color="000000"/>
              <w:left w:val="single" w:sz="4" w:space="0" w:color="000000"/>
              <w:bottom w:val="single" w:sz="4" w:space="0" w:color="000000"/>
              <w:right w:val="single" w:sz="4" w:space="0" w:color="000000"/>
            </w:tcBorders>
          </w:tcPr>
          <w:p w14:paraId="5FA2D761" w14:textId="77777777" w:rsidR="007372B6" w:rsidRDefault="00000000">
            <w:pPr>
              <w:widowControl w:val="0"/>
              <w:rPr>
                <w:rFonts w:ascii="Calibri" w:eastAsia="Calibri" w:hAnsi="Calibri"/>
                <w:lang w:val="en-CA" w:eastAsia="en-US"/>
              </w:rPr>
            </w:pPr>
            <w:r>
              <w:rPr>
                <w:rFonts w:ascii="Calibri" w:eastAsia="Calibri" w:hAnsi="Calibri" w:cstheme="minorHAnsi"/>
                <w:b/>
                <w:bCs/>
                <w:sz w:val="22"/>
                <w:szCs w:val="22"/>
                <w:lang w:val="en-CA" w:eastAsia="en-US"/>
              </w:rPr>
              <w:t>Outcome 3</w:t>
            </w:r>
          </w:p>
        </w:tc>
        <w:tc>
          <w:tcPr>
            <w:tcW w:w="2471" w:type="dxa"/>
            <w:tcBorders>
              <w:top w:val="single" w:sz="4" w:space="0" w:color="000000"/>
              <w:left w:val="single" w:sz="4" w:space="0" w:color="000000"/>
              <w:bottom w:val="single" w:sz="4" w:space="0" w:color="000000"/>
              <w:right w:val="single" w:sz="4" w:space="0" w:color="000000"/>
            </w:tcBorders>
          </w:tcPr>
          <w:p w14:paraId="052D7EE8" w14:textId="77777777" w:rsidR="007372B6" w:rsidRDefault="007372B6">
            <w:pPr>
              <w:widowControl w:val="0"/>
              <w:rPr>
                <w:rFonts w:ascii="Calibri" w:eastAsia="Calibri" w:hAnsi="Calibri" w:cstheme="minorHAnsi"/>
                <w:lang w:val="en-CA" w:eastAsia="en-US"/>
              </w:rPr>
            </w:pPr>
          </w:p>
        </w:tc>
      </w:tr>
      <w:tr w:rsidR="007372B6" w14:paraId="1A4D1031" w14:textId="77777777">
        <w:tc>
          <w:tcPr>
            <w:tcW w:w="4105" w:type="dxa"/>
            <w:tcBorders>
              <w:top w:val="single" w:sz="4" w:space="0" w:color="000000"/>
              <w:left w:val="single" w:sz="4" w:space="0" w:color="000000"/>
              <w:bottom w:val="single" w:sz="4" w:space="0" w:color="000000"/>
              <w:right w:val="single" w:sz="4" w:space="0" w:color="000000"/>
            </w:tcBorders>
          </w:tcPr>
          <w:p w14:paraId="2E93DB60" w14:textId="77777777" w:rsidR="007372B6" w:rsidRDefault="00000000">
            <w:pPr>
              <w:widowControl w:val="0"/>
              <w:rPr>
                <w:lang w:eastAsia="en-US"/>
              </w:rPr>
            </w:pPr>
            <w:r>
              <w:rPr>
                <w:rFonts w:ascii="Arial Narrow" w:eastAsia="Calibri" w:hAnsi="Arial Narrow" w:cs="Calibri"/>
                <w:color w:val="000000"/>
                <w:spacing w:val="-2"/>
                <w:w w:val="105"/>
                <w:sz w:val="20"/>
                <w:szCs w:val="20"/>
                <w:lang w:eastAsia="en-US"/>
              </w:rPr>
              <w:t>Outcome 3.1 Integrated catchment management plans integrating conservation of biodiversity, forests, land and water formulated and implemented in priority sites</w:t>
            </w:r>
          </w:p>
        </w:tc>
        <w:tc>
          <w:tcPr>
            <w:tcW w:w="6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953C438"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D9B8A16"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30D3DA3"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E0299A3"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4CCF322"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65982EEC"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Integration and strategic characteristics of plans are an important part of measuring the outcome success</w:t>
            </w:r>
          </w:p>
        </w:tc>
      </w:tr>
      <w:tr w:rsidR="007372B6" w14:paraId="3DA1EC9F" w14:textId="77777777">
        <w:tc>
          <w:tcPr>
            <w:tcW w:w="4105" w:type="dxa"/>
            <w:tcBorders>
              <w:top w:val="single" w:sz="4" w:space="0" w:color="000000"/>
              <w:left w:val="single" w:sz="4" w:space="0" w:color="000000"/>
              <w:bottom w:val="single" w:sz="4" w:space="0" w:color="000000"/>
              <w:right w:val="single" w:sz="4" w:space="0" w:color="000000"/>
            </w:tcBorders>
          </w:tcPr>
          <w:p w14:paraId="1972F654" w14:textId="77777777" w:rsidR="007372B6" w:rsidRDefault="00000000">
            <w:pPr>
              <w:widowControl w:val="0"/>
            </w:pPr>
            <w:r>
              <w:rPr>
                <w:rFonts w:ascii="Arial Narrow" w:eastAsia="Calibri" w:hAnsi="Arial Narrow" w:cs="Calibri"/>
                <w:color w:val="000000"/>
                <w:spacing w:val="-2"/>
                <w:w w:val="105"/>
                <w:sz w:val="20"/>
                <w:szCs w:val="20"/>
                <w:lang w:eastAsia="en-US"/>
              </w:rPr>
              <w:t xml:space="preserve">Outcome 3.2 </w:t>
            </w:r>
            <w:r>
              <w:rPr>
                <w:rFonts w:ascii="Arial Narrow" w:eastAsia="Songti SC" w:hAnsi="Arial Narrow" w:cs="ArialNarrow"/>
                <w:kern w:val="2"/>
                <w:sz w:val="20"/>
                <w:lang w:val="en-CA" w:eastAsia="zh-CN" w:bidi="hi-IN"/>
              </w:rPr>
              <w:t>Strengthened governance for integrated natural resources (land, water, biodiversity, forests) management</w:t>
            </w:r>
          </w:p>
        </w:tc>
        <w:tc>
          <w:tcPr>
            <w:tcW w:w="6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A60B5C7"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B2A7527"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6DD152F"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A8298DF"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tcPr>
          <w:p w14:paraId="6F2F72F5"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0A5A19F1"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Capacity development measurement based on project engagements; sustainability uncertain</w:t>
            </w:r>
          </w:p>
        </w:tc>
      </w:tr>
      <w:tr w:rsidR="007372B6" w14:paraId="140CC395" w14:textId="77777777">
        <w:tc>
          <w:tcPr>
            <w:tcW w:w="7021" w:type="dxa"/>
            <w:gridSpan w:val="6"/>
            <w:tcBorders>
              <w:top w:val="single" w:sz="4" w:space="0" w:color="000000"/>
              <w:left w:val="single" w:sz="4" w:space="0" w:color="000000"/>
              <w:bottom w:val="single" w:sz="4" w:space="0" w:color="000000"/>
              <w:right w:val="single" w:sz="4" w:space="0" w:color="000000"/>
            </w:tcBorders>
          </w:tcPr>
          <w:p w14:paraId="07FF60D6" w14:textId="77777777" w:rsidR="007372B6" w:rsidRDefault="00000000">
            <w:pPr>
              <w:widowControl w:val="0"/>
              <w:rPr>
                <w:lang w:eastAsia="en-US"/>
              </w:rPr>
            </w:pPr>
            <w:r>
              <w:rPr>
                <w:rFonts w:ascii="Arial Narrow" w:eastAsia="Calibri" w:hAnsi="Arial Narrow" w:cs="Calibri"/>
                <w:b/>
                <w:bCs/>
                <w:color w:val="000000"/>
                <w:spacing w:val="-2"/>
                <w:w w:val="105"/>
                <w:sz w:val="20"/>
                <w:szCs w:val="20"/>
                <w:lang w:eastAsia="en-US"/>
              </w:rPr>
              <w:t>Outcome 4</w:t>
            </w:r>
          </w:p>
        </w:tc>
        <w:tc>
          <w:tcPr>
            <w:tcW w:w="2471" w:type="dxa"/>
            <w:tcBorders>
              <w:top w:val="single" w:sz="4" w:space="0" w:color="000000"/>
              <w:left w:val="single" w:sz="4" w:space="0" w:color="000000"/>
              <w:bottom w:val="single" w:sz="4" w:space="0" w:color="000000"/>
              <w:right w:val="single" w:sz="4" w:space="0" w:color="000000"/>
            </w:tcBorders>
          </w:tcPr>
          <w:p w14:paraId="6B32B9BF" w14:textId="77777777" w:rsidR="007372B6" w:rsidRDefault="007372B6">
            <w:pPr>
              <w:widowControl w:val="0"/>
              <w:rPr>
                <w:rFonts w:ascii="Calibri" w:eastAsia="Calibri" w:hAnsi="Calibri" w:cstheme="minorHAnsi"/>
                <w:lang w:val="en-CA" w:eastAsia="en-US"/>
              </w:rPr>
            </w:pPr>
          </w:p>
        </w:tc>
      </w:tr>
      <w:tr w:rsidR="007372B6" w14:paraId="74A0DB05" w14:textId="77777777">
        <w:tc>
          <w:tcPr>
            <w:tcW w:w="4105" w:type="dxa"/>
            <w:tcBorders>
              <w:top w:val="single" w:sz="4" w:space="0" w:color="000000"/>
              <w:left w:val="single" w:sz="4" w:space="0" w:color="000000"/>
              <w:bottom w:val="single" w:sz="4" w:space="0" w:color="000000"/>
              <w:right w:val="single" w:sz="4" w:space="0" w:color="000000"/>
            </w:tcBorders>
          </w:tcPr>
          <w:p w14:paraId="48B7F3E2" w14:textId="77777777" w:rsidR="007372B6" w:rsidRDefault="00000000">
            <w:pPr>
              <w:widowControl w:val="0"/>
            </w:pPr>
            <w:r>
              <w:rPr>
                <w:rFonts w:ascii="Arial Narrow" w:eastAsia="Calibri" w:hAnsi="Arial Narrow" w:cs="Calibri"/>
                <w:color w:val="000000"/>
                <w:spacing w:val="-2"/>
                <w:w w:val="105"/>
                <w:sz w:val="20"/>
                <w:szCs w:val="20"/>
                <w:lang w:eastAsia="en-US"/>
              </w:rPr>
              <w:t xml:space="preserve">Outcome 4.1 </w:t>
            </w:r>
            <w:r>
              <w:rPr>
                <w:rFonts w:ascii="Arial Narrow" w:eastAsia="Songti SC" w:hAnsi="Arial Narrow" w:cs="ArialNarrow"/>
                <w:kern w:val="2"/>
                <w:sz w:val="20"/>
                <w:lang w:val="en-CA" w:eastAsia="zh-CN" w:bidi="hi-IN"/>
              </w:rPr>
              <w:t>Improved data and information systems on biodiversity; land, forests, coastal and marine management; climate change and best practices</w:t>
            </w:r>
          </w:p>
        </w:tc>
        <w:tc>
          <w:tcPr>
            <w:tcW w:w="6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4140D40" w14:textId="77777777" w:rsidR="007372B6" w:rsidRDefault="007372B6">
            <w:pPr>
              <w:widowControl w:val="0"/>
              <w:rPr>
                <w:rFonts w:ascii="Calibri" w:eastAsia="Calibri" w:hAnsi="Calibri" w:cstheme="minorHAnsi"/>
                <w:lang w:val="en-CA" w:eastAsia="en-US"/>
              </w:rPr>
            </w:pPr>
          </w:p>
        </w:tc>
        <w:tc>
          <w:tcPr>
            <w:tcW w:w="56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4D3C86"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E17A636" w14:textId="77777777" w:rsidR="007372B6" w:rsidRDefault="007372B6">
            <w:pPr>
              <w:widowControl w:val="0"/>
              <w:rPr>
                <w:rFonts w:ascii="Calibri" w:eastAsia="Calibri" w:hAnsi="Calibri" w:cstheme="minorHAnsi"/>
                <w:lang w:val="en-CA" w:eastAsia="en-US"/>
              </w:rPr>
            </w:pPr>
          </w:p>
        </w:tc>
        <w:tc>
          <w:tcPr>
            <w:tcW w:w="57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C505508" w14:textId="77777777" w:rsidR="007372B6" w:rsidRDefault="007372B6">
            <w:pPr>
              <w:widowControl w:val="0"/>
              <w:rPr>
                <w:rFonts w:ascii="Calibri" w:eastAsia="Calibri" w:hAnsi="Calibri" w:cstheme="minorHAnsi"/>
                <w:lang w:val="en-CA"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0DB17EE" w14:textId="77777777" w:rsidR="007372B6" w:rsidRDefault="007372B6">
            <w:pPr>
              <w:widowControl w:val="0"/>
              <w:rPr>
                <w:rFonts w:ascii="Calibri" w:eastAsia="Calibri" w:hAnsi="Calibri" w:cstheme="minorHAnsi"/>
                <w:lang w:val="en-CA" w:eastAsia="en-US"/>
              </w:rPr>
            </w:pPr>
          </w:p>
        </w:tc>
        <w:tc>
          <w:tcPr>
            <w:tcW w:w="2471" w:type="dxa"/>
            <w:tcBorders>
              <w:top w:val="single" w:sz="4" w:space="0" w:color="000000"/>
              <w:left w:val="single" w:sz="4" w:space="0" w:color="000000"/>
              <w:bottom w:val="single" w:sz="4" w:space="0" w:color="000000"/>
              <w:right w:val="single" w:sz="4" w:space="0" w:color="000000"/>
            </w:tcBorders>
          </w:tcPr>
          <w:p w14:paraId="6031E165" w14:textId="77777777" w:rsidR="007372B6" w:rsidRDefault="00000000">
            <w:pPr>
              <w:widowControl w:val="0"/>
              <w:rPr>
                <w:rFonts w:ascii="Calibri" w:eastAsia="Calibri" w:hAnsi="Calibri"/>
                <w:lang w:val="en-CA" w:eastAsia="en-US"/>
              </w:rPr>
            </w:pPr>
            <w:r>
              <w:rPr>
                <w:rFonts w:ascii="Calibri" w:eastAsia="Calibri" w:hAnsi="Calibri" w:cstheme="minorHAnsi"/>
                <w:sz w:val="18"/>
                <w:szCs w:val="18"/>
                <w:lang w:val="en-CA" w:eastAsia="en-US"/>
              </w:rPr>
              <w:t>SMART attributes ok, but highly dependent on a monitoring process</w:t>
            </w:r>
          </w:p>
        </w:tc>
      </w:tr>
      <w:tr w:rsidR="007372B6" w14:paraId="326A85DC" w14:textId="77777777">
        <w:tc>
          <w:tcPr>
            <w:tcW w:w="9492" w:type="dxa"/>
            <w:gridSpan w:val="7"/>
            <w:tcBorders>
              <w:top w:val="single" w:sz="4" w:space="0" w:color="000000"/>
              <w:left w:val="single" w:sz="4" w:space="0" w:color="000000"/>
              <w:bottom w:val="single" w:sz="4" w:space="0" w:color="000000"/>
              <w:right w:val="single" w:sz="4" w:space="0" w:color="000000"/>
            </w:tcBorders>
          </w:tcPr>
          <w:p w14:paraId="59FF4E45" w14:textId="77777777" w:rsidR="007372B6" w:rsidRDefault="007372B6">
            <w:pPr>
              <w:widowControl w:val="0"/>
              <w:rPr>
                <w:rFonts w:ascii="Arial Narrow" w:eastAsia="Calibri" w:hAnsi="Arial Narrow" w:cs="Calibri"/>
                <w:b/>
                <w:bCs/>
                <w:color w:val="000000"/>
                <w:spacing w:val="-2"/>
                <w:w w:val="105"/>
                <w:lang w:val="en-CA" w:eastAsia="en-US"/>
              </w:rPr>
            </w:pPr>
          </w:p>
        </w:tc>
      </w:tr>
    </w:tbl>
    <w:p w14:paraId="3B9E05C4" w14:textId="77777777" w:rsidR="007372B6" w:rsidRDefault="00000000">
      <w:pPr>
        <w:spacing w:before="57" w:after="57"/>
        <w:rPr>
          <w:rFonts w:ascii="Calibri" w:eastAsia="Calibri" w:hAnsi="Calibri" w:cstheme="minorHAnsi"/>
          <w:b/>
          <w:bCs/>
          <w:sz w:val="20"/>
          <w:szCs w:val="20"/>
          <w:lang w:val="en-CA" w:eastAsia="en-US"/>
        </w:rPr>
      </w:pPr>
      <w:r>
        <w:rPr>
          <w:rFonts w:ascii="Calibri" w:eastAsia="Calibri" w:hAnsi="Calibri" w:cstheme="minorHAnsi"/>
          <w:b/>
          <w:bCs/>
          <w:sz w:val="20"/>
          <w:szCs w:val="20"/>
          <w:lang w:val="en-CA" w:eastAsia="en-US"/>
        </w:rPr>
        <w:t>* SMART criteria: S= Specific, M=Measurable, A=Achievable, R=Relevant, T=Time bound</w:t>
      </w:r>
    </w:p>
    <w:p w14:paraId="384FF690" w14:textId="77777777" w:rsidR="007372B6" w:rsidRDefault="00000000">
      <w:pPr>
        <w:spacing w:before="57" w:after="57"/>
        <w:rPr>
          <w:rFonts w:ascii="Calibri" w:eastAsia="Calibri" w:hAnsi="Calibri" w:cstheme="minorHAnsi"/>
          <w:b/>
          <w:bCs/>
          <w:sz w:val="20"/>
          <w:szCs w:val="20"/>
          <w:lang w:val="en-CA" w:eastAsia="en-US"/>
        </w:rPr>
      </w:pPr>
      <w:r>
        <w:rPr>
          <w:rFonts w:ascii="Calibri" w:eastAsia="Calibri" w:hAnsi="Calibri" w:cstheme="minorHAnsi"/>
          <w:b/>
          <w:bCs/>
          <w:sz w:val="20"/>
          <w:szCs w:val="20"/>
          <w:lang w:val="en-CA" w:eastAsia="en-US"/>
        </w:rPr>
        <w:t>Rating of compliance with SMART criteria:</w:t>
      </w:r>
    </w:p>
    <w:tbl>
      <w:tblPr>
        <w:tblW w:w="5650" w:type="dxa"/>
        <w:tblInd w:w="113" w:type="dxa"/>
        <w:tblLayout w:type="fixed"/>
        <w:tblLook w:val="04A0" w:firstRow="1" w:lastRow="0" w:firstColumn="1" w:lastColumn="0" w:noHBand="0" w:noVBand="1"/>
      </w:tblPr>
      <w:tblGrid>
        <w:gridCol w:w="1836"/>
        <w:gridCol w:w="2128"/>
        <w:gridCol w:w="1686"/>
      </w:tblGrid>
      <w:tr w:rsidR="007372B6" w14:paraId="613F129C" w14:textId="77777777">
        <w:tc>
          <w:tcPr>
            <w:tcW w:w="1836" w:type="dxa"/>
            <w:shd w:val="clear" w:color="auto" w:fill="D0CECE" w:themeFill="background2" w:themeFillShade="E6"/>
          </w:tcPr>
          <w:p w14:paraId="6EB2BB4A" w14:textId="77777777" w:rsidR="007372B6" w:rsidRDefault="00000000">
            <w:pPr>
              <w:widowControl w:val="0"/>
              <w:rPr>
                <w:rFonts w:ascii="Calibri" w:eastAsia="Calibri" w:hAnsi="Calibri"/>
                <w:lang w:val="en-CA" w:eastAsia="en-US"/>
              </w:rPr>
            </w:pPr>
            <w:r>
              <w:rPr>
                <w:rFonts w:ascii="Calibri" w:eastAsia="Calibri" w:hAnsi="Calibri" w:cstheme="minorHAnsi"/>
                <w:b/>
                <w:bCs/>
                <w:sz w:val="20"/>
                <w:szCs w:val="20"/>
                <w:lang w:val="en-CA" w:eastAsia="en-US"/>
              </w:rPr>
              <w:t>Compliant</w:t>
            </w:r>
          </w:p>
        </w:tc>
        <w:tc>
          <w:tcPr>
            <w:tcW w:w="2128" w:type="dxa"/>
            <w:shd w:val="clear" w:color="auto" w:fill="D9E2F3" w:themeFill="accent1" w:themeFillTint="33"/>
          </w:tcPr>
          <w:p w14:paraId="59C802F0" w14:textId="77777777" w:rsidR="007372B6" w:rsidRDefault="00000000">
            <w:pPr>
              <w:widowControl w:val="0"/>
              <w:rPr>
                <w:rFonts w:ascii="Calibri" w:eastAsia="Calibri" w:hAnsi="Calibri"/>
                <w:lang w:val="en-CA" w:eastAsia="en-US"/>
              </w:rPr>
            </w:pPr>
            <w:r>
              <w:rPr>
                <w:rFonts w:ascii="Calibri" w:eastAsia="Calibri" w:hAnsi="Calibri" w:cstheme="minorHAnsi"/>
                <w:b/>
                <w:bCs/>
                <w:sz w:val="20"/>
                <w:szCs w:val="20"/>
                <w:lang w:val="en-CA" w:eastAsia="en-US"/>
              </w:rPr>
              <w:t>Potentially compliant</w:t>
            </w:r>
          </w:p>
        </w:tc>
        <w:tc>
          <w:tcPr>
            <w:tcW w:w="1686" w:type="dxa"/>
          </w:tcPr>
          <w:p w14:paraId="6925912B" w14:textId="77777777" w:rsidR="007372B6" w:rsidRDefault="00000000">
            <w:pPr>
              <w:widowControl w:val="0"/>
              <w:rPr>
                <w:rFonts w:ascii="Calibri" w:eastAsia="Calibri" w:hAnsi="Calibri"/>
                <w:lang w:val="en-CA" w:eastAsia="en-US"/>
              </w:rPr>
            </w:pPr>
            <w:r>
              <w:rPr>
                <w:rFonts w:ascii="Calibri" w:eastAsia="Calibri" w:hAnsi="Calibri" w:cstheme="minorHAnsi"/>
                <w:b/>
                <w:bCs/>
                <w:sz w:val="20"/>
                <w:szCs w:val="20"/>
                <w:lang w:val="en-CA" w:eastAsia="en-US"/>
              </w:rPr>
              <w:t>Not compliant</w:t>
            </w:r>
          </w:p>
        </w:tc>
      </w:tr>
    </w:tbl>
    <w:p w14:paraId="4BB9CB67" w14:textId="77777777" w:rsidR="007372B6" w:rsidRDefault="007372B6">
      <w:pPr>
        <w:tabs>
          <w:tab w:val="left" w:pos="0"/>
        </w:tabs>
        <w:jc w:val="both"/>
        <w:rPr>
          <w:rFonts w:asciiTheme="minorHAnsi" w:hAnsiTheme="minorHAnsi" w:cstheme="minorHAnsi"/>
          <w:b/>
          <w:bCs/>
          <w:color w:val="000000"/>
          <w:sz w:val="20"/>
          <w:szCs w:val="20"/>
          <w:lang w:eastAsia="en-US"/>
        </w:rPr>
      </w:pPr>
    </w:p>
    <w:p w14:paraId="31BD1B5D" w14:textId="77777777" w:rsidR="007372B6" w:rsidRDefault="007372B6">
      <w:pPr>
        <w:tabs>
          <w:tab w:val="left" w:pos="0"/>
        </w:tabs>
        <w:jc w:val="both"/>
        <w:rPr>
          <w:rFonts w:asciiTheme="minorHAnsi" w:hAnsiTheme="minorHAnsi" w:cstheme="minorHAnsi"/>
          <w:color w:val="000000"/>
          <w:sz w:val="22"/>
          <w:szCs w:val="22"/>
          <w:lang w:eastAsia="en-US"/>
        </w:rPr>
      </w:pPr>
    </w:p>
    <w:p w14:paraId="3ECF9CAC" w14:textId="77777777" w:rsidR="007372B6" w:rsidRDefault="00000000">
      <w:pPr>
        <w:tabs>
          <w:tab w:val="left" w:pos="0"/>
        </w:tabs>
        <w:spacing w:line="312" w:lineRule="auto"/>
        <w:jc w:val="both"/>
        <w:rPr>
          <w:rFonts w:cstheme="minorHAnsi"/>
        </w:rPr>
      </w:pPr>
      <w:r>
        <w:rPr>
          <w:rFonts w:ascii="Calibri" w:hAnsi="Calibri" w:cstheme="minorHAnsi"/>
          <w:b/>
          <w:bCs/>
          <w:i/>
          <w:iCs/>
          <w:color w:val="000000"/>
          <w:sz w:val="22"/>
          <w:szCs w:val="22"/>
          <w:lang w:eastAsia="en-US"/>
        </w:rPr>
        <w:t>Intervention Strategy</w:t>
      </w:r>
    </w:p>
    <w:p w14:paraId="3DBA3CD0" w14:textId="77777777" w:rsidR="007372B6" w:rsidRDefault="00000000">
      <w:pPr>
        <w:tabs>
          <w:tab w:val="left" w:pos="0"/>
        </w:tabs>
        <w:spacing w:line="312" w:lineRule="auto"/>
        <w:jc w:val="both"/>
        <w:rPr>
          <w:rFonts w:ascii="Calibri" w:eastAsiaTheme="minorHAnsi" w:hAnsi="Calibri"/>
          <w:bCs/>
          <w:sz w:val="22"/>
          <w:szCs w:val="22"/>
          <w:lang w:val="en-CA" w:eastAsia="en-US"/>
        </w:rPr>
      </w:pPr>
      <w:r>
        <w:rPr>
          <w:rFonts w:asciiTheme="minorHAnsi" w:hAnsiTheme="minorHAnsi" w:cstheme="minorHAnsi"/>
          <w:color w:val="000000"/>
          <w:sz w:val="22"/>
          <w:szCs w:val="22"/>
          <w:lang w:eastAsia="en-US"/>
        </w:rPr>
        <w:t xml:space="preserve">5. The ‘Intervention Strategy’ for the project was described in terms of a “fit to GEF 5 Focal Area Strategies” </w:t>
      </w:r>
      <w:r>
        <w:rPr>
          <w:rFonts w:asciiTheme="minorHAnsi" w:eastAsiaTheme="minorHAnsi" w:hAnsiTheme="minorHAnsi" w:cstheme="minorHAnsi"/>
          <w:bCs/>
          <w:sz w:val="22"/>
          <w:szCs w:val="22"/>
          <w:lang w:val="en-CA" w:eastAsia="en-US"/>
        </w:rPr>
        <w:t>including the Biodiversity Strategy (Objectives 1 &amp; 2), the Land Degradation Strategy (Objectives 1 &amp; 3), the Sustainable Forest Management/REDD+ Strategy (Objective 1), the Climate Change Strategy (Objective 5) and the International Waters Strategy (Objective 3).</w:t>
      </w:r>
      <w:r>
        <w:rPr>
          <w:rStyle w:val="FootnoteAnchor"/>
          <w:rFonts w:asciiTheme="minorHAnsi" w:eastAsiaTheme="minorHAnsi" w:hAnsiTheme="minorHAnsi" w:cstheme="minorHAnsi"/>
          <w:bCs/>
          <w:sz w:val="22"/>
          <w:szCs w:val="22"/>
          <w:lang w:val="en-CA" w:eastAsia="en-US"/>
        </w:rPr>
        <w:footnoteReference w:id="16"/>
      </w:r>
      <w:r>
        <w:rPr>
          <w:rFonts w:asciiTheme="minorHAnsi" w:eastAsiaTheme="minorHAnsi" w:hAnsiTheme="minorHAnsi" w:cstheme="minorHAnsi"/>
          <w:bCs/>
          <w:sz w:val="22"/>
          <w:szCs w:val="22"/>
          <w:lang w:val="en-CA" w:eastAsia="en-US"/>
        </w:rPr>
        <w:t xml:space="preserve"> I</w:t>
      </w:r>
      <w:r>
        <w:rPr>
          <w:rFonts w:ascii="Calibri" w:eastAsiaTheme="minorHAnsi" w:hAnsi="Calibri"/>
          <w:bCs/>
          <w:sz w:val="22"/>
          <w:szCs w:val="22"/>
          <w:lang w:val="en-CA" w:eastAsia="en-US"/>
        </w:rPr>
        <w:t xml:space="preserve">nterventions were proposed at two interconnected levels: national (Project Outcomes 2.2, 3.1, 3.2) and catchment level (Project Outcomes 1.1, 1.2, 2.1, 2.2, 3.1), and cross cutting (Project Outcome 4.1). </w:t>
      </w:r>
    </w:p>
    <w:p w14:paraId="2CBBD899" w14:textId="77777777" w:rsidR="007372B6" w:rsidRDefault="00000000">
      <w:pPr>
        <w:pStyle w:val="DefaultDrawingStyle"/>
        <w:tabs>
          <w:tab w:val="left" w:pos="1620"/>
        </w:tabs>
        <w:spacing w:before="360" w:after="240" w:line="312" w:lineRule="auto"/>
        <w:contextualSpacing/>
        <w:jc w:val="both"/>
      </w:pPr>
      <w:r>
        <w:rPr>
          <w:rFonts w:ascii="Calibri" w:eastAsia="Times New Roman" w:hAnsi="Calibri" w:cstheme="minorHAnsi"/>
          <w:bCs/>
          <w:color w:val="000000"/>
          <w:sz w:val="22"/>
          <w:szCs w:val="22"/>
          <w:lang w:val="en-US" w:eastAsia="en-CA" w:bidi="th-TH"/>
        </w:rPr>
        <w:t xml:space="preserve">6. The complex and ambitious nature of the cross-sector and multi-stakeholder project design was influenced by the fact that the STAR-GEF resources did not allow for flexibility, which prompted a need to consolidate several GEF funding streams into one umbrella multi-focal project incorporating biodiversity, climate change and land degradation. In this way, the deliverables and resources from different focal areas were aligned with the source of funds: Biodiversity ($4.74 mil), Climate Change Mitigation ($2.0 mil), and Sustainable Forestry Management ($0.65 mil). However, according to the MTR, the critical cross-cutting elements, such as capacity building, knowledge management, results monitoring, and communication were not well articulated in the project document and had a weak theory of change </w:t>
      </w:r>
      <w:r>
        <w:rPr>
          <w:rFonts w:ascii="Calibri" w:eastAsia="Times New Roman" w:hAnsi="Calibri" w:cstheme="minorBidi"/>
          <w:bCs/>
          <w:color w:val="000000"/>
          <w:sz w:val="22"/>
          <w:szCs w:val="22"/>
          <w:lang w:val="en-US" w:eastAsia="en-CA" w:bidi="th-TH"/>
        </w:rPr>
        <w:t>embedded in the Results Framework</w:t>
      </w:r>
      <w:r>
        <w:rPr>
          <w:rFonts w:ascii="Calibri" w:eastAsia="Times New Roman" w:hAnsi="Calibri" w:cstheme="minorHAnsi"/>
          <w:bCs/>
          <w:color w:val="000000"/>
          <w:sz w:val="22"/>
          <w:szCs w:val="22"/>
          <w:lang w:val="en-US" w:eastAsia="en-CA" w:bidi="th-TH"/>
        </w:rPr>
        <w:t>.</w:t>
      </w:r>
      <w:r>
        <w:rPr>
          <w:rStyle w:val="FootnoteAnchor"/>
          <w:rFonts w:ascii="Calibri" w:eastAsia="Times New Roman" w:hAnsi="Calibri" w:cstheme="minorHAnsi"/>
          <w:bCs/>
          <w:color w:val="000000"/>
          <w:sz w:val="22"/>
          <w:szCs w:val="22"/>
          <w:lang w:val="en-US" w:eastAsia="en-CA" w:bidi="th-TH"/>
        </w:rPr>
        <w:footnoteReference w:id="17"/>
      </w:r>
    </w:p>
    <w:p w14:paraId="3D7121AD" w14:textId="77777777" w:rsidR="007372B6" w:rsidRDefault="00000000">
      <w:pPr>
        <w:tabs>
          <w:tab w:val="left" w:pos="0"/>
        </w:tabs>
        <w:spacing w:line="312" w:lineRule="auto"/>
        <w:jc w:val="both"/>
        <w:rPr>
          <w:rFonts w:asciiTheme="minorHAnsi" w:eastAsiaTheme="minorHAnsi" w:hAnsiTheme="minorHAnsi" w:cstheme="minorHAnsi"/>
          <w:bCs/>
          <w:sz w:val="22"/>
          <w:szCs w:val="22"/>
          <w:lang w:val="en-CA" w:eastAsia="en-US"/>
        </w:rPr>
      </w:pPr>
      <w:r>
        <w:rPr>
          <w:rFonts w:ascii="Calibri" w:eastAsiaTheme="minorHAnsi" w:hAnsi="Calibri"/>
          <w:bCs/>
          <w:sz w:val="22"/>
          <w:szCs w:val="22"/>
          <w:lang w:val="en-CA" w:eastAsia="en-US"/>
        </w:rPr>
        <w:lastRenderedPageBreak/>
        <w:t xml:space="preserve">7. The project aimed to address critical gaps and needs in </w:t>
      </w:r>
      <w:r>
        <w:rPr>
          <w:rFonts w:ascii="Calibri" w:eastAsiaTheme="minorHAnsi" w:hAnsi="Calibri"/>
          <w:bCs/>
          <w:sz w:val="22"/>
          <w:szCs w:val="22"/>
          <w:u w:val="single"/>
          <w:lang w:val="en-CA" w:eastAsia="en-US"/>
        </w:rPr>
        <w:t>biodiversity conservation</w:t>
      </w:r>
      <w:r>
        <w:rPr>
          <w:rFonts w:ascii="Calibri" w:eastAsiaTheme="minorHAnsi" w:hAnsi="Calibri"/>
          <w:bCs/>
          <w:sz w:val="22"/>
          <w:szCs w:val="22"/>
          <w:lang w:val="en-CA" w:eastAsia="en-US"/>
        </w:rPr>
        <w:t xml:space="preserve"> for terrestrial and marine ecosystems and threatened species including the need for improved financial sustainability for protected areas and locally managed marine areas (Component 1); </w:t>
      </w:r>
      <w:r>
        <w:rPr>
          <w:rFonts w:ascii="Calibri" w:eastAsiaTheme="minorHAnsi" w:hAnsi="Calibri"/>
          <w:bCs/>
          <w:sz w:val="22"/>
          <w:szCs w:val="22"/>
          <w:u w:val="single"/>
          <w:lang w:val="en-CA" w:eastAsia="en-US"/>
        </w:rPr>
        <w:t>enhanced ecosystem services</w:t>
      </w:r>
      <w:r>
        <w:rPr>
          <w:rFonts w:ascii="Calibri" w:eastAsiaTheme="minorHAnsi" w:hAnsi="Calibri"/>
          <w:bCs/>
          <w:sz w:val="22"/>
          <w:szCs w:val="22"/>
          <w:lang w:val="en-CA" w:eastAsia="en-US"/>
        </w:rPr>
        <w:t xml:space="preserve"> in the six catchments, especially increased carbon sequestration in forests, including mangroves/blue carbon (Component 2), </w:t>
      </w:r>
      <w:r>
        <w:rPr>
          <w:rFonts w:ascii="Calibri" w:eastAsiaTheme="minorHAnsi" w:hAnsi="Calibri"/>
          <w:bCs/>
          <w:sz w:val="22"/>
          <w:szCs w:val="22"/>
          <w:u w:val="single"/>
          <w:lang w:val="en-CA" w:eastAsia="en-US"/>
        </w:rPr>
        <w:t>integrated catchment management</w:t>
      </w:r>
      <w:r>
        <w:rPr>
          <w:rFonts w:ascii="Calibri" w:eastAsiaTheme="minorHAnsi" w:hAnsi="Calibri"/>
          <w:bCs/>
          <w:sz w:val="22"/>
          <w:szCs w:val="22"/>
          <w:lang w:val="en-CA" w:eastAsia="en-US"/>
        </w:rPr>
        <w:t xml:space="preserve"> approach involving improved management of water, soil and </w:t>
      </w:r>
      <w:proofErr w:type="spellStart"/>
      <w:r>
        <w:rPr>
          <w:rFonts w:ascii="Calibri" w:eastAsiaTheme="minorHAnsi" w:hAnsi="Calibri"/>
          <w:bCs/>
          <w:sz w:val="22"/>
          <w:szCs w:val="22"/>
          <w:lang w:val="en-CA" w:eastAsia="en-US"/>
        </w:rPr>
        <w:t>agro</w:t>
      </w:r>
      <w:proofErr w:type="spellEnd"/>
      <w:r>
        <w:rPr>
          <w:rFonts w:ascii="Calibri" w:eastAsiaTheme="minorHAnsi" w:hAnsi="Calibri"/>
          <w:bCs/>
          <w:sz w:val="22"/>
          <w:szCs w:val="22"/>
          <w:lang w:val="en-CA" w:eastAsia="en-US"/>
        </w:rPr>
        <w:t xml:space="preserve">-ecosystem resources (Component 3), and </w:t>
      </w:r>
      <w:r>
        <w:rPr>
          <w:rFonts w:ascii="Calibri" w:eastAsiaTheme="minorHAnsi" w:hAnsi="Calibri"/>
          <w:bCs/>
          <w:sz w:val="22"/>
          <w:szCs w:val="22"/>
          <w:u w:val="single"/>
          <w:lang w:val="en-CA" w:eastAsia="en-US"/>
        </w:rPr>
        <w:t>strengthen knowledge and awareness</w:t>
      </w:r>
      <w:r>
        <w:rPr>
          <w:rFonts w:ascii="Calibri" w:eastAsiaTheme="minorHAnsi" w:hAnsi="Calibri"/>
          <w:bCs/>
          <w:sz w:val="22"/>
          <w:szCs w:val="22"/>
          <w:lang w:val="en-CA" w:eastAsia="en-US"/>
        </w:rPr>
        <w:t xml:space="preserve"> of R2R management and technologies, and associated environmental and socio-economic </w:t>
      </w:r>
      <w:r>
        <w:rPr>
          <w:rFonts w:ascii="Calibri" w:eastAsiaTheme="minorHAnsi" w:hAnsi="Calibri"/>
          <w:bCs/>
          <w:sz w:val="22"/>
          <w:szCs w:val="22"/>
          <w:u w:val="single"/>
          <w:lang w:val="en-CA" w:eastAsia="en-US"/>
        </w:rPr>
        <w:t>benefits within the national stakeholders and local communities</w:t>
      </w:r>
      <w:r>
        <w:rPr>
          <w:rFonts w:ascii="Calibri" w:eastAsiaTheme="minorHAnsi" w:hAnsi="Calibri"/>
          <w:bCs/>
          <w:sz w:val="22"/>
          <w:szCs w:val="22"/>
          <w:lang w:val="en-CA" w:eastAsia="en-US"/>
        </w:rPr>
        <w:t xml:space="preserve"> (Component 4). Project interventions, which are structured according to these four main component areas, were designed and developed through a participatory process facilitated by the R2R Project Preparation Grant (PPG) phase and subsequent consultations with the Fijian Government, communities in the six catchments and numerous other stakeholders in private and NGO sectors.</w:t>
      </w:r>
      <w:r>
        <w:rPr>
          <w:rStyle w:val="FootnoteAnchor"/>
          <w:rFonts w:ascii="Calibri" w:eastAsiaTheme="minorHAnsi" w:hAnsi="Calibri"/>
          <w:bCs/>
          <w:sz w:val="22"/>
          <w:szCs w:val="22"/>
          <w:lang w:val="en-CA" w:eastAsia="en-US"/>
        </w:rPr>
        <w:footnoteReference w:id="18"/>
      </w:r>
      <w:r>
        <w:rPr>
          <w:rFonts w:ascii="Calibri" w:eastAsiaTheme="minorHAnsi" w:hAnsi="Calibri"/>
          <w:bCs/>
          <w:sz w:val="22"/>
          <w:szCs w:val="22"/>
          <w:lang w:val="en-CA" w:eastAsia="en-US"/>
        </w:rPr>
        <w:t xml:space="preserve"> </w:t>
      </w:r>
    </w:p>
    <w:p w14:paraId="3825B740" w14:textId="77777777" w:rsidR="007372B6" w:rsidRDefault="007372B6">
      <w:pPr>
        <w:tabs>
          <w:tab w:val="left" w:pos="284"/>
        </w:tabs>
        <w:spacing w:line="312" w:lineRule="auto"/>
        <w:ind w:left="284" w:hanging="284"/>
        <w:contextualSpacing/>
        <w:rPr>
          <w:rFonts w:ascii="Myriad Pro" w:hAnsi="Myriad Pro"/>
          <w:color w:val="000000"/>
          <w:sz w:val="21"/>
          <w:szCs w:val="21"/>
          <w:lang w:eastAsia="en-US"/>
        </w:rPr>
      </w:pPr>
    </w:p>
    <w:p w14:paraId="19F3DE15" w14:textId="77777777" w:rsidR="007372B6" w:rsidRDefault="00000000">
      <w:pPr>
        <w:tabs>
          <w:tab w:val="left" w:pos="0"/>
        </w:tabs>
        <w:spacing w:line="312" w:lineRule="auto"/>
        <w:contextualSpacing/>
        <w:jc w:val="both"/>
        <w:rPr>
          <w:rFonts w:ascii="Calibri" w:eastAsiaTheme="minorHAnsi" w:hAnsi="Calibri" w:cstheme="minorBidi"/>
          <w:sz w:val="22"/>
          <w:szCs w:val="22"/>
          <w:lang w:val="en-CA" w:eastAsia="en-US"/>
        </w:rPr>
      </w:pPr>
      <w:r>
        <w:rPr>
          <w:rFonts w:ascii="Calibri" w:eastAsiaTheme="minorHAnsi" w:hAnsi="Calibri"/>
          <w:bCs/>
          <w:sz w:val="22"/>
          <w:szCs w:val="22"/>
          <w:lang w:val="en-CA" w:eastAsia="en-US"/>
        </w:rPr>
        <w:t xml:space="preserve">8. The Project Document described R2R management as an extension and enhancement of integrated water catchment management by extending the area under consideration and management to the connected coastal and marine ecosystems. Integrated approaches to natural resources management at landscape, catchment and/or ecosystems levels were in their infancy in Fiji, with only a few pilot projects, e.g. COWRIE (Towards Coastal and Watershed Restoration for the Integrity of Island Environments) in Ra Province (Viti </w:t>
      </w:r>
      <w:proofErr w:type="spellStart"/>
      <w:r>
        <w:rPr>
          <w:rFonts w:ascii="Calibri" w:eastAsiaTheme="minorHAnsi" w:hAnsi="Calibri"/>
          <w:bCs/>
          <w:sz w:val="22"/>
          <w:szCs w:val="22"/>
          <w:lang w:val="en-CA" w:eastAsia="en-US"/>
        </w:rPr>
        <w:t>Levu</w:t>
      </w:r>
      <w:proofErr w:type="spellEnd"/>
      <w:r>
        <w:rPr>
          <w:rFonts w:ascii="Calibri" w:eastAsiaTheme="minorHAnsi" w:hAnsi="Calibri"/>
          <w:bCs/>
          <w:sz w:val="22"/>
          <w:szCs w:val="22"/>
          <w:lang w:val="en-CA" w:eastAsia="en-US"/>
        </w:rPr>
        <w:t xml:space="preserve">), WCS R2R project in </w:t>
      </w:r>
      <w:proofErr w:type="spellStart"/>
      <w:r>
        <w:rPr>
          <w:rFonts w:ascii="Calibri" w:eastAsiaTheme="minorHAnsi" w:hAnsi="Calibri"/>
          <w:bCs/>
          <w:sz w:val="22"/>
          <w:szCs w:val="22"/>
          <w:lang w:val="en-CA" w:eastAsia="en-US"/>
        </w:rPr>
        <w:t>Kubulau</w:t>
      </w:r>
      <w:proofErr w:type="spellEnd"/>
      <w:r>
        <w:rPr>
          <w:rFonts w:ascii="Calibri" w:eastAsiaTheme="minorHAnsi" w:hAnsi="Calibri"/>
          <w:bCs/>
          <w:sz w:val="22"/>
          <w:szCs w:val="22"/>
          <w:lang w:val="en-CA" w:eastAsia="en-US"/>
        </w:rPr>
        <w:t xml:space="preserve">, Bua Province (Vanua </w:t>
      </w:r>
      <w:proofErr w:type="spellStart"/>
      <w:r>
        <w:rPr>
          <w:rFonts w:ascii="Calibri" w:eastAsiaTheme="minorHAnsi" w:hAnsi="Calibri"/>
          <w:bCs/>
          <w:sz w:val="22"/>
          <w:szCs w:val="22"/>
          <w:lang w:val="en-CA" w:eastAsia="en-US"/>
        </w:rPr>
        <w:t>Levu</w:t>
      </w:r>
      <w:proofErr w:type="spellEnd"/>
      <w:r>
        <w:rPr>
          <w:rFonts w:ascii="Calibri" w:eastAsiaTheme="minorHAnsi" w:hAnsi="Calibri"/>
          <w:bCs/>
          <w:sz w:val="22"/>
          <w:szCs w:val="22"/>
          <w:lang w:val="en-CA" w:eastAsia="en-US"/>
        </w:rPr>
        <w:t xml:space="preserve">) and the </w:t>
      </w:r>
      <w:proofErr w:type="spellStart"/>
      <w:r>
        <w:rPr>
          <w:rFonts w:ascii="Calibri" w:eastAsiaTheme="minorHAnsi" w:hAnsi="Calibri"/>
          <w:bCs/>
          <w:sz w:val="22"/>
          <w:szCs w:val="22"/>
          <w:lang w:val="en-CA" w:eastAsia="en-US"/>
        </w:rPr>
        <w:t>Nadi</w:t>
      </w:r>
      <w:proofErr w:type="spellEnd"/>
      <w:r>
        <w:rPr>
          <w:rFonts w:ascii="Calibri" w:eastAsiaTheme="minorHAnsi" w:hAnsi="Calibri"/>
          <w:bCs/>
          <w:sz w:val="22"/>
          <w:szCs w:val="22"/>
          <w:lang w:val="en-CA" w:eastAsia="en-US"/>
        </w:rPr>
        <w:t xml:space="preserve"> River Basin IWRM project.</w:t>
      </w:r>
      <w:r>
        <w:rPr>
          <w:rStyle w:val="FootnoteAnchor"/>
          <w:rFonts w:ascii="Calibri" w:eastAsiaTheme="minorHAnsi" w:hAnsi="Calibri"/>
          <w:bCs/>
          <w:sz w:val="22"/>
          <w:szCs w:val="22"/>
          <w:lang w:val="en-CA" w:eastAsia="en-US"/>
        </w:rPr>
        <w:footnoteReference w:id="19"/>
      </w:r>
      <w:r>
        <w:rPr>
          <w:rFonts w:ascii="Calibri" w:eastAsiaTheme="minorHAnsi" w:hAnsi="Calibri"/>
          <w:bCs/>
          <w:i/>
          <w:iCs/>
          <w:sz w:val="22"/>
          <w:szCs w:val="22"/>
          <w:lang w:val="en-CA" w:eastAsia="en-US"/>
        </w:rPr>
        <w:t xml:space="preserve"> </w:t>
      </w:r>
      <w:r>
        <w:rPr>
          <w:rFonts w:ascii="Calibri" w:eastAsiaTheme="minorHAnsi" w:hAnsi="Calibri"/>
          <w:bCs/>
          <w:sz w:val="22"/>
          <w:szCs w:val="22"/>
          <w:lang w:val="en-CA" w:eastAsia="en-US"/>
        </w:rPr>
        <w:t xml:space="preserve">Because of this lack of experience and capacity, the project required </w:t>
      </w:r>
      <w:r>
        <w:rPr>
          <w:rFonts w:ascii="Calibri" w:eastAsiaTheme="minorHAnsi" w:hAnsi="Calibri" w:cstheme="minorBidi"/>
          <w:sz w:val="22"/>
          <w:szCs w:val="22"/>
          <w:lang w:val="en-CA" w:eastAsia="en-US"/>
        </w:rPr>
        <w:t>a large number of national implementing partners to deal with its wide scope, both in terms of sectors (</w:t>
      </w:r>
      <w:r>
        <w:rPr>
          <w:rFonts w:ascii="Calibri Light" w:eastAsia="Calibri" w:hAnsi="Calibri Light" w:cs="Calibri Light"/>
          <w:bCs/>
          <w:color w:val="000000"/>
          <w:sz w:val="22"/>
          <w:szCs w:val="22"/>
          <w:lang w:val="en-CA" w:eastAsia="en-US"/>
        </w:rPr>
        <w:t xml:space="preserve">forestry, agriculture, fisheries, </w:t>
      </w:r>
      <w:proofErr w:type="spellStart"/>
      <w:r>
        <w:rPr>
          <w:rFonts w:ascii="Calibri Light" w:eastAsia="Calibri" w:hAnsi="Calibri Light" w:cs="Calibri Light"/>
          <w:bCs/>
          <w:color w:val="000000"/>
          <w:sz w:val="22"/>
          <w:szCs w:val="22"/>
          <w:lang w:val="en-CA" w:eastAsia="en-US"/>
        </w:rPr>
        <w:t>iTaukei</w:t>
      </w:r>
      <w:proofErr w:type="spellEnd"/>
      <w:r>
        <w:rPr>
          <w:rFonts w:ascii="Calibri Light" w:eastAsia="Calibri" w:hAnsi="Calibri Light" w:cs="Calibri Light"/>
          <w:bCs/>
          <w:color w:val="000000"/>
          <w:sz w:val="22"/>
          <w:szCs w:val="22"/>
          <w:lang w:val="en-CA" w:eastAsia="en-US"/>
        </w:rPr>
        <w:t xml:space="preserve"> affairs</w:t>
      </w:r>
      <w:r>
        <w:rPr>
          <w:rFonts w:ascii="Calibri" w:eastAsiaTheme="minorHAnsi" w:hAnsi="Calibri" w:cstheme="minorBidi"/>
          <w:sz w:val="22"/>
          <w:szCs w:val="22"/>
          <w:lang w:val="en-CA" w:eastAsia="en-US"/>
        </w:rPr>
        <w:t>), themes covered (</w:t>
      </w:r>
      <w:r>
        <w:rPr>
          <w:rFonts w:ascii="Calibri Light" w:eastAsia="Calibri" w:hAnsi="Calibri Light" w:cs="Calibri Light"/>
          <w:bCs/>
          <w:color w:val="000000"/>
          <w:sz w:val="22"/>
          <w:szCs w:val="22"/>
          <w:lang w:val="en-CA" w:eastAsia="en-US"/>
        </w:rPr>
        <w:t>biodiversity, land degradation, forest management, hydrology, climate change, livelihoods, gender</w:t>
      </w:r>
      <w:r>
        <w:rPr>
          <w:rFonts w:ascii="Calibri" w:eastAsiaTheme="minorHAnsi" w:hAnsi="Calibri" w:cstheme="minorBidi"/>
          <w:sz w:val="22"/>
          <w:szCs w:val="22"/>
          <w:lang w:val="en-CA" w:eastAsia="en-US"/>
        </w:rPr>
        <w:t xml:space="preserve">) and geographic spread </w:t>
      </w:r>
      <w:r>
        <w:rPr>
          <w:rFonts w:ascii="Calibri Light" w:eastAsia="Calibri" w:hAnsi="Calibri Light" w:cs="Calibri Light"/>
          <w:bCs/>
          <w:color w:val="000000"/>
          <w:sz w:val="22"/>
          <w:szCs w:val="22"/>
          <w:lang w:val="en-CA" w:eastAsia="en-US"/>
        </w:rPr>
        <w:t>(6 catchment areas across two of Fiji’s largest islands)</w:t>
      </w:r>
      <w:r>
        <w:rPr>
          <w:rFonts w:ascii="Calibri" w:eastAsiaTheme="minorHAnsi" w:hAnsi="Calibri" w:cstheme="minorBidi"/>
          <w:sz w:val="22"/>
          <w:szCs w:val="22"/>
          <w:lang w:val="en-CA" w:eastAsia="en-US"/>
        </w:rPr>
        <w:t xml:space="preserve">. The selection of implementing partners was undertaken through a broad consultative process, including considerable meetings, and input from Government and NGO sectors. </w:t>
      </w:r>
      <w:r>
        <w:rPr>
          <w:rStyle w:val="FootnoteAnchor"/>
          <w:rFonts w:ascii="Calibri" w:eastAsiaTheme="minorHAnsi" w:hAnsi="Calibri" w:cstheme="minorBidi"/>
          <w:sz w:val="22"/>
          <w:szCs w:val="22"/>
          <w:lang w:val="en-CA" w:eastAsia="en-US"/>
        </w:rPr>
        <w:footnoteReference w:id="20"/>
      </w:r>
    </w:p>
    <w:p w14:paraId="3B9B7836" w14:textId="77777777" w:rsidR="007372B6" w:rsidRDefault="007372B6">
      <w:pPr>
        <w:tabs>
          <w:tab w:val="left" w:pos="284"/>
        </w:tabs>
        <w:spacing w:line="312" w:lineRule="auto"/>
        <w:ind w:left="284" w:hanging="284"/>
        <w:contextualSpacing/>
        <w:rPr>
          <w:rFonts w:asciiTheme="minorHAnsi" w:eastAsiaTheme="minorHAnsi" w:hAnsiTheme="minorHAnsi" w:cstheme="minorHAnsi"/>
          <w:sz w:val="22"/>
          <w:szCs w:val="22"/>
          <w:lang w:val="en-CA" w:eastAsia="en-US"/>
        </w:rPr>
      </w:pPr>
    </w:p>
    <w:p w14:paraId="565F8C61" w14:textId="77777777" w:rsidR="007372B6" w:rsidRDefault="00000000">
      <w:pPr>
        <w:tabs>
          <w:tab w:val="left" w:pos="0"/>
        </w:tabs>
        <w:spacing w:line="312" w:lineRule="auto"/>
        <w:contextualSpacing/>
        <w:jc w:val="both"/>
        <w:rPr>
          <w:rFonts w:asciiTheme="minorHAnsi" w:eastAsiaTheme="minorHAnsi" w:hAnsiTheme="minorHAnsi" w:cstheme="minorHAnsi"/>
          <w:sz w:val="22"/>
          <w:szCs w:val="22"/>
          <w:lang w:val="en-CA" w:eastAsia="en-US"/>
        </w:rPr>
      </w:pPr>
      <w:r>
        <w:rPr>
          <w:rFonts w:asciiTheme="minorHAnsi" w:eastAsiaTheme="minorHAnsi" w:hAnsiTheme="minorHAnsi" w:cstheme="minorHAnsi"/>
          <w:sz w:val="22"/>
          <w:szCs w:val="22"/>
          <w:lang w:val="en-CA" w:eastAsia="en-US"/>
        </w:rPr>
        <w:t xml:space="preserve">9. Although there is no explicit theory of change for the project, the logic model is essentially based on expanding PAs </w:t>
      </w:r>
      <w:r>
        <w:rPr>
          <w:rFonts w:asciiTheme="minorHAnsi" w:hAnsiTheme="minorHAnsi" w:cstheme="minorHAnsi"/>
          <w:color w:val="000000"/>
          <w:sz w:val="22"/>
          <w:szCs w:val="22"/>
          <w:lang w:eastAsia="en-US"/>
        </w:rPr>
        <w:t xml:space="preserve">and their financial sustainability, increasing forest cover, introducing market-based forest management schemes and formulating integrated catchment management plans to be implemented by local Catchment Management Committees, with support from policy development on integrated natural resources management and better data and information systems, as a result of which: </w:t>
      </w:r>
    </w:p>
    <w:p w14:paraId="2A993A22" w14:textId="77777777" w:rsidR="007372B6" w:rsidRDefault="00000000">
      <w:pPr>
        <w:numPr>
          <w:ilvl w:val="0"/>
          <w:numId w:val="9"/>
        </w:numPr>
        <w:tabs>
          <w:tab w:val="left" w:pos="284"/>
        </w:tabs>
        <w:spacing w:line="312" w:lineRule="auto"/>
        <w:contextualSpacing/>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Biodiversity resources, ecosystem services, carbon sequestration, climate resilience and sustainable livelihoods will be maintained and enhanced in priority catchment areas, and</w:t>
      </w:r>
    </w:p>
    <w:p w14:paraId="5357FC79" w14:textId="77777777" w:rsidR="007372B6" w:rsidRDefault="00000000">
      <w:pPr>
        <w:numPr>
          <w:ilvl w:val="0"/>
          <w:numId w:val="9"/>
        </w:numPr>
        <w:tabs>
          <w:tab w:val="left" w:pos="284"/>
        </w:tabs>
        <w:spacing w:line="312" w:lineRule="auto"/>
        <w:contextualSpacing/>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Improved environmental quality, biodiversity conservation, poverty reduction and climate resilience will occur as a result of integrated R2R interventions.</w:t>
      </w:r>
    </w:p>
    <w:p w14:paraId="717D8ACA" w14:textId="77777777" w:rsidR="007372B6" w:rsidRDefault="007372B6">
      <w:pPr>
        <w:tabs>
          <w:tab w:val="left" w:pos="284"/>
        </w:tabs>
        <w:ind w:left="284" w:hanging="284"/>
        <w:contextualSpacing/>
        <w:rPr>
          <w:rFonts w:asciiTheme="minorHAnsi" w:hAnsiTheme="minorHAnsi" w:cstheme="minorHAnsi"/>
          <w:color w:val="000000"/>
          <w:sz w:val="22"/>
          <w:szCs w:val="22"/>
          <w:lang w:eastAsia="en-US"/>
        </w:rPr>
      </w:pPr>
    </w:p>
    <w:p w14:paraId="7842699B" w14:textId="77777777" w:rsidR="007372B6" w:rsidRDefault="00000000">
      <w:pPr>
        <w:tabs>
          <w:tab w:val="left" w:pos="0"/>
        </w:tabs>
        <w:spacing w:after="170" w:line="312" w:lineRule="auto"/>
        <w:contextualSpacing/>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lastRenderedPageBreak/>
        <w:t>10. This is a long, assumption-laden causality theory. The model for R2R and integrated NRM is still under development in Fiji, and testing this project design has helped to further highlight the major challenges ahead. The following observations and suggestions were compiled during the TE discussions:</w:t>
      </w:r>
    </w:p>
    <w:p w14:paraId="26DA53D3" w14:textId="77777777" w:rsidR="007372B6" w:rsidRDefault="00000000">
      <w:pPr>
        <w:numPr>
          <w:ilvl w:val="0"/>
          <w:numId w:val="10"/>
        </w:numPr>
        <w:tabs>
          <w:tab w:val="left" w:pos="0"/>
        </w:tabs>
        <w:spacing w:before="119" w:line="312" w:lineRule="auto"/>
        <w:ind w:left="714" w:hanging="357"/>
        <w:contextualSpacing/>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The policy and institutional development aspects, including capacity building, which take considerable time and effort, may be pre-conditions to launching an effective R2R integrated approach and should come earlier in the sequence of activities. Setting up clear management responsibilities and coordination and monitoring mechanisms at the design and inception stage were major themes during the TE discussions.</w:t>
      </w:r>
    </w:p>
    <w:p w14:paraId="20CE8A84" w14:textId="77777777" w:rsidR="007372B6" w:rsidRDefault="007372B6">
      <w:pPr>
        <w:ind w:left="714"/>
        <w:contextualSpacing/>
        <w:jc w:val="both"/>
        <w:rPr>
          <w:rFonts w:asciiTheme="minorHAnsi" w:hAnsiTheme="minorHAnsi" w:cstheme="minorHAnsi"/>
          <w:color w:val="000000"/>
          <w:sz w:val="22"/>
          <w:szCs w:val="22"/>
          <w:lang w:eastAsia="en-US"/>
        </w:rPr>
      </w:pPr>
    </w:p>
    <w:p w14:paraId="2EA49AA8" w14:textId="77777777" w:rsidR="007372B6" w:rsidRDefault="00000000">
      <w:pPr>
        <w:numPr>
          <w:ilvl w:val="0"/>
          <w:numId w:val="10"/>
        </w:numPr>
        <w:tabs>
          <w:tab w:val="left" w:pos="0"/>
        </w:tabs>
        <w:spacing w:line="312" w:lineRule="auto"/>
        <w:ind w:left="714" w:hanging="357"/>
        <w:contextualSpacing/>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The role of coordination and technical support is critical in any integrated NRM strategy, as highlighted in the Mid Term Review report. There were a lot of different partners implementing the project, and aligning them toward common objectives proved to be a difficult task underestimated in the project design. Most importantly, </w:t>
      </w:r>
      <w:r>
        <w:rPr>
          <w:rFonts w:asciiTheme="minorHAnsi" w:hAnsiTheme="minorHAnsi" w:cstheme="minorHAnsi"/>
          <w:i/>
          <w:iCs/>
          <w:color w:val="000000"/>
          <w:sz w:val="22"/>
          <w:szCs w:val="22"/>
          <w:lang w:eastAsia="en-US"/>
        </w:rPr>
        <w:t>the linkages and processes for integrating sectors and different communities</w:t>
      </w:r>
      <w:r>
        <w:rPr>
          <w:rFonts w:asciiTheme="minorHAnsi" w:hAnsiTheme="minorHAnsi" w:cstheme="minorHAnsi"/>
          <w:color w:val="000000"/>
          <w:sz w:val="22"/>
          <w:szCs w:val="22"/>
          <w:lang w:eastAsia="en-US"/>
        </w:rPr>
        <w:t xml:space="preserve"> (upland, lowland, marine) were not articulated in the project strategy or subsequent implementation phases.</w:t>
      </w:r>
    </w:p>
    <w:p w14:paraId="7BCDFB6A" w14:textId="77777777" w:rsidR="007372B6" w:rsidRDefault="007372B6">
      <w:pPr>
        <w:tabs>
          <w:tab w:val="left" w:pos="0"/>
        </w:tabs>
        <w:ind w:left="714"/>
        <w:contextualSpacing/>
        <w:jc w:val="both"/>
        <w:rPr>
          <w:rFonts w:asciiTheme="minorHAnsi" w:hAnsiTheme="minorHAnsi" w:cstheme="minorHAnsi"/>
          <w:color w:val="000000"/>
          <w:sz w:val="22"/>
          <w:szCs w:val="22"/>
          <w:lang w:eastAsia="en-US"/>
        </w:rPr>
      </w:pPr>
    </w:p>
    <w:p w14:paraId="2833104A" w14:textId="77777777" w:rsidR="007372B6" w:rsidRDefault="00000000">
      <w:pPr>
        <w:numPr>
          <w:ilvl w:val="0"/>
          <w:numId w:val="10"/>
        </w:numPr>
        <w:tabs>
          <w:tab w:val="left" w:pos="0"/>
        </w:tabs>
        <w:spacing w:line="312" w:lineRule="auto"/>
        <w:ind w:left="714" w:hanging="357"/>
        <w:contextualSpacing/>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The interrelated climate change, hydrological, land use, and human drivers of environmental degradation and biodiversity loss, clearly documented in detail in the Project Document, are somewhat lost in the GEF-structured components which focus on protected areas, forestry/carbon stocks, financing mechanisms, alternative livelihoods and governance/knowledge systems. The operational strategies to address these key drivers in a cross-sectoral manner are not prominent in the design.</w:t>
      </w:r>
    </w:p>
    <w:p w14:paraId="4A04A73F" w14:textId="77777777" w:rsidR="007372B6" w:rsidRDefault="007372B6">
      <w:pPr>
        <w:ind w:left="714"/>
        <w:contextualSpacing/>
        <w:jc w:val="both"/>
        <w:rPr>
          <w:rFonts w:asciiTheme="minorHAnsi" w:hAnsiTheme="minorHAnsi" w:cstheme="minorHAnsi"/>
          <w:color w:val="000000"/>
          <w:sz w:val="22"/>
          <w:szCs w:val="22"/>
          <w:lang w:eastAsia="en-US"/>
        </w:rPr>
      </w:pPr>
    </w:p>
    <w:p w14:paraId="2F90F6DA" w14:textId="77777777" w:rsidR="007372B6" w:rsidRDefault="00000000">
      <w:pPr>
        <w:numPr>
          <w:ilvl w:val="0"/>
          <w:numId w:val="10"/>
        </w:numPr>
        <w:tabs>
          <w:tab w:val="left" w:pos="0"/>
        </w:tabs>
        <w:spacing w:line="312" w:lineRule="auto"/>
        <w:ind w:left="714" w:hanging="357"/>
        <w:contextualSpacing/>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The conventional ridge to valley approach to watershed rehabilitation, focusing on managing hydrology and water balance beginning at the top of the catchment area and working downstream to control soil loss/sedimentation, increasing water holding capacity and groundwater infiltration and stabilizing runoff and stream flows, despite elements of sustainable land management in catchment priorities, is not apparent in the project implementation or the catchment plans.</w:t>
      </w:r>
      <w:r>
        <w:rPr>
          <w:rStyle w:val="FootnoteAnchor"/>
          <w:rFonts w:asciiTheme="minorHAnsi" w:hAnsiTheme="minorHAnsi" w:cstheme="minorHAnsi"/>
          <w:color w:val="000000"/>
          <w:sz w:val="22"/>
          <w:szCs w:val="22"/>
          <w:lang w:eastAsia="en-US"/>
        </w:rPr>
        <w:footnoteReference w:id="21"/>
      </w:r>
    </w:p>
    <w:p w14:paraId="675AD04D" w14:textId="77777777" w:rsidR="007372B6" w:rsidRDefault="007372B6">
      <w:pPr>
        <w:ind w:left="714"/>
        <w:contextualSpacing/>
        <w:jc w:val="both"/>
        <w:rPr>
          <w:rFonts w:asciiTheme="minorHAnsi" w:hAnsiTheme="minorHAnsi" w:cstheme="minorHAnsi"/>
          <w:color w:val="000000"/>
          <w:sz w:val="22"/>
          <w:szCs w:val="22"/>
          <w:lang w:eastAsia="en-US"/>
        </w:rPr>
      </w:pPr>
    </w:p>
    <w:p w14:paraId="21F60246" w14:textId="77777777" w:rsidR="007372B6" w:rsidRDefault="00000000">
      <w:pPr>
        <w:numPr>
          <w:ilvl w:val="0"/>
          <w:numId w:val="10"/>
        </w:numPr>
        <w:tabs>
          <w:tab w:val="left" w:pos="0"/>
        </w:tabs>
        <w:spacing w:line="312" w:lineRule="auto"/>
        <w:ind w:left="714" w:hanging="357"/>
        <w:contextualSpacing/>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The appropriate balance between promoting natural regeneration of vegetation and ecosystem attributes through soil and water conservation and access/harvesting restrictions, versus extensive tree planting and active forest management enhancements needs to be considered particularly in steep gradient landscapes typical of Fiji. Reforestation alone, principally to meet national tree planting targets and forest sector priorities, without companion soil and water conservation was a significant gap in the project strategy. </w:t>
      </w:r>
    </w:p>
    <w:p w14:paraId="75C20B46" w14:textId="77777777" w:rsidR="007372B6" w:rsidRDefault="007372B6">
      <w:pPr>
        <w:ind w:left="714"/>
        <w:contextualSpacing/>
        <w:jc w:val="both"/>
        <w:rPr>
          <w:rFonts w:asciiTheme="minorHAnsi" w:hAnsiTheme="minorHAnsi" w:cstheme="minorHAnsi"/>
          <w:color w:val="000000"/>
          <w:sz w:val="22"/>
          <w:szCs w:val="22"/>
          <w:lang w:eastAsia="en-US"/>
        </w:rPr>
      </w:pPr>
    </w:p>
    <w:p w14:paraId="30376016" w14:textId="77777777" w:rsidR="007372B6" w:rsidRDefault="00000000">
      <w:pPr>
        <w:numPr>
          <w:ilvl w:val="0"/>
          <w:numId w:val="10"/>
        </w:numPr>
        <w:tabs>
          <w:tab w:val="left" w:pos="0"/>
        </w:tabs>
        <w:spacing w:line="312" w:lineRule="auto"/>
        <w:ind w:left="714" w:hanging="357"/>
        <w:contextualSpacing/>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lastRenderedPageBreak/>
        <w:t>The Results Framework indicators are mostly measures of activities rather than changes in desired environmental conditions or behavioural aspects leading to environmental improvement. The project monitoring and reporting was mostly based on activity completion as reported in annual PIRs. The Project Objective for example, had an end of project target described as “sound catchment management plans being implemented by multi-stakeholder catchment area committees”. Rather, the plans are the means to achieve expected results in reduced environmental degradation and improved conservation values (i.e., changes in environmental or behavioural conditions).</w:t>
      </w:r>
    </w:p>
    <w:p w14:paraId="576DF5F2" w14:textId="77777777" w:rsidR="007372B6" w:rsidRDefault="007372B6">
      <w:pPr>
        <w:tabs>
          <w:tab w:val="left" w:pos="0"/>
        </w:tabs>
        <w:ind w:left="714"/>
        <w:contextualSpacing/>
        <w:jc w:val="both"/>
        <w:rPr>
          <w:rFonts w:asciiTheme="minorHAnsi" w:hAnsiTheme="minorHAnsi" w:cstheme="minorHAnsi"/>
          <w:color w:val="000000"/>
          <w:sz w:val="22"/>
          <w:szCs w:val="22"/>
          <w:lang w:eastAsia="en-US"/>
        </w:rPr>
      </w:pPr>
    </w:p>
    <w:p w14:paraId="30812978" w14:textId="77777777" w:rsidR="007372B6" w:rsidRDefault="00000000">
      <w:pPr>
        <w:numPr>
          <w:ilvl w:val="0"/>
          <w:numId w:val="10"/>
        </w:numPr>
        <w:tabs>
          <w:tab w:val="left" w:pos="0"/>
        </w:tabs>
        <w:spacing w:line="312" w:lineRule="auto"/>
        <w:ind w:left="714" w:hanging="357"/>
        <w:contextualSpacing/>
        <w:jc w:val="both"/>
        <w:rPr>
          <w:color w:val="000000"/>
        </w:rPr>
      </w:pPr>
      <w:r>
        <w:rPr>
          <w:rFonts w:asciiTheme="minorHAnsi" w:hAnsiTheme="minorHAnsi" w:cstheme="minorHAnsi"/>
          <w:color w:val="000000"/>
          <w:sz w:val="22"/>
          <w:szCs w:val="22"/>
          <w:lang w:eastAsia="en-US"/>
        </w:rPr>
        <w:t xml:space="preserve">The reforestation activities (Component 2) were well-aligned with the Government’s goal of planting 30 million trees in 15 years. However, this might have unduly influenced the changes in the original design (substituting policy development in Outcome 6 with reforestation) and created undue pressure to advance the national tree planting quantitative targets rather than addressing catchment area priorities. </w:t>
      </w:r>
    </w:p>
    <w:p w14:paraId="6620B14A" w14:textId="77777777" w:rsidR="007372B6" w:rsidRDefault="007372B6">
      <w:pPr>
        <w:tabs>
          <w:tab w:val="left" w:pos="0"/>
        </w:tabs>
        <w:ind w:left="714" w:hanging="357"/>
        <w:contextualSpacing/>
        <w:jc w:val="both"/>
        <w:rPr>
          <w:rFonts w:asciiTheme="minorHAnsi" w:hAnsiTheme="minorHAnsi" w:cstheme="minorHAnsi"/>
          <w:sz w:val="22"/>
          <w:szCs w:val="22"/>
          <w:lang w:eastAsia="en-US"/>
        </w:rPr>
      </w:pPr>
    </w:p>
    <w:p w14:paraId="0F3E55C7" w14:textId="77777777" w:rsidR="007372B6" w:rsidRDefault="00000000">
      <w:pPr>
        <w:numPr>
          <w:ilvl w:val="0"/>
          <w:numId w:val="10"/>
        </w:numPr>
        <w:tabs>
          <w:tab w:val="left" w:pos="0"/>
        </w:tabs>
        <w:spacing w:line="312" w:lineRule="auto"/>
        <w:ind w:left="714" w:hanging="357"/>
        <w:contextualSpacing/>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Some stakeholders felt that the 2014 project design should have been updated to take account of new pressures such as climate change and other priorities.</w:t>
      </w:r>
    </w:p>
    <w:p w14:paraId="656D6A5D" w14:textId="77777777" w:rsidR="007372B6" w:rsidRDefault="007372B6">
      <w:pPr>
        <w:tabs>
          <w:tab w:val="left" w:pos="0"/>
        </w:tabs>
        <w:spacing w:before="120" w:after="120" w:line="312" w:lineRule="auto"/>
        <w:contextualSpacing/>
        <w:jc w:val="both"/>
        <w:rPr>
          <w:rFonts w:asciiTheme="minorHAnsi" w:hAnsiTheme="minorHAnsi" w:cstheme="minorHAnsi"/>
          <w:sz w:val="22"/>
          <w:szCs w:val="22"/>
          <w:lang w:eastAsia="en-US"/>
        </w:rPr>
      </w:pPr>
    </w:p>
    <w:p w14:paraId="31965F08" w14:textId="77777777" w:rsidR="007372B6" w:rsidRDefault="00000000">
      <w:pPr>
        <w:spacing w:after="113"/>
        <w:contextualSpacing/>
        <w:rPr>
          <w:rFonts w:ascii="Myriad Pro" w:hAnsi="Myriad Pro"/>
          <w:b/>
          <w:bCs/>
          <w:color w:val="000000"/>
          <w:sz w:val="21"/>
          <w:szCs w:val="21"/>
          <w:lang w:eastAsia="en-US"/>
        </w:rPr>
      </w:pPr>
      <w:r>
        <w:rPr>
          <w:rFonts w:ascii="Myriad Pro" w:hAnsi="Myriad Pro"/>
          <w:b/>
          <w:bCs/>
          <w:color w:val="000000"/>
          <w:sz w:val="21"/>
          <w:szCs w:val="21"/>
          <w:lang w:eastAsia="en-US"/>
        </w:rPr>
        <w:t>Assumptions and Risks</w:t>
      </w:r>
    </w:p>
    <w:p w14:paraId="70C8894C" w14:textId="77777777" w:rsidR="007372B6" w:rsidRDefault="007372B6">
      <w:pPr>
        <w:spacing w:after="113"/>
        <w:contextualSpacing/>
        <w:rPr>
          <w:rFonts w:ascii="Myriad Pro" w:hAnsi="Myriad Pro"/>
          <w:b/>
          <w:bCs/>
          <w:color w:val="000000"/>
          <w:sz w:val="21"/>
          <w:szCs w:val="21"/>
          <w:lang w:eastAsia="en-US"/>
        </w:rPr>
      </w:pPr>
    </w:p>
    <w:p w14:paraId="58482F2E" w14:textId="77777777" w:rsidR="007372B6" w:rsidRDefault="00000000">
      <w:pPr>
        <w:spacing w:line="312" w:lineRule="auto"/>
        <w:jc w:val="both"/>
        <w:rPr>
          <w:rFonts w:asciiTheme="minorHAnsi" w:hAnsiTheme="minorHAnsi" w:cstheme="minorHAnsi"/>
          <w:color w:val="000000"/>
          <w:sz w:val="22"/>
          <w:szCs w:val="22"/>
          <w:lang w:eastAsia="en-US"/>
        </w:rPr>
      </w:pPr>
      <w:r>
        <w:rPr>
          <w:rFonts w:ascii="Calibri" w:hAnsi="Calibri" w:cstheme="minorHAnsi"/>
          <w:color w:val="000000"/>
          <w:sz w:val="22"/>
          <w:szCs w:val="22"/>
          <w:lang w:eastAsia="en-US"/>
        </w:rPr>
        <w:t xml:space="preserve">11. The Project Document identified the key risks as being </w:t>
      </w:r>
      <w:r>
        <w:rPr>
          <w:rFonts w:ascii="Calibri" w:hAnsi="Calibri" w:cstheme="minorHAnsi"/>
          <w:i/>
          <w:iCs/>
          <w:color w:val="000000"/>
          <w:sz w:val="22"/>
          <w:szCs w:val="22"/>
          <w:lang w:eastAsia="en-US"/>
        </w:rPr>
        <w:t>Low</w:t>
      </w:r>
      <w:r>
        <w:rPr>
          <w:rFonts w:ascii="Calibri" w:hAnsi="Calibri" w:cstheme="minorHAnsi"/>
          <w:color w:val="000000"/>
          <w:sz w:val="22"/>
          <w:szCs w:val="22"/>
          <w:lang w:eastAsia="en-US"/>
        </w:rPr>
        <w:t xml:space="preserve"> to </w:t>
      </w:r>
      <w:r>
        <w:rPr>
          <w:rFonts w:ascii="Calibri" w:hAnsi="Calibri" w:cstheme="minorHAnsi"/>
          <w:i/>
          <w:iCs/>
          <w:color w:val="000000"/>
          <w:sz w:val="22"/>
          <w:szCs w:val="22"/>
          <w:lang w:eastAsia="en-US"/>
        </w:rPr>
        <w:t>Medium</w:t>
      </w:r>
      <w:r>
        <w:rPr>
          <w:rFonts w:ascii="Calibri" w:hAnsi="Calibri" w:cstheme="minorHAnsi"/>
          <w:color w:val="000000"/>
          <w:sz w:val="22"/>
          <w:szCs w:val="22"/>
          <w:lang w:eastAsia="en-US"/>
        </w:rPr>
        <w:t xml:space="preserve">. The medium risks included pressure on the environment and natural resources due to poverty, increase in population, urbanization and economic development, a lack of capacity for legal enforcement of environmental policies/ legislation and </w:t>
      </w:r>
      <w:proofErr w:type="gramStart"/>
      <w:r>
        <w:rPr>
          <w:rFonts w:ascii="Calibri" w:hAnsi="Calibri" w:cstheme="minorHAnsi"/>
          <w:color w:val="000000"/>
          <w:sz w:val="22"/>
          <w:szCs w:val="22"/>
          <w:lang w:eastAsia="en-US"/>
        </w:rPr>
        <w:t>community based</w:t>
      </w:r>
      <w:proofErr w:type="gramEnd"/>
      <w:r>
        <w:rPr>
          <w:rFonts w:ascii="Calibri" w:hAnsi="Calibri" w:cstheme="minorHAnsi"/>
          <w:color w:val="000000"/>
          <w:sz w:val="22"/>
          <w:szCs w:val="22"/>
          <w:lang w:eastAsia="en-US"/>
        </w:rPr>
        <w:t xml:space="preserve"> support, and climate change, fire and tsunami threats to terrestrial and marine resources. But it was also noted that the </w:t>
      </w:r>
      <w:r>
        <w:rPr>
          <w:rFonts w:ascii="Calibri" w:hAnsi="Calibri" w:cstheme="minorHAnsi"/>
          <w:bCs/>
          <w:color w:val="000000"/>
          <w:sz w:val="22"/>
          <w:szCs w:val="22"/>
          <w:lang w:eastAsia="en-US"/>
        </w:rPr>
        <w:t>main barrier to project achievement was probably institutional.</w:t>
      </w:r>
    </w:p>
    <w:p w14:paraId="6446DA3D" w14:textId="77777777" w:rsidR="007372B6" w:rsidRDefault="007372B6">
      <w:pPr>
        <w:spacing w:line="312" w:lineRule="auto"/>
        <w:jc w:val="both"/>
        <w:rPr>
          <w:rFonts w:asciiTheme="minorHAnsi" w:hAnsiTheme="minorHAnsi" w:cstheme="minorHAnsi"/>
          <w:color w:val="000000"/>
          <w:sz w:val="22"/>
          <w:szCs w:val="22"/>
          <w:lang w:eastAsia="en-US"/>
        </w:rPr>
      </w:pPr>
    </w:p>
    <w:p w14:paraId="0D2F50E5" w14:textId="64FDD6BB" w:rsidR="007372B6" w:rsidRDefault="00000000">
      <w:pPr>
        <w:spacing w:line="312" w:lineRule="auto"/>
        <w:jc w:val="both"/>
        <w:rPr>
          <w:rFonts w:asciiTheme="minorHAnsi" w:hAnsiTheme="minorHAnsi" w:cstheme="minorHAnsi"/>
          <w:color w:val="000000"/>
          <w:sz w:val="22"/>
          <w:szCs w:val="22"/>
          <w:lang w:eastAsia="en-US"/>
        </w:rPr>
      </w:pPr>
      <w:r>
        <w:rPr>
          <w:rFonts w:ascii="Calibri" w:hAnsi="Calibri" w:cstheme="minorHAnsi"/>
          <w:color w:val="000000"/>
          <w:sz w:val="22"/>
          <w:szCs w:val="22"/>
          <w:lang w:eastAsia="en-US"/>
        </w:rPr>
        <w:t>12. The MTR report also noted key risks related to a lack of technical oversight, allocation and disbursement of funding, the need for a full staffing of the PMU, and for MTR interviewees, the greatest risks to project implementation included slow disbursement of project funds, the need for technical recruitment, planting in a short time, and risk of fire and weather-related disasters hindering planting.</w:t>
      </w:r>
      <w:r>
        <w:rPr>
          <w:rStyle w:val="FootnoteAnchor"/>
          <w:rFonts w:ascii="Calibri" w:hAnsi="Calibri" w:cstheme="minorHAnsi"/>
          <w:color w:val="000000"/>
          <w:sz w:val="22"/>
          <w:szCs w:val="22"/>
          <w:lang w:eastAsia="en-US"/>
        </w:rPr>
        <w:footnoteReference w:id="22"/>
      </w:r>
    </w:p>
    <w:p w14:paraId="6B3F28E5" w14:textId="77777777" w:rsidR="007372B6" w:rsidRDefault="007372B6">
      <w:pPr>
        <w:spacing w:line="312" w:lineRule="auto"/>
        <w:jc w:val="both"/>
        <w:rPr>
          <w:rFonts w:asciiTheme="minorHAnsi" w:hAnsiTheme="minorHAnsi" w:cstheme="minorHAnsi"/>
          <w:color w:val="000000"/>
          <w:sz w:val="22"/>
          <w:szCs w:val="22"/>
          <w:lang w:eastAsia="en-US"/>
        </w:rPr>
      </w:pPr>
    </w:p>
    <w:p w14:paraId="7110D2DF" w14:textId="77777777" w:rsidR="007372B6" w:rsidRDefault="00000000">
      <w:pPr>
        <w:spacing w:line="312" w:lineRule="auto"/>
        <w:jc w:val="both"/>
        <w:rPr>
          <w:rFonts w:asciiTheme="minorHAnsi" w:hAnsiTheme="minorHAnsi" w:cstheme="minorHAnsi"/>
          <w:color w:val="000000"/>
          <w:sz w:val="22"/>
          <w:szCs w:val="22"/>
          <w:lang w:eastAsia="en-US"/>
        </w:rPr>
      </w:pPr>
      <w:r>
        <w:rPr>
          <w:rFonts w:ascii="Calibri" w:hAnsi="Calibri" w:cstheme="minorHAnsi"/>
          <w:color w:val="000000"/>
          <w:sz w:val="22"/>
          <w:szCs w:val="22"/>
          <w:lang w:eastAsia="en-US"/>
        </w:rPr>
        <w:t>13. The ATLAS risk log was not provided but some insight into risk management can be observed from the annual PIRs and Project Steering Committee meetings, where the risks were reduced from “</w:t>
      </w:r>
      <w:r>
        <w:rPr>
          <w:rFonts w:ascii="Calibri" w:hAnsi="Calibri" w:cstheme="minorHAnsi"/>
          <w:i/>
          <w:iCs/>
          <w:color w:val="000000"/>
          <w:sz w:val="22"/>
          <w:szCs w:val="22"/>
          <w:lang w:eastAsia="en-US"/>
        </w:rPr>
        <w:t>High”</w:t>
      </w:r>
      <w:r>
        <w:rPr>
          <w:rFonts w:ascii="Calibri" w:hAnsi="Calibri" w:cstheme="minorHAnsi"/>
          <w:color w:val="000000"/>
          <w:sz w:val="22"/>
          <w:szCs w:val="22"/>
          <w:lang w:eastAsia="en-US"/>
        </w:rPr>
        <w:t xml:space="preserve"> in the early years to “</w:t>
      </w:r>
      <w:r>
        <w:rPr>
          <w:rFonts w:ascii="Calibri" w:hAnsi="Calibri" w:cstheme="minorHAnsi"/>
          <w:i/>
          <w:iCs/>
          <w:color w:val="000000"/>
          <w:sz w:val="22"/>
          <w:szCs w:val="22"/>
          <w:lang w:eastAsia="en-US"/>
        </w:rPr>
        <w:t>Low”</w:t>
      </w:r>
      <w:r>
        <w:rPr>
          <w:rFonts w:ascii="Calibri" w:hAnsi="Calibri" w:cstheme="minorHAnsi"/>
          <w:color w:val="000000"/>
          <w:sz w:val="22"/>
          <w:szCs w:val="22"/>
          <w:lang w:eastAsia="en-US"/>
        </w:rPr>
        <w:t xml:space="preserve"> after 2020 once the project contracted IPs to implement various components.</w:t>
      </w:r>
    </w:p>
    <w:p w14:paraId="2D76B49E" w14:textId="77777777" w:rsidR="007372B6" w:rsidRDefault="00000000">
      <w:pPr>
        <w:numPr>
          <w:ilvl w:val="0"/>
          <w:numId w:val="22"/>
        </w:numPr>
        <w:spacing w:line="312" w:lineRule="auto"/>
        <w:jc w:val="both"/>
      </w:pPr>
      <w:r>
        <w:rPr>
          <w:rFonts w:asciiTheme="minorHAnsi" w:hAnsiTheme="minorHAnsi" w:cstheme="minorHAnsi"/>
          <w:b/>
          <w:bCs/>
          <w:color w:val="000000"/>
          <w:sz w:val="22"/>
          <w:szCs w:val="22"/>
          <w:lang w:eastAsia="en-US"/>
        </w:rPr>
        <w:t>2018 PIR</w:t>
      </w:r>
      <w:r>
        <w:rPr>
          <w:rFonts w:asciiTheme="minorHAnsi" w:hAnsiTheme="minorHAnsi" w:cstheme="minorHAnsi"/>
          <w:color w:val="000000"/>
          <w:sz w:val="22"/>
          <w:szCs w:val="22"/>
          <w:lang w:eastAsia="en-US"/>
        </w:rPr>
        <w:t xml:space="preserve"> – Overall risk rating: </w:t>
      </w:r>
      <w:r>
        <w:rPr>
          <w:rFonts w:asciiTheme="minorHAnsi" w:hAnsiTheme="minorHAnsi" w:cstheme="minorHAnsi"/>
          <w:i/>
          <w:iCs/>
          <w:color w:val="000000"/>
          <w:sz w:val="22"/>
          <w:szCs w:val="22"/>
          <w:lang w:eastAsia="en-US"/>
        </w:rPr>
        <w:t>High</w:t>
      </w:r>
      <w:r>
        <w:rPr>
          <w:rFonts w:asciiTheme="minorHAnsi" w:hAnsiTheme="minorHAnsi" w:cstheme="minorHAnsi"/>
          <w:color w:val="000000"/>
          <w:sz w:val="22"/>
          <w:szCs w:val="22"/>
          <w:lang w:eastAsia="en-US"/>
        </w:rPr>
        <w:t xml:space="preserve">. Various political, environmental and operational risks noted. Discussions with UNDP and Director of Environment were undertaken to highlight the problem. </w:t>
      </w:r>
    </w:p>
    <w:p w14:paraId="3DFBD1C3" w14:textId="77777777" w:rsidR="007372B6" w:rsidRDefault="00000000">
      <w:pPr>
        <w:numPr>
          <w:ilvl w:val="0"/>
          <w:numId w:val="22"/>
        </w:numPr>
        <w:spacing w:line="312" w:lineRule="auto"/>
        <w:jc w:val="both"/>
      </w:pPr>
      <w:r>
        <w:rPr>
          <w:rFonts w:asciiTheme="minorHAnsi" w:hAnsiTheme="minorHAnsi" w:cstheme="minorHAnsi"/>
          <w:b/>
          <w:bCs/>
          <w:color w:val="000000"/>
          <w:sz w:val="22"/>
          <w:szCs w:val="22"/>
          <w:lang w:eastAsia="en-US"/>
        </w:rPr>
        <w:t>2019 PIR</w:t>
      </w:r>
      <w:r>
        <w:rPr>
          <w:rFonts w:asciiTheme="minorHAnsi" w:hAnsiTheme="minorHAnsi" w:cstheme="minorHAnsi"/>
          <w:color w:val="000000"/>
          <w:sz w:val="22"/>
          <w:szCs w:val="22"/>
          <w:lang w:eastAsia="en-US"/>
        </w:rPr>
        <w:t xml:space="preserve"> – Overall risk rating: </w:t>
      </w:r>
      <w:r>
        <w:rPr>
          <w:rFonts w:asciiTheme="minorHAnsi" w:hAnsiTheme="minorHAnsi" w:cstheme="minorHAnsi"/>
          <w:i/>
          <w:iCs/>
          <w:color w:val="000000"/>
          <w:sz w:val="22"/>
          <w:szCs w:val="22"/>
          <w:lang w:eastAsia="en-US"/>
        </w:rPr>
        <w:t>High</w:t>
      </w:r>
      <w:r>
        <w:rPr>
          <w:rFonts w:asciiTheme="minorHAnsi" w:hAnsiTheme="minorHAnsi" w:cstheme="minorHAnsi"/>
          <w:color w:val="000000"/>
          <w:sz w:val="22"/>
          <w:szCs w:val="22"/>
          <w:lang w:eastAsia="en-US"/>
        </w:rPr>
        <w:t xml:space="preserve">. Financial risks relate to low delivery rate; contractual agreements executed between UNDP and 5 NGOs and one institution. Operational risks linked </w:t>
      </w:r>
      <w:r>
        <w:rPr>
          <w:rFonts w:asciiTheme="minorHAnsi" w:hAnsiTheme="minorHAnsi" w:cstheme="minorHAnsi"/>
          <w:color w:val="000000"/>
          <w:sz w:val="22"/>
          <w:szCs w:val="22"/>
          <w:lang w:eastAsia="en-US"/>
        </w:rPr>
        <w:lastRenderedPageBreak/>
        <w:t>to delay in processing of reimbursement/ disbursement of funds from Department of Environment through Ministry of Economy to UNDP or from UNDP to Ministry of Economy to Department of Environment.  Environmental risks: bad road conditions making catchment area travel difficult.</w:t>
      </w:r>
    </w:p>
    <w:p w14:paraId="00AB00CF" w14:textId="77777777" w:rsidR="007372B6" w:rsidRDefault="00000000">
      <w:pPr>
        <w:numPr>
          <w:ilvl w:val="0"/>
          <w:numId w:val="22"/>
        </w:numPr>
        <w:spacing w:line="312" w:lineRule="auto"/>
        <w:jc w:val="both"/>
      </w:pPr>
      <w:r>
        <w:rPr>
          <w:rFonts w:asciiTheme="minorHAnsi" w:hAnsiTheme="minorHAnsi" w:cstheme="minorHAnsi"/>
          <w:b/>
          <w:bCs/>
          <w:color w:val="000000"/>
          <w:sz w:val="22"/>
          <w:szCs w:val="22"/>
          <w:lang w:eastAsia="en-US"/>
        </w:rPr>
        <w:t>2020 PIR</w:t>
      </w:r>
      <w:r>
        <w:rPr>
          <w:rFonts w:asciiTheme="minorHAnsi" w:hAnsiTheme="minorHAnsi" w:cstheme="minorHAnsi"/>
          <w:color w:val="000000"/>
          <w:sz w:val="22"/>
          <w:szCs w:val="22"/>
          <w:lang w:eastAsia="en-US"/>
        </w:rPr>
        <w:t xml:space="preserve"> – Overall risk rating: </w:t>
      </w:r>
      <w:r>
        <w:rPr>
          <w:rFonts w:asciiTheme="minorHAnsi" w:hAnsiTheme="minorHAnsi" w:cstheme="minorHAnsi"/>
          <w:i/>
          <w:iCs/>
          <w:color w:val="000000"/>
          <w:sz w:val="22"/>
          <w:szCs w:val="22"/>
          <w:lang w:eastAsia="en-US"/>
        </w:rPr>
        <w:t>Low (mostly financial)</w:t>
      </w:r>
      <w:r>
        <w:rPr>
          <w:rFonts w:asciiTheme="minorHAnsi" w:hAnsiTheme="minorHAnsi" w:cstheme="minorHAnsi"/>
          <w:color w:val="000000"/>
          <w:sz w:val="22"/>
          <w:szCs w:val="22"/>
          <w:lang w:eastAsia="en-US"/>
        </w:rPr>
        <w:t xml:space="preserve">. Financial risks: delays in the Government system to clear the disbursed funds, specifically from the Ministry of Economy to the IP, the Ministry of Waterways and Environment and to the other co-IPs. Further compounded when the Government's financial year ends, the delay is experienced for the months of June and July. Proposed that government partners make arrangements to have funds for implementation work advanced through the NGO partners. </w:t>
      </w:r>
    </w:p>
    <w:p w14:paraId="3B4AA5F2" w14:textId="77777777" w:rsidR="007372B6" w:rsidRDefault="00000000">
      <w:pPr>
        <w:numPr>
          <w:ilvl w:val="0"/>
          <w:numId w:val="22"/>
        </w:numPr>
        <w:spacing w:line="312" w:lineRule="auto"/>
        <w:jc w:val="both"/>
      </w:pPr>
      <w:r>
        <w:rPr>
          <w:rFonts w:asciiTheme="minorHAnsi" w:hAnsiTheme="minorHAnsi" w:cstheme="minorHAnsi"/>
          <w:b/>
          <w:bCs/>
          <w:color w:val="000000"/>
          <w:sz w:val="22"/>
          <w:szCs w:val="22"/>
          <w:lang w:eastAsia="en-US"/>
        </w:rPr>
        <w:t>2021 PIR</w:t>
      </w:r>
      <w:r>
        <w:rPr>
          <w:rFonts w:asciiTheme="minorHAnsi" w:hAnsiTheme="minorHAnsi" w:cstheme="minorHAnsi"/>
          <w:color w:val="000000"/>
          <w:sz w:val="22"/>
          <w:szCs w:val="22"/>
          <w:lang w:eastAsia="en-US"/>
        </w:rPr>
        <w:t xml:space="preserve"> – Overall risk rating: </w:t>
      </w:r>
      <w:r>
        <w:rPr>
          <w:rFonts w:asciiTheme="minorHAnsi" w:hAnsiTheme="minorHAnsi" w:cstheme="minorHAnsi"/>
          <w:i/>
          <w:iCs/>
          <w:color w:val="000000"/>
          <w:sz w:val="22"/>
          <w:szCs w:val="22"/>
          <w:lang w:eastAsia="en-US"/>
        </w:rPr>
        <w:t>Low</w:t>
      </w:r>
      <w:r>
        <w:rPr>
          <w:rFonts w:asciiTheme="minorHAnsi" w:hAnsiTheme="minorHAnsi" w:cstheme="minorHAnsi"/>
          <w:color w:val="000000"/>
          <w:sz w:val="22"/>
          <w:szCs w:val="22"/>
          <w:lang w:eastAsia="en-US"/>
        </w:rPr>
        <w:t xml:space="preserve">. The risk assessment included (a) slow progress in </w:t>
      </w:r>
      <w:proofErr w:type="spellStart"/>
      <w:r>
        <w:rPr>
          <w:rFonts w:asciiTheme="minorHAnsi" w:hAnsiTheme="minorHAnsi" w:cstheme="minorHAnsi"/>
          <w:color w:val="000000"/>
          <w:sz w:val="22"/>
          <w:szCs w:val="22"/>
          <w:lang w:eastAsia="en-US"/>
        </w:rPr>
        <w:t>Vuniva</w:t>
      </w:r>
      <w:proofErr w:type="spellEnd"/>
      <w:r>
        <w:rPr>
          <w:rFonts w:asciiTheme="minorHAnsi" w:hAnsiTheme="minorHAnsi" w:cstheme="minorHAnsi"/>
          <w:color w:val="000000"/>
          <w:sz w:val="22"/>
          <w:szCs w:val="22"/>
          <w:lang w:eastAsia="en-US"/>
        </w:rPr>
        <w:t xml:space="preserve"> catchment due to boundary issues, the need for more regular consultation between Fiji MCO and IP senior management, the need to increase and strength project visibility, and to prepare a realistic workplan for the remaining period, strengthen IP-RPs collaboration and discuss an </w:t>
      </w:r>
      <w:proofErr w:type="spellStart"/>
      <w:r>
        <w:rPr>
          <w:rFonts w:asciiTheme="minorHAnsi" w:hAnsiTheme="minorHAnsi" w:cstheme="minorHAnsi"/>
          <w:color w:val="000000"/>
          <w:sz w:val="22"/>
          <w:szCs w:val="22"/>
          <w:lang w:eastAsia="en-US"/>
        </w:rPr>
        <w:t>exist</w:t>
      </w:r>
      <w:proofErr w:type="spellEnd"/>
      <w:r>
        <w:rPr>
          <w:rFonts w:asciiTheme="minorHAnsi" w:hAnsiTheme="minorHAnsi" w:cstheme="minorHAnsi"/>
          <w:color w:val="000000"/>
          <w:sz w:val="22"/>
          <w:szCs w:val="22"/>
          <w:lang w:eastAsia="en-US"/>
        </w:rPr>
        <w:t xml:space="preserve"> strategy.  Low overall risk rating due to considerable amount of work completed in 2019 and 2020.</w:t>
      </w:r>
    </w:p>
    <w:p w14:paraId="39CCF6DA" w14:textId="77777777" w:rsidR="007372B6" w:rsidRDefault="00000000">
      <w:pPr>
        <w:numPr>
          <w:ilvl w:val="0"/>
          <w:numId w:val="22"/>
        </w:numPr>
        <w:spacing w:line="312" w:lineRule="auto"/>
        <w:jc w:val="both"/>
      </w:pPr>
      <w:r>
        <w:rPr>
          <w:rFonts w:asciiTheme="minorHAnsi" w:hAnsiTheme="minorHAnsi" w:cstheme="minorHAnsi"/>
          <w:b/>
          <w:bCs/>
          <w:color w:val="000000"/>
          <w:sz w:val="22"/>
          <w:szCs w:val="22"/>
          <w:lang w:eastAsia="en-US"/>
        </w:rPr>
        <w:t>2022 PIR</w:t>
      </w:r>
      <w:r>
        <w:rPr>
          <w:rFonts w:asciiTheme="minorHAnsi" w:hAnsiTheme="minorHAnsi" w:cstheme="minorHAnsi"/>
          <w:color w:val="000000"/>
          <w:sz w:val="22"/>
          <w:szCs w:val="22"/>
          <w:lang w:eastAsia="en-US"/>
        </w:rPr>
        <w:t xml:space="preserve"> – Overall risk rating: </w:t>
      </w:r>
      <w:r>
        <w:rPr>
          <w:rFonts w:asciiTheme="minorHAnsi" w:hAnsiTheme="minorHAnsi" w:cstheme="minorHAnsi"/>
          <w:i/>
          <w:iCs/>
          <w:color w:val="000000"/>
          <w:sz w:val="22"/>
          <w:szCs w:val="22"/>
          <w:lang w:eastAsia="en-US"/>
        </w:rPr>
        <w:t>Substantial</w:t>
      </w:r>
      <w:r>
        <w:rPr>
          <w:rFonts w:asciiTheme="minorHAnsi" w:hAnsiTheme="minorHAnsi" w:cstheme="minorHAnsi"/>
          <w:color w:val="000000"/>
          <w:sz w:val="22"/>
          <w:szCs w:val="22"/>
          <w:lang w:eastAsia="en-US"/>
        </w:rPr>
        <w:t>. no risk assessment information.</w:t>
      </w:r>
    </w:p>
    <w:p w14:paraId="0726E882" w14:textId="77777777" w:rsidR="007372B6" w:rsidRDefault="00000000">
      <w:pPr>
        <w:numPr>
          <w:ilvl w:val="0"/>
          <w:numId w:val="22"/>
        </w:numPr>
        <w:spacing w:line="312" w:lineRule="auto"/>
        <w:jc w:val="both"/>
      </w:pPr>
      <w:r>
        <w:rPr>
          <w:rFonts w:asciiTheme="minorHAnsi" w:hAnsiTheme="minorHAnsi" w:cstheme="minorHAnsi"/>
          <w:b/>
          <w:bCs/>
          <w:color w:val="000000"/>
          <w:sz w:val="22"/>
          <w:szCs w:val="22"/>
          <w:lang w:eastAsia="en-US"/>
        </w:rPr>
        <w:t>PSC Meetings</w:t>
      </w:r>
      <w:r>
        <w:rPr>
          <w:rFonts w:asciiTheme="minorHAnsi" w:hAnsiTheme="minorHAnsi" w:cstheme="minorHAnsi"/>
          <w:color w:val="000000"/>
          <w:sz w:val="22"/>
          <w:szCs w:val="22"/>
          <w:lang w:eastAsia="en-US"/>
        </w:rPr>
        <w:t xml:space="preserve">: The concerns over delays and administrative issues were discussed at board meetings. The recruitment problems, financial disbursement slowness, Covid disruptions and staff capacity to accelerate progress were the main areas of concern, with some efforts made to ameliorate these constraints. For example, the PSC meeting of October 2018 discussed UNDP’s concern with the low expenditure, which was due to administrative delays in vetting of </w:t>
      </w:r>
      <w:proofErr w:type="spellStart"/>
      <w:r>
        <w:rPr>
          <w:rFonts w:asciiTheme="minorHAnsi" w:hAnsiTheme="minorHAnsi" w:cstheme="minorHAnsi"/>
          <w:color w:val="000000"/>
          <w:sz w:val="22"/>
          <w:szCs w:val="22"/>
          <w:lang w:eastAsia="en-US"/>
        </w:rPr>
        <w:t>MoAs</w:t>
      </w:r>
      <w:proofErr w:type="spellEnd"/>
      <w:r>
        <w:rPr>
          <w:rFonts w:asciiTheme="minorHAnsi" w:hAnsiTheme="minorHAnsi" w:cstheme="minorHAnsi"/>
          <w:color w:val="000000"/>
          <w:sz w:val="22"/>
          <w:szCs w:val="22"/>
          <w:lang w:eastAsia="en-US"/>
        </w:rPr>
        <w:t xml:space="preserve"> with Government partners, agreements with NGOs and recruitment of staff. The need to establish a Performance Subcommittee was discussed to track the development and achievement of project milestones and to proactively review and oversee the operational and financial performance of the project. </w:t>
      </w:r>
    </w:p>
    <w:p w14:paraId="7AB2787F" w14:textId="77777777" w:rsidR="007372B6" w:rsidRDefault="007372B6">
      <w:pPr>
        <w:widowControl w:val="0"/>
        <w:rPr>
          <w:rFonts w:ascii="Calibri" w:eastAsiaTheme="minorHAnsi" w:hAnsi="Calibri"/>
          <w:bCs/>
          <w:sz w:val="22"/>
          <w:szCs w:val="28"/>
          <w:lang w:val="en-CA" w:eastAsia="en-US" w:bidi="th-TH"/>
        </w:rPr>
      </w:pPr>
    </w:p>
    <w:p w14:paraId="2BC5A5F6" w14:textId="77777777" w:rsidR="007372B6" w:rsidRDefault="00000000">
      <w:pPr>
        <w:spacing w:before="113" w:line="312" w:lineRule="auto"/>
        <w:contextualSpacing/>
        <w:jc w:val="both"/>
        <w:rPr>
          <w:rFonts w:ascii="Calibri" w:eastAsiaTheme="minorHAnsi" w:hAnsi="Calibri"/>
          <w:bCs/>
          <w:sz w:val="22"/>
          <w:szCs w:val="28"/>
          <w:lang w:val="en-CA" w:eastAsia="en-US" w:bidi="th-TH"/>
        </w:rPr>
      </w:pPr>
      <w:r>
        <w:rPr>
          <w:rFonts w:ascii="Calibri" w:eastAsiaTheme="minorHAnsi" w:hAnsi="Calibri"/>
          <w:bCs/>
          <w:sz w:val="22"/>
          <w:szCs w:val="28"/>
          <w:lang w:val="en-CA" w:eastAsia="en-US" w:bidi="th-TH"/>
        </w:rPr>
        <w:t>14. This design carried a very ambitious set of expectations for the project. The Project Document succinctly described the key challenges: “</w:t>
      </w:r>
      <w:r>
        <w:rPr>
          <w:rFonts w:ascii="Calibri" w:eastAsiaTheme="minorHAnsi" w:hAnsi="Calibri"/>
          <w:bCs/>
          <w:i/>
          <w:iCs/>
          <w:sz w:val="22"/>
          <w:szCs w:val="28"/>
          <w:lang w:val="en-CA" w:eastAsia="en-US" w:bidi="th-TH"/>
        </w:rPr>
        <w:t>The main barrier to the objectives of the project being achieved will probably be institutional: the Fijian Government has yet to implement such a comprehensive, multidisciplinary, and geographically dispersed project. This R2R project will be challenging to implement and the lack of experience in such projects is a risk that can only be addressed through careful detailed planning, excellent collaboration and integration of Government department and NGO programs, recruitment of highly capable personnel and ability to adapt and learn quickly during project implementation. A further barrier is climate change which needs to be dealt with by effective, coordinated and concerted international action, but the project design has adopted implementation strategies and approaches which will go a long way to minimizing impacts on the project</w:t>
      </w:r>
      <w:r>
        <w:rPr>
          <w:rFonts w:ascii="Calibri" w:eastAsiaTheme="minorHAnsi" w:hAnsi="Calibri"/>
          <w:bCs/>
          <w:sz w:val="22"/>
          <w:szCs w:val="28"/>
          <w:lang w:val="en-CA" w:eastAsia="en-US" w:bidi="th-TH"/>
        </w:rPr>
        <w:t>.”</w:t>
      </w:r>
      <w:r>
        <w:rPr>
          <w:rStyle w:val="FootnoteAnchor"/>
          <w:rFonts w:ascii="Calibri" w:eastAsiaTheme="minorHAnsi" w:hAnsi="Calibri"/>
          <w:bCs/>
          <w:sz w:val="22"/>
          <w:szCs w:val="28"/>
          <w:lang w:val="en-CA" w:eastAsia="en-US" w:bidi="th-TH"/>
        </w:rPr>
        <w:footnoteReference w:id="23"/>
      </w:r>
      <w:r>
        <w:rPr>
          <w:rFonts w:ascii="Calibri" w:eastAsiaTheme="minorHAnsi" w:hAnsi="Calibri"/>
          <w:bCs/>
          <w:sz w:val="22"/>
          <w:szCs w:val="28"/>
          <w:lang w:val="en-CA" w:eastAsia="en-US" w:bidi="th-TH"/>
        </w:rPr>
        <w:t xml:space="preserve"> The most critical assumptions affecting implementation were that (a) the government and UNDP Country Office </w:t>
      </w:r>
      <w:r>
        <w:rPr>
          <w:rFonts w:ascii="Calibri" w:eastAsiaTheme="minorHAnsi" w:hAnsi="Calibri"/>
          <w:bCs/>
          <w:sz w:val="22"/>
          <w:szCs w:val="28"/>
          <w:lang w:val="en-CA" w:eastAsia="en-US" w:bidi="th-TH"/>
        </w:rPr>
        <w:lastRenderedPageBreak/>
        <w:t>would have the capacity to jointly coordinate and manage the array of implementing partners from government, NGOs and communities, and (b) a pandemic would not have the disruptive effect on operations that it did.</w:t>
      </w:r>
    </w:p>
    <w:p w14:paraId="587C91BA" w14:textId="77777777" w:rsidR="007372B6" w:rsidRDefault="007372B6">
      <w:pPr>
        <w:spacing w:line="312" w:lineRule="auto"/>
        <w:jc w:val="both"/>
      </w:pPr>
    </w:p>
    <w:p w14:paraId="3DEF71B9" w14:textId="77777777" w:rsidR="007372B6" w:rsidRDefault="00000000">
      <w:pPr>
        <w:contextualSpacing/>
        <w:rPr>
          <w:rFonts w:ascii="Calibri" w:eastAsiaTheme="minorHAnsi" w:hAnsi="Calibri"/>
          <w:b/>
          <w:bCs/>
          <w:color w:val="000000"/>
          <w:sz w:val="22"/>
          <w:szCs w:val="28"/>
          <w:lang w:val="en-CA" w:eastAsia="en-US" w:bidi="th-TH"/>
        </w:rPr>
      </w:pPr>
      <w:r>
        <w:rPr>
          <w:rFonts w:ascii="Calibri" w:eastAsiaTheme="minorHAnsi" w:hAnsi="Calibri"/>
          <w:b/>
          <w:bCs/>
          <w:color w:val="000000"/>
          <w:sz w:val="22"/>
          <w:szCs w:val="28"/>
          <w:lang w:val="en-CA" w:eastAsia="en-US" w:bidi="th-TH"/>
        </w:rPr>
        <w:t>Lessons from other relevant projects (</w:t>
      </w:r>
      <w:proofErr w:type="gramStart"/>
      <w:r>
        <w:rPr>
          <w:rFonts w:ascii="Calibri" w:eastAsiaTheme="minorHAnsi" w:hAnsi="Calibri"/>
          <w:b/>
          <w:bCs/>
          <w:color w:val="000000"/>
          <w:sz w:val="22"/>
          <w:szCs w:val="28"/>
          <w:lang w:val="en-CA" w:eastAsia="en-US" w:bidi="th-TH"/>
        </w:rPr>
        <w:t>e.g.</w:t>
      </w:r>
      <w:proofErr w:type="gramEnd"/>
      <w:r>
        <w:rPr>
          <w:rFonts w:ascii="Calibri" w:eastAsiaTheme="minorHAnsi" w:hAnsi="Calibri"/>
          <w:b/>
          <w:bCs/>
          <w:color w:val="000000"/>
          <w:sz w:val="22"/>
          <w:szCs w:val="28"/>
          <w:lang w:val="en-CA" w:eastAsia="en-US" w:bidi="th-TH"/>
        </w:rPr>
        <w:t xml:space="preserve"> same focal area) incorporated into project design</w:t>
      </w:r>
    </w:p>
    <w:p w14:paraId="25EAA84A" w14:textId="77777777" w:rsidR="007372B6" w:rsidRDefault="007372B6">
      <w:pPr>
        <w:tabs>
          <w:tab w:val="left" w:pos="284"/>
        </w:tabs>
        <w:contextualSpacing/>
        <w:rPr>
          <w:rFonts w:ascii="Calibri" w:eastAsiaTheme="minorHAnsi" w:hAnsi="Calibri"/>
          <w:color w:val="000000"/>
          <w:sz w:val="22"/>
          <w:szCs w:val="28"/>
          <w:lang w:val="en-CA" w:eastAsia="en-US" w:bidi="th-TH"/>
        </w:rPr>
      </w:pPr>
    </w:p>
    <w:p w14:paraId="3646EFCE" w14:textId="77777777" w:rsidR="007372B6" w:rsidRDefault="00000000">
      <w:pPr>
        <w:tabs>
          <w:tab w:val="left" w:pos="284"/>
        </w:tabs>
        <w:spacing w:after="113" w:line="312" w:lineRule="auto"/>
        <w:contextualSpacing/>
        <w:rPr>
          <w:rFonts w:ascii="Calibri" w:eastAsiaTheme="minorHAnsi" w:hAnsi="Calibri"/>
          <w:color w:val="000000"/>
          <w:sz w:val="22"/>
          <w:szCs w:val="28"/>
          <w:shd w:val="clear" w:color="auto" w:fill="00FF00"/>
          <w:lang w:val="en-CA" w:eastAsia="en-US" w:bidi="th-TH"/>
        </w:rPr>
      </w:pPr>
      <w:r>
        <w:rPr>
          <w:rFonts w:ascii="Calibri" w:eastAsiaTheme="minorHAnsi" w:hAnsi="Calibri"/>
          <w:color w:val="000000"/>
          <w:sz w:val="22"/>
          <w:szCs w:val="28"/>
          <w:lang w:val="en-CA" w:eastAsia="en-US" w:bidi="th-TH"/>
        </w:rPr>
        <w:t>15. The Project Document identified various projects in Fiji that were used in the design of the R2R project:</w:t>
      </w:r>
    </w:p>
    <w:p w14:paraId="5A6A9244" w14:textId="0C4271E7" w:rsidR="007372B6" w:rsidRDefault="00000000">
      <w:pPr>
        <w:numPr>
          <w:ilvl w:val="0"/>
          <w:numId w:val="15"/>
        </w:numPr>
        <w:tabs>
          <w:tab w:val="clear" w:pos="720"/>
          <w:tab w:val="left" w:pos="284"/>
        </w:tabs>
        <w:spacing w:after="113"/>
        <w:contextualSpacing/>
        <w:jc w:val="both"/>
        <w:rPr>
          <w:rFonts w:ascii="Calibri" w:eastAsiaTheme="minorHAnsi" w:hAnsi="Calibri"/>
          <w:color w:val="000000"/>
          <w:sz w:val="22"/>
          <w:szCs w:val="28"/>
          <w:shd w:val="clear" w:color="auto" w:fill="00FF00"/>
          <w:lang w:val="en-CA" w:eastAsia="en-US" w:bidi="th-TH"/>
        </w:rPr>
      </w:pPr>
      <w:r>
        <w:rPr>
          <w:rFonts w:ascii="Calibri" w:eastAsiaTheme="minorHAnsi" w:hAnsi="Calibri"/>
          <w:color w:val="000000"/>
          <w:sz w:val="22"/>
          <w:szCs w:val="28"/>
          <w:lang w:val="en-CA" w:eastAsia="en-US" w:bidi="th-TH"/>
        </w:rPr>
        <w:t xml:space="preserve">The Pacific IWRM Demonstration Project involving integrated land and catchment management, and establishment of the </w:t>
      </w:r>
      <w:proofErr w:type="spellStart"/>
      <w:r>
        <w:rPr>
          <w:rFonts w:ascii="Calibri" w:eastAsiaTheme="minorHAnsi" w:hAnsi="Calibri"/>
          <w:color w:val="000000"/>
          <w:sz w:val="22"/>
          <w:szCs w:val="28"/>
          <w:lang w:val="en-CA" w:eastAsia="en-US" w:bidi="th-TH"/>
        </w:rPr>
        <w:t>Nadi</w:t>
      </w:r>
      <w:proofErr w:type="spellEnd"/>
      <w:r>
        <w:rPr>
          <w:rFonts w:ascii="Calibri" w:eastAsiaTheme="minorHAnsi" w:hAnsi="Calibri"/>
          <w:color w:val="000000"/>
          <w:sz w:val="22"/>
          <w:szCs w:val="28"/>
          <w:lang w:val="en-CA" w:eastAsia="en-US" w:bidi="th-TH"/>
        </w:rPr>
        <w:t xml:space="preserve"> Basin Catchment Committee (NBCC) provided a useful model and lessons for the planned CMCs for the R2R project, particularly for the governance structure to oversee and coordinate the implementation activities. A key lesson related to the lack of robust coordination arrangements and the need for capacity building to establish improved linkages between sectors, both formal and information including at the local and watershed planning scale</w:t>
      </w:r>
      <w:r w:rsidR="000B40E8">
        <w:rPr>
          <w:rFonts w:ascii="Calibri" w:eastAsiaTheme="minorHAnsi" w:hAnsi="Calibri"/>
          <w:color w:val="000000"/>
          <w:sz w:val="22"/>
          <w:szCs w:val="28"/>
          <w:lang w:val="en-CA" w:eastAsia="en-US" w:bidi="th-TH"/>
        </w:rPr>
        <w:t>.</w:t>
      </w:r>
      <w:r w:rsidR="000B40E8">
        <w:rPr>
          <w:rStyle w:val="FootnoteReference"/>
          <w:rFonts w:ascii="Calibri" w:eastAsiaTheme="minorHAnsi" w:hAnsi="Calibri"/>
          <w:color w:val="000000"/>
          <w:sz w:val="22"/>
          <w:szCs w:val="28"/>
          <w:lang w:val="en-CA" w:eastAsia="en-US" w:bidi="th-TH"/>
        </w:rPr>
        <w:footnoteReference w:id="24"/>
      </w:r>
      <w:r w:rsidR="000B40E8">
        <w:rPr>
          <w:rFonts w:ascii="Calibri" w:eastAsiaTheme="minorHAnsi" w:hAnsi="Calibri"/>
          <w:color w:val="000000"/>
          <w:sz w:val="22"/>
          <w:szCs w:val="28"/>
          <w:lang w:val="en-CA" w:eastAsia="en-US" w:bidi="th-TH"/>
        </w:rPr>
        <w:t xml:space="preserve"> </w:t>
      </w:r>
    </w:p>
    <w:p w14:paraId="457A3224" w14:textId="77777777" w:rsidR="007372B6" w:rsidRDefault="00000000">
      <w:pPr>
        <w:numPr>
          <w:ilvl w:val="0"/>
          <w:numId w:val="15"/>
        </w:numPr>
        <w:tabs>
          <w:tab w:val="clear" w:pos="720"/>
          <w:tab w:val="left" w:pos="284"/>
        </w:tabs>
        <w:spacing w:after="57"/>
        <w:contextualSpacing/>
        <w:jc w:val="both"/>
        <w:rPr>
          <w:rFonts w:ascii="Calibri" w:eastAsiaTheme="minorHAnsi" w:hAnsi="Calibri"/>
          <w:color w:val="000000"/>
          <w:sz w:val="22"/>
          <w:szCs w:val="28"/>
          <w:shd w:val="clear" w:color="auto" w:fill="00FF00"/>
          <w:lang w:val="en-CA" w:eastAsia="en-US" w:bidi="th-TH"/>
        </w:rPr>
      </w:pPr>
      <w:r>
        <w:rPr>
          <w:rFonts w:ascii="Calibri" w:hAnsi="Calibri"/>
          <w:sz w:val="22"/>
        </w:rPr>
        <w:t xml:space="preserve">Community-based fisheries management projects implemented in Fiji in the 1990s were successful at integrating stakeholders into the management and monitoring of their resources, and these networks helped catalyze the spread of the Locally Managed Marine Area (LMMA) ‘adaptive co-management’ approach, which was successfully pioneered in the </w:t>
      </w:r>
      <w:proofErr w:type="spellStart"/>
      <w:r>
        <w:rPr>
          <w:rFonts w:ascii="Calibri" w:hAnsi="Calibri"/>
          <w:sz w:val="22"/>
        </w:rPr>
        <w:t>Kubulau</w:t>
      </w:r>
      <w:proofErr w:type="spellEnd"/>
      <w:r>
        <w:rPr>
          <w:rFonts w:ascii="Calibri" w:hAnsi="Calibri"/>
          <w:sz w:val="22"/>
        </w:rPr>
        <w:t xml:space="preserve"> District with the involvement of local Fijian communities and </w:t>
      </w:r>
      <w:proofErr w:type="spellStart"/>
      <w:r>
        <w:rPr>
          <w:rFonts w:ascii="Calibri" w:hAnsi="Calibri"/>
          <w:i/>
          <w:sz w:val="22"/>
        </w:rPr>
        <w:t>qoliqolis</w:t>
      </w:r>
      <w:proofErr w:type="spellEnd"/>
      <w:r>
        <w:rPr>
          <w:rFonts w:ascii="Calibri" w:hAnsi="Calibri"/>
          <w:sz w:val="22"/>
        </w:rPr>
        <w:t>,</w:t>
      </w:r>
      <w:r>
        <w:rPr>
          <w:rFonts w:ascii="Calibri" w:hAnsi="Calibri"/>
          <w:i/>
          <w:sz w:val="22"/>
        </w:rPr>
        <w:t xml:space="preserve"> </w:t>
      </w:r>
      <w:r>
        <w:rPr>
          <w:rFonts w:ascii="Calibri" w:hAnsi="Calibri"/>
          <w:sz w:val="22"/>
        </w:rPr>
        <w:t xml:space="preserve">conservation NGOs such as WCS, FLMMA secretariat, WWF, CORAL, </w:t>
      </w:r>
      <w:proofErr w:type="spellStart"/>
      <w:r>
        <w:rPr>
          <w:rFonts w:ascii="Calibri" w:hAnsi="Calibri"/>
          <w:sz w:val="22"/>
        </w:rPr>
        <w:t>Seaweb</w:t>
      </w:r>
      <w:proofErr w:type="spellEnd"/>
      <w:r>
        <w:rPr>
          <w:rFonts w:ascii="Calibri" w:hAnsi="Calibri"/>
          <w:sz w:val="22"/>
        </w:rPr>
        <w:t xml:space="preserve"> Asia Pacific, IUCN and PCDF. This approach involved a highly consultative review of protected area boundaries and management rules in order to enhance management effectiveness and improve resilience to climate change.</w:t>
      </w:r>
    </w:p>
    <w:p w14:paraId="7BE25715" w14:textId="77777777" w:rsidR="007372B6" w:rsidRDefault="00000000">
      <w:pPr>
        <w:numPr>
          <w:ilvl w:val="0"/>
          <w:numId w:val="15"/>
        </w:numPr>
        <w:tabs>
          <w:tab w:val="clear" w:pos="720"/>
          <w:tab w:val="left" w:pos="284"/>
        </w:tabs>
        <w:spacing w:before="113"/>
        <w:contextualSpacing/>
        <w:jc w:val="both"/>
        <w:rPr>
          <w:rFonts w:ascii="Calibri" w:eastAsiaTheme="minorHAnsi" w:hAnsi="Calibri"/>
          <w:color w:val="000000"/>
          <w:sz w:val="22"/>
          <w:szCs w:val="28"/>
          <w:shd w:val="clear" w:color="auto" w:fill="00FF00"/>
          <w:lang w:val="en-CA" w:eastAsia="en-US" w:bidi="th-TH"/>
        </w:rPr>
      </w:pPr>
      <w:r>
        <w:rPr>
          <w:rFonts w:ascii="Calibri" w:hAnsi="Calibri"/>
          <w:sz w:val="22"/>
        </w:rPr>
        <w:t xml:space="preserve">In forestry, the 2005 Rural Land Use Policy (RLUP) provided an umbrella framework for forest policy with regard to forest land use planning and sustainable use of forest resources. </w:t>
      </w:r>
      <w:r>
        <w:rPr>
          <w:rStyle w:val="FootnoteAnchor"/>
          <w:rFonts w:ascii="Calibri" w:hAnsi="Calibri"/>
          <w:sz w:val="22"/>
        </w:rPr>
        <w:footnoteReference w:id="25"/>
      </w:r>
      <w:r>
        <w:rPr>
          <w:rFonts w:ascii="Calibri" w:hAnsi="Calibri"/>
          <w:sz w:val="22"/>
        </w:rPr>
        <w:t xml:space="preserve"> </w:t>
      </w:r>
    </w:p>
    <w:p w14:paraId="3533AFD3" w14:textId="77777777" w:rsidR="007372B6" w:rsidRDefault="00000000">
      <w:pPr>
        <w:tabs>
          <w:tab w:val="left" w:pos="284"/>
        </w:tabs>
        <w:spacing w:line="312" w:lineRule="auto"/>
        <w:contextualSpacing/>
        <w:rPr>
          <w:rFonts w:ascii="Calibri" w:hAnsi="Calibri"/>
          <w:sz w:val="22"/>
        </w:rPr>
      </w:pPr>
      <w:r>
        <w:rPr>
          <w:rFonts w:ascii="Calibri" w:hAnsi="Calibri"/>
          <w:sz w:val="22"/>
          <w:shd w:val="clear" w:color="auto" w:fill="00FF00"/>
        </w:rPr>
        <w:t xml:space="preserve"> </w:t>
      </w:r>
    </w:p>
    <w:p w14:paraId="1AECFA69" w14:textId="77777777" w:rsidR="007372B6" w:rsidRDefault="00000000">
      <w:pPr>
        <w:spacing w:after="113" w:line="312" w:lineRule="auto"/>
        <w:contextualSpacing/>
        <w:rPr>
          <w:rFonts w:ascii="Calibri" w:eastAsiaTheme="minorHAnsi" w:hAnsi="Calibri"/>
          <w:b/>
          <w:bCs/>
          <w:color w:val="000000"/>
          <w:sz w:val="22"/>
          <w:szCs w:val="28"/>
          <w:lang w:val="en-CA" w:eastAsia="en-US" w:bidi="th-TH"/>
        </w:rPr>
      </w:pPr>
      <w:r>
        <w:rPr>
          <w:rFonts w:ascii="Calibri" w:eastAsiaTheme="minorHAnsi" w:hAnsi="Calibri"/>
          <w:b/>
          <w:bCs/>
          <w:color w:val="000000"/>
          <w:sz w:val="22"/>
          <w:szCs w:val="28"/>
          <w:lang w:val="en-CA" w:eastAsia="en-US" w:bidi="th-TH"/>
        </w:rPr>
        <w:t>Planned stakeholder participation</w:t>
      </w:r>
    </w:p>
    <w:p w14:paraId="104F4FEF" w14:textId="77777777" w:rsidR="007372B6" w:rsidRDefault="00000000">
      <w:pPr>
        <w:spacing w:before="113" w:line="312" w:lineRule="auto"/>
        <w:contextualSpacing/>
        <w:jc w:val="both"/>
        <w:rPr>
          <w:rFonts w:ascii="Calibri" w:hAnsi="Calibri"/>
          <w:bCs/>
          <w:sz w:val="22"/>
          <w:szCs w:val="22"/>
          <w:lang w:val="en-CA"/>
        </w:rPr>
      </w:pPr>
      <w:r>
        <w:rPr>
          <w:rFonts w:ascii="Calibri" w:hAnsi="Calibri"/>
          <w:bCs/>
          <w:color w:val="000000"/>
          <w:sz w:val="22"/>
          <w:szCs w:val="22"/>
          <w:lang w:val="en-CA" w:bidi="th-TH"/>
        </w:rPr>
        <w:t>16. Project preparation benefited from extensive national and local input ranging from consultations with Fijian Government ministries, communities in the six catchments and numerous other stakeholders in private and NGO sectors. National implementing partners in the ministries of environment, forestry, agriculture and fisheries participated in providing baseline biological and socio-economic studies and other project inputs in a variety of relevant areas (</w:t>
      </w:r>
      <w:r>
        <w:rPr>
          <w:rFonts w:ascii="Calibri" w:hAnsi="Calibri"/>
          <w:bCs/>
          <w:color w:val="000000"/>
          <w:sz w:val="22"/>
          <w:szCs w:val="22"/>
          <w:lang w:val="en-CA"/>
        </w:rPr>
        <w:t>biodiversity, land degradation, forest management, hydrology, climate change, livelihoods, gender</w:t>
      </w:r>
      <w:r>
        <w:rPr>
          <w:rFonts w:ascii="Calibri" w:hAnsi="Calibri"/>
          <w:bCs/>
          <w:color w:val="000000"/>
          <w:sz w:val="22"/>
          <w:szCs w:val="22"/>
          <w:lang w:val="en-CA" w:bidi="th-TH"/>
        </w:rPr>
        <w:t xml:space="preserve">). International and national NGOs provided much needed guidance </w:t>
      </w:r>
      <w:r>
        <w:rPr>
          <w:rFonts w:ascii="Calibri" w:hAnsi="Calibri"/>
          <w:bCs/>
          <w:color w:val="000000"/>
          <w:sz w:val="22"/>
          <w:szCs w:val="22"/>
          <w:lang w:val="en-CA"/>
        </w:rPr>
        <w:t xml:space="preserve">in the catchment areas where they had been working for years and sometimes decades establishing trust and building capacity. However, leadership in the communities ended up being done on an ad hoc basis, largely because the project was implemented in such a hurried manner that the NGO/IPs did not have time to sequence activities properly or build the requisite capacity at the local level. </w:t>
      </w:r>
    </w:p>
    <w:p w14:paraId="4DBA49BB" w14:textId="77777777" w:rsidR="007372B6" w:rsidRDefault="00000000">
      <w:pPr>
        <w:contextualSpacing/>
        <w:rPr>
          <w:rFonts w:ascii="Calibri" w:hAnsi="Calibri"/>
          <w:bCs/>
          <w:sz w:val="22"/>
          <w:szCs w:val="22"/>
          <w:lang w:val="en-CA"/>
        </w:rPr>
      </w:pPr>
      <w:r>
        <w:rPr>
          <w:rFonts w:ascii="Calibri" w:hAnsi="Calibri"/>
          <w:b/>
          <w:bCs/>
          <w:color w:val="000000"/>
          <w:sz w:val="22"/>
          <w:szCs w:val="22"/>
          <w:lang w:val="en-CA" w:bidi="th-TH"/>
        </w:rPr>
        <w:t xml:space="preserve"> </w:t>
      </w:r>
    </w:p>
    <w:p w14:paraId="7EAB76D4" w14:textId="77777777" w:rsidR="007372B6" w:rsidRDefault="00000000">
      <w:pPr>
        <w:spacing w:line="312" w:lineRule="auto"/>
        <w:contextualSpacing/>
        <w:rPr>
          <w:rFonts w:ascii="Calibri" w:eastAsiaTheme="minorHAnsi" w:hAnsi="Calibri"/>
          <w:b/>
          <w:bCs/>
          <w:color w:val="000000"/>
          <w:sz w:val="22"/>
          <w:szCs w:val="28"/>
          <w:lang w:val="en-CA" w:eastAsia="en-US" w:bidi="th-TH"/>
        </w:rPr>
      </w:pPr>
      <w:r>
        <w:rPr>
          <w:rFonts w:ascii="Calibri" w:eastAsiaTheme="minorHAnsi" w:hAnsi="Calibri"/>
          <w:b/>
          <w:bCs/>
          <w:color w:val="000000"/>
          <w:sz w:val="22"/>
          <w:szCs w:val="28"/>
          <w:lang w:val="en-CA" w:eastAsia="en-US" w:bidi="th-TH"/>
        </w:rPr>
        <w:t>Linkages between project and other interventions within the sector</w:t>
      </w:r>
    </w:p>
    <w:p w14:paraId="12FA9270" w14:textId="44793BD2" w:rsidR="007372B6" w:rsidRDefault="00000000">
      <w:pPr>
        <w:tabs>
          <w:tab w:val="left" w:pos="284"/>
        </w:tabs>
        <w:spacing w:beforeAutospacing="1" w:afterAutospacing="1" w:line="312" w:lineRule="auto"/>
        <w:contextualSpacing/>
        <w:jc w:val="both"/>
        <w:rPr>
          <w:sz w:val="22"/>
          <w:szCs w:val="22"/>
        </w:rPr>
      </w:pPr>
      <w:r>
        <w:rPr>
          <w:rFonts w:ascii="Calibri" w:hAnsi="Calibri"/>
          <w:bCs/>
          <w:sz w:val="22"/>
          <w:szCs w:val="22"/>
          <w:lang w:val="en-CA"/>
        </w:rPr>
        <w:lastRenderedPageBreak/>
        <w:t>17. The Project Document (2014) listed at least 20 related projects in Fiji that touch on aspects of the R2R project. The Pacific Mangroves Initiative emphasized the need to conserve mangroves as key to coastal ecosystems and to formalize regional cooperation on their conservation and sustainable use. Eight projects in b</w:t>
      </w:r>
      <w:r>
        <w:rPr>
          <w:rFonts w:ascii="Calibri" w:hAnsi="Calibri"/>
          <w:sz w:val="22"/>
          <w:szCs w:val="22"/>
          <w:lang w:val="en-CA"/>
        </w:rPr>
        <w:t xml:space="preserve">iodiversity involved promoting sustainable fisheries, building community governance systems, enhancing access to food, income generating opportunities and livelihoods (funded by NZ </w:t>
      </w:r>
      <w:proofErr w:type="gramStart"/>
      <w:r>
        <w:rPr>
          <w:rFonts w:ascii="Calibri" w:hAnsi="Calibri"/>
          <w:sz w:val="22"/>
          <w:szCs w:val="22"/>
          <w:lang w:val="en-CA"/>
        </w:rPr>
        <w:t>Aid,  Australian</w:t>
      </w:r>
      <w:proofErr w:type="gramEnd"/>
      <w:r>
        <w:rPr>
          <w:rFonts w:ascii="Calibri" w:hAnsi="Calibri"/>
          <w:sz w:val="22"/>
          <w:szCs w:val="22"/>
          <w:lang w:val="en-CA"/>
        </w:rPr>
        <w:t xml:space="preserve"> Aid and David &amp; Lucille Packard Foundation to WWF). Six projects in forestry involving environment reforestation, SFM and REDD+ and forest management FSC certification with the Ministry of Forestry and the private sector. The Project Document also lists the small number of integrated catchment management approaches and studies that have been undertaken in Fiji by the </w:t>
      </w:r>
      <w:proofErr w:type="spellStart"/>
      <w:r>
        <w:rPr>
          <w:rFonts w:ascii="Calibri" w:hAnsi="Calibri"/>
          <w:sz w:val="22"/>
          <w:szCs w:val="22"/>
          <w:lang w:val="en-CA"/>
        </w:rPr>
        <w:t>DoA</w:t>
      </w:r>
      <w:proofErr w:type="spellEnd"/>
      <w:r>
        <w:rPr>
          <w:rFonts w:ascii="Calibri" w:hAnsi="Calibri"/>
          <w:sz w:val="22"/>
          <w:szCs w:val="22"/>
          <w:lang w:val="en-CA"/>
        </w:rPr>
        <w:t xml:space="preserve"> Land Use Planning group, Ecosystem based management/R2R planning in </w:t>
      </w:r>
      <w:proofErr w:type="spellStart"/>
      <w:r>
        <w:rPr>
          <w:rFonts w:ascii="Calibri" w:hAnsi="Calibri"/>
          <w:sz w:val="22"/>
          <w:szCs w:val="22"/>
          <w:lang w:val="en-CA"/>
        </w:rPr>
        <w:t>Kubulau</w:t>
      </w:r>
      <w:proofErr w:type="spellEnd"/>
      <w:r>
        <w:rPr>
          <w:rFonts w:ascii="Calibri" w:hAnsi="Calibri"/>
          <w:sz w:val="22"/>
          <w:szCs w:val="22"/>
          <w:lang w:val="en-CA"/>
        </w:rPr>
        <w:t xml:space="preserve">, Bua Province, Vanua </w:t>
      </w:r>
      <w:proofErr w:type="spellStart"/>
      <w:r>
        <w:rPr>
          <w:rFonts w:ascii="Calibri" w:hAnsi="Calibri"/>
          <w:sz w:val="22"/>
          <w:szCs w:val="22"/>
          <w:lang w:val="en-CA"/>
        </w:rPr>
        <w:t>Levu</w:t>
      </w:r>
      <w:proofErr w:type="spellEnd"/>
      <w:r>
        <w:rPr>
          <w:rFonts w:ascii="Calibri" w:hAnsi="Calibri"/>
          <w:sz w:val="22"/>
          <w:szCs w:val="22"/>
          <w:lang w:val="en-CA"/>
        </w:rPr>
        <w:t xml:space="preserve"> (WCS), COWRIE/USP and CI work in Ra Province, and </w:t>
      </w:r>
      <w:proofErr w:type="spellStart"/>
      <w:r>
        <w:rPr>
          <w:rFonts w:ascii="Calibri" w:hAnsi="Calibri"/>
          <w:sz w:val="22"/>
          <w:szCs w:val="22"/>
          <w:lang w:val="en-CA"/>
        </w:rPr>
        <w:t>Nadi</w:t>
      </w:r>
      <w:proofErr w:type="spellEnd"/>
      <w:r>
        <w:rPr>
          <w:rFonts w:ascii="Calibri" w:hAnsi="Calibri"/>
          <w:sz w:val="22"/>
          <w:szCs w:val="22"/>
          <w:lang w:val="en-CA"/>
        </w:rPr>
        <w:t xml:space="preserve"> River Basin Integrated Water Resources Management Demonstration Project (2014)</w:t>
      </w:r>
      <w:r>
        <w:rPr>
          <w:rFonts w:ascii="Calibri" w:hAnsi="Calibri"/>
          <w:color w:val="000000"/>
          <w:sz w:val="22"/>
          <w:szCs w:val="22"/>
        </w:rPr>
        <w:t xml:space="preserve">; and </w:t>
      </w:r>
      <w:r>
        <w:rPr>
          <w:rFonts w:ascii="Calibri" w:hAnsi="Calibri"/>
          <w:color w:val="000000"/>
          <w:sz w:val="22"/>
          <w:szCs w:val="22"/>
          <w:lang w:val="en-CA"/>
        </w:rPr>
        <w:t xml:space="preserve">projects managed by the Ministry of Foreign Affairs, Ministry of Strategic Planning and National Development, Ministry of Infrastructure and Works, Local Government, Housing &amp; Environment and USP-IAS. </w:t>
      </w:r>
      <w:r>
        <w:rPr>
          <w:rFonts w:ascii="Calibri" w:hAnsi="Calibri"/>
          <w:sz w:val="22"/>
          <w:szCs w:val="22"/>
          <w:lang w:val="en-CA"/>
        </w:rPr>
        <w:t xml:space="preserve"> </w:t>
      </w:r>
    </w:p>
    <w:p w14:paraId="31D08A10" w14:textId="77777777" w:rsidR="007372B6" w:rsidRDefault="00000000">
      <w:pPr>
        <w:pStyle w:val="BodyText"/>
        <w:tabs>
          <w:tab w:val="left" w:pos="284"/>
        </w:tabs>
        <w:spacing w:beforeAutospacing="1" w:afterAutospacing="1" w:line="312" w:lineRule="auto"/>
        <w:contextualSpacing/>
        <w:jc w:val="both"/>
        <w:rPr>
          <w:sz w:val="22"/>
          <w:szCs w:val="22"/>
          <w:lang w:val="en-CA"/>
        </w:rPr>
      </w:pPr>
      <w:r>
        <w:rPr>
          <w:rFonts w:asciiTheme="minorHAnsi" w:hAnsiTheme="minorHAnsi" w:cstheme="minorHAnsi"/>
          <w:sz w:val="22"/>
          <w:szCs w:val="22"/>
        </w:rPr>
        <w:t>18. There are also new climate change programs that could be linked to Fiji’s R2R projects. For example, the 2021 agreement with the World Bank Forest Carbon Partnership Facility provides US$26M in results-based payments for increasing carbon sequestration and reducing emissions from deforestation and forest degradation.</w:t>
      </w:r>
    </w:p>
    <w:p w14:paraId="284D4435" w14:textId="77777777" w:rsidR="007372B6" w:rsidRDefault="00000000">
      <w:pPr>
        <w:widowControl w:val="0"/>
        <w:tabs>
          <w:tab w:val="left" w:pos="284"/>
        </w:tabs>
        <w:spacing w:line="312" w:lineRule="auto"/>
      </w:pPr>
      <w:r>
        <w:rPr>
          <w:rFonts w:asciiTheme="minorHAnsi" w:hAnsiTheme="minorHAnsi" w:cstheme="minorHAnsi"/>
          <w:b/>
          <w:bCs/>
          <w:sz w:val="22"/>
          <w:szCs w:val="22"/>
          <w:lang w:val="en-CA"/>
        </w:rPr>
        <w:t>Gender responsiveness of project design</w:t>
      </w:r>
    </w:p>
    <w:p w14:paraId="373E682A" w14:textId="77777777" w:rsidR="007372B6" w:rsidRDefault="00000000">
      <w:pPr>
        <w:widowControl w:val="0"/>
        <w:tabs>
          <w:tab w:val="left" w:pos="284"/>
        </w:tabs>
        <w:spacing w:line="312" w:lineRule="auto"/>
        <w:jc w:val="both"/>
        <w:rPr>
          <w:rFonts w:ascii="Calibri" w:eastAsia="Arial Narrow" w:hAnsi="Calibri" w:cstheme="minorHAnsi"/>
          <w:color w:val="000000"/>
          <w:sz w:val="22"/>
          <w:szCs w:val="22"/>
          <w:lang w:val="en-CA"/>
        </w:rPr>
      </w:pPr>
      <w:r>
        <w:rPr>
          <w:rFonts w:ascii="Calibri" w:eastAsia="Arial Narrow" w:hAnsi="Calibri" w:cstheme="minorHAnsi"/>
          <w:color w:val="000000"/>
          <w:sz w:val="22"/>
          <w:szCs w:val="22"/>
          <w:lang w:val="en-CA"/>
        </w:rPr>
        <w:t xml:space="preserve">19. The Project Document outlined a range of gender issues that related primarily to the catchment areas. Section 1.3.1, </w:t>
      </w:r>
      <w:r>
        <w:rPr>
          <w:rFonts w:ascii="Calibri" w:eastAsia="Arial Narrow" w:hAnsi="Calibri" w:cstheme="minorHAnsi"/>
          <w:i/>
          <w:iCs/>
          <w:color w:val="000000"/>
          <w:sz w:val="22"/>
          <w:szCs w:val="22"/>
          <w:lang w:val="en-CA"/>
        </w:rPr>
        <w:t>Demographic and Employment Profile by Catchment</w:t>
      </w:r>
      <w:r>
        <w:rPr>
          <w:rFonts w:ascii="Calibri" w:eastAsia="Arial Narrow" w:hAnsi="Calibri" w:cstheme="minorHAnsi"/>
          <w:color w:val="000000"/>
          <w:sz w:val="22"/>
          <w:szCs w:val="22"/>
          <w:lang w:val="en-CA"/>
        </w:rPr>
        <w:t xml:space="preserve"> (</w:t>
      </w:r>
      <w:proofErr w:type="spellStart"/>
      <w:r>
        <w:rPr>
          <w:rFonts w:ascii="Calibri" w:eastAsia="Arial Narrow" w:hAnsi="Calibri" w:cstheme="minorHAnsi"/>
          <w:color w:val="000000"/>
          <w:sz w:val="22"/>
          <w:szCs w:val="22"/>
          <w:lang w:val="en-CA"/>
        </w:rPr>
        <w:t>pg</w:t>
      </w:r>
      <w:proofErr w:type="spellEnd"/>
      <w:r>
        <w:rPr>
          <w:rFonts w:ascii="Calibri" w:eastAsia="Arial Narrow" w:hAnsi="Calibri" w:cstheme="minorHAnsi"/>
          <w:color w:val="000000"/>
          <w:sz w:val="22"/>
          <w:szCs w:val="22"/>
          <w:lang w:val="en-CA"/>
        </w:rPr>
        <w:t xml:space="preserve"> 18) described the tendency for females to migrate to urban centres for employment and education, and to move away from the difficult and arduous tasks of rural living, because of poor infrastructure/utilities, etc. Males, on the other hand, are entrusted with the traditional role of leadership as heads of households, churches, villages and </w:t>
      </w:r>
      <w:proofErr w:type="gramStart"/>
      <w:r>
        <w:rPr>
          <w:rFonts w:ascii="Calibri" w:eastAsia="Arial Narrow" w:hAnsi="Calibri" w:cstheme="minorHAnsi"/>
          <w:color w:val="000000"/>
          <w:sz w:val="22"/>
          <w:szCs w:val="22"/>
          <w:lang w:val="en-CA"/>
        </w:rPr>
        <w:t>land owning</w:t>
      </w:r>
      <w:proofErr w:type="gramEnd"/>
      <w:r>
        <w:rPr>
          <w:rFonts w:ascii="Calibri" w:eastAsia="Arial Narrow" w:hAnsi="Calibri" w:cstheme="minorHAnsi"/>
          <w:color w:val="000000"/>
          <w:sz w:val="22"/>
          <w:szCs w:val="22"/>
          <w:lang w:val="en-CA"/>
        </w:rPr>
        <w:t xml:space="preserve"> units and therefore enjoy a more permanent status. In the catchment management planning, the men, women and youth were separated into groups and discussions were centred on benefits or loss of biodiversity, livelihoods, health, culture and traditions, etc., which is a recognition of the different gender roles. </w:t>
      </w:r>
    </w:p>
    <w:p w14:paraId="702EF4F6" w14:textId="77777777" w:rsidR="007372B6" w:rsidRDefault="007372B6">
      <w:pPr>
        <w:widowControl w:val="0"/>
        <w:tabs>
          <w:tab w:val="left" w:pos="284"/>
        </w:tabs>
        <w:spacing w:line="312" w:lineRule="auto"/>
        <w:jc w:val="both"/>
        <w:rPr>
          <w:rFonts w:ascii="Calibri" w:eastAsia="Arial Narrow" w:hAnsi="Calibri" w:cstheme="minorHAnsi"/>
          <w:color w:val="000000"/>
          <w:sz w:val="22"/>
          <w:szCs w:val="22"/>
          <w:lang w:val="en-CA"/>
        </w:rPr>
      </w:pPr>
    </w:p>
    <w:p w14:paraId="54787C2C" w14:textId="54B47C14" w:rsidR="007372B6" w:rsidRDefault="00000000">
      <w:pPr>
        <w:widowControl w:val="0"/>
        <w:tabs>
          <w:tab w:val="left" w:pos="284"/>
        </w:tabs>
        <w:spacing w:line="312" w:lineRule="auto"/>
        <w:jc w:val="both"/>
      </w:pPr>
      <w:r>
        <w:rPr>
          <w:rFonts w:ascii="Calibri" w:eastAsia="Arial Narrow" w:hAnsi="Calibri" w:cstheme="minorHAnsi"/>
          <w:color w:val="000000"/>
          <w:sz w:val="22"/>
          <w:szCs w:val="22"/>
          <w:lang w:val="en-CA"/>
        </w:rPr>
        <w:t xml:space="preserve">During the consultations for the project design field visits, it was found that the role of women that chose to remain in the catchment communities, in addition to household chores and school/child care, generally involved undertaking most of the livelihood activities around planting/tending gardens, harvesting and selling produce at markets/wholesale sources on a weekly basis (Project Document </w:t>
      </w:r>
      <w:proofErr w:type="spellStart"/>
      <w:r>
        <w:rPr>
          <w:rFonts w:ascii="Calibri" w:eastAsia="Arial Narrow" w:hAnsi="Calibri" w:cstheme="minorHAnsi"/>
          <w:color w:val="000000"/>
          <w:sz w:val="22"/>
          <w:szCs w:val="22"/>
          <w:lang w:val="en-CA"/>
        </w:rPr>
        <w:t>pg</w:t>
      </w:r>
      <w:proofErr w:type="spellEnd"/>
      <w:r>
        <w:rPr>
          <w:rFonts w:ascii="Calibri" w:eastAsia="Arial Narrow" w:hAnsi="Calibri" w:cstheme="minorHAnsi"/>
          <w:color w:val="000000"/>
          <w:sz w:val="22"/>
          <w:szCs w:val="22"/>
          <w:lang w:val="en-CA"/>
        </w:rPr>
        <w:t xml:space="preserve"> 51). </w:t>
      </w:r>
      <w:proofErr w:type="gramStart"/>
      <w:r>
        <w:rPr>
          <w:rFonts w:ascii="Calibri" w:eastAsia="Arial Narrow" w:hAnsi="Calibri" w:cstheme="minorHAnsi"/>
          <w:color w:val="000000"/>
          <w:sz w:val="22"/>
          <w:szCs w:val="22"/>
          <w:lang w:val="en-CA"/>
        </w:rPr>
        <w:t>So</w:t>
      </w:r>
      <w:proofErr w:type="gramEnd"/>
      <w:r>
        <w:rPr>
          <w:rFonts w:ascii="Calibri" w:eastAsia="Arial Narrow" w:hAnsi="Calibri" w:cstheme="minorHAnsi"/>
          <w:color w:val="000000"/>
          <w:sz w:val="22"/>
          <w:szCs w:val="22"/>
          <w:lang w:val="en-CA"/>
        </w:rPr>
        <w:t xml:space="preserve"> it was fitting that the livelihood activities under the R2R project were partly targeted towards providing women with empowerment and support for micro-financing facilities with the government and NGOs. This included al</w:t>
      </w:r>
      <w:r>
        <w:rPr>
          <w:rFonts w:asciiTheme="minorHAnsi" w:eastAsia="Open Sans" w:hAnsiTheme="minorHAnsi" w:cstheme="minorHAnsi"/>
          <w:color w:val="000000"/>
          <w:sz w:val="22"/>
          <w:szCs w:val="22"/>
          <w:lang w:val="en-CA"/>
        </w:rPr>
        <w:t xml:space="preserve">ternative livelihoods such as honey and orchard production, crab fattening, etc. It was deliberate that the livelihood pursuits identified by the design team were focused on activities that would have an impact on natural resources conservation and environmental </w:t>
      </w:r>
      <w:r>
        <w:rPr>
          <w:rFonts w:asciiTheme="minorHAnsi" w:eastAsia="Open Sans" w:hAnsiTheme="minorHAnsi" w:cstheme="minorHAnsi"/>
          <w:color w:val="000000"/>
          <w:sz w:val="22"/>
          <w:szCs w:val="22"/>
          <w:lang w:val="en-CA"/>
        </w:rPr>
        <w:lastRenderedPageBreak/>
        <w:t xml:space="preserve">sustainability, </w:t>
      </w:r>
      <w:proofErr w:type="gramStart"/>
      <w:r>
        <w:rPr>
          <w:rFonts w:asciiTheme="minorHAnsi" w:eastAsia="Open Sans" w:hAnsiTheme="minorHAnsi" w:cstheme="minorHAnsi"/>
          <w:color w:val="000000"/>
          <w:sz w:val="22"/>
          <w:szCs w:val="22"/>
          <w:lang w:val="en-CA"/>
        </w:rPr>
        <w:t>e.g.</w:t>
      </w:r>
      <w:proofErr w:type="gramEnd"/>
      <w:r>
        <w:rPr>
          <w:rFonts w:asciiTheme="minorHAnsi" w:eastAsia="Open Sans" w:hAnsiTheme="minorHAnsi" w:cstheme="minorHAnsi"/>
          <w:color w:val="000000"/>
          <w:sz w:val="22"/>
          <w:szCs w:val="22"/>
          <w:lang w:val="en-CA"/>
        </w:rPr>
        <w:t xml:space="preserve"> smokeless stove, water/sanitation, composting, solar food drying, honey production, mariculture (especially seaweed, sea cucumber, giant clams) and </w:t>
      </w:r>
      <w:proofErr w:type="spellStart"/>
      <w:r>
        <w:rPr>
          <w:rFonts w:asciiTheme="minorHAnsi" w:eastAsia="Open Sans" w:hAnsiTheme="minorHAnsi" w:cstheme="minorHAnsi"/>
          <w:color w:val="000000"/>
          <w:sz w:val="22"/>
          <w:szCs w:val="22"/>
          <w:lang w:val="en-CA"/>
        </w:rPr>
        <w:t>yasi</w:t>
      </w:r>
      <w:proofErr w:type="spellEnd"/>
      <w:r>
        <w:rPr>
          <w:rFonts w:asciiTheme="minorHAnsi" w:eastAsia="Open Sans" w:hAnsiTheme="minorHAnsi" w:cstheme="minorHAnsi"/>
          <w:color w:val="000000"/>
          <w:sz w:val="22"/>
          <w:szCs w:val="22"/>
          <w:lang w:val="en-CA"/>
        </w:rPr>
        <w:t>/sandalwood plantings. It was anticipated that the R2R project would create “economic empowerment, leadership and ownership” in the catchment sites for all social groups, but particularly for women, who would be assisted with capacity building and training in livelihood pursuits. As such, the livelihood component was designed to support both the environmental focus as well as the inclusive socio/economic development objectives and especially increasing the earning capacity of women (</w:t>
      </w:r>
      <w:r>
        <w:rPr>
          <w:rFonts w:ascii="Calibri" w:eastAsia="Arial Narrow" w:hAnsi="Calibri" w:cstheme="minorHAnsi"/>
          <w:color w:val="000000"/>
          <w:sz w:val="22"/>
          <w:szCs w:val="22"/>
          <w:lang w:val="en-CA"/>
        </w:rPr>
        <w:t xml:space="preserve">Project Document </w:t>
      </w:r>
      <w:proofErr w:type="spellStart"/>
      <w:r>
        <w:rPr>
          <w:rFonts w:asciiTheme="minorHAnsi" w:eastAsia="Open Sans" w:hAnsiTheme="minorHAnsi" w:cstheme="minorHAnsi"/>
          <w:color w:val="000000"/>
          <w:sz w:val="22"/>
          <w:szCs w:val="22"/>
          <w:lang w:val="en-CA"/>
        </w:rPr>
        <w:t>pg</w:t>
      </w:r>
      <w:proofErr w:type="spellEnd"/>
      <w:r>
        <w:rPr>
          <w:rFonts w:asciiTheme="minorHAnsi" w:eastAsia="Open Sans" w:hAnsiTheme="minorHAnsi" w:cstheme="minorHAnsi"/>
          <w:color w:val="000000"/>
          <w:sz w:val="22"/>
          <w:szCs w:val="22"/>
          <w:lang w:val="en-CA"/>
        </w:rPr>
        <w:t xml:space="preserve"> 51).</w:t>
      </w:r>
    </w:p>
    <w:p w14:paraId="2D409919" w14:textId="77777777" w:rsidR="007372B6" w:rsidRDefault="007372B6">
      <w:pPr>
        <w:pStyle w:val="BodyText"/>
        <w:widowControl w:val="0"/>
        <w:tabs>
          <w:tab w:val="left" w:pos="284"/>
        </w:tabs>
        <w:spacing w:after="0" w:line="312" w:lineRule="auto"/>
        <w:jc w:val="both"/>
        <w:rPr>
          <w:rFonts w:ascii="Calibri" w:hAnsi="Calibri"/>
          <w:sz w:val="22"/>
        </w:rPr>
      </w:pPr>
    </w:p>
    <w:p w14:paraId="223E2A40" w14:textId="7618BB31" w:rsidR="007372B6" w:rsidRDefault="00000000">
      <w:pPr>
        <w:pStyle w:val="BodyText"/>
        <w:widowControl w:val="0"/>
        <w:tabs>
          <w:tab w:val="left" w:pos="284"/>
        </w:tabs>
        <w:spacing w:after="0" w:line="312" w:lineRule="auto"/>
        <w:jc w:val="both"/>
        <w:rPr>
          <w:rFonts w:asciiTheme="minorHAnsi" w:eastAsia="Open Sans" w:hAnsiTheme="minorHAnsi" w:cstheme="minorHAnsi"/>
          <w:color w:val="000000"/>
          <w:sz w:val="22"/>
          <w:szCs w:val="22"/>
          <w:lang w:val="en-CA"/>
        </w:rPr>
      </w:pPr>
      <w:r>
        <w:rPr>
          <w:rFonts w:ascii="Calibri" w:eastAsia="Open Sans" w:hAnsi="Calibri" w:cstheme="minorHAnsi"/>
          <w:color w:val="000000"/>
          <w:sz w:val="22"/>
          <w:szCs w:val="22"/>
          <w:lang w:val="en-CA"/>
        </w:rPr>
        <w:t xml:space="preserve">20. The </w:t>
      </w:r>
      <w:r>
        <w:rPr>
          <w:rFonts w:ascii="Calibri" w:eastAsia="Open Sans" w:hAnsi="Calibri" w:cstheme="minorHAnsi"/>
          <w:i/>
          <w:iCs/>
          <w:color w:val="000000"/>
          <w:sz w:val="22"/>
          <w:szCs w:val="22"/>
          <w:lang w:val="en-CA"/>
        </w:rPr>
        <w:t>Environmental and Social Screening Checklist</w:t>
      </w:r>
      <w:r>
        <w:rPr>
          <w:rFonts w:ascii="Calibri" w:eastAsia="Open Sans" w:hAnsi="Calibri" w:cstheme="minorHAnsi"/>
          <w:color w:val="000000"/>
          <w:sz w:val="22"/>
          <w:szCs w:val="22"/>
          <w:lang w:val="en-CA"/>
        </w:rPr>
        <w:t xml:space="preserve"> (Annex 13 of the Project Document) included a probing question that asked whether the project was “likely to significantly impact gender equality and women’s empowerment?”. Not surprisingly, the answer provided was “no”. This is because women are often more vulnerable than men to environmental degradation and resource scarcity, and they typically have weaker and less secure rights to the resources they manage (especially land), and spend longer hours on collection of water, firewood, etc. (OECD, 2006). Women are also more often excluded from other social, economic, and political development processes. The underlying assumption appears to be that it was considered unlikely that much progress would be made through the livelihood efforts on the Fiji R2R project.  </w:t>
      </w:r>
    </w:p>
    <w:p w14:paraId="45E7AEBE" w14:textId="77777777" w:rsidR="007372B6" w:rsidRDefault="007372B6">
      <w:pPr>
        <w:pStyle w:val="BodyText"/>
        <w:widowControl w:val="0"/>
        <w:tabs>
          <w:tab w:val="left" w:pos="284"/>
        </w:tabs>
        <w:spacing w:after="0" w:line="312" w:lineRule="auto"/>
        <w:jc w:val="both"/>
        <w:rPr>
          <w:rFonts w:asciiTheme="minorHAnsi" w:eastAsia="Open Sans" w:hAnsiTheme="minorHAnsi" w:cstheme="minorHAnsi"/>
          <w:color w:val="000000"/>
          <w:sz w:val="22"/>
          <w:szCs w:val="22"/>
          <w:lang w:val="en-CA"/>
        </w:rPr>
      </w:pPr>
    </w:p>
    <w:p w14:paraId="64279287" w14:textId="74404275" w:rsidR="007372B6" w:rsidRDefault="00000000">
      <w:pPr>
        <w:pStyle w:val="BodyText"/>
        <w:widowControl w:val="0"/>
        <w:tabs>
          <w:tab w:val="left" w:pos="284"/>
        </w:tabs>
        <w:spacing w:after="0" w:line="312" w:lineRule="auto"/>
        <w:jc w:val="both"/>
        <w:rPr>
          <w:rFonts w:asciiTheme="minorHAnsi" w:eastAsia="Open Sans" w:hAnsiTheme="minorHAnsi" w:cstheme="minorHAnsi"/>
          <w:color w:val="000000"/>
          <w:sz w:val="22"/>
          <w:szCs w:val="22"/>
          <w:lang w:val="en-CA"/>
        </w:rPr>
      </w:pPr>
      <w:r>
        <w:rPr>
          <w:rFonts w:ascii="Calibri" w:eastAsia="Open Sans" w:hAnsi="Calibri" w:cstheme="minorHAnsi"/>
          <w:color w:val="000000"/>
          <w:sz w:val="22"/>
          <w:szCs w:val="22"/>
          <w:lang w:val="en-CA"/>
        </w:rPr>
        <w:t xml:space="preserve">21. Although the Project Document identified a range of relevant livelihood activities, particularly those targeting women, it did not include a way to measure how effective the gender and social inclusion activities were to be addressed during project implementation, such as through comparative income generation surveys. This is a shortcoming in the design, as there is no way of knowing if the livelihood activities were acting as incentives to further the environmental and social goals of the project. The small scale of activities also limits the measurability of results. </w:t>
      </w:r>
    </w:p>
    <w:p w14:paraId="5D2D2746" w14:textId="77777777" w:rsidR="007372B6" w:rsidRDefault="007372B6">
      <w:pPr>
        <w:pStyle w:val="BodyText"/>
        <w:widowControl w:val="0"/>
        <w:tabs>
          <w:tab w:val="left" w:pos="284"/>
        </w:tabs>
        <w:spacing w:after="0" w:line="312" w:lineRule="auto"/>
        <w:jc w:val="both"/>
        <w:rPr>
          <w:rFonts w:asciiTheme="minorHAnsi" w:eastAsia="Open Sans" w:hAnsiTheme="minorHAnsi" w:cstheme="minorHAnsi"/>
          <w:color w:val="000000"/>
          <w:sz w:val="22"/>
          <w:szCs w:val="22"/>
          <w:shd w:val="clear" w:color="auto" w:fill="00FFFF"/>
          <w:lang w:val="en-CA"/>
        </w:rPr>
      </w:pPr>
    </w:p>
    <w:p w14:paraId="2848874A" w14:textId="77777777" w:rsidR="007372B6" w:rsidRDefault="00000000">
      <w:pPr>
        <w:pStyle w:val="BodyText"/>
        <w:widowControl w:val="0"/>
        <w:tabs>
          <w:tab w:val="left" w:pos="284"/>
        </w:tabs>
        <w:spacing w:after="0" w:line="312" w:lineRule="auto"/>
        <w:jc w:val="both"/>
        <w:rPr>
          <w:rFonts w:asciiTheme="minorHAnsi" w:hAnsiTheme="minorHAnsi" w:cstheme="minorHAnsi"/>
          <w:sz w:val="22"/>
          <w:szCs w:val="22"/>
          <w:lang w:val="en-CA"/>
        </w:rPr>
      </w:pPr>
      <w:r>
        <w:rPr>
          <w:rFonts w:ascii="Calibri" w:eastAsia="Open Sans" w:hAnsi="Calibri" w:cstheme="minorHAnsi"/>
          <w:color w:val="000000"/>
          <w:sz w:val="22"/>
          <w:szCs w:val="22"/>
          <w:lang w:val="en-CA"/>
        </w:rPr>
        <w:t xml:space="preserve">22. The SRF includes some measures for collection of gender disaggregated data: for </w:t>
      </w:r>
      <w:proofErr w:type="gramStart"/>
      <w:r>
        <w:rPr>
          <w:rFonts w:ascii="Calibri" w:eastAsia="Open Sans" w:hAnsi="Calibri" w:cstheme="minorHAnsi"/>
          <w:color w:val="000000"/>
          <w:sz w:val="22"/>
          <w:szCs w:val="22"/>
          <w:lang w:val="en-CA"/>
        </w:rPr>
        <w:t>example</w:t>
      </w:r>
      <w:proofErr w:type="gramEnd"/>
      <w:r>
        <w:rPr>
          <w:rFonts w:ascii="Calibri" w:eastAsia="Open Sans" w:hAnsi="Calibri" w:cstheme="minorHAnsi"/>
          <w:color w:val="000000"/>
          <w:sz w:val="22"/>
          <w:szCs w:val="22"/>
          <w:lang w:val="en-CA"/>
        </w:rPr>
        <w:t xml:space="preserve"> in Output 1.2.1 (Valuation of biodiversity conservation and other ecosystem services), and Output 4.1.3 (Community leaders, YMSTs, resource owners, associations (women, youth, faith-based), farmers, educators and students better informed of best R2R land-use practices through program of learning exchange visits within catchments and, to and from neighbouring catchments). However, these are listed as “project activities” and anticipated “targets”. There are no measurable indicators attached to the gender equality or women’s empowerment activities. This is a shortcoming in the project design, which should have included gender indicators under all project components in the SRF, supported by a specific plan to implement gender and social inclusion actions across all components during project implementation. The extent of involvement by the project team in monitoring appears to be limited to recording of activities that were designed to target women in progress reports, such as the establishment of mangrove nurseries by women, the purchase of benches and tables for a women’s group roadside restaurant, and the purchase of a sewing machine for a village women’s club. The project design should have included a Gender Action Plan to plan and monitor these activities. </w:t>
      </w:r>
    </w:p>
    <w:p w14:paraId="017AFA14" w14:textId="77777777" w:rsidR="007372B6" w:rsidRDefault="007372B6">
      <w:pPr>
        <w:pStyle w:val="ListParagraph"/>
        <w:widowControl w:val="0"/>
        <w:tabs>
          <w:tab w:val="left" w:pos="284"/>
        </w:tabs>
        <w:spacing w:line="312" w:lineRule="auto"/>
        <w:contextualSpacing w:val="0"/>
        <w:rPr>
          <w:shd w:val="clear" w:color="auto" w:fill="FFFF00"/>
        </w:rPr>
      </w:pPr>
    </w:p>
    <w:p w14:paraId="65D87CB9" w14:textId="77777777" w:rsidR="007372B6" w:rsidRDefault="00000000">
      <w:pPr>
        <w:widowControl w:val="0"/>
        <w:tabs>
          <w:tab w:val="left" w:pos="284"/>
        </w:tabs>
        <w:spacing w:line="312" w:lineRule="auto"/>
        <w:rPr>
          <w:b/>
          <w:bCs/>
        </w:rPr>
      </w:pPr>
      <w:r>
        <w:rPr>
          <w:rFonts w:ascii="Calibri" w:hAnsi="Calibri" w:cs="Calibri"/>
          <w:b/>
          <w:bCs/>
          <w:sz w:val="22"/>
          <w:szCs w:val="22"/>
          <w:lang w:val="en-CA"/>
        </w:rPr>
        <w:lastRenderedPageBreak/>
        <w:t xml:space="preserve">Social and Environmental </w:t>
      </w:r>
      <w:r>
        <w:rPr>
          <w:rFonts w:asciiTheme="minorHAnsi" w:hAnsiTheme="minorHAnsi" w:cstheme="minorHAnsi"/>
          <w:b/>
          <w:bCs/>
          <w:sz w:val="22"/>
          <w:szCs w:val="22"/>
          <w:lang w:val="en-CA"/>
        </w:rPr>
        <w:t>Safeguards</w:t>
      </w:r>
    </w:p>
    <w:p w14:paraId="3D35AC89" w14:textId="7324457F" w:rsidR="007372B6" w:rsidRDefault="00000000">
      <w:pPr>
        <w:pStyle w:val="ListParagraph"/>
        <w:widowControl w:val="0"/>
        <w:tabs>
          <w:tab w:val="left" w:pos="284"/>
        </w:tabs>
        <w:spacing w:line="312" w:lineRule="auto"/>
        <w:contextualSpacing w:val="0"/>
        <w:jc w:val="both"/>
        <w:rPr>
          <w:rFonts w:ascii="Calibri" w:hAnsi="Calibri"/>
          <w:sz w:val="22"/>
          <w:szCs w:val="22"/>
          <w:lang w:val="en-CA"/>
        </w:rPr>
      </w:pPr>
      <w:r>
        <w:rPr>
          <w:rFonts w:ascii="Calibri" w:hAnsi="Calibri"/>
          <w:color w:val="000000"/>
          <w:sz w:val="22"/>
          <w:szCs w:val="22"/>
          <w:lang w:val="en-CA"/>
        </w:rPr>
        <w:t xml:space="preserve">23. During the project design, an </w:t>
      </w:r>
      <w:r>
        <w:rPr>
          <w:rFonts w:ascii="Calibri" w:hAnsi="Calibri"/>
          <w:i/>
          <w:iCs/>
          <w:color w:val="000000"/>
          <w:sz w:val="22"/>
          <w:szCs w:val="22"/>
          <w:lang w:val="en-CA"/>
        </w:rPr>
        <w:t>Environmental and Social Screening Procedure</w:t>
      </w:r>
      <w:r>
        <w:rPr>
          <w:rFonts w:ascii="Calibri" w:hAnsi="Calibri"/>
          <w:color w:val="000000"/>
          <w:sz w:val="22"/>
          <w:szCs w:val="22"/>
          <w:lang w:val="en-CA"/>
        </w:rPr>
        <w:t xml:space="preserve"> (ESSP) was prepared in accordance with UNDP requirements, which contained a series of questions and checklists (Annex 13 of the Project Document). However, there was no systematic field monitoring of potential adverse effects of project interventions.</w:t>
      </w:r>
    </w:p>
    <w:p w14:paraId="4F28D537" w14:textId="77777777" w:rsidR="007372B6" w:rsidRDefault="007372B6">
      <w:pPr>
        <w:pStyle w:val="ListParagraph"/>
        <w:widowControl w:val="0"/>
        <w:tabs>
          <w:tab w:val="left" w:pos="284"/>
        </w:tabs>
        <w:spacing w:line="312" w:lineRule="auto"/>
        <w:contextualSpacing w:val="0"/>
        <w:rPr>
          <w:rFonts w:ascii="Calibri" w:hAnsi="Calibri"/>
          <w:sz w:val="22"/>
          <w:szCs w:val="22"/>
          <w:lang w:val="en-CA"/>
        </w:rPr>
      </w:pPr>
    </w:p>
    <w:p w14:paraId="6C8889D3" w14:textId="76FF6A0C" w:rsidR="007372B6" w:rsidRDefault="00000000">
      <w:pPr>
        <w:pStyle w:val="BodyText"/>
        <w:widowControl w:val="0"/>
        <w:tabs>
          <w:tab w:val="left" w:pos="284"/>
        </w:tabs>
        <w:spacing w:after="0" w:line="312" w:lineRule="auto"/>
        <w:jc w:val="both"/>
        <w:rPr>
          <w:sz w:val="22"/>
          <w:szCs w:val="22"/>
          <w:lang w:val="en-CA"/>
        </w:rPr>
      </w:pPr>
      <w:r>
        <w:rPr>
          <w:rFonts w:ascii="Calibri" w:hAnsi="Calibri"/>
          <w:color w:val="000000"/>
          <w:sz w:val="22"/>
          <w:szCs w:val="22"/>
          <w:lang w:val="en-CA"/>
        </w:rPr>
        <w:t xml:space="preserve">24. It is clear from the Project Document that the R2R project was modelled on the </w:t>
      </w:r>
      <w:proofErr w:type="spellStart"/>
      <w:r>
        <w:rPr>
          <w:rFonts w:ascii="Calibri" w:hAnsi="Calibri"/>
          <w:color w:val="000000"/>
          <w:sz w:val="22"/>
          <w:szCs w:val="22"/>
          <w:lang w:val="en-CA"/>
        </w:rPr>
        <w:t>Nadi</w:t>
      </w:r>
      <w:proofErr w:type="spellEnd"/>
      <w:r>
        <w:rPr>
          <w:rFonts w:ascii="Calibri" w:hAnsi="Calibri"/>
          <w:sz w:val="22"/>
          <w:szCs w:val="22"/>
          <w:lang w:val="en-CA"/>
        </w:rPr>
        <w:t xml:space="preserve"> Basin Catchment Committee (NBCC), where the UNDP/GEF initiative was designed to build on the experiences and lessons learned, particularly with respect to the governance structure established under the IWRM project, the CMC. In the R2R Project Document (under the </w:t>
      </w:r>
      <w:r>
        <w:rPr>
          <w:rFonts w:ascii="Calibri" w:hAnsi="Calibri"/>
          <w:i/>
          <w:iCs/>
          <w:sz w:val="22"/>
          <w:szCs w:val="22"/>
          <w:lang w:val="en-CA"/>
        </w:rPr>
        <w:t>Sustainability, Replicability and Potential for Scaling up</w:t>
      </w:r>
      <w:r>
        <w:rPr>
          <w:rFonts w:ascii="Calibri" w:hAnsi="Calibri"/>
          <w:sz w:val="22"/>
          <w:szCs w:val="22"/>
          <w:lang w:val="en-CA"/>
        </w:rPr>
        <w:t xml:space="preserve"> section, 2.8), it acknowledged that the government had not allocated enough resources after the end of the IWRM project to enable the NBCC to continue to function in the planning, co-ordinating and monitoring of IWRM activities (pg. 84). Similar to the IWRM project, the CMCs in the R2R project</w:t>
      </w:r>
      <w:r>
        <w:rPr>
          <w:rFonts w:ascii="Calibri" w:hAnsi="Calibri"/>
          <w:sz w:val="22"/>
        </w:rPr>
        <w:t xml:space="preserve"> were envisaged to be developed for those catchments only, to address the specific priorities for a particular catchment-wide approach by addressing the major economic and environmental issues of each catchment. Similarly, although the R2R project recognized the importance of the continued role of the </w:t>
      </w:r>
      <w:r>
        <w:rPr>
          <w:rFonts w:ascii="Calibri" w:hAnsi="Calibri"/>
          <w:sz w:val="22"/>
          <w:szCs w:val="22"/>
          <w:lang w:val="en-CA"/>
        </w:rPr>
        <w:t>implementing partner</w:t>
      </w:r>
      <w:r>
        <w:rPr>
          <w:rFonts w:ascii="Calibri" w:hAnsi="Calibri"/>
          <w:sz w:val="22"/>
        </w:rPr>
        <w:t xml:space="preserve"> (SPC), the design did not factor in the continued support that would be necessary to sustain the CMCs in the priority communities (by providing an ongoing role for WWF, CI, UNDP, GEF, etc.). This is a major oversight in the project design, as it is clear that sustainability is dependent on the technical and financial support provided by the IP/NGOs for a period of 10 to 15 years.</w:t>
      </w:r>
    </w:p>
    <w:p w14:paraId="4D1C649A" w14:textId="77777777" w:rsidR="007372B6" w:rsidRDefault="007372B6">
      <w:pPr>
        <w:pStyle w:val="BodyText"/>
        <w:widowControl w:val="0"/>
        <w:tabs>
          <w:tab w:val="left" w:pos="284"/>
        </w:tabs>
        <w:spacing w:after="0" w:line="312" w:lineRule="auto"/>
        <w:jc w:val="both"/>
        <w:rPr>
          <w:sz w:val="22"/>
          <w:szCs w:val="22"/>
          <w:lang w:val="en-CA"/>
        </w:rPr>
      </w:pPr>
    </w:p>
    <w:p w14:paraId="554C5903" w14:textId="00EC7BE1" w:rsidR="007372B6" w:rsidRDefault="00000000">
      <w:pPr>
        <w:pStyle w:val="BodyText"/>
        <w:widowControl w:val="0"/>
        <w:tabs>
          <w:tab w:val="left" w:pos="284"/>
        </w:tabs>
        <w:spacing w:after="0" w:line="312" w:lineRule="auto"/>
        <w:jc w:val="both"/>
        <w:rPr>
          <w:sz w:val="22"/>
          <w:szCs w:val="22"/>
          <w:lang w:val="en-CA"/>
        </w:rPr>
      </w:pPr>
      <w:r>
        <w:rPr>
          <w:rFonts w:ascii="Calibri" w:hAnsi="Calibri"/>
          <w:sz w:val="22"/>
        </w:rPr>
        <w:t>25. The Project Document recognized the need to promote effective land use planning and management of water catchments in Fiji by mainstreaming environmental issues that contribute to conservation and sustainable development into the national strategic development plans. The lessons and outputs of the Fiji R2R project were intended to be used to inform future national planning and policies, including national development and sector plans for integrated land, water and catchment management; sustainable forest management and REDD+; wildfire control and management; sustainable fisheries and National Protected Areas Strategy and biodiversity conservation. In addition, the Project Document recognized the importance of the R2R project’s technical and financial support in environmental and social safeguards and associated policies and procedures for strengthening mechanisms to achieve poverty reduction, enhance the livelihoods of communities and protect their environment. The objective of these safeguards, policies and procedures was to prevent and mitigate or minimize adverse environmental and social impacts of projects and strategies, and to implement projects and strategies that produce positive outcomes for people and the environment (</w:t>
      </w:r>
      <w:proofErr w:type="spellStart"/>
      <w:r>
        <w:rPr>
          <w:rFonts w:ascii="Calibri" w:hAnsi="Calibri"/>
          <w:sz w:val="22"/>
        </w:rPr>
        <w:t>pg</w:t>
      </w:r>
      <w:proofErr w:type="spellEnd"/>
      <w:r>
        <w:rPr>
          <w:rFonts w:ascii="Calibri" w:hAnsi="Calibri"/>
          <w:sz w:val="22"/>
        </w:rPr>
        <w:t xml:space="preserve"> 86).</w:t>
      </w:r>
    </w:p>
    <w:p w14:paraId="6CFFA599" w14:textId="77777777" w:rsidR="007372B6" w:rsidRDefault="007372B6">
      <w:pPr>
        <w:pStyle w:val="BodyText"/>
        <w:widowControl w:val="0"/>
        <w:tabs>
          <w:tab w:val="left" w:pos="284"/>
        </w:tabs>
        <w:spacing w:after="0" w:line="312" w:lineRule="auto"/>
        <w:jc w:val="both"/>
        <w:rPr>
          <w:sz w:val="22"/>
          <w:szCs w:val="22"/>
          <w:lang w:val="en-CA"/>
        </w:rPr>
      </w:pPr>
    </w:p>
    <w:p w14:paraId="2680D2CC" w14:textId="42D981EC" w:rsidR="007372B6" w:rsidRDefault="00000000">
      <w:pPr>
        <w:pStyle w:val="BodyText"/>
        <w:widowControl w:val="0"/>
        <w:tabs>
          <w:tab w:val="left" w:pos="284"/>
        </w:tabs>
        <w:spacing w:after="0" w:line="312" w:lineRule="auto"/>
        <w:jc w:val="both"/>
        <w:rPr>
          <w:sz w:val="22"/>
          <w:szCs w:val="22"/>
          <w:lang w:val="en-CA"/>
        </w:rPr>
      </w:pPr>
      <w:r>
        <w:rPr>
          <w:rFonts w:ascii="Calibri" w:hAnsi="Calibri"/>
          <w:sz w:val="22"/>
        </w:rPr>
        <w:t xml:space="preserve">26. The Project Document listed several strategies and key pieces of legislation that would promote environmental safeguards in Fiji: Environment Management Act 2005 (EMA); National Biodiversity Strategy and Action Plan 2010 (NBSAP), the 2011 Integrated Coastal Management Framework, the 2012 National Climate Change Policy. The project was intended to have major local environmental benefits, </w:t>
      </w:r>
      <w:r>
        <w:rPr>
          <w:rFonts w:ascii="Calibri" w:hAnsi="Calibri"/>
          <w:sz w:val="22"/>
        </w:rPr>
        <w:lastRenderedPageBreak/>
        <w:t xml:space="preserve">with a key component being biodiversity conservation </w:t>
      </w:r>
      <w:r>
        <w:t xml:space="preserve">– </w:t>
      </w:r>
      <w:r>
        <w:rPr>
          <w:rFonts w:ascii="Calibri" w:hAnsi="Calibri"/>
          <w:sz w:val="22"/>
        </w:rPr>
        <w:t xml:space="preserve">this was to include replanting and assisted natural </w:t>
      </w:r>
      <w:proofErr w:type="spellStart"/>
      <w:r>
        <w:rPr>
          <w:rFonts w:ascii="Calibri" w:hAnsi="Calibri"/>
          <w:sz w:val="22"/>
        </w:rPr>
        <w:t>regenerationusing</w:t>
      </w:r>
      <w:proofErr w:type="spellEnd"/>
      <w:r>
        <w:rPr>
          <w:rFonts w:ascii="Calibri" w:hAnsi="Calibri"/>
          <w:sz w:val="22"/>
        </w:rPr>
        <w:t xml:space="preserve"> indigenous or native trees and shrubs</w:t>
      </w:r>
      <w:r>
        <w:rPr>
          <w:rFonts w:ascii="Calibri" w:hAnsi="Calibri"/>
          <w:sz w:val="22"/>
        </w:rPr>
        <w:t xml:space="preserve"> only</w:t>
      </w:r>
      <w:r>
        <w:rPr>
          <w:rFonts w:ascii="Calibri" w:hAnsi="Calibri"/>
          <w:sz w:val="22"/>
        </w:rPr>
        <w:t>, and the control/removal of invasive alien weed trees (</w:t>
      </w:r>
      <w:proofErr w:type="spellStart"/>
      <w:r>
        <w:rPr>
          <w:rFonts w:ascii="Calibri" w:hAnsi="Calibri"/>
          <w:sz w:val="22"/>
        </w:rPr>
        <w:t>pg</w:t>
      </w:r>
      <w:proofErr w:type="spellEnd"/>
      <w:r>
        <w:rPr>
          <w:rFonts w:ascii="Calibri" w:hAnsi="Calibri"/>
          <w:sz w:val="22"/>
        </w:rPr>
        <w:t xml:space="preserve"> 86). </w:t>
      </w:r>
    </w:p>
    <w:p w14:paraId="3723AB76" w14:textId="77777777" w:rsidR="007372B6" w:rsidRDefault="007372B6">
      <w:pPr>
        <w:pStyle w:val="BodyText"/>
        <w:widowControl w:val="0"/>
        <w:tabs>
          <w:tab w:val="left" w:pos="284"/>
        </w:tabs>
        <w:spacing w:after="0" w:line="312" w:lineRule="auto"/>
        <w:jc w:val="both"/>
        <w:rPr>
          <w:sz w:val="22"/>
          <w:szCs w:val="22"/>
          <w:lang w:val="en-CA"/>
        </w:rPr>
      </w:pPr>
    </w:p>
    <w:p w14:paraId="6E758F0D" w14:textId="70DA5F58" w:rsidR="007372B6" w:rsidRDefault="00000000">
      <w:pPr>
        <w:pStyle w:val="BodyText"/>
        <w:widowControl w:val="0"/>
        <w:tabs>
          <w:tab w:val="left" w:pos="284"/>
        </w:tabs>
        <w:spacing w:after="0" w:line="312" w:lineRule="auto"/>
        <w:jc w:val="both"/>
        <w:rPr>
          <w:sz w:val="22"/>
          <w:szCs w:val="22"/>
          <w:lang w:val="en-CA"/>
        </w:rPr>
      </w:pPr>
      <w:r>
        <w:rPr>
          <w:rFonts w:ascii="Calibri" w:hAnsi="Calibri"/>
          <w:sz w:val="22"/>
        </w:rPr>
        <w:t>27. In addition, social safeguards were provided through the 2009 Peoples Charter for Change, Peace and Progress, the 2010-2014 Roadmap for Democracy and Sustainable Socio-Economic Development, the 2013 Constitution/Bill of Rights. Additional social safeguards were to be promoted in the R2R project by actively involving communities, women and youth and their representative associations, such as SVT, in design and implementation of project activities. Land to be set aside or leased for PAs and/or REDD+ would follow the UN REDD Guidelines on free, prior informed consent (FPIC) (</w:t>
      </w:r>
      <w:proofErr w:type="spellStart"/>
      <w:r>
        <w:rPr>
          <w:rFonts w:ascii="Calibri" w:hAnsi="Calibri"/>
          <w:sz w:val="22"/>
        </w:rPr>
        <w:t>pg</w:t>
      </w:r>
      <w:proofErr w:type="spellEnd"/>
      <w:r>
        <w:rPr>
          <w:rFonts w:ascii="Calibri" w:hAnsi="Calibri"/>
          <w:sz w:val="22"/>
        </w:rPr>
        <w:t xml:space="preserve"> 86).</w:t>
      </w:r>
    </w:p>
    <w:p w14:paraId="2EFDE6FA" w14:textId="77777777" w:rsidR="007372B6" w:rsidRDefault="00000000">
      <w:pPr>
        <w:pStyle w:val="BodyText"/>
        <w:widowControl w:val="0"/>
        <w:tabs>
          <w:tab w:val="left" w:pos="284"/>
        </w:tabs>
        <w:spacing w:after="0" w:line="312" w:lineRule="auto"/>
        <w:rPr>
          <w:sz w:val="22"/>
          <w:szCs w:val="22"/>
          <w:lang w:val="en-CA"/>
        </w:rPr>
      </w:pPr>
      <w:r>
        <w:rPr>
          <w:rFonts w:ascii="Calibri" w:hAnsi="Calibri"/>
          <w:sz w:val="22"/>
        </w:rPr>
        <w:t xml:space="preserve"> </w:t>
      </w:r>
    </w:p>
    <w:p w14:paraId="5D92C508" w14:textId="77777777" w:rsidR="007372B6" w:rsidRDefault="00000000">
      <w:pPr>
        <w:pStyle w:val="ListParagraph"/>
        <w:tabs>
          <w:tab w:val="left" w:pos="556"/>
        </w:tabs>
        <w:spacing w:after="160" w:line="259" w:lineRule="auto"/>
        <w:ind w:left="567"/>
        <w:rPr>
          <w:rFonts w:asciiTheme="minorHAnsi" w:eastAsia="Open Sans" w:hAnsiTheme="minorHAnsi" w:cstheme="minorHAnsi"/>
          <w:b/>
          <w:bCs/>
          <w:color w:val="000000"/>
        </w:rPr>
      </w:pPr>
      <w:r>
        <w:rPr>
          <w:rFonts w:asciiTheme="minorHAnsi" w:eastAsia="Open Sans" w:hAnsiTheme="minorHAnsi" w:cstheme="minorHAnsi"/>
          <w:b/>
          <w:bCs/>
          <w:color w:val="000000"/>
        </w:rPr>
        <w:t>4.2</w:t>
      </w:r>
      <w:r>
        <w:rPr>
          <w:rFonts w:asciiTheme="minorHAnsi" w:eastAsia="Open Sans" w:hAnsiTheme="minorHAnsi" w:cstheme="minorHAnsi"/>
          <w:b/>
          <w:bCs/>
          <w:color w:val="000000"/>
        </w:rPr>
        <w:tab/>
        <w:t>Project Implementation</w:t>
      </w:r>
    </w:p>
    <w:p w14:paraId="629DB74B" w14:textId="77777777" w:rsidR="007372B6" w:rsidRDefault="007372B6">
      <w:pPr>
        <w:pStyle w:val="ListParagraph"/>
        <w:tabs>
          <w:tab w:val="left" w:pos="556"/>
        </w:tabs>
        <w:spacing w:after="160" w:line="259" w:lineRule="auto"/>
        <w:ind w:left="360"/>
        <w:rPr>
          <w:rFonts w:asciiTheme="minorHAnsi" w:eastAsia="Open Sans" w:hAnsiTheme="minorHAnsi" w:cstheme="minorHAnsi"/>
          <w:b/>
          <w:bCs/>
          <w:color w:val="000000"/>
        </w:rPr>
      </w:pPr>
    </w:p>
    <w:p w14:paraId="578DADF5" w14:textId="77777777" w:rsidR="007372B6" w:rsidRDefault="00000000">
      <w:pPr>
        <w:pStyle w:val="ListParagraph"/>
        <w:tabs>
          <w:tab w:val="left" w:pos="567"/>
          <w:tab w:val="left" w:pos="1134"/>
        </w:tabs>
        <w:ind w:left="993" w:hanging="993"/>
        <w:rPr>
          <w:rFonts w:asciiTheme="minorHAnsi" w:eastAsia="Open Sans" w:hAnsiTheme="minorHAnsi" w:cstheme="minorHAnsi"/>
          <w:b/>
          <w:bCs/>
          <w:color w:val="000000"/>
          <w:sz w:val="22"/>
          <w:szCs w:val="22"/>
        </w:rPr>
      </w:pPr>
      <w:r>
        <w:rPr>
          <w:rFonts w:asciiTheme="minorHAnsi" w:eastAsia="Open Sans" w:hAnsiTheme="minorHAnsi" w:cstheme="minorHAnsi"/>
          <w:b/>
          <w:bCs/>
          <w:color w:val="000000"/>
          <w:sz w:val="22"/>
          <w:szCs w:val="22"/>
        </w:rPr>
        <w:tab/>
        <w:t>4.2.1</w:t>
      </w:r>
      <w:r>
        <w:rPr>
          <w:rFonts w:asciiTheme="minorHAnsi" w:eastAsia="Open Sans" w:hAnsiTheme="minorHAnsi" w:cstheme="minorHAnsi"/>
          <w:b/>
          <w:bCs/>
          <w:color w:val="000000"/>
          <w:sz w:val="22"/>
          <w:szCs w:val="22"/>
        </w:rPr>
        <w:tab/>
        <w:t>Adaptive management (changes to the project design and project outputs during implementation)</w:t>
      </w:r>
    </w:p>
    <w:p w14:paraId="7157778D" w14:textId="77777777" w:rsidR="007372B6" w:rsidRDefault="007372B6">
      <w:pPr>
        <w:tabs>
          <w:tab w:val="left" w:pos="567"/>
          <w:tab w:val="left" w:pos="1620"/>
        </w:tabs>
        <w:spacing w:line="312" w:lineRule="auto"/>
        <w:rPr>
          <w:rFonts w:asciiTheme="minorHAnsi" w:eastAsia="Open Sans" w:hAnsiTheme="minorHAnsi" w:cstheme="minorHAnsi"/>
          <w:color w:val="000000"/>
          <w:sz w:val="22"/>
          <w:szCs w:val="22"/>
        </w:rPr>
      </w:pPr>
    </w:p>
    <w:p w14:paraId="43925D79" w14:textId="04889E45" w:rsidR="007372B6" w:rsidRDefault="00000000">
      <w:pPr>
        <w:tabs>
          <w:tab w:val="left" w:pos="567"/>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 xml:space="preserve">1. </w:t>
      </w:r>
      <w:r>
        <w:rPr>
          <w:rFonts w:asciiTheme="minorHAnsi" w:eastAsia="Open Sans" w:hAnsiTheme="minorHAnsi" w:cstheme="minorBidi"/>
          <w:color w:val="000000" w:themeColor="text1"/>
          <w:sz w:val="22"/>
          <w:szCs w:val="22"/>
        </w:rPr>
        <w:t>The MTR recommended actions to accelerate the HACT assessments for the IP contracts. This took some time to be completed and reportedly led to interim activity financing difficulties for some of the implementing partners. The MTR also recommended a team building and monitoring results retreat, and further action to establish standard operating procedures for administrative processes (streamlined allocation and disbursement) and inclusion of monitoring elements in funding agreements with IPs.  The stakeholders indicated that some action was taken to resolve the administration issues, although not to the extent recommended by the MTR</w:t>
      </w:r>
      <w:r>
        <w:rPr>
          <w:rFonts w:asciiTheme="minorHAnsi" w:eastAsia="Open Sans" w:hAnsiTheme="minorHAnsi" w:cstheme="minorBidi"/>
          <w:i/>
          <w:iCs/>
          <w:color w:val="000000" w:themeColor="text1"/>
          <w:sz w:val="22"/>
          <w:szCs w:val="22"/>
        </w:rPr>
        <w:t xml:space="preserve">. </w:t>
      </w:r>
      <w:r>
        <w:rPr>
          <w:rFonts w:asciiTheme="minorHAnsi" w:eastAsia="Open Sans" w:hAnsiTheme="minorHAnsi" w:cstheme="minorBidi"/>
          <w:color w:val="000000" w:themeColor="text1"/>
          <w:sz w:val="22"/>
          <w:szCs w:val="22"/>
        </w:rPr>
        <w:t>In addition, in March/April 2022 there was an end of project symposium for the communities in the north, where all the catchment committees came together to launch the management plans and share results and lessons learned. Such a decentralized workshop can be considered adaptive management, even if little critical review and reflection seems to have occurred.</w:t>
      </w:r>
    </w:p>
    <w:p w14:paraId="6118D188" w14:textId="77777777" w:rsidR="007372B6" w:rsidRDefault="007372B6">
      <w:pPr>
        <w:tabs>
          <w:tab w:val="left" w:pos="567"/>
          <w:tab w:val="left" w:pos="1620"/>
        </w:tabs>
        <w:spacing w:line="312" w:lineRule="auto"/>
        <w:jc w:val="both"/>
        <w:rPr>
          <w:rFonts w:asciiTheme="minorHAnsi" w:eastAsia="Open Sans" w:hAnsiTheme="minorHAnsi" w:cstheme="minorHAnsi"/>
          <w:color w:val="000000"/>
          <w:sz w:val="22"/>
          <w:szCs w:val="22"/>
        </w:rPr>
      </w:pPr>
    </w:p>
    <w:p w14:paraId="102B41CD" w14:textId="77777777" w:rsidR="007372B6" w:rsidRDefault="00000000">
      <w:pPr>
        <w:tabs>
          <w:tab w:val="left" w:pos="567"/>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2. A review of Project Steering Committee meetings indicated few significant management adjustments to respond to challenges. Regarding Outcome 6, under time pressure near the end of the project, it was decided to redirect funding from policy development to reforestation. Given the lengthy implementation start-up and delays and project extensions, it is difficult to find a pro-active management approach to implementation. A distinct lack of national coordination and the failure to clearly assign lead roles in catchment area activities were identified in TE discussions as major failures along with the slow bureaucratic administrative processes and the constraints imposed by Covid travel restrictions.</w:t>
      </w:r>
    </w:p>
    <w:p w14:paraId="6687FE75" w14:textId="77777777" w:rsidR="007372B6" w:rsidRDefault="007372B6">
      <w:pPr>
        <w:tabs>
          <w:tab w:val="left" w:pos="567"/>
          <w:tab w:val="left" w:pos="1620"/>
        </w:tabs>
        <w:spacing w:line="312" w:lineRule="auto"/>
        <w:rPr>
          <w:rFonts w:asciiTheme="minorHAnsi" w:eastAsia="Open Sans" w:hAnsiTheme="minorHAnsi" w:cstheme="minorHAnsi"/>
          <w:color w:val="000000"/>
          <w:sz w:val="22"/>
          <w:szCs w:val="22"/>
        </w:rPr>
      </w:pPr>
    </w:p>
    <w:p w14:paraId="0A39B60F" w14:textId="77777777" w:rsidR="007372B6" w:rsidRDefault="00000000">
      <w:pPr>
        <w:tabs>
          <w:tab w:val="left" w:pos="567"/>
          <w:tab w:val="left" w:pos="1620"/>
        </w:tabs>
        <w:spacing w:line="312" w:lineRule="auto"/>
        <w:jc w:val="both"/>
        <w:rPr>
          <w:rFonts w:asciiTheme="minorHAnsi" w:hAnsiTheme="minorHAnsi" w:cstheme="minorHAnsi"/>
          <w:shd w:val="clear" w:color="auto" w:fill="FFFF00"/>
        </w:rPr>
      </w:pPr>
      <w:r>
        <w:rPr>
          <w:rFonts w:ascii="Calibri" w:eastAsia="Open Sans" w:hAnsi="Calibri" w:cstheme="minorHAnsi"/>
          <w:color w:val="000000"/>
          <w:sz w:val="22"/>
          <w:szCs w:val="22"/>
        </w:rPr>
        <w:t xml:space="preserve">3. UNDP raised concerns about the lack of progress on the project in the October 2018 PSC meeting, suggesting that the 8% delivery rate against the overall annual budget would make it difficult to implement a </w:t>
      </w:r>
      <w:proofErr w:type="gramStart"/>
      <w:r>
        <w:rPr>
          <w:rFonts w:ascii="Calibri" w:eastAsia="Open Sans" w:hAnsi="Calibri" w:cstheme="minorHAnsi"/>
          <w:color w:val="000000"/>
          <w:sz w:val="22"/>
          <w:szCs w:val="22"/>
        </w:rPr>
        <w:t>4 year</w:t>
      </w:r>
      <w:proofErr w:type="gramEnd"/>
      <w:r>
        <w:rPr>
          <w:rFonts w:ascii="Calibri" w:eastAsia="Open Sans" w:hAnsi="Calibri" w:cstheme="minorHAnsi"/>
          <w:color w:val="000000"/>
          <w:sz w:val="22"/>
          <w:szCs w:val="22"/>
        </w:rPr>
        <w:t xml:space="preserve"> project in the remaining 2 years. By April 2019</w:t>
      </w:r>
      <w:r>
        <w:rPr>
          <w:rFonts w:asciiTheme="minorHAnsi" w:eastAsia="Open Sans" w:hAnsiTheme="minorHAnsi" w:cstheme="minorHAnsi"/>
          <w:color w:val="000000"/>
          <w:sz w:val="22"/>
          <w:szCs w:val="22"/>
        </w:rPr>
        <w:t xml:space="preserve">, the implementation delays had not improved, and with the project’s August 2020 deadline approaching, the Government’s GEF Operational </w:t>
      </w:r>
      <w:r>
        <w:rPr>
          <w:rFonts w:asciiTheme="minorHAnsi" w:eastAsia="Open Sans" w:hAnsiTheme="minorHAnsi" w:cstheme="minorHAnsi"/>
          <w:color w:val="000000"/>
          <w:sz w:val="22"/>
          <w:szCs w:val="22"/>
        </w:rPr>
        <w:lastRenderedPageBreak/>
        <w:t>Focal Point in MOWE wrote a letter to UNDP requesting that the project abandon the National Implementation Modality (NIM) in favour of Direct Implementation Modality (DIM), which would allow UNDP to expedite delivery of project components, including project management.</w:t>
      </w:r>
      <w:r>
        <w:rPr>
          <w:rStyle w:val="FootnoteAnchor"/>
          <w:rFonts w:asciiTheme="minorHAnsi" w:eastAsia="Open Sans" w:hAnsiTheme="minorHAnsi" w:cstheme="minorHAnsi"/>
          <w:color w:val="000000"/>
          <w:sz w:val="22"/>
          <w:szCs w:val="22"/>
        </w:rPr>
        <w:footnoteReference w:id="26"/>
      </w:r>
      <w:r>
        <w:rPr>
          <w:rFonts w:asciiTheme="minorHAnsi" w:eastAsia="Open Sans" w:hAnsiTheme="minorHAnsi" w:cstheme="minorHAnsi"/>
          <w:color w:val="000000"/>
          <w:sz w:val="22"/>
          <w:szCs w:val="22"/>
        </w:rPr>
        <w:t xml:space="preserve"> Although the NIM modality wasn’t changed, t</w:t>
      </w:r>
      <w:r>
        <w:rPr>
          <w:rFonts w:ascii="Calibri" w:eastAsia="Open Sans" w:hAnsi="Calibri" w:cstheme="minorHAnsi"/>
          <w:color w:val="000000"/>
          <w:sz w:val="22"/>
          <w:szCs w:val="22"/>
        </w:rPr>
        <w:t>his situation prompted UNDP to get more involved in implementation by providing direct support services such as signing a series of Memorandum of Understandings (</w:t>
      </w:r>
      <w:proofErr w:type="spellStart"/>
      <w:r>
        <w:rPr>
          <w:rFonts w:ascii="Calibri" w:eastAsia="Open Sans" w:hAnsi="Calibri" w:cstheme="minorHAnsi"/>
          <w:color w:val="000000"/>
          <w:sz w:val="22"/>
          <w:szCs w:val="22"/>
        </w:rPr>
        <w:t>MoUs</w:t>
      </w:r>
      <w:proofErr w:type="spellEnd"/>
      <w:r>
        <w:rPr>
          <w:rFonts w:ascii="Calibri" w:eastAsia="Open Sans" w:hAnsi="Calibri" w:cstheme="minorHAnsi"/>
          <w:color w:val="000000"/>
          <w:sz w:val="22"/>
          <w:szCs w:val="22"/>
        </w:rPr>
        <w:t>), Letters of Agreement (</w:t>
      </w:r>
      <w:proofErr w:type="spellStart"/>
      <w:r>
        <w:rPr>
          <w:rFonts w:ascii="Calibri" w:eastAsia="Open Sans" w:hAnsi="Calibri" w:cstheme="minorHAnsi"/>
          <w:color w:val="000000"/>
          <w:sz w:val="22"/>
          <w:szCs w:val="22"/>
        </w:rPr>
        <w:t>LoAs</w:t>
      </w:r>
      <w:proofErr w:type="spellEnd"/>
      <w:r>
        <w:rPr>
          <w:rFonts w:ascii="Calibri" w:eastAsia="Open Sans" w:hAnsi="Calibri" w:cstheme="minorHAnsi"/>
          <w:color w:val="000000"/>
          <w:sz w:val="22"/>
          <w:szCs w:val="22"/>
        </w:rPr>
        <w:t xml:space="preserve">) and Low Value Grants (LVGs) with five government ministries, four NGOs and two regional institutes, which resulted in boosting the annual delivery rate to an acceptable </w:t>
      </w:r>
      <w:r>
        <w:rPr>
          <w:rFonts w:ascii="Calibri" w:eastAsia="Calibri" w:hAnsi="Calibri" w:cs="Calibri"/>
          <w:color w:val="000000"/>
          <w:w w:val="105"/>
          <w:kern w:val="2"/>
          <w:sz w:val="22"/>
          <w:szCs w:val="22"/>
          <w:lang w:val="en-CA" w:eastAsia="zh-CN" w:bidi="hi-IN"/>
        </w:rPr>
        <w:t>99</w:t>
      </w:r>
      <w:r>
        <w:rPr>
          <w:rFonts w:ascii="Calibri" w:eastAsia="Open Sans" w:hAnsi="Calibri" w:cstheme="minorHAnsi"/>
          <w:color w:val="000000"/>
          <w:sz w:val="22"/>
          <w:szCs w:val="22"/>
        </w:rPr>
        <w:t>% in 2020.</w:t>
      </w:r>
      <w:r>
        <w:rPr>
          <w:rStyle w:val="FootnoteAnchor"/>
          <w:rFonts w:ascii="Calibri" w:eastAsia="Open Sans" w:hAnsi="Calibri" w:cstheme="minorHAnsi"/>
          <w:color w:val="000000"/>
          <w:sz w:val="22"/>
          <w:szCs w:val="22"/>
        </w:rPr>
        <w:footnoteReference w:id="27"/>
      </w:r>
      <w:r>
        <w:rPr>
          <w:rFonts w:ascii="Calibri" w:eastAsia="Open Sans" w:hAnsi="Calibri" w:cstheme="minorHAnsi"/>
          <w:color w:val="000000"/>
          <w:sz w:val="22"/>
          <w:szCs w:val="22"/>
        </w:rPr>
        <w:t xml:space="preserve">  </w:t>
      </w:r>
    </w:p>
    <w:p w14:paraId="630A11F9" w14:textId="77777777" w:rsidR="007372B6" w:rsidRDefault="007372B6">
      <w:pPr>
        <w:tabs>
          <w:tab w:val="left" w:pos="567"/>
          <w:tab w:val="left" w:pos="1620"/>
        </w:tabs>
        <w:spacing w:line="312" w:lineRule="auto"/>
        <w:rPr>
          <w:rFonts w:asciiTheme="minorHAnsi" w:eastAsia="Open Sans" w:hAnsiTheme="minorHAnsi" w:cstheme="minorHAnsi"/>
          <w:color w:val="000000"/>
          <w:sz w:val="22"/>
          <w:szCs w:val="22"/>
        </w:rPr>
      </w:pPr>
    </w:p>
    <w:p w14:paraId="146063F6" w14:textId="77777777" w:rsidR="007372B6" w:rsidRDefault="00000000">
      <w:pPr>
        <w:tabs>
          <w:tab w:val="left" w:pos="567"/>
          <w:tab w:val="left" w:pos="1620"/>
        </w:tabs>
        <w:spacing w:line="312" w:lineRule="auto"/>
        <w:jc w:val="both"/>
        <w:rPr>
          <w:rFonts w:asciiTheme="minorHAnsi" w:hAnsiTheme="minorHAnsi" w:cstheme="minorHAnsi"/>
          <w:shd w:val="clear" w:color="auto" w:fill="FFFF00"/>
        </w:rPr>
      </w:pPr>
      <w:r>
        <w:rPr>
          <w:rFonts w:ascii="Calibri" w:eastAsia="Open Sans" w:hAnsi="Calibri" w:cstheme="minorHAnsi"/>
          <w:bCs/>
          <w:color w:val="000000"/>
          <w:sz w:val="22"/>
          <w:szCs w:val="22"/>
        </w:rPr>
        <w:t xml:space="preserve">4. </w:t>
      </w:r>
      <w:r>
        <w:rPr>
          <w:rFonts w:ascii="Calibri" w:eastAsia="Open Sans" w:hAnsi="Calibri" w:cstheme="minorBidi"/>
          <w:bCs/>
          <w:color w:val="000000" w:themeColor="text1"/>
          <w:sz w:val="22"/>
          <w:szCs w:val="22"/>
        </w:rPr>
        <w:t>The project's NIM designation was suggested as a constraint to UNDP intervention which may have been affected by limited risk management options to accelerate progress and coordination, and UNDP’s constraints on overcoming project executing agency management capacity limitations</w:t>
      </w:r>
      <w:r>
        <w:rPr>
          <w:rFonts w:ascii="Calibri" w:eastAsia="Open Sans" w:hAnsi="Calibri" w:cstheme="minorHAnsi"/>
          <w:bCs/>
          <w:color w:val="000000"/>
          <w:sz w:val="22"/>
          <w:szCs w:val="22"/>
        </w:rPr>
        <w:t>. Whatever the reason, according to participants, the management structure and processes led to confusion and delays.</w:t>
      </w:r>
    </w:p>
    <w:p w14:paraId="50E79A6D" w14:textId="77777777" w:rsidR="007372B6" w:rsidRDefault="007372B6">
      <w:pPr>
        <w:tabs>
          <w:tab w:val="left" w:pos="567"/>
          <w:tab w:val="left" w:pos="1620"/>
        </w:tabs>
        <w:spacing w:line="312" w:lineRule="auto"/>
        <w:jc w:val="both"/>
        <w:rPr>
          <w:rFonts w:asciiTheme="minorHAnsi" w:hAnsiTheme="minorHAnsi" w:cstheme="minorHAnsi"/>
          <w:shd w:val="clear" w:color="auto" w:fill="FFFF00"/>
        </w:rPr>
      </w:pPr>
    </w:p>
    <w:p w14:paraId="601C1B11" w14:textId="77777777" w:rsidR="007372B6" w:rsidRDefault="00000000">
      <w:pPr>
        <w:tabs>
          <w:tab w:val="left" w:pos="567"/>
          <w:tab w:val="left" w:pos="1620"/>
        </w:tabs>
        <w:spacing w:line="312" w:lineRule="auto"/>
        <w:jc w:val="both"/>
        <w:rPr>
          <w:rFonts w:cstheme="minorHAnsi"/>
        </w:rPr>
      </w:pPr>
      <w:r>
        <w:rPr>
          <w:rFonts w:ascii="Calibri" w:eastAsia="Open Sans" w:hAnsi="Calibri" w:cstheme="minorHAnsi"/>
          <w:bCs/>
          <w:color w:val="000000"/>
          <w:sz w:val="22"/>
          <w:szCs w:val="22"/>
        </w:rPr>
        <w:t xml:space="preserve">5. The job of managing the delays and making key decisions to ramp up project implementation fell to the Project Steering Committee, whose membership was made up almost entirely of Permanent Secretaries from the key government Ministries involved in implementation and/or co-financing (Local Government, Housing and Energy, Agriculture, Fisheries, Forestry, Provincial Development and National Disaster Management, </w:t>
      </w:r>
      <w:proofErr w:type="spellStart"/>
      <w:r>
        <w:rPr>
          <w:rFonts w:ascii="Calibri" w:eastAsia="Open Sans" w:hAnsi="Calibri" w:cstheme="minorHAnsi"/>
          <w:bCs/>
          <w:color w:val="000000"/>
          <w:sz w:val="22"/>
          <w:szCs w:val="22"/>
        </w:rPr>
        <w:t>iTaukei</w:t>
      </w:r>
      <w:proofErr w:type="spellEnd"/>
      <w:r>
        <w:rPr>
          <w:rFonts w:ascii="Calibri" w:eastAsia="Open Sans" w:hAnsi="Calibri" w:cstheme="minorHAnsi"/>
          <w:bCs/>
          <w:color w:val="000000"/>
          <w:sz w:val="22"/>
          <w:szCs w:val="22"/>
        </w:rPr>
        <w:t xml:space="preserve"> Affairs, Infrastructure and Transport, Strategic Planning, National Development and Statistics, and Environment), along with a representative from the UNDP Fiji MCO and a co-financing environmental academic institution (USP-IAS).</w:t>
      </w:r>
    </w:p>
    <w:p w14:paraId="3147425A" w14:textId="77777777" w:rsidR="007372B6" w:rsidRDefault="007372B6">
      <w:pPr>
        <w:tabs>
          <w:tab w:val="left" w:pos="567"/>
          <w:tab w:val="left" w:pos="1620"/>
        </w:tabs>
        <w:spacing w:line="312" w:lineRule="auto"/>
        <w:jc w:val="both"/>
        <w:rPr>
          <w:rFonts w:cstheme="minorHAnsi"/>
          <w:shd w:val="clear" w:color="auto" w:fill="FFFF00"/>
        </w:rPr>
      </w:pPr>
    </w:p>
    <w:p w14:paraId="15C9551C" w14:textId="77777777" w:rsidR="007372B6" w:rsidRDefault="00000000">
      <w:pPr>
        <w:tabs>
          <w:tab w:val="left" w:pos="567"/>
          <w:tab w:val="left" w:pos="1620"/>
        </w:tabs>
        <w:spacing w:line="312" w:lineRule="auto"/>
        <w:jc w:val="both"/>
        <w:rPr>
          <w:rFonts w:cstheme="minorHAnsi"/>
        </w:rPr>
      </w:pPr>
      <w:r>
        <w:rPr>
          <w:rFonts w:ascii="Calibri" w:eastAsia="Open Sans" w:hAnsi="Calibri" w:cstheme="minorHAnsi"/>
          <w:bCs/>
          <w:color w:val="000000"/>
          <w:sz w:val="22"/>
          <w:szCs w:val="22"/>
        </w:rPr>
        <w:t xml:space="preserve">6. PSC meetings were held annually, and there was a provision for holding ad hoc meetings on an as needed basis. This became necessary in 2018 when three meetings were held (February, June and October) in an attempt to boost project delivery, which was performing well below what had been expected. One meeting was held in 2019 (November), two in 2020 (March and September), one in 2021 (November) and one in 2022 (July). </w:t>
      </w:r>
    </w:p>
    <w:p w14:paraId="67D2C18D" w14:textId="77777777" w:rsidR="007372B6" w:rsidRDefault="007372B6">
      <w:pPr>
        <w:tabs>
          <w:tab w:val="left" w:pos="567"/>
          <w:tab w:val="left" w:pos="1620"/>
        </w:tabs>
        <w:spacing w:line="312" w:lineRule="auto"/>
        <w:jc w:val="both"/>
        <w:rPr>
          <w:rFonts w:ascii="Calibri" w:hAnsi="Calibri" w:cs="MyriadPro-Bold"/>
          <w:bCs/>
          <w:color w:val="000000"/>
          <w:spacing w:val="-2"/>
          <w:sz w:val="22"/>
          <w:szCs w:val="22"/>
          <w:lang w:val="en-GB" w:eastAsia="en-US"/>
        </w:rPr>
      </w:pPr>
    </w:p>
    <w:p w14:paraId="1B5828C6" w14:textId="77777777" w:rsidR="007372B6" w:rsidRDefault="00000000">
      <w:pPr>
        <w:tabs>
          <w:tab w:val="left" w:pos="567"/>
          <w:tab w:val="left" w:pos="1620"/>
        </w:tabs>
        <w:spacing w:line="312" w:lineRule="auto"/>
        <w:contextualSpacing/>
        <w:jc w:val="both"/>
        <w:rPr>
          <w:rFonts w:ascii="Calibri" w:eastAsia="Open Sans" w:hAnsi="Calibri" w:cstheme="minorHAnsi"/>
          <w:bCs/>
          <w:color w:val="000000"/>
          <w:spacing w:val="-2"/>
          <w:sz w:val="22"/>
          <w:szCs w:val="22"/>
          <w:lang w:val="en-GB" w:eastAsia="en-US"/>
        </w:rPr>
      </w:pPr>
      <w:r>
        <w:rPr>
          <w:rFonts w:ascii="Calibri" w:eastAsia="Open Sans" w:hAnsi="Calibri" w:cstheme="minorHAnsi"/>
          <w:bCs/>
          <w:color w:val="000000"/>
          <w:spacing w:val="-2"/>
          <w:sz w:val="22"/>
          <w:szCs w:val="22"/>
          <w:lang w:val="en-GB" w:eastAsia="en-US"/>
        </w:rPr>
        <w:t xml:space="preserve">7. The Covid pandemic, which surfaced in early 2020, imposed restrictions on travel both internationally to and internally within Fiji. This placed additional constraints on project activities that had already been significantly delayed. NGOs and implementing partners indicated that they were not able to travel to the communities to undertake the necessary studies, monitoring visits, or to convene consultations or meetings with local stakeholders. This further delayed implementation of activities, which together with a lack of national coordination and the failure of the PSC to clearly assign lead roles in catchment area activities, led to the need for two no-cost extensions. Nevertheless, UNDP and the project team were able to quickly adjust to the new way of working remotely, by recruiting a home-based CTA, and other technical experts and consultants. Prior to the MTR, there was no CTA, the absence of which perhaps aggravated </w:t>
      </w:r>
      <w:r>
        <w:rPr>
          <w:rFonts w:ascii="Calibri" w:eastAsia="Open Sans" w:hAnsi="Calibri" w:cstheme="minorHAnsi"/>
          <w:bCs/>
          <w:color w:val="000000"/>
          <w:spacing w:val="-2"/>
          <w:sz w:val="22"/>
          <w:szCs w:val="22"/>
          <w:lang w:val="en-GB" w:eastAsia="en-US"/>
        </w:rPr>
        <w:lastRenderedPageBreak/>
        <w:t>many of the problems surrounding proper management and technical leadership. Similarly, community engagement had to be undertaken using remote technology (via zoom and WhatsApp). According to the IPs interviewed for the TE, this was not very successful, and led to delays in implementation and interrupted the proper sequencing of activities: for example, where baseline, studies and implementation activities were all occurring at the same time.</w:t>
      </w:r>
    </w:p>
    <w:p w14:paraId="2020F2A6" w14:textId="77777777" w:rsidR="007372B6" w:rsidRDefault="007372B6">
      <w:pPr>
        <w:tabs>
          <w:tab w:val="left" w:pos="567"/>
          <w:tab w:val="left" w:pos="1620"/>
        </w:tabs>
        <w:spacing w:line="312" w:lineRule="auto"/>
        <w:contextualSpacing/>
        <w:jc w:val="both"/>
        <w:rPr>
          <w:rFonts w:ascii="Calibri" w:eastAsia="Open Sans" w:hAnsi="Calibri" w:cstheme="minorHAnsi"/>
          <w:bCs/>
          <w:color w:val="000000"/>
          <w:spacing w:val="-2"/>
          <w:sz w:val="22"/>
          <w:szCs w:val="22"/>
          <w:lang w:val="en-GB" w:eastAsia="en-US"/>
        </w:rPr>
      </w:pPr>
    </w:p>
    <w:p w14:paraId="2B097F0E" w14:textId="77777777" w:rsidR="007372B6" w:rsidRDefault="00000000">
      <w:pPr>
        <w:tabs>
          <w:tab w:val="left" w:pos="567"/>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 xml:space="preserve">8. The government commitment to national tree planting targets and other changes after 2017 project approval led to some adjustments in activity planning and adaptation to Covid and other circumstances. The technical surveys and studies also apparently influenced subsequent catchment area and reforestation plans so some adaptive management may have occurred. But the lack of a systematic and reliable monitoring system and deficiencies in national project coordination also severely inhibited adaptive management modalities. Part of the problem may have originated in an inflexible STAR allocation to GEF focal areas rather than cross-cutting watershed issues.  </w:t>
      </w:r>
    </w:p>
    <w:p w14:paraId="265C1122" w14:textId="77777777" w:rsidR="007372B6" w:rsidRDefault="00000000">
      <w:pPr>
        <w:tabs>
          <w:tab w:val="left" w:pos="567"/>
          <w:tab w:val="left" w:pos="1620"/>
        </w:tabs>
        <w:spacing w:line="312" w:lineRule="auto"/>
        <w:contextualSpacing/>
        <w:jc w:val="both"/>
      </w:pPr>
      <w:r>
        <w:rPr>
          <w:rFonts w:ascii="Calibri" w:hAnsi="Calibri" w:cs="MyriadPro-Bold"/>
          <w:bCs/>
          <w:color w:val="000000"/>
          <w:spacing w:val="-2"/>
          <w:sz w:val="22"/>
          <w:szCs w:val="22"/>
          <w:lang w:val="en-GB" w:eastAsia="en-US"/>
        </w:rPr>
        <w:t xml:space="preserve"> </w:t>
      </w:r>
    </w:p>
    <w:p w14:paraId="3509FF0C" w14:textId="77777777" w:rsidR="007372B6" w:rsidRDefault="00000000">
      <w:pPr>
        <w:pStyle w:val="ListParagraph"/>
        <w:tabs>
          <w:tab w:val="left" w:pos="567"/>
          <w:tab w:val="left" w:pos="1620"/>
        </w:tabs>
        <w:ind w:left="850"/>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4.2.2</w:t>
      </w:r>
      <w:r>
        <w:rPr>
          <w:rFonts w:asciiTheme="minorHAnsi" w:eastAsia="Open Sans" w:hAnsiTheme="minorHAnsi" w:cstheme="minorHAnsi"/>
          <w:b/>
          <w:bCs/>
          <w:color w:val="000000"/>
          <w:sz w:val="22"/>
          <w:szCs w:val="22"/>
        </w:rPr>
        <w:tab/>
        <w:t>Actual stakeholder participation and partnership arrangements</w:t>
      </w:r>
    </w:p>
    <w:p w14:paraId="5B8A43F4" w14:textId="77777777" w:rsidR="007372B6" w:rsidRDefault="007372B6">
      <w:pPr>
        <w:pStyle w:val="BodyText"/>
        <w:tabs>
          <w:tab w:val="left" w:pos="567"/>
          <w:tab w:val="left" w:pos="1620"/>
        </w:tabs>
        <w:spacing w:after="0"/>
        <w:contextualSpacing/>
        <w:rPr>
          <w:rFonts w:ascii="Calibri;sans-serif" w:hAnsi="Calibri;sans-serif"/>
          <w:color w:val="FF0000"/>
          <w:sz w:val="22"/>
        </w:rPr>
      </w:pPr>
    </w:p>
    <w:p w14:paraId="625DC440" w14:textId="77777777" w:rsidR="007372B6" w:rsidRDefault="00000000">
      <w:pPr>
        <w:tabs>
          <w:tab w:val="left" w:pos="567"/>
          <w:tab w:val="left" w:pos="1620"/>
        </w:tabs>
        <w:spacing w:line="312" w:lineRule="auto"/>
        <w:contextualSpacing/>
        <w:jc w:val="both"/>
        <w:rPr>
          <w:rFonts w:asciiTheme="minorHAnsi" w:hAnsiTheme="minorHAnsi" w:cstheme="minorHAnsi"/>
          <w:color w:val="000000"/>
          <w:sz w:val="22"/>
          <w:szCs w:val="22"/>
        </w:rPr>
      </w:pPr>
      <w:r>
        <w:rPr>
          <w:rFonts w:asciiTheme="minorHAnsi" w:hAnsiTheme="minorHAnsi" w:cstheme="minorHAnsi"/>
          <w:bCs/>
          <w:color w:val="000000"/>
          <w:sz w:val="22"/>
          <w:szCs w:val="22"/>
        </w:rPr>
        <w:t xml:space="preserve">9. According to many interviewees, MOWE was not very effective in coordinating the many implementing partners, nor did the project staff have the technical capacity to understand the complexities of a Ridge to Reef project. As a result, rather than using an integrated framework, the project ended up being implemented in silos with each ministry following their sector priorities (Forestry, Fisheries, Environment, </w:t>
      </w:r>
      <w:proofErr w:type="spellStart"/>
      <w:r>
        <w:rPr>
          <w:rFonts w:ascii="Calibri" w:hAnsi="Calibri" w:cs="Calibri"/>
          <w:bCs/>
          <w:color w:val="000000"/>
          <w:sz w:val="22"/>
          <w:szCs w:val="22"/>
        </w:rPr>
        <w:t>iTaukei</w:t>
      </w:r>
      <w:proofErr w:type="spellEnd"/>
      <w:r>
        <w:rPr>
          <w:rFonts w:ascii="Calibri" w:hAnsi="Calibri" w:cs="Calibri"/>
          <w:bCs/>
          <w:color w:val="000000"/>
          <w:sz w:val="22"/>
          <w:szCs w:val="22"/>
        </w:rPr>
        <w:t xml:space="preserve"> Affairs</w:t>
      </w:r>
      <w:r>
        <w:rPr>
          <w:rFonts w:asciiTheme="minorHAnsi" w:hAnsiTheme="minorHAnsi" w:cstheme="minorHAnsi"/>
          <w:bCs/>
          <w:color w:val="000000"/>
          <w:sz w:val="22"/>
          <w:szCs w:val="22"/>
        </w:rPr>
        <w:t xml:space="preserve">, Rural Development, etc.). </w:t>
      </w:r>
    </w:p>
    <w:p w14:paraId="423EB892" w14:textId="77777777" w:rsidR="007372B6" w:rsidRDefault="007372B6">
      <w:pPr>
        <w:tabs>
          <w:tab w:val="left" w:pos="567"/>
          <w:tab w:val="left" w:pos="1620"/>
        </w:tabs>
        <w:spacing w:line="312" w:lineRule="auto"/>
        <w:contextualSpacing/>
        <w:jc w:val="both"/>
        <w:rPr>
          <w:rFonts w:asciiTheme="minorHAnsi" w:hAnsiTheme="minorHAnsi" w:cstheme="minorHAnsi"/>
          <w:color w:val="000000"/>
          <w:sz w:val="22"/>
          <w:szCs w:val="22"/>
        </w:rPr>
      </w:pPr>
    </w:p>
    <w:p w14:paraId="7B3B9366" w14:textId="77777777" w:rsidR="007372B6" w:rsidRDefault="00000000">
      <w:pPr>
        <w:pStyle w:val="BodyText"/>
        <w:spacing w:after="0" w:line="312" w:lineRule="auto"/>
        <w:contextualSpacing/>
        <w:jc w:val="both"/>
        <w:rPr>
          <w:sz w:val="22"/>
          <w:szCs w:val="22"/>
          <w:shd w:val="clear" w:color="auto" w:fill="FFFF00"/>
        </w:rPr>
      </w:pPr>
      <w:r>
        <w:rPr>
          <w:rFonts w:ascii="Calibri Light" w:hAnsi="Calibri Light" w:cs="Calibri Light"/>
          <w:bCs/>
          <w:color w:val="000000"/>
          <w:sz w:val="22"/>
          <w:szCs w:val="22"/>
        </w:rPr>
        <w:t>10. During the protracted start-up period, which lasted more than two years, t</w:t>
      </w:r>
      <w:r>
        <w:rPr>
          <w:rFonts w:ascii="Calibri" w:eastAsia="Open Sans" w:hAnsi="Calibri" w:cstheme="minorHAnsi"/>
          <w:bCs/>
          <w:color w:val="000000"/>
          <w:sz w:val="22"/>
          <w:szCs w:val="22"/>
        </w:rPr>
        <w:t xml:space="preserve">here were difficult negotiations with government about the terms of IP contracts and disagreements over lead roles in each activity component that caused significant delays and </w:t>
      </w:r>
      <w:r>
        <w:rPr>
          <w:rFonts w:ascii="Calibri Light" w:eastAsia="Open Sans" w:hAnsi="Calibri Light" w:cs="Calibri Light"/>
          <w:bCs/>
          <w:color w:val="000000"/>
          <w:sz w:val="22"/>
          <w:szCs w:val="22"/>
        </w:rPr>
        <w:t>substantial changes</w:t>
      </w:r>
      <w:r>
        <w:rPr>
          <w:rFonts w:ascii="Calibri" w:eastAsia="Open Sans" w:hAnsi="Calibri" w:cstheme="minorHAnsi"/>
          <w:bCs/>
          <w:color w:val="000000"/>
          <w:sz w:val="22"/>
          <w:szCs w:val="22"/>
        </w:rPr>
        <w:t xml:space="preserve"> in </w:t>
      </w:r>
      <w:r>
        <w:rPr>
          <w:rFonts w:ascii="Calibri Light" w:hAnsi="Calibri Light" w:cs="Calibri Light"/>
          <w:bCs/>
          <w:color w:val="000000"/>
          <w:sz w:val="22"/>
          <w:szCs w:val="22"/>
        </w:rPr>
        <w:t>t</w:t>
      </w:r>
      <w:r>
        <w:rPr>
          <w:rFonts w:asciiTheme="minorHAnsi" w:hAnsiTheme="minorHAnsi" w:cstheme="minorHAnsi"/>
          <w:bCs/>
          <w:color w:val="000000"/>
          <w:sz w:val="22"/>
          <w:szCs w:val="22"/>
        </w:rPr>
        <w:t>he roles and responsibilities of national and local stakeholders</w:t>
      </w:r>
      <w:r>
        <w:rPr>
          <w:rFonts w:ascii="Calibri Light" w:hAnsi="Calibri Light" w:cs="Calibri Light"/>
          <w:bCs/>
          <w:color w:val="000000"/>
          <w:sz w:val="22"/>
          <w:szCs w:val="22"/>
        </w:rPr>
        <w:t>. For example,</w:t>
      </w:r>
      <w:r>
        <w:rPr>
          <w:rFonts w:asciiTheme="minorHAnsi" w:hAnsiTheme="minorHAnsi" w:cstheme="minorHAnsi"/>
          <w:bCs/>
          <w:color w:val="000000"/>
          <w:sz w:val="22"/>
          <w:szCs w:val="22"/>
        </w:rPr>
        <w:t xml:space="preserve"> NGOs that had worked in the communities for decades, building capacity and trust, were concerned about the need for better coordination at the national and community levels. During the initial</w:t>
      </w:r>
      <w:r>
        <w:rPr>
          <w:rFonts w:ascii="Calibri Light" w:hAnsi="Calibri Light" w:cstheme="minorHAnsi"/>
          <w:bCs/>
          <w:color w:val="000000"/>
          <w:sz w:val="22"/>
          <w:szCs w:val="22"/>
        </w:rPr>
        <w:t xml:space="preserve"> </w:t>
      </w:r>
      <w:r>
        <w:rPr>
          <w:rFonts w:asciiTheme="minorHAnsi" w:hAnsiTheme="minorHAnsi" w:cstheme="minorHAnsi"/>
          <w:bCs/>
          <w:color w:val="000000"/>
          <w:sz w:val="22"/>
          <w:szCs w:val="22"/>
        </w:rPr>
        <w:t>consultations, they expressed a need for each community to be led by a particular Implementation Partner or NGO throughout the period of implementation so as to minimize confusion. However, this was not adopted by the PSC, and as a result during implementation it was observed that in communities where an IP took the lead (WWF in Ba and Labasa, and CI in Tuva) the members were much more involved and aware (including taking ownership), while the 3 communities without a lead IP (</w:t>
      </w:r>
      <w:proofErr w:type="spellStart"/>
      <w:r>
        <w:rPr>
          <w:rFonts w:asciiTheme="minorHAnsi" w:hAnsiTheme="minorHAnsi" w:cstheme="minorHAnsi"/>
          <w:bCs/>
          <w:color w:val="000000"/>
          <w:sz w:val="22"/>
          <w:szCs w:val="22"/>
        </w:rPr>
        <w:t>Rewa-Waidina</w:t>
      </w:r>
      <w:proofErr w:type="spellEnd"/>
      <w:r>
        <w:rPr>
          <w:rFonts w:asciiTheme="minorHAnsi" w:hAnsiTheme="minorHAnsi" w:cstheme="minorHAnsi"/>
          <w:bCs/>
          <w:color w:val="000000"/>
          <w:sz w:val="22"/>
          <w:szCs w:val="22"/>
        </w:rPr>
        <w:t xml:space="preserve">, </w:t>
      </w:r>
      <w:proofErr w:type="spellStart"/>
      <w:r>
        <w:rPr>
          <w:rFonts w:asciiTheme="minorHAnsi" w:hAnsiTheme="minorHAnsi" w:cstheme="minorHAnsi"/>
          <w:bCs/>
          <w:color w:val="000000"/>
          <w:sz w:val="22"/>
          <w:szCs w:val="22"/>
        </w:rPr>
        <w:t>Tunuloa</w:t>
      </w:r>
      <w:proofErr w:type="spellEnd"/>
      <w:r>
        <w:rPr>
          <w:rFonts w:asciiTheme="minorHAnsi" w:hAnsiTheme="minorHAnsi" w:cstheme="minorHAnsi"/>
          <w:bCs/>
          <w:color w:val="000000"/>
          <w:sz w:val="22"/>
          <w:szCs w:val="22"/>
        </w:rPr>
        <w:t xml:space="preserve"> and </w:t>
      </w:r>
      <w:proofErr w:type="spellStart"/>
      <w:r>
        <w:rPr>
          <w:rFonts w:asciiTheme="minorHAnsi" w:hAnsiTheme="minorHAnsi" w:cstheme="minorHAnsi"/>
          <w:bCs/>
          <w:color w:val="000000"/>
          <w:sz w:val="22"/>
          <w:szCs w:val="22"/>
        </w:rPr>
        <w:t>Vunivia</w:t>
      </w:r>
      <w:proofErr w:type="spellEnd"/>
      <w:r>
        <w:rPr>
          <w:rFonts w:asciiTheme="minorHAnsi" w:hAnsiTheme="minorHAnsi" w:cstheme="minorHAnsi"/>
          <w:bCs/>
          <w:color w:val="000000"/>
          <w:sz w:val="22"/>
          <w:szCs w:val="22"/>
        </w:rPr>
        <w:t xml:space="preserve">) were left confused as to how the project would benefit them. </w:t>
      </w:r>
    </w:p>
    <w:p w14:paraId="3792B281" w14:textId="77777777" w:rsidR="007372B6" w:rsidRDefault="007372B6">
      <w:pPr>
        <w:tabs>
          <w:tab w:val="left" w:pos="567"/>
          <w:tab w:val="left" w:pos="1620"/>
        </w:tabs>
        <w:spacing w:line="312" w:lineRule="auto"/>
        <w:jc w:val="both"/>
        <w:rPr>
          <w:rFonts w:asciiTheme="minorHAnsi" w:hAnsiTheme="minorHAnsi" w:cstheme="minorHAnsi"/>
          <w:color w:val="000000"/>
          <w:sz w:val="22"/>
          <w:szCs w:val="22"/>
        </w:rPr>
      </w:pPr>
    </w:p>
    <w:p w14:paraId="11D6E1D9" w14:textId="77777777" w:rsidR="007372B6" w:rsidRDefault="00000000">
      <w:pPr>
        <w:tabs>
          <w:tab w:val="left" w:pos="567"/>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11. At the community level, the primary stakeholder participation occurred in the preparation of the catchment area plans. Although there is no record of the participants, the documents reflect local issues and priorities that resulted from community discussions.</w:t>
      </w:r>
      <w:r>
        <w:rPr>
          <w:rFonts w:asciiTheme="minorHAnsi" w:eastAsiaTheme="minorHAnsi" w:hAnsiTheme="minorHAnsi" w:cstheme="minorHAnsi"/>
          <w:color w:val="000000"/>
          <w:sz w:val="22"/>
          <w:szCs w:val="22"/>
          <w:lang w:val="en-CA" w:eastAsia="en-US"/>
        </w:rPr>
        <w:t xml:space="preserve"> The men, women and youth were separated into groups and discussions were centred on benefits or loss of biodiversity, livelihoods, health, culture and traditions, etc.</w:t>
      </w:r>
      <w:r>
        <w:rPr>
          <w:rFonts w:asciiTheme="minorHAnsi" w:hAnsiTheme="minorHAnsi" w:cstheme="minorHAnsi"/>
          <w:color w:val="000000"/>
          <w:sz w:val="22"/>
          <w:szCs w:val="22"/>
        </w:rPr>
        <w:t xml:space="preserve"> From the TE interviews and field visits, there appears to have been generally good </w:t>
      </w:r>
      <w:r>
        <w:rPr>
          <w:rFonts w:asciiTheme="minorHAnsi" w:hAnsiTheme="minorHAnsi" w:cstheme="minorHAnsi"/>
          <w:color w:val="000000"/>
          <w:sz w:val="22"/>
          <w:szCs w:val="22"/>
        </w:rPr>
        <w:lastRenderedPageBreak/>
        <w:t>local collaboration in the catchment planning processes. Local representatives and guides from the communities were directly engaged. In the biological surveys, MOWE PMU and line ministries in the area of research/study were invited, and in many instances, there was good participation. The survey teams camped with local communities and there were good exchanges on what some of the findings were and why the research was important, resulting in some capacity-building.</w:t>
      </w:r>
    </w:p>
    <w:p w14:paraId="7BA2F348" w14:textId="77777777" w:rsidR="007372B6" w:rsidRDefault="007372B6">
      <w:pPr>
        <w:tabs>
          <w:tab w:val="left" w:pos="567"/>
          <w:tab w:val="left" w:pos="1620"/>
        </w:tabs>
        <w:spacing w:line="312" w:lineRule="auto"/>
        <w:jc w:val="both"/>
        <w:rPr>
          <w:rFonts w:asciiTheme="minorHAnsi" w:hAnsiTheme="minorHAnsi" w:cstheme="minorHAnsi"/>
          <w:color w:val="000000"/>
          <w:sz w:val="22"/>
          <w:szCs w:val="22"/>
        </w:rPr>
      </w:pPr>
    </w:p>
    <w:p w14:paraId="355C0CDD" w14:textId="2C874EED" w:rsidR="007372B6" w:rsidRDefault="00000000">
      <w:pPr>
        <w:tabs>
          <w:tab w:val="left" w:pos="567"/>
          <w:tab w:val="left" w:pos="1620"/>
        </w:tabs>
        <w:spacing w:line="312" w:lineRule="auto"/>
        <w:jc w:val="both"/>
        <w:rPr>
          <w:rFonts w:asciiTheme="minorHAnsi" w:hAnsiTheme="minorHAnsi" w:cstheme="minorHAnsi"/>
          <w:color w:val="000000"/>
          <w:sz w:val="22"/>
          <w:szCs w:val="22"/>
        </w:rPr>
      </w:pPr>
      <w:r>
        <w:rPr>
          <w:rFonts w:ascii="Calibri" w:hAnsi="Calibri" w:cstheme="minorHAnsi"/>
          <w:color w:val="000000"/>
          <w:sz w:val="22"/>
          <w:szCs w:val="22"/>
        </w:rPr>
        <w:t xml:space="preserve">12. The participation of NGOs as intermediaries or brokers operating between the desired project results and the needs of the communities might have been better coordinated had the PSC adopted the suggestion that particular NGOs take a lead role in implementing project activities in specific catchments. Instead, participation by NGOs was done on an informal basis, based on the NGO’s past experience of working a particular community. For example, none of the NGOs had worked in Tuva before, but CI agreed to work there on the condition that it was allowed to take the lead in implementation. Table 2 shows the general and sporadic allocation of various responsibilities carried out by NGOs among the catchment areas. </w:t>
      </w:r>
    </w:p>
    <w:p w14:paraId="27664FEE" w14:textId="77777777" w:rsidR="007372B6" w:rsidRDefault="00000000">
      <w:pPr>
        <w:tabs>
          <w:tab w:val="left" w:pos="567"/>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1B15288B" w14:textId="77777777" w:rsidR="007372B6" w:rsidRDefault="00000000">
      <w:pPr>
        <w:widowControl w:val="0"/>
        <w:tabs>
          <w:tab w:val="left" w:pos="567"/>
          <w:tab w:val="left" w:pos="1620"/>
        </w:tabs>
        <w:spacing w:before="120" w:after="120" w:line="312" w:lineRule="auto"/>
        <w:contextualSpacing/>
        <w:jc w:val="center"/>
        <w:rPr>
          <w:rFonts w:asciiTheme="minorHAnsi" w:hAnsiTheme="minorHAnsi" w:cstheme="minorHAnsi"/>
          <w:color w:val="000000"/>
          <w:sz w:val="22"/>
          <w:szCs w:val="22"/>
        </w:rPr>
      </w:pPr>
      <w:r>
        <w:rPr>
          <w:rFonts w:ascii="Calibri" w:eastAsiaTheme="minorHAnsi" w:hAnsi="Calibri" w:cs="Calibri"/>
          <w:b/>
          <w:bCs/>
          <w:color w:val="000000"/>
          <w:sz w:val="22"/>
          <w:szCs w:val="22"/>
          <w:lang w:val="en-CA" w:eastAsia="en-US"/>
        </w:rPr>
        <w:t>Table 2: Project Activities undertaken by Lead NGOs/Agencies in each Catchment Area</w:t>
      </w:r>
    </w:p>
    <w:tbl>
      <w:tblPr>
        <w:tblW w:w="5000" w:type="pct"/>
        <w:tblLayout w:type="fixed"/>
        <w:tblCellMar>
          <w:left w:w="5" w:type="dxa"/>
          <w:right w:w="5" w:type="dxa"/>
        </w:tblCellMar>
        <w:tblLook w:val="04A0" w:firstRow="1" w:lastRow="0" w:firstColumn="1" w:lastColumn="0" w:noHBand="0" w:noVBand="1"/>
      </w:tblPr>
      <w:tblGrid>
        <w:gridCol w:w="1871"/>
        <w:gridCol w:w="802"/>
        <w:gridCol w:w="1339"/>
        <w:gridCol w:w="1342"/>
        <w:gridCol w:w="1338"/>
        <w:gridCol w:w="1341"/>
        <w:gridCol w:w="1337"/>
      </w:tblGrid>
      <w:tr w:rsidR="007372B6" w14:paraId="714136B8" w14:textId="77777777">
        <w:tc>
          <w:tcPr>
            <w:tcW w:w="1870" w:type="dxa"/>
            <w:tcBorders>
              <w:top w:val="single" w:sz="4" w:space="0" w:color="000000"/>
              <w:left w:val="single" w:sz="4" w:space="0" w:color="000000"/>
              <w:bottom w:val="single" w:sz="4" w:space="0" w:color="000000"/>
              <w:right w:val="single" w:sz="4" w:space="0" w:color="000000"/>
            </w:tcBorders>
            <w:shd w:val="clear" w:color="auto" w:fill="E6E6FF"/>
          </w:tcPr>
          <w:p w14:paraId="15C11020" w14:textId="77777777" w:rsidR="007372B6" w:rsidRDefault="00000000">
            <w:pPr>
              <w:pStyle w:val="TableContents"/>
              <w:jc w:val="center"/>
              <w:rPr>
                <w:b/>
                <w:bCs/>
                <w:color w:val="000000"/>
                <w:sz w:val="20"/>
                <w:szCs w:val="20"/>
              </w:rPr>
            </w:pPr>
            <w:r>
              <w:rPr>
                <w:rFonts w:ascii="Calibri;sans-serif" w:hAnsi="Calibri;sans-serif"/>
                <w:b/>
                <w:bCs/>
                <w:color w:val="000000"/>
                <w:sz w:val="20"/>
                <w:szCs w:val="20"/>
              </w:rPr>
              <w:t>Catchment Area/</w:t>
            </w:r>
          </w:p>
          <w:p w14:paraId="2A9454DF" w14:textId="77777777" w:rsidR="007372B6" w:rsidRDefault="00000000">
            <w:pPr>
              <w:pStyle w:val="TableContents"/>
              <w:jc w:val="center"/>
              <w:rPr>
                <w:b/>
                <w:bCs/>
                <w:color w:val="000000"/>
                <w:sz w:val="20"/>
                <w:szCs w:val="20"/>
              </w:rPr>
            </w:pPr>
            <w:r>
              <w:rPr>
                <w:rFonts w:ascii="Calibri;sans-serif" w:hAnsi="Calibri;sans-serif"/>
                <w:b/>
                <w:bCs/>
                <w:color w:val="000000"/>
                <w:sz w:val="20"/>
                <w:szCs w:val="20"/>
              </w:rPr>
              <w:t>Lead agency</w:t>
            </w:r>
          </w:p>
        </w:tc>
        <w:tc>
          <w:tcPr>
            <w:tcW w:w="3479" w:type="dxa"/>
            <w:gridSpan w:val="3"/>
            <w:tcBorders>
              <w:top w:val="single" w:sz="4" w:space="0" w:color="000000"/>
              <w:left w:val="single" w:sz="4" w:space="0" w:color="000000"/>
              <w:bottom w:val="single" w:sz="4" w:space="0" w:color="000000"/>
              <w:right w:val="single" w:sz="4" w:space="0" w:color="000000"/>
            </w:tcBorders>
            <w:shd w:val="clear" w:color="auto" w:fill="E6E6FF"/>
          </w:tcPr>
          <w:p w14:paraId="1788C029" w14:textId="77777777" w:rsidR="007372B6" w:rsidRDefault="00000000">
            <w:pPr>
              <w:widowControl w:val="0"/>
              <w:tabs>
                <w:tab w:val="left" w:pos="567"/>
                <w:tab w:val="left" w:pos="1620"/>
              </w:tabs>
              <w:spacing w:before="120" w:after="120" w:line="312" w:lineRule="auto"/>
              <w:contextualSpacing/>
              <w:jc w:val="center"/>
              <w:rPr>
                <w:rFonts w:ascii="Calibri;sans-serif" w:hAnsi="Calibri;sans-serif"/>
                <w:b/>
                <w:bCs/>
                <w:color w:val="000000"/>
              </w:rPr>
            </w:pPr>
            <w:r>
              <w:rPr>
                <w:rFonts w:ascii="Calibri;sans-serif" w:hAnsi="Calibri;sans-serif"/>
                <w:b/>
                <w:bCs/>
                <w:color w:val="000000"/>
                <w:sz w:val="22"/>
                <w:szCs w:val="22"/>
              </w:rPr>
              <w:t xml:space="preserve">Viti </w:t>
            </w:r>
            <w:proofErr w:type="spellStart"/>
            <w:r>
              <w:rPr>
                <w:rFonts w:ascii="Calibri;sans-serif" w:hAnsi="Calibri;sans-serif"/>
                <w:b/>
                <w:bCs/>
                <w:color w:val="000000"/>
                <w:sz w:val="22"/>
                <w:szCs w:val="22"/>
              </w:rPr>
              <w:t>Levu</w:t>
            </w:r>
            <w:proofErr w:type="spellEnd"/>
          </w:p>
        </w:tc>
        <w:tc>
          <w:tcPr>
            <w:tcW w:w="4010" w:type="dxa"/>
            <w:gridSpan w:val="3"/>
            <w:tcBorders>
              <w:top w:val="single" w:sz="4" w:space="0" w:color="000000"/>
              <w:left w:val="single" w:sz="4" w:space="0" w:color="000000"/>
              <w:bottom w:val="single" w:sz="4" w:space="0" w:color="000000"/>
              <w:right w:val="single" w:sz="4" w:space="0" w:color="000000"/>
            </w:tcBorders>
            <w:shd w:val="clear" w:color="auto" w:fill="E6E6FF"/>
          </w:tcPr>
          <w:p w14:paraId="7440B3DE" w14:textId="77777777" w:rsidR="007372B6" w:rsidRDefault="00000000">
            <w:pPr>
              <w:widowControl w:val="0"/>
              <w:tabs>
                <w:tab w:val="left" w:pos="567"/>
                <w:tab w:val="left" w:pos="1620"/>
              </w:tabs>
              <w:spacing w:before="120" w:after="120" w:line="312" w:lineRule="auto"/>
              <w:contextualSpacing/>
              <w:jc w:val="center"/>
              <w:rPr>
                <w:rFonts w:ascii="Calibri;sans-serif" w:hAnsi="Calibri;sans-serif"/>
                <w:b/>
                <w:bCs/>
                <w:color w:val="000000"/>
              </w:rPr>
            </w:pPr>
            <w:r>
              <w:rPr>
                <w:rFonts w:ascii="Calibri;sans-serif" w:hAnsi="Calibri;sans-serif"/>
                <w:b/>
                <w:bCs/>
                <w:color w:val="000000"/>
                <w:sz w:val="22"/>
                <w:szCs w:val="22"/>
              </w:rPr>
              <w:t xml:space="preserve">Vanua </w:t>
            </w:r>
            <w:proofErr w:type="spellStart"/>
            <w:r>
              <w:rPr>
                <w:rFonts w:ascii="Calibri;sans-serif" w:hAnsi="Calibri;sans-serif"/>
                <w:b/>
                <w:bCs/>
                <w:color w:val="000000"/>
                <w:sz w:val="22"/>
                <w:szCs w:val="22"/>
              </w:rPr>
              <w:t>Levu</w:t>
            </w:r>
            <w:proofErr w:type="spellEnd"/>
          </w:p>
        </w:tc>
      </w:tr>
      <w:tr w:rsidR="007372B6" w14:paraId="3D1AF586" w14:textId="77777777">
        <w:tc>
          <w:tcPr>
            <w:tcW w:w="1870" w:type="dxa"/>
            <w:tcBorders>
              <w:top w:val="single" w:sz="4" w:space="0" w:color="000000"/>
              <w:left w:val="single" w:sz="4" w:space="0" w:color="000000"/>
              <w:bottom w:val="single" w:sz="4" w:space="0" w:color="000000"/>
              <w:right w:val="single" w:sz="4" w:space="0" w:color="000000"/>
            </w:tcBorders>
          </w:tcPr>
          <w:p w14:paraId="6DDD2069" w14:textId="77777777" w:rsidR="007372B6" w:rsidRDefault="007372B6">
            <w:pPr>
              <w:pStyle w:val="TableContents"/>
              <w:jc w:val="center"/>
              <w:rPr>
                <w:rFonts w:ascii="Calibri;sans-serif" w:hAnsi="Calibri;sans-serif"/>
                <w:color w:val="000000"/>
                <w:sz w:val="20"/>
                <w:szCs w:val="20"/>
              </w:rPr>
            </w:pPr>
          </w:p>
        </w:tc>
        <w:tc>
          <w:tcPr>
            <w:tcW w:w="802" w:type="dxa"/>
            <w:tcBorders>
              <w:top w:val="single" w:sz="4" w:space="0" w:color="000000"/>
              <w:left w:val="single" w:sz="4" w:space="0" w:color="000000"/>
              <w:bottom w:val="single" w:sz="4" w:space="0" w:color="000000"/>
              <w:right w:val="single" w:sz="4" w:space="0" w:color="000000"/>
            </w:tcBorders>
          </w:tcPr>
          <w:p w14:paraId="573147D1" w14:textId="77777777" w:rsidR="007372B6" w:rsidRDefault="00000000">
            <w:pPr>
              <w:pStyle w:val="TableContents"/>
              <w:jc w:val="center"/>
              <w:rPr>
                <w:color w:val="000000"/>
                <w:sz w:val="20"/>
                <w:szCs w:val="20"/>
              </w:rPr>
            </w:pPr>
            <w:r>
              <w:rPr>
                <w:rFonts w:ascii="Calibri;sans-serif" w:hAnsi="Calibri;sans-serif"/>
                <w:color w:val="000000"/>
                <w:sz w:val="20"/>
                <w:szCs w:val="20"/>
              </w:rPr>
              <w:t>Ba</w:t>
            </w:r>
          </w:p>
        </w:tc>
        <w:tc>
          <w:tcPr>
            <w:tcW w:w="1337" w:type="dxa"/>
            <w:tcBorders>
              <w:top w:val="single" w:sz="4" w:space="0" w:color="000000"/>
              <w:left w:val="single" w:sz="4" w:space="0" w:color="000000"/>
              <w:bottom w:val="single" w:sz="4" w:space="0" w:color="000000"/>
              <w:right w:val="single" w:sz="4" w:space="0" w:color="000000"/>
            </w:tcBorders>
          </w:tcPr>
          <w:p w14:paraId="189CF784" w14:textId="77777777" w:rsidR="007372B6" w:rsidRDefault="00000000">
            <w:pPr>
              <w:pStyle w:val="BodyText"/>
              <w:widowControl w:val="0"/>
              <w:spacing w:after="0"/>
              <w:contextualSpacing/>
              <w:jc w:val="center"/>
              <w:rPr>
                <w:color w:val="000000"/>
                <w:sz w:val="20"/>
                <w:szCs w:val="20"/>
              </w:rPr>
            </w:pPr>
            <w:r>
              <w:rPr>
                <w:rFonts w:ascii="Calibri;sans-serif" w:hAnsi="Calibri;sans-serif"/>
                <w:color w:val="000000"/>
                <w:sz w:val="20"/>
                <w:szCs w:val="20"/>
              </w:rPr>
              <w:t>Tuva River</w:t>
            </w:r>
          </w:p>
        </w:tc>
        <w:tc>
          <w:tcPr>
            <w:tcW w:w="1340" w:type="dxa"/>
            <w:tcBorders>
              <w:top w:val="single" w:sz="4" w:space="0" w:color="000000"/>
              <w:left w:val="single" w:sz="4" w:space="0" w:color="000000"/>
              <w:bottom w:val="single" w:sz="4" w:space="0" w:color="000000"/>
              <w:right w:val="single" w:sz="4" w:space="0" w:color="000000"/>
            </w:tcBorders>
          </w:tcPr>
          <w:p w14:paraId="58D04D95" w14:textId="77777777" w:rsidR="007372B6" w:rsidRDefault="00000000">
            <w:pPr>
              <w:pStyle w:val="BodyText"/>
              <w:widowControl w:val="0"/>
              <w:spacing w:after="0"/>
              <w:contextualSpacing/>
              <w:jc w:val="center"/>
              <w:rPr>
                <w:color w:val="000000"/>
                <w:sz w:val="20"/>
                <w:szCs w:val="20"/>
              </w:rPr>
            </w:pPr>
            <w:proofErr w:type="spellStart"/>
            <w:r>
              <w:rPr>
                <w:rFonts w:ascii="Calibri;sans-serif" w:hAnsi="Calibri;sans-serif"/>
                <w:color w:val="000000"/>
                <w:sz w:val="20"/>
                <w:szCs w:val="20"/>
              </w:rPr>
              <w:t>Waidina</w:t>
            </w:r>
            <w:proofErr w:type="spellEnd"/>
            <w:r>
              <w:rPr>
                <w:rFonts w:ascii="Calibri;sans-serif" w:hAnsi="Calibri;sans-serif"/>
                <w:color w:val="000000"/>
                <w:sz w:val="20"/>
                <w:szCs w:val="20"/>
              </w:rPr>
              <w:t xml:space="preserve"> River/ </w:t>
            </w:r>
            <w:proofErr w:type="spellStart"/>
            <w:r>
              <w:rPr>
                <w:rFonts w:ascii="Calibri;sans-serif" w:hAnsi="Calibri;sans-serif"/>
                <w:color w:val="000000"/>
                <w:sz w:val="20"/>
                <w:szCs w:val="20"/>
              </w:rPr>
              <w:t>Rewa</w:t>
            </w:r>
            <w:proofErr w:type="spellEnd"/>
            <w:r>
              <w:rPr>
                <w:rFonts w:ascii="Calibri;sans-serif" w:hAnsi="Calibri;sans-serif"/>
                <w:color w:val="000000"/>
                <w:sz w:val="20"/>
                <w:szCs w:val="20"/>
              </w:rPr>
              <w:t xml:space="preserve"> Delta</w:t>
            </w:r>
          </w:p>
        </w:tc>
        <w:tc>
          <w:tcPr>
            <w:tcW w:w="1336" w:type="dxa"/>
            <w:tcBorders>
              <w:top w:val="single" w:sz="4" w:space="0" w:color="000000"/>
              <w:left w:val="single" w:sz="4" w:space="0" w:color="000000"/>
              <w:bottom w:val="single" w:sz="4" w:space="0" w:color="000000"/>
              <w:right w:val="single" w:sz="4" w:space="0" w:color="000000"/>
            </w:tcBorders>
          </w:tcPr>
          <w:p w14:paraId="4A3D23AC" w14:textId="77777777" w:rsidR="007372B6" w:rsidRDefault="00000000">
            <w:pPr>
              <w:pStyle w:val="BodyText"/>
              <w:widowControl w:val="0"/>
              <w:spacing w:after="0"/>
              <w:contextualSpacing/>
              <w:jc w:val="center"/>
              <w:rPr>
                <w:color w:val="000000"/>
                <w:sz w:val="20"/>
                <w:szCs w:val="20"/>
              </w:rPr>
            </w:pPr>
            <w:r>
              <w:rPr>
                <w:rFonts w:ascii="Calibri;sans-serif" w:hAnsi="Calibri;sans-serif"/>
                <w:color w:val="000000"/>
                <w:sz w:val="20"/>
                <w:szCs w:val="20"/>
              </w:rPr>
              <w:t xml:space="preserve"> Labasa River</w:t>
            </w:r>
          </w:p>
        </w:tc>
        <w:tc>
          <w:tcPr>
            <w:tcW w:w="1339" w:type="dxa"/>
            <w:tcBorders>
              <w:top w:val="single" w:sz="4" w:space="0" w:color="000000"/>
              <w:left w:val="single" w:sz="4" w:space="0" w:color="000000"/>
              <w:bottom w:val="single" w:sz="4" w:space="0" w:color="000000"/>
              <w:right w:val="single" w:sz="4" w:space="0" w:color="000000"/>
            </w:tcBorders>
          </w:tcPr>
          <w:p w14:paraId="268E4F75" w14:textId="77777777" w:rsidR="007372B6" w:rsidRDefault="00000000">
            <w:pPr>
              <w:pStyle w:val="BodyText"/>
              <w:widowControl w:val="0"/>
              <w:spacing w:after="0"/>
              <w:contextualSpacing/>
              <w:jc w:val="center"/>
              <w:rPr>
                <w:color w:val="000000"/>
                <w:sz w:val="20"/>
                <w:szCs w:val="20"/>
              </w:rPr>
            </w:pPr>
            <w:proofErr w:type="spellStart"/>
            <w:r>
              <w:rPr>
                <w:rFonts w:ascii="Calibri;sans-serif" w:hAnsi="Calibri;sans-serif"/>
                <w:color w:val="000000"/>
                <w:sz w:val="20"/>
                <w:szCs w:val="20"/>
              </w:rPr>
              <w:t>Tunuloa</w:t>
            </w:r>
            <w:proofErr w:type="spellEnd"/>
          </w:p>
        </w:tc>
        <w:tc>
          <w:tcPr>
            <w:tcW w:w="1335" w:type="dxa"/>
            <w:tcBorders>
              <w:top w:val="single" w:sz="4" w:space="0" w:color="000000"/>
              <w:left w:val="single" w:sz="4" w:space="0" w:color="000000"/>
              <w:bottom w:val="single" w:sz="4" w:space="0" w:color="000000"/>
              <w:right w:val="single" w:sz="4" w:space="0" w:color="000000"/>
            </w:tcBorders>
          </w:tcPr>
          <w:p w14:paraId="3C8B0A67" w14:textId="77777777" w:rsidR="007372B6" w:rsidRDefault="00000000">
            <w:pPr>
              <w:pStyle w:val="BodyText"/>
              <w:widowControl w:val="0"/>
              <w:spacing w:after="0"/>
              <w:contextualSpacing/>
              <w:jc w:val="center"/>
              <w:rPr>
                <w:color w:val="000000"/>
                <w:sz w:val="20"/>
                <w:szCs w:val="20"/>
              </w:rPr>
            </w:pPr>
            <w:proofErr w:type="spellStart"/>
            <w:r>
              <w:rPr>
                <w:rFonts w:ascii="Calibri;sans-serif" w:hAnsi="Calibri;sans-serif"/>
                <w:color w:val="000000"/>
                <w:sz w:val="20"/>
                <w:szCs w:val="20"/>
              </w:rPr>
              <w:t>Vunivia</w:t>
            </w:r>
            <w:proofErr w:type="spellEnd"/>
          </w:p>
        </w:tc>
      </w:tr>
      <w:tr w:rsidR="007372B6" w14:paraId="6421633C" w14:textId="77777777">
        <w:tc>
          <w:tcPr>
            <w:tcW w:w="1870" w:type="dxa"/>
            <w:tcBorders>
              <w:top w:val="single" w:sz="4" w:space="0" w:color="000000"/>
              <w:left w:val="single" w:sz="4" w:space="0" w:color="000000"/>
              <w:bottom w:val="single" w:sz="4" w:space="0" w:color="000000"/>
              <w:right w:val="single" w:sz="4" w:space="0" w:color="000000"/>
            </w:tcBorders>
          </w:tcPr>
          <w:p w14:paraId="4E49E2EE" w14:textId="77777777" w:rsidR="007372B6" w:rsidRDefault="00000000">
            <w:pPr>
              <w:pStyle w:val="BodyText"/>
              <w:widowControl w:val="0"/>
              <w:spacing w:after="0"/>
              <w:contextualSpacing/>
              <w:rPr>
                <w:b/>
                <w:bCs/>
                <w:color w:val="000000"/>
                <w:sz w:val="18"/>
                <w:szCs w:val="18"/>
              </w:rPr>
            </w:pPr>
            <w:r>
              <w:rPr>
                <w:rFonts w:ascii="Calibri;sans-serif" w:hAnsi="Calibri;sans-serif"/>
                <w:b/>
                <w:bCs/>
                <w:color w:val="000000"/>
                <w:sz w:val="20"/>
                <w:szCs w:val="20"/>
                <w:u w:val="single"/>
              </w:rPr>
              <w:t>WWF</w:t>
            </w:r>
            <w:r>
              <w:rPr>
                <w:rFonts w:ascii="Calibri;sans-serif" w:hAnsi="Calibri;sans-serif"/>
                <w:b/>
                <w:bCs/>
                <w:color w:val="000000"/>
                <w:sz w:val="18"/>
                <w:szCs w:val="18"/>
              </w:rPr>
              <w:t xml:space="preserve"> </w:t>
            </w:r>
            <w:r>
              <w:rPr>
                <w:rFonts w:ascii="Calibri;sans-serif" w:hAnsi="Calibri;sans-serif"/>
                <w:color w:val="000000"/>
                <w:sz w:val="18"/>
                <w:szCs w:val="18"/>
              </w:rPr>
              <w:t>(engaged to compile CMPs)</w:t>
            </w:r>
          </w:p>
        </w:tc>
        <w:tc>
          <w:tcPr>
            <w:tcW w:w="802" w:type="dxa"/>
            <w:tcBorders>
              <w:top w:val="single" w:sz="4" w:space="0" w:color="000000"/>
              <w:left w:val="single" w:sz="4" w:space="0" w:color="000000"/>
              <w:bottom w:val="single" w:sz="4" w:space="0" w:color="000000"/>
              <w:right w:val="single" w:sz="4" w:space="0" w:color="000000"/>
            </w:tcBorders>
          </w:tcPr>
          <w:p w14:paraId="0393A8B8" w14:textId="77777777" w:rsidR="007372B6" w:rsidRDefault="00000000">
            <w:pPr>
              <w:pStyle w:val="TableContents"/>
              <w:jc w:val="center"/>
              <w:rPr>
                <w:color w:val="000000"/>
                <w:sz w:val="18"/>
                <w:szCs w:val="18"/>
              </w:rPr>
            </w:pPr>
            <w:r>
              <w:rPr>
                <w:rFonts w:ascii="Wingdings" w:hAnsi="Wingdings"/>
                <w:color w:val="000000"/>
                <w:sz w:val="18"/>
                <w:szCs w:val="18"/>
              </w:rPr>
              <w:t>✔</w:t>
            </w:r>
          </w:p>
        </w:tc>
        <w:tc>
          <w:tcPr>
            <w:tcW w:w="1337" w:type="dxa"/>
            <w:tcBorders>
              <w:top w:val="single" w:sz="4" w:space="0" w:color="000000"/>
              <w:left w:val="single" w:sz="4" w:space="0" w:color="000000"/>
              <w:bottom w:val="single" w:sz="4" w:space="0" w:color="000000"/>
              <w:right w:val="single" w:sz="4" w:space="0" w:color="000000"/>
            </w:tcBorders>
          </w:tcPr>
          <w:p w14:paraId="52BC4FAB" w14:textId="77777777" w:rsidR="007372B6" w:rsidRDefault="007372B6">
            <w:pPr>
              <w:pStyle w:val="TableContents"/>
              <w:jc w:val="center"/>
              <w:rPr>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tcPr>
          <w:p w14:paraId="1D492F23" w14:textId="77777777" w:rsidR="007372B6" w:rsidRDefault="007372B6">
            <w:pPr>
              <w:pStyle w:val="TableContents"/>
              <w:rPr>
                <w:rFonts w:ascii="Calibri;sans-serif" w:hAnsi="Calibri;sans-serif"/>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tcPr>
          <w:p w14:paraId="1BA2074B" w14:textId="77777777" w:rsidR="007372B6" w:rsidRDefault="00000000">
            <w:pPr>
              <w:pStyle w:val="TableContents"/>
              <w:jc w:val="center"/>
              <w:rPr>
                <w:rFonts w:ascii="Calibri;sans-serif" w:hAnsi="Calibri;sans-serif"/>
                <w:color w:val="000000"/>
                <w:sz w:val="18"/>
                <w:szCs w:val="18"/>
              </w:rPr>
            </w:pPr>
            <w:r>
              <w:rPr>
                <w:rFonts w:ascii="Wingdings" w:hAnsi="Wingdings"/>
                <w:color w:val="000000"/>
                <w:sz w:val="18"/>
                <w:szCs w:val="18"/>
              </w:rPr>
              <w:t>✔</w:t>
            </w:r>
          </w:p>
        </w:tc>
        <w:tc>
          <w:tcPr>
            <w:tcW w:w="1339" w:type="dxa"/>
            <w:tcBorders>
              <w:top w:val="single" w:sz="4" w:space="0" w:color="000000"/>
              <w:left w:val="single" w:sz="4" w:space="0" w:color="000000"/>
              <w:bottom w:val="single" w:sz="4" w:space="0" w:color="000000"/>
              <w:right w:val="single" w:sz="4" w:space="0" w:color="000000"/>
            </w:tcBorders>
          </w:tcPr>
          <w:p w14:paraId="31FE76DA" w14:textId="77777777" w:rsidR="007372B6" w:rsidRDefault="007372B6">
            <w:pPr>
              <w:pStyle w:val="TableContents"/>
              <w:rPr>
                <w:rFonts w:ascii="Calibri;sans-serif" w:hAnsi="Calibri;sans-serif"/>
                <w:color w:val="000000"/>
                <w:sz w:val="18"/>
                <w:szCs w:val="18"/>
              </w:rPr>
            </w:pPr>
          </w:p>
        </w:tc>
        <w:tc>
          <w:tcPr>
            <w:tcW w:w="1335" w:type="dxa"/>
            <w:tcBorders>
              <w:top w:val="single" w:sz="4" w:space="0" w:color="000000"/>
              <w:left w:val="single" w:sz="4" w:space="0" w:color="000000"/>
              <w:bottom w:val="single" w:sz="4" w:space="0" w:color="000000"/>
              <w:right w:val="single" w:sz="4" w:space="0" w:color="000000"/>
            </w:tcBorders>
          </w:tcPr>
          <w:p w14:paraId="0A22624A" w14:textId="77777777" w:rsidR="007372B6" w:rsidRDefault="007372B6">
            <w:pPr>
              <w:pStyle w:val="TableContents"/>
              <w:rPr>
                <w:rFonts w:ascii="Calibri;sans-serif" w:hAnsi="Calibri;sans-serif"/>
                <w:color w:val="000000"/>
                <w:sz w:val="18"/>
                <w:szCs w:val="18"/>
              </w:rPr>
            </w:pPr>
          </w:p>
        </w:tc>
      </w:tr>
      <w:tr w:rsidR="007372B6" w14:paraId="3F0F9121" w14:textId="77777777">
        <w:tc>
          <w:tcPr>
            <w:tcW w:w="1870" w:type="dxa"/>
            <w:tcBorders>
              <w:top w:val="single" w:sz="4" w:space="0" w:color="000000"/>
              <w:left w:val="single" w:sz="4" w:space="0" w:color="000000"/>
              <w:bottom w:val="single" w:sz="4" w:space="0" w:color="000000"/>
              <w:right w:val="single" w:sz="4" w:space="0" w:color="000000"/>
            </w:tcBorders>
          </w:tcPr>
          <w:p w14:paraId="6FE8D108" w14:textId="77777777" w:rsidR="007372B6" w:rsidRDefault="00000000">
            <w:pPr>
              <w:pStyle w:val="BodyText"/>
              <w:widowControl w:val="0"/>
              <w:spacing w:after="0"/>
              <w:contextualSpacing/>
              <w:rPr>
                <w:b/>
                <w:bCs/>
                <w:color w:val="000000"/>
                <w:sz w:val="18"/>
                <w:szCs w:val="18"/>
              </w:rPr>
            </w:pPr>
            <w:r>
              <w:rPr>
                <w:rFonts w:ascii="Calibri;sans-serif" w:hAnsi="Calibri;sans-serif"/>
                <w:b/>
                <w:bCs/>
                <w:color w:val="000000"/>
                <w:sz w:val="20"/>
                <w:szCs w:val="20"/>
                <w:u w:val="single"/>
              </w:rPr>
              <w:t>CI</w:t>
            </w:r>
            <w:r>
              <w:rPr>
                <w:rFonts w:ascii="Calibri;sans-serif" w:hAnsi="Calibri;sans-serif"/>
                <w:b/>
                <w:bCs/>
                <w:color w:val="000000"/>
                <w:sz w:val="18"/>
                <w:szCs w:val="18"/>
              </w:rPr>
              <w:t xml:space="preserve"> </w:t>
            </w:r>
            <w:r>
              <w:rPr>
                <w:rFonts w:ascii="Calibri;sans-serif" w:hAnsi="Calibri;sans-serif"/>
                <w:color w:val="000000"/>
                <w:sz w:val="18"/>
                <w:szCs w:val="18"/>
              </w:rPr>
              <w:t>(engaged to compile CMP)</w:t>
            </w:r>
          </w:p>
        </w:tc>
        <w:tc>
          <w:tcPr>
            <w:tcW w:w="802" w:type="dxa"/>
            <w:tcBorders>
              <w:top w:val="single" w:sz="4" w:space="0" w:color="000000"/>
              <w:left w:val="single" w:sz="4" w:space="0" w:color="000000"/>
              <w:bottom w:val="single" w:sz="4" w:space="0" w:color="000000"/>
              <w:right w:val="single" w:sz="4" w:space="0" w:color="000000"/>
            </w:tcBorders>
          </w:tcPr>
          <w:p w14:paraId="51A810BF" w14:textId="77777777" w:rsidR="007372B6" w:rsidRDefault="007372B6">
            <w:pPr>
              <w:pStyle w:val="TableContents"/>
              <w:rPr>
                <w:rFonts w:ascii="Calibri;sans-serif" w:hAnsi="Calibri;sans-serif"/>
                <w:color w:val="000000"/>
                <w:sz w:val="18"/>
                <w:szCs w:val="18"/>
              </w:rPr>
            </w:pPr>
          </w:p>
        </w:tc>
        <w:tc>
          <w:tcPr>
            <w:tcW w:w="1337" w:type="dxa"/>
            <w:tcBorders>
              <w:top w:val="single" w:sz="4" w:space="0" w:color="000000"/>
              <w:left w:val="single" w:sz="4" w:space="0" w:color="000000"/>
              <w:bottom w:val="single" w:sz="4" w:space="0" w:color="000000"/>
              <w:right w:val="single" w:sz="4" w:space="0" w:color="000000"/>
            </w:tcBorders>
          </w:tcPr>
          <w:p w14:paraId="37975E82" w14:textId="77777777" w:rsidR="007372B6" w:rsidRDefault="00000000">
            <w:pPr>
              <w:pStyle w:val="TableContents"/>
              <w:jc w:val="center"/>
              <w:rPr>
                <w:rFonts w:ascii="Calibri;sans-serif" w:hAnsi="Calibri;sans-serif"/>
                <w:color w:val="000000"/>
                <w:sz w:val="18"/>
                <w:szCs w:val="18"/>
              </w:rPr>
            </w:pPr>
            <w:r>
              <w:rPr>
                <w:rFonts w:ascii="Wingdings" w:hAnsi="Wingdings"/>
                <w:color w:val="000000"/>
                <w:sz w:val="18"/>
                <w:szCs w:val="18"/>
              </w:rPr>
              <w:t>✔</w:t>
            </w:r>
          </w:p>
        </w:tc>
        <w:tc>
          <w:tcPr>
            <w:tcW w:w="1340" w:type="dxa"/>
            <w:tcBorders>
              <w:top w:val="single" w:sz="4" w:space="0" w:color="000000"/>
              <w:left w:val="single" w:sz="4" w:space="0" w:color="000000"/>
              <w:bottom w:val="single" w:sz="4" w:space="0" w:color="000000"/>
              <w:right w:val="single" w:sz="4" w:space="0" w:color="000000"/>
            </w:tcBorders>
          </w:tcPr>
          <w:p w14:paraId="45116303" w14:textId="77777777" w:rsidR="007372B6" w:rsidRDefault="007372B6">
            <w:pPr>
              <w:pStyle w:val="TableContents"/>
              <w:jc w:val="center"/>
              <w:rPr>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tcPr>
          <w:p w14:paraId="4710565C" w14:textId="77777777" w:rsidR="007372B6" w:rsidRDefault="007372B6">
            <w:pPr>
              <w:pStyle w:val="TableContents"/>
              <w:rPr>
                <w:rFonts w:ascii="Calibri;sans-serif" w:hAnsi="Calibri;sans-serif"/>
                <w:color w:val="000000"/>
                <w:sz w:val="18"/>
                <w:szCs w:val="18"/>
              </w:rPr>
            </w:pPr>
          </w:p>
        </w:tc>
        <w:tc>
          <w:tcPr>
            <w:tcW w:w="1339" w:type="dxa"/>
            <w:tcBorders>
              <w:top w:val="single" w:sz="4" w:space="0" w:color="000000"/>
              <w:left w:val="single" w:sz="4" w:space="0" w:color="000000"/>
              <w:bottom w:val="single" w:sz="4" w:space="0" w:color="000000"/>
              <w:right w:val="single" w:sz="4" w:space="0" w:color="000000"/>
            </w:tcBorders>
          </w:tcPr>
          <w:p w14:paraId="58CDF351" w14:textId="77777777" w:rsidR="007372B6" w:rsidRDefault="007372B6">
            <w:pPr>
              <w:pStyle w:val="TableContents"/>
              <w:rPr>
                <w:rFonts w:ascii="Calibri;sans-serif" w:hAnsi="Calibri;sans-serif"/>
                <w:color w:val="000000"/>
                <w:sz w:val="18"/>
                <w:szCs w:val="18"/>
              </w:rPr>
            </w:pPr>
          </w:p>
        </w:tc>
        <w:tc>
          <w:tcPr>
            <w:tcW w:w="1335" w:type="dxa"/>
            <w:tcBorders>
              <w:top w:val="single" w:sz="4" w:space="0" w:color="000000"/>
              <w:left w:val="single" w:sz="4" w:space="0" w:color="000000"/>
              <w:bottom w:val="single" w:sz="4" w:space="0" w:color="000000"/>
              <w:right w:val="single" w:sz="4" w:space="0" w:color="000000"/>
            </w:tcBorders>
          </w:tcPr>
          <w:p w14:paraId="6FFC59D7" w14:textId="77777777" w:rsidR="007372B6" w:rsidRDefault="007372B6">
            <w:pPr>
              <w:pStyle w:val="TableContents"/>
              <w:rPr>
                <w:rFonts w:ascii="Calibri;sans-serif" w:hAnsi="Calibri;sans-serif"/>
                <w:color w:val="000000"/>
                <w:sz w:val="18"/>
                <w:szCs w:val="18"/>
              </w:rPr>
            </w:pPr>
          </w:p>
        </w:tc>
      </w:tr>
      <w:tr w:rsidR="007372B6" w14:paraId="466BD6AF" w14:textId="77777777">
        <w:tc>
          <w:tcPr>
            <w:tcW w:w="1870" w:type="dxa"/>
            <w:tcBorders>
              <w:top w:val="single" w:sz="4" w:space="0" w:color="000000"/>
              <w:left w:val="single" w:sz="4" w:space="0" w:color="000000"/>
              <w:bottom w:val="single" w:sz="4" w:space="0" w:color="000000"/>
              <w:right w:val="single" w:sz="4" w:space="0" w:color="000000"/>
            </w:tcBorders>
          </w:tcPr>
          <w:p w14:paraId="533F7AED" w14:textId="77777777" w:rsidR="007372B6" w:rsidRDefault="00000000">
            <w:pPr>
              <w:pStyle w:val="TableContents"/>
              <w:rPr>
                <w:color w:val="000000"/>
                <w:sz w:val="18"/>
                <w:szCs w:val="18"/>
              </w:rPr>
            </w:pPr>
            <w:r>
              <w:rPr>
                <w:rFonts w:ascii="Calibri;sans-serif" w:hAnsi="Calibri;sans-serif"/>
                <w:b/>
                <w:bCs/>
                <w:color w:val="000000"/>
                <w:sz w:val="20"/>
                <w:szCs w:val="20"/>
                <w:u w:val="single"/>
              </w:rPr>
              <w:t>IAS-USP</w:t>
            </w:r>
            <w:r>
              <w:rPr>
                <w:rFonts w:ascii="Calibri;sans-serif" w:hAnsi="Calibri;sans-serif"/>
                <w:color w:val="000000"/>
                <w:sz w:val="18"/>
                <w:szCs w:val="18"/>
              </w:rPr>
              <w:t xml:space="preserve"> (engaged to compile CMPs)</w:t>
            </w:r>
          </w:p>
        </w:tc>
        <w:tc>
          <w:tcPr>
            <w:tcW w:w="802" w:type="dxa"/>
            <w:tcBorders>
              <w:top w:val="single" w:sz="4" w:space="0" w:color="000000"/>
              <w:left w:val="single" w:sz="4" w:space="0" w:color="000000"/>
              <w:bottom w:val="single" w:sz="4" w:space="0" w:color="000000"/>
              <w:right w:val="single" w:sz="4" w:space="0" w:color="000000"/>
            </w:tcBorders>
          </w:tcPr>
          <w:p w14:paraId="455BAB11" w14:textId="77777777" w:rsidR="007372B6" w:rsidRDefault="007372B6">
            <w:pPr>
              <w:pStyle w:val="TableContents"/>
              <w:rPr>
                <w:rFonts w:ascii="Calibri;sans-serif" w:hAnsi="Calibri;sans-serif"/>
                <w:color w:val="000000"/>
                <w:sz w:val="18"/>
                <w:szCs w:val="18"/>
              </w:rPr>
            </w:pPr>
          </w:p>
        </w:tc>
        <w:tc>
          <w:tcPr>
            <w:tcW w:w="1337" w:type="dxa"/>
            <w:tcBorders>
              <w:top w:val="single" w:sz="4" w:space="0" w:color="000000"/>
              <w:left w:val="single" w:sz="4" w:space="0" w:color="000000"/>
              <w:bottom w:val="single" w:sz="4" w:space="0" w:color="000000"/>
              <w:right w:val="single" w:sz="4" w:space="0" w:color="000000"/>
            </w:tcBorders>
          </w:tcPr>
          <w:p w14:paraId="68BE8443" w14:textId="77777777" w:rsidR="007372B6" w:rsidRDefault="007372B6">
            <w:pPr>
              <w:pStyle w:val="TableContents"/>
              <w:jc w:val="center"/>
              <w:rPr>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tcPr>
          <w:p w14:paraId="6FE4FD6A" w14:textId="77777777" w:rsidR="007372B6" w:rsidRDefault="007372B6">
            <w:pPr>
              <w:pStyle w:val="TableContents"/>
              <w:rPr>
                <w:rFonts w:ascii="Calibri;sans-serif" w:hAnsi="Calibri;sans-serif"/>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tcPr>
          <w:p w14:paraId="3EDACE1C" w14:textId="77777777" w:rsidR="007372B6" w:rsidRDefault="00000000">
            <w:pPr>
              <w:pStyle w:val="TableContents"/>
              <w:jc w:val="center"/>
              <w:rPr>
                <w:rFonts w:ascii="Calibri;sans-serif" w:hAnsi="Calibri;sans-serif"/>
                <w:color w:val="000000"/>
                <w:sz w:val="18"/>
                <w:szCs w:val="18"/>
              </w:rPr>
            </w:pPr>
            <w:r>
              <w:rPr>
                <w:rFonts w:ascii="Wingdings" w:hAnsi="Wingdings"/>
                <w:color w:val="000000"/>
                <w:sz w:val="18"/>
                <w:szCs w:val="18"/>
              </w:rPr>
              <w:t>✔</w:t>
            </w:r>
          </w:p>
        </w:tc>
        <w:tc>
          <w:tcPr>
            <w:tcW w:w="1339" w:type="dxa"/>
            <w:tcBorders>
              <w:top w:val="single" w:sz="4" w:space="0" w:color="000000"/>
              <w:left w:val="single" w:sz="4" w:space="0" w:color="000000"/>
              <w:bottom w:val="single" w:sz="4" w:space="0" w:color="000000"/>
              <w:right w:val="single" w:sz="4" w:space="0" w:color="000000"/>
            </w:tcBorders>
          </w:tcPr>
          <w:p w14:paraId="6B21D2B9" w14:textId="77777777" w:rsidR="007372B6" w:rsidRDefault="00000000">
            <w:pPr>
              <w:pStyle w:val="TableContents"/>
              <w:jc w:val="center"/>
              <w:rPr>
                <w:color w:val="000000"/>
                <w:sz w:val="18"/>
                <w:szCs w:val="18"/>
              </w:rPr>
            </w:pPr>
            <w:r>
              <w:rPr>
                <w:rFonts w:ascii="Wingdings" w:hAnsi="Wingdings"/>
                <w:color w:val="000000"/>
                <w:sz w:val="18"/>
                <w:szCs w:val="18"/>
              </w:rPr>
              <w:t>✔</w:t>
            </w:r>
          </w:p>
        </w:tc>
        <w:tc>
          <w:tcPr>
            <w:tcW w:w="1335" w:type="dxa"/>
            <w:tcBorders>
              <w:top w:val="single" w:sz="4" w:space="0" w:color="000000"/>
              <w:left w:val="single" w:sz="4" w:space="0" w:color="000000"/>
              <w:bottom w:val="single" w:sz="4" w:space="0" w:color="000000"/>
              <w:right w:val="single" w:sz="4" w:space="0" w:color="000000"/>
            </w:tcBorders>
          </w:tcPr>
          <w:p w14:paraId="0B9DF926" w14:textId="77777777" w:rsidR="007372B6" w:rsidRDefault="00000000">
            <w:pPr>
              <w:pStyle w:val="TableContents"/>
              <w:jc w:val="center"/>
              <w:rPr>
                <w:color w:val="000000"/>
                <w:sz w:val="18"/>
                <w:szCs w:val="18"/>
              </w:rPr>
            </w:pPr>
            <w:r>
              <w:rPr>
                <w:rFonts w:ascii="Wingdings" w:hAnsi="Wingdings"/>
                <w:color w:val="000000"/>
                <w:sz w:val="18"/>
                <w:szCs w:val="18"/>
              </w:rPr>
              <w:t>✔</w:t>
            </w:r>
          </w:p>
        </w:tc>
      </w:tr>
      <w:tr w:rsidR="007372B6" w14:paraId="1E358932" w14:textId="77777777">
        <w:tc>
          <w:tcPr>
            <w:tcW w:w="1870" w:type="dxa"/>
            <w:tcBorders>
              <w:top w:val="single" w:sz="4" w:space="0" w:color="000000"/>
              <w:left w:val="single" w:sz="4" w:space="0" w:color="000000"/>
              <w:bottom w:val="single" w:sz="4" w:space="0" w:color="000000"/>
              <w:right w:val="single" w:sz="4" w:space="0" w:color="000000"/>
            </w:tcBorders>
          </w:tcPr>
          <w:p w14:paraId="3217D409" w14:textId="77777777" w:rsidR="007372B6" w:rsidRDefault="00000000">
            <w:pPr>
              <w:pStyle w:val="BodyText"/>
              <w:widowControl w:val="0"/>
              <w:spacing w:after="0"/>
              <w:contextualSpacing/>
              <w:rPr>
                <w:color w:val="000000"/>
                <w:sz w:val="18"/>
                <w:szCs w:val="18"/>
              </w:rPr>
            </w:pPr>
            <w:r>
              <w:rPr>
                <w:rFonts w:ascii="Calibri;sans-serif" w:hAnsi="Calibri;sans-serif"/>
                <w:b/>
                <w:bCs/>
                <w:color w:val="000000"/>
                <w:sz w:val="20"/>
                <w:szCs w:val="20"/>
                <w:u w:val="single"/>
              </w:rPr>
              <w:t>USP-IAS</w:t>
            </w:r>
            <w:r>
              <w:rPr>
                <w:rFonts w:ascii="Calibri;sans-serif" w:hAnsi="Calibri;sans-serif"/>
                <w:color w:val="000000"/>
                <w:sz w:val="18"/>
                <w:szCs w:val="18"/>
              </w:rPr>
              <w:t xml:space="preserve"> (engaged to undertake scientific research to influence the management process with the communities)</w:t>
            </w:r>
          </w:p>
        </w:tc>
        <w:tc>
          <w:tcPr>
            <w:tcW w:w="802" w:type="dxa"/>
            <w:tcBorders>
              <w:top w:val="single" w:sz="4" w:space="0" w:color="000000"/>
              <w:left w:val="single" w:sz="4" w:space="0" w:color="000000"/>
              <w:bottom w:val="single" w:sz="4" w:space="0" w:color="000000"/>
              <w:right w:val="single" w:sz="4" w:space="0" w:color="000000"/>
            </w:tcBorders>
          </w:tcPr>
          <w:p w14:paraId="572E3CA7" w14:textId="77777777" w:rsidR="007372B6" w:rsidRDefault="00000000">
            <w:pPr>
              <w:pStyle w:val="TableContents"/>
              <w:jc w:val="center"/>
              <w:rPr>
                <w:color w:val="000000"/>
                <w:sz w:val="18"/>
                <w:szCs w:val="18"/>
              </w:rPr>
            </w:pPr>
            <w:r>
              <w:rPr>
                <w:rFonts w:ascii="Wingdings" w:hAnsi="Wingdings"/>
                <w:color w:val="000000"/>
                <w:sz w:val="18"/>
                <w:szCs w:val="18"/>
              </w:rPr>
              <w:t>✔</w:t>
            </w:r>
          </w:p>
        </w:tc>
        <w:tc>
          <w:tcPr>
            <w:tcW w:w="1337" w:type="dxa"/>
            <w:tcBorders>
              <w:top w:val="single" w:sz="4" w:space="0" w:color="000000"/>
              <w:left w:val="single" w:sz="4" w:space="0" w:color="000000"/>
              <w:bottom w:val="single" w:sz="4" w:space="0" w:color="000000"/>
              <w:right w:val="single" w:sz="4" w:space="0" w:color="000000"/>
            </w:tcBorders>
          </w:tcPr>
          <w:p w14:paraId="23D9B547" w14:textId="77777777" w:rsidR="007372B6" w:rsidRDefault="00000000">
            <w:pPr>
              <w:pStyle w:val="TableContents"/>
              <w:jc w:val="center"/>
              <w:rPr>
                <w:color w:val="000000"/>
                <w:sz w:val="18"/>
                <w:szCs w:val="18"/>
              </w:rPr>
            </w:pPr>
            <w:r>
              <w:rPr>
                <w:rFonts w:ascii="Wingdings" w:hAnsi="Wingdings"/>
                <w:color w:val="000000"/>
                <w:sz w:val="18"/>
                <w:szCs w:val="18"/>
              </w:rPr>
              <w:t>✔</w:t>
            </w:r>
          </w:p>
        </w:tc>
        <w:tc>
          <w:tcPr>
            <w:tcW w:w="1340" w:type="dxa"/>
            <w:tcBorders>
              <w:top w:val="single" w:sz="4" w:space="0" w:color="000000"/>
              <w:left w:val="single" w:sz="4" w:space="0" w:color="000000"/>
              <w:bottom w:val="single" w:sz="4" w:space="0" w:color="000000"/>
              <w:right w:val="single" w:sz="4" w:space="0" w:color="000000"/>
            </w:tcBorders>
          </w:tcPr>
          <w:p w14:paraId="720C19C4" w14:textId="77777777" w:rsidR="007372B6" w:rsidRDefault="007372B6">
            <w:pPr>
              <w:pStyle w:val="TableContents"/>
              <w:jc w:val="center"/>
              <w:rPr>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tcPr>
          <w:p w14:paraId="55455E27" w14:textId="77777777" w:rsidR="007372B6" w:rsidRDefault="00000000">
            <w:pPr>
              <w:pStyle w:val="TableContents"/>
              <w:jc w:val="center"/>
              <w:rPr>
                <w:rFonts w:ascii="Calibri;sans-serif" w:hAnsi="Calibri;sans-serif"/>
                <w:color w:val="000000"/>
                <w:sz w:val="18"/>
                <w:szCs w:val="18"/>
              </w:rPr>
            </w:pPr>
            <w:r>
              <w:rPr>
                <w:rFonts w:ascii="Wingdings" w:hAnsi="Wingdings"/>
                <w:color w:val="000000"/>
                <w:sz w:val="18"/>
                <w:szCs w:val="18"/>
              </w:rPr>
              <w:t>✔</w:t>
            </w:r>
          </w:p>
        </w:tc>
        <w:tc>
          <w:tcPr>
            <w:tcW w:w="1339" w:type="dxa"/>
            <w:tcBorders>
              <w:top w:val="single" w:sz="4" w:space="0" w:color="000000"/>
              <w:left w:val="single" w:sz="4" w:space="0" w:color="000000"/>
              <w:bottom w:val="single" w:sz="4" w:space="0" w:color="000000"/>
              <w:right w:val="single" w:sz="4" w:space="0" w:color="000000"/>
            </w:tcBorders>
          </w:tcPr>
          <w:p w14:paraId="6139D203" w14:textId="77777777" w:rsidR="007372B6" w:rsidRDefault="007372B6">
            <w:pPr>
              <w:pStyle w:val="TableContents"/>
              <w:rPr>
                <w:rFonts w:ascii="Calibri;sans-serif" w:hAnsi="Calibri;sans-serif"/>
                <w:color w:val="000000"/>
                <w:sz w:val="18"/>
                <w:szCs w:val="18"/>
              </w:rPr>
            </w:pPr>
          </w:p>
        </w:tc>
        <w:tc>
          <w:tcPr>
            <w:tcW w:w="1335" w:type="dxa"/>
            <w:tcBorders>
              <w:top w:val="single" w:sz="4" w:space="0" w:color="000000"/>
              <w:left w:val="single" w:sz="4" w:space="0" w:color="000000"/>
              <w:bottom w:val="single" w:sz="4" w:space="0" w:color="000000"/>
              <w:right w:val="single" w:sz="4" w:space="0" w:color="000000"/>
            </w:tcBorders>
          </w:tcPr>
          <w:p w14:paraId="023AA0C0" w14:textId="77777777" w:rsidR="007372B6" w:rsidRDefault="007372B6">
            <w:pPr>
              <w:pStyle w:val="TableContents"/>
              <w:rPr>
                <w:rFonts w:ascii="Calibri;sans-serif" w:hAnsi="Calibri;sans-serif"/>
                <w:color w:val="000000"/>
                <w:sz w:val="18"/>
                <w:szCs w:val="18"/>
              </w:rPr>
            </w:pPr>
          </w:p>
        </w:tc>
      </w:tr>
      <w:tr w:rsidR="007372B6" w14:paraId="2E732854" w14:textId="77777777">
        <w:tc>
          <w:tcPr>
            <w:tcW w:w="1870" w:type="dxa"/>
            <w:tcBorders>
              <w:top w:val="single" w:sz="4" w:space="0" w:color="000000"/>
              <w:left w:val="single" w:sz="4" w:space="0" w:color="000000"/>
              <w:bottom w:val="single" w:sz="4" w:space="0" w:color="000000"/>
              <w:right w:val="single" w:sz="4" w:space="0" w:color="000000"/>
            </w:tcBorders>
          </w:tcPr>
          <w:p w14:paraId="06DCF36D" w14:textId="77777777" w:rsidR="007372B6" w:rsidRDefault="00000000">
            <w:pPr>
              <w:pStyle w:val="BodyText"/>
              <w:widowControl w:val="0"/>
              <w:spacing w:after="0"/>
              <w:contextualSpacing/>
              <w:rPr>
                <w:color w:val="000000"/>
                <w:sz w:val="18"/>
                <w:szCs w:val="18"/>
              </w:rPr>
            </w:pPr>
            <w:r>
              <w:rPr>
                <w:rFonts w:ascii="Calibri;sans-serif" w:hAnsi="Calibri;sans-serif"/>
                <w:b/>
                <w:bCs/>
                <w:color w:val="000000"/>
                <w:sz w:val="20"/>
                <w:szCs w:val="20"/>
                <w:u w:val="single"/>
              </w:rPr>
              <w:t>USP-IAS</w:t>
            </w:r>
            <w:r>
              <w:rPr>
                <w:rFonts w:ascii="Calibri;sans-serif" w:hAnsi="Calibri;sans-serif"/>
                <w:color w:val="000000"/>
                <w:sz w:val="20"/>
                <w:szCs w:val="20"/>
              </w:rPr>
              <w:t xml:space="preserve"> </w:t>
            </w:r>
            <w:r>
              <w:rPr>
                <w:rFonts w:ascii="Calibri;sans-serif" w:hAnsi="Calibri;sans-serif"/>
                <w:color w:val="000000"/>
                <w:sz w:val="18"/>
                <w:szCs w:val="18"/>
              </w:rPr>
              <w:t>(engaged to undertake biophysical and socioeconomic assessments)</w:t>
            </w:r>
          </w:p>
        </w:tc>
        <w:tc>
          <w:tcPr>
            <w:tcW w:w="802" w:type="dxa"/>
            <w:tcBorders>
              <w:top w:val="single" w:sz="4" w:space="0" w:color="000000"/>
              <w:left w:val="single" w:sz="4" w:space="0" w:color="000000"/>
              <w:bottom w:val="single" w:sz="4" w:space="0" w:color="000000"/>
              <w:right w:val="single" w:sz="4" w:space="0" w:color="000000"/>
            </w:tcBorders>
          </w:tcPr>
          <w:p w14:paraId="65733FD0" w14:textId="77777777" w:rsidR="007372B6" w:rsidRDefault="007372B6">
            <w:pPr>
              <w:pStyle w:val="TableContents"/>
              <w:rPr>
                <w:rFonts w:ascii="Calibri;sans-serif" w:hAnsi="Calibri;sans-serif"/>
                <w:color w:val="000000"/>
                <w:sz w:val="18"/>
                <w:szCs w:val="18"/>
              </w:rPr>
            </w:pPr>
          </w:p>
        </w:tc>
        <w:tc>
          <w:tcPr>
            <w:tcW w:w="1337" w:type="dxa"/>
            <w:tcBorders>
              <w:top w:val="single" w:sz="4" w:space="0" w:color="000000"/>
              <w:left w:val="single" w:sz="4" w:space="0" w:color="000000"/>
              <w:bottom w:val="single" w:sz="4" w:space="0" w:color="000000"/>
              <w:right w:val="single" w:sz="4" w:space="0" w:color="000000"/>
            </w:tcBorders>
          </w:tcPr>
          <w:p w14:paraId="1163F6A4" w14:textId="77777777" w:rsidR="007372B6" w:rsidRDefault="00000000">
            <w:pPr>
              <w:pStyle w:val="TableContents"/>
              <w:jc w:val="center"/>
              <w:rPr>
                <w:rFonts w:ascii="Calibri;sans-serif" w:hAnsi="Calibri;sans-serif"/>
                <w:color w:val="000000"/>
                <w:sz w:val="18"/>
                <w:szCs w:val="18"/>
              </w:rPr>
            </w:pPr>
            <w:r>
              <w:rPr>
                <w:rFonts w:ascii="Wingdings" w:hAnsi="Wingdings"/>
                <w:color w:val="000000"/>
                <w:sz w:val="18"/>
                <w:szCs w:val="18"/>
              </w:rPr>
              <w:t>✔</w:t>
            </w:r>
          </w:p>
        </w:tc>
        <w:tc>
          <w:tcPr>
            <w:tcW w:w="1340" w:type="dxa"/>
            <w:tcBorders>
              <w:top w:val="single" w:sz="4" w:space="0" w:color="000000"/>
              <w:left w:val="single" w:sz="4" w:space="0" w:color="000000"/>
              <w:bottom w:val="single" w:sz="4" w:space="0" w:color="000000"/>
              <w:right w:val="single" w:sz="4" w:space="0" w:color="000000"/>
            </w:tcBorders>
          </w:tcPr>
          <w:p w14:paraId="42F9B085" w14:textId="77777777" w:rsidR="007372B6" w:rsidRDefault="00000000">
            <w:pPr>
              <w:pStyle w:val="TableContents"/>
              <w:jc w:val="center"/>
              <w:rPr>
                <w:rFonts w:ascii="Calibri;sans-serif" w:hAnsi="Calibri;sans-serif"/>
                <w:color w:val="000000"/>
                <w:sz w:val="18"/>
                <w:szCs w:val="18"/>
              </w:rPr>
            </w:pPr>
            <w:r>
              <w:rPr>
                <w:rFonts w:ascii="Wingdings" w:hAnsi="Wingdings"/>
                <w:color w:val="000000"/>
                <w:sz w:val="18"/>
                <w:szCs w:val="18"/>
              </w:rPr>
              <w:t>✔</w:t>
            </w:r>
          </w:p>
        </w:tc>
        <w:tc>
          <w:tcPr>
            <w:tcW w:w="1336" w:type="dxa"/>
            <w:tcBorders>
              <w:top w:val="single" w:sz="4" w:space="0" w:color="000000"/>
              <w:left w:val="single" w:sz="4" w:space="0" w:color="000000"/>
              <w:bottom w:val="single" w:sz="4" w:space="0" w:color="000000"/>
              <w:right w:val="single" w:sz="4" w:space="0" w:color="000000"/>
            </w:tcBorders>
          </w:tcPr>
          <w:p w14:paraId="7FF5A7F8" w14:textId="77777777" w:rsidR="007372B6" w:rsidRDefault="007372B6">
            <w:pPr>
              <w:pStyle w:val="TableContents"/>
              <w:jc w:val="center"/>
              <w:rPr>
                <w:rFonts w:ascii="Wingdings" w:hAnsi="Wingdings"/>
              </w:rPr>
            </w:pPr>
          </w:p>
        </w:tc>
        <w:tc>
          <w:tcPr>
            <w:tcW w:w="1339" w:type="dxa"/>
            <w:tcBorders>
              <w:top w:val="single" w:sz="4" w:space="0" w:color="000000"/>
              <w:left w:val="single" w:sz="4" w:space="0" w:color="000000"/>
              <w:bottom w:val="single" w:sz="4" w:space="0" w:color="000000"/>
              <w:right w:val="single" w:sz="4" w:space="0" w:color="000000"/>
            </w:tcBorders>
          </w:tcPr>
          <w:p w14:paraId="0E39C424" w14:textId="77777777" w:rsidR="007372B6" w:rsidRDefault="00000000">
            <w:pPr>
              <w:pStyle w:val="TableContents"/>
              <w:jc w:val="center"/>
              <w:rPr>
                <w:color w:val="000000"/>
                <w:sz w:val="18"/>
                <w:szCs w:val="18"/>
              </w:rPr>
            </w:pPr>
            <w:r>
              <w:rPr>
                <w:rFonts w:ascii="Wingdings" w:hAnsi="Wingdings"/>
                <w:color w:val="000000"/>
                <w:sz w:val="18"/>
                <w:szCs w:val="18"/>
              </w:rPr>
              <w:t>✔</w:t>
            </w:r>
          </w:p>
        </w:tc>
        <w:tc>
          <w:tcPr>
            <w:tcW w:w="1335" w:type="dxa"/>
            <w:tcBorders>
              <w:top w:val="single" w:sz="4" w:space="0" w:color="000000"/>
              <w:left w:val="single" w:sz="4" w:space="0" w:color="000000"/>
              <w:bottom w:val="single" w:sz="4" w:space="0" w:color="000000"/>
              <w:right w:val="single" w:sz="4" w:space="0" w:color="000000"/>
            </w:tcBorders>
          </w:tcPr>
          <w:p w14:paraId="5926540C" w14:textId="77777777" w:rsidR="007372B6" w:rsidRDefault="00000000">
            <w:pPr>
              <w:pStyle w:val="TableContents"/>
              <w:jc w:val="center"/>
              <w:rPr>
                <w:color w:val="000000"/>
                <w:sz w:val="18"/>
                <w:szCs w:val="18"/>
              </w:rPr>
            </w:pPr>
            <w:r>
              <w:rPr>
                <w:rFonts w:ascii="Wingdings" w:hAnsi="Wingdings"/>
                <w:color w:val="000000"/>
                <w:sz w:val="18"/>
                <w:szCs w:val="18"/>
              </w:rPr>
              <w:t>✔</w:t>
            </w:r>
          </w:p>
        </w:tc>
      </w:tr>
      <w:tr w:rsidR="007372B6" w14:paraId="47BBF104" w14:textId="77777777">
        <w:tc>
          <w:tcPr>
            <w:tcW w:w="1870" w:type="dxa"/>
            <w:tcBorders>
              <w:top w:val="single" w:sz="4" w:space="0" w:color="000000"/>
              <w:left w:val="single" w:sz="4" w:space="0" w:color="000000"/>
              <w:bottom w:val="single" w:sz="4" w:space="0" w:color="000000"/>
              <w:right w:val="single" w:sz="4" w:space="0" w:color="000000"/>
            </w:tcBorders>
          </w:tcPr>
          <w:p w14:paraId="12DEDB6F" w14:textId="77777777" w:rsidR="007372B6" w:rsidRDefault="00000000">
            <w:pPr>
              <w:pStyle w:val="TableContents"/>
              <w:rPr>
                <w:color w:val="000000"/>
                <w:sz w:val="18"/>
                <w:szCs w:val="18"/>
              </w:rPr>
            </w:pPr>
            <w:r>
              <w:rPr>
                <w:rFonts w:ascii="Calibri;sans-serif" w:hAnsi="Calibri;sans-serif"/>
                <w:b/>
                <w:bCs/>
                <w:color w:val="000000"/>
                <w:sz w:val="20"/>
                <w:szCs w:val="20"/>
                <w:u w:val="single"/>
              </w:rPr>
              <w:t>FLMMA</w:t>
            </w:r>
            <w:r>
              <w:rPr>
                <w:rFonts w:ascii="Calibri;sans-serif" w:hAnsi="Calibri;sans-serif"/>
                <w:color w:val="000000"/>
                <w:sz w:val="18"/>
                <w:szCs w:val="18"/>
              </w:rPr>
              <w:t xml:space="preserve"> (engaged to establish CMC)</w:t>
            </w:r>
          </w:p>
        </w:tc>
        <w:tc>
          <w:tcPr>
            <w:tcW w:w="802" w:type="dxa"/>
            <w:tcBorders>
              <w:top w:val="single" w:sz="4" w:space="0" w:color="000000"/>
              <w:left w:val="single" w:sz="4" w:space="0" w:color="000000"/>
              <w:bottom w:val="single" w:sz="4" w:space="0" w:color="000000"/>
              <w:right w:val="single" w:sz="4" w:space="0" w:color="000000"/>
            </w:tcBorders>
          </w:tcPr>
          <w:p w14:paraId="0A94FEA7" w14:textId="77777777" w:rsidR="007372B6" w:rsidRDefault="007372B6">
            <w:pPr>
              <w:pStyle w:val="TableContents"/>
              <w:rPr>
                <w:rFonts w:ascii="Calibri;sans-serif" w:hAnsi="Calibri;sans-serif"/>
                <w:color w:val="000000"/>
                <w:sz w:val="18"/>
                <w:szCs w:val="18"/>
              </w:rPr>
            </w:pPr>
          </w:p>
        </w:tc>
        <w:tc>
          <w:tcPr>
            <w:tcW w:w="1337" w:type="dxa"/>
            <w:tcBorders>
              <w:top w:val="single" w:sz="4" w:space="0" w:color="000000"/>
              <w:left w:val="single" w:sz="4" w:space="0" w:color="000000"/>
              <w:bottom w:val="single" w:sz="4" w:space="0" w:color="000000"/>
              <w:right w:val="single" w:sz="4" w:space="0" w:color="000000"/>
            </w:tcBorders>
          </w:tcPr>
          <w:p w14:paraId="10FA1188" w14:textId="77777777" w:rsidR="007372B6" w:rsidRDefault="007372B6">
            <w:pPr>
              <w:pStyle w:val="TableContents"/>
              <w:rPr>
                <w:rFonts w:ascii="Calibri;sans-serif" w:hAnsi="Calibri;sans-serif"/>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tcPr>
          <w:p w14:paraId="647F3F1C" w14:textId="77777777" w:rsidR="007372B6" w:rsidRDefault="00000000">
            <w:pPr>
              <w:pStyle w:val="TableContents"/>
              <w:jc w:val="center"/>
              <w:rPr>
                <w:rFonts w:ascii="Calibri;sans-serif" w:hAnsi="Calibri;sans-serif"/>
                <w:color w:val="000000"/>
                <w:sz w:val="18"/>
                <w:szCs w:val="18"/>
              </w:rPr>
            </w:pPr>
            <w:r>
              <w:rPr>
                <w:rFonts w:ascii="Wingdings" w:hAnsi="Wingdings"/>
                <w:color w:val="000000"/>
                <w:sz w:val="18"/>
                <w:szCs w:val="18"/>
              </w:rPr>
              <w:t>✔</w:t>
            </w:r>
          </w:p>
        </w:tc>
        <w:tc>
          <w:tcPr>
            <w:tcW w:w="1336" w:type="dxa"/>
            <w:tcBorders>
              <w:top w:val="single" w:sz="4" w:space="0" w:color="000000"/>
              <w:left w:val="single" w:sz="4" w:space="0" w:color="000000"/>
              <w:bottom w:val="single" w:sz="4" w:space="0" w:color="000000"/>
              <w:right w:val="single" w:sz="4" w:space="0" w:color="000000"/>
            </w:tcBorders>
          </w:tcPr>
          <w:p w14:paraId="00A4F190" w14:textId="77777777" w:rsidR="007372B6" w:rsidRDefault="007372B6">
            <w:pPr>
              <w:pStyle w:val="TableContents"/>
              <w:rPr>
                <w:rFonts w:ascii="Calibri;sans-serif" w:hAnsi="Calibri;sans-serif"/>
                <w:color w:val="000000"/>
                <w:sz w:val="18"/>
                <w:szCs w:val="18"/>
              </w:rPr>
            </w:pPr>
          </w:p>
        </w:tc>
        <w:tc>
          <w:tcPr>
            <w:tcW w:w="1339" w:type="dxa"/>
            <w:tcBorders>
              <w:top w:val="single" w:sz="4" w:space="0" w:color="000000"/>
              <w:left w:val="single" w:sz="4" w:space="0" w:color="000000"/>
              <w:bottom w:val="single" w:sz="4" w:space="0" w:color="000000"/>
              <w:right w:val="single" w:sz="4" w:space="0" w:color="000000"/>
            </w:tcBorders>
          </w:tcPr>
          <w:p w14:paraId="52D3D35D" w14:textId="77777777" w:rsidR="007372B6" w:rsidRDefault="007372B6">
            <w:pPr>
              <w:pStyle w:val="TableContents"/>
              <w:rPr>
                <w:rFonts w:ascii="Calibri;sans-serif" w:hAnsi="Calibri;sans-serif"/>
                <w:color w:val="000000"/>
                <w:sz w:val="18"/>
                <w:szCs w:val="18"/>
              </w:rPr>
            </w:pPr>
          </w:p>
        </w:tc>
        <w:tc>
          <w:tcPr>
            <w:tcW w:w="1335" w:type="dxa"/>
            <w:tcBorders>
              <w:top w:val="single" w:sz="4" w:space="0" w:color="000000"/>
              <w:left w:val="single" w:sz="4" w:space="0" w:color="000000"/>
              <w:bottom w:val="single" w:sz="4" w:space="0" w:color="000000"/>
              <w:right w:val="single" w:sz="4" w:space="0" w:color="000000"/>
            </w:tcBorders>
          </w:tcPr>
          <w:p w14:paraId="23607D84" w14:textId="77777777" w:rsidR="007372B6" w:rsidRDefault="007372B6">
            <w:pPr>
              <w:pStyle w:val="TableContents"/>
              <w:rPr>
                <w:rFonts w:ascii="Calibri;sans-serif" w:hAnsi="Calibri;sans-serif"/>
                <w:color w:val="000000"/>
                <w:sz w:val="18"/>
                <w:szCs w:val="18"/>
              </w:rPr>
            </w:pPr>
          </w:p>
        </w:tc>
      </w:tr>
    </w:tbl>
    <w:p w14:paraId="101A0BE9" w14:textId="77777777" w:rsidR="007372B6" w:rsidRDefault="00000000">
      <w:pPr>
        <w:tabs>
          <w:tab w:val="left" w:pos="567"/>
          <w:tab w:val="left" w:pos="1620"/>
        </w:tabs>
        <w:spacing w:before="57" w:line="312" w:lineRule="auto"/>
        <w:jc w:val="both"/>
        <w:rPr>
          <w:rFonts w:asciiTheme="minorHAnsi" w:hAnsiTheme="minorHAnsi" w:cstheme="minorHAnsi"/>
          <w:i/>
          <w:iCs/>
          <w:color w:val="000000"/>
          <w:sz w:val="20"/>
          <w:szCs w:val="20"/>
        </w:rPr>
      </w:pPr>
      <w:r>
        <w:rPr>
          <w:rFonts w:ascii="Calibri" w:hAnsi="Calibri" w:cstheme="minorHAnsi"/>
          <w:i/>
          <w:iCs/>
          <w:color w:val="000000"/>
          <w:sz w:val="20"/>
          <w:szCs w:val="20"/>
        </w:rPr>
        <w:t>Source: TE Consultants, constructed from interviews with IPs</w:t>
      </w:r>
    </w:p>
    <w:p w14:paraId="52479ADF" w14:textId="77777777" w:rsidR="007372B6" w:rsidRDefault="007372B6">
      <w:pPr>
        <w:tabs>
          <w:tab w:val="left" w:pos="567"/>
          <w:tab w:val="left" w:pos="1620"/>
        </w:tabs>
        <w:spacing w:after="160"/>
        <w:contextualSpacing/>
        <w:rPr>
          <w:rFonts w:ascii="Helvetica" w:hAnsi="Helvetica"/>
        </w:rPr>
      </w:pPr>
    </w:p>
    <w:p w14:paraId="200D43D1" w14:textId="77777777" w:rsidR="007372B6" w:rsidRDefault="00000000">
      <w:pPr>
        <w:pStyle w:val="ListParagraph"/>
        <w:tabs>
          <w:tab w:val="left" w:pos="567"/>
          <w:tab w:val="left" w:pos="1620"/>
        </w:tabs>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4.2.3</w:t>
      </w:r>
      <w:r>
        <w:rPr>
          <w:rFonts w:asciiTheme="minorHAnsi" w:eastAsia="Open Sans" w:hAnsiTheme="minorHAnsi" w:cstheme="minorHAnsi"/>
          <w:b/>
          <w:bCs/>
          <w:color w:val="000000"/>
          <w:sz w:val="22"/>
          <w:szCs w:val="22"/>
        </w:rPr>
        <w:tab/>
        <w:t>Project Finance and Co-finance</w:t>
      </w:r>
    </w:p>
    <w:p w14:paraId="37EF647F" w14:textId="77777777" w:rsidR="007372B6" w:rsidRDefault="007372B6">
      <w:pPr>
        <w:pStyle w:val="ListParagraph"/>
        <w:tabs>
          <w:tab w:val="left" w:pos="567"/>
          <w:tab w:val="left" w:pos="1620"/>
        </w:tabs>
        <w:ind w:left="1854"/>
        <w:rPr>
          <w:rFonts w:asciiTheme="minorHAnsi" w:hAnsiTheme="minorHAnsi" w:cstheme="minorHAnsi"/>
          <w:color w:val="000000"/>
          <w:sz w:val="22"/>
          <w:szCs w:val="22"/>
        </w:rPr>
      </w:pPr>
    </w:p>
    <w:p w14:paraId="75EF1F1F" w14:textId="77777777" w:rsidR="007372B6" w:rsidRDefault="00000000">
      <w:pPr>
        <w:spacing w:line="312" w:lineRule="auto"/>
        <w:contextualSpacing/>
        <w:jc w:val="both"/>
      </w:pPr>
      <w:r>
        <w:rPr>
          <w:rFonts w:ascii="Calibri" w:eastAsia="Calibri" w:hAnsi="Calibri" w:cs="Calibri"/>
          <w:w w:val="105"/>
          <w:kern w:val="2"/>
          <w:sz w:val="22"/>
          <w:szCs w:val="22"/>
          <w:lang w:val="en-CA" w:eastAsia="zh-CN" w:bidi="hi-IN"/>
        </w:rPr>
        <w:t xml:space="preserve">13. The project design anticipated that three quarters (75%) of the project budget would be utilized by Outcomes 1 and 2 – 40% by Outcome 1 (improved management effectiveness of protected areas, including financial sustainability), and 35% by Outcome 2 (sustainable forest management including carbon stacks). 16% was to be utilized by Outcome 3 (Integrated catchment management </w:t>
      </w:r>
      <w:r>
        <w:rPr>
          <w:rFonts w:ascii="Calibri" w:eastAsia="Calibri" w:hAnsi="Calibri" w:cs="Calibri"/>
          <w:w w:val="105"/>
          <w:kern w:val="2"/>
          <w:sz w:val="22"/>
          <w:szCs w:val="22"/>
          <w:lang w:val="en-CA" w:eastAsia="zh-CN" w:bidi="hi-IN"/>
        </w:rPr>
        <w:lastRenderedPageBreak/>
        <w:t xml:space="preserve">plans including strengthened governance), 3.7% by Outcome 4 (Improved data &amp; information systems) and 5% by UNDP for project management (see Annex 11). </w:t>
      </w:r>
      <w:r>
        <w:rPr>
          <w:rStyle w:val="FootnoteAnchor"/>
          <w:rFonts w:ascii="Calibri" w:eastAsia="Calibri" w:hAnsi="Calibri" w:cs="Calibri"/>
          <w:w w:val="105"/>
          <w:kern w:val="2"/>
          <w:sz w:val="22"/>
          <w:szCs w:val="22"/>
          <w:lang w:val="en-CA" w:eastAsia="zh-CN" w:bidi="hi-IN"/>
        </w:rPr>
        <w:footnoteReference w:id="28"/>
      </w:r>
    </w:p>
    <w:p w14:paraId="7189D0EF" w14:textId="77777777" w:rsidR="007372B6" w:rsidRDefault="007372B6">
      <w:pPr>
        <w:tabs>
          <w:tab w:val="left" w:pos="2040"/>
        </w:tabs>
        <w:spacing w:line="312" w:lineRule="auto"/>
        <w:contextualSpacing/>
        <w:jc w:val="both"/>
        <w:rPr>
          <w:rFonts w:ascii="Calibri" w:eastAsia="Calibri" w:hAnsi="Calibri" w:cs="Calibri"/>
          <w:w w:val="105"/>
          <w:kern w:val="2"/>
          <w:sz w:val="22"/>
          <w:szCs w:val="22"/>
          <w:lang w:val="en-CA" w:eastAsia="zh-CN" w:bidi="hi-IN"/>
        </w:rPr>
      </w:pPr>
    </w:p>
    <w:p w14:paraId="4F215796" w14:textId="5DEBB2E3" w:rsidR="007372B6" w:rsidRDefault="00000000">
      <w:pPr>
        <w:tabs>
          <w:tab w:val="left" w:pos="2040"/>
        </w:tabs>
        <w:spacing w:after="113" w:line="312" w:lineRule="auto"/>
        <w:contextualSpacing/>
        <w:jc w:val="both"/>
      </w:pPr>
      <w:r>
        <w:rPr>
          <w:rFonts w:ascii="Calibri" w:eastAsia="Calibri" w:hAnsi="Calibri" w:cs="Calibri"/>
          <w:w w:val="105"/>
          <w:kern w:val="2"/>
          <w:sz w:val="22"/>
          <w:szCs w:val="22"/>
          <w:lang w:val="en-CA" w:eastAsia="zh-CN" w:bidi="hi-IN"/>
        </w:rPr>
        <w:t xml:space="preserve">14. For </w:t>
      </w:r>
      <w:r>
        <w:rPr>
          <w:rFonts w:ascii="Calibri" w:hAnsi="Calibri" w:cs="Calibri"/>
          <w:bCs/>
          <w:color w:val="000000"/>
          <w:w w:val="105"/>
          <w:kern w:val="2"/>
          <w:sz w:val="22"/>
          <w:szCs w:val="22"/>
          <w:lang w:bidi="hi-IN"/>
        </w:rPr>
        <w:t xml:space="preserve">the first three years </w:t>
      </w:r>
      <w:r>
        <w:rPr>
          <w:rFonts w:ascii="Calibri" w:eastAsia="Calibri" w:hAnsi="Calibri" w:cs="Calibri"/>
          <w:w w:val="105"/>
          <w:kern w:val="2"/>
          <w:sz w:val="22"/>
          <w:szCs w:val="22"/>
          <w:lang w:val="en-CA" w:eastAsia="zh-CN" w:bidi="hi-IN"/>
        </w:rPr>
        <w:t xml:space="preserve">of the project, expenditure was well below what was anticipated. </w:t>
      </w:r>
      <w:r>
        <w:rPr>
          <w:rFonts w:ascii="Calibri" w:hAnsi="Calibri" w:cs="Calibri"/>
          <w:bCs/>
          <w:color w:val="000000"/>
          <w:w w:val="105"/>
          <w:kern w:val="2"/>
          <w:sz w:val="22"/>
          <w:szCs w:val="22"/>
          <w:lang w:bidi="hi-IN"/>
        </w:rPr>
        <w:t xml:space="preserve">Table 3 shows the progress of fund </w:t>
      </w:r>
      <w:proofErr w:type="spellStart"/>
      <w:r>
        <w:rPr>
          <w:rFonts w:ascii="Calibri" w:hAnsi="Calibri" w:cs="Calibri"/>
          <w:bCs/>
          <w:color w:val="000000"/>
          <w:w w:val="105"/>
          <w:kern w:val="2"/>
          <w:sz w:val="22"/>
          <w:szCs w:val="22"/>
          <w:lang w:bidi="hi-IN"/>
        </w:rPr>
        <w:t>utilisation</w:t>
      </w:r>
      <w:proofErr w:type="spellEnd"/>
      <w:r>
        <w:rPr>
          <w:rFonts w:ascii="Calibri" w:hAnsi="Calibri" w:cs="Calibri"/>
          <w:bCs/>
          <w:color w:val="000000"/>
          <w:w w:val="105"/>
          <w:kern w:val="2"/>
          <w:sz w:val="22"/>
          <w:szCs w:val="22"/>
          <w:lang w:bidi="hi-IN"/>
        </w:rPr>
        <w:t xml:space="preserve"> on the project between 2016 and September 2021. The low </w:t>
      </w:r>
      <w:proofErr w:type="spellStart"/>
      <w:r>
        <w:rPr>
          <w:rFonts w:ascii="Calibri" w:hAnsi="Calibri" w:cs="Calibri"/>
          <w:bCs/>
          <w:color w:val="000000"/>
          <w:w w:val="105"/>
          <w:kern w:val="2"/>
          <w:sz w:val="22"/>
          <w:szCs w:val="22"/>
          <w:lang w:bidi="hi-IN"/>
        </w:rPr>
        <w:t>utilisation</w:t>
      </w:r>
      <w:proofErr w:type="spellEnd"/>
      <w:r>
        <w:rPr>
          <w:rFonts w:ascii="Calibri" w:hAnsi="Calibri" w:cs="Calibri"/>
          <w:bCs/>
          <w:color w:val="000000"/>
          <w:w w:val="105"/>
          <w:kern w:val="2"/>
          <w:sz w:val="22"/>
          <w:szCs w:val="22"/>
          <w:lang w:bidi="hi-IN"/>
        </w:rPr>
        <w:t xml:space="preserve"> rates and meagre budgeted amounts (6% in 2016, 76% in 2017 and 53% in 2018) are an indication of the executing agency’s inability to both plan and utilize expenditures in the early stages of the project. </w:t>
      </w:r>
      <w:r>
        <w:rPr>
          <w:rFonts w:ascii="Calibri" w:eastAsia="Calibri" w:hAnsi="Calibri" w:cs="Calibri"/>
          <w:bCs/>
          <w:color w:val="000000"/>
          <w:w w:val="105"/>
          <w:kern w:val="2"/>
          <w:sz w:val="22"/>
          <w:szCs w:val="22"/>
          <w:lang w:val="en-CA" w:eastAsia="zh-CN" w:bidi="hi-IN"/>
        </w:rPr>
        <w:t>The low delivery rate (measured by percentage of budget utilisation)</w:t>
      </w:r>
      <w:r>
        <w:rPr>
          <w:rFonts w:ascii="Calibri" w:hAnsi="Calibri" w:cs="Calibri"/>
          <w:bCs/>
          <w:color w:val="000000"/>
          <w:w w:val="105"/>
          <w:kern w:val="2"/>
          <w:sz w:val="22"/>
          <w:szCs w:val="22"/>
          <w:lang w:bidi="hi-IN"/>
        </w:rPr>
        <w:t xml:space="preserve"> is evidence of the very slow start to the project, which was </w:t>
      </w:r>
      <w:r>
        <w:rPr>
          <w:rFonts w:ascii="Calibri" w:eastAsia="Calibri" w:hAnsi="Calibri" w:cs="Calibri"/>
          <w:bCs/>
          <w:color w:val="000000"/>
          <w:w w:val="105"/>
          <w:kern w:val="2"/>
          <w:sz w:val="22"/>
          <w:szCs w:val="22"/>
          <w:lang w:val="en-CA" w:eastAsia="zh-CN" w:bidi="hi-IN"/>
        </w:rPr>
        <w:t>caused by a number of factors:</w:t>
      </w:r>
    </w:p>
    <w:p w14:paraId="4D29EB96" w14:textId="77777777" w:rsidR="007372B6" w:rsidRDefault="00000000">
      <w:pPr>
        <w:numPr>
          <w:ilvl w:val="0"/>
          <w:numId w:val="18"/>
        </w:numPr>
        <w:tabs>
          <w:tab w:val="left" w:pos="2040"/>
        </w:tabs>
        <w:spacing w:before="120" w:after="120" w:line="312" w:lineRule="auto"/>
        <w:ind w:left="714" w:hanging="357"/>
        <w:contextualSpacing/>
        <w:jc w:val="both"/>
        <w:rPr>
          <w:rFonts w:ascii="Calibri" w:eastAsia="Calibri" w:hAnsi="Calibri" w:cs="Calibri"/>
          <w:w w:val="105"/>
          <w:kern w:val="2"/>
          <w:sz w:val="22"/>
          <w:szCs w:val="22"/>
          <w:lang w:val="en-CA" w:eastAsia="zh-CN" w:bidi="hi-IN"/>
        </w:rPr>
      </w:pPr>
      <w:r>
        <w:rPr>
          <w:rFonts w:ascii="Calibri" w:eastAsia="Calibri" w:hAnsi="Calibri" w:cs="Calibri"/>
          <w:w w:val="105"/>
          <w:kern w:val="2"/>
          <w:sz w:val="22"/>
          <w:szCs w:val="22"/>
          <w:lang w:val="en-CA" w:eastAsia="zh-CN" w:bidi="hi-IN"/>
        </w:rPr>
        <w:t xml:space="preserve">Delayed recruitment of project staff. </w:t>
      </w:r>
    </w:p>
    <w:p w14:paraId="5C3FA804" w14:textId="77777777" w:rsidR="007372B6" w:rsidRDefault="00000000">
      <w:pPr>
        <w:numPr>
          <w:ilvl w:val="0"/>
          <w:numId w:val="18"/>
        </w:numPr>
        <w:tabs>
          <w:tab w:val="left" w:pos="2040"/>
        </w:tabs>
        <w:spacing w:before="120" w:after="120" w:line="312" w:lineRule="auto"/>
        <w:ind w:left="714" w:hanging="357"/>
        <w:contextualSpacing/>
        <w:jc w:val="both"/>
      </w:pPr>
      <w:r>
        <w:rPr>
          <w:rFonts w:ascii="Calibri" w:eastAsia="Calibri" w:hAnsi="Calibri" w:cs="Calibri"/>
          <w:w w:val="105"/>
          <w:kern w:val="2"/>
          <w:sz w:val="22"/>
          <w:szCs w:val="22"/>
          <w:lang w:val="en-CA" w:eastAsia="zh-CN" w:bidi="hi-IN"/>
        </w:rPr>
        <w:t>Protracted inception phase, involving two sets of inception consultations within the communities over a year apart, which subsequently raised and lowered expectations, leaving communities confused.</w:t>
      </w:r>
    </w:p>
    <w:p w14:paraId="111D8915" w14:textId="77777777" w:rsidR="007372B6" w:rsidRDefault="00000000">
      <w:pPr>
        <w:numPr>
          <w:ilvl w:val="0"/>
          <w:numId w:val="18"/>
        </w:numPr>
        <w:tabs>
          <w:tab w:val="left" w:pos="2040"/>
        </w:tabs>
        <w:spacing w:before="120" w:after="120" w:line="312" w:lineRule="auto"/>
        <w:ind w:left="714" w:hanging="357"/>
        <w:contextualSpacing/>
        <w:jc w:val="both"/>
      </w:pPr>
      <w:r>
        <w:rPr>
          <w:rFonts w:ascii="Calibri" w:eastAsia="Calibri" w:hAnsi="Calibri" w:cs="Calibri"/>
          <w:bCs/>
          <w:color w:val="000000"/>
          <w:w w:val="105"/>
          <w:kern w:val="2"/>
          <w:sz w:val="22"/>
          <w:szCs w:val="22"/>
          <w:lang w:val="en-CA" w:eastAsia="zh-CN" w:bidi="hi-IN"/>
        </w:rPr>
        <w:t xml:space="preserve">Delayed negotiations to formalize relationships with Implementing Partners with </w:t>
      </w:r>
      <w:proofErr w:type="spellStart"/>
      <w:r>
        <w:rPr>
          <w:rFonts w:ascii="Calibri" w:eastAsia="Calibri" w:hAnsi="Calibri" w:cs="Calibri"/>
          <w:bCs/>
          <w:color w:val="000000"/>
          <w:w w:val="105"/>
          <w:kern w:val="2"/>
          <w:sz w:val="22"/>
          <w:szCs w:val="22"/>
          <w:lang w:val="en-CA" w:eastAsia="zh-CN" w:bidi="hi-IN"/>
        </w:rPr>
        <w:t>MoAs</w:t>
      </w:r>
      <w:proofErr w:type="spellEnd"/>
      <w:r>
        <w:rPr>
          <w:rFonts w:ascii="Calibri" w:eastAsia="Calibri" w:hAnsi="Calibri" w:cs="Calibri"/>
          <w:bCs/>
          <w:color w:val="000000"/>
          <w:w w:val="105"/>
          <w:kern w:val="2"/>
          <w:sz w:val="22"/>
          <w:szCs w:val="22"/>
          <w:lang w:val="en-CA" w:eastAsia="zh-CN" w:bidi="hi-IN"/>
        </w:rPr>
        <w:t xml:space="preserve">, </w:t>
      </w:r>
      <w:proofErr w:type="spellStart"/>
      <w:r>
        <w:rPr>
          <w:rFonts w:ascii="Calibri" w:eastAsia="Calibri" w:hAnsi="Calibri" w:cs="Calibri"/>
          <w:bCs/>
          <w:color w:val="000000"/>
          <w:w w:val="105"/>
          <w:kern w:val="2"/>
          <w:sz w:val="22"/>
          <w:szCs w:val="22"/>
          <w:lang w:val="en-CA" w:eastAsia="zh-CN" w:bidi="hi-IN"/>
        </w:rPr>
        <w:t>LoAs</w:t>
      </w:r>
      <w:proofErr w:type="spellEnd"/>
      <w:r>
        <w:rPr>
          <w:rFonts w:ascii="Calibri" w:eastAsia="Calibri" w:hAnsi="Calibri" w:cs="Calibri"/>
          <w:bCs/>
          <w:color w:val="000000"/>
          <w:w w:val="105"/>
          <w:kern w:val="2"/>
          <w:sz w:val="22"/>
          <w:szCs w:val="22"/>
          <w:lang w:val="en-CA" w:eastAsia="zh-CN" w:bidi="hi-IN"/>
        </w:rPr>
        <w:t xml:space="preserve"> and LVGs, which were eventually signed between UNDP, government ministries and NGOs.</w:t>
      </w:r>
    </w:p>
    <w:p w14:paraId="3520A61F" w14:textId="77777777" w:rsidR="007372B6" w:rsidRDefault="007372B6">
      <w:pPr>
        <w:tabs>
          <w:tab w:val="left" w:pos="2040"/>
        </w:tabs>
        <w:spacing w:after="113" w:line="312" w:lineRule="auto"/>
        <w:contextualSpacing/>
        <w:jc w:val="both"/>
        <w:rPr>
          <w:rFonts w:ascii="Calibri" w:hAnsi="Calibri" w:cs="Calibri"/>
          <w:bCs/>
          <w:color w:val="000000"/>
          <w:w w:val="105"/>
          <w:kern w:val="2"/>
          <w:sz w:val="22"/>
          <w:szCs w:val="22"/>
          <w:lang w:bidi="hi-IN"/>
        </w:rPr>
      </w:pPr>
    </w:p>
    <w:p w14:paraId="4091D5A5" w14:textId="77777777" w:rsidR="007372B6" w:rsidRDefault="00000000">
      <w:pPr>
        <w:tabs>
          <w:tab w:val="left" w:pos="2040"/>
        </w:tabs>
        <w:spacing w:line="312" w:lineRule="auto"/>
        <w:contextualSpacing/>
        <w:jc w:val="both"/>
      </w:pPr>
      <w:r>
        <w:rPr>
          <w:rFonts w:ascii="Calibri" w:hAnsi="Calibri" w:cs="Calibri"/>
          <w:bCs/>
          <w:color w:val="000000"/>
          <w:w w:val="105"/>
          <w:kern w:val="2"/>
          <w:sz w:val="22"/>
          <w:szCs w:val="22"/>
          <w:lang w:bidi="hi-IN"/>
        </w:rPr>
        <w:t xml:space="preserve">15. In 2019, UNDP intervened by signing </w:t>
      </w:r>
      <w:r>
        <w:rPr>
          <w:rFonts w:ascii="Calibri" w:eastAsia="Calibri" w:hAnsi="Calibri" w:cs="Calibri"/>
          <w:bCs/>
          <w:color w:val="000000"/>
          <w:w w:val="105"/>
          <w:kern w:val="2"/>
          <w:sz w:val="22"/>
          <w:szCs w:val="22"/>
          <w:lang w:val="en-CA" w:eastAsia="zh-CN" w:bidi="hi-IN"/>
        </w:rPr>
        <w:t xml:space="preserve">a series of </w:t>
      </w:r>
      <w:proofErr w:type="spellStart"/>
      <w:r>
        <w:rPr>
          <w:rFonts w:ascii="Calibri" w:eastAsia="Calibri" w:hAnsi="Calibri" w:cs="Calibri"/>
          <w:bCs/>
          <w:color w:val="000000"/>
          <w:w w:val="105"/>
          <w:kern w:val="2"/>
          <w:sz w:val="22"/>
          <w:szCs w:val="22"/>
          <w:lang w:val="en-CA" w:eastAsia="zh-CN" w:bidi="hi-IN"/>
        </w:rPr>
        <w:t>MoUs</w:t>
      </w:r>
      <w:proofErr w:type="spellEnd"/>
      <w:r>
        <w:rPr>
          <w:rFonts w:ascii="Calibri" w:eastAsia="Calibri" w:hAnsi="Calibri" w:cs="Calibri"/>
          <w:bCs/>
          <w:color w:val="000000"/>
          <w:w w:val="105"/>
          <w:kern w:val="2"/>
          <w:sz w:val="22"/>
          <w:szCs w:val="22"/>
          <w:lang w:val="en-CA" w:eastAsia="zh-CN" w:bidi="hi-IN"/>
        </w:rPr>
        <w:t xml:space="preserve">, </w:t>
      </w:r>
      <w:proofErr w:type="spellStart"/>
      <w:r>
        <w:rPr>
          <w:rFonts w:ascii="Calibri" w:eastAsia="Calibri" w:hAnsi="Calibri" w:cs="Calibri"/>
          <w:bCs/>
          <w:color w:val="000000"/>
          <w:w w:val="105"/>
          <w:kern w:val="2"/>
          <w:sz w:val="22"/>
          <w:szCs w:val="22"/>
          <w:lang w:val="en-CA" w:eastAsia="zh-CN" w:bidi="hi-IN"/>
        </w:rPr>
        <w:t>LoAs</w:t>
      </w:r>
      <w:proofErr w:type="spellEnd"/>
      <w:r>
        <w:rPr>
          <w:rFonts w:ascii="Calibri" w:eastAsia="Calibri" w:hAnsi="Calibri" w:cs="Calibri"/>
          <w:bCs/>
          <w:color w:val="000000"/>
          <w:w w:val="105"/>
          <w:kern w:val="2"/>
          <w:sz w:val="22"/>
          <w:szCs w:val="22"/>
          <w:lang w:val="en-CA" w:eastAsia="zh-CN" w:bidi="hi-IN"/>
        </w:rPr>
        <w:t xml:space="preserve"> and LVGs with five government ministries (Fisheries, Forestry, Agriculture, Rural and Maritime Development and </w:t>
      </w:r>
      <w:proofErr w:type="spellStart"/>
      <w:r>
        <w:rPr>
          <w:rFonts w:ascii="Calibri" w:eastAsia="Calibri" w:hAnsi="Calibri" w:cs="Calibri"/>
          <w:bCs/>
          <w:color w:val="000000"/>
          <w:w w:val="105"/>
          <w:kern w:val="2"/>
          <w:sz w:val="22"/>
          <w:szCs w:val="22"/>
          <w:lang w:val="en-CA" w:eastAsia="zh-CN" w:bidi="hi-IN"/>
        </w:rPr>
        <w:t>i-Taukei</w:t>
      </w:r>
      <w:proofErr w:type="spellEnd"/>
      <w:r>
        <w:rPr>
          <w:rFonts w:ascii="Calibri" w:eastAsia="Calibri" w:hAnsi="Calibri" w:cs="Calibri"/>
          <w:bCs/>
          <w:color w:val="000000"/>
          <w:w w:val="105"/>
          <w:kern w:val="2"/>
          <w:sz w:val="22"/>
          <w:szCs w:val="22"/>
          <w:lang w:val="en-CA" w:eastAsia="zh-CN" w:bidi="hi-IN"/>
        </w:rPr>
        <w:t xml:space="preserve"> Affairs), two regional institutions (USP-IAS and SPC) and five NGOs (WWF, CI, FLMMA, TERI, TVNI).</w:t>
      </w:r>
      <w:r>
        <w:rPr>
          <w:rStyle w:val="FootnoteAnchor"/>
          <w:rFonts w:ascii="Calibri" w:eastAsia="Calibri" w:hAnsi="Calibri" w:cs="Calibri"/>
          <w:bCs/>
          <w:color w:val="000000"/>
          <w:w w:val="105"/>
          <w:kern w:val="2"/>
          <w:sz w:val="22"/>
          <w:szCs w:val="22"/>
          <w:lang w:val="en-CA" w:eastAsia="zh-CN" w:bidi="hi-IN"/>
        </w:rPr>
        <w:footnoteReference w:id="29"/>
      </w:r>
      <w:r>
        <w:rPr>
          <w:rFonts w:ascii="Calibri" w:eastAsia="Calibri" w:hAnsi="Calibri" w:cs="Calibri"/>
          <w:bCs/>
          <w:color w:val="000000"/>
          <w:w w:val="105"/>
          <w:kern w:val="2"/>
          <w:sz w:val="22"/>
          <w:szCs w:val="22"/>
          <w:lang w:val="en-CA" w:eastAsia="zh-CN" w:bidi="hi-IN"/>
        </w:rPr>
        <w:t xml:space="preserve"> Following this, </w:t>
      </w:r>
      <w:r>
        <w:rPr>
          <w:rFonts w:ascii="Calibri" w:hAnsi="Calibri" w:cs="Calibri"/>
          <w:bCs/>
          <w:color w:val="000000"/>
          <w:w w:val="105"/>
          <w:kern w:val="2"/>
          <w:sz w:val="22"/>
          <w:szCs w:val="22"/>
          <w:lang w:bidi="hi-IN"/>
        </w:rPr>
        <w:t>the project’s budget and utilization rates improved considerably, where over USD2 million was budgeted in 2019, 2020 and 2021, and the project achieved utilization rates of 77%, 99% and 74% respectively.</w:t>
      </w:r>
    </w:p>
    <w:p w14:paraId="35BDE160" w14:textId="77777777" w:rsidR="007372B6" w:rsidRDefault="007372B6">
      <w:pPr>
        <w:tabs>
          <w:tab w:val="left" w:pos="1620"/>
        </w:tabs>
        <w:jc w:val="both"/>
        <w:rPr>
          <w:rFonts w:asciiTheme="minorHAnsi" w:hAnsiTheme="minorHAnsi" w:cstheme="minorHAnsi"/>
          <w:color w:val="000000"/>
          <w:sz w:val="22"/>
          <w:szCs w:val="22"/>
        </w:rPr>
      </w:pPr>
    </w:p>
    <w:p w14:paraId="507BEFD3" w14:textId="77777777" w:rsidR="007372B6" w:rsidRDefault="00000000">
      <w:pPr>
        <w:widowControl w:val="0"/>
        <w:tabs>
          <w:tab w:val="left" w:pos="1620"/>
        </w:tabs>
        <w:spacing w:before="57" w:after="57"/>
        <w:contextualSpacing/>
        <w:jc w:val="center"/>
        <w:rPr>
          <w:rFonts w:ascii="Calibri" w:hAnsi="Calibri" w:cs="Calibri"/>
          <w:b/>
          <w:bCs/>
          <w:color w:val="000000"/>
          <w:w w:val="105"/>
          <w:kern w:val="2"/>
          <w:sz w:val="22"/>
          <w:szCs w:val="22"/>
          <w:lang w:bidi="hi-IN"/>
        </w:rPr>
      </w:pPr>
      <w:r>
        <w:rPr>
          <w:rFonts w:ascii="Calibri" w:hAnsi="Calibri" w:cs="Calibri"/>
          <w:b/>
          <w:bCs/>
          <w:color w:val="000000"/>
          <w:w w:val="105"/>
          <w:kern w:val="2"/>
          <w:sz w:val="22"/>
          <w:szCs w:val="22"/>
          <w:lang w:bidi="hi-IN"/>
        </w:rPr>
        <w:t>Table 3: Fund Utilisation by Calendar Year</w:t>
      </w:r>
    </w:p>
    <w:p w14:paraId="3DAC4439" w14:textId="77777777" w:rsidR="007372B6" w:rsidRDefault="007372B6">
      <w:pPr>
        <w:widowControl w:val="0"/>
        <w:tabs>
          <w:tab w:val="left" w:pos="1620"/>
        </w:tabs>
        <w:spacing w:before="57" w:after="57"/>
        <w:contextualSpacing/>
        <w:jc w:val="center"/>
        <w:rPr>
          <w:rFonts w:ascii="Calibri" w:hAnsi="Calibri" w:cs="Calibri"/>
          <w:b/>
          <w:bCs/>
          <w:color w:val="000000"/>
          <w:w w:val="105"/>
          <w:kern w:val="2"/>
          <w:sz w:val="22"/>
          <w:szCs w:val="22"/>
          <w:lang w:bidi="hi-IN"/>
        </w:rPr>
      </w:pPr>
    </w:p>
    <w:tbl>
      <w:tblPr>
        <w:tblW w:w="6978" w:type="dxa"/>
        <w:tblInd w:w="933" w:type="dxa"/>
        <w:tblLayout w:type="fixed"/>
        <w:tblLook w:val="04A0" w:firstRow="1" w:lastRow="0" w:firstColumn="1" w:lastColumn="0" w:noHBand="0" w:noVBand="1"/>
      </w:tblPr>
      <w:tblGrid>
        <w:gridCol w:w="875"/>
        <w:gridCol w:w="1242"/>
        <w:gridCol w:w="1582"/>
        <w:gridCol w:w="1930"/>
        <w:gridCol w:w="1349"/>
      </w:tblGrid>
      <w:tr w:rsidR="007372B6" w14:paraId="1ADC6276" w14:textId="77777777" w:rsidTr="00A34A90">
        <w:tc>
          <w:tcPr>
            <w:tcW w:w="87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4C21EFE" w14:textId="77777777" w:rsidR="007372B6" w:rsidRDefault="00000000">
            <w:pPr>
              <w:widowControl w:val="0"/>
              <w:contextualSpacing/>
              <w:rPr>
                <w:rFonts w:asciiTheme="minorHAnsi" w:hAnsiTheme="minorHAnsi" w:cstheme="minorHAnsi"/>
                <w:b/>
                <w:bCs/>
                <w:color w:val="000000"/>
                <w:sz w:val="20"/>
                <w:szCs w:val="20"/>
              </w:rPr>
            </w:pPr>
            <w:r>
              <w:rPr>
                <w:rFonts w:asciiTheme="minorHAnsi" w:hAnsiTheme="minorHAnsi" w:cstheme="minorHAnsi"/>
                <w:b/>
                <w:bCs/>
                <w:color w:val="000000"/>
                <w:sz w:val="20"/>
                <w:szCs w:val="20"/>
              </w:rPr>
              <w:t>Year</w:t>
            </w:r>
          </w:p>
        </w:tc>
        <w:tc>
          <w:tcPr>
            <w:tcW w:w="12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62BB968" w14:textId="77777777" w:rsidR="007372B6" w:rsidRDefault="00000000">
            <w:pPr>
              <w:widowControl w:val="0"/>
              <w:contextualSpacing/>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Budget (USD)</w:t>
            </w:r>
          </w:p>
        </w:tc>
        <w:tc>
          <w:tcPr>
            <w:tcW w:w="158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674C166" w14:textId="77777777" w:rsidR="007372B6" w:rsidRDefault="00000000">
            <w:pPr>
              <w:widowControl w:val="0"/>
              <w:contextualSpacing/>
              <w:jc w:val="center"/>
              <w:rPr>
                <w:rFonts w:asciiTheme="minorHAnsi" w:hAnsiTheme="minorHAnsi" w:cstheme="minorHAnsi"/>
                <w:sz w:val="20"/>
                <w:szCs w:val="20"/>
              </w:rPr>
            </w:pPr>
            <w:r>
              <w:rPr>
                <w:rFonts w:asciiTheme="minorHAnsi" w:hAnsiTheme="minorHAnsi" w:cstheme="minorHAnsi"/>
                <w:b/>
                <w:bCs/>
                <w:color w:val="000000"/>
                <w:sz w:val="20"/>
                <w:szCs w:val="20"/>
              </w:rPr>
              <w:t>Utilisation (USD)</w:t>
            </w:r>
          </w:p>
        </w:tc>
        <w:tc>
          <w:tcPr>
            <w:tcW w:w="19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82C07D9" w14:textId="77777777" w:rsidR="007372B6" w:rsidRDefault="00000000">
            <w:pPr>
              <w:widowControl w:val="0"/>
              <w:contextualSpacing/>
              <w:jc w:val="center"/>
              <w:rPr>
                <w:rFonts w:asciiTheme="minorHAnsi" w:hAnsiTheme="minorHAnsi" w:cstheme="minorHAnsi"/>
                <w:b/>
                <w:bCs/>
                <w:sz w:val="20"/>
                <w:szCs w:val="20"/>
              </w:rPr>
            </w:pPr>
            <w:r>
              <w:rPr>
                <w:rFonts w:asciiTheme="minorHAnsi" w:hAnsiTheme="minorHAnsi" w:cstheme="minorHAnsi"/>
                <w:b/>
                <w:bCs/>
                <w:sz w:val="20"/>
                <w:szCs w:val="20"/>
              </w:rPr>
              <w:t>Update (Nov 2022)</w:t>
            </w:r>
          </w:p>
        </w:tc>
        <w:tc>
          <w:tcPr>
            <w:tcW w:w="134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C35E699" w14:textId="77777777" w:rsidR="007372B6" w:rsidRDefault="00000000">
            <w:pPr>
              <w:widowControl w:val="0"/>
              <w:contextualSpacing/>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Utilisation (%)</w:t>
            </w:r>
          </w:p>
        </w:tc>
      </w:tr>
      <w:tr w:rsidR="007372B6" w14:paraId="69F5BAAA" w14:textId="77777777">
        <w:tc>
          <w:tcPr>
            <w:tcW w:w="875" w:type="dxa"/>
            <w:tcBorders>
              <w:top w:val="single" w:sz="4" w:space="0" w:color="000000"/>
              <w:left w:val="single" w:sz="4" w:space="0" w:color="000000"/>
              <w:bottom w:val="single" w:sz="4" w:space="0" w:color="000000"/>
              <w:right w:val="single" w:sz="4" w:space="0" w:color="000000"/>
            </w:tcBorders>
          </w:tcPr>
          <w:p w14:paraId="13BA0B68" w14:textId="77777777" w:rsidR="007372B6" w:rsidRDefault="00000000">
            <w:pPr>
              <w:widowControl w:val="0"/>
              <w:spacing w:before="120" w:after="120"/>
              <w:contextualSpacing/>
              <w:jc w:val="both"/>
              <w:rPr>
                <w:rFonts w:asciiTheme="minorHAnsi" w:hAnsiTheme="minorHAnsi" w:cstheme="minorHAnsi"/>
                <w:bCs/>
                <w:color w:val="000000"/>
                <w:sz w:val="20"/>
                <w:szCs w:val="20"/>
              </w:rPr>
            </w:pPr>
            <w:r>
              <w:rPr>
                <w:rFonts w:asciiTheme="minorHAnsi" w:hAnsiTheme="minorHAnsi" w:cstheme="minorHAnsi"/>
                <w:bCs/>
                <w:color w:val="000000"/>
                <w:sz w:val="20"/>
                <w:szCs w:val="20"/>
              </w:rPr>
              <w:t>2016</w:t>
            </w:r>
          </w:p>
        </w:tc>
        <w:tc>
          <w:tcPr>
            <w:tcW w:w="1242" w:type="dxa"/>
            <w:tcBorders>
              <w:top w:val="single" w:sz="4" w:space="0" w:color="000000"/>
              <w:left w:val="single" w:sz="4" w:space="0" w:color="000000"/>
              <w:bottom w:val="single" w:sz="4" w:space="0" w:color="000000"/>
              <w:right w:val="single" w:sz="4" w:space="0" w:color="000000"/>
            </w:tcBorders>
          </w:tcPr>
          <w:p w14:paraId="635453A5"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369,178</w:t>
            </w:r>
          </w:p>
        </w:tc>
        <w:tc>
          <w:tcPr>
            <w:tcW w:w="1582" w:type="dxa"/>
            <w:tcBorders>
              <w:top w:val="single" w:sz="4" w:space="0" w:color="000000"/>
              <w:left w:val="single" w:sz="4" w:space="0" w:color="000000"/>
              <w:bottom w:val="single" w:sz="4" w:space="0" w:color="000000"/>
              <w:right w:val="single" w:sz="4" w:space="0" w:color="000000"/>
            </w:tcBorders>
          </w:tcPr>
          <w:p w14:paraId="3519C9FE"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21,463.67</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3966E213" w14:textId="77777777" w:rsidR="007372B6" w:rsidRDefault="00000000">
            <w:pPr>
              <w:widowControl w:val="0"/>
              <w:snapToGrid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21,463.67</w:t>
            </w:r>
          </w:p>
        </w:tc>
        <w:tc>
          <w:tcPr>
            <w:tcW w:w="1349" w:type="dxa"/>
            <w:tcBorders>
              <w:top w:val="single" w:sz="4" w:space="0" w:color="000000"/>
              <w:left w:val="single" w:sz="4" w:space="0" w:color="000000"/>
              <w:bottom w:val="single" w:sz="4" w:space="0" w:color="000000"/>
              <w:right w:val="single" w:sz="4" w:space="0" w:color="000000"/>
            </w:tcBorders>
          </w:tcPr>
          <w:p w14:paraId="3AFBD3B6" w14:textId="77777777" w:rsidR="007372B6" w:rsidRDefault="00000000">
            <w:pPr>
              <w:widowControl w:val="0"/>
              <w:spacing w:before="120" w:after="120"/>
              <w:contextualSpacing/>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6%</w:t>
            </w:r>
          </w:p>
        </w:tc>
      </w:tr>
      <w:tr w:rsidR="007372B6" w14:paraId="76786CD6" w14:textId="77777777">
        <w:tc>
          <w:tcPr>
            <w:tcW w:w="875" w:type="dxa"/>
            <w:tcBorders>
              <w:top w:val="single" w:sz="4" w:space="0" w:color="000000"/>
              <w:left w:val="single" w:sz="4" w:space="0" w:color="000000"/>
              <w:bottom w:val="single" w:sz="4" w:space="0" w:color="000000"/>
              <w:right w:val="single" w:sz="4" w:space="0" w:color="000000"/>
            </w:tcBorders>
          </w:tcPr>
          <w:p w14:paraId="13070BE3" w14:textId="77777777" w:rsidR="007372B6" w:rsidRDefault="00000000">
            <w:pPr>
              <w:widowControl w:val="0"/>
              <w:spacing w:before="120" w:after="120"/>
              <w:contextualSpacing/>
              <w:jc w:val="both"/>
              <w:rPr>
                <w:rFonts w:asciiTheme="minorHAnsi" w:hAnsiTheme="minorHAnsi" w:cstheme="minorHAnsi"/>
                <w:bCs/>
                <w:color w:val="000000"/>
                <w:sz w:val="20"/>
                <w:szCs w:val="20"/>
              </w:rPr>
            </w:pPr>
            <w:r>
              <w:rPr>
                <w:rFonts w:asciiTheme="minorHAnsi" w:hAnsiTheme="minorHAnsi" w:cstheme="minorHAnsi"/>
                <w:bCs/>
                <w:color w:val="000000"/>
                <w:sz w:val="20"/>
                <w:szCs w:val="20"/>
              </w:rPr>
              <w:t>2017</w:t>
            </w:r>
          </w:p>
        </w:tc>
        <w:tc>
          <w:tcPr>
            <w:tcW w:w="1242" w:type="dxa"/>
            <w:tcBorders>
              <w:top w:val="single" w:sz="4" w:space="0" w:color="000000"/>
              <w:left w:val="single" w:sz="4" w:space="0" w:color="000000"/>
              <w:bottom w:val="single" w:sz="4" w:space="0" w:color="000000"/>
              <w:right w:val="single" w:sz="4" w:space="0" w:color="000000"/>
            </w:tcBorders>
          </w:tcPr>
          <w:p w14:paraId="105FCE2C"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250,741</w:t>
            </w:r>
          </w:p>
        </w:tc>
        <w:tc>
          <w:tcPr>
            <w:tcW w:w="1582" w:type="dxa"/>
            <w:tcBorders>
              <w:top w:val="single" w:sz="4" w:space="0" w:color="000000"/>
              <w:left w:val="single" w:sz="4" w:space="0" w:color="000000"/>
              <w:bottom w:val="single" w:sz="4" w:space="0" w:color="000000"/>
              <w:right w:val="single" w:sz="4" w:space="0" w:color="000000"/>
            </w:tcBorders>
          </w:tcPr>
          <w:p w14:paraId="46752522"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190,365.02</w:t>
            </w:r>
          </w:p>
        </w:tc>
        <w:tc>
          <w:tcPr>
            <w:tcW w:w="1930" w:type="dxa"/>
            <w:tcBorders>
              <w:top w:val="single" w:sz="4" w:space="0" w:color="000000"/>
              <w:left w:val="single" w:sz="4" w:space="0" w:color="000000"/>
              <w:bottom w:val="single" w:sz="4" w:space="0" w:color="000000"/>
              <w:right w:val="single" w:sz="4" w:space="0" w:color="000000"/>
            </w:tcBorders>
          </w:tcPr>
          <w:p w14:paraId="171E5734" w14:textId="77777777" w:rsidR="007372B6" w:rsidRDefault="00000000">
            <w:pPr>
              <w:widowControl w:val="0"/>
              <w:snapToGrid w:val="0"/>
              <w:spacing w:before="120" w:after="120"/>
              <w:contextualSpacing/>
              <w:jc w:val="right"/>
              <w:rPr>
                <w:rFonts w:asciiTheme="minorHAnsi" w:hAnsiTheme="minorHAnsi" w:cstheme="minorHAnsi"/>
                <w:bCs/>
                <w:sz w:val="20"/>
                <w:szCs w:val="20"/>
              </w:rPr>
            </w:pPr>
            <w:r>
              <w:rPr>
                <w:rFonts w:asciiTheme="minorHAnsi" w:hAnsiTheme="minorHAnsi" w:cstheme="minorHAnsi"/>
                <w:bCs/>
                <w:sz w:val="20"/>
                <w:szCs w:val="20"/>
              </w:rPr>
              <w:t>190,365.02</w:t>
            </w:r>
          </w:p>
        </w:tc>
        <w:tc>
          <w:tcPr>
            <w:tcW w:w="1349" w:type="dxa"/>
            <w:tcBorders>
              <w:top w:val="single" w:sz="4" w:space="0" w:color="000000"/>
              <w:left w:val="single" w:sz="4" w:space="0" w:color="000000"/>
              <w:bottom w:val="single" w:sz="4" w:space="0" w:color="000000"/>
              <w:right w:val="single" w:sz="4" w:space="0" w:color="000000"/>
            </w:tcBorders>
          </w:tcPr>
          <w:p w14:paraId="0204352B" w14:textId="77777777" w:rsidR="007372B6" w:rsidRDefault="00000000">
            <w:pPr>
              <w:widowControl w:val="0"/>
              <w:spacing w:before="120" w:after="120"/>
              <w:contextualSpacing/>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76%</w:t>
            </w:r>
          </w:p>
        </w:tc>
      </w:tr>
      <w:tr w:rsidR="007372B6" w14:paraId="4654FC3D" w14:textId="77777777">
        <w:tc>
          <w:tcPr>
            <w:tcW w:w="875" w:type="dxa"/>
            <w:tcBorders>
              <w:top w:val="single" w:sz="4" w:space="0" w:color="000000"/>
              <w:left w:val="single" w:sz="4" w:space="0" w:color="000000"/>
              <w:bottom w:val="single" w:sz="4" w:space="0" w:color="000000"/>
              <w:right w:val="single" w:sz="4" w:space="0" w:color="000000"/>
            </w:tcBorders>
          </w:tcPr>
          <w:p w14:paraId="04F4531F" w14:textId="77777777" w:rsidR="007372B6" w:rsidRDefault="00000000">
            <w:pPr>
              <w:widowControl w:val="0"/>
              <w:spacing w:before="120" w:after="120"/>
              <w:contextualSpacing/>
              <w:jc w:val="both"/>
              <w:rPr>
                <w:rFonts w:asciiTheme="minorHAnsi" w:hAnsiTheme="minorHAnsi" w:cstheme="minorHAnsi"/>
                <w:bCs/>
                <w:color w:val="000000"/>
                <w:sz w:val="20"/>
                <w:szCs w:val="20"/>
              </w:rPr>
            </w:pPr>
            <w:r>
              <w:rPr>
                <w:rFonts w:asciiTheme="minorHAnsi" w:hAnsiTheme="minorHAnsi" w:cstheme="minorHAnsi"/>
                <w:bCs/>
                <w:color w:val="000000"/>
                <w:sz w:val="20"/>
                <w:szCs w:val="20"/>
              </w:rPr>
              <w:t>2018</w:t>
            </w:r>
          </w:p>
        </w:tc>
        <w:tc>
          <w:tcPr>
            <w:tcW w:w="1242" w:type="dxa"/>
            <w:tcBorders>
              <w:top w:val="single" w:sz="4" w:space="0" w:color="000000"/>
              <w:left w:val="single" w:sz="4" w:space="0" w:color="000000"/>
              <w:bottom w:val="single" w:sz="4" w:space="0" w:color="000000"/>
              <w:right w:val="single" w:sz="4" w:space="0" w:color="000000"/>
            </w:tcBorders>
          </w:tcPr>
          <w:p w14:paraId="2C257CBE"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1,245,429</w:t>
            </w:r>
          </w:p>
        </w:tc>
        <w:tc>
          <w:tcPr>
            <w:tcW w:w="1582" w:type="dxa"/>
            <w:tcBorders>
              <w:top w:val="single" w:sz="4" w:space="0" w:color="000000"/>
              <w:left w:val="single" w:sz="4" w:space="0" w:color="000000"/>
              <w:bottom w:val="single" w:sz="4" w:space="0" w:color="000000"/>
              <w:right w:val="single" w:sz="4" w:space="0" w:color="000000"/>
            </w:tcBorders>
          </w:tcPr>
          <w:p w14:paraId="352F4C82"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658,738.82</w:t>
            </w:r>
          </w:p>
        </w:tc>
        <w:tc>
          <w:tcPr>
            <w:tcW w:w="1930" w:type="dxa"/>
            <w:tcBorders>
              <w:top w:val="single" w:sz="4" w:space="0" w:color="000000"/>
              <w:left w:val="single" w:sz="4" w:space="0" w:color="000000"/>
              <w:bottom w:val="single" w:sz="4" w:space="0" w:color="000000"/>
              <w:right w:val="single" w:sz="4" w:space="0" w:color="000000"/>
            </w:tcBorders>
          </w:tcPr>
          <w:p w14:paraId="7296D5A4" w14:textId="77777777" w:rsidR="007372B6" w:rsidRDefault="00000000">
            <w:pPr>
              <w:widowControl w:val="0"/>
              <w:spacing w:before="120" w:after="120"/>
              <w:contextualSpacing/>
              <w:jc w:val="right"/>
              <w:rPr>
                <w:rFonts w:asciiTheme="minorHAnsi" w:hAnsiTheme="minorHAnsi" w:cstheme="minorHAnsi"/>
                <w:bCs/>
                <w:sz w:val="20"/>
                <w:szCs w:val="20"/>
              </w:rPr>
            </w:pPr>
            <w:r>
              <w:rPr>
                <w:rFonts w:asciiTheme="minorHAnsi" w:hAnsiTheme="minorHAnsi" w:cstheme="minorHAnsi"/>
                <w:bCs/>
                <w:sz w:val="20"/>
                <w:szCs w:val="20"/>
              </w:rPr>
              <w:t>658,434.78</w:t>
            </w:r>
          </w:p>
        </w:tc>
        <w:tc>
          <w:tcPr>
            <w:tcW w:w="1349" w:type="dxa"/>
            <w:tcBorders>
              <w:top w:val="single" w:sz="4" w:space="0" w:color="000000"/>
              <w:left w:val="single" w:sz="4" w:space="0" w:color="000000"/>
              <w:bottom w:val="single" w:sz="4" w:space="0" w:color="000000"/>
              <w:right w:val="single" w:sz="4" w:space="0" w:color="000000"/>
            </w:tcBorders>
          </w:tcPr>
          <w:p w14:paraId="1F8EDA2F" w14:textId="77777777" w:rsidR="007372B6" w:rsidRDefault="00000000">
            <w:pPr>
              <w:widowControl w:val="0"/>
              <w:spacing w:before="120" w:after="120"/>
              <w:contextualSpacing/>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53%</w:t>
            </w:r>
          </w:p>
        </w:tc>
      </w:tr>
      <w:tr w:rsidR="007372B6" w14:paraId="637A0DFB" w14:textId="77777777">
        <w:trPr>
          <w:trHeight w:val="318"/>
        </w:trPr>
        <w:tc>
          <w:tcPr>
            <w:tcW w:w="875" w:type="dxa"/>
            <w:tcBorders>
              <w:top w:val="single" w:sz="4" w:space="0" w:color="000000"/>
              <w:left w:val="single" w:sz="4" w:space="0" w:color="000000"/>
              <w:bottom w:val="single" w:sz="4" w:space="0" w:color="000000"/>
              <w:right w:val="single" w:sz="4" w:space="0" w:color="000000"/>
            </w:tcBorders>
          </w:tcPr>
          <w:p w14:paraId="455D8EB8" w14:textId="77777777" w:rsidR="007372B6" w:rsidRDefault="00000000">
            <w:pPr>
              <w:widowControl w:val="0"/>
              <w:spacing w:before="120" w:after="120"/>
              <w:contextualSpacing/>
              <w:jc w:val="both"/>
              <w:rPr>
                <w:rFonts w:asciiTheme="minorHAnsi" w:hAnsiTheme="minorHAnsi" w:cstheme="minorHAnsi"/>
                <w:bCs/>
                <w:color w:val="000000"/>
                <w:sz w:val="20"/>
                <w:szCs w:val="20"/>
              </w:rPr>
            </w:pPr>
            <w:r>
              <w:rPr>
                <w:rFonts w:asciiTheme="minorHAnsi" w:hAnsiTheme="minorHAnsi" w:cstheme="minorHAnsi"/>
                <w:bCs/>
                <w:color w:val="000000"/>
                <w:sz w:val="20"/>
                <w:szCs w:val="20"/>
              </w:rPr>
              <w:t>2019</w:t>
            </w:r>
          </w:p>
        </w:tc>
        <w:tc>
          <w:tcPr>
            <w:tcW w:w="1242" w:type="dxa"/>
            <w:tcBorders>
              <w:top w:val="single" w:sz="4" w:space="0" w:color="000000"/>
              <w:left w:val="single" w:sz="4" w:space="0" w:color="000000"/>
              <w:bottom w:val="single" w:sz="4" w:space="0" w:color="000000"/>
              <w:right w:val="single" w:sz="4" w:space="0" w:color="000000"/>
            </w:tcBorders>
          </w:tcPr>
          <w:p w14:paraId="31390B87"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2,744,754</w:t>
            </w:r>
          </w:p>
        </w:tc>
        <w:tc>
          <w:tcPr>
            <w:tcW w:w="1582" w:type="dxa"/>
            <w:tcBorders>
              <w:top w:val="single" w:sz="4" w:space="0" w:color="000000"/>
              <w:left w:val="single" w:sz="4" w:space="0" w:color="000000"/>
              <w:bottom w:val="single" w:sz="4" w:space="0" w:color="000000"/>
              <w:right w:val="single" w:sz="4" w:space="0" w:color="000000"/>
            </w:tcBorders>
          </w:tcPr>
          <w:p w14:paraId="747BF5FC"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2,109,673.29</w:t>
            </w:r>
          </w:p>
        </w:tc>
        <w:tc>
          <w:tcPr>
            <w:tcW w:w="1930" w:type="dxa"/>
            <w:tcBorders>
              <w:top w:val="single" w:sz="4" w:space="0" w:color="000000"/>
              <w:left w:val="single" w:sz="4" w:space="0" w:color="000000"/>
              <w:bottom w:val="single" w:sz="4" w:space="0" w:color="000000"/>
              <w:right w:val="single" w:sz="4" w:space="0" w:color="000000"/>
            </w:tcBorders>
          </w:tcPr>
          <w:p w14:paraId="5298AA60" w14:textId="77777777" w:rsidR="007372B6" w:rsidRDefault="00000000">
            <w:pPr>
              <w:widowControl w:val="0"/>
              <w:spacing w:before="120" w:after="120"/>
              <w:contextualSpacing/>
              <w:jc w:val="right"/>
              <w:rPr>
                <w:rFonts w:asciiTheme="minorHAnsi" w:hAnsiTheme="minorHAnsi" w:cstheme="minorHAnsi"/>
                <w:bCs/>
                <w:sz w:val="20"/>
                <w:szCs w:val="20"/>
              </w:rPr>
            </w:pPr>
            <w:r>
              <w:rPr>
                <w:rFonts w:asciiTheme="minorHAnsi" w:hAnsiTheme="minorHAnsi" w:cstheme="minorHAnsi"/>
                <w:bCs/>
                <w:sz w:val="20"/>
                <w:szCs w:val="20"/>
              </w:rPr>
              <w:t>2,100,034.20</w:t>
            </w:r>
          </w:p>
        </w:tc>
        <w:tc>
          <w:tcPr>
            <w:tcW w:w="1349" w:type="dxa"/>
            <w:tcBorders>
              <w:top w:val="single" w:sz="4" w:space="0" w:color="000000"/>
              <w:left w:val="single" w:sz="4" w:space="0" w:color="000000"/>
              <w:bottom w:val="single" w:sz="4" w:space="0" w:color="000000"/>
              <w:right w:val="single" w:sz="4" w:space="0" w:color="000000"/>
            </w:tcBorders>
          </w:tcPr>
          <w:p w14:paraId="45CCF905" w14:textId="77777777" w:rsidR="007372B6" w:rsidRDefault="00000000">
            <w:pPr>
              <w:widowControl w:val="0"/>
              <w:spacing w:before="120" w:after="120"/>
              <w:contextualSpacing/>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77%</w:t>
            </w:r>
          </w:p>
        </w:tc>
      </w:tr>
      <w:tr w:rsidR="007372B6" w14:paraId="3839F501" w14:textId="77777777">
        <w:tc>
          <w:tcPr>
            <w:tcW w:w="875" w:type="dxa"/>
            <w:tcBorders>
              <w:top w:val="single" w:sz="4" w:space="0" w:color="000000"/>
              <w:left w:val="single" w:sz="4" w:space="0" w:color="000000"/>
              <w:bottom w:val="single" w:sz="4" w:space="0" w:color="000000"/>
              <w:right w:val="single" w:sz="4" w:space="0" w:color="000000"/>
            </w:tcBorders>
          </w:tcPr>
          <w:p w14:paraId="5C7735DE" w14:textId="77777777" w:rsidR="007372B6" w:rsidRDefault="00000000">
            <w:pPr>
              <w:widowControl w:val="0"/>
              <w:spacing w:before="120" w:after="120"/>
              <w:contextualSpacing/>
              <w:jc w:val="both"/>
              <w:rPr>
                <w:rFonts w:asciiTheme="minorHAnsi" w:hAnsiTheme="minorHAnsi" w:cstheme="minorHAnsi"/>
                <w:bCs/>
                <w:color w:val="000000"/>
                <w:sz w:val="20"/>
                <w:szCs w:val="20"/>
              </w:rPr>
            </w:pPr>
            <w:r>
              <w:rPr>
                <w:rFonts w:asciiTheme="minorHAnsi" w:hAnsiTheme="minorHAnsi" w:cstheme="minorHAnsi"/>
                <w:bCs/>
                <w:color w:val="000000"/>
                <w:sz w:val="20"/>
                <w:szCs w:val="20"/>
              </w:rPr>
              <w:t>2020</w:t>
            </w:r>
          </w:p>
        </w:tc>
        <w:tc>
          <w:tcPr>
            <w:tcW w:w="1242" w:type="dxa"/>
            <w:tcBorders>
              <w:top w:val="single" w:sz="4" w:space="0" w:color="000000"/>
              <w:left w:val="single" w:sz="4" w:space="0" w:color="000000"/>
              <w:bottom w:val="single" w:sz="4" w:space="0" w:color="000000"/>
              <w:right w:val="single" w:sz="4" w:space="0" w:color="000000"/>
            </w:tcBorders>
          </w:tcPr>
          <w:p w14:paraId="645A5DC3" w14:textId="77777777" w:rsidR="007372B6" w:rsidRDefault="00000000">
            <w:pPr>
              <w:widowControl w:val="0"/>
              <w:spacing w:before="120" w:after="120"/>
              <w:contextualSpacing/>
              <w:jc w:val="right"/>
              <w:rPr>
                <w:rFonts w:asciiTheme="minorHAnsi" w:hAnsiTheme="minorHAnsi" w:cstheme="minorHAnsi"/>
                <w:sz w:val="20"/>
                <w:szCs w:val="20"/>
              </w:rPr>
            </w:pPr>
            <w:r>
              <w:rPr>
                <w:rFonts w:asciiTheme="minorHAnsi" w:eastAsia="Arial Narrow" w:hAnsiTheme="minorHAnsi" w:cstheme="minorHAnsi"/>
                <w:bCs/>
                <w:color w:val="000000"/>
                <w:sz w:val="20"/>
                <w:szCs w:val="20"/>
              </w:rPr>
              <w:t xml:space="preserve"> </w:t>
            </w:r>
            <w:r>
              <w:rPr>
                <w:rFonts w:asciiTheme="minorHAnsi" w:hAnsiTheme="minorHAnsi" w:cstheme="minorHAnsi"/>
                <w:bCs/>
                <w:color w:val="000000"/>
                <w:sz w:val="20"/>
                <w:szCs w:val="20"/>
              </w:rPr>
              <w:t>2,235,627</w:t>
            </w:r>
          </w:p>
        </w:tc>
        <w:tc>
          <w:tcPr>
            <w:tcW w:w="1582" w:type="dxa"/>
            <w:tcBorders>
              <w:top w:val="single" w:sz="4" w:space="0" w:color="000000"/>
              <w:left w:val="single" w:sz="4" w:space="0" w:color="000000"/>
              <w:bottom w:val="single" w:sz="4" w:space="0" w:color="000000"/>
              <w:right w:val="single" w:sz="4" w:space="0" w:color="000000"/>
            </w:tcBorders>
          </w:tcPr>
          <w:p w14:paraId="79CBF30E"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2,210,925.30</w:t>
            </w:r>
          </w:p>
        </w:tc>
        <w:tc>
          <w:tcPr>
            <w:tcW w:w="1930" w:type="dxa"/>
            <w:tcBorders>
              <w:top w:val="single" w:sz="4" w:space="0" w:color="000000"/>
              <w:left w:val="single" w:sz="4" w:space="0" w:color="000000"/>
              <w:bottom w:val="single" w:sz="4" w:space="0" w:color="000000"/>
              <w:right w:val="single" w:sz="4" w:space="0" w:color="000000"/>
            </w:tcBorders>
          </w:tcPr>
          <w:p w14:paraId="20384B89" w14:textId="77777777" w:rsidR="007372B6" w:rsidRDefault="00000000">
            <w:pPr>
              <w:widowControl w:val="0"/>
              <w:spacing w:before="120" w:after="120"/>
              <w:contextualSpacing/>
              <w:jc w:val="right"/>
              <w:rPr>
                <w:rFonts w:asciiTheme="minorHAnsi" w:hAnsiTheme="minorHAnsi" w:cstheme="minorHAnsi"/>
                <w:bCs/>
                <w:sz w:val="20"/>
                <w:szCs w:val="20"/>
              </w:rPr>
            </w:pPr>
            <w:r>
              <w:rPr>
                <w:rFonts w:asciiTheme="minorHAnsi" w:hAnsiTheme="minorHAnsi" w:cstheme="minorHAnsi"/>
                <w:bCs/>
                <w:sz w:val="20"/>
                <w:szCs w:val="20"/>
              </w:rPr>
              <w:t>2,211,868.81</w:t>
            </w:r>
          </w:p>
        </w:tc>
        <w:tc>
          <w:tcPr>
            <w:tcW w:w="1349" w:type="dxa"/>
            <w:tcBorders>
              <w:top w:val="single" w:sz="4" w:space="0" w:color="000000"/>
              <w:left w:val="single" w:sz="4" w:space="0" w:color="000000"/>
              <w:bottom w:val="single" w:sz="4" w:space="0" w:color="000000"/>
              <w:right w:val="single" w:sz="4" w:space="0" w:color="000000"/>
            </w:tcBorders>
          </w:tcPr>
          <w:p w14:paraId="2AB68C88" w14:textId="77777777" w:rsidR="007372B6" w:rsidRDefault="00000000">
            <w:pPr>
              <w:widowControl w:val="0"/>
              <w:spacing w:before="120" w:after="120"/>
              <w:contextualSpacing/>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99%</w:t>
            </w:r>
          </w:p>
        </w:tc>
      </w:tr>
      <w:tr w:rsidR="007372B6" w14:paraId="6C1276CF" w14:textId="77777777">
        <w:tc>
          <w:tcPr>
            <w:tcW w:w="875" w:type="dxa"/>
            <w:tcBorders>
              <w:top w:val="single" w:sz="4" w:space="0" w:color="000000"/>
              <w:left w:val="single" w:sz="4" w:space="0" w:color="000000"/>
              <w:bottom w:val="single" w:sz="4" w:space="0" w:color="000000"/>
              <w:right w:val="single" w:sz="4" w:space="0" w:color="000000"/>
            </w:tcBorders>
          </w:tcPr>
          <w:p w14:paraId="2278F8AA" w14:textId="77777777" w:rsidR="007372B6" w:rsidRDefault="00000000">
            <w:pPr>
              <w:widowControl w:val="0"/>
              <w:spacing w:before="120" w:after="120"/>
              <w:contextualSpacing/>
              <w:jc w:val="both"/>
              <w:rPr>
                <w:rFonts w:asciiTheme="minorHAnsi" w:hAnsiTheme="minorHAnsi" w:cstheme="minorHAnsi"/>
                <w:bCs/>
                <w:color w:val="000000"/>
                <w:sz w:val="20"/>
                <w:szCs w:val="20"/>
              </w:rPr>
            </w:pPr>
            <w:r>
              <w:rPr>
                <w:rFonts w:asciiTheme="minorHAnsi" w:hAnsiTheme="minorHAnsi" w:cstheme="minorHAnsi"/>
                <w:bCs/>
                <w:color w:val="000000"/>
                <w:sz w:val="20"/>
                <w:szCs w:val="20"/>
              </w:rPr>
              <w:t>2021</w:t>
            </w:r>
          </w:p>
        </w:tc>
        <w:tc>
          <w:tcPr>
            <w:tcW w:w="1242" w:type="dxa"/>
            <w:tcBorders>
              <w:top w:val="single" w:sz="4" w:space="0" w:color="000000"/>
              <w:left w:val="single" w:sz="4" w:space="0" w:color="000000"/>
              <w:bottom w:val="single" w:sz="4" w:space="0" w:color="000000"/>
              <w:right w:val="single" w:sz="4" w:space="0" w:color="000000"/>
            </w:tcBorders>
          </w:tcPr>
          <w:p w14:paraId="15E8484F"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2,416,448</w:t>
            </w:r>
          </w:p>
        </w:tc>
        <w:tc>
          <w:tcPr>
            <w:tcW w:w="1582" w:type="dxa"/>
            <w:tcBorders>
              <w:top w:val="single" w:sz="4" w:space="0" w:color="000000"/>
              <w:left w:val="single" w:sz="4" w:space="0" w:color="000000"/>
              <w:bottom w:val="single" w:sz="4" w:space="0" w:color="000000"/>
              <w:right w:val="single" w:sz="4" w:space="0" w:color="000000"/>
            </w:tcBorders>
          </w:tcPr>
          <w:p w14:paraId="0B2ABB2B"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1,794,871</w:t>
            </w:r>
          </w:p>
        </w:tc>
        <w:tc>
          <w:tcPr>
            <w:tcW w:w="1930" w:type="dxa"/>
            <w:tcBorders>
              <w:top w:val="single" w:sz="4" w:space="0" w:color="000000"/>
              <w:left w:val="single" w:sz="4" w:space="0" w:color="000000"/>
              <w:bottom w:val="single" w:sz="4" w:space="0" w:color="000000"/>
              <w:right w:val="single" w:sz="4" w:space="0" w:color="000000"/>
            </w:tcBorders>
          </w:tcPr>
          <w:p w14:paraId="015B2A81" w14:textId="77777777" w:rsidR="007372B6" w:rsidRDefault="00000000">
            <w:pPr>
              <w:widowControl w:val="0"/>
              <w:spacing w:before="120" w:after="120"/>
              <w:contextualSpacing/>
              <w:jc w:val="right"/>
              <w:rPr>
                <w:rFonts w:asciiTheme="minorHAnsi" w:hAnsiTheme="minorHAnsi" w:cstheme="minorHAnsi"/>
                <w:bCs/>
                <w:sz w:val="20"/>
                <w:szCs w:val="20"/>
              </w:rPr>
            </w:pPr>
            <w:r>
              <w:rPr>
                <w:rFonts w:asciiTheme="minorHAnsi" w:hAnsiTheme="minorHAnsi" w:cstheme="minorHAnsi"/>
                <w:bCs/>
                <w:sz w:val="20"/>
                <w:szCs w:val="20"/>
              </w:rPr>
              <w:t>1,656,431.45</w:t>
            </w:r>
          </w:p>
        </w:tc>
        <w:tc>
          <w:tcPr>
            <w:tcW w:w="1349" w:type="dxa"/>
            <w:tcBorders>
              <w:top w:val="single" w:sz="4" w:space="0" w:color="000000"/>
              <w:left w:val="single" w:sz="4" w:space="0" w:color="000000"/>
              <w:bottom w:val="single" w:sz="4" w:space="0" w:color="000000"/>
              <w:right w:val="single" w:sz="4" w:space="0" w:color="000000"/>
            </w:tcBorders>
          </w:tcPr>
          <w:p w14:paraId="217A4E16" w14:textId="77777777" w:rsidR="007372B6" w:rsidRDefault="00000000">
            <w:pPr>
              <w:widowControl w:val="0"/>
              <w:spacing w:before="120" w:after="120"/>
              <w:contextualSpacing/>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74%</w:t>
            </w:r>
          </w:p>
        </w:tc>
      </w:tr>
      <w:tr w:rsidR="007372B6" w14:paraId="0CBB46E5" w14:textId="77777777">
        <w:tc>
          <w:tcPr>
            <w:tcW w:w="875" w:type="dxa"/>
            <w:tcBorders>
              <w:top w:val="single" w:sz="4" w:space="0" w:color="000000"/>
              <w:left w:val="single" w:sz="4" w:space="0" w:color="000000"/>
              <w:bottom w:val="single" w:sz="4" w:space="0" w:color="000000"/>
              <w:right w:val="single" w:sz="4" w:space="0" w:color="000000"/>
            </w:tcBorders>
          </w:tcPr>
          <w:p w14:paraId="1B64E038" w14:textId="77777777" w:rsidR="007372B6" w:rsidRDefault="00000000">
            <w:pPr>
              <w:widowControl w:val="0"/>
              <w:spacing w:before="120" w:after="120"/>
              <w:contextualSpacing/>
              <w:jc w:val="both"/>
              <w:rPr>
                <w:rFonts w:asciiTheme="minorHAnsi" w:hAnsiTheme="minorHAnsi" w:cstheme="minorHAnsi"/>
                <w:bCs/>
                <w:color w:val="000000"/>
                <w:sz w:val="20"/>
                <w:szCs w:val="20"/>
              </w:rPr>
            </w:pPr>
            <w:r>
              <w:rPr>
                <w:rFonts w:asciiTheme="minorHAnsi" w:hAnsiTheme="minorHAnsi" w:cstheme="minorHAnsi"/>
                <w:bCs/>
                <w:color w:val="000000"/>
                <w:sz w:val="20"/>
                <w:szCs w:val="20"/>
              </w:rPr>
              <w:t>2022</w:t>
            </w:r>
          </w:p>
        </w:tc>
        <w:tc>
          <w:tcPr>
            <w:tcW w:w="1242" w:type="dxa"/>
            <w:tcBorders>
              <w:top w:val="single" w:sz="4" w:space="0" w:color="000000"/>
              <w:left w:val="single" w:sz="4" w:space="0" w:color="000000"/>
              <w:bottom w:val="single" w:sz="4" w:space="0" w:color="000000"/>
              <w:right w:val="single" w:sz="4" w:space="0" w:color="000000"/>
            </w:tcBorders>
          </w:tcPr>
          <w:p w14:paraId="07FA8DB4"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216,148</w:t>
            </w:r>
          </w:p>
        </w:tc>
        <w:tc>
          <w:tcPr>
            <w:tcW w:w="1582" w:type="dxa"/>
            <w:tcBorders>
              <w:top w:val="single" w:sz="4" w:space="0" w:color="000000"/>
              <w:left w:val="single" w:sz="4" w:space="0" w:color="000000"/>
              <w:bottom w:val="single" w:sz="4" w:space="0" w:color="000000"/>
              <w:right w:val="single" w:sz="4" w:space="0" w:color="000000"/>
            </w:tcBorders>
          </w:tcPr>
          <w:p w14:paraId="321ADF33" w14:textId="77777777" w:rsidR="007372B6" w:rsidRDefault="00000000">
            <w:pPr>
              <w:widowControl w:val="0"/>
              <w:spacing w:before="120" w:after="120"/>
              <w:contextualSpacing/>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137,414</w:t>
            </w:r>
          </w:p>
        </w:tc>
        <w:tc>
          <w:tcPr>
            <w:tcW w:w="1930" w:type="dxa"/>
            <w:tcBorders>
              <w:top w:val="single" w:sz="4" w:space="0" w:color="000000"/>
              <w:left w:val="single" w:sz="4" w:space="0" w:color="000000"/>
              <w:bottom w:val="single" w:sz="4" w:space="0" w:color="000000"/>
              <w:right w:val="single" w:sz="4" w:space="0" w:color="000000"/>
            </w:tcBorders>
          </w:tcPr>
          <w:p w14:paraId="4BF172D4" w14:textId="77777777" w:rsidR="007372B6" w:rsidRDefault="00000000">
            <w:pPr>
              <w:widowControl w:val="0"/>
              <w:spacing w:before="120" w:after="120"/>
              <w:contextualSpacing/>
              <w:jc w:val="right"/>
              <w:rPr>
                <w:rFonts w:asciiTheme="minorHAnsi" w:hAnsiTheme="minorHAnsi" w:cstheme="minorHAnsi"/>
                <w:bCs/>
                <w:sz w:val="20"/>
                <w:szCs w:val="20"/>
              </w:rPr>
            </w:pPr>
            <w:r>
              <w:rPr>
                <w:rFonts w:asciiTheme="minorHAnsi" w:hAnsiTheme="minorHAnsi" w:cstheme="minorHAnsi"/>
                <w:bCs/>
                <w:sz w:val="20"/>
                <w:szCs w:val="20"/>
              </w:rPr>
              <w:t>505,450.86</w:t>
            </w:r>
          </w:p>
        </w:tc>
        <w:tc>
          <w:tcPr>
            <w:tcW w:w="1349" w:type="dxa"/>
            <w:tcBorders>
              <w:top w:val="single" w:sz="4" w:space="0" w:color="000000"/>
              <w:left w:val="single" w:sz="4" w:space="0" w:color="000000"/>
              <w:bottom w:val="single" w:sz="4" w:space="0" w:color="000000"/>
              <w:right w:val="single" w:sz="4" w:space="0" w:color="000000"/>
            </w:tcBorders>
          </w:tcPr>
          <w:p w14:paraId="08CF1DEA" w14:textId="77777777" w:rsidR="007372B6" w:rsidRDefault="00000000">
            <w:pPr>
              <w:widowControl w:val="0"/>
              <w:spacing w:before="120" w:after="120"/>
              <w:contextualSpacing/>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64%</w:t>
            </w:r>
          </w:p>
        </w:tc>
      </w:tr>
      <w:tr w:rsidR="007372B6" w14:paraId="5B5F2BA2" w14:textId="77777777">
        <w:tc>
          <w:tcPr>
            <w:tcW w:w="875" w:type="dxa"/>
            <w:tcBorders>
              <w:top w:val="single" w:sz="4" w:space="0" w:color="000000"/>
              <w:left w:val="single" w:sz="4" w:space="0" w:color="000000"/>
              <w:bottom w:val="single" w:sz="4" w:space="0" w:color="000000"/>
              <w:right w:val="single" w:sz="4" w:space="0" w:color="000000"/>
            </w:tcBorders>
          </w:tcPr>
          <w:p w14:paraId="079B6B1A" w14:textId="77777777" w:rsidR="007372B6" w:rsidRDefault="00000000">
            <w:pPr>
              <w:widowControl w:val="0"/>
              <w:spacing w:before="120" w:after="120"/>
              <w:contextualSpacing/>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242" w:type="dxa"/>
            <w:tcBorders>
              <w:top w:val="single" w:sz="4" w:space="0" w:color="000000"/>
              <w:left w:val="single" w:sz="4" w:space="0" w:color="000000"/>
              <w:bottom w:val="single" w:sz="4" w:space="0" w:color="000000"/>
              <w:right w:val="single" w:sz="4" w:space="0" w:color="000000"/>
            </w:tcBorders>
          </w:tcPr>
          <w:p w14:paraId="706888DA" w14:textId="77777777" w:rsidR="007372B6" w:rsidRDefault="00000000">
            <w:pPr>
              <w:widowControl w:val="0"/>
              <w:snapToGrid w:val="0"/>
              <w:spacing w:before="120" w:after="120"/>
              <w:contextualSpacing/>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7,387,614</w:t>
            </w:r>
          </w:p>
        </w:tc>
        <w:tc>
          <w:tcPr>
            <w:tcW w:w="1582" w:type="dxa"/>
            <w:tcBorders>
              <w:top w:val="single" w:sz="4" w:space="0" w:color="000000"/>
              <w:left w:val="single" w:sz="4" w:space="0" w:color="000000"/>
              <w:bottom w:val="single" w:sz="4" w:space="0" w:color="000000"/>
              <w:right w:val="single" w:sz="4" w:space="0" w:color="000000"/>
            </w:tcBorders>
          </w:tcPr>
          <w:p w14:paraId="75570D2D" w14:textId="77777777" w:rsidR="007372B6" w:rsidRDefault="00000000">
            <w:pPr>
              <w:widowControl w:val="0"/>
              <w:spacing w:before="120" w:after="120"/>
              <w:contextualSpacing/>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$ 7,171,466</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14:paraId="27A16C76" w14:textId="77777777" w:rsidR="007372B6" w:rsidRDefault="00000000">
            <w:pPr>
              <w:widowControl w:val="0"/>
              <w:spacing w:before="120" w:after="120"/>
              <w:contextualSpacing/>
              <w:jc w:val="right"/>
              <w:rPr>
                <w:rFonts w:asciiTheme="minorHAnsi" w:hAnsiTheme="minorHAnsi" w:cstheme="minorHAnsi"/>
                <w:b/>
                <w:bCs/>
                <w:sz w:val="20"/>
                <w:szCs w:val="20"/>
              </w:rPr>
            </w:pPr>
            <w:r>
              <w:rPr>
                <w:rFonts w:asciiTheme="minorHAnsi" w:hAnsiTheme="minorHAnsi" w:cstheme="minorHAnsi"/>
                <w:b/>
                <w:bCs/>
                <w:sz w:val="20"/>
                <w:szCs w:val="20"/>
              </w:rPr>
              <w:t>7,344,048.79</w:t>
            </w:r>
          </w:p>
        </w:tc>
        <w:tc>
          <w:tcPr>
            <w:tcW w:w="1349" w:type="dxa"/>
            <w:tcBorders>
              <w:top w:val="single" w:sz="4" w:space="0" w:color="000000"/>
              <w:left w:val="single" w:sz="4" w:space="0" w:color="000000"/>
              <w:bottom w:val="single" w:sz="4" w:space="0" w:color="000000"/>
              <w:right w:val="single" w:sz="4" w:space="0" w:color="000000"/>
            </w:tcBorders>
          </w:tcPr>
          <w:p w14:paraId="76CAC11B" w14:textId="77777777" w:rsidR="007372B6" w:rsidRDefault="00000000">
            <w:pPr>
              <w:widowControl w:val="0"/>
              <w:snapToGrid w:val="0"/>
              <w:spacing w:before="120" w:after="120"/>
              <w:contextualSpacing/>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99.5%</w:t>
            </w:r>
          </w:p>
        </w:tc>
      </w:tr>
      <w:tr w:rsidR="007372B6" w14:paraId="5B00D135" w14:textId="77777777">
        <w:tc>
          <w:tcPr>
            <w:tcW w:w="3699" w:type="dxa"/>
            <w:gridSpan w:val="3"/>
            <w:tcBorders>
              <w:top w:val="single" w:sz="4" w:space="0" w:color="000000"/>
              <w:left w:val="single" w:sz="4" w:space="0" w:color="000000"/>
              <w:bottom w:val="single" w:sz="4" w:space="0" w:color="000000"/>
              <w:right w:val="single" w:sz="4" w:space="0" w:color="000000"/>
            </w:tcBorders>
          </w:tcPr>
          <w:p w14:paraId="6D19C562" w14:textId="77777777" w:rsidR="007372B6" w:rsidRDefault="00000000">
            <w:pPr>
              <w:widowControl w:val="0"/>
              <w:spacing w:before="120" w:after="120"/>
              <w:contextualSpacing/>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Amount unspent</w:t>
            </w:r>
            <w:r>
              <w:rPr>
                <w:rFonts w:asciiTheme="minorHAnsi" w:hAnsiTheme="minorHAnsi" w:cstheme="minorHAnsi"/>
                <w:b/>
                <w:bCs/>
                <w:sz w:val="20"/>
                <w:szCs w:val="20"/>
              </w:rPr>
              <w:t>/% unspent</w:t>
            </w:r>
          </w:p>
        </w:tc>
        <w:tc>
          <w:tcPr>
            <w:tcW w:w="1930" w:type="dxa"/>
            <w:tcBorders>
              <w:top w:val="single" w:sz="4" w:space="0" w:color="000000"/>
              <w:left w:val="single" w:sz="4" w:space="0" w:color="000000"/>
              <w:bottom w:val="single" w:sz="4" w:space="0" w:color="000000"/>
              <w:right w:val="single" w:sz="4" w:space="0" w:color="000000"/>
            </w:tcBorders>
            <w:vAlign w:val="center"/>
          </w:tcPr>
          <w:p w14:paraId="10B63126" w14:textId="77777777" w:rsidR="007372B6" w:rsidRDefault="00000000">
            <w:pPr>
              <w:pStyle w:val="BodyText"/>
              <w:widowControl w:val="0"/>
              <w:spacing w:after="0"/>
              <w:contextualSpacing/>
              <w:jc w:val="right"/>
              <w:rPr>
                <w:rFonts w:asciiTheme="minorHAnsi" w:hAnsiTheme="minorHAnsi" w:cstheme="minorHAnsi"/>
                <w:b/>
                <w:bCs/>
                <w:sz w:val="20"/>
                <w:szCs w:val="20"/>
              </w:rPr>
            </w:pPr>
            <w:r>
              <w:rPr>
                <w:rFonts w:asciiTheme="minorHAnsi" w:hAnsiTheme="minorHAnsi" w:cstheme="minorHAnsi"/>
                <w:b/>
                <w:bCs/>
                <w:sz w:val="20"/>
                <w:szCs w:val="20"/>
              </w:rPr>
              <w:t>43,565.21</w:t>
            </w:r>
          </w:p>
        </w:tc>
        <w:tc>
          <w:tcPr>
            <w:tcW w:w="1349" w:type="dxa"/>
            <w:tcBorders>
              <w:top w:val="single" w:sz="4" w:space="0" w:color="000000"/>
              <w:left w:val="single" w:sz="4" w:space="0" w:color="000000"/>
              <w:bottom w:val="single" w:sz="4" w:space="0" w:color="000000"/>
              <w:right w:val="single" w:sz="4" w:space="0" w:color="000000"/>
            </w:tcBorders>
            <w:vAlign w:val="center"/>
          </w:tcPr>
          <w:p w14:paraId="38882BB0" w14:textId="77777777" w:rsidR="007372B6" w:rsidRDefault="00000000">
            <w:pPr>
              <w:widowControl w:val="0"/>
              <w:snapToGrid w:val="0"/>
              <w:contextualSpacing/>
              <w:jc w:val="center"/>
              <w:rPr>
                <w:rFonts w:asciiTheme="minorHAnsi" w:hAnsiTheme="minorHAnsi" w:cstheme="minorHAnsi"/>
                <w:b/>
                <w:bCs/>
                <w:sz w:val="20"/>
                <w:szCs w:val="20"/>
              </w:rPr>
            </w:pPr>
            <w:r>
              <w:rPr>
                <w:rFonts w:asciiTheme="minorHAnsi" w:hAnsiTheme="minorHAnsi" w:cstheme="minorHAnsi"/>
                <w:b/>
                <w:bCs/>
                <w:sz w:val="20"/>
                <w:szCs w:val="20"/>
              </w:rPr>
              <w:t>0.5%</w:t>
            </w:r>
          </w:p>
        </w:tc>
      </w:tr>
    </w:tbl>
    <w:p w14:paraId="4966C907" w14:textId="77777777" w:rsidR="007372B6" w:rsidRDefault="00000000">
      <w:pPr>
        <w:spacing w:before="119" w:after="57"/>
        <w:contextualSpacing/>
        <w:jc w:val="both"/>
      </w:pPr>
      <w:r>
        <w:rPr>
          <w:rFonts w:ascii="Calibri" w:hAnsi="Calibri" w:cs="Calibri"/>
          <w:i/>
          <w:iCs/>
          <w:color w:val="000000"/>
          <w:sz w:val="22"/>
          <w:szCs w:val="22"/>
          <w:shd w:val="clear" w:color="auto" w:fill="FFFFFF"/>
        </w:rPr>
        <w:tab/>
        <w:t>Source: PSC meeting minutes, 25 July 2022 and Nov. 2022 email</w:t>
      </w:r>
    </w:p>
    <w:p w14:paraId="073AE52B" w14:textId="77777777" w:rsidR="007372B6" w:rsidRDefault="007372B6">
      <w:pPr>
        <w:tabs>
          <w:tab w:val="left" w:pos="720"/>
        </w:tabs>
        <w:contextualSpacing/>
        <w:jc w:val="both"/>
        <w:rPr>
          <w:rFonts w:ascii="Calibri" w:hAnsi="Calibri" w:cs="Calibri"/>
          <w:bCs/>
          <w:color w:val="000000"/>
          <w:sz w:val="22"/>
          <w:szCs w:val="22"/>
        </w:rPr>
      </w:pPr>
    </w:p>
    <w:p w14:paraId="79764B01" w14:textId="77777777" w:rsidR="007372B6" w:rsidRDefault="00000000">
      <w:pPr>
        <w:tabs>
          <w:tab w:val="left" w:pos="2040"/>
        </w:tabs>
        <w:spacing w:after="113" w:line="312" w:lineRule="auto"/>
        <w:contextualSpacing/>
        <w:jc w:val="both"/>
      </w:pPr>
      <w:r>
        <w:rPr>
          <w:rFonts w:ascii="Calibri" w:hAnsi="Calibri" w:cs="Calibri"/>
          <w:bCs/>
          <w:color w:val="000000"/>
          <w:w w:val="105"/>
          <w:kern w:val="2"/>
          <w:sz w:val="22"/>
          <w:szCs w:val="22"/>
          <w:lang w:bidi="hi-IN"/>
        </w:rPr>
        <w:t xml:space="preserve">16. The decline in utilization rates in 2021 (74%) and 2022 (64%) was a direct result of the restrictions on travel and other project activities caused by the Covid pandemic, which affected </w:t>
      </w:r>
      <w:r>
        <w:rPr>
          <w:rFonts w:ascii="Calibri" w:hAnsi="Calibri" w:cs="Calibri"/>
          <w:bCs/>
          <w:color w:val="000000"/>
          <w:w w:val="105"/>
          <w:kern w:val="2"/>
          <w:sz w:val="22"/>
          <w:szCs w:val="22"/>
          <w:lang w:bidi="hi-IN"/>
        </w:rPr>
        <w:lastRenderedPageBreak/>
        <w:t>implementation of project activities (recruitment of specialists to undertake studies, consultations with community stakeholders, etc.).</w:t>
      </w:r>
    </w:p>
    <w:p w14:paraId="4A2861E5" w14:textId="77777777" w:rsidR="007372B6" w:rsidRDefault="007372B6">
      <w:pPr>
        <w:tabs>
          <w:tab w:val="left" w:pos="2040"/>
        </w:tabs>
        <w:spacing w:after="113"/>
        <w:contextualSpacing/>
        <w:jc w:val="both"/>
        <w:rPr>
          <w:rFonts w:ascii="Calibri" w:hAnsi="Calibri" w:cs="Calibri"/>
          <w:bCs/>
          <w:color w:val="000000"/>
          <w:w w:val="105"/>
          <w:kern w:val="2"/>
          <w:sz w:val="22"/>
          <w:szCs w:val="22"/>
          <w:lang w:bidi="hi-IN"/>
        </w:rPr>
      </w:pPr>
    </w:p>
    <w:p w14:paraId="0A4063D7" w14:textId="77777777" w:rsidR="007372B6" w:rsidRDefault="00000000">
      <w:pPr>
        <w:tabs>
          <w:tab w:val="left" w:pos="2040"/>
        </w:tabs>
        <w:spacing w:after="113" w:line="312" w:lineRule="auto"/>
        <w:contextualSpacing/>
        <w:jc w:val="both"/>
      </w:pPr>
      <w:r>
        <w:rPr>
          <w:rFonts w:ascii="Calibri" w:eastAsia="Calibri" w:hAnsi="Calibri" w:cs="Calibri"/>
          <w:bCs/>
          <w:color w:val="000000"/>
          <w:w w:val="105"/>
          <w:kern w:val="2"/>
          <w:sz w:val="22"/>
          <w:szCs w:val="22"/>
          <w:lang w:val="en-CA" w:eastAsia="zh-CN" w:bidi="hi-IN"/>
        </w:rPr>
        <w:t xml:space="preserve">17. </w:t>
      </w:r>
      <w:r>
        <w:rPr>
          <w:rFonts w:ascii="Calibri" w:hAnsi="Calibri" w:cs="Calibri"/>
          <w:bCs/>
          <w:color w:val="000000"/>
          <w:w w:val="105"/>
          <w:kern w:val="2"/>
          <w:sz w:val="22"/>
          <w:szCs w:val="22"/>
          <w:lang w:bidi="hi-IN"/>
        </w:rPr>
        <w:t>The evaluation team attempted to</w:t>
      </w:r>
      <w:r>
        <w:rPr>
          <w:rFonts w:ascii="Calibri" w:eastAsia="Calibri" w:hAnsi="Calibri" w:cs="MyriadPro-Bold"/>
          <w:bCs/>
          <w:color w:val="000000"/>
          <w:w w:val="105"/>
          <w:kern w:val="2"/>
          <w:sz w:val="22"/>
          <w:szCs w:val="22"/>
          <w:lang w:val="en-CA" w:eastAsia="en-US" w:bidi="hi-IN"/>
        </w:rPr>
        <w:t xml:space="preserve"> undertake an assessment of planned versus actual expenditures by comparing</w:t>
      </w:r>
      <w:r>
        <w:rPr>
          <w:rFonts w:ascii="Calibri" w:hAnsi="Calibri" w:cs="Calibri"/>
          <w:bCs/>
          <w:color w:val="000000"/>
          <w:w w:val="105"/>
          <w:kern w:val="2"/>
          <w:sz w:val="22"/>
          <w:szCs w:val="22"/>
          <w:lang w:bidi="hi-IN"/>
        </w:rPr>
        <w:t xml:space="preserve"> annual workplan approvals against actual annual expenditure of GEF funds in all years of implementation (see </w:t>
      </w:r>
      <w:r>
        <w:rPr>
          <w:rFonts w:asciiTheme="minorHAnsi" w:hAnsiTheme="minorHAnsi" w:cstheme="minorHAnsi"/>
          <w:bCs/>
          <w:color w:val="000000"/>
          <w:w w:val="105"/>
          <w:kern w:val="2"/>
          <w:sz w:val="22"/>
          <w:szCs w:val="22"/>
          <w:lang w:bidi="hi-IN"/>
        </w:rPr>
        <w:t>Annex 11). However, updated expenditure figures were not provided in time for the team to undertake this analysis.</w:t>
      </w:r>
      <w:r>
        <w:rPr>
          <w:rFonts w:ascii="Calibri" w:eastAsia="Calibri" w:hAnsi="Calibri" w:cs="MyriadPro-Bold"/>
          <w:bCs/>
          <w:color w:val="000000"/>
          <w:sz w:val="22"/>
          <w:szCs w:val="22"/>
          <w:lang w:val="en-CA" w:eastAsia="en-US"/>
        </w:rPr>
        <w:t xml:space="preserve"> In the absence of the required information, it was not possible to undertake a full assessment of project finances and financial management. For further details see the Efficiency section (4.3.3) for an assessment of the level of utilization and co-financing. </w:t>
      </w:r>
    </w:p>
    <w:p w14:paraId="6342D3D2" w14:textId="77777777" w:rsidR="007372B6" w:rsidRDefault="007372B6">
      <w:pPr>
        <w:tabs>
          <w:tab w:val="left" w:pos="-511"/>
        </w:tabs>
        <w:jc w:val="both"/>
      </w:pPr>
    </w:p>
    <w:p w14:paraId="15C4F948" w14:textId="30FEDC73" w:rsidR="007372B6" w:rsidRDefault="00000000">
      <w:pPr>
        <w:tabs>
          <w:tab w:val="left" w:pos="-511"/>
        </w:tabs>
        <w:spacing w:line="312" w:lineRule="auto"/>
        <w:jc w:val="both"/>
      </w:pPr>
      <w:r>
        <w:rPr>
          <w:rFonts w:ascii="Calibri" w:eastAsia="Calibri" w:hAnsi="Calibri" w:cs="MyriadPro-Bold"/>
          <w:color w:val="000000"/>
          <w:w w:val="105"/>
          <w:kern w:val="2"/>
          <w:sz w:val="22"/>
          <w:szCs w:val="22"/>
          <w:lang w:val="en-CA" w:eastAsia="zh-CN" w:bidi="hi-IN"/>
        </w:rPr>
        <w:t xml:space="preserve">18. The extent of co-financing mobilized (planned and actual) was assessed based on data provided in the Project Document along with updates from the PSC meeting of July 2022. </w:t>
      </w:r>
      <w:r>
        <w:rPr>
          <w:rFonts w:ascii="Calibri" w:hAnsi="Calibri" w:cs="Calibri"/>
          <w:bCs/>
          <w:color w:val="000000"/>
          <w:sz w:val="22"/>
          <w:szCs w:val="22"/>
        </w:rPr>
        <w:t xml:space="preserve">The amount of co-financing mobilized by the end of the project (June 30, 2022) was much lower than anticipated. Table 4 shows that approximately 1.2% of co-financing (USD $364,723) was mobilized relative to the anticipated $30 million. </w:t>
      </w:r>
      <w:r>
        <w:rPr>
          <w:rFonts w:ascii="Calibri" w:hAnsi="Calibri" w:cs="Calibri"/>
          <w:bCs/>
          <w:color w:val="000000"/>
          <w:w w:val="105"/>
          <w:kern w:val="2"/>
          <w:sz w:val="22"/>
          <w:szCs w:val="22"/>
          <w:lang w:bidi="hi-IN"/>
        </w:rPr>
        <w:t>The</w:t>
      </w:r>
      <w:r>
        <w:rPr>
          <w:rFonts w:ascii="Calibri" w:hAnsi="Calibri" w:cs="Calibri"/>
          <w:bCs/>
          <w:color w:val="000000"/>
          <w:w w:val="105"/>
          <w:sz w:val="22"/>
          <w:szCs w:val="22"/>
        </w:rPr>
        <w:t xml:space="preserve"> main reason for this shortcoming appears to be the low amount of co-financing reported by the government. </w:t>
      </w:r>
      <w:r>
        <w:rPr>
          <w:rFonts w:ascii="Calibri" w:eastAsia="Calibri" w:hAnsi="Calibri" w:cs="MyriadPro-Bold"/>
          <w:color w:val="000000"/>
          <w:w w:val="105"/>
          <w:kern w:val="2"/>
          <w:sz w:val="22"/>
          <w:szCs w:val="22"/>
          <w:lang w:val="en-CA" w:eastAsia="zh-CN" w:bidi="hi-IN"/>
        </w:rPr>
        <w:t>However, the information is not complete, largely because co-financing was not tracked. In the absence of updated financial information, it was difficult to verify the co-financing, which were primarily in-kind contributions made by government departments and NGOs on the project</w:t>
      </w:r>
      <w:r>
        <w:rPr>
          <w:rFonts w:ascii="Calibri" w:hAnsi="Calibri" w:cs="Calibri"/>
          <w:bCs/>
          <w:color w:val="000000"/>
          <w:w w:val="105"/>
          <w:sz w:val="22"/>
          <w:szCs w:val="22"/>
        </w:rPr>
        <w:t>.</w:t>
      </w:r>
    </w:p>
    <w:p w14:paraId="409BF867" w14:textId="77777777" w:rsidR="007372B6" w:rsidRDefault="007372B6">
      <w:pPr>
        <w:tabs>
          <w:tab w:val="left" w:pos="1620"/>
        </w:tabs>
        <w:rPr>
          <w:rFonts w:ascii="Calibri" w:hAnsi="Calibri" w:cs="Calibri"/>
          <w:bCs/>
          <w:sz w:val="22"/>
          <w:szCs w:val="22"/>
        </w:rPr>
      </w:pPr>
    </w:p>
    <w:p w14:paraId="3A955891" w14:textId="77777777" w:rsidR="007372B6" w:rsidRDefault="00000000">
      <w:pPr>
        <w:tabs>
          <w:tab w:val="left" w:pos="1620"/>
        </w:tabs>
        <w:spacing w:line="312" w:lineRule="auto"/>
        <w:jc w:val="center"/>
        <w:rPr>
          <w:rFonts w:ascii="Calibri" w:hAnsi="Calibri" w:cs="Calibri"/>
          <w:b/>
          <w:bCs/>
          <w:color w:val="000000"/>
          <w:sz w:val="22"/>
          <w:szCs w:val="22"/>
        </w:rPr>
      </w:pPr>
      <w:r>
        <w:rPr>
          <w:rFonts w:ascii="Calibri" w:hAnsi="Calibri" w:cs="Calibri"/>
          <w:b/>
          <w:bCs/>
          <w:color w:val="000000"/>
          <w:sz w:val="22"/>
          <w:szCs w:val="22"/>
        </w:rPr>
        <w:t>Table 4: Co-financing Anticipated and Mobilized by June 2022</w:t>
      </w:r>
    </w:p>
    <w:tbl>
      <w:tblPr>
        <w:tblW w:w="9045" w:type="dxa"/>
        <w:tblInd w:w="20" w:type="dxa"/>
        <w:tblLayout w:type="fixed"/>
        <w:tblCellMar>
          <w:top w:w="20" w:type="dxa"/>
          <w:left w:w="20" w:type="dxa"/>
          <w:bottom w:w="20" w:type="dxa"/>
          <w:right w:w="20" w:type="dxa"/>
        </w:tblCellMar>
        <w:tblLook w:val="04A0" w:firstRow="1" w:lastRow="0" w:firstColumn="1" w:lastColumn="0" w:noHBand="0" w:noVBand="1"/>
      </w:tblPr>
      <w:tblGrid>
        <w:gridCol w:w="1395"/>
        <w:gridCol w:w="2046"/>
        <w:gridCol w:w="1336"/>
        <w:gridCol w:w="1448"/>
        <w:gridCol w:w="1410"/>
        <w:gridCol w:w="1410"/>
      </w:tblGrid>
      <w:tr w:rsidR="007372B6" w14:paraId="142FFFA4" w14:textId="77777777">
        <w:tc>
          <w:tcPr>
            <w:tcW w:w="1394" w:type="dxa"/>
            <w:tcBorders>
              <w:top w:val="single" w:sz="4" w:space="0" w:color="000000"/>
              <w:left w:val="single" w:sz="4" w:space="0" w:color="000000"/>
              <w:bottom w:val="single" w:sz="4" w:space="0" w:color="000000"/>
              <w:right w:val="single" w:sz="4" w:space="0" w:color="000000"/>
            </w:tcBorders>
            <w:shd w:val="clear" w:color="auto" w:fill="E6E6FF"/>
          </w:tcPr>
          <w:p w14:paraId="0E7381A7" w14:textId="77777777" w:rsidR="007372B6" w:rsidRDefault="00000000">
            <w:pPr>
              <w:widowControl w:val="0"/>
              <w:rPr>
                <w:rFonts w:ascii="Arial Narrow" w:hAnsi="Arial Narrow" w:cs="Arial Narrow"/>
                <w:b/>
                <w:bCs/>
                <w:color w:val="000000"/>
                <w:sz w:val="20"/>
                <w:szCs w:val="20"/>
              </w:rPr>
            </w:pPr>
            <w:r>
              <w:rPr>
                <w:rFonts w:ascii="Arial Narrow" w:hAnsi="Arial Narrow" w:cs="Arial Narrow"/>
                <w:b/>
                <w:bCs/>
                <w:color w:val="000000"/>
                <w:sz w:val="20"/>
                <w:szCs w:val="20"/>
              </w:rPr>
              <w:t>Sources of Co-financing</w:t>
            </w:r>
          </w:p>
        </w:tc>
        <w:tc>
          <w:tcPr>
            <w:tcW w:w="2046" w:type="dxa"/>
            <w:tcBorders>
              <w:top w:val="single" w:sz="4" w:space="0" w:color="000000"/>
              <w:left w:val="single" w:sz="4" w:space="0" w:color="000000"/>
              <w:bottom w:val="single" w:sz="4" w:space="0" w:color="000000"/>
              <w:right w:val="single" w:sz="4" w:space="0" w:color="000000"/>
            </w:tcBorders>
            <w:shd w:val="clear" w:color="auto" w:fill="E6E6FF"/>
          </w:tcPr>
          <w:p w14:paraId="0041A862" w14:textId="77777777" w:rsidR="007372B6" w:rsidRDefault="00000000">
            <w:pPr>
              <w:widowControl w:val="0"/>
              <w:rPr>
                <w:rFonts w:ascii="Arial Narrow" w:hAnsi="Arial Narrow" w:cs="Arial Narrow"/>
                <w:b/>
                <w:bCs/>
                <w:color w:val="000000"/>
                <w:sz w:val="20"/>
                <w:szCs w:val="20"/>
              </w:rPr>
            </w:pPr>
            <w:r>
              <w:rPr>
                <w:rFonts w:ascii="Arial Narrow" w:hAnsi="Arial Narrow" w:cs="Arial Narrow"/>
                <w:b/>
                <w:bCs/>
                <w:color w:val="000000"/>
                <w:sz w:val="20"/>
                <w:szCs w:val="20"/>
              </w:rPr>
              <w:t>Name of Co-financier</w:t>
            </w:r>
          </w:p>
        </w:tc>
        <w:tc>
          <w:tcPr>
            <w:tcW w:w="1336" w:type="dxa"/>
            <w:tcBorders>
              <w:top w:val="single" w:sz="4" w:space="0" w:color="000000"/>
              <w:left w:val="single" w:sz="4" w:space="0" w:color="000000"/>
              <w:bottom w:val="single" w:sz="4" w:space="0" w:color="000000"/>
              <w:right w:val="single" w:sz="4" w:space="0" w:color="000000"/>
            </w:tcBorders>
            <w:shd w:val="clear" w:color="auto" w:fill="E6E6FF"/>
          </w:tcPr>
          <w:p w14:paraId="71E55A5E" w14:textId="77777777" w:rsidR="007372B6" w:rsidRDefault="00000000">
            <w:pPr>
              <w:widowControl w:val="0"/>
              <w:rPr>
                <w:rFonts w:ascii="Arial Narrow" w:hAnsi="Arial Narrow" w:cs="Arial Narrow"/>
                <w:b/>
                <w:bCs/>
                <w:color w:val="000000"/>
                <w:sz w:val="20"/>
                <w:szCs w:val="20"/>
              </w:rPr>
            </w:pPr>
            <w:r>
              <w:rPr>
                <w:rFonts w:ascii="Arial Narrow" w:hAnsi="Arial Narrow" w:cs="Arial Narrow"/>
                <w:b/>
                <w:bCs/>
                <w:color w:val="000000"/>
                <w:sz w:val="20"/>
                <w:szCs w:val="20"/>
              </w:rPr>
              <w:t>Type of Co-financing</w:t>
            </w:r>
          </w:p>
        </w:tc>
        <w:tc>
          <w:tcPr>
            <w:tcW w:w="1448" w:type="dxa"/>
            <w:tcBorders>
              <w:top w:val="single" w:sz="4" w:space="0" w:color="000000"/>
              <w:left w:val="single" w:sz="4" w:space="0" w:color="000000"/>
              <w:bottom w:val="single" w:sz="4" w:space="0" w:color="000000"/>
              <w:right w:val="single" w:sz="4" w:space="0" w:color="000000"/>
            </w:tcBorders>
            <w:shd w:val="clear" w:color="auto" w:fill="E6E6FF"/>
          </w:tcPr>
          <w:p w14:paraId="06C8ACC8" w14:textId="77777777" w:rsidR="007372B6" w:rsidRDefault="00000000">
            <w:pPr>
              <w:widowControl w:val="0"/>
              <w:rPr>
                <w:rFonts w:ascii="Arial Narrow" w:hAnsi="Arial Narrow" w:cs="Arial Narrow"/>
                <w:b/>
                <w:bCs/>
                <w:color w:val="000000"/>
                <w:sz w:val="20"/>
                <w:szCs w:val="20"/>
              </w:rPr>
            </w:pPr>
            <w:r>
              <w:rPr>
                <w:rFonts w:ascii="Arial Narrow" w:hAnsi="Arial Narrow" w:cs="Arial Narrow"/>
                <w:b/>
                <w:bCs/>
                <w:color w:val="000000"/>
                <w:sz w:val="20"/>
                <w:szCs w:val="20"/>
              </w:rPr>
              <w:t>Co-financing amount confirmed at CEO Endorsement / Approval</w:t>
            </w:r>
          </w:p>
        </w:tc>
        <w:tc>
          <w:tcPr>
            <w:tcW w:w="1410" w:type="dxa"/>
            <w:tcBorders>
              <w:top w:val="single" w:sz="4" w:space="0" w:color="000000"/>
              <w:left w:val="single" w:sz="4" w:space="0" w:color="000000"/>
              <w:bottom w:val="single" w:sz="4" w:space="0" w:color="000000"/>
              <w:right w:val="single" w:sz="4" w:space="0" w:color="000000"/>
            </w:tcBorders>
            <w:shd w:val="clear" w:color="auto" w:fill="E6E6FF"/>
          </w:tcPr>
          <w:p w14:paraId="5B99346B" w14:textId="77777777" w:rsidR="007372B6" w:rsidRDefault="00000000">
            <w:pPr>
              <w:widowControl w:val="0"/>
              <w:rPr>
                <w:rFonts w:ascii="Arial Narrow" w:hAnsi="Arial Narrow" w:cs="Arial Narrow"/>
                <w:b/>
                <w:bCs/>
                <w:color w:val="000000"/>
                <w:sz w:val="20"/>
                <w:szCs w:val="20"/>
              </w:rPr>
            </w:pPr>
            <w:r>
              <w:rPr>
                <w:rFonts w:ascii="Arial Narrow" w:hAnsi="Arial Narrow" w:cs="Arial Narrow"/>
                <w:b/>
                <w:bCs/>
                <w:color w:val="000000"/>
                <w:sz w:val="20"/>
                <w:szCs w:val="20"/>
              </w:rPr>
              <w:t>Investment mobilized</w:t>
            </w:r>
          </w:p>
        </w:tc>
        <w:tc>
          <w:tcPr>
            <w:tcW w:w="1410" w:type="dxa"/>
            <w:tcBorders>
              <w:top w:val="single" w:sz="4" w:space="0" w:color="000000"/>
              <w:left w:val="single" w:sz="4" w:space="0" w:color="000000"/>
              <w:bottom w:val="single" w:sz="4" w:space="0" w:color="000000"/>
              <w:right w:val="single" w:sz="4" w:space="0" w:color="000000"/>
            </w:tcBorders>
            <w:shd w:val="clear" w:color="auto" w:fill="E6E6FF"/>
          </w:tcPr>
          <w:p w14:paraId="1F7CDCD1" w14:textId="77777777" w:rsidR="007372B6" w:rsidRDefault="00000000">
            <w:pPr>
              <w:widowControl w:val="0"/>
              <w:rPr>
                <w:rFonts w:ascii="Arial Narrow" w:hAnsi="Arial Narrow" w:cs="Arial Narrow"/>
                <w:b/>
                <w:bCs/>
                <w:color w:val="000000"/>
                <w:sz w:val="20"/>
                <w:szCs w:val="20"/>
              </w:rPr>
            </w:pPr>
            <w:r>
              <w:rPr>
                <w:rFonts w:ascii="Arial Narrow" w:hAnsi="Arial Narrow" w:cs="Arial Narrow"/>
                <w:b/>
                <w:bCs/>
                <w:color w:val="000000"/>
                <w:sz w:val="20"/>
                <w:szCs w:val="20"/>
              </w:rPr>
              <w:t>Materialized co-financing as of Jun 30, 2022</w:t>
            </w:r>
          </w:p>
        </w:tc>
      </w:tr>
      <w:tr w:rsidR="007372B6" w14:paraId="23C68523" w14:textId="77777777">
        <w:tc>
          <w:tcPr>
            <w:tcW w:w="1394" w:type="dxa"/>
            <w:tcBorders>
              <w:top w:val="single" w:sz="4" w:space="0" w:color="000000"/>
              <w:left w:val="single" w:sz="4" w:space="0" w:color="000000"/>
              <w:bottom w:val="single" w:sz="4" w:space="0" w:color="000000"/>
              <w:right w:val="single" w:sz="4" w:space="0" w:color="000000"/>
            </w:tcBorders>
          </w:tcPr>
          <w:p w14:paraId="106EF585"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Recipient Government</w:t>
            </w:r>
          </w:p>
        </w:tc>
        <w:tc>
          <w:tcPr>
            <w:tcW w:w="2046" w:type="dxa"/>
            <w:tcBorders>
              <w:top w:val="single" w:sz="4" w:space="0" w:color="000000"/>
              <w:left w:val="single" w:sz="4" w:space="0" w:color="000000"/>
              <w:bottom w:val="single" w:sz="4" w:space="0" w:color="000000"/>
              <w:right w:val="single" w:sz="4" w:space="0" w:color="000000"/>
            </w:tcBorders>
          </w:tcPr>
          <w:p w14:paraId="0BCDB8F9"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Ministries</w:t>
            </w:r>
          </w:p>
        </w:tc>
        <w:tc>
          <w:tcPr>
            <w:tcW w:w="1336" w:type="dxa"/>
            <w:tcBorders>
              <w:top w:val="single" w:sz="4" w:space="0" w:color="000000"/>
              <w:left w:val="single" w:sz="4" w:space="0" w:color="000000"/>
              <w:bottom w:val="single" w:sz="4" w:space="0" w:color="000000"/>
              <w:right w:val="single" w:sz="4" w:space="0" w:color="000000"/>
            </w:tcBorders>
          </w:tcPr>
          <w:p w14:paraId="6E3DF123"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 Kind</w:t>
            </w:r>
          </w:p>
        </w:tc>
        <w:tc>
          <w:tcPr>
            <w:tcW w:w="1448" w:type="dxa"/>
            <w:tcBorders>
              <w:top w:val="single" w:sz="4" w:space="0" w:color="000000"/>
              <w:left w:val="single" w:sz="4" w:space="0" w:color="000000"/>
              <w:bottom w:val="single" w:sz="4" w:space="0" w:color="000000"/>
              <w:right w:val="single" w:sz="4" w:space="0" w:color="000000"/>
            </w:tcBorders>
          </w:tcPr>
          <w:p w14:paraId="5958ACE5"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26,713,803</w:t>
            </w:r>
          </w:p>
        </w:tc>
        <w:tc>
          <w:tcPr>
            <w:tcW w:w="1410" w:type="dxa"/>
            <w:tcBorders>
              <w:top w:val="single" w:sz="4" w:space="0" w:color="000000"/>
              <w:left w:val="single" w:sz="4" w:space="0" w:color="000000"/>
              <w:bottom w:val="single" w:sz="4" w:space="0" w:color="000000"/>
              <w:right w:val="single" w:sz="4" w:space="0" w:color="000000"/>
            </w:tcBorders>
          </w:tcPr>
          <w:p w14:paraId="39EDBDA9"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Recurrent expenditures</w:t>
            </w:r>
          </w:p>
        </w:tc>
        <w:tc>
          <w:tcPr>
            <w:tcW w:w="1410" w:type="dxa"/>
            <w:tcBorders>
              <w:top w:val="single" w:sz="4" w:space="0" w:color="000000"/>
              <w:left w:val="single" w:sz="4" w:space="0" w:color="000000"/>
              <w:bottom w:val="single" w:sz="4" w:space="0" w:color="000000"/>
              <w:right w:val="single" w:sz="4" w:space="0" w:color="000000"/>
            </w:tcBorders>
          </w:tcPr>
          <w:p w14:paraId="7091C885"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166,877</w:t>
            </w:r>
          </w:p>
        </w:tc>
      </w:tr>
      <w:tr w:rsidR="007372B6" w14:paraId="4ADD0651" w14:textId="77777777">
        <w:tc>
          <w:tcPr>
            <w:tcW w:w="1394" w:type="dxa"/>
            <w:tcBorders>
              <w:top w:val="single" w:sz="4" w:space="0" w:color="000000"/>
              <w:left w:val="single" w:sz="4" w:space="0" w:color="000000"/>
              <w:bottom w:val="single" w:sz="4" w:space="0" w:color="000000"/>
              <w:right w:val="single" w:sz="4" w:space="0" w:color="000000"/>
            </w:tcBorders>
          </w:tcPr>
          <w:p w14:paraId="11EE5C12"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GEF Agency</w:t>
            </w:r>
          </w:p>
        </w:tc>
        <w:tc>
          <w:tcPr>
            <w:tcW w:w="2046" w:type="dxa"/>
            <w:tcBorders>
              <w:top w:val="single" w:sz="4" w:space="0" w:color="000000"/>
              <w:left w:val="single" w:sz="4" w:space="0" w:color="000000"/>
              <w:bottom w:val="single" w:sz="4" w:space="0" w:color="000000"/>
              <w:right w:val="single" w:sz="4" w:space="0" w:color="000000"/>
            </w:tcBorders>
          </w:tcPr>
          <w:p w14:paraId="004ED58A"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UNDP</w:t>
            </w:r>
          </w:p>
        </w:tc>
        <w:tc>
          <w:tcPr>
            <w:tcW w:w="1336" w:type="dxa"/>
            <w:tcBorders>
              <w:top w:val="single" w:sz="4" w:space="0" w:color="000000"/>
              <w:left w:val="single" w:sz="4" w:space="0" w:color="000000"/>
              <w:bottom w:val="single" w:sz="4" w:space="0" w:color="000000"/>
              <w:right w:val="single" w:sz="4" w:space="0" w:color="000000"/>
            </w:tcBorders>
          </w:tcPr>
          <w:p w14:paraId="6B62CF0B"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 Kind</w:t>
            </w:r>
          </w:p>
        </w:tc>
        <w:tc>
          <w:tcPr>
            <w:tcW w:w="1448" w:type="dxa"/>
            <w:tcBorders>
              <w:top w:val="single" w:sz="4" w:space="0" w:color="000000"/>
              <w:left w:val="single" w:sz="4" w:space="0" w:color="000000"/>
              <w:bottom w:val="single" w:sz="4" w:space="0" w:color="000000"/>
              <w:right w:val="single" w:sz="4" w:space="0" w:color="000000"/>
            </w:tcBorders>
          </w:tcPr>
          <w:p w14:paraId="48ADD6E0"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450,000</w:t>
            </w:r>
          </w:p>
        </w:tc>
        <w:tc>
          <w:tcPr>
            <w:tcW w:w="1410" w:type="dxa"/>
            <w:tcBorders>
              <w:top w:val="single" w:sz="4" w:space="0" w:color="000000"/>
              <w:left w:val="single" w:sz="4" w:space="0" w:color="000000"/>
              <w:bottom w:val="single" w:sz="4" w:space="0" w:color="000000"/>
              <w:right w:val="single" w:sz="4" w:space="0" w:color="000000"/>
            </w:tcBorders>
          </w:tcPr>
          <w:p w14:paraId="50193D98"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Recurrent expenditures</w:t>
            </w:r>
          </w:p>
        </w:tc>
        <w:tc>
          <w:tcPr>
            <w:tcW w:w="1410" w:type="dxa"/>
            <w:tcBorders>
              <w:top w:val="single" w:sz="4" w:space="0" w:color="000000"/>
              <w:left w:val="single" w:sz="4" w:space="0" w:color="000000"/>
              <w:bottom w:val="single" w:sz="4" w:space="0" w:color="000000"/>
              <w:right w:val="single" w:sz="4" w:space="0" w:color="000000"/>
            </w:tcBorders>
          </w:tcPr>
          <w:p w14:paraId="735CD179"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187,846</w:t>
            </w:r>
          </w:p>
        </w:tc>
      </w:tr>
      <w:tr w:rsidR="007372B6" w14:paraId="3D1DFDDE" w14:textId="77777777">
        <w:tc>
          <w:tcPr>
            <w:tcW w:w="1394" w:type="dxa"/>
            <w:tcBorders>
              <w:top w:val="single" w:sz="4" w:space="0" w:color="000000"/>
              <w:left w:val="single" w:sz="4" w:space="0" w:color="000000"/>
              <w:bottom w:val="single" w:sz="4" w:space="0" w:color="000000"/>
              <w:right w:val="single" w:sz="4" w:space="0" w:color="000000"/>
            </w:tcBorders>
          </w:tcPr>
          <w:p w14:paraId="1C4838E7"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Others</w:t>
            </w:r>
          </w:p>
        </w:tc>
        <w:tc>
          <w:tcPr>
            <w:tcW w:w="2046" w:type="dxa"/>
            <w:tcBorders>
              <w:top w:val="single" w:sz="4" w:space="0" w:color="000000"/>
              <w:left w:val="single" w:sz="4" w:space="0" w:color="000000"/>
              <w:bottom w:val="single" w:sz="4" w:space="0" w:color="000000"/>
              <w:right w:val="single" w:sz="4" w:space="0" w:color="000000"/>
            </w:tcBorders>
          </w:tcPr>
          <w:p w14:paraId="19BBC9D7"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WWF</w:t>
            </w:r>
          </w:p>
        </w:tc>
        <w:tc>
          <w:tcPr>
            <w:tcW w:w="1336" w:type="dxa"/>
            <w:tcBorders>
              <w:top w:val="single" w:sz="4" w:space="0" w:color="000000"/>
              <w:left w:val="single" w:sz="4" w:space="0" w:color="000000"/>
              <w:bottom w:val="single" w:sz="4" w:space="0" w:color="000000"/>
              <w:right w:val="single" w:sz="4" w:space="0" w:color="000000"/>
            </w:tcBorders>
          </w:tcPr>
          <w:p w14:paraId="543B015D"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Grants</w:t>
            </w:r>
          </w:p>
        </w:tc>
        <w:tc>
          <w:tcPr>
            <w:tcW w:w="1448" w:type="dxa"/>
            <w:tcBorders>
              <w:top w:val="single" w:sz="4" w:space="0" w:color="000000"/>
              <w:left w:val="single" w:sz="4" w:space="0" w:color="000000"/>
              <w:bottom w:val="single" w:sz="4" w:space="0" w:color="000000"/>
              <w:right w:val="single" w:sz="4" w:space="0" w:color="000000"/>
            </w:tcBorders>
          </w:tcPr>
          <w:p w14:paraId="76B038D4"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775,180</w:t>
            </w:r>
          </w:p>
        </w:tc>
        <w:tc>
          <w:tcPr>
            <w:tcW w:w="1410" w:type="dxa"/>
            <w:tcBorders>
              <w:top w:val="single" w:sz="4" w:space="0" w:color="000000"/>
              <w:left w:val="single" w:sz="4" w:space="0" w:color="000000"/>
              <w:bottom w:val="single" w:sz="4" w:space="0" w:color="000000"/>
              <w:right w:val="single" w:sz="4" w:space="0" w:color="000000"/>
            </w:tcBorders>
          </w:tcPr>
          <w:p w14:paraId="61811A5E"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Investment mobilized</w:t>
            </w:r>
          </w:p>
        </w:tc>
        <w:tc>
          <w:tcPr>
            <w:tcW w:w="1410" w:type="dxa"/>
            <w:tcBorders>
              <w:top w:val="single" w:sz="4" w:space="0" w:color="000000"/>
              <w:left w:val="single" w:sz="4" w:space="0" w:color="000000"/>
              <w:bottom w:val="single" w:sz="4" w:space="0" w:color="000000"/>
              <w:right w:val="single" w:sz="4" w:space="0" w:color="000000"/>
            </w:tcBorders>
          </w:tcPr>
          <w:p w14:paraId="30DD8402"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0</w:t>
            </w:r>
          </w:p>
        </w:tc>
      </w:tr>
      <w:tr w:rsidR="007372B6" w14:paraId="5CA764C0" w14:textId="77777777">
        <w:tc>
          <w:tcPr>
            <w:tcW w:w="1394" w:type="dxa"/>
            <w:tcBorders>
              <w:top w:val="single" w:sz="4" w:space="0" w:color="000000"/>
              <w:left w:val="single" w:sz="4" w:space="0" w:color="000000"/>
              <w:bottom w:val="single" w:sz="4" w:space="0" w:color="000000"/>
              <w:right w:val="single" w:sz="4" w:space="0" w:color="000000"/>
            </w:tcBorders>
          </w:tcPr>
          <w:p w14:paraId="42A10FE1"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Others</w:t>
            </w:r>
          </w:p>
        </w:tc>
        <w:tc>
          <w:tcPr>
            <w:tcW w:w="2046" w:type="dxa"/>
            <w:tcBorders>
              <w:top w:val="single" w:sz="4" w:space="0" w:color="000000"/>
              <w:left w:val="single" w:sz="4" w:space="0" w:color="000000"/>
              <w:bottom w:val="single" w:sz="4" w:space="0" w:color="000000"/>
              <w:right w:val="single" w:sz="4" w:space="0" w:color="000000"/>
            </w:tcBorders>
          </w:tcPr>
          <w:p w14:paraId="37EB0999"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WCS</w:t>
            </w:r>
          </w:p>
        </w:tc>
        <w:tc>
          <w:tcPr>
            <w:tcW w:w="1336" w:type="dxa"/>
            <w:tcBorders>
              <w:top w:val="single" w:sz="4" w:space="0" w:color="000000"/>
              <w:left w:val="single" w:sz="4" w:space="0" w:color="000000"/>
              <w:bottom w:val="single" w:sz="4" w:space="0" w:color="000000"/>
              <w:right w:val="single" w:sz="4" w:space="0" w:color="000000"/>
            </w:tcBorders>
          </w:tcPr>
          <w:p w14:paraId="4EDC0AC6"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 Kind</w:t>
            </w:r>
          </w:p>
        </w:tc>
        <w:tc>
          <w:tcPr>
            <w:tcW w:w="1448" w:type="dxa"/>
            <w:tcBorders>
              <w:top w:val="single" w:sz="4" w:space="0" w:color="000000"/>
              <w:left w:val="single" w:sz="4" w:space="0" w:color="000000"/>
              <w:bottom w:val="single" w:sz="4" w:space="0" w:color="000000"/>
              <w:right w:val="single" w:sz="4" w:space="0" w:color="000000"/>
            </w:tcBorders>
          </w:tcPr>
          <w:p w14:paraId="6A961FC0"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359,687</w:t>
            </w:r>
          </w:p>
        </w:tc>
        <w:tc>
          <w:tcPr>
            <w:tcW w:w="1410" w:type="dxa"/>
            <w:tcBorders>
              <w:top w:val="single" w:sz="4" w:space="0" w:color="000000"/>
              <w:left w:val="single" w:sz="4" w:space="0" w:color="000000"/>
              <w:bottom w:val="single" w:sz="4" w:space="0" w:color="000000"/>
              <w:right w:val="single" w:sz="4" w:space="0" w:color="000000"/>
            </w:tcBorders>
          </w:tcPr>
          <w:p w14:paraId="1C4CF014" w14:textId="77777777" w:rsidR="007372B6" w:rsidRDefault="00000000">
            <w:pPr>
              <w:widowControl w:val="0"/>
              <w:rPr>
                <w:rFonts w:ascii="Arial Narrow" w:hAnsi="Arial Narrow" w:cs="Arial Narrow"/>
                <w:bCs/>
                <w:i/>
                <w:iCs/>
                <w:color w:val="000000"/>
                <w:sz w:val="20"/>
                <w:szCs w:val="20"/>
              </w:rPr>
            </w:pPr>
            <w:r>
              <w:rPr>
                <w:rFonts w:ascii="Arial Narrow" w:hAnsi="Arial Narrow" w:cs="Arial Narrow"/>
                <w:bCs/>
                <w:i/>
                <w:iCs/>
                <w:color w:val="000000"/>
                <w:sz w:val="20"/>
                <w:szCs w:val="20"/>
              </w:rPr>
              <w:t>(</w:t>
            </w:r>
            <w:proofErr w:type="gramStart"/>
            <w:r>
              <w:rPr>
                <w:rFonts w:ascii="Arial Narrow" w:hAnsi="Arial Narrow" w:cs="Arial Narrow"/>
                <w:bCs/>
                <w:i/>
                <w:iCs/>
                <w:color w:val="000000"/>
                <w:sz w:val="20"/>
                <w:szCs w:val="20"/>
              </w:rPr>
              <w:t>not</w:t>
            </w:r>
            <w:proofErr w:type="gramEnd"/>
            <w:r>
              <w:rPr>
                <w:rFonts w:ascii="Arial Narrow" w:hAnsi="Arial Narrow" w:cs="Arial Narrow"/>
                <w:bCs/>
                <w:i/>
                <w:iCs/>
                <w:color w:val="000000"/>
                <w:sz w:val="20"/>
                <w:szCs w:val="20"/>
              </w:rPr>
              <w:t xml:space="preserve"> set or not applicable)</w:t>
            </w:r>
          </w:p>
        </w:tc>
        <w:tc>
          <w:tcPr>
            <w:tcW w:w="1410" w:type="dxa"/>
            <w:tcBorders>
              <w:top w:val="single" w:sz="4" w:space="0" w:color="000000"/>
              <w:left w:val="single" w:sz="4" w:space="0" w:color="000000"/>
              <w:bottom w:val="single" w:sz="4" w:space="0" w:color="000000"/>
              <w:right w:val="single" w:sz="4" w:space="0" w:color="000000"/>
            </w:tcBorders>
          </w:tcPr>
          <w:p w14:paraId="4EA2F540"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0</w:t>
            </w:r>
          </w:p>
        </w:tc>
      </w:tr>
      <w:tr w:rsidR="007372B6" w14:paraId="297B65FB" w14:textId="77777777">
        <w:tc>
          <w:tcPr>
            <w:tcW w:w="1394" w:type="dxa"/>
            <w:tcBorders>
              <w:top w:val="single" w:sz="4" w:space="0" w:color="000000"/>
              <w:left w:val="single" w:sz="4" w:space="0" w:color="000000"/>
              <w:bottom w:val="single" w:sz="4" w:space="0" w:color="000000"/>
              <w:right w:val="single" w:sz="4" w:space="0" w:color="000000"/>
            </w:tcBorders>
          </w:tcPr>
          <w:p w14:paraId="1CD1050D"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Others</w:t>
            </w:r>
          </w:p>
        </w:tc>
        <w:tc>
          <w:tcPr>
            <w:tcW w:w="2046" w:type="dxa"/>
            <w:tcBorders>
              <w:top w:val="single" w:sz="4" w:space="0" w:color="000000"/>
              <w:left w:val="single" w:sz="4" w:space="0" w:color="000000"/>
              <w:bottom w:val="single" w:sz="4" w:space="0" w:color="000000"/>
              <w:right w:val="single" w:sz="4" w:space="0" w:color="000000"/>
            </w:tcBorders>
          </w:tcPr>
          <w:p w14:paraId="19BB7B66"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Institute of Applied Sciences, University of South Pacific</w:t>
            </w:r>
          </w:p>
        </w:tc>
        <w:tc>
          <w:tcPr>
            <w:tcW w:w="1336" w:type="dxa"/>
            <w:tcBorders>
              <w:top w:val="single" w:sz="4" w:space="0" w:color="000000"/>
              <w:left w:val="single" w:sz="4" w:space="0" w:color="000000"/>
              <w:bottom w:val="single" w:sz="4" w:space="0" w:color="000000"/>
              <w:right w:val="single" w:sz="4" w:space="0" w:color="000000"/>
            </w:tcBorders>
          </w:tcPr>
          <w:p w14:paraId="4879A9F5"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Grants</w:t>
            </w:r>
          </w:p>
        </w:tc>
        <w:tc>
          <w:tcPr>
            <w:tcW w:w="1448" w:type="dxa"/>
            <w:tcBorders>
              <w:top w:val="single" w:sz="4" w:space="0" w:color="000000"/>
              <w:left w:val="single" w:sz="4" w:space="0" w:color="000000"/>
              <w:bottom w:val="single" w:sz="4" w:space="0" w:color="000000"/>
              <w:right w:val="single" w:sz="4" w:space="0" w:color="000000"/>
            </w:tcBorders>
          </w:tcPr>
          <w:p w14:paraId="7E79F4CA"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330,000</w:t>
            </w:r>
          </w:p>
        </w:tc>
        <w:tc>
          <w:tcPr>
            <w:tcW w:w="1410" w:type="dxa"/>
            <w:tcBorders>
              <w:top w:val="single" w:sz="4" w:space="0" w:color="000000"/>
              <w:left w:val="single" w:sz="4" w:space="0" w:color="000000"/>
              <w:bottom w:val="single" w:sz="4" w:space="0" w:color="000000"/>
              <w:right w:val="single" w:sz="4" w:space="0" w:color="000000"/>
            </w:tcBorders>
          </w:tcPr>
          <w:p w14:paraId="27B0F2F4" w14:textId="77777777" w:rsidR="007372B6" w:rsidRDefault="00000000">
            <w:pPr>
              <w:widowControl w:val="0"/>
              <w:rPr>
                <w:rFonts w:ascii="Arial Narrow" w:hAnsi="Arial Narrow" w:cs="Arial Narrow"/>
                <w:bCs/>
                <w:i/>
                <w:iCs/>
                <w:color w:val="000000"/>
                <w:sz w:val="20"/>
                <w:szCs w:val="20"/>
              </w:rPr>
            </w:pPr>
            <w:r>
              <w:rPr>
                <w:rFonts w:ascii="Arial Narrow" w:hAnsi="Arial Narrow" w:cs="Arial Narrow"/>
                <w:bCs/>
                <w:i/>
                <w:iCs/>
                <w:color w:val="000000"/>
                <w:sz w:val="20"/>
                <w:szCs w:val="20"/>
              </w:rPr>
              <w:t>(</w:t>
            </w:r>
            <w:proofErr w:type="gramStart"/>
            <w:r>
              <w:rPr>
                <w:rFonts w:ascii="Arial Narrow" w:hAnsi="Arial Narrow" w:cs="Arial Narrow"/>
                <w:bCs/>
                <w:i/>
                <w:iCs/>
                <w:color w:val="000000"/>
                <w:sz w:val="20"/>
                <w:szCs w:val="20"/>
              </w:rPr>
              <w:t>not</w:t>
            </w:r>
            <w:proofErr w:type="gramEnd"/>
            <w:r>
              <w:rPr>
                <w:rFonts w:ascii="Arial Narrow" w:hAnsi="Arial Narrow" w:cs="Arial Narrow"/>
                <w:bCs/>
                <w:i/>
                <w:iCs/>
                <w:color w:val="000000"/>
                <w:sz w:val="20"/>
                <w:szCs w:val="20"/>
              </w:rPr>
              <w:t xml:space="preserve"> set or not applicable)</w:t>
            </w:r>
          </w:p>
        </w:tc>
        <w:tc>
          <w:tcPr>
            <w:tcW w:w="1410" w:type="dxa"/>
            <w:tcBorders>
              <w:top w:val="single" w:sz="4" w:space="0" w:color="000000"/>
              <w:left w:val="single" w:sz="4" w:space="0" w:color="000000"/>
              <w:bottom w:val="single" w:sz="4" w:space="0" w:color="000000"/>
              <w:right w:val="single" w:sz="4" w:space="0" w:color="000000"/>
            </w:tcBorders>
          </w:tcPr>
          <w:p w14:paraId="4A6540FF"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0</w:t>
            </w:r>
          </w:p>
        </w:tc>
      </w:tr>
      <w:tr w:rsidR="007372B6" w14:paraId="22859272" w14:textId="77777777">
        <w:tc>
          <w:tcPr>
            <w:tcW w:w="1394" w:type="dxa"/>
            <w:tcBorders>
              <w:top w:val="single" w:sz="4" w:space="0" w:color="000000"/>
              <w:left w:val="single" w:sz="4" w:space="0" w:color="000000"/>
              <w:bottom w:val="single" w:sz="4" w:space="0" w:color="000000"/>
              <w:right w:val="single" w:sz="4" w:space="0" w:color="000000"/>
            </w:tcBorders>
          </w:tcPr>
          <w:p w14:paraId="7E0424DF"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Others</w:t>
            </w:r>
          </w:p>
        </w:tc>
        <w:tc>
          <w:tcPr>
            <w:tcW w:w="2046" w:type="dxa"/>
            <w:tcBorders>
              <w:top w:val="single" w:sz="4" w:space="0" w:color="000000"/>
              <w:left w:val="single" w:sz="4" w:space="0" w:color="000000"/>
              <w:bottom w:val="single" w:sz="4" w:space="0" w:color="000000"/>
              <w:right w:val="single" w:sz="4" w:space="0" w:color="000000"/>
            </w:tcBorders>
          </w:tcPr>
          <w:p w14:paraId="0007854A"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Institute of Applied Sciences, University of South Pacific</w:t>
            </w:r>
          </w:p>
        </w:tc>
        <w:tc>
          <w:tcPr>
            <w:tcW w:w="1336" w:type="dxa"/>
            <w:tcBorders>
              <w:top w:val="single" w:sz="4" w:space="0" w:color="000000"/>
              <w:left w:val="single" w:sz="4" w:space="0" w:color="000000"/>
              <w:bottom w:val="single" w:sz="4" w:space="0" w:color="000000"/>
              <w:right w:val="single" w:sz="4" w:space="0" w:color="000000"/>
            </w:tcBorders>
          </w:tcPr>
          <w:p w14:paraId="3B91082D"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 Kind</w:t>
            </w:r>
          </w:p>
        </w:tc>
        <w:tc>
          <w:tcPr>
            <w:tcW w:w="1448" w:type="dxa"/>
            <w:tcBorders>
              <w:top w:val="single" w:sz="4" w:space="0" w:color="000000"/>
              <w:left w:val="single" w:sz="4" w:space="0" w:color="000000"/>
              <w:bottom w:val="single" w:sz="4" w:space="0" w:color="000000"/>
              <w:right w:val="single" w:sz="4" w:space="0" w:color="000000"/>
            </w:tcBorders>
          </w:tcPr>
          <w:p w14:paraId="45F38B34"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55,000</w:t>
            </w:r>
          </w:p>
        </w:tc>
        <w:tc>
          <w:tcPr>
            <w:tcW w:w="1410" w:type="dxa"/>
            <w:tcBorders>
              <w:top w:val="single" w:sz="4" w:space="0" w:color="000000"/>
              <w:left w:val="single" w:sz="4" w:space="0" w:color="000000"/>
              <w:bottom w:val="single" w:sz="4" w:space="0" w:color="000000"/>
              <w:right w:val="single" w:sz="4" w:space="0" w:color="000000"/>
            </w:tcBorders>
          </w:tcPr>
          <w:p w14:paraId="2B301DBD"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Recurrent expenditures</w:t>
            </w:r>
          </w:p>
        </w:tc>
        <w:tc>
          <w:tcPr>
            <w:tcW w:w="1410" w:type="dxa"/>
            <w:tcBorders>
              <w:top w:val="single" w:sz="4" w:space="0" w:color="000000"/>
              <w:left w:val="single" w:sz="4" w:space="0" w:color="000000"/>
              <w:bottom w:val="single" w:sz="4" w:space="0" w:color="000000"/>
              <w:right w:val="single" w:sz="4" w:space="0" w:color="000000"/>
            </w:tcBorders>
          </w:tcPr>
          <w:p w14:paraId="6FF198F3"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10,000</w:t>
            </w:r>
          </w:p>
        </w:tc>
      </w:tr>
      <w:tr w:rsidR="007372B6" w14:paraId="1884A91C" w14:textId="77777777">
        <w:tc>
          <w:tcPr>
            <w:tcW w:w="1394" w:type="dxa"/>
            <w:tcBorders>
              <w:top w:val="single" w:sz="4" w:space="0" w:color="000000"/>
              <w:left w:val="single" w:sz="4" w:space="0" w:color="000000"/>
              <w:bottom w:val="single" w:sz="4" w:space="0" w:color="000000"/>
              <w:right w:val="single" w:sz="4" w:space="0" w:color="000000"/>
            </w:tcBorders>
          </w:tcPr>
          <w:p w14:paraId="794FF61A"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Others</w:t>
            </w:r>
          </w:p>
        </w:tc>
        <w:tc>
          <w:tcPr>
            <w:tcW w:w="2046" w:type="dxa"/>
            <w:tcBorders>
              <w:top w:val="single" w:sz="4" w:space="0" w:color="000000"/>
              <w:left w:val="single" w:sz="4" w:space="0" w:color="000000"/>
              <w:bottom w:val="single" w:sz="4" w:space="0" w:color="000000"/>
              <w:right w:val="single" w:sz="4" w:space="0" w:color="000000"/>
            </w:tcBorders>
          </w:tcPr>
          <w:p w14:paraId="0BA149B8"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 xml:space="preserve">Nature Fiji </w:t>
            </w:r>
            <w:proofErr w:type="spellStart"/>
            <w:r>
              <w:rPr>
                <w:rFonts w:ascii="Arial Narrow" w:hAnsi="Arial Narrow" w:cs="Arial Narrow"/>
                <w:bCs/>
                <w:color w:val="000000"/>
                <w:sz w:val="20"/>
                <w:szCs w:val="20"/>
              </w:rPr>
              <w:t>Mareqeti</w:t>
            </w:r>
            <w:proofErr w:type="spellEnd"/>
            <w:r>
              <w:rPr>
                <w:rFonts w:ascii="Arial Narrow" w:hAnsi="Arial Narrow" w:cs="Arial Narrow"/>
                <w:bCs/>
                <w:color w:val="000000"/>
                <w:sz w:val="20"/>
                <w:szCs w:val="20"/>
              </w:rPr>
              <w:t xml:space="preserve"> Viti</w:t>
            </w:r>
          </w:p>
        </w:tc>
        <w:tc>
          <w:tcPr>
            <w:tcW w:w="1336" w:type="dxa"/>
            <w:tcBorders>
              <w:top w:val="single" w:sz="4" w:space="0" w:color="000000"/>
              <w:left w:val="single" w:sz="4" w:space="0" w:color="000000"/>
              <w:bottom w:val="single" w:sz="4" w:space="0" w:color="000000"/>
              <w:right w:val="single" w:sz="4" w:space="0" w:color="000000"/>
            </w:tcBorders>
          </w:tcPr>
          <w:p w14:paraId="4595DE80"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Grants</w:t>
            </w:r>
          </w:p>
        </w:tc>
        <w:tc>
          <w:tcPr>
            <w:tcW w:w="1448" w:type="dxa"/>
            <w:tcBorders>
              <w:top w:val="single" w:sz="4" w:space="0" w:color="000000"/>
              <w:left w:val="single" w:sz="4" w:space="0" w:color="000000"/>
              <w:bottom w:val="single" w:sz="4" w:space="0" w:color="000000"/>
              <w:right w:val="single" w:sz="4" w:space="0" w:color="000000"/>
            </w:tcBorders>
          </w:tcPr>
          <w:p w14:paraId="2185B95B"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132,921</w:t>
            </w:r>
          </w:p>
        </w:tc>
        <w:tc>
          <w:tcPr>
            <w:tcW w:w="1410" w:type="dxa"/>
            <w:tcBorders>
              <w:top w:val="single" w:sz="4" w:space="0" w:color="000000"/>
              <w:left w:val="single" w:sz="4" w:space="0" w:color="000000"/>
              <w:bottom w:val="single" w:sz="4" w:space="0" w:color="000000"/>
              <w:right w:val="single" w:sz="4" w:space="0" w:color="000000"/>
            </w:tcBorders>
          </w:tcPr>
          <w:p w14:paraId="22249E45" w14:textId="77777777" w:rsidR="007372B6" w:rsidRDefault="00000000">
            <w:pPr>
              <w:widowControl w:val="0"/>
              <w:rPr>
                <w:rFonts w:ascii="Arial Narrow" w:hAnsi="Arial Narrow" w:cs="Arial Narrow"/>
                <w:bCs/>
                <w:i/>
                <w:iCs/>
                <w:color w:val="000000"/>
                <w:sz w:val="20"/>
                <w:szCs w:val="20"/>
              </w:rPr>
            </w:pPr>
            <w:r>
              <w:rPr>
                <w:rFonts w:ascii="Arial Narrow" w:hAnsi="Arial Narrow" w:cs="Arial Narrow"/>
                <w:bCs/>
                <w:i/>
                <w:iCs/>
                <w:color w:val="000000"/>
                <w:sz w:val="20"/>
                <w:szCs w:val="20"/>
              </w:rPr>
              <w:t>(</w:t>
            </w:r>
            <w:proofErr w:type="gramStart"/>
            <w:r>
              <w:rPr>
                <w:rFonts w:ascii="Arial Narrow" w:hAnsi="Arial Narrow" w:cs="Arial Narrow"/>
                <w:bCs/>
                <w:i/>
                <w:iCs/>
                <w:color w:val="000000"/>
                <w:sz w:val="20"/>
                <w:szCs w:val="20"/>
              </w:rPr>
              <w:t>not</w:t>
            </w:r>
            <w:proofErr w:type="gramEnd"/>
            <w:r>
              <w:rPr>
                <w:rFonts w:ascii="Arial Narrow" w:hAnsi="Arial Narrow" w:cs="Arial Narrow"/>
                <w:bCs/>
                <w:i/>
                <w:iCs/>
                <w:color w:val="000000"/>
                <w:sz w:val="20"/>
                <w:szCs w:val="20"/>
              </w:rPr>
              <w:t xml:space="preserve"> set or not applicable)</w:t>
            </w:r>
          </w:p>
        </w:tc>
        <w:tc>
          <w:tcPr>
            <w:tcW w:w="1410" w:type="dxa"/>
            <w:tcBorders>
              <w:top w:val="single" w:sz="4" w:space="0" w:color="000000"/>
              <w:left w:val="single" w:sz="4" w:space="0" w:color="000000"/>
              <w:bottom w:val="single" w:sz="4" w:space="0" w:color="000000"/>
              <w:right w:val="single" w:sz="4" w:space="0" w:color="000000"/>
            </w:tcBorders>
          </w:tcPr>
          <w:p w14:paraId="71D8781B"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0</w:t>
            </w:r>
          </w:p>
        </w:tc>
      </w:tr>
      <w:tr w:rsidR="007372B6" w14:paraId="332D3DBA" w14:textId="77777777">
        <w:tc>
          <w:tcPr>
            <w:tcW w:w="1394" w:type="dxa"/>
            <w:tcBorders>
              <w:top w:val="single" w:sz="4" w:space="0" w:color="000000"/>
              <w:left w:val="single" w:sz="4" w:space="0" w:color="000000"/>
              <w:bottom w:val="single" w:sz="4" w:space="0" w:color="000000"/>
              <w:right w:val="single" w:sz="4" w:space="0" w:color="000000"/>
            </w:tcBorders>
          </w:tcPr>
          <w:p w14:paraId="3458500B"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Others</w:t>
            </w:r>
          </w:p>
        </w:tc>
        <w:tc>
          <w:tcPr>
            <w:tcW w:w="2046" w:type="dxa"/>
            <w:tcBorders>
              <w:top w:val="single" w:sz="4" w:space="0" w:color="000000"/>
              <w:left w:val="single" w:sz="4" w:space="0" w:color="000000"/>
              <w:bottom w:val="single" w:sz="4" w:space="0" w:color="000000"/>
              <w:right w:val="single" w:sz="4" w:space="0" w:color="000000"/>
            </w:tcBorders>
          </w:tcPr>
          <w:p w14:paraId="3B038AAA"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 xml:space="preserve">Nature Fiji </w:t>
            </w:r>
            <w:proofErr w:type="spellStart"/>
            <w:r>
              <w:rPr>
                <w:rFonts w:ascii="Arial Narrow" w:hAnsi="Arial Narrow" w:cs="Arial Narrow"/>
                <w:bCs/>
                <w:color w:val="000000"/>
                <w:sz w:val="20"/>
                <w:szCs w:val="20"/>
              </w:rPr>
              <w:t>Mareqeti</w:t>
            </w:r>
            <w:proofErr w:type="spellEnd"/>
            <w:r>
              <w:rPr>
                <w:rFonts w:ascii="Arial Narrow" w:hAnsi="Arial Narrow" w:cs="Arial Narrow"/>
                <w:bCs/>
                <w:color w:val="000000"/>
                <w:sz w:val="20"/>
                <w:szCs w:val="20"/>
              </w:rPr>
              <w:t xml:space="preserve"> Viti</w:t>
            </w:r>
          </w:p>
        </w:tc>
        <w:tc>
          <w:tcPr>
            <w:tcW w:w="1336" w:type="dxa"/>
            <w:tcBorders>
              <w:top w:val="single" w:sz="4" w:space="0" w:color="000000"/>
              <w:left w:val="single" w:sz="4" w:space="0" w:color="000000"/>
              <w:bottom w:val="single" w:sz="4" w:space="0" w:color="000000"/>
              <w:right w:val="single" w:sz="4" w:space="0" w:color="000000"/>
            </w:tcBorders>
          </w:tcPr>
          <w:p w14:paraId="11EB7F57"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 Kind</w:t>
            </w:r>
          </w:p>
        </w:tc>
        <w:tc>
          <w:tcPr>
            <w:tcW w:w="1448" w:type="dxa"/>
            <w:tcBorders>
              <w:top w:val="single" w:sz="4" w:space="0" w:color="000000"/>
              <w:left w:val="single" w:sz="4" w:space="0" w:color="000000"/>
              <w:bottom w:val="single" w:sz="4" w:space="0" w:color="000000"/>
              <w:right w:val="single" w:sz="4" w:space="0" w:color="000000"/>
            </w:tcBorders>
          </w:tcPr>
          <w:p w14:paraId="1280EF72"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215,421</w:t>
            </w:r>
          </w:p>
        </w:tc>
        <w:tc>
          <w:tcPr>
            <w:tcW w:w="1410" w:type="dxa"/>
            <w:tcBorders>
              <w:top w:val="single" w:sz="4" w:space="0" w:color="000000"/>
              <w:left w:val="single" w:sz="4" w:space="0" w:color="000000"/>
              <w:bottom w:val="single" w:sz="4" w:space="0" w:color="000000"/>
              <w:right w:val="single" w:sz="4" w:space="0" w:color="000000"/>
            </w:tcBorders>
          </w:tcPr>
          <w:p w14:paraId="776E9CC9" w14:textId="77777777" w:rsidR="007372B6" w:rsidRDefault="00000000">
            <w:pPr>
              <w:widowControl w:val="0"/>
              <w:rPr>
                <w:rFonts w:ascii="Arial Narrow" w:hAnsi="Arial Narrow" w:cs="Arial Narrow"/>
                <w:bCs/>
                <w:i/>
                <w:iCs/>
                <w:color w:val="000000"/>
                <w:sz w:val="20"/>
                <w:szCs w:val="20"/>
              </w:rPr>
            </w:pPr>
            <w:r>
              <w:rPr>
                <w:rFonts w:ascii="Arial Narrow" w:hAnsi="Arial Narrow" w:cs="Arial Narrow"/>
                <w:bCs/>
                <w:i/>
                <w:iCs/>
                <w:color w:val="000000"/>
                <w:sz w:val="20"/>
                <w:szCs w:val="20"/>
              </w:rPr>
              <w:t>(</w:t>
            </w:r>
            <w:proofErr w:type="gramStart"/>
            <w:r>
              <w:rPr>
                <w:rFonts w:ascii="Arial Narrow" w:hAnsi="Arial Narrow" w:cs="Arial Narrow"/>
                <w:bCs/>
                <w:i/>
                <w:iCs/>
                <w:color w:val="000000"/>
                <w:sz w:val="20"/>
                <w:szCs w:val="20"/>
              </w:rPr>
              <w:t>not</w:t>
            </w:r>
            <w:proofErr w:type="gramEnd"/>
            <w:r>
              <w:rPr>
                <w:rFonts w:ascii="Arial Narrow" w:hAnsi="Arial Narrow" w:cs="Arial Narrow"/>
                <w:bCs/>
                <w:i/>
                <w:iCs/>
                <w:color w:val="000000"/>
                <w:sz w:val="20"/>
                <w:szCs w:val="20"/>
              </w:rPr>
              <w:t xml:space="preserve"> set or not applicable)</w:t>
            </w:r>
          </w:p>
        </w:tc>
        <w:tc>
          <w:tcPr>
            <w:tcW w:w="1410" w:type="dxa"/>
            <w:tcBorders>
              <w:top w:val="single" w:sz="4" w:space="0" w:color="000000"/>
              <w:left w:val="single" w:sz="4" w:space="0" w:color="000000"/>
              <w:bottom w:val="single" w:sz="4" w:space="0" w:color="000000"/>
              <w:right w:val="single" w:sz="4" w:space="0" w:color="000000"/>
            </w:tcBorders>
          </w:tcPr>
          <w:p w14:paraId="6981C9F2"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0</w:t>
            </w:r>
          </w:p>
        </w:tc>
      </w:tr>
      <w:tr w:rsidR="007372B6" w14:paraId="402F2C72" w14:textId="77777777">
        <w:tc>
          <w:tcPr>
            <w:tcW w:w="1394" w:type="dxa"/>
            <w:tcBorders>
              <w:top w:val="single" w:sz="4" w:space="0" w:color="000000"/>
              <w:left w:val="single" w:sz="4" w:space="0" w:color="000000"/>
              <w:bottom w:val="single" w:sz="4" w:space="0" w:color="000000"/>
              <w:right w:val="single" w:sz="4" w:space="0" w:color="000000"/>
            </w:tcBorders>
          </w:tcPr>
          <w:p w14:paraId="69A5E93A"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Private Sector</w:t>
            </w:r>
          </w:p>
        </w:tc>
        <w:tc>
          <w:tcPr>
            <w:tcW w:w="2046" w:type="dxa"/>
            <w:tcBorders>
              <w:top w:val="single" w:sz="4" w:space="0" w:color="000000"/>
              <w:left w:val="single" w:sz="4" w:space="0" w:color="000000"/>
              <w:bottom w:val="single" w:sz="4" w:space="0" w:color="000000"/>
              <w:right w:val="single" w:sz="4" w:space="0" w:color="000000"/>
            </w:tcBorders>
          </w:tcPr>
          <w:p w14:paraId="1CF13C0D"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Fiji Pine Ltd</w:t>
            </w:r>
          </w:p>
        </w:tc>
        <w:tc>
          <w:tcPr>
            <w:tcW w:w="1336" w:type="dxa"/>
            <w:tcBorders>
              <w:top w:val="single" w:sz="4" w:space="0" w:color="000000"/>
              <w:left w:val="single" w:sz="4" w:space="0" w:color="000000"/>
              <w:bottom w:val="single" w:sz="4" w:space="0" w:color="000000"/>
              <w:right w:val="single" w:sz="4" w:space="0" w:color="000000"/>
            </w:tcBorders>
          </w:tcPr>
          <w:p w14:paraId="6D997A5D"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 Kind</w:t>
            </w:r>
          </w:p>
        </w:tc>
        <w:tc>
          <w:tcPr>
            <w:tcW w:w="1448" w:type="dxa"/>
            <w:tcBorders>
              <w:top w:val="single" w:sz="4" w:space="0" w:color="000000"/>
              <w:left w:val="single" w:sz="4" w:space="0" w:color="000000"/>
              <w:bottom w:val="single" w:sz="4" w:space="0" w:color="000000"/>
              <w:right w:val="single" w:sz="4" w:space="0" w:color="000000"/>
            </w:tcBorders>
          </w:tcPr>
          <w:p w14:paraId="33F8321B"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1,210,000</w:t>
            </w:r>
          </w:p>
        </w:tc>
        <w:tc>
          <w:tcPr>
            <w:tcW w:w="1410" w:type="dxa"/>
            <w:tcBorders>
              <w:top w:val="single" w:sz="4" w:space="0" w:color="000000"/>
              <w:left w:val="single" w:sz="4" w:space="0" w:color="000000"/>
              <w:bottom w:val="single" w:sz="4" w:space="0" w:color="000000"/>
              <w:right w:val="single" w:sz="4" w:space="0" w:color="000000"/>
            </w:tcBorders>
          </w:tcPr>
          <w:p w14:paraId="53A6F413" w14:textId="77777777" w:rsidR="007372B6" w:rsidRDefault="00000000">
            <w:pPr>
              <w:widowControl w:val="0"/>
              <w:rPr>
                <w:rFonts w:ascii="Arial Narrow" w:hAnsi="Arial Narrow" w:cs="Arial Narrow"/>
                <w:bCs/>
                <w:i/>
                <w:iCs/>
                <w:color w:val="000000"/>
                <w:sz w:val="20"/>
                <w:szCs w:val="20"/>
              </w:rPr>
            </w:pPr>
            <w:r>
              <w:rPr>
                <w:rFonts w:ascii="Arial Narrow" w:hAnsi="Arial Narrow" w:cs="Arial Narrow"/>
                <w:bCs/>
                <w:i/>
                <w:iCs/>
                <w:color w:val="000000"/>
                <w:sz w:val="20"/>
                <w:szCs w:val="20"/>
              </w:rPr>
              <w:t>(</w:t>
            </w:r>
            <w:proofErr w:type="gramStart"/>
            <w:r>
              <w:rPr>
                <w:rFonts w:ascii="Arial Narrow" w:hAnsi="Arial Narrow" w:cs="Arial Narrow"/>
                <w:bCs/>
                <w:i/>
                <w:iCs/>
                <w:color w:val="000000"/>
                <w:sz w:val="20"/>
                <w:szCs w:val="20"/>
              </w:rPr>
              <w:t>not</w:t>
            </w:r>
            <w:proofErr w:type="gramEnd"/>
            <w:r>
              <w:rPr>
                <w:rFonts w:ascii="Arial Narrow" w:hAnsi="Arial Narrow" w:cs="Arial Narrow"/>
                <w:bCs/>
                <w:i/>
                <w:iCs/>
                <w:color w:val="000000"/>
                <w:sz w:val="20"/>
                <w:szCs w:val="20"/>
              </w:rPr>
              <w:t xml:space="preserve"> set or not applicable)</w:t>
            </w:r>
          </w:p>
        </w:tc>
        <w:tc>
          <w:tcPr>
            <w:tcW w:w="1410" w:type="dxa"/>
            <w:tcBorders>
              <w:top w:val="single" w:sz="4" w:space="0" w:color="000000"/>
              <w:left w:val="single" w:sz="4" w:space="0" w:color="000000"/>
              <w:bottom w:val="single" w:sz="4" w:space="0" w:color="000000"/>
              <w:right w:val="single" w:sz="4" w:space="0" w:color="000000"/>
            </w:tcBorders>
          </w:tcPr>
          <w:p w14:paraId="46EE5491"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0</w:t>
            </w:r>
          </w:p>
        </w:tc>
      </w:tr>
      <w:tr w:rsidR="007372B6" w14:paraId="1494C15B" w14:textId="77777777">
        <w:tc>
          <w:tcPr>
            <w:tcW w:w="1394" w:type="dxa"/>
            <w:tcBorders>
              <w:top w:val="single" w:sz="4" w:space="0" w:color="000000"/>
              <w:left w:val="single" w:sz="4" w:space="0" w:color="000000"/>
              <w:bottom w:val="single" w:sz="4" w:space="0" w:color="000000"/>
              <w:right w:val="single" w:sz="4" w:space="0" w:color="000000"/>
            </w:tcBorders>
          </w:tcPr>
          <w:p w14:paraId="6CC8EF39"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lastRenderedPageBreak/>
              <w:t>CSO</w:t>
            </w:r>
          </w:p>
        </w:tc>
        <w:tc>
          <w:tcPr>
            <w:tcW w:w="2046" w:type="dxa"/>
            <w:tcBorders>
              <w:top w:val="single" w:sz="4" w:space="0" w:color="000000"/>
              <w:left w:val="single" w:sz="4" w:space="0" w:color="000000"/>
              <w:bottom w:val="single" w:sz="4" w:space="0" w:color="000000"/>
              <w:right w:val="single" w:sz="4" w:space="0" w:color="000000"/>
            </w:tcBorders>
          </w:tcPr>
          <w:p w14:paraId="738E476E"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Fiji Locally Managed Areas (FLMMA) Network</w:t>
            </w:r>
          </w:p>
        </w:tc>
        <w:tc>
          <w:tcPr>
            <w:tcW w:w="1336" w:type="dxa"/>
            <w:tcBorders>
              <w:top w:val="single" w:sz="4" w:space="0" w:color="000000"/>
              <w:left w:val="single" w:sz="4" w:space="0" w:color="000000"/>
              <w:bottom w:val="single" w:sz="4" w:space="0" w:color="000000"/>
              <w:right w:val="single" w:sz="4" w:space="0" w:color="000000"/>
            </w:tcBorders>
          </w:tcPr>
          <w:p w14:paraId="34572C31"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In Kind</w:t>
            </w:r>
          </w:p>
        </w:tc>
        <w:tc>
          <w:tcPr>
            <w:tcW w:w="1448" w:type="dxa"/>
            <w:tcBorders>
              <w:top w:val="single" w:sz="4" w:space="0" w:color="000000"/>
              <w:left w:val="single" w:sz="4" w:space="0" w:color="000000"/>
              <w:bottom w:val="single" w:sz="4" w:space="0" w:color="000000"/>
              <w:right w:val="single" w:sz="4" w:space="0" w:color="000000"/>
            </w:tcBorders>
          </w:tcPr>
          <w:p w14:paraId="0F471691" w14:textId="77777777" w:rsidR="007372B6" w:rsidRDefault="00000000">
            <w:pPr>
              <w:widowControl w:val="0"/>
              <w:jc w:val="right"/>
              <w:rPr>
                <w:rFonts w:ascii="Arial Narrow" w:hAnsi="Arial Narrow" w:cs="Arial Narrow"/>
                <w:bCs/>
                <w:i/>
                <w:iCs/>
                <w:color w:val="000000"/>
                <w:sz w:val="20"/>
                <w:szCs w:val="20"/>
              </w:rPr>
            </w:pPr>
            <w:r>
              <w:rPr>
                <w:rFonts w:ascii="Arial Narrow" w:hAnsi="Arial Narrow" w:cs="Arial Narrow"/>
                <w:bCs/>
                <w:i/>
                <w:iCs/>
                <w:color w:val="000000"/>
                <w:sz w:val="20"/>
                <w:szCs w:val="20"/>
              </w:rPr>
              <w:t>(</w:t>
            </w:r>
            <w:proofErr w:type="gramStart"/>
            <w:r>
              <w:rPr>
                <w:rFonts w:ascii="Arial Narrow" w:hAnsi="Arial Narrow" w:cs="Arial Narrow"/>
                <w:bCs/>
                <w:i/>
                <w:iCs/>
                <w:color w:val="000000"/>
                <w:sz w:val="20"/>
                <w:szCs w:val="20"/>
              </w:rPr>
              <w:t>not</w:t>
            </w:r>
            <w:proofErr w:type="gramEnd"/>
            <w:r>
              <w:rPr>
                <w:rFonts w:ascii="Arial Narrow" w:hAnsi="Arial Narrow" w:cs="Arial Narrow"/>
                <w:bCs/>
                <w:i/>
                <w:iCs/>
                <w:color w:val="000000"/>
                <w:sz w:val="20"/>
                <w:szCs w:val="20"/>
              </w:rPr>
              <w:t xml:space="preserve"> set or not applicable)</w:t>
            </w:r>
          </w:p>
        </w:tc>
        <w:tc>
          <w:tcPr>
            <w:tcW w:w="1410" w:type="dxa"/>
            <w:tcBorders>
              <w:top w:val="single" w:sz="4" w:space="0" w:color="000000"/>
              <w:left w:val="single" w:sz="4" w:space="0" w:color="000000"/>
              <w:bottom w:val="single" w:sz="4" w:space="0" w:color="000000"/>
              <w:right w:val="single" w:sz="4" w:space="0" w:color="000000"/>
            </w:tcBorders>
          </w:tcPr>
          <w:p w14:paraId="35396615" w14:textId="77777777" w:rsidR="007372B6" w:rsidRDefault="00000000">
            <w:pPr>
              <w:widowControl w:val="0"/>
              <w:rPr>
                <w:rFonts w:ascii="Arial Narrow" w:hAnsi="Arial Narrow" w:cs="Arial Narrow"/>
                <w:bCs/>
                <w:color w:val="000000"/>
                <w:sz w:val="20"/>
                <w:szCs w:val="20"/>
              </w:rPr>
            </w:pPr>
            <w:r>
              <w:rPr>
                <w:rFonts w:ascii="Arial Narrow" w:hAnsi="Arial Narrow" w:cs="Arial Narrow"/>
                <w:bCs/>
                <w:color w:val="000000"/>
                <w:sz w:val="20"/>
                <w:szCs w:val="20"/>
              </w:rPr>
              <w:t>Recurrent expenditures</w:t>
            </w:r>
          </w:p>
        </w:tc>
        <w:tc>
          <w:tcPr>
            <w:tcW w:w="1410" w:type="dxa"/>
            <w:tcBorders>
              <w:top w:val="single" w:sz="4" w:space="0" w:color="000000"/>
              <w:left w:val="single" w:sz="4" w:space="0" w:color="000000"/>
              <w:bottom w:val="single" w:sz="4" w:space="0" w:color="000000"/>
              <w:right w:val="single" w:sz="4" w:space="0" w:color="000000"/>
            </w:tcBorders>
          </w:tcPr>
          <w:p w14:paraId="760E1050" w14:textId="77777777" w:rsidR="007372B6" w:rsidRDefault="00000000">
            <w:pPr>
              <w:widowControl w:val="0"/>
              <w:jc w:val="right"/>
              <w:rPr>
                <w:rFonts w:ascii="Arial Narrow" w:hAnsi="Arial Narrow" w:cs="Arial Narrow"/>
                <w:bCs/>
                <w:color w:val="000000"/>
                <w:sz w:val="20"/>
                <w:szCs w:val="20"/>
              </w:rPr>
            </w:pPr>
            <w:r>
              <w:rPr>
                <w:rFonts w:ascii="Arial Narrow" w:hAnsi="Arial Narrow" w:cs="Arial Narrow"/>
                <w:bCs/>
                <w:color w:val="000000"/>
                <w:sz w:val="20"/>
                <w:szCs w:val="20"/>
              </w:rPr>
              <w:t>0</w:t>
            </w:r>
          </w:p>
        </w:tc>
      </w:tr>
      <w:tr w:rsidR="007372B6" w14:paraId="5CC09936" w14:textId="77777777">
        <w:tc>
          <w:tcPr>
            <w:tcW w:w="1394" w:type="dxa"/>
            <w:tcBorders>
              <w:top w:val="single" w:sz="4" w:space="0" w:color="000000"/>
              <w:left w:val="single" w:sz="4" w:space="0" w:color="000000"/>
              <w:bottom w:val="single" w:sz="4" w:space="0" w:color="000000"/>
              <w:right w:val="single" w:sz="4" w:space="0" w:color="000000"/>
            </w:tcBorders>
          </w:tcPr>
          <w:p w14:paraId="29CA6FF1" w14:textId="77777777" w:rsidR="007372B6" w:rsidRDefault="00000000">
            <w:pPr>
              <w:widowControl w:val="0"/>
              <w:rPr>
                <w:rFonts w:ascii="Arial Narrow" w:hAnsi="Arial Narrow" w:cs="Arial Narrow"/>
                <w:b/>
                <w:bCs/>
                <w:color w:val="000000"/>
                <w:sz w:val="20"/>
                <w:szCs w:val="20"/>
              </w:rPr>
            </w:pPr>
            <w:r>
              <w:rPr>
                <w:rFonts w:ascii="Arial Narrow" w:hAnsi="Arial Narrow" w:cs="Arial Narrow"/>
                <w:b/>
                <w:bCs/>
                <w:color w:val="000000"/>
                <w:sz w:val="20"/>
                <w:szCs w:val="20"/>
              </w:rPr>
              <w:t>Totals</w:t>
            </w:r>
          </w:p>
        </w:tc>
        <w:tc>
          <w:tcPr>
            <w:tcW w:w="2046" w:type="dxa"/>
            <w:tcBorders>
              <w:top w:val="single" w:sz="4" w:space="0" w:color="000000"/>
              <w:left w:val="single" w:sz="4" w:space="0" w:color="000000"/>
              <w:bottom w:val="single" w:sz="4" w:space="0" w:color="000000"/>
              <w:right w:val="single" w:sz="4" w:space="0" w:color="000000"/>
            </w:tcBorders>
          </w:tcPr>
          <w:p w14:paraId="563526A6" w14:textId="77777777" w:rsidR="007372B6" w:rsidRDefault="007372B6">
            <w:pPr>
              <w:widowControl w:val="0"/>
              <w:snapToGrid w:val="0"/>
              <w:rPr>
                <w:rFonts w:ascii="Arial Narrow" w:hAnsi="Arial Narrow" w:cs="Arial Narrow"/>
                <w:bCs/>
                <w:color w:val="000000"/>
                <w:sz w:val="20"/>
                <w:szCs w:val="20"/>
              </w:rPr>
            </w:pPr>
          </w:p>
        </w:tc>
        <w:tc>
          <w:tcPr>
            <w:tcW w:w="1336" w:type="dxa"/>
            <w:tcBorders>
              <w:top w:val="single" w:sz="4" w:space="0" w:color="000000"/>
              <w:left w:val="single" w:sz="4" w:space="0" w:color="000000"/>
              <w:bottom w:val="single" w:sz="4" w:space="0" w:color="000000"/>
              <w:right w:val="single" w:sz="4" w:space="0" w:color="000000"/>
            </w:tcBorders>
          </w:tcPr>
          <w:p w14:paraId="50188DB0" w14:textId="77777777" w:rsidR="007372B6" w:rsidRDefault="007372B6">
            <w:pPr>
              <w:widowControl w:val="0"/>
              <w:snapToGrid w:val="0"/>
              <w:rPr>
                <w:rFonts w:ascii="Arial Narrow" w:hAnsi="Arial Narrow" w:cs="Arial Narrow"/>
                <w:bCs/>
                <w:color w:val="000000"/>
                <w:sz w:val="20"/>
                <w:szCs w:val="20"/>
              </w:rPr>
            </w:pPr>
          </w:p>
        </w:tc>
        <w:tc>
          <w:tcPr>
            <w:tcW w:w="1448" w:type="dxa"/>
            <w:tcBorders>
              <w:top w:val="single" w:sz="4" w:space="0" w:color="000000"/>
              <w:left w:val="single" w:sz="4" w:space="0" w:color="000000"/>
              <w:bottom w:val="single" w:sz="4" w:space="0" w:color="000000"/>
              <w:right w:val="single" w:sz="4" w:space="0" w:color="000000"/>
            </w:tcBorders>
          </w:tcPr>
          <w:p w14:paraId="59007B8B" w14:textId="77777777" w:rsidR="007372B6" w:rsidRDefault="00000000">
            <w:pPr>
              <w:widowControl w:val="0"/>
              <w:jc w:val="right"/>
              <w:rPr>
                <w:rFonts w:ascii="Arial Narrow" w:hAnsi="Arial Narrow" w:cs="Arial Narrow"/>
                <w:b/>
                <w:bCs/>
                <w:color w:val="000000"/>
                <w:sz w:val="20"/>
                <w:szCs w:val="20"/>
              </w:rPr>
            </w:pPr>
            <w:r>
              <w:rPr>
                <w:rFonts w:ascii="Arial Narrow" w:hAnsi="Arial Narrow" w:cs="Arial Narrow"/>
                <w:b/>
                <w:bCs/>
                <w:color w:val="000000"/>
                <w:sz w:val="20"/>
                <w:szCs w:val="20"/>
              </w:rPr>
              <w:t>30,242,012</w:t>
            </w:r>
          </w:p>
        </w:tc>
        <w:tc>
          <w:tcPr>
            <w:tcW w:w="1410" w:type="dxa"/>
            <w:tcBorders>
              <w:top w:val="single" w:sz="4" w:space="0" w:color="000000"/>
              <w:left w:val="single" w:sz="4" w:space="0" w:color="000000"/>
              <w:bottom w:val="single" w:sz="4" w:space="0" w:color="000000"/>
              <w:right w:val="single" w:sz="4" w:space="0" w:color="000000"/>
            </w:tcBorders>
          </w:tcPr>
          <w:p w14:paraId="02905ED6" w14:textId="77777777" w:rsidR="007372B6" w:rsidRDefault="007372B6">
            <w:pPr>
              <w:widowControl w:val="0"/>
              <w:snapToGrid w:val="0"/>
              <w:rPr>
                <w:rFonts w:ascii="Arial Narrow" w:hAnsi="Arial Narrow" w:cs="Arial Narrow"/>
                <w:bCs/>
                <w:color w:val="000000"/>
                <w:sz w:val="20"/>
                <w:szCs w:val="20"/>
              </w:rPr>
            </w:pPr>
          </w:p>
        </w:tc>
        <w:tc>
          <w:tcPr>
            <w:tcW w:w="1410" w:type="dxa"/>
            <w:tcBorders>
              <w:top w:val="single" w:sz="4" w:space="0" w:color="000000"/>
              <w:left w:val="single" w:sz="4" w:space="0" w:color="000000"/>
              <w:bottom w:val="single" w:sz="4" w:space="0" w:color="000000"/>
              <w:right w:val="single" w:sz="4" w:space="0" w:color="000000"/>
            </w:tcBorders>
          </w:tcPr>
          <w:p w14:paraId="7792FB53" w14:textId="77777777" w:rsidR="007372B6" w:rsidRDefault="00000000">
            <w:pPr>
              <w:widowControl w:val="0"/>
              <w:jc w:val="right"/>
              <w:rPr>
                <w:rFonts w:ascii="Arial Narrow" w:hAnsi="Arial Narrow" w:cs="Arial Narrow"/>
                <w:b/>
                <w:bCs/>
                <w:color w:val="000000"/>
                <w:sz w:val="20"/>
                <w:szCs w:val="20"/>
              </w:rPr>
            </w:pPr>
            <w:r>
              <w:rPr>
                <w:rFonts w:ascii="Arial Narrow" w:hAnsi="Arial Narrow" w:cs="Arial Narrow"/>
                <w:b/>
                <w:bCs/>
                <w:color w:val="000000"/>
                <w:sz w:val="20"/>
                <w:szCs w:val="20"/>
              </w:rPr>
              <w:t>364,723</w:t>
            </w:r>
          </w:p>
        </w:tc>
      </w:tr>
    </w:tbl>
    <w:p w14:paraId="63C29956" w14:textId="77777777" w:rsidR="007372B6" w:rsidRDefault="00000000">
      <w:pPr>
        <w:tabs>
          <w:tab w:val="left" w:pos="1620"/>
        </w:tabs>
        <w:spacing w:before="57"/>
        <w:contextualSpacing/>
        <w:jc w:val="both"/>
        <w:rPr>
          <w:sz w:val="20"/>
          <w:szCs w:val="20"/>
        </w:rPr>
      </w:pPr>
      <w:r>
        <w:rPr>
          <w:rFonts w:ascii="Calibri" w:hAnsi="Calibri" w:cs="Calibri"/>
          <w:i/>
          <w:iCs/>
          <w:color w:val="000000"/>
          <w:w w:val="105"/>
          <w:kern w:val="2"/>
          <w:sz w:val="20"/>
          <w:szCs w:val="20"/>
          <w:shd w:val="clear" w:color="auto" w:fill="FFFFFF"/>
          <w:lang w:bidi="hi-IN"/>
        </w:rPr>
        <w:t>Source: PIR 2022</w:t>
      </w:r>
    </w:p>
    <w:p w14:paraId="3B816796" w14:textId="77777777" w:rsidR="007372B6" w:rsidRDefault="007372B6">
      <w:pPr>
        <w:pStyle w:val="ListParagraph"/>
        <w:tabs>
          <w:tab w:val="left" w:pos="567"/>
          <w:tab w:val="left" w:pos="1620"/>
        </w:tabs>
        <w:ind w:left="1854"/>
        <w:rPr>
          <w:rFonts w:asciiTheme="minorHAnsi" w:hAnsiTheme="minorHAnsi" w:cstheme="minorHAnsi"/>
          <w:color w:val="000000"/>
          <w:sz w:val="22"/>
          <w:szCs w:val="22"/>
        </w:rPr>
      </w:pPr>
    </w:p>
    <w:p w14:paraId="6E6FBC2F" w14:textId="77777777" w:rsidR="007372B6" w:rsidRDefault="00000000">
      <w:pPr>
        <w:pStyle w:val="ListParagraph"/>
        <w:tabs>
          <w:tab w:val="left" w:pos="567"/>
          <w:tab w:val="left" w:pos="1620"/>
        </w:tabs>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4.2.4</w:t>
      </w:r>
      <w:r>
        <w:rPr>
          <w:rFonts w:asciiTheme="minorHAnsi" w:eastAsia="Open Sans" w:hAnsiTheme="minorHAnsi" w:cstheme="minorHAnsi"/>
          <w:b/>
          <w:bCs/>
          <w:color w:val="000000"/>
          <w:sz w:val="22"/>
          <w:szCs w:val="22"/>
        </w:rPr>
        <w:tab/>
        <w:t>Monitoring &amp; Evaluation: design at entry, implementation, and assessment of M&amp;E</w:t>
      </w:r>
    </w:p>
    <w:p w14:paraId="4F9336FB" w14:textId="77777777" w:rsidR="007372B6" w:rsidRDefault="007372B6">
      <w:pPr>
        <w:tabs>
          <w:tab w:val="left" w:pos="1620"/>
        </w:tabs>
        <w:spacing w:line="312" w:lineRule="auto"/>
        <w:jc w:val="both"/>
        <w:rPr>
          <w:rFonts w:ascii="Calibri" w:eastAsia="Open Sans" w:hAnsi="Calibri" w:cs="Calibri"/>
          <w:sz w:val="22"/>
          <w:szCs w:val="22"/>
        </w:rPr>
      </w:pPr>
    </w:p>
    <w:p w14:paraId="5DB12834" w14:textId="77777777" w:rsidR="007372B6" w:rsidRDefault="00000000">
      <w:pPr>
        <w:tabs>
          <w:tab w:val="left" w:pos="567"/>
          <w:tab w:val="left" w:pos="1620"/>
        </w:tabs>
        <w:spacing w:line="312" w:lineRule="auto"/>
        <w:jc w:val="both"/>
        <w:rPr>
          <w:rFonts w:asciiTheme="minorHAnsi" w:hAnsiTheme="minorHAnsi" w:cstheme="minorHAnsi"/>
          <w:sz w:val="20"/>
          <w:szCs w:val="20"/>
        </w:rPr>
      </w:pPr>
      <w:r>
        <w:rPr>
          <w:rFonts w:asciiTheme="minorHAnsi" w:hAnsiTheme="minorHAnsi" w:cstheme="minorHAnsi"/>
          <w:color w:val="000000"/>
          <w:sz w:val="22"/>
          <w:szCs w:val="22"/>
        </w:rPr>
        <w:t xml:space="preserve">19. </w:t>
      </w:r>
      <w:r>
        <w:rPr>
          <w:rFonts w:asciiTheme="minorHAnsi" w:hAnsiTheme="minorHAnsi" w:cstheme="minorHAnsi"/>
          <w:b/>
          <w:bCs/>
          <w:i/>
          <w:iCs/>
          <w:color w:val="000000"/>
          <w:sz w:val="22"/>
          <w:szCs w:val="22"/>
        </w:rPr>
        <w:t>Design at Entry</w:t>
      </w:r>
      <w:r>
        <w:rPr>
          <w:rFonts w:asciiTheme="minorHAnsi" w:hAnsiTheme="minorHAnsi" w:cstheme="minorHAnsi"/>
          <w:color w:val="000000"/>
          <w:sz w:val="22"/>
          <w:szCs w:val="22"/>
        </w:rPr>
        <w:t xml:space="preserve">: The Project Document and Results Framework (Annex 2) provided mostly qualitative indicators of the objective and outcomes achievements. There was no formal monitoring plan other than a general commitment to M&amp;E in the Project Document. Some of the indicators were not reliable measures of expected results. For example, the overall achievement of the Objective of the project was to be measured by “Fiji R2R Project Work plan being implemented on time and budget”, whereas a proper </w:t>
      </w:r>
      <w:proofErr w:type="gramStart"/>
      <w:r>
        <w:rPr>
          <w:rFonts w:asciiTheme="minorHAnsi" w:hAnsiTheme="minorHAnsi" w:cstheme="minorHAnsi"/>
          <w:color w:val="000000"/>
          <w:sz w:val="22"/>
          <w:szCs w:val="22"/>
        </w:rPr>
        <w:t>high level</w:t>
      </w:r>
      <w:proofErr w:type="gramEnd"/>
      <w:r>
        <w:rPr>
          <w:rFonts w:asciiTheme="minorHAnsi" w:hAnsiTheme="minorHAnsi" w:cstheme="minorHAnsi"/>
          <w:color w:val="000000"/>
          <w:sz w:val="22"/>
          <w:szCs w:val="22"/>
        </w:rPr>
        <w:t xml:space="preserve"> indicator might reflect trends in environmental degradation slowing, or environmental quality measures increasing (such as improved water quality, reduced flooding, etc.). The lack of systematic monitoring processes negated the relevance and use of the indicators. For example, under Outcome 1, it has been impossible to find information on the basic indicator: “</w:t>
      </w:r>
      <w:r>
        <w:rPr>
          <w:rFonts w:asciiTheme="minorHAnsi" w:hAnsiTheme="minorHAnsi" w:cstheme="minorHAnsi"/>
          <w:bCs/>
          <w:color w:val="000000"/>
          <w:sz w:val="22"/>
          <w:szCs w:val="22"/>
        </w:rPr>
        <w:t xml:space="preserve">Status of protected areas (terrestrial and marine) in terms of biodiversity conserved, size and number in the six catchments and their connected marine habitats”.  </w:t>
      </w:r>
    </w:p>
    <w:p w14:paraId="706037BE" w14:textId="77777777" w:rsidR="007372B6" w:rsidRDefault="007372B6">
      <w:pPr>
        <w:tabs>
          <w:tab w:val="left" w:pos="567"/>
          <w:tab w:val="left" w:pos="1620"/>
        </w:tabs>
        <w:spacing w:line="312" w:lineRule="auto"/>
        <w:rPr>
          <w:rFonts w:asciiTheme="minorHAnsi" w:hAnsiTheme="minorHAnsi" w:cstheme="minorHAnsi"/>
          <w:color w:val="000000"/>
          <w:sz w:val="22"/>
          <w:szCs w:val="22"/>
        </w:rPr>
      </w:pPr>
    </w:p>
    <w:p w14:paraId="36476098" w14:textId="77777777" w:rsidR="007372B6" w:rsidRDefault="00000000">
      <w:pPr>
        <w:pStyle w:val="BodyText"/>
        <w:tabs>
          <w:tab w:val="left" w:pos="567"/>
          <w:tab w:val="left" w:pos="1620"/>
        </w:tabs>
        <w:spacing w:after="0" w:line="312" w:lineRule="auto"/>
        <w:contextualSpacing/>
        <w:jc w:val="both"/>
        <w:rPr>
          <w:rFonts w:asciiTheme="minorHAnsi" w:hAnsiTheme="minorHAnsi" w:cstheme="minorHAnsi"/>
          <w:color w:val="FF0000"/>
          <w:sz w:val="22"/>
        </w:rPr>
      </w:pPr>
      <w:r>
        <w:rPr>
          <w:rFonts w:asciiTheme="minorHAnsi" w:hAnsiTheme="minorHAnsi" w:cstheme="minorHAnsi"/>
          <w:color w:val="000000"/>
          <w:sz w:val="22"/>
          <w:szCs w:val="22"/>
        </w:rPr>
        <w:t xml:space="preserve">20. </w:t>
      </w:r>
      <w:r>
        <w:rPr>
          <w:rFonts w:asciiTheme="minorHAnsi" w:hAnsiTheme="minorHAnsi" w:cstheme="minorHAnsi"/>
          <w:b/>
          <w:bCs/>
          <w:i/>
          <w:iCs/>
          <w:color w:val="000000"/>
          <w:sz w:val="22"/>
          <w:szCs w:val="22"/>
        </w:rPr>
        <w:t>Monitoring implementation</w:t>
      </w:r>
      <w:r>
        <w:rPr>
          <w:rFonts w:asciiTheme="minorHAnsi" w:hAnsiTheme="minorHAnsi" w:cstheme="minorHAnsi"/>
          <w:color w:val="000000"/>
          <w:sz w:val="22"/>
          <w:szCs w:val="22"/>
        </w:rPr>
        <w:t>: The monitoring data was reported in annual reports and focused on activities completed. No GEF tracking tool data were generated to compare to baseline conditions, and no consistent data were available to the TE team on the quantity and quality of reforestation work. Also, the R2R Project Management team failed to appreciate the importance of managing the monitoring activities in the catchments, and did not delegate this task effectively to the IPs through the members of the PSC or UNDP.</w:t>
      </w:r>
      <w:r>
        <w:rPr>
          <w:rFonts w:asciiTheme="minorHAnsi" w:hAnsiTheme="minorHAnsi" w:cstheme="minorHAnsi"/>
          <w:color w:val="FF0000"/>
          <w:sz w:val="22"/>
        </w:rPr>
        <w:t xml:space="preserve"> </w:t>
      </w:r>
    </w:p>
    <w:p w14:paraId="6B5188B3" w14:textId="77777777" w:rsidR="007372B6" w:rsidRDefault="007372B6">
      <w:pPr>
        <w:pStyle w:val="BodyText"/>
        <w:tabs>
          <w:tab w:val="left" w:pos="567"/>
          <w:tab w:val="left" w:pos="1620"/>
        </w:tabs>
        <w:spacing w:after="0" w:line="312" w:lineRule="auto"/>
        <w:contextualSpacing/>
        <w:jc w:val="both"/>
        <w:rPr>
          <w:rFonts w:asciiTheme="minorHAnsi" w:hAnsiTheme="minorHAnsi" w:cstheme="minorHAnsi"/>
          <w:color w:val="FF0000"/>
          <w:sz w:val="22"/>
        </w:rPr>
      </w:pPr>
    </w:p>
    <w:p w14:paraId="31F620EE" w14:textId="77777777" w:rsidR="007372B6" w:rsidRDefault="00000000">
      <w:pPr>
        <w:pStyle w:val="BodyText"/>
        <w:tabs>
          <w:tab w:val="left" w:pos="567"/>
          <w:tab w:val="left" w:pos="1620"/>
        </w:tabs>
        <w:spacing w:after="0" w:line="312" w:lineRule="auto"/>
        <w:contextualSpacing/>
        <w:jc w:val="both"/>
        <w:rPr>
          <w:rFonts w:asciiTheme="minorHAnsi" w:hAnsiTheme="minorHAnsi" w:cstheme="minorHAnsi"/>
          <w:color w:val="FF0000"/>
          <w:sz w:val="22"/>
        </w:rPr>
      </w:pPr>
      <w:r>
        <w:rPr>
          <w:rFonts w:asciiTheme="minorHAnsi" w:hAnsiTheme="minorHAnsi" w:cstheme="minorHAnsi"/>
          <w:color w:val="000000"/>
          <w:sz w:val="22"/>
          <w:szCs w:val="22"/>
        </w:rPr>
        <w:t>21. In the absence of a monitoring plan and database, the TE team compiled some of the missing data (see Annexes 3 and 4) based on discussions with government officials and project stakeholders. The existence of data gaps made it difficult to measure progress and actual results.</w:t>
      </w:r>
      <w:r>
        <w:rPr>
          <w:rFonts w:asciiTheme="minorHAnsi" w:hAnsiTheme="minorHAnsi" w:cstheme="minorHAnsi"/>
          <w:bCs/>
          <w:sz w:val="20"/>
          <w:szCs w:val="20"/>
        </w:rPr>
        <w:t xml:space="preserve"> </w:t>
      </w:r>
      <w:r>
        <w:rPr>
          <w:rFonts w:asciiTheme="minorHAnsi" w:hAnsiTheme="minorHAnsi" w:cstheme="minorHAnsi"/>
          <w:bCs/>
          <w:sz w:val="22"/>
          <w:szCs w:val="22"/>
        </w:rPr>
        <w:t xml:space="preserve">The Project Document indicated that </w:t>
      </w:r>
      <w:r>
        <w:rPr>
          <w:rFonts w:asciiTheme="minorHAnsi" w:hAnsiTheme="minorHAnsi" w:cstheme="minorHAnsi"/>
          <w:sz w:val="22"/>
          <w:szCs w:val="22"/>
          <w:lang w:val="en-GB"/>
        </w:rPr>
        <w:t>a Project Terminal Report would be prepared in the last four months summarizing results achieved, lessons learned, problems met and areas where results may not have been achieved.</w:t>
      </w:r>
      <w:r>
        <w:rPr>
          <w:rStyle w:val="FootnoteAnchor"/>
          <w:rFonts w:asciiTheme="minorHAnsi" w:hAnsiTheme="minorHAnsi" w:cstheme="minorHAnsi"/>
          <w:sz w:val="22"/>
          <w:szCs w:val="22"/>
          <w:lang w:val="en-GB"/>
        </w:rPr>
        <w:footnoteReference w:id="30"/>
      </w:r>
      <w:r>
        <w:rPr>
          <w:rFonts w:asciiTheme="minorHAnsi" w:hAnsiTheme="minorHAnsi" w:cstheme="minorHAnsi"/>
          <w:sz w:val="22"/>
          <w:szCs w:val="22"/>
          <w:lang w:val="en-GB"/>
        </w:rPr>
        <w:t xml:space="preserve"> However, no Project Terminal Report had been prepared by the time of the TE.</w:t>
      </w:r>
    </w:p>
    <w:p w14:paraId="4A5A2580" w14:textId="77777777" w:rsidR="007372B6" w:rsidRDefault="007372B6">
      <w:pPr>
        <w:tabs>
          <w:tab w:val="left" w:pos="567"/>
          <w:tab w:val="left" w:pos="1620"/>
        </w:tabs>
        <w:spacing w:line="312" w:lineRule="auto"/>
        <w:jc w:val="both"/>
        <w:rPr>
          <w:rFonts w:asciiTheme="minorHAnsi" w:hAnsiTheme="minorHAnsi" w:cstheme="minorHAnsi"/>
          <w:color w:val="000000"/>
          <w:sz w:val="22"/>
          <w:szCs w:val="22"/>
        </w:rPr>
      </w:pPr>
    </w:p>
    <w:p w14:paraId="7F5D6D92" w14:textId="77777777" w:rsidR="007372B6" w:rsidRDefault="00000000">
      <w:pPr>
        <w:tabs>
          <w:tab w:val="left" w:pos="567"/>
          <w:tab w:val="left" w:pos="1620"/>
        </w:tabs>
        <w:spacing w:line="312" w:lineRule="auto"/>
        <w:jc w:val="both"/>
        <w:rPr>
          <w:rFonts w:ascii="Helvetica" w:hAnsi="Helvetica"/>
          <w:color w:val="000000"/>
          <w:sz w:val="15"/>
        </w:rPr>
      </w:pPr>
      <w:r>
        <w:rPr>
          <w:rFonts w:asciiTheme="minorHAnsi" w:eastAsia="Open Sans" w:hAnsiTheme="minorHAnsi" w:cstheme="minorHAnsi"/>
          <w:color w:val="000000"/>
          <w:sz w:val="22"/>
          <w:szCs w:val="22"/>
        </w:rPr>
        <w:t xml:space="preserve">22. </w:t>
      </w:r>
      <w:r>
        <w:rPr>
          <w:rFonts w:ascii="Calibri" w:eastAsia="Open Sans" w:hAnsi="Calibri" w:cstheme="minorHAnsi"/>
          <w:b/>
          <w:bCs/>
          <w:i/>
          <w:iCs/>
          <w:color w:val="000000"/>
          <w:sz w:val="22"/>
          <w:szCs w:val="22"/>
        </w:rPr>
        <w:t>Overall assessment</w:t>
      </w:r>
      <w:r>
        <w:rPr>
          <w:rFonts w:ascii="Calibri" w:eastAsia="Open Sans" w:hAnsi="Calibri" w:cstheme="minorHAnsi"/>
          <w:color w:val="000000"/>
          <w:sz w:val="22"/>
          <w:szCs w:val="22"/>
        </w:rPr>
        <w:t>: In the absence of a monitoring plan and without reliable information on indicators or details on the status of activities, it is difficult to make an overall assessment. There are some data on areas under new PAs and reforestation areas but it is simply not possible to know if environmental end conditions remain in decline, are staying the same, or are improving. Nor is it possible to determine if the integrated policy outcomes are making any progress.</w:t>
      </w:r>
    </w:p>
    <w:p w14:paraId="3E418495" w14:textId="77777777" w:rsidR="007372B6" w:rsidRDefault="007372B6">
      <w:pPr>
        <w:tabs>
          <w:tab w:val="left" w:pos="1620"/>
        </w:tabs>
        <w:spacing w:line="312" w:lineRule="auto"/>
        <w:jc w:val="both"/>
        <w:rPr>
          <w:rFonts w:ascii="Calibri" w:eastAsia="Open Sans" w:hAnsi="Calibri" w:cs="Calibri"/>
          <w:sz w:val="22"/>
          <w:szCs w:val="22"/>
        </w:rPr>
      </w:pPr>
    </w:p>
    <w:p w14:paraId="72881C6C" w14:textId="3043E13F" w:rsidR="007372B6" w:rsidRDefault="00000000">
      <w:pPr>
        <w:tabs>
          <w:tab w:val="left" w:pos="1620"/>
        </w:tabs>
        <w:spacing w:line="312" w:lineRule="auto"/>
        <w:jc w:val="both"/>
        <w:rPr>
          <w:rFonts w:cstheme="minorHAnsi"/>
        </w:rPr>
      </w:pPr>
      <w:r>
        <w:rPr>
          <w:rFonts w:asciiTheme="minorHAnsi" w:eastAsia="Open Sans" w:hAnsiTheme="minorHAnsi" w:cstheme="minorHAnsi"/>
          <w:color w:val="000000"/>
          <w:sz w:val="22"/>
          <w:szCs w:val="22"/>
        </w:rPr>
        <w:lastRenderedPageBreak/>
        <w:t xml:space="preserve">23. </w:t>
      </w:r>
      <w:r>
        <w:rPr>
          <w:rFonts w:ascii="Calibri" w:eastAsia="Open Sans" w:hAnsi="Calibri" w:cstheme="minorHAnsi"/>
          <w:color w:val="000000"/>
          <w:sz w:val="22"/>
          <w:szCs w:val="22"/>
        </w:rPr>
        <w:t>The information reported in the annual PIRs revealed difficulties with management of the project, which as stated above begins with lack of clarity in the design: under the banner of demonstrating ‘integrated approaches’ to solve priority issues in the project watersheds, when in reality the project was simply funding activities in different sectors (biodiversity and forestry) without recognition of hydrology. No monitoring plan or systematic approach was evident. In addition, some activities on the upland and marine side were implemented by different organisations without coordination.</w:t>
      </w:r>
    </w:p>
    <w:p w14:paraId="6AB74255" w14:textId="77777777" w:rsidR="007372B6" w:rsidRDefault="007372B6">
      <w:pPr>
        <w:tabs>
          <w:tab w:val="left" w:pos="1620"/>
        </w:tabs>
        <w:contextualSpacing/>
        <w:jc w:val="both"/>
        <w:rPr>
          <w:rFonts w:asciiTheme="minorHAnsi" w:eastAsia="Open Sans" w:hAnsiTheme="minorHAnsi" w:cstheme="minorHAnsi"/>
          <w:color w:val="FF0000"/>
          <w:sz w:val="22"/>
          <w:szCs w:val="22"/>
        </w:rPr>
      </w:pPr>
    </w:p>
    <w:p w14:paraId="1378B4B0" w14:textId="77777777" w:rsidR="007372B6" w:rsidRDefault="00000000">
      <w:pPr>
        <w:tabs>
          <w:tab w:val="left" w:pos="1620"/>
        </w:tabs>
        <w:spacing w:line="312" w:lineRule="auto"/>
        <w:jc w:val="both"/>
        <w:rPr>
          <w:rFonts w:cstheme="minorHAnsi"/>
        </w:rPr>
      </w:pPr>
      <w:r>
        <w:rPr>
          <w:rFonts w:ascii="Calibri" w:eastAsia="Open Sans" w:hAnsi="Calibri" w:cstheme="minorHAnsi"/>
          <w:color w:val="000000"/>
          <w:sz w:val="22"/>
          <w:szCs w:val="22"/>
        </w:rPr>
        <w:t>24. No UNDP/GEF RTA assessment was provided in several PIRs, apparently due to personnel changes or constraints on regional travel to Fiji.</w:t>
      </w:r>
    </w:p>
    <w:p w14:paraId="18B87671" w14:textId="77777777" w:rsidR="007372B6" w:rsidRDefault="007372B6">
      <w:pPr>
        <w:pStyle w:val="BodyText"/>
        <w:tabs>
          <w:tab w:val="left" w:pos="567"/>
          <w:tab w:val="left" w:pos="1620"/>
        </w:tabs>
        <w:spacing w:after="0"/>
        <w:contextualSpacing/>
        <w:rPr>
          <w:rFonts w:eastAsia="Open Sans"/>
          <w:szCs w:val="22"/>
        </w:rPr>
      </w:pPr>
    </w:p>
    <w:p w14:paraId="77A490DC" w14:textId="77777777" w:rsidR="007372B6" w:rsidRDefault="00000000">
      <w:pPr>
        <w:pStyle w:val="ListParagraph"/>
        <w:tabs>
          <w:tab w:val="left" w:pos="567"/>
          <w:tab w:val="left" w:pos="1620"/>
        </w:tabs>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 xml:space="preserve">4.2.5 </w:t>
      </w:r>
      <w:r>
        <w:rPr>
          <w:rFonts w:asciiTheme="minorHAnsi" w:eastAsia="Open Sans" w:hAnsiTheme="minorHAnsi" w:cstheme="minorHAnsi"/>
          <w:b/>
          <w:bCs/>
          <w:color w:val="000000"/>
          <w:sz w:val="22"/>
          <w:szCs w:val="22"/>
        </w:rPr>
        <w:tab/>
        <w:t xml:space="preserve">UNDP implementation/oversight and Implementing Partner execution, overall </w:t>
      </w:r>
      <w:r>
        <w:rPr>
          <w:rFonts w:asciiTheme="minorHAnsi" w:eastAsia="Open Sans" w:hAnsiTheme="minorHAnsi" w:cstheme="minorHAnsi"/>
          <w:b/>
          <w:bCs/>
          <w:color w:val="000000"/>
          <w:sz w:val="22"/>
          <w:szCs w:val="22"/>
        </w:rPr>
        <w:tab/>
        <w:t>project implementation/execution, coordination, and operational issues</w:t>
      </w:r>
    </w:p>
    <w:p w14:paraId="7F563085" w14:textId="77777777" w:rsidR="007372B6" w:rsidRDefault="007372B6">
      <w:pPr>
        <w:spacing w:after="160" w:line="259" w:lineRule="auto"/>
        <w:contextualSpacing/>
        <w:rPr>
          <w:rFonts w:asciiTheme="minorHAnsi" w:eastAsiaTheme="minorHAnsi" w:hAnsiTheme="minorHAnsi" w:cstheme="minorBidi"/>
          <w:sz w:val="22"/>
          <w:szCs w:val="22"/>
          <w:lang w:val="en-CA" w:eastAsia="en-US"/>
        </w:rPr>
      </w:pPr>
    </w:p>
    <w:p w14:paraId="28904E09" w14:textId="77777777" w:rsidR="007372B6" w:rsidRDefault="00000000">
      <w:pPr>
        <w:spacing w:after="113" w:line="312" w:lineRule="auto"/>
        <w:contextualSpacing/>
        <w:rPr>
          <w:rFonts w:asciiTheme="minorHAnsi" w:eastAsiaTheme="minorHAnsi" w:hAnsiTheme="minorHAnsi" w:cstheme="minorBidi"/>
          <w:b/>
          <w:bCs/>
          <w:sz w:val="22"/>
          <w:szCs w:val="22"/>
          <w:lang w:val="en-CA" w:eastAsia="en-US"/>
        </w:rPr>
      </w:pPr>
      <w:r>
        <w:rPr>
          <w:rFonts w:asciiTheme="minorHAnsi" w:eastAsiaTheme="minorHAnsi" w:hAnsiTheme="minorHAnsi" w:cstheme="minorBidi"/>
          <w:b/>
          <w:bCs/>
          <w:i/>
          <w:iCs/>
          <w:sz w:val="22"/>
          <w:szCs w:val="22"/>
          <w:lang w:val="en-CA" w:eastAsia="en-US"/>
        </w:rPr>
        <w:t>UNDP management and oversight</w:t>
      </w:r>
    </w:p>
    <w:p w14:paraId="430E8284" w14:textId="3724EC4E" w:rsidR="007372B6" w:rsidRDefault="00000000">
      <w:pPr>
        <w:spacing w:after="160" w:line="312" w:lineRule="auto"/>
        <w:contextualSpacing/>
        <w:jc w:val="both"/>
        <w:rPr>
          <w:rFonts w:asciiTheme="minorHAnsi" w:eastAsiaTheme="minorHAnsi" w:hAnsiTheme="minorHAnsi" w:cstheme="minorBidi"/>
          <w:sz w:val="22"/>
          <w:szCs w:val="22"/>
          <w:lang w:val="en-CA" w:eastAsia="en-US"/>
        </w:rPr>
      </w:pPr>
      <w:r>
        <w:rPr>
          <w:rFonts w:asciiTheme="minorHAnsi" w:eastAsia="Calibri" w:hAnsiTheme="minorHAnsi" w:cstheme="minorHAnsi"/>
          <w:color w:val="000000"/>
          <w:sz w:val="22"/>
          <w:szCs w:val="22"/>
          <w:lang w:val="en-CA" w:eastAsia="en-US"/>
        </w:rPr>
        <w:t xml:space="preserve">25. </w:t>
      </w:r>
      <w:r>
        <w:rPr>
          <w:rFonts w:asciiTheme="minorHAnsi" w:eastAsiaTheme="minorHAnsi" w:hAnsiTheme="minorHAnsi" w:cstheme="minorBidi"/>
          <w:sz w:val="22"/>
          <w:szCs w:val="22"/>
          <w:lang w:val="en-CA" w:eastAsia="en-US"/>
        </w:rPr>
        <w:t>Insufficient national coordination, the lack of an operational framework for catchment planning (see Outcome 5 discussion) and the lack of technical backstopping limited the effectiveness of UNDP’s role in guiding the project. The absence of a distinct monitoring plan or regular tracking of progress indicators on a quarterly basis were clear weaknesses in project implementation. Part-time (and remote) CTA services did not appear to have been adequate, and the recruitment of a CTA was only undertaken after this was suggested in</w:t>
      </w:r>
      <w:r>
        <w:rPr>
          <w:rFonts w:ascii="Calibri" w:eastAsia="Open Sans" w:hAnsi="Calibri" w:cstheme="minorHAnsi"/>
          <w:bCs/>
          <w:color w:val="000000"/>
          <w:spacing w:val="-2"/>
          <w:sz w:val="22"/>
          <w:szCs w:val="22"/>
          <w:lang w:val="en-GB" w:eastAsia="en-US"/>
        </w:rPr>
        <w:t xml:space="preserve"> the MTR, which aggravated many of the problems surrounding proper management, and technical leadership.</w:t>
      </w:r>
      <w:r>
        <w:rPr>
          <w:rFonts w:asciiTheme="minorHAnsi" w:eastAsiaTheme="minorHAnsi" w:hAnsiTheme="minorHAnsi" w:cstheme="minorBidi"/>
          <w:sz w:val="22"/>
          <w:szCs w:val="22"/>
          <w:lang w:val="en-CA" w:eastAsia="en-US"/>
        </w:rPr>
        <w:t xml:space="preserve"> Financial disbursements were very slow, taking 5 to 6 months for payments to arrive, causing some delays in implementation. Overall, UNDP oversight and intervention was disappointing, but this was understandable because Covid and staff changes did not help matters. </w:t>
      </w:r>
    </w:p>
    <w:p w14:paraId="1EB1D43A" w14:textId="77777777" w:rsidR="007372B6" w:rsidRDefault="00000000">
      <w:pPr>
        <w:pStyle w:val="FootnoteText"/>
        <w:spacing w:line="312" w:lineRule="auto"/>
        <w:jc w:val="both"/>
      </w:pPr>
      <w:r>
        <w:rPr>
          <w:rFonts w:asciiTheme="minorHAnsi" w:eastAsia="Open Sans" w:hAnsiTheme="minorHAnsi" w:cstheme="minorHAnsi"/>
          <w:color w:val="000000"/>
          <w:sz w:val="22"/>
          <w:szCs w:val="22"/>
          <w:lang w:val="en-CA" w:eastAsia="en-US"/>
        </w:rPr>
        <w:t>26. B</w:t>
      </w:r>
      <w:r>
        <w:rPr>
          <w:rFonts w:asciiTheme="minorHAnsi" w:eastAsia="Open Sans" w:hAnsiTheme="minorHAnsi" w:cs="Calibri"/>
          <w:bCs/>
          <w:color w:val="000000"/>
          <w:sz w:val="22"/>
          <w:szCs w:val="22"/>
          <w:lang w:val="en-CA" w:eastAsia="en-US"/>
        </w:rPr>
        <w:t xml:space="preserve">ecause of the protracted delays, shifting from NIM to DIM was considered but not pursued. Such a shift might have strained the meagre resources of the UNDP MCO in Fiji, which was resorting to implementing Multi Country Projects, such as the R2R, in order to facilitate the sharing of technical advice, best practices, resources and project coordination. </w:t>
      </w:r>
      <w:r>
        <w:rPr>
          <w:rStyle w:val="FootnoteAnchor"/>
          <w:rFonts w:asciiTheme="minorHAnsi" w:eastAsia="Open Sans" w:hAnsiTheme="minorHAnsi" w:cs="Calibri"/>
          <w:bCs/>
          <w:color w:val="000000"/>
          <w:sz w:val="22"/>
          <w:szCs w:val="22"/>
          <w:lang w:val="en-CA" w:eastAsia="en-US"/>
        </w:rPr>
        <w:footnoteReference w:id="31"/>
      </w:r>
      <w:r>
        <w:rPr>
          <w:rFonts w:asciiTheme="minorHAnsi" w:eastAsia="Open Sans" w:hAnsiTheme="minorHAnsi" w:cs="Calibri"/>
          <w:bCs/>
          <w:color w:val="000000"/>
          <w:sz w:val="22"/>
          <w:szCs w:val="22"/>
          <w:lang w:val="en-CA" w:eastAsia="en-US"/>
        </w:rPr>
        <w:t xml:space="preserve"> </w:t>
      </w:r>
    </w:p>
    <w:p w14:paraId="2727797B" w14:textId="77777777" w:rsidR="007372B6" w:rsidRDefault="007372B6">
      <w:pPr>
        <w:pStyle w:val="FootnoteText"/>
        <w:contextualSpacing/>
        <w:jc w:val="both"/>
        <w:rPr>
          <w:rFonts w:cstheme="minorHAnsi"/>
          <w:sz w:val="22"/>
          <w:szCs w:val="22"/>
          <w:shd w:val="clear" w:color="auto" w:fill="00FF00"/>
        </w:rPr>
      </w:pPr>
    </w:p>
    <w:p w14:paraId="306C374E" w14:textId="77777777" w:rsidR="007372B6" w:rsidRDefault="00000000">
      <w:pPr>
        <w:spacing w:line="312" w:lineRule="auto"/>
        <w:jc w:val="both"/>
        <w:rPr>
          <w:rFonts w:asciiTheme="minorHAnsi" w:eastAsiaTheme="minorHAnsi" w:hAnsiTheme="minorHAnsi" w:cstheme="minorBidi"/>
          <w:sz w:val="22"/>
          <w:szCs w:val="22"/>
          <w:lang w:val="en-CA" w:eastAsia="en-US"/>
        </w:rPr>
      </w:pPr>
      <w:r>
        <w:rPr>
          <w:rFonts w:asciiTheme="minorHAnsi" w:eastAsiaTheme="minorHAnsi" w:hAnsiTheme="minorHAnsi" w:cstheme="minorBidi"/>
          <w:sz w:val="22"/>
          <w:szCs w:val="22"/>
          <w:lang w:val="en-CA" w:eastAsia="en-US"/>
        </w:rPr>
        <w:t>27. Allowing Outcome 6 policy development to be completely shifted to national reforestation activities during late stages of the project (at locations unknown to the TE) was a highly questionable decision given the lack of time available to meet the original reforestation target (1245 ha), and the complete lack of achievement at the policy level.</w:t>
      </w:r>
    </w:p>
    <w:p w14:paraId="42927A16" w14:textId="77777777" w:rsidR="007372B6" w:rsidRDefault="007372B6">
      <w:pPr>
        <w:contextualSpacing/>
        <w:jc w:val="both"/>
        <w:rPr>
          <w:rFonts w:asciiTheme="minorHAnsi" w:eastAsia="Open Sans" w:hAnsiTheme="minorHAnsi" w:cs="Calibri"/>
          <w:bCs/>
          <w:color w:val="000000"/>
          <w:lang w:val="en-CA" w:eastAsia="en-US"/>
        </w:rPr>
      </w:pPr>
    </w:p>
    <w:p w14:paraId="0862742A" w14:textId="77777777" w:rsidR="007372B6" w:rsidRDefault="00000000">
      <w:pPr>
        <w:spacing w:after="113" w:line="312" w:lineRule="auto"/>
        <w:contextualSpacing/>
        <w:rPr>
          <w:rFonts w:asciiTheme="minorHAnsi" w:eastAsiaTheme="minorHAnsi" w:hAnsiTheme="minorHAnsi" w:cstheme="minorBidi"/>
          <w:b/>
          <w:bCs/>
          <w:sz w:val="22"/>
          <w:szCs w:val="22"/>
          <w:lang w:val="en-CA" w:eastAsia="en-US"/>
        </w:rPr>
      </w:pPr>
      <w:r>
        <w:rPr>
          <w:rFonts w:asciiTheme="minorHAnsi" w:eastAsiaTheme="minorHAnsi" w:hAnsiTheme="minorHAnsi" w:cstheme="minorBidi"/>
          <w:b/>
          <w:bCs/>
          <w:i/>
          <w:iCs/>
          <w:sz w:val="22"/>
          <w:szCs w:val="22"/>
          <w:lang w:val="en-CA" w:eastAsia="en-US"/>
        </w:rPr>
        <w:t>IP execution of the project</w:t>
      </w:r>
    </w:p>
    <w:p w14:paraId="440F1E63" w14:textId="1E8A2B94" w:rsidR="007372B6" w:rsidRDefault="00000000">
      <w:pPr>
        <w:tabs>
          <w:tab w:val="left" w:pos="1620"/>
        </w:tabs>
        <w:spacing w:after="160" w:line="312" w:lineRule="auto"/>
        <w:contextualSpacing/>
        <w:jc w:val="both"/>
        <w:rPr>
          <w:rFonts w:asciiTheme="minorHAnsi" w:hAnsiTheme="minorHAnsi" w:cstheme="minorHAnsi"/>
          <w:sz w:val="22"/>
          <w:szCs w:val="22"/>
        </w:rPr>
      </w:pPr>
      <w:r>
        <w:rPr>
          <w:rFonts w:asciiTheme="minorHAnsi" w:hAnsiTheme="minorHAnsi" w:cstheme="minorHAnsi"/>
          <w:color w:val="000000"/>
          <w:sz w:val="22"/>
          <w:szCs w:val="22"/>
        </w:rPr>
        <w:t>28. The organisation of responsibilities between the lead agency (MOWE) and the implementing partners led to some confusion, especially for the three catchments where there was uncertainty around the lead IP (</w:t>
      </w:r>
      <w:proofErr w:type="spellStart"/>
      <w:r>
        <w:rPr>
          <w:rFonts w:asciiTheme="minorHAnsi" w:hAnsiTheme="minorHAnsi" w:cstheme="minorHAnsi"/>
          <w:color w:val="000000"/>
          <w:sz w:val="22"/>
          <w:szCs w:val="22"/>
        </w:rPr>
        <w:t>Rewa-Waidina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Tunuloa</w:t>
      </w:r>
      <w:proofErr w:type="spellEnd"/>
      <w:r>
        <w:rPr>
          <w:rFonts w:asciiTheme="minorHAnsi" w:hAnsiTheme="minorHAnsi" w:cstheme="minorHAnsi"/>
          <w:color w:val="000000"/>
          <w:sz w:val="22"/>
          <w:szCs w:val="22"/>
        </w:rPr>
        <w:t xml:space="preserve"> and </w:t>
      </w:r>
      <w:proofErr w:type="spellStart"/>
      <w:r>
        <w:rPr>
          <w:rFonts w:asciiTheme="minorHAnsi" w:hAnsiTheme="minorHAnsi" w:cstheme="minorHAnsi"/>
          <w:color w:val="000000"/>
          <w:sz w:val="22"/>
          <w:szCs w:val="22"/>
        </w:rPr>
        <w:t>Vunivia</w:t>
      </w:r>
      <w:proofErr w:type="spellEnd"/>
      <w:r>
        <w:rPr>
          <w:rFonts w:asciiTheme="minorHAnsi" w:hAnsiTheme="minorHAnsi" w:cstheme="minorHAnsi"/>
          <w:color w:val="000000"/>
          <w:sz w:val="22"/>
          <w:szCs w:val="22"/>
        </w:rPr>
        <w:t xml:space="preserve">). Inadequate national coordination limited the activity synergies between implementing partners. Some participants considered that the project ended up being implemented in silo’s due to lack of an overall catchment planning processes and clarification </w:t>
      </w:r>
      <w:r>
        <w:rPr>
          <w:rFonts w:asciiTheme="minorHAnsi" w:hAnsiTheme="minorHAnsi" w:cstheme="minorHAnsi"/>
          <w:color w:val="000000"/>
          <w:sz w:val="22"/>
          <w:szCs w:val="22"/>
        </w:rPr>
        <w:lastRenderedPageBreak/>
        <w:t>of responsibilities and duties in each area.</w:t>
      </w:r>
      <w:r>
        <w:rPr>
          <w:rStyle w:val="FootnoteAnchor"/>
          <w:rFonts w:asciiTheme="minorHAnsi" w:hAnsiTheme="minorHAnsi" w:cstheme="minorHAnsi"/>
          <w:color w:val="000000"/>
          <w:sz w:val="22"/>
          <w:szCs w:val="22"/>
        </w:rPr>
        <w:footnoteReference w:id="32"/>
      </w:r>
      <w:r>
        <w:rPr>
          <w:rFonts w:asciiTheme="minorHAnsi" w:hAnsiTheme="minorHAnsi" w:cstheme="minorHAnsi"/>
          <w:color w:val="000000"/>
          <w:sz w:val="22"/>
          <w:szCs w:val="22"/>
        </w:rPr>
        <w:t xml:space="preserve"> But local participation and cooperation appears to have been good, based on a review of the plans and field discussions. Collaboration occurred between some technical inputs and the planning process. For example, the scientific and technical surveys and studies undertaken by IAS-USP were presented to the Ministry of Forestry/SPC-LRD Technical Working Group and reportedly used to influence the management and reforestation plans. Five of the priority catchment areas have completed these survey and planning processes of varying quality except for the </w:t>
      </w:r>
      <w:proofErr w:type="spellStart"/>
      <w:r>
        <w:rPr>
          <w:rFonts w:asciiTheme="minorHAnsi" w:hAnsiTheme="minorHAnsi" w:cstheme="minorHAnsi"/>
          <w:color w:val="000000"/>
          <w:sz w:val="22"/>
          <w:szCs w:val="22"/>
        </w:rPr>
        <w:t>Rewa</w:t>
      </w:r>
      <w:proofErr w:type="spellEnd"/>
      <w:r>
        <w:rPr>
          <w:rFonts w:asciiTheme="minorHAnsi" w:hAnsiTheme="minorHAnsi" w:cstheme="minorHAnsi"/>
          <w:color w:val="000000"/>
          <w:sz w:val="22"/>
          <w:szCs w:val="22"/>
        </w:rPr>
        <w:t xml:space="preserve"> area where no information was available.</w:t>
      </w:r>
    </w:p>
    <w:p w14:paraId="130D9F79" w14:textId="77777777" w:rsidR="007372B6" w:rsidRDefault="007372B6">
      <w:pPr>
        <w:tabs>
          <w:tab w:val="left" w:pos="1620"/>
        </w:tabs>
        <w:spacing w:after="160" w:line="312" w:lineRule="auto"/>
        <w:contextualSpacing/>
        <w:jc w:val="both"/>
        <w:rPr>
          <w:rFonts w:asciiTheme="minorHAnsi" w:hAnsiTheme="minorHAnsi" w:cstheme="minorHAnsi"/>
          <w:sz w:val="22"/>
          <w:szCs w:val="22"/>
        </w:rPr>
      </w:pPr>
    </w:p>
    <w:p w14:paraId="0CABA0D4" w14:textId="77777777" w:rsidR="007372B6" w:rsidRDefault="00000000">
      <w:pPr>
        <w:tabs>
          <w:tab w:val="left" w:pos="1620"/>
        </w:tabs>
        <w:spacing w:after="160"/>
        <w:contextualSpacing/>
        <w:jc w:val="both"/>
        <w:rPr>
          <w:rFonts w:asciiTheme="minorHAnsi" w:eastAsiaTheme="minorHAnsi" w:hAnsiTheme="minorHAnsi" w:cstheme="minorBidi"/>
          <w:b/>
          <w:bCs/>
          <w:i/>
          <w:iCs/>
          <w:sz w:val="22"/>
          <w:szCs w:val="22"/>
          <w:lang w:val="en-CA" w:eastAsia="en-US"/>
        </w:rPr>
      </w:pPr>
      <w:r>
        <w:rPr>
          <w:rFonts w:ascii="Calibri" w:eastAsiaTheme="minorHAnsi" w:hAnsi="Calibri" w:cstheme="minorBidi"/>
          <w:b/>
          <w:bCs/>
          <w:i/>
          <w:iCs/>
          <w:sz w:val="22"/>
          <w:szCs w:val="22"/>
          <w:lang w:val="en-CA" w:eastAsia="en-US"/>
        </w:rPr>
        <w:t>Risk Management Performance</w:t>
      </w:r>
    </w:p>
    <w:p w14:paraId="2F459D83" w14:textId="77777777" w:rsidR="007372B6" w:rsidRDefault="00000000">
      <w:pPr>
        <w:tabs>
          <w:tab w:val="left" w:pos="1620"/>
        </w:tabs>
        <w:spacing w:after="160" w:line="312" w:lineRule="auto"/>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29. The risks to project achievements, excluding Covid, were identified in the Project Document. The management team responded to issues as they arose, although not in a particularly timely or proactive manner. The management systems were not sufficiently oriented to project coordination and communication to fully address many of the risks, as noted elsewhere in this report (see Project Design/Formulation, section 4.1 above). </w:t>
      </w:r>
    </w:p>
    <w:p w14:paraId="1CB882C8" w14:textId="77777777" w:rsidR="007372B6" w:rsidRDefault="007372B6">
      <w:pPr>
        <w:widowControl w:val="0"/>
        <w:tabs>
          <w:tab w:val="left" w:pos="1620"/>
        </w:tabs>
        <w:contextualSpacing/>
        <w:jc w:val="both"/>
        <w:rPr>
          <w:rFonts w:ascii="Calibri" w:hAnsi="Calibri" w:cs="Calibri"/>
          <w:sz w:val="22"/>
          <w:szCs w:val="22"/>
          <w:u w:val="single"/>
          <w:shd w:val="clear" w:color="auto" w:fill="00FF00"/>
        </w:rPr>
      </w:pPr>
    </w:p>
    <w:p w14:paraId="6D7E047A" w14:textId="35B68BEE" w:rsidR="007372B6" w:rsidRDefault="00000000">
      <w:pPr>
        <w:spacing w:line="312" w:lineRule="auto"/>
        <w:jc w:val="both"/>
      </w:pPr>
      <w:r>
        <w:rPr>
          <w:rFonts w:asciiTheme="minorHAnsi" w:hAnsiTheme="minorHAnsi" w:cstheme="minorHAnsi"/>
          <w:color w:val="000000"/>
          <w:sz w:val="22"/>
          <w:szCs w:val="22"/>
          <w:lang w:eastAsia="en-US"/>
        </w:rPr>
        <w:t xml:space="preserve">30. The project document identified that the </w:t>
      </w:r>
      <w:r>
        <w:rPr>
          <w:rFonts w:asciiTheme="minorHAnsi" w:hAnsiTheme="minorHAnsi" w:cstheme="minorHAnsi"/>
          <w:bCs/>
          <w:color w:val="000000"/>
          <w:sz w:val="22"/>
          <w:szCs w:val="22"/>
          <w:lang w:eastAsia="en-US"/>
        </w:rPr>
        <w:t xml:space="preserve">main barrier to project achievement was institutional. The MTR report also noted key risks related to a lack of technical oversight, allocation and disbursement of funding, the need for a full staffing of the PMU, and that the greatest risks to project implementation included slow disbursement of project funds, the need for technical recruitment, planting in a short time and, risk of fire and weather-related disasters hindering planting. Because of the delays and shortcomings in management by the executing agency, </w:t>
      </w:r>
      <w:r>
        <w:rPr>
          <w:rFonts w:ascii="Calibri" w:eastAsia="Open Sans" w:hAnsi="Calibri" w:cstheme="minorHAnsi"/>
          <w:bCs/>
          <w:color w:val="000000"/>
          <w:sz w:val="22"/>
          <w:szCs w:val="22"/>
          <w:lang w:eastAsia="en-US"/>
        </w:rPr>
        <w:t xml:space="preserve">UNDP raised concerns about the lack of progress on the project, and </w:t>
      </w:r>
      <w:r>
        <w:rPr>
          <w:rFonts w:asciiTheme="minorHAnsi" w:hAnsiTheme="minorHAnsi" w:cstheme="minorHAnsi"/>
          <w:bCs/>
          <w:color w:val="000000"/>
          <w:sz w:val="22"/>
          <w:szCs w:val="22"/>
          <w:lang w:eastAsia="en-US"/>
        </w:rPr>
        <w:t xml:space="preserve">there was consideration of switching from NIM to DIM. </w:t>
      </w:r>
      <w:r>
        <w:rPr>
          <w:rFonts w:asciiTheme="minorHAnsi" w:eastAsia="Open Sans" w:hAnsiTheme="minorHAnsi" w:cstheme="minorHAnsi"/>
          <w:bCs/>
          <w:color w:val="000000"/>
          <w:sz w:val="22"/>
          <w:szCs w:val="22"/>
          <w:lang w:eastAsia="en-US"/>
        </w:rPr>
        <w:t>T</w:t>
      </w:r>
      <w:r>
        <w:rPr>
          <w:rFonts w:ascii="Calibri" w:eastAsia="Open Sans" w:hAnsi="Calibri" w:cstheme="minorHAnsi"/>
          <w:bCs/>
          <w:color w:val="000000"/>
          <w:sz w:val="22"/>
          <w:szCs w:val="22"/>
          <w:lang w:eastAsia="en-US"/>
        </w:rPr>
        <w:t>his situation prompted UNDP to get more involved in implementation by providing dir</w:t>
      </w:r>
      <w:r>
        <w:rPr>
          <w:rFonts w:ascii="Calibri" w:eastAsia="Open Sans" w:hAnsi="Calibri" w:cstheme="minorHAnsi"/>
          <w:bCs/>
          <w:color w:val="000000"/>
          <w:sz w:val="22"/>
          <w:szCs w:val="22"/>
        </w:rPr>
        <w:t xml:space="preserve">ect support services such as </w:t>
      </w:r>
      <w:r>
        <w:rPr>
          <w:rFonts w:ascii="Calibri" w:eastAsia="Open Sans" w:hAnsi="Calibri" w:cstheme="minorHAnsi"/>
          <w:bCs/>
          <w:color w:val="000000"/>
          <w:sz w:val="22"/>
          <w:szCs w:val="22"/>
          <w:lang w:eastAsia="en-US"/>
        </w:rPr>
        <w:t xml:space="preserve">signing a series of agreements and grants with government ministries and NGOs, which boosted the delivery rate in 2019 and 2020. </w:t>
      </w:r>
      <w:r>
        <w:rPr>
          <w:rFonts w:asciiTheme="minorHAnsi" w:hAnsiTheme="minorHAnsi" w:cstheme="minorHAnsi"/>
          <w:bCs/>
          <w:color w:val="000000"/>
          <w:sz w:val="22"/>
          <w:szCs w:val="22"/>
          <w:lang w:eastAsia="en-US"/>
        </w:rPr>
        <w:t xml:space="preserve">However, this process of solving the </w:t>
      </w:r>
      <w:r>
        <w:rPr>
          <w:rFonts w:asciiTheme="minorHAnsi" w:eastAsia="Open Sans" w:hAnsiTheme="minorHAnsi" w:cstheme="minorHAnsi"/>
          <w:bCs/>
          <w:color w:val="000000"/>
          <w:sz w:val="22"/>
          <w:szCs w:val="22"/>
          <w:lang w:eastAsia="en-US"/>
        </w:rPr>
        <w:t xml:space="preserve">implementation delay </w:t>
      </w:r>
      <w:r>
        <w:rPr>
          <w:rFonts w:asciiTheme="minorHAnsi" w:hAnsiTheme="minorHAnsi" w:cstheme="minorHAnsi"/>
          <w:bCs/>
          <w:color w:val="000000"/>
          <w:sz w:val="22"/>
          <w:szCs w:val="22"/>
          <w:lang w:eastAsia="en-US"/>
        </w:rPr>
        <w:t xml:space="preserve">took almost 2 years, half the duration of the </w:t>
      </w:r>
      <w:proofErr w:type="gramStart"/>
      <w:r>
        <w:rPr>
          <w:rFonts w:asciiTheme="minorHAnsi" w:hAnsiTheme="minorHAnsi" w:cstheme="minorHAnsi"/>
          <w:bCs/>
          <w:color w:val="000000"/>
          <w:sz w:val="22"/>
          <w:szCs w:val="22"/>
          <w:lang w:eastAsia="en-US"/>
        </w:rPr>
        <w:t>4 year</w:t>
      </w:r>
      <w:proofErr w:type="gramEnd"/>
      <w:r>
        <w:rPr>
          <w:rFonts w:asciiTheme="minorHAnsi" w:hAnsiTheme="minorHAnsi" w:cstheme="minorHAnsi"/>
          <w:bCs/>
          <w:color w:val="000000"/>
          <w:sz w:val="22"/>
          <w:szCs w:val="22"/>
          <w:lang w:eastAsia="en-US"/>
        </w:rPr>
        <w:t xml:space="preserve"> project. </w:t>
      </w:r>
      <w:r>
        <w:rPr>
          <w:rFonts w:asciiTheme="minorHAnsi" w:eastAsia="Open Sans" w:hAnsiTheme="minorHAnsi" w:cstheme="minorHAnsi"/>
          <w:bCs/>
          <w:color w:val="000000"/>
          <w:sz w:val="22"/>
          <w:szCs w:val="22"/>
          <w:lang w:eastAsia="en-US"/>
        </w:rPr>
        <w:t xml:space="preserve">The PIRs had “High” risk ratings in 2018 and 2019 for </w:t>
      </w:r>
      <w:r>
        <w:rPr>
          <w:rFonts w:asciiTheme="minorHAnsi" w:hAnsiTheme="minorHAnsi" w:cstheme="minorHAnsi"/>
          <w:bCs/>
          <w:color w:val="000000"/>
          <w:sz w:val="22"/>
          <w:szCs w:val="22"/>
          <w:lang w:eastAsia="en-US"/>
        </w:rPr>
        <w:t>operational risks related to delays, low delivery, and weather-related conditions with respect to travel to the communities. By 2020, the PIR had lowered the financial risk to “Low” due to considerable amount of work completed in 2019 and 2020. But this protracted process came at a great cost to the project’s sequencing of activities and the overall sustainability of outcomes.</w:t>
      </w:r>
    </w:p>
    <w:p w14:paraId="167EA3A6" w14:textId="77777777" w:rsidR="007372B6" w:rsidRDefault="007372B6">
      <w:pPr>
        <w:contextualSpacing/>
        <w:jc w:val="both"/>
        <w:rPr>
          <w:rFonts w:asciiTheme="minorHAnsi" w:hAnsiTheme="minorHAnsi" w:cstheme="minorHAnsi"/>
          <w:bCs/>
          <w:color w:val="000000"/>
          <w:sz w:val="22"/>
          <w:szCs w:val="22"/>
          <w:lang w:eastAsia="en-US"/>
        </w:rPr>
      </w:pPr>
    </w:p>
    <w:p w14:paraId="1358DD5E" w14:textId="77777777" w:rsidR="007372B6" w:rsidRDefault="00000000">
      <w:pPr>
        <w:widowControl w:val="0"/>
        <w:tabs>
          <w:tab w:val="left" w:pos="1620"/>
        </w:tabs>
        <w:spacing w:after="160" w:line="312" w:lineRule="auto"/>
        <w:contextualSpacing/>
        <w:jc w:val="both"/>
      </w:pPr>
      <w:r>
        <w:rPr>
          <w:rFonts w:ascii="Calibri" w:hAnsi="Calibri" w:cs="Calibri"/>
          <w:bCs/>
          <w:color w:val="000000"/>
          <w:sz w:val="22"/>
          <w:szCs w:val="22"/>
          <w:lang w:eastAsia="en-US"/>
        </w:rPr>
        <w:t xml:space="preserve">31. Clearly there were missed opportunities by the executing agency, UNDP CO and the project steering committee in managing the risks in an effective, efficient and timely manner. However, the biggest risk to the project, Covid, was managed in a much more prudent way, with all parties recognizing that they had to adopt new techniques and technologies to manage the project’s activities. The appearance of a global pandemic likely played a key role in GEF approving two much needed no-cost extensions. Without this, it is highly likely that the project would have failed. </w:t>
      </w:r>
    </w:p>
    <w:p w14:paraId="53310C41" w14:textId="77777777" w:rsidR="007372B6" w:rsidRDefault="007372B6">
      <w:pPr>
        <w:tabs>
          <w:tab w:val="left" w:pos="1620"/>
        </w:tabs>
        <w:contextualSpacing/>
        <w:jc w:val="both"/>
      </w:pPr>
    </w:p>
    <w:p w14:paraId="1BB000CB" w14:textId="77777777" w:rsidR="007372B6" w:rsidRDefault="00000000">
      <w:pPr>
        <w:tabs>
          <w:tab w:val="left" w:pos="1620"/>
        </w:tabs>
        <w:spacing w:after="160" w:line="312" w:lineRule="auto"/>
        <w:contextualSpacing/>
        <w:jc w:val="both"/>
        <w:rPr>
          <w:rFonts w:asciiTheme="minorHAnsi" w:hAnsiTheme="minorHAnsi" w:cstheme="minorHAnsi"/>
        </w:rPr>
      </w:pPr>
      <w:r>
        <w:rPr>
          <w:rFonts w:ascii="Calibri" w:hAnsi="Calibri" w:cstheme="minorHAnsi"/>
          <w:color w:val="000000"/>
          <w:sz w:val="22"/>
          <w:szCs w:val="22"/>
        </w:rPr>
        <w:t xml:space="preserve">32. Allowing the transfer of funding from a critical policy outcome (#6) to be used for planting trees to meet an immediate government target was a major risk to the achievement of the </w:t>
      </w:r>
      <w:proofErr w:type="gramStart"/>
      <w:r>
        <w:rPr>
          <w:rFonts w:ascii="Calibri" w:hAnsi="Calibri" w:cstheme="minorHAnsi"/>
          <w:color w:val="000000"/>
          <w:sz w:val="22"/>
          <w:szCs w:val="22"/>
        </w:rPr>
        <w:t>longer term</w:t>
      </w:r>
      <w:proofErr w:type="gramEnd"/>
      <w:r>
        <w:rPr>
          <w:rFonts w:ascii="Calibri" w:hAnsi="Calibri" w:cstheme="minorHAnsi"/>
          <w:color w:val="000000"/>
          <w:sz w:val="22"/>
          <w:szCs w:val="22"/>
        </w:rPr>
        <w:t xml:space="preserve"> objectives of the project, particularly those associated with integrated natural resource planning and management.</w:t>
      </w:r>
    </w:p>
    <w:p w14:paraId="4A1B23CB" w14:textId="77777777" w:rsidR="007372B6" w:rsidRDefault="007372B6">
      <w:pPr>
        <w:tabs>
          <w:tab w:val="left" w:pos="1620"/>
        </w:tabs>
        <w:spacing w:after="160" w:line="312" w:lineRule="auto"/>
        <w:contextualSpacing/>
        <w:jc w:val="both"/>
        <w:rPr>
          <w:rFonts w:asciiTheme="minorHAnsi" w:hAnsiTheme="minorHAnsi" w:cstheme="minorHAnsi"/>
          <w:sz w:val="22"/>
          <w:szCs w:val="22"/>
        </w:rPr>
      </w:pPr>
    </w:p>
    <w:p w14:paraId="0E38F77E" w14:textId="77777777" w:rsidR="007372B6" w:rsidRDefault="00000000">
      <w:pPr>
        <w:tabs>
          <w:tab w:val="left" w:pos="567"/>
        </w:tabs>
        <w:spacing w:after="160" w:line="259" w:lineRule="auto"/>
        <w:contextualSpacing/>
        <w:rPr>
          <w:rFonts w:asciiTheme="minorHAnsi" w:eastAsia="Open Sans" w:hAnsiTheme="minorHAnsi" w:cstheme="minorHAnsi"/>
          <w:b/>
          <w:bCs/>
          <w:color w:val="000000"/>
        </w:rPr>
      </w:pPr>
      <w:r>
        <w:rPr>
          <w:rFonts w:asciiTheme="minorHAnsi" w:eastAsia="Open Sans" w:hAnsiTheme="minorHAnsi" w:cstheme="minorHAnsi"/>
          <w:b/>
          <w:bCs/>
          <w:color w:val="000000"/>
        </w:rPr>
        <w:tab/>
        <w:t xml:space="preserve">4.3 </w:t>
      </w:r>
      <w:r>
        <w:rPr>
          <w:rFonts w:asciiTheme="minorHAnsi" w:eastAsia="Open Sans" w:hAnsiTheme="minorHAnsi" w:cstheme="minorHAnsi"/>
          <w:b/>
          <w:bCs/>
          <w:color w:val="000000"/>
        </w:rPr>
        <w:tab/>
        <w:t>Project Results</w:t>
      </w:r>
    </w:p>
    <w:p w14:paraId="3A7B60F5" w14:textId="77777777" w:rsidR="007372B6" w:rsidRDefault="00000000">
      <w:pPr>
        <w:pStyle w:val="ListParagraph"/>
        <w:tabs>
          <w:tab w:val="left" w:pos="1620"/>
        </w:tabs>
        <w:spacing w:after="113"/>
        <w:ind w:left="850"/>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 xml:space="preserve">4.3.1 </w:t>
      </w:r>
      <w:r>
        <w:rPr>
          <w:rFonts w:asciiTheme="minorHAnsi" w:eastAsia="Open Sans" w:hAnsiTheme="minorHAnsi" w:cstheme="minorHAnsi"/>
          <w:b/>
          <w:bCs/>
          <w:color w:val="000000"/>
          <w:sz w:val="22"/>
          <w:szCs w:val="22"/>
        </w:rPr>
        <w:tab/>
        <w:t xml:space="preserve">Relevance </w:t>
      </w:r>
    </w:p>
    <w:p w14:paraId="2A437C15" w14:textId="77777777" w:rsidR="007372B6" w:rsidRDefault="00000000">
      <w:pPr>
        <w:pStyle w:val="DefaultDrawingStyle"/>
        <w:tabs>
          <w:tab w:val="left" w:pos="1620"/>
        </w:tabs>
        <w:spacing w:line="312" w:lineRule="auto"/>
        <w:jc w:val="both"/>
      </w:pPr>
      <w:r>
        <w:rPr>
          <w:rFonts w:ascii="Calibri" w:eastAsia="Times New Roman" w:hAnsi="Calibri" w:cstheme="minorHAnsi"/>
          <w:color w:val="000000"/>
          <w:sz w:val="22"/>
          <w:szCs w:val="22"/>
          <w:lang w:val="en-US" w:eastAsia="en-CA"/>
        </w:rPr>
        <w:t xml:space="preserve">33. The project is highly relevant to Fiji’s needs in preserving biodiversity, ecosystem services, sequester carbon, improve climate resilience and sustain livelihoods. The project was highly ambitious with interventions implemented at two interconnected levels (national and catchment area), which was intended to improve management effectiveness of protected areas, improve financial sustainability for protected area systems, restore and enhance carbon stocks, and strengthen governance for integrated natural resources management, along with a cross-cutting element of improved data and information systems on biodiversity; land, forests, coastal &amp; marine management; climate change and best practices. </w:t>
      </w:r>
    </w:p>
    <w:p w14:paraId="79FC0CBD" w14:textId="77777777" w:rsidR="007372B6" w:rsidRDefault="007372B6">
      <w:pPr>
        <w:pStyle w:val="DefaultDrawingStyle"/>
        <w:tabs>
          <w:tab w:val="left" w:pos="1620"/>
        </w:tabs>
        <w:spacing w:line="240" w:lineRule="auto"/>
        <w:jc w:val="both"/>
        <w:rPr>
          <w:rFonts w:ascii="Calibri" w:eastAsia="Times New Roman" w:hAnsi="Calibri" w:cstheme="minorHAnsi"/>
          <w:color w:val="000000"/>
          <w:sz w:val="22"/>
          <w:szCs w:val="22"/>
          <w:lang w:val="en-US" w:eastAsia="en-CA"/>
        </w:rPr>
      </w:pPr>
    </w:p>
    <w:p w14:paraId="5581AA11" w14:textId="77777777" w:rsidR="007372B6" w:rsidRDefault="00000000">
      <w:pPr>
        <w:pStyle w:val="DefaultDrawingStyle"/>
        <w:tabs>
          <w:tab w:val="left" w:pos="1620"/>
        </w:tabs>
        <w:spacing w:after="113" w:line="312" w:lineRule="auto"/>
        <w:contextualSpacing/>
        <w:jc w:val="both"/>
        <w:rPr>
          <w:rFonts w:ascii="Calibri" w:eastAsia="Times New Roman" w:hAnsi="Calibri" w:cstheme="minorHAnsi"/>
          <w:color w:val="000000"/>
          <w:sz w:val="22"/>
          <w:szCs w:val="22"/>
          <w:lang w:val="en-US" w:eastAsia="en-CA"/>
        </w:rPr>
      </w:pPr>
      <w:r>
        <w:rPr>
          <w:rFonts w:ascii="Calibri" w:eastAsia="Times New Roman" w:hAnsi="Calibri" w:cstheme="minorHAnsi"/>
          <w:color w:val="000000"/>
          <w:sz w:val="22"/>
          <w:szCs w:val="22"/>
          <w:lang w:val="en-US" w:eastAsia="en-CA"/>
        </w:rPr>
        <w:t xml:space="preserve">34. The catchment area plans highlight the issues and priorities in each area and the relevant challenges facing sustainable natural resource management. The plans describe the key local R2R related concerns identified such as: </w:t>
      </w:r>
    </w:p>
    <w:p w14:paraId="6A662E4E" w14:textId="77777777" w:rsidR="007372B6" w:rsidRDefault="00000000">
      <w:pPr>
        <w:pStyle w:val="DefaultDrawingStyle"/>
        <w:tabs>
          <w:tab w:val="left" w:pos="1620"/>
        </w:tabs>
        <w:spacing w:line="312" w:lineRule="auto"/>
        <w:ind w:left="567"/>
        <w:jc w:val="both"/>
        <w:rPr>
          <w:rFonts w:ascii="Calibri" w:eastAsia="Times New Roman" w:hAnsi="Calibri" w:cstheme="minorHAnsi"/>
          <w:color w:val="000000"/>
          <w:sz w:val="22"/>
          <w:szCs w:val="22"/>
          <w:lang w:val="en-US" w:eastAsia="en-CA"/>
        </w:rPr>
      </w:pPr>
      <w:r>
        <w:rPr>
          <w:rFonts w:ascii="Calibri" w:eastAsia="Times New Roman" w:hAnsi="Calibri" w:cstheme="minorHAnsi"/>
          <w:color w:val="000000"/>
          <w:sz w:val="22"/>
          <w:szCs w:val="22"/>
          <w:lang w:val="en-US" w:eastAsia="en-CA"/>
        </w:rPr>
        <w:t>1) Sustainable Forest Management and Sustainable Land Management Practices (Consultations and training on land use plans conducted with communities, sustainable forest harvest practices, replanting, ban burning, restrict gravel extraction near rivers; Encourage organic farming and pesticides; Livelihood opportunities for community)</w:t>
      </w:r>
    </w:p>
    <w:p w14:paraId="6D0B6842" w14:textId="77777777" w:rsidR="007372B6" w:rsidRDefault="00000000">
      <w:pPr>
        <w:pStyle w:val="DefaultDrawingStyle"/>
        <w:tabs>
          <w:tab w:val="left" w:pos="1620"/>
        </w:tabs>
        <w:spacing w:line="312" w:lineRule="auto"/>
        <w:ind w:left="567"/>
        <w:jc w:val="both"/>
        <w:rPr>
          <w:rFonts w:ascii="Calibri" w:eastAsia="Times New Roman" w:hAnsi="Calibri" w:cstheme="minorHAnsi"/>
          <w:color w:val="000000"/>
          <w:sz w:val="22"/>
          <w:szCs w:val="22"/>
          <w:lang w:val="en-US" w:eastAsia="en-CA"/>
        </w:rPr>
      </w:pPr>
      <w:r>
        <w:rPr>
          <w:rFonts w:ascii="Calibri" w:eastAsia="Times New Roman" w:hAnsi="Calibri" w:cstheme="minorHAnsi"/>
          <w:color w:val="000000"/>
          <w:sz w:val="22"/>
          <w:szCs w:val="22"/>
          <w:lang w:val="en-US" w:eastAsia="en-CA"/>
        </w:rPr>
        <w:t>2) River Care and Water Management (Community consultation and awareness on water use and water management, riverbank restoration and monitoring</w:t>
      </w:r>
    </w:p>
    <w:p w14:paraId="69ABAAD4" w14:textId="77777777" w:rsidR="007372B6" w:rsidRDefault="00000000">
      <w:pPr>
        <w:pStyle w:val="DefaultDrawingStyle"/>
        <w:tabs>
          <w:tab w:val="left" w:pos="1620"/>
        </w:tabs>
        <w:spacing w:line="312" w:lineRule="auto"/>
        <w:ind w:left="567"/>
        <w:jc w:val="both"/>
        <w:rPr>
          <w:rFonts w:ascii="Calibri" w:eastAsia="Times New Roman" w:hAnsi="Calibri" w:cstheme="minorHAnsi"/>
          <w:color w:val="000000"/>
          <w:sz w:val="22"/>
          <w:szCs w:val="22"/>
          <w:lang w:val="en-US" w:eastAsia="en-CA"/>
        </w:rPr>
      </w:pPr>
      <w:r>
        <w:rPr>
          <w:rFonts w:ascii="Calibri" w:eastAsia="Times New Roman" w:hAnsi="Calibri" w:cstheme="minorHAnsi"/>
          <w:bCs/>
          <w:color w:val="000000"/>
          <w:sz w:val="22"/>
          <w:szCs w:val="22"/>
          <w:lang w:val="en-US" w:eastAsia="en-CA"/>
        </w:rPr>
        <w:t>3) Climate Change Adaptation and Disaster Risk Reduction (DRR plans, rained on alternatives and climate resilient crops</w:t>
      </w:r>
    </w:p>
    <w:p w14:paraId="79C574C8" w14:textId="77777777" w:rsidR="007372B6" w:rsidRDefault="00000000">
      <w:pPr>
        <w:pStyle w:val="DefaultDrawingStyle"/>
        <w:tabs>
          <w:tab w:val="left" w:pos="1620"/>
        </w:tabs>
        <w:spacing w:line="312" w:lineRule="auto"/>
        <w:ind w:left="567"/>
        <w:jc w:val="both"/>
        <w:rPr>
          <w:rFonts w:ascii="Calibri" w:eastAsia="Times New Roman" w:hAnsi="Calibri" w:cstheme="minorHAnsi"/>
          <w:color w:val="000000"/>
          <w:sz w:val="22"/>
          <w:szCs w:val="22"/>
          <w:lang w:val="en-US" w:eastAsia="en-CA"/>
        </w:rPr>
      </w:pPr>
      <w:r>
        <w:rPr>
          <w:rFonts w:ascii="Calibri" w:eastAsia="Times New Roman" w:hAnsi="Calibri" w:cstheme="minorHAnsi"/>
          <w:bCs/>
          <w:color w:val="000000"/>
          <w:sz w:val="22"/>
          <w:szCs w:val="22"/>
          <w:lang w:val="en-US" w:eastAsia="en-CA"/>
        </w:rPr>
        <w:t xml:space="preserve">4) Capacity building was identified as a need, but actions were not specified. </w:t>
      </w:r>
      <w:r>
        <w:rPr>
          <w:rStyle w:val="FootnoteAnchor"/>
          <w:rFonts w:ascii="Calibri" w:eastAsia="Times New Roman" w:hAnsi="Calibri" w:cstheme="minorHAnsi"/>
          <w:bCs/>
          <w:color w:val="000000"/>
          <w:sz w:val="22"/>
          <w:szCs w:val="22"/>
          <w:lang w:val="en-US" w:eastAsia="en-CA"/>
        </w:rPr>
        <w:footnoteReference w:id="33"/>
      </w:r>
    </w:p>
    <w:p w14:paraId="271E20D5" w14:textId="77777777" w:rsidR="007372B6" w:rsidRDefault="007372B6">
      <w:pPr>
        <w:pStyle w:val="DefaultDrawingStyle"/>
        <w:tabs>
          <w:tab w:val="left" w:pos="1620"/>
        </w:tabs>
        <w:spacing w:line="240" w:lineRule="auto"/>
        <w:jc w:val="both"/>
        <w:rPr>
          <w:rFonts w:ascii="Calibri" w:eastAsia="Times New Roman" w:hAnsi="Calibri" w:cstheme="minorHAnsi"/>
          <w:color w:val="000000"/>
          <w:sz w:val="22"/>
          <w:szCs w:val="22"/>
          <w:lang w:val="en-US" w:eastAsia="en-CA"/>
        </w:rPr>
      </w:pPr>
    </w:p>
    <w:p w14:paraId="49DE4EBD" w14:textId="55F78A7F" w:rsidR="007372B6" w:rsidRDefault="00000000">
      <w:pPr>
        <w:pStyle w:val="DefaultDrawingStyle"/>
        <w:tabs>
          <w:tab w:val="left" w:pos="1620"/>
        </w:tabs>
        <w:spacing w:line="312" w:lineRule="auto"/>
        <w:jc w:val="both"/>
      </w:pPr>
      <w:r>
        <w:rPr>
          <w:rFonts w:ascii="Calibri" w:eastAsia="Times New Roman" w:hAnsi="Calibri" w:cstheme="minorHAnsi"/>
          <w:color w:val="000000"/>
          <w:sz w:val="22"/>
          <w:szCs w:val="22"/>
          <w:lang w:val="en-US" w:eastAsia="en-CA"/>
        </w:rPr>
        <w:t>35. While the project was</w:t>
      </w:r>
      <w:r>
        <w:rPr>
          <w:rFonts w:ascii="Calibri" w:eastAsia="Times New Roman" w:hAnsi="Calibri" w:cstheme="minorHAnsi"/>
          <w:b/>
          <w:color w:val="000000"/>
          <w:sz w:val="22"/>
          <w:szCs w:val="22"/>
          <w:lang w:val="en-US" w:eastAsia="en-CA"/>
        </w:rPr>
        <w:t xml:space="preserve"> </w:t>
      </w:r>
      <w:r>
        <w:rPr>
          <w:rFonts w:ascii="Calibri" w:eastAsia="Times New Roman" w:hAnsi="Calibri" w:cstheme="minorHAnsi"/>
          <w:color w:val="000000"/>
          <w:sz w:val="22"/>
          <w:szCs w:val="22"/>
          <w:lang w:val="en-US" w:eastAsia="en-CA"/>
        </w:rPr>
        <w:t>aligned with national priorities, GEF objectives, and local priorities, there were some deficiencies in the design that affected implementation. At the national level, the project concept was to scale up prior focused GEF work and good practices in Fiji, which as indicated above involved the COWRIE project and a few others. It was suggested that implementation would have been more successful if it involved building on this previous work in the same catchment communities. However, the final scaled up version of the project involved focusing on some new catchment areas that did not have prior experience with the multi-focal and integrated concepts. For example, this was the case in Tuva where none of Fiji’s conservation NGOs had experience, but CI agreed to take on this area on the condition that it be allowed to lead the implementation process.</w:t>
      </w:r>
    </w:p>
    <w:p w14:paraId="707F8DD0" w14:textId="77777777" w:rsidR="007372B6" w:rsidRDefault="007372B6">
      <w:pPr>
        <w:tabs>
          <w:tab w:val="left" w:pos="1620"/>
        </w:tabs>
        <w:rPr>
          <w:rFonts w:asciiTheme="minorHAnsi" w:hAnsiTheme="minorHAnsi" w:cstheme="minorHAnsi"/>
          <w:color w:val="000000"/>
          <w:kern w:val="2"/>
          <w:sz w:val="22"/>
          <w:szCs w:val="22"/>
          <w:shd w:val="clear" w:color="auto" w:fill="FFFF00"/>
        </w:rPr>
      </w:pPr>
    </w:p>
    <w:p w14:paraId="687046A4" w14:textId="77777777" w:rsidR="007372B6" w:rsidRDefault="00000000">
      <w:pPr>
        <w:pStyle w:val="ListParagraph"/>
        <w:tabs>
          <w:tab w:val="left" w:pos="1620"/>
        </w:tabs>
        <w:spacing w:after="170"/>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 xml:space="preserve">4.3.2 </w:t>
      </w:r>
      <w:r>
        <w:rPr>
          <w:rFonts w:asciiTheme="minorHAnsi" w:eastAsia="Open Sans" w:hAnsiTheme="minorHAnsi" w:cstheme="minorHAnsi"/>
          <w:b/>
          <w:bCs/>
          <w:color w:val="000000"/>
          <w:sz w:val="22"/>
          <w:szCs w:val="22"/>
        </w:rPr>
        <w:tab/>
        <w:t xml:space="preserve">Effectiveness </w:t>
      </w:r>
    </w:p>
    <w:p w14:paraId="3652F8F1" w14:textId="77777777" w:rsidR="007372B6" w:rsidRDefault="00000000">
      <w:pPr>
        <w:tabs>
          <w:tab w:val="left" w:pos="567"/>
          <w:tab w:val="left" w:pos="1620"/>
        </w:tabs>
        <w:spacing w:after="113"/>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rPr>
        <w:tab/>
      </w:r>
      <w:r>
        <w:rPr>
          <w:rFonts w:asciiTheme="minorHAnsi" w:hAnsiTheme="minorHAnsi" w:cstheme="minorHAnsi"/>
          <w:b/>
          <w:bCs/>
          <w:color w:val="000000"/>
          <w:sz w:val="22"/>
          <w:szCs w:val="22"/>
          <w:u w:val="single"/>
        </w:rPr>
        <w:t>Objective achievements</w:t>
      </w:r>
    </w:p>
    <w:p w14:paraId="2824F697" w14:textId="77777777" w:rsidR="007372B6" w:rsidRDefault="00000000">
      <w:pPr>
        <w:spacing w:line="312" w:lineRule="auto"/>
        <w:jc w:val="both"/>
        <w:rPr>
          <w:rFonts w:asciiTheme="minorHAnsi" w:hAnsiTheme="minorHAnsi" w:cstheme="minorHAnsi"/>
          <w:sz w:val="22"/>
          <w:szCs w:val="22"/>
        </w:rPr>
      </w:pPr>
      <w:r>
        <w:rPr>
          <w:rFonts w:asciiTheme="minorHAnsi" w:hAnsiTheme="minorHAnsi" w:cstheme="minorHAnsi"/>
          <w:color w:val="000000"/>
          <w:sz w:val="22"/>
          <w:szCs w:val="22"/>
        </w:rPr>
        <w:t>36. The planned Objective level results are reported in terms of the activities completed under each of the Outcomes.</w:t>
      </w:r>
      <w:r>
        <w:rPr>
          <w:rStyle w:val="FootnoteAnchor"/>
          <w:rFonts w:asciiTheme="minorHAnsi" w:eastAsia="Calibri" w:hAnsiTheme="minorHAnsi" w:cstheme="minorHAnsi"/>
          <w:sz w:val="22"/>
          <w:szCs w:val="22"/>
        </w:rPr>
        <w:footnoteReference w:id="34"/>
      </w:r>
      <w:r>
        <w:rPr>
          <w:rFonts w:asciiTheme="minorHAnsi" w:hAnsiTheme="minorHAnsi" w:cstheme="minorHAnsi"/>
          <w:color w:val="000000"/>
          <w:sz w:val="22"/>
          <w:szCs w:val="22"/>
        </w:rPr>
        <w:t xml:space="preserve"> The original targets included six</w:t>
      </w:r>
      <w:r>
        <w:rPr>
          <w:rFonts w:asciiTheme="minorHAnsi" w:hAnsiTheme="minorHAnsi" w:cstheme="minorHAnsi"/>
          <w:sz w:val="22"/>
          <w:szCs w:val="22"/>
        </w:rPr>
        <w:t xml:space="preserve"> catchments with sound catchment management plans, the </w:t>
      </w:r>
      <w:r>
        <w:rPr>
          <w:rFonts w:asciiTheme="minorHAnsi" w:eastAsia="Calibri" w:hAnsiTheme="minorHAnsi" w:cstheme="minorHAnsi"/>
          <w:sz w:val="22"/>
          <w:szCs w:val="22"/>
        </w:rPr>
        <w:t xml:space="preserve">rationalization of FLMMA system and enhanced management and protection of LMMAs in Ba (153,180 ha), Labasa (142,300 ha), </w:t>
      </w:r>
      <w:proofErr w:type="spellStart"/>
      <w:r>
        <w:rPr>
          <w:rFonts w:asciiTheme="minorHAnsi" w:eastAsia="Calibri" w:hAnsiTheme="minorHAnsi" w:cstheme="minorHAnsi"/>
          <w:sz w:val="22"/>
          <w:szCs w:val="22"/>
        </w:rPr>
        <w:t>Rewa</w:t>
      </w:r>
      <w:proofErr w:type="spellEnd"/>
      <w:r>
        <w:rPr>
          <w:rFonts w:asciiTheme="minorHAnsi" w:eastAsia="Calibri" w:hAnsiTheme="minorHAnsi" w:cstheme="minorHAnsi"/>
          <w:sz w:val="22"/>
          <w:szCs w:val="22"/>
        </w:rPr>
        <w:t xml:space="preserve"> (15,510 ha), </w:t>
      </w:r>
      <w:proofErr w:type="spellStart"/>
      <w:r>
        <w:rPr>
          <w:rFonts w:asciiTheme="minorHAnsi" w:eastAsia="Calibri" w:hAnsiTheme="minorHAnsi" w:cstheme="minorHAnsi"/>
          <w:sz w:val="22"/>
          <w:szCs w:val="22"/>
        </w:rPr>
        <w:t>Tunuloa</w:t>
      </w:r>
      <w:proofErr w:type="spellEnd"/>
      <w:r>
        <w:rPr>
          <w:rFonts w:asciiTheme="minorHAnsi" w:eastAsia="Calibri" w:hAnsiTheme="minorHAnsi" w:cstheme="minorHAnsi"/>
          <w:sz w:val="22"/>
          <w:szCs w:val="22"/>
        </w:rPr>
        <w:t xml:space="preserve"> (70,940 ha), Tuva (970 ha) and </w:t>
      </w:r>
      <w:proofErr w:type="spellStart"/>
      <w:r>
        <w:rPr>
          <w:rFonts w:asciiTheme="minorHAnsi" w:eastAsia="Calibri" w:hAnsiTheme="minorHAnsi" w:cstheme="minorHAnsi"/>
          <w:sz w:val="22"/>
          <w:szCs w:val="22"/>
        </w:rPr>
        <w:t>Vunivia</w:t>
      </w:r>
      <w:proofErr w:type="spellEnd"/>
      <w:r>
        <w:rPr>
          <w:rFonts w:asciiTheme="minorHAnsi" w:eastAsia="Calibri" w:hAnsiTheme="minorHAnsi" w:cstheme="minorHAnsi"/>
          <w:sz w:val="22"/>
          <w:szCs w:val="22"/>
        </w:rPr>
        <w:t xml:space="preserve"> (13,200 ha) and totaling 396,100 ha (covering mangroves, seagrass meadows and coral reefs), integrated landscape management practiced by local communities across all six catchments (approx. 240,000 ha), key stress reduction: 17,295 ha mangroves better managed, protected and restored; and 239,334 ha in six catchments under catchment management plans. The amount of Co2 equivalents from emissions avoided and additional carbon sequestered (direct project lifetime) is 2,580,117 </w:t>
      </w:r>
      <w:proofErr w:type="spellStart"/>
      <w:r>
        <w:rPr>
          <w:rFonts w:asciiTheme="minorHAnsi" w:eastAsia="Calibri" w:hAnsiTheme="minorHAnsi" w:cstheme="minorHAnsi"/>
          <w:sz w:val="22"/>
          <w:szCs w:val="22"/>
        </w:rPr>
        <w:t>tonnes</w:t>
      </w:r>
      <w:proofErr w:type="spellEnd"/>
      <w:r>
        <w:rPr>
          <w:rFonts w:asciiTheme="minorHAnsi" w:eastAsia="Calibri" w:hAnsiTheme="minorHAnsi" w:cstheme="minorHAnsi"/>
          <w:sz w:val="22"/>
          <w:szCs w:val="22"/>
        </w:rPr>
        <w:t>, etc.</w:t>
      </w:r>
    </w:p>
    <w:p w14:paraId="2D14CBCF" w14:textId="77777777" w:rsidR="007372B6" w:rsidRDefault="007372B6">
      <w:pPr>
        <w:tabs>
          <w:tab w:val="left" w:pos="567"/>
          <w:tab w:val="left" w:pos="1620"/>
        </w:tabs>
        <w:spacing w:line="312" w:lineRule="auto"/>
        <w:jc w:val="both"/>
        <w:rPr>
          <w:rFonts w:asciiTheme="minorHAnsi" w:hAnsiTheme="minorHAnsi" w:cstheme="minorHAnsi"/>
          <w:color w:val="000000"/>
          <w:sz w:val="22"/>
          <w:szCs w:val="22"/>
        </w:rPr>
      </w:pPr>
    </w:p>
    <w:p w14:paraId="11DB8C95" w14:textId="77777777" w:rsidR="007372B6" w:rsidRDefault="00000000">
      <w:pPr>
        <w:tabs>
          <w:tab w:val="left" w:pos="567"/>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37. The reported results were: </w:t>
      </w:r>
      <w:r>
        <w:rPr>
          <w:rFonts w:asciiTheme="minorHAnsi" w:eastAsia="Calibri" w:hAnsiTheme="minorHAnsi" w:cstheme="minorHAnsi"/>
          <w:color w:val="000000"/>
          <w:sz w:val="22"/>
          <w:szCs w:val="22"/>
        </w:rPr>
        <w:t xml:space="preserve">sound catchment management plans, multi-stakeholder catchment management committees successfully operating in four of the five catchments with plans (exceeding the target), </w:t>
      </w:r>
      <w:r>
        <w:rPr>
          <w:rFonts w:asciiTheme="minorHAnsi" w:hAnsiTheme="minorHAnsi" w:cstheme="minorHAnsi"/>
          <w:color w:val="000000"/>
          <w:sz w:val="22"/>
          <w:szCs w:val="22"/>
        </w:rPr>
        <w:t>improved</w:t>
      </w:r>
      <w:r>
        <w:rPr>
          <w:rFonts w:asciiTheme="minorHAnsi" w:eastAsia="Calibri" w:hAnsiTheme="minorHAnsi" w:cstheme="minorHAnsi"/>
          <w:color w:val="000000"/>
          <w:sz w:val="22"/>
          <w:szCs w:val="22"/>
        </w:rPr>
        <w:t xml:space="preserve"> management of existing PAs and LMMAs, and expansion of PA system, etc. </w:t>
      </w:r>
      <w:r>
        <w:rPr>
          <w:rFonts w:asciiTheme="minorHAnsi" w:hAnsiTheme="minorHAnsi" w:cstheme="minorHAnsi"/>
          <w:color w:val="000000"/>
          <w:sz w:val="22"/>
          <w:szCs w:val="22"/>
        </w:rPr>
        <w:t>(see 2022 PIR), the reported Objective results also presented under each Outcome.</w:t>
      </w:r>
      <w:r>
        <w:rPr>
          <w:rStyle w:val="FootnoteAnchor"/>
          <w:rFonts w:asciiTheme="minorHAnsi" w:hAnsiTheme="minorHAnsi" w:cstheme="minorHAnsi"/>
          <w:color w:val="000000"/>
          <w:sz w:val="22"/>
          <w:szCs w:val="22"/>
        </w:rPr>
        <w:footnoteReference w:id="35"/>
      </w:r>
      <w:r>
        <w:rPr>
          <w:rFonts w:asciiTheme="minorHAnsi" w:hAnsiTheme="minorHAnsi" w:cstheme="minorHAnsi"/>
          <w:color w:val="000000"/>
          <w:sz w:val="22"/>
          <w:szCs w:val="22"/>
        </w:rPr>
        <w:t xml:space="preserve"> Targets such as “</w:t>
      </w:r>
      <w:r>
        <w:rPr>
          <w:rFonts w:asciiTheme="minorHAnsi" w:eastAsia="Calibri" w:hAnsiTheme="minorHAnsi" w:cstheme="minorHAnsi"/>
          <w:sz w:val="22"/>
          <w:szCs w:val="22"/>
        </w:rPr>
        <w:t>up to 20% of degraded grasslands (16,322 ha) recovering through reduction in fire” and other quantitative measures were not tracked in a monitoring system (there was no apparent formal monitoring system except for annual PIRs). It has not been possible to determine the level of targets achievement in a specific manner due to the lack of data. Nevertheless, the level of activities completed contributed toward partial achievement of the objective.</w:t>
      </w:r>
    </w:p>
    <w:p w14:paraId="2EACF570" w14:textId="77777777" w:rsidR="007372B6" w:rsidRDefault="007372B6">
      <w:pPr>
        <w:tabs>
          <w:tab w:val="left" w:pos="567"/>
          <w:tab w:val="left" w:pos="1620"/>
        </w:tabs>
        <w:jc w:val="both"/>
        <w:rPr>
          <w:rFonts w:asciiTheme="minorHAnsi" w:hAnsiTheme="minorHAnsi" w:cstheme="minorHAnsi"/>
          <w:color w:val="000000"/>
          <w:sz w:val="22"/>
          <w:szCs w:val="22"/>
        </w:rPr>
      </w:pPr>
    </w:p>
    <w:p w14:paraId="3C50A434" w14:textId="77777777" w:rsidR="007372B6" w:rsidRDefault="00000000">
      <w:pPr>
        <w:tabs>
          <w:tab w:val="left" w:pos="567"/>
          <w:tab w:val="left" w:pos="1620"/>
        </w:tabs>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rPr>
        <w:tab/>
      </w:r>
      <w:r>
        <w:rPr>
          <w:rFonts w:asciiTheme="minorHAnsi" w:hAnsiTheme="minorHAnsi" w:cstheme="minorHAnsi"/>
          <w:b/>
          <w:bCs/>
          <w:color w:val="000000"/>
          <w:sz w:val="22"/>
          <w:szCs w:val="22"/>
          <w:u w:val="single"/>
        </w:rPr>
        <w:t>Outcome Achievements</w:t>
      </w:r>
    </w:p>
    <w:p w14:paraId="7CB8228C" w14:textId="77777777" w:rsidR="007372B6" w:rsidRDefault="007372B6">
      <w:pPr>
        <w:tabs>
          <w:tab w:val="left" w:pos="1620"/>
        </w:tabs>
        <w:ind w:left="360"/>
        <w:rPr>
          <w:rFonts w:asciiTheme="minorHAnsi" w:hAnsiTheme="minorHAnsi" w:cstheme="minorHAnsi"/>
          <w:color w:val="000000"/>
          <w:sz w:val="22"/>
          <w:szCs w:val="22"/>
        </w:rPr>
      </w:pPr>
    </w:p>
    <w:p w14:paraId="3F1255E3" w14:textId="77777777" w:rsidR="007372B6" w:rsidRDefault="00000000">
      <w:pPr>
        <w:jc w:val="both"/>
        <w:rPr>
          <w:rFonts w:ascii="Calibri" w:eastAsia="Calibri" w:hAnsi="Calibri" w:cs="Calibri"/>
          <w:sz w:val="22"/>
          <w:szCs w:val="22"/>
        </w:rPr>
      </w:pPr>
      <w:r>
        <w:rPr>
          <w:rFonts w:asciiTheme="minorHAnsi" w:hAnsiTheme="minorHAnsi" w:cstheme="minorHAnsi"/>
          <w:color w:val="000000"/>
          <w:sz w:val="22"/>
          <w:szCs w:val="22"/>
        </w:rPr>
        <w:t xml:space="preserve">38. </w:t>
      </w:r>
      <w:r>
        <w:rPr>
          <w:rFonts w:asciiTheme="minorHAnsi" w:hAnsiTheme="minorHAnsi" w:cstheme="minorHAnsi"/>
          <w:b/>
          <w:bCs/>
          <w:color w:val="000000"/>
          <w:sz w:val="22"/>
          <w:szCs w:val="22"/>
        </w:rPr>
        <w:t xml:space="preserve">Outcome 1: PA Management Effectiveness: </w:t>
      </w:r>
      <w:r>
        <w:rPr>
          <w:rFonts w:ascii="Calibri" w:eastAsia="Calibri" w:hAnsi="Calibri" w:cs="Calibri"/>
          <w:sz w:val="22"/>
          <w:szCs w:val="22"/>
        </w:rPr>
        <w:t>Targets were listed in the Project Document as:</w:t>
      </w:r>
    </w:p>
    <w:p w14:paraId="3D75B736" w14:textId="77777777" w:rsidR="007372B6" w:rsidRDefault="007372B6">
      <w:pPr>
        <w:jc w:val="both"/>
        <w:rPr>
          <w:rFonts w:ascii="Calibri" w:eastAsia="Calibri" w:hAnsi="Calibri" w:cs="Calibri"/>
          <w:sz w:val="22"/>
          <w:szCs w:val="22"/>
        </w:rPr>
      </w:pPr>
    </w:p>
    <w:p w14:paraId="680272F9" w14:textId="77777777" w:rsidR="007372B6" w:rsidRDefault="00000000">
      <w:pPr>
        <w:numPr>
          <w:ilvl w:val="0"/>
          <w:numId w:val="7"/>
        </w:numPr>
        <w:contextualSpacing/>
        <w:jc w:val="both"/>
      </w:pPr>
      <w:r>
        <w:rPr>
          <w:rFonts w:ascii="Calibri" w:eastAsia="Calibri" w:hAnsi="Calibri" w:cs="Calibri"/>
          <w:sz w:val="22"/>
          <w:szCs w:val="22"/>
        </w:rPr>
        <w:t>Three new terrestrial protected areas (9,200 ha) and six enhanced MPA/LMMAs (IUCN Category VI) (387,200 ha) and one new LMMA of 9,700 ha. The TE team is uncertain whether this was achieved or not.</w:t>
      </w:r>
    </w:p>
    <w:p w14:paraId="4101AAED" w14:textId="77777777" w:rsidR="007372B6" w:rsidRDefault="00000000">
      <w:pPr>
        <w:numPr>
          <w:ilvl w:val="0"/>
          <w:numId w:val="7"/>
        </w:numPr>
        <w:contextualSpacing/>
        <w:jc w:val="both"/>
        <w:rPr>
          <w:rFonts w:ascii="Calibri" w:eastAsia="Calibri" w:hAnsi="Calibri" w:cs="Calibri"/>
          <w:color w:val="000000"/>
          <w:sz w:val="22"/>
          <w:szCs w:val="22"/>
        </w:rPr>
      </w:pPr>
      <w:r>
        <w:rPr>
          <w:rFonts w:ascii="Calibri" w:eastAsia="Calibri" w:hAnsi="Calibri" w:cs="Calibri"/>
          <w:color w:val="000000"/>
          <w:sz w:val="22"/>
          <w:szCs w:val="22"/>
        </w:rPr>
        <w:t xml:space="preserve">Two additional comprehensive BIORAP assessments, Management plans developed and implemented for each PA. </w:t>
      </w:r>
    </w:p>
    <w:p w14:paraId="78071239" w14:textId="77777777" w:rsidR="007372B6" w:rsidRDefault="00000000">
      <w:pPr>
        <w:numPr>
          <w:ilvl w:val="0"/>
          <w:numId w:val="7"/>
        </w:numPr>
        <w:contextualSpacing/>
        <w:jc w:val="both"/>
        <w:rPr>
          <w:sz w:val="22"/>
          <w:szCs w:val="22"/>
        </w:rPr>
      </w:pPr>
      <w:r>
        <w:rPr>
          <w:rFonts w:ascii="Calibri" w:eastAsia="Calibri" w:hAnsi="Calibri" w:cs="Calibri"/>
          <w:sz w:val="22"/>
          <w:szCs w:val="22"/>
        </w:rPr>
        <w:t xml:space="preserve">Comprehensive valuation of biodiversity conservation and ecosystem services undertaken for </w:t>
      </w:r>
      <w:proofErr w:type="spellStart"/>
      <w:r>
        <w:rPr>
          <w:rFonts w:ascii="Calibri" w:eastAsia="Calibri" w:hAnsi="Calibri" w:cs="Calibri"/>
          <w:sz w:val="22"/>
          <w:szCs w:val="22"/>
        </w:rPr>
        <w:t>Waidina</w:t>
      </w:r>
      <w:proofErr w:type="spellEnd"/>
      <w:r>
        <w:rPr>
          <w:rFonts w:ascii="Calibri" w:eastAsia="Calibri" w:hAnsi="Calibri" w:cs="Calibri"/>
          <w:sz w:val="22"/>
          <w:szCs w:val="22"/>
        </w:rPr>
        <w:t xml:space="preserve"> (viz. </w:t>
      </w:r>
      <w:proofErr w:type="spellStart"/>
      <w:r>
        <w:rPr>
          <w:rFonts w:ascii="Calibri" w:eastAsia="Calibri" w:hAnsi="Calibri" w:cs="Calibri"/>
          <w:sz w:val="22"/>
          <w:szCs w:val="22"/>
        </w:rPr>
        <w:t>Sovi</w:t>
      </w:r>
      <w:proofErr w:type="spellEnd"/>
      <w:r>
        <w:rPr>
          <w:rFonts w:ascii="Calibri" w:eastAsia="Calibri" w:hAnsi="Calibri" w:cs="Calibri"/>
          <w:sz w:val="22"/>
          <w:szCs w:val="22"/>
        </w:rPr>
        <w:t xml:space="preserve"> basin PA, </w:t>
      </w:r>
      <w:proofErr w:type="spellStart"/>
      <w:r>
        <w:rPr>
          <w:rFonts w:ascii="Calibri" w:eastAsia="Calibri" w:hAnsi="Calibri" w:cs="Calibri"/>
          <w:sz w:val="22"/>
          <w:szCs w:val="22"/>
        </w:rPr>
        <w:t>Wainavadu</w:t>
      </w:r>
      <w:proofErr w:type="spellEnd"/>
      <w:r>
        <w:rPr>
          <w:rFonts w:ascii="Calibri" w:eastAsia="Calibri" w:hAnsi="Calibri" w:cs="Calibri"/>
          <w:sz w:val="22"/>
          <w:szCs w:val="22"/>
        </w:rPr>
        <w:t xml:space="preserve"> catchment) and </w:t>
      </w:r>
      <w:proofErr w:type="spellStart"/>
      <w:r>
        <w:rPr>
          <w:rFonts w:ascii="Calibri" w:eastAsia="Calibri" w:hAnsi="Calibri" w:cs="Calibri"/>
          <w:sz w:val="22"/>
          <w:szCs w:val="22"/>
        </w:rPr>
        <w:t>Rewa</w:t>
      </w:r>
      <w:proofErr w:type="spellEnd"/>
      <w:r>
        <w:rPr>
          <w:rFonts w:ascii="Calibri" w:eastAsia="Calibri" w:hAnsi="Calibri" w:cs="Calibri"/>
          <w:sz w:val="22"/>
          <w:szCs w:val="22"/>
        </w:rPr>
        <w:t xml:space="preserve"> Delta mangroves and seascape PAs.</w:t>
      </w:r>
    </w:p>
    <w:p w14:paraId="42530387" w14:textId="77777777" w:rsidR="007372B6" w:rsidRDefault="00000000">
      <w:pPr>
        <w:numPr>
          <w:ilvl w:val="0"/>
          <w:numId w:val="7"/>
        </w:numPr>
        <w:tabs>
          <w:tab w:val="left" w:pos="1620"/>
        </w:tabs>
        <w:contextualSpacing/>
        <w:rPr>
          <w:rFonts w:asciiTheme="minorHAnsi" w:hAnsiTheme="minorHAnsi" w:cstheme="minorHAnsi"/>
          <w:color w:val="000000"/>
          <w:sz w:val="22"/>
          <w:szCs w:val="22"/>
        </w:rPr>
      </w:pPr>
      <w:r>
        <w:rPr>
          <w:rFonts w:ascii="Calibri" w:eastAsia="Calibri" w:hAnsi="Calibri" w:cs="Calibri"/>
          <w:color w:val="000000"/>
          <w:sz w:val="22"/>
          <w:szCs w:val="22"/>
        </w:rPr>
        <w:t xml:space="preserve">Rapid Assessment of Ecosystem Services </w:t>
      </w:r>
      <w:r>
        <w:rPr>
          <w:rFonts w:ascii="Calibri" w:eastAsia="Calibri" w:hAnsi="Calibri" w:cs="Calibri"/>
          <w:sz w:val="22"/>
          <w:szCs w:val="22"/>
        </w:rPr>
        <w:t xml:space="preserve">for new/enhanced marine and terrestrial PAs in Ba, Labasa, </w:t>
      </w:r>
      <w:proofErr w:type="spellStart"/>
      <w:r>
        <w:rPr>
          <w:rFonts w:ascii="Calibri" w:eastAsia="Calibri" w:hAnsi="Calibri" w:cs="Calibri"/>
          <w:sz w:val="22"/>
          <w:szCs w:val="22"/>
        </w:rPr>
        <w:t>Tunuloa</w:t>
      </w:r>
      <w:proofErr w:type="spellEnd"/>
      <w:r>
        <w:rPr>
          <w:rFonts w:ascii="Calibri" w:eastAsia="Calibri" w:hAnsi="Calibri" w:cs="Calibri"/>
          <w:sz w:val="22"/>
          <w:szCs w:val="22"/>
        </w:rPr>
        <w:t xml:space="preserve">, Tuva and </w:t>
      </w:r>
      <w:proofErr w:type="spellStart"/>
      <w:r>
        <w:rPr>
          <w:rFonts w:ascii="Calibri" w:eastAsia="Calibri" w:hAnsi="Calibri" w:cs="Calibri"/>
          <w:sz w:val="22"/>
          <w:szCs w:val="22"/>
        </w:rPr>
        <w:t>Vunivia</w:t>
      </w:r>
      <w:proofErr w:type="spellEnd"/>
      <w:r>
        <w:rPr>
          <w:rFonts w:ascii="Calibri" w:eastAsia="Calibri" w:hAnsi="Calibri" w:cs="Calibri"/>
          <w:sz w:val="22"/>
          <w:szCs w:val="22"/>
        </w:rPr>
        <w:t xml:space="preserve"> catchments (this is different from the end of project target, shown in Annex 3)</w:t>
      </w:r>
    </w:p>
    <w:p w14:paraId="05BB1E66" w14:textId="77777777" w:rsidR="007372B6" w:rsidRDefault="007372B6">
      <w:pPr>
        <w:tabs>
          <w:tab w:val="left" w:pos="1620"/>
        </w:tabs>
        <w:jc w:val="both"/>
        <w:rPr>
          <w:rFonts w:asciiTheme="minorHAnsi" w:hAnsiTheme="minorHAnsi" w:cstheme="minorHAnsi"/>
          <w:color w:val="000000"/>
          <w:sz w:val="22"/>
          <w:szCs w:val="22"/>
        </w:rPr>
      </w:pPr>
    </w:p>
    <w:p w14:paraId="7689E60D"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39. The project was able to establish some new protected areas and some</w:t>
      </w:r>
      <w:r>
        <w:rPr>
          <w:rFonts w:asciiTheme="minorHAnsi" w:hAnsiTheme="minorHAnsi" w:cstheme="minorHAnsi"/>
          <w:b/>
          <w:bCs/>
          <w:color w:val="000000"/>
          <w:sz w:val="22"/>
          <w:szCs w:val="22"/>
        </w:rPr>
        <w:t xml:space="preserve"> </w:t>
      </w:r>
      <w:r>
        <w:rPr>
          <w:rFonts w:asciiTheme="minorHAnsi" w:hAnsiTheme="minorHAnsi" w:cstheme="minorHAnsi"/>
          <w:color w:val="000000"/>
          <w:sz w:val="22"/>
          <w:szCs w:val="22"/>
        </w:rPr>
        <w:t>MPAs/LMMAs were reportedly</w:t>
      </w:r>
      <w:r>
        <w:rPr>
          <w:rFonts w:asciiTheme="minorHAnsi" w:hAnsiTheme="minorHAnsi" w:cstheme="minorHAnsi"/>
          <w:b/>
          <w:bCs/>
          <w:color w:val="000000"/>
          <w:sz w:val="22"/>
          <w:szCs w:val="22"/>
        </w:rPr>
        <w:t xml:space="preserve"> </w:t>
      </w:r>
      <w:r>
        <w:rPr>
          <w:rFonts w:asciiTheme="minorHAnsi" w:hAnsiTheme="minorHAnsi" w:cstheme="minorHAnsi"/>
          <w:color w:val="000000"/>
          <w:sz w:val="22"/>
          <w:szCs w:val="22"/>
        </w:rPr>
        <w:t xml:space="preserve">‘enhanced’ and developed, but no data were available. The </w:t>
      </w:r>
      <w:proofErr w:type="spellStart"/>
      <w:r>
        <w:rPr>
          <w:rFonts w:asciiTheme="minorHAnsi" w:hAnsiTheme="minorHAnsi" w:cstheme="minorHAnsi"/>
          <w:color w:val="000000"/>
          <w:sz w:val="22"/>
          <w:szCs w:val="22"/>
        </w:rPr>
        <w:t>Tunuloa</w:t>
      </w:r>
      <w:proofErr w:type="spellEnd"/>
      <w:r>
        <w:rPr>
          <w:rFonts w:asciiTheme="minorHAnsi" w:hAnsiTheme="minorHAnsi" w:cstheme="minorHAnsi"/>
          <w:color w:val="000000"/>
          <w:sz w:val="22"/>
          <w:szCs w:val="22"/>
        </w:rPr>
        <w:t xml:space="preserve"> community did not allow any biological surveys to be conducted so it was not possible to establish the proposed 4400 ha PA. An assessment of PA management capacity and operations was not completed and no METT tracking tool data are available so actual achievement of these aspects is unclear. Nevertheless, catchment plans should strengthen the management processes in the communities. </w:t>
      </w:r>
    </w:p>
    <w:p w14:paraId="234B6700" w14:textId="77777777" w:rsidR="007372B6" w:rsidRDefault="007372B6">
      <w:pPr>
        <w:tabs>
          <w:tab w:val="left" w:pos="1620"/>
        </w:tabs>
        <w:jc w:val="both"/>
        <w:rPr>
          <w:rFonts w:asciiTheme="minorHAnsi" w:hAnsiTheme="minorHAnsi" w:cstheme="minorHAnsi"/>
          <w:color w:val="000000"/>
          <w:sz w:val="22"/>
          <w:szCs w:val="22"/>
        </w:rPr>
      </w:pPr>
    </w:p>
    <w:p w14:paraId="1EBB4298"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40. At least one comprehensive</w:t>
      </w:r>
      <w:r>
        <w:rPr>
          <w:rFonts w:asciiTheme="minorHAnsi" w:hAnsiTheme="minorHAnsi" w:cstheme="minorHAnsi"/>
          <w:sz w:val="22"/>
          <w:szCs w:val="22"/>
        </w:rPr>
        <w:t xml:space="preserve"> BIORAP assessment and various other biological surveys were completed (two were originally targeted: Tuva PA in Year 1 and </w:t>
      </w:r>
      <w:proofErr w:type="spellStart"/>
      <w:r>
        <w:rPr>
          <w:rFonts w:asciiTheme="minorHAnsi" w:hAnsiTheme="minorHAnsi" w:cstheme="minorHAnsi"/>
          <w:sz w:val="22"/>
          <w:szCs w:val="22"/>
        </w:rPr>
        <w:t>Natewa</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Tunuloa</w:t>
      </w:r>
      <w:proofErr w:type="spellEnd"/>
      <w:r>
        <w:rPr>
          <w:rFonts w:asciiTheme="minorHAnsi" w:hAnsiTheme="minorHAnsi" w:cstheme="minorHAnsi"/>
          <w:sz w:val="22"/>
          <w:szCs w:val="22"/>
        </w:rPr>
        <w:t xml:space="preserve"> IBA).</w:t>
      </w:r>
      <w:r>
        <w:rPr>
          <w:rFonts w:asciiTheme="minorHAnsi" w:hAnsiTheme="minorHAnsi" w:cstheme="minorHAnsi"/>
          <w:color w:val="000000"/>
          <w:sz w:val="22"/>
          <w:szCs w:val="22"/>
        </w:rPr>
        <w:t xml:space="preserve"> The biological surveys and Catchment Area plans and other biodiversity related activities were assumed to represent this outcome as presented in the PIR progress report for this outcome (see Annex 3). Monitoring data on progress and results per the Results Framework have not been easily available.</w:t>
      </w:r>
    </w:p>
    <w:p w14:paraId="10F681A9" w14:textId="77777777" w:rsidR="007372B6" w:rsidRDefault="007372B6">
      <w:pPr>
        <w:tabs>
          <w:tab w:val="left" w:pos="1620"/>
        </w:tabs>
        <w:jc w:val="both"/>
        <w:rPr>
          <w:rFonts w:asciiTheme="minorHAnsi" w:hAnsiTheme="minorHAnsi" w:cstheme="minorHAnsi"/>
          <w:color w:val="000000"/>
          <w:sz w:val="22"/>
          <w:szCs w:val="22"/>
        </w:rPr>
      </w:pPr>
    </w:p>
    <w:p w14:paraId="5BD8EBF6" w14:textId="77777777" w:rsidR="007372B6" w:rsidRDefault="00000000">
      <w:pPr>
        <w:tabs>
          <w:tab w:val="left" w:pos="1620"/>
        </w:tabs>
        <w:spacing w:beforeAutospacing="1" w:afterAutospacing="1" w:line="312" w:lineRule="auto"/>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41. Based on trials in the </w:t>
      </w:r>
      <w:proofErr w:type="spellStart"/>
      <w:r>
        <w:rPr>
          <w:rFonts w:asciiTheme="minorHAnsi" w:hAnsiTheme="minorHAnsi" w:cstheme="minorHAnsi"/>
          <w:color w:val="000000"/>
          <w:sz w:val="22"/>
          <w:szCs w:val="22"/>
        </w:rPr>
        <w:t>Waidina</w:t>
      </w:r>
      <w:proofErr w:type="spellEnd"/>
      <w:r>
        <w:rPr>
          <w:rFonts w:asciiTheme="minorHAnsi" w:hAnsiTheme="minorHAnsi" w:cstheme="minorHAnsi"/>
          <w:color w:val="000000"/>
          <w:sz w:val="22"/>
          <w:szCs w:val="22"/>
        </w:rPr>
        <w:t xml:space="preserve"> Catchment on eradication of African tulip control by Ministry of Forestry Silviculture and Research Division (SRD) and IAS–USP, these methods identified were used to improve 150 hectares of standing forests in the buffer zone of the </w:t>
      </w:r>
      <w:proofErr w:type="spellStart"/>
      <w:r>
        <w:rPr>
          <w:rFonts w:asciiTheme="minorHAnsi" w:hAnsiTheme="minorHAnsi" w:cstheme="minorHAnsi"/>
          <w:color w:val="000000"/>
          <w:sz w:val="22"/>
          <w:szCs w:val="22"/>
        </w:rPr>
        <w:t>Sovi</w:t>
      </w:r>
      <w:proofErr w:type="spellEnd"/>
      <w:r>
        <w:rPr>
          <w:rFonts w:asciiTheme="minorHAnsi" w:hAnsiTheme="minorHAnsi" w:cstheme="minorHAnsi"/>
          <w:color w:val="000000"/>
          <w:sz w:val="22"/>
          <w:szCs w:val="22"/>
        </w:rPr>
        <w:t xml:space="preserve"> Basin Protected Area. Villagers were taught the methods to eradicate the African tulips, and this capacity remains in the villages.</w:t>
      </w:r>
    </w:p>
    <w:p w14:paraId="2BE125B8" w14:textId="77777777" w:rsidR="007372B6" w:rsidRDefault="007372B6">
      <w:pPr>
        <w:tabs>
          <w:tab w:val="left" w:pos="1620"/>
        </w:tabs>
        <w:spacing w:beforeAutospacing="1" w:afterAutospacing="1" w:line="312" w:lineRule="auto"/>
        <w:contextualSpacing/>
        <w:jc w:val="both"/>
        <w:rPr>
          <w:rFonts w:asciiTheme="minorHAnsi" w:hAnsiTheme="minorHAnsi" w:cstheme="minorHAnsi"/>
          <w:sz w:val="22"/>
          <w:szCs w:val="22"/>
        </w:rPr>
      </w:pPr>
    </w:p>
    <w:p w14:paraId="7770C627" w14:textId="14890C72" w:rsidR="007372B6" w:rsidRDefault="00000000">
      <w:pPr>
        <w:widowControl w:val="0"/>
        <w:spacing w:line="312" w:lineRule="auto"/>
        <w:jc w:val="both"/>
        <w:rPr>
          <w:rFonts w:asciiTheme="minorHAnsi" w:eastAsia="Arial" w:hAnsiTheme="minorHAnsi" w:cstheme="minorHAnsi"/>
          <w:sz w:val="22"/>
          <w:szCs w:val="22"/>
          <w:lang w:eastAsia="en-GB"/>
        </w:rPr>
      </w:pPr>
      <w:r>
        <w:rPr>
          <w:rFonts w:asciiTheme="minorHAnsi" w:hAnsiTheme="minorHAnsi" w:cstheme="minorHAnsi"/>
          <w:color w:val="000000"/>
          <w:sz w:val="22"/>
          <w:szCs w:val="22"/>
        </w:rPr>
        <w:t xml:space="preserve">42. </w:t>
      </w:r>
      <w:r>
        <w:rPr>
          <w:rFonts w:asciiTheme="minorHAnsi" w:hAnsiTheme="minorHAnsi" w:cstheme="minorHAnsi"/>
          <w:b/>
          <w:bCs/>
          <w:color w:val="000000"/>
          <w:sz w:val="22"/>
          <w:szCs w:val="22"/>
        </w:rPr>
        <w:t xml:space="preserve">Outcome 2: PA Financial Sustainability: </w:t>
      </w:r>
      <w:r>
        <w:rPr>
          <w:rFonts w:asciiTheme="minorHAnsi" w:hAnsiTheme="minorHAnsi" w:cstheme="minorHAnsi"/>
          <w:color w:val="000000"/>
          <w:sz w:val="22"/>
          <w:szCs w:val="22"/>
        </w:rPr>
        <w:t>The planned results included v</w:t>
      </w:r>
      <w:r>
        <w:rPr>
          <w:rFonts w:asciiTheme="minorHAnsi" w:eastAsia="Arial" w:hAnsiTheme="minorHAnsi" w:cstheme="minorHAnsi"/>
          <w:sz w:val="22"/>
          <w:szCs w:val="22"/>
          <w:lang w:eastAsia="en-GB"/>
        </w:rPr>
        <w:t xml:space="preserve">aluation of biodiversity and ecosystem services for </w:t>
      </w:r>
      <w:proofErr w:type="spellStart"/>
      <w:r>
        <w:rPr>
          <w:rFonts w:asciiTheme="minorHAnsi" w:eastAsia="Arial" w:hAnsiTheme="minorHAnsi" w:cstheme="minorHAnsi"/>
          <w:sz w:val="22"/>
          <w:szCs w:val="22"/>
          <w:lang w:eastAsia="en-GB"/>
        </w:rPr>
        <w:t>Sovi</w:t>
      </w:r>
      <w:proofErr w:type="spellEnd"/>
      <w:r>
        <w:rPr>
          <w:rFonts w:asciiTheme="minorHAnsi" w:eastAsia="Arial" w:hAnsiTheme="minorHAnsi" w:cstheme="minorHAnsi"/>
          <w:sz w:val="22"/>
          <w:szCs w:val="22"/>
          <w:lang w:eastAsia="en-GB"/>
        </w:rPr>
        <w:t xml:space="preserve"> Basin and one seascape PA, and a user fee system developed and pilot tested for one marine PA/LMMA (Tuva-</w:t>
      </w:r>
      <w:proofErr w:type="spellStart"/>
      <w:r>
        <w:rPr>
          <w:rFonts w:asciiTheme="minorHAnsi" w:eastAsia="Arial" w:hAnsiTheme="minorHAnsi" w:cstheme="minorHAnsi"/>
          <w:sz w:val="22"/>
          <w:szCs w:val="22"/>
          <w:lang w:eastAsia="en-GB"/>
        </w:rPr>
        <w:t>Natadola</w:t>
      </w:r>
      <w:proofErr w:type="spellEnd"/>
      <w:r>
        <w:rPr>
          <w:rFonts w:asciiTheme="minorHAnsi" w:eastAsia="Arial" w:hAnsiTheme="minorHAnsi" w:cstheme="minorHAnsi"/>
          <w:sz w:val="22"/>
          <w:szCs w:val="22"/>
          <w:lang w:eastAsia="en-GB"/>
        </w:rPr>
        <w:t>). The reported results were:</w:t>
      </w:r>
    </w:p>
    <w:p w14:paraId="3C6EBCDB" w14:textId="77777777" w:rsidR="007372B6" w:rsidRDefault="00000000">
      <w:pPr>
        <w:widowControl w:val="0"/>
        <w:numPr>
          <w:ilvl w:val="0"/>
          <w:numId w:val="13"/>
        </w:numPr>
        <w:spacing w:line="312" w:lineRule="auto"/>
        <w:contextualSpacing/>
        <w:jc w:val="both"/>
        <w:rPr>
          <w:rFonts w:asciiTheme="minorHAnsi" w:eastAsia="Arial" w:hAnsiTheme="minorHAnsi" w:cstheme="minorHAnsi"/>
          <w:sz w:val="22"/>
          <w:szCs w:val="22"/>
          <w:lang w:eastAsia="en-GB"/>
        </w:rPr>
      </w:pPr>
      <w:r>
        <w:rPr>
          <w:rFonts w:asciiTheme="minorHAnsi" w:eastAsia="Arial" w:hAnsiTheme="minorHAnsi" w:cstheme="minorHAnsi"/>
          <w:sz w:val="22"/>
          <w:szCs w:val="22"/>
          <w:lang w:eastAsia="en-GB"/>
        </w:rPr>
        <w:t xml:space="preserve">Tuva Catchment: Conservation International contracted Nature Fiji </w:t>
      </w:r>
      <w:proofErr w:type="spellStart"/>
      <w:r>
        <w:rPr>
          <w:rFonts w:asciiTheme="minorHAnsi" w:eastAsia="Arial" w:hAnsiTheme="minorHAnsi" w:cstheme="minorHAnsi"/>
          <w:sz w:val="22"/>
          <w:szCs w:val="22"/>
          <w:lang w:eastAsia="en-GB"/>
        </w:rPr>
        <w:t>Mareqeti</w:t>
      </w:r>
      <w:proofErr w:type="spellEnd"/>
      <w:r>
        <w:rPr>
          <w:rFonts w:asciiTheme="minorHAnsi" w:eastAsia="Arial" w:hAnsiTheme="minorHAnsi" w:cstheme="minorHAnsi"/>
          <w:sz w:val="22"/>
          <w:szCs w:val="22"/>
          <w:lang w:eastAsia="en-GB"/>
        </w:rPr>
        <w:t xml:space="preserve"> Viti to conduct the ecosystem valuation using the TESSA methodology.</w:t>
      </w:r>
    </w:p>
    <w:p w14:paraId="7F4FEC9B" w14:textId="77777777" w:rsidR="007372B6" w:rsidRDefault="007372B6">
      <w:pPr>
        <w:widowControl w:val="0"/>
        <w:ind w:left="124"/>
        <w:jc w:val="both"/>
        <w:rPr>
          <w:rFonts w:asciiTheme="minorHAnsi" w:eastAsia="Arial" w:hAnsiTheme="minorHAnsi" w:cstheme="minorHAnsi"/>
          <w:sz w:val="22"/>
          <w:szCs w:val="22"/>
          <w:lang w:eastAsia="en-GB"/>
        </w:rPr>
      </w:pPr>
    </w:p>
    <w:p w14:paraId="3834E85A" w14:textId="77777777" w:rsidR="007372B6" w:rsidRDefault="00000000">
      <w:pPr>
        <w:widowControl w:val="0"/>
        <w:numPr>
          <w:ilvl w:val="0"/>
          <w:numId w:val="13"/>
        </w:numPr>
        <w:spacing w:line="312" w:lineRule="auto"/>
        <w:contextualSpacing/>
        <w:jc w:val="both"/>
        <w:rPr>
          <w:rFonts w:asciiTheme="minorHAnsi" w:eastAsia="Arial" w:hAnsiTheme="minorHAnsi" w:cstheme="minorHAnsi"/>
          <w:sz w:val="22"/>
          <w:szCs w:val="22"/>
          <w:lang w:eastAsia="en-GB"/>
        </w:rPr>
      </w:pPr>
      <w:r>
        <w:rPr>
          <w:rFonts w:asciiTheme="minorHAnsi" w:eastAsia="Arial" w:hAnsiTheme="minorHAnsi" w:cstheme="minorHAnsi"/>
          <w:sz w:val="22"/>
          <w:szCs w:val="22"/>
          <w:lang w:eastAsia="en-GB"/>
        </w:rPr>
        <w:t xml:space="preserve">Consultation for Ecosystem Service Valuation was conducted by the Ministry of Environment to attain information from resource owners from </w:t>
      </w:r>
      <w:proofErr w:type="spellStart"/>
      <w:r>
        <w:rPr>
          <w:rFonts w:asciiTheme="minorHAnsi" w:eastAsia="Arial" w:hAnsiTheme="minorHAnsi" w:cstheme="minorHAnsi"/>
          <w:sz w:val="22"/>
          <w:szCs w:val="22"/>
          <w:lang w:eastAsia="en-GB"/>
        </w:rPr>
        <w:t>Tunuloa</w:t>
      </w:r>
      <w:proofErr w:type="spellEnd"/>
      <w:r>
        <w:rPr>
          <w:rFonts w:asciiTheme="minorHAnsi" w:eastAsia="Arial" w:hAnsiTheme="minorHAnsi" w:cstheme="minorHAnsi"/>
          <w:sz w:val="22"/>
          <w:szCs w:val="22"/>
          <w:lang w:eastAsia="en-GB"/>
        </w:rPr>
        <w:t xml:space="preserve">, </w:t>
      </w:r>
      <w:proofErr w:type="spellStart"/>
      <w:r>
        <w:rPr>
          <w:rFonts w:asciiTheme="minorHAnsi" w:eastAsia="Arial" w:hAnsiTheme="minorHAnsi" w:cstheme="minorHAnsi"/>
          <w:sz w:val="22"/>
          <w:szCs w:val="22"/>
          <w:lang w:eastAsia="en-GB"/>
        </w:rPr>
        <w:t>Dogotuki</w:t>
      </w:r>
      <w:proofErr w:type="spellEnd"/>
      <w:r>
        <w:rPr>
          <w:rFonts w:asciiTheme="minorHAnsi" w:eastAsia="Arial" w:hAnsiTheme="minorHAnsi" w:cstheme="minorHAnsi"/>
          <w:sz w:val="22"/>
          <w:szCs w:val="22"/>
          <w:lang w:eastAsia="en-GB"/>
        </w:rPr>
        <w:t xml:space="preserve"> and Labasa on the uses, importance and what the ecosystem provides to the community.</w:t>
      </w:r>
    </w:p>
    <w:p w14:paraId="60C289DA" w14:textId="77777777" w:rsidR="007372B6" w:rsidRDefault="007372B6">
      <w:pPr>
        <w:tabs>
          <w:tab w:val="left" w:pos="1620"/>
        </w:tabs>
        <w:rPr>
          <w:rFonts w:asciiTheme="minorHAnsi" w:hAnsiTheme="minorHAnsi" w:cstheme="minorHAnsi"/>
          <w:color w:val="000000"/>
          <w:sz w:val="22"/>
          <w:szCs w:val="22"/>
        </w:rPr>
      </w:pPr>
    </w:p>
    <w:p w14:paraId="222F6323" w14:textId="5E09347F" w:rsidR="007372B6" w:rsidRDefault="00000000">
      <w:pPr>
        <w:tabs>
          <w:tab w:val="left" w:pos="1620"/>
        </w:tabs>
        <w:spacing w:line="312" w:lineRule="auto"/>
        <w:jc w:val="both"/>
        <w:rPr>
          <w:rFonts w:asciiTheme="minorHAnsi" w:hAnsiTheme="minorHAnsi" w:cstheme="minorHAnsi"/>
          <w:b/>
          <w:bCs/>
          <w:color w:val="000000"/>
          <w:sz w:val="22"/>
          <w:szCs w:val="22"/>
        </w:rPr>
      </w:pPr>
      <w:r>
        <w:rPr>
          <w:rFonts w:asciiTheme="minorHAnsi" w:hAnsiTheme="minorHAnsi" w:cstheme="minorHAnsi"/>
          <w:color w:val="000000"/>
          <w:sz w:val="22"/>
          <w:szCs w:val="22"/>
        </w:rPr>
        <w:t>43.</w:t>
      </w:r>
      <w:r>
        <w:rPr>
          <w:rFonts w:asciiTheme="minorHAnsi" w:hAnsiTheme="minorHAnsi" w:cstheme="minorHAnsi"/>
          <w:b/>
          <w:bCs/>
          <w:color w:val="000000"/>
          <w:sz w:val="22"/>
          <w:szCs w:val="22"/>
        </w:rPr>
        <w:t xml:space="preserve"> Outcome 3: Carbon Stocks Restoration/Enhancement: </w:t>
      </w:r>
      <w:r>
        <w:rPr>
          <w:rFonts w:asciiTheme="minorHAnsi" w:hAnsiTheme="minorHAnsi" w:cstheme="minorHAnsi"/>
          <w:color w:val="000000"/>
          <w:sz w:val="22"/>
          <w:szCs w:val="22"/>
        </w:rPr>
        <w:t xml:space="preserve">The project end targets were to have </w:t>
      </w:r>
      <w:r>
        <w:rPr>
          <w:rFonts w:asciiTheme="minorHAnsi" w:hAnsiTheme="minorHAnsi" w:cstheme="minorHAnsi"/>
          <w:sz w:val="22"/>
          <w:szCs w:val="22"/>
        </w:rPr>
        <w:t xml:space="preserve">1,305 ha of new plantings and 600 ha of rehabilitated forests (480 ha </w:t>
      </w:r>
      <w:proofErr w:type="spellStart"/>
      <w:r>
        <w:rPr>
          <w:rFonts w:asciiTheme="minorHAnsi" w:hAnsiTheme="minorHAnsi" w:cstheme="minorHAnsi"/>
          <w:sz w:val="22"/>
          <w:szCs w:val="22"/>
        </w:rPr>
        <w:t>est</w:t>
      </w:r>
      <w:proofErr w:type="spellEnd"/>
      <w:r>
        <w:rPr>
          <w:rFonts w:asciiTheme="minorHAnsi" w:hAnsiTheme="minorHAnsi" w:cstheme="minorHAnsi"/>
          <w:sz w:val="22"/>
          <w:szCs w:val="22"/>
        </w:rPr>
        <w:t xml:space="preserve">) and grasslands (120 ha </w:t>
      </w:r>
      <w:proofErr w:type="spellStart"/>
      <w:r>
        <w:rPr>
          <w:rFonts w:asciiTheme="minorHAnsi" w:hAnsiTheme="minorHAnsi" w:cstheme="minorHAnsi"/>
          <w:sz w:val="22"/>
          <w:szCs w:val="22"/>
        </w:rPr>
        <w:t>est</w:t>
      </w:r>
      <w:proofErr w:type="spellEnd"/>
      <w:r>
        <w:rPr>
          <w:rFonts w:asciiTheme="minorHAnsi" w:hAnsiTheme="minorHAnsi" w:cstheme="minorHAnsi"/>
          <w:sz w:val="22"/>
          <w:szCs w:val="22"/>
        </w:rPr>
        <w:t>). In addition, an area totaling approx. 16,000 ha in fire-prone catchments (Ba, Labasa, Tuva) were to regenerate scrub/woodland/forest following education and awareness campaigns to reduce burning and promotion of assisted natural</w:t>
      </w:r>
      <w:r>
        <w:rPr>
          <w:rFonts w:asciiTheme="minorHAnsi" w:eastAsia="Arial" w:hAnsiTheme="minorHAnsi" w:cstheme="minorHAnsi"/>
          <w:sz w:val="22"/>
          <w:szCs w:val="22"/>
          <w:lang w:eastAsia="en-GB"/>
        </w:rPr>
        <w:t xml:space="preserve"> regeneration. The long-term target for reforestation in the six R2R priority catchments is 20,000 ha.</w:t>
      </w:r>
      <w:r>
        <w:rPr>
          <w:rStyle w:val="FootnoteAnchor"/>
          <w:rFonts w:asciiTheme="minorHAnsi" w:eastAsia="Arial" w:hAnsiTheme="minorHAnsi" w:cstheme="minorHAnsi"/>
          <w:sz w:val="22"/>
          <w:szCs w:val="22"/>
          <w:lang w:eastAsia="en-GB"/>
        </w:rPr>
        <w:footnoteReference w:id="36"/>
      </w:r>
    </w:p>
    <w:p w14:paraId="0EFB019F" w14:textId="77777777" w:rsidR="007372B6" w:rsidRDefault="007372B6">
      <w:pPr>
        <w:tabs>
          <w:tab w:val="left" w:pos="1620"/>
        </w:tabs>
        <w:jc w:val="both"/>
        <w:rPr>
          <w:rFonts w:asciiTheme="minorHAnsi" w:hAnsiTheme="minorHAnsi" w:cstheme="minorHAnsi"/>
          <w:sz w:val="22"/>
          <w:szCs w:val="22"/>
        </w:rPr>
      </w:pPr>
    </w:p>
    <w:p w14:paraId="4E79E450" w14:textId="77777777" w:rsidR="007372B6" w:rsidRDefault="00000000">
      <w:pPr>
        <w:tabs>
          <w:tab w:val="left" w:pos="1620"/>
        </w:tabs>
        <w:spacing w:line="312" w:lineRule="auto"/>
        <w:jc w:val="both"/>
        <w:rPr>
          <w:rFonts w:asciiTheme="minorHAnsi" w:hAnsiTheme="minorHAnsi" w:cstheme="minorHAnsi"/>
          <w:sz w:val="22"/>
          <w:szCs w:val="22"/>
        </w:rPr>
      </w:pPr>
      <w:r>
        <w:rPr>
          <w:rFonts w:asciiTheme="minorHAnsi" w:hAnsiTheme="minorHAnsi" w:cstheme="minorHAnsi"/>
          <w:sz w:val="22"/>
          <w:szCs w:val="22"/>
        </w:rPr>
        <w:t xml:space="preserve">44. The actual results as reported in the PIR June 30, 2022 were 1,245 ha planted (95% of the </w:t>
      </w:r>
      <w:proofErr w:type="gramStart"/>
      <w:r>
        <w:rPr>
          <w:rFonts w:ascii="Calibri" w:hAnsi="Calibri" w:cstheme="minorHAnsi"/>
          <w:sz w:val="22"/>
          <w:szCs w:val="22"/>
        </w:rPr>
        <w:t>1,305 ha</w:t>
      </w:r>
      <w:proofErr w:type="gramEnd"/>
      <w:r>
        <w:rPr>
          <w:rFonts w:ascii="Calibri" w:hAnsi="Calibri" w:cstheme="minorHAnsi"/>
          <w:sz w:val="22"/>
          <w:szCs w:val="22"/>
        </w:rPr>
        <w:t xml:space="preserve"> </w:t>
      </w:r>
      <w:r>
        <w:rPr>
          <w:rFonts w:asciiTheme="minorHAnsi" w:hAnsiTheme="minorHAnsi" w:cstheme="minorHAnsi"/>
          <w:sz w:val="22"/>
          <w:szCs w:val="22"/>
        </w:rPr>
        <w:t>target).</w:t>
      </w:r>
      <w:r>
        <w:rPr>
          <w:rStyle w:val="FootnoteAnchor"/>
          <w:rFonts w:ascii="Calibri" w:hAnsi="Calibri" w:cstheme="minorHAnsi"/>
          <w:sz w:val="22"/>
          <w:szCs w:val="22"/>
        </w:rPr>
        <w:footnoteReference w:id="37"/>
      </w:r>
      <w:r>
        <w:rPr>
          <w:rFonts w:asciiTheme="minorHAnsi" w:hAnsiTheme="minorHAnsi" w:cstheme="minorHAnsi"/>
          <w:sz w:val="22"/>
          <w:szCs w:val="22"/>
        </w:rPr>
        <w:t xml:space="preserve"> No data on forest and grassland rehabilitated, or on natural regeneration in fire-prone catchments. The reforestation plantings were reported as follows:</w:t>
      </w:r>
    </w:p>
    <w:p w14:paraId="3538A9B4" w14:textId="77777777" w:rsidR="007372B6" w:rsidRDefault="00000000">
      <w:pPr>
        <w:widowControl w:val="0"/>
        <w:numPr>
          <w:ilvl w:val="0"/>
          <w:numId w:val="11"/>
        </w:numPr>
        <w:contextualSpacing/>
        <w:rPr>
          <w:rFonts w:asciiTheme="minorHAnsi" w:hAnsiTheme="minorHAnsi" w:cstheme="minorHAnsi"/>
          <w:sz w:val="22"/>
          <w:szCs w:val="22"/>
        </w:rPr>
      </w:pPr>
      <w:r>
        <w:rPr>
          <w:rFonts w:asciiTheme="minorHAnsi" w:hAnsiTheme="minorHAnsi" w:cstheme="minorHAnsi"/>
          <w:sz w:val="22"/>
          <w:szCs w:val="22"/>
        </w:rPr>
        <w:lastRenderedPageBreak/>
        <w:t>Ba Catchment – 246.70 hectares planted out of 270 hectares target (89%)</w:t>
      </w:r>
    </w:p>
    <w:p w14:paraId="59D333A8" w14:textId="77777777" w:rsidR="007372B6" w:rsidRDefault="00000000">
      <w:pPr>
        <w:widowControl w:val="0"/>
        <w:numPr>
          <w:ilvl w:val="0"/>
          <w:numId w:val="11"/>
        </w:numPr>
        <w:contextualSpacing/>
        <w:rPr>
          <w:rFonts w:asciiTheme="minorHAnsi" w:hAnsiTheme="minorHAnsi" w:cstheme="minorHAnsi"/>
          <w:sz w:val="22"/>
          <w:szCs w:val="22"/>
        </w:rPr>
      </w:pPr>
      <w:r>
        <w:rPr>
          <w:rFonts w:asciiTheme="minorHAnsi" w:hAnsiTheme="minorHAnsi" w:cstheme="minorHAnsi"/>
          <w:sz w:val="22"/>
          <w:szCs w:val="22"/>
        </w:rPr>
        <w:t>Labasa Catchment – 210.70 hectares planted out of 270 hectares target (78%)</w:t>
      </w:r>
    </w:p>
    <w:p w14:paraId="1671A8FF" w14:textId="77777777" w:rsidR="007372B6" w:rsidRDefault="00000000">
      <w:pPr>
        <w:widowControl w:val="0"/>
        <w:numPr>
          <w:ilvl w:val="0"/>
          <w:numId w:val="11"/>
        </w:numPr>
        <w:contextualSpacing/>
        <w:rPr>
          <w:rFonts w:asciiTheme="minorHAnsi" w:hAnsiTheme="minorHAnsi" w:cstheme="minorHAnsi"/>
          <w:sz w:val="22"/>
          <w:szCs w:val="22"/>
        </w:rPr>
      </w:pPr>
      <w:proofErr w:type="spellStart"/>
      <w:r>
        <w:rPr>
          <w:rFonts w:asciiTheme="minorHAnsi" w:hAnsiTheme="minorHAnsi" w:cstheme="minorHAnsi"/>
          <w:sz w:val="22"/>
          <w:szCs w:val="22"/>
        </w:rPr>
        <w:t>Waidina</w:t>
      </w:r>
      <w:proofErr w:type="spellEnd"/>
      <w:r>
        <w:rPr>
          <w:rFonts w:asciiTheme="minorHAnsi" w:hAnsiTheme="minorHAnsi" w:cstheme="minorHAnsi"/>
          <w:sz w:val="22"/>
          <w:szCs w:val="22"/>
        </w:rPr>
        <w:t xml:space="preserve"> Catchment – 159 hectares planted out of 180 hectares target (88%)</w:t>
      </w:r>
    </w:p>
    <w:p w14:paraId="216D06DF" w14:textId="77777777" w:rsidR="007372B6" w:rsidRDefault="00000000">
      <w:pPr>
        <w:widowControl w:val="0"/>
        <w:numPr>
          <w:ilvl w:val="0"/>
          <w:numId w:val="11"/>
        </w:numPr>
        <w:contextualSpacing/>
        <w:rPr>
          <w:rFonts w:asciiTheme="minorHAnsi" w:hAnsiTheme="minorHAnsi" w:cstheme="minorHAnsi"/>
          <w:sz w:val="22"/>
          <w:szCs w:val="22"/>
        </w:rPr>
      </w:pPr>
      <w:proofErr w:type="spellStart"/>
      <w:r>
        <w:rPr>
          <w:rFonts w:asciiTheme="minorHAnsi" w:hAnsiTheme="minorHAnsi" w:cstheme="minorHAnsi"/>
          <w:sz w:val="22"/>
          <w:szCs w:val="22"/>
        </w:rPr>
        <w:t>Tunuloa</w:t>
      </w:r>
      <w:proofErr w:type="spellEnd"/>
      <w:r>
        <w:rPr>
          <w:rFonts w:asciiTheme="minorHAnsi" w:hAnsiTheme="minorHAnsi" w:cstheme="minorHAnsi"/>
          <w:sz w:val="22"/>
          <w:szCs w:val="22"/>
        </w:rPr>
        <w:t xml:space="preserve"> Catchment – 98 hectares planted out of 90 hectares target (109%)</w:t>
      </w:r>
    </w:p>
    <w:p w14:paraId="6EAD5062" w14:textId="77777777" w:rsidR="007372B6" w:rsidRDefault="00000000">
      <w:pPr>
        <w:widowControl w:val="0"/>
        <w:numPr>
          <w:ilvl w:val="0"/>
          <w:numId w:val="11"/>
        </w:numPr>
        <w:contextualSpacing/>
        <w:rPr>
          <w:rFonts w:asciiTheme="minorHAnsi" w:hAnsiTheme="minorHAnsi" w:cstheme="minorHAnsi"/>
          <w:sz w:val="22"/>
          <w:szCs w:val="22"/>
        </w:rPr>
      </w:pPr>
      <w:proofErr w:type="spellStart"/>
      <w:r>
        <w:rPr>
          <w:rFonts w:asciiTheme="minorHAnsi" w:hAnsiTheme="minorHAnsi" w:cstheme="minorHAnsi"/>
          <w:sz w:val="22"/>
          <w:szCs w:val="22"/>
        </w:rPr>
        <w:t>Vunivia</w:t>
      </w:r>
      <w:proofErr w:type="spellEnd"/>
      <w:r>
        <w:rPr>
          <w:rFonts w:asciiTheme="minorHAnsi" w:hAnsiTheme="minorHAnsi" w:cstheme="minorHAnsi"/>
          <w:sz w:val="22"/>
          <w:szCs w:val="22"/>
        </w:rPr>
        <w:t xml:space="preserve"> Catchment – 2.6 hectares planted out of 75 hectares target due to unresolved problem in </w:t>
      </w:r>
      <w:proofErr w:type="spellStart"/>
      <w:r>
        <w:rPr>
          <w:rFonts w:asciiTheme="minorHAnsi" w:hAnsiTheme="minorHAnsi" w:cstheme="minorHAnsi"/>
          <w:sz w:val="22"/>
          <w:szCs w:val="22"/>
        </w:rPr>
        <w:t>Vunivia</w:t>
      </w:r>
      <w:proofErr w:type="spellEnd"/>
      <w:r>
        <w:rPr>
          <w:rFonts w:asciiTheme="minorHAnsi" w:hAnsiTheme="minorHAnsi" w:cstheme="minorHAnsi"/>
          <w:sz w:val="22"/>
          <w:szCs w:val="22"/>
        </w:rPr>
        <w:t xml:space="preserve"> when the </w:t>
      </w:r>
      <w:proofErr w:type="spellStart"/>
      <w:r>
        <w:rPr>
          <w:rFonts w:asciiTheme="minorHAnsi" w:hAnsiTheme="minorHAnsi" w:cstheme="minorHAnsi"/>
          <w:sz w:val="22"/>
          <w:szCs w:val="22"/>
        </w:rPr>
        <w:t>Matagali</w:t>
      </w:r>
      <w:proofErr w:type="spellEnd"/>
      <w:r>
        <w:rPr>
          <w:rStyle w:val="FootnoteAnchor"/>
          <w:rFonts w:asciiTheme="minorHAnsi" w:hAnsiTheme="minorHAnsi" w:cstheme="minorHAnsi"/>
          <w:sz w:val="22"/>
          <w:szCs w:val="22"/>
        </w:rPr>
        <w:footnoteReference w:id="38"/>
      </w:r>
      <w:r>
        <w:rPr>
          <w:rFonts w:asciiTheme="minorHAnsi" w:hAnsiTheme="minorHAnsi" w:cstheme="minorHAnsi"/>
          <w:sz w:val="22"/>
          <w:szCs w:val="22"/>
        </w:rPr>
        <w:t xml:space="preserve"> of </w:t>
      </w:r>
      <w:proofErr w:type="spellStart"/>
      <w:r>
        <w:rPr>
          <w:rFonts w:asciiTheme="minorHAnsi" w:hAnsiTheme="minorHAnsi" w:cstheme="minorHAnsi"/>
          <w:sz w:val="22"/>
          <w:szCs w:val="22"/>
        </w:rPr>
        <w:t>Namako</w:t>
      </w:r>
      <w:proofErr w:type="spellEnd"/>
      <w:r>
        <w:rPr>
          <w:rFonts w:asciiTheme="minorHAnsi" w:hAnsiTheme="minorHAnsi" w:cstheme="minorHAnsi"/>
          <w:sz w:val="22"/>
          <w:szCs w:val="22"/>
        </w:rPr>
        <w:t xml:space="preserve"> village withdrew their support to the project</w:t>
      </w:r>
    </w:p>
    <w:p w14:paraId="09F1A25C" w14:textId="77777777" w:rsidR="007372B6" w:rsidRDefault="00000000">
      <w:pPr>
        <w:widowControl w:val="0"/>
        <w:numPr>
          <w:ilvl w:val="0"/>
          <w:numId w:val="11"/>
        </w:numPr>
        <w:contextualSpacing/>
        <w:rPr>
          <w:rFonts w:asciiTheme="minorHAnsi" w:hAnsiTheme="minorHAnsi" w:cstheme="minorHAnsi"/>
          <w:sz w:val="22"/>
          <w:szCs w:val="22"/>
        </w:rPr>
      </w:pPr>
      <w:r>
        <w:rPr>
          <w:rFonts w:asciiTheme="minorHAnsi" w:hAnsiTheme="minorHAnsi" w:cstheme="minorHAnsi"/>
          <w:sz w:val="22"/>
          <w:szCs w:val="22"/>
        </w:rPr>
        <w:t>Tuva Catchment – 227.5 hectares planted out of 360 hectares target (63%</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 xml:space="preserve"> replanting needed due to low survival rate (60-70%) on the initial plantings</w:t>
      </w:r>
    </w:p>
    <w:p w14:paraId="15EE667C" w14:textId="77777777" w:rsidR="007372B6" w:rsidRDefault="00000000">
      <w:pPr>
        <w:widowControl w:val="0"/>
        <w:numPr>
          <w:ilvl w:val="0"/>
          <w:numId w:val="11"/>
        </w:numPr>
        <w:contextualSpacing/>
        <w:rPr>
          <w:rFonts w:asciiTheme="minorHAnsi" w:hAnsiTheme="minorHAnsi" w:cstheme="minorHAnsi"/>
          <w:sz w:val="22"/>
          <w:szCs w:val="22"/>
        </w:rPr>
      </w:pPr>
      <w:proofErr w:type="spellStart"/>
      <w:r>
        <w:rPr>
          <w:rFonts w:asciiTheme="minorHAnsi" w:hAnsiTheme="minorHAnsi" w:cstheme="minorHAnsi"/>
          <w:sz w:val="22"/>
          <w:szCs w:val="22"/>
        </w:rPr>
        <w:t>Rewa</w:t>
      </w:r>
      <w:proofErr w:type="spellEnd"/>
      <w:r>
        <w:rPr>
          <w:rFonts w:asciiTheme="minorHAnsi" w:hAnsiTheme="minorHAnsi" w:cstheme="minorHAnsi"/>
          <w:sz w:val="22"/>
          <w:szCs w:val="22"/>
        </w:rPr>
        <w:t xml:space="preserve"> delta – 30 ha of Mangrove Demonstration Stands.</w:t>
      </w:r>
    </w:p>
    <w:p w14:paraId="75DE6C53" w14:textId="77777777" w:rsidR="007372B6" w:rsidRDefault="007372B6">
      <w:pPr>
        <w:widowControl w:val="0"/>
        <w:ind w:left="124"/>
        <w:rPr>
          <w:rFonts w:asciiTheme="minorHAnsi" w:hAnsiTheme="minorHAnsi" w:cstheme="minorHAnsi"/>
          <w:sz w:val="22"/>
          <w:szCs w:val="22"/>
        </w:rPr>
      </w:pPr>
    </w:p>
    <w:p w14:paraId="70EE9EB7" w14:textId="77777777" w:rsidR="007372B6" w:rsidRDefault="00000000">
      <w:pPr>
        <w:widowControl w:val="0"/>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45. The project completed about 76% of the planned 1245 ha reforestation as of June 30, 2022. No data on forest and grassland under natural regeneration were available. The seedling survival and growth rates have not been verified for the completed plantations.</w:t>
      </w:r>
    </w:p>
    <w:p w14:paraId="0D4BC859" w14:textId="77777777" w:rsidR="007372B6" w:rsidRDefault="007372B6">
      <w:pPr>
        <w:widowControl w:val="0"/>
        <w:ind w:left="124"/>
        <w:jc w:val="both"/>
        <w:rPr>
          <w:rFonts w:asciiTheme="minorHAnsi" w:hAnsiTheme="minorHAnsi" w:cstheme="minorHAnsi"/>
          <w:sz w:val="22"/>
          <w:szCs w:val="22"/>
        </w:rPr>
      </w:pPr>
    </w:p>
    <w:p w14:paraId="2F51A72B" w14:textId="77777777" w:rsidR="007372B6" w:rsidRDefault="00000000">
      <w:pPr>
        <w:widowControl w:val="0"/>
        <w:spacing w:line="312" w:lineRule="auto"/>
        <w:jc w:val="both"/>
        <w:rPr>
          <w:rFonts w:asciiTheme="minorHAnsi" w:eastAsia="Open Sans" w:hAnsiTheme="minorHAnsi" w:cstheme="minorHAnsi"/>
          <w:color w:val="000000"/>
          <w:sz w:val="22"/>
          <w:szCs w:val="22"/>
        </w:rPr>
      </w:pPr>
      <w:r>
        <w:rPr>
          <w:rFonts w:asciiTheme="minorHAnsi" w:hAnsiTheme="minorHAnsi" w:cstheme="minorHAnsi"/>
          <w:sz w:val="22"/>
          <w:szCs w:val="22"/>
        </w:rPr>
        <w:t xml:space="preserve">46. On Timber Stand Improvement, the project completed the treatment of 150 hectares of second growth forest within the </w:t>
      </w:r>
      <w:proofErr w:type="spellStart"/>
      <w:r>
        <w:rPr>
          <w:rFonts w:asciiTheme="minorHAnsi" w:hAnsiTheme="minorHAnsi" w:cstheme="minorHAnsi"/>
          <w:sz w:val="22"/>
          <w:szCs w:val="22"/>
        </w:rPr>
        <w:t>Waidina</w:t>
      </w:r>
      <w:proofErr w:type="spellEnd"/>
      <w:r>
        <w:rPr>
          <w:rFonts w:asciiTheme="minorHAnsi" w:hAnsiTheme="minorHAnsi" w:cstheme="minorHAnsi"/>
          <w:sz w:val="22"/>
          <w:szCs w:val="22"/>
        </w:rPr>
        <w:t xml:space="preserve"> Catchment using the guidelines for the eradication of African Tulip developed by the Silviculture Research Division of the Min. of Forestry. Workshop/trainings provided to communities engaged to do the treatment. Another 5 ha was completed in Labasa catchment. </w:t>
      </w:r>
      <w:r>
        <w:rPr>
          <w:rFonts w:ascii="Calibri" w:eastAsia="Calibri" w:hAnsi="Calibri" w:cstheme="minorHAnsi"/>
          <w:bCs/>
          <w:color w:val="000000"/>
          <w:sz w:val="22"/>
          <w:szCs w:val="22"/>
        </w:rPr>
        <w:t xml:space="preserve">IAS reportedly undertook one-off stand improvement activities in secondary forests (planned at a rate of 50 ha per year in Years 2, 3 and 4), including removal/cutting of African tulip and cutting of overtopping vines – </w:t>
      </w:r>
      <w:proofErr w:type="spellStart"/>
      <w:r>
        <w:rPr>
          <w:rFonts w:ascii="Calibri" w:eastAsia="Calibri" w:hAnsi="Calibri" w:cstheme="minorHAnsi"/>
          <w:bCs/>
          <w:color w:val="000000"/>
          <w:sz w:val="22"/>
          <w:szCs w:val="22"/>
        </w:rPr>
        <w:t>wadamu</w:t>
      </w:r>
      <w:proofErr w:type="spellEnd"/>
      <w:r>
        <w:rPr>
          <w:rFonts w:ascii="Calibri" w:eastAsia="Calibri" w:hAnsi="Calibri" w:cstheme="minorHAnsi"/>
          <w:bCs/>
          <w:color w:val="000000"/>
          <w:sz w:val="22"/>
          <w:szCs w:val="22"/>
        </w:rPr>
        <w:t xml:space="preserve"> (</w:t>
      </w:r>
      <w:proofErr w:type="spellStart"/>
      <w:r>
        <w:rPr>
          <w:rFonts w:ascii="Calibri" w:eastAsia="Calibri" w:hAnsi="Calibri" w:cstheme="minorHAnsi"/>
          <w:bCs/>
          <w:i/>
          <w:color w:val="000000"/>
          <w:sz w:val="22"/>
          <w:szCs w:val="22"/>
        </w:rPr>
        <w:t>Merremia</w:t>
      </w:r>
      <w:proofErr w:type="spellEnd"/>
      <w:r>
        <w:rPr>
          <w:rFonts w:ascii="Calibri" w:eastAsia="Calibri" w:hAnsi="Calibri" w:cstheme="minorHAnsi"/>
          <w:bCs/>
          <w:i/>
          <w:color w:val="000000"/>
          <w:sz w:val="22"/>
          <w:szCs w:val="22"/>
        </w:rPr>
        <w:t xml:space="preserve"> </w:t>
      </w:r>
      <w:proofErr w:type="spellStart"/>
      <w:r>
        <w:rPr>
          <w:rFonts w:ascii="Calibri" w:eastAsia="Calibri" w:hAnsi="Calibri" w:cstheme="minorHAnsi"/>
          <w:bCs/>
          <w:i/>
          <w:color w:val="000000"/>
          <w:sz w:val="22"/>
          <w:szCs w:val="22"/>
        </w:rPr>
        <w:t>peltata</w:t>
      </w:r>
      <w:proofErr w:type="spellEnd"/>
      <w:r>
        <w:rPr>
          <w:rFonts w:ascii="Calibri" w:eastAsia="Calibri" w:hAnsi="Calibri" w:cstheme="minorHAnsi"/>
          <w:bCs/>
          <w:color w:val="000000"/>
          <w:sz w:val="22"/>
          <w:szCs w:val="22"/>
        </w:rPr>
        <w:t>).</w:t>
      </w:r>
      <w:r>
        <w:rPr>
          <w:rFonts w:ascii="Calibri" w:eastAsia="Open Sans" w:hAnsi="Calibri" w:cstheme="minorHAnsi"/>
          <w:color w:val="000000"/>
          <w:sz w:val="22"/>
          <w:szCs w:val="22"/>
        </w:rPr>
        <w:t xml:space="preserve"> In </w:t>
      </w:r>
      <w:proofErr w:type="spellStart"/>
      <w:r>
        <w:rPr>
          <w:rFonts w:ascii="Calibri" w:eastAsia="Open Sans" w:hAnsi="Calibri" w:cstheme="minorHAnsi"/>
          <w:color w:val="000000"/>
          <w:sz w:val="22"/>
          <w:szCs w:val="22"/>
        </w:rPr>
        <w:t>Tunola</w:t>
      </w:r>
      <w:proofErr w:type="spellEnd"/>
      <w:r>
        <w:rPr>
          <w:rFonts w:ascii="Calibri" w:eastAsia="Open Sans" w:hAnsi="Calibri" w:cstheme="minorHAnsi"/>
          <w:color w:val="000000"/>
          <w:sz w:val="22"/>
          <w:szCs w:val="22"/>
        </w:rPr>
        <w:t xml:space="preserve"> district eradication of African tulip in 150 hectares of forest stand have been treated.</w:t>
      </w:r>
      <w:r>
        <w:rPr>
          <w:rStyle w:val="FootnoteAnchor"/>
          <w:rFonts w:ascii="Calibri" w:eastAsia="Open Sans" w:hAnsi="Calibri" w:cstheme="minorHAnsi"/>
          <w:color w:val="000000"/>
          <w:sz w:val="22"/>
          <w:szCs w:val="22"/>
        </w:rPr>
        <w:footnoteReference w:id="39"/>
      </w:r>
    </w:p>
    <w:p w14:paraId="6A86F63C" w14:textId="77777777" w:rsidR="007372B6" w:rsidRDefault="007372B6">
      <w:pPr>
        <w:widowControl w:val="0"/>
        <w:ind w:left="124"/>
        <w:jc w:val="both"/>
        <w:rPr>
          <w:rFonts w:asciiTheme="minorHAnsi" w:eastAsia="Open Sans" w:hAnsiTheme="minorHAnsi" w:cstheme="minorHAnsi"/>
          <w:color w:val="000000"/>
          <w:sz w:val="22"/>
          <w:szCs w:val="22"/>
        </w:rPr>
      </w:pPr>
    </w:p>
    <w:p w14:paraId="56A13EED" w14:textId="77777777" w:rsidR="007372B6" w:rsidRDefault="00000000">
      <w:pPr>
        <w:widowControl w:val="0"/>
        <w:spacing w:line="312" w:lineRule="auto"/>
        <w:jc w:val="both"/>
        <w:rPr>
          <w:rFonts w:asciiTheme="minorHAnsi" w:eastAsia="Open Sans" w:hAnsiTheme="minorHAnsi" w:cstheme="minorHAnsi"/>
          <w:color w:val="000000"/>
          <w:sz w:val="22"/>
          <w:szCs w:val="22"/>
        </w:rPr>
      </w:pPr>
      <w:r>
        <w:rPr>
          <w:rFonts w:asciiTheme="minorHAnsi" w:hAnsiTheme="minorHAnsi" w:cstheme="minorHAnsi"/>
          <w:sz w:val="22"/>
          <w:szCs w:val="22"/>
        </w:rPr>
        <w:t>47. There was little consistent data on tree seedling survival rates. S</w:t>
      </w:r>
      <w:r>
        <w:rPr>
          <w:rFonts w:asciiTheme="minorHAnsi" w:eastAsia="Open Sans" w:hAnsiTheme="minorHAnsi" w:cstheme="minorHAnsi"/>
          <w:color w:val="000000"/>
          <w:sz w:val="22"/>
          <w:szCs w:val="22"/>
        </w:rPr>
        <w:t xml:space="preserve">ome notable low survival rates in </w:t>
      </w:r>
      <w:proofErr w:type="spellStart"/>
      <w:r>
        <w:rPr>
          <w:rFonts w:asciiTheme="minorHAnsi" w:eastAsia="Open Sans" w:hAnsiTheme="minorHAnsi" w:cstheme="minorHAnsi"/>
          <w:color w:val="000000"/>
          <w:sz w:val="22"/>
          <w:szCs w:val="22"/>
        </w:rPr>
        <w:t>Tuvu</w:t>
      </w:r>
      <w:proofErr w:type="spellEnd"/>
      <w:r>
        <w:rPr>
          <w:rFonts w:asciiTheme="minorHAnsi" w:eastAsia="Open Sans" w:hAnsiTheme="minorHAnsi" w:cstheme="minorHAnsi"/>
          <w:color w:val="000000"/>
          <w:sz w:val="22"/>
          <w:szCs w:val="22"/>
        </w:rPr>
        <w:t xml:space="preserve"> catchment were reported (&lt;30%</w:t>
      </w:r>
      <w:r>
        <w:rPr>
          <w:rStyle w:val="FootnoteAnchor"/>
          <w:rFonts w:asciiTheme="minorHAnsi" w:eastAsia="Open Sans" w:hAnsiTheme="minorHAnsi" w:cstheme="minorHAnsi"/>
          <w:color w:val="000000"/>
          <w:sz w:val="22"/>
          <w:szCs w:val="22"/>
        </w:rPr>
        <w:footnoteReference w:id="40"/>
      </w:r>
      <w:r>
        <w:rPr>
          <w:rFonts w:asciiTheme="minorHAnsi" w:eastAsia="Open Sans" w:hAnsiTheme="minorHAnsi" w:cstheme="minorHAnsi"/>
          <w:color w:val="000000"/>
          <w:sz w:val="22"/>
          <w:szCs w:val="22"/>
        </w:rPr>
        <w:t xml:space="preserve">), along with estimates ranging from 45-70% in </w:t>
      </w:r>
      <w:proofErr w:type="spellStart"/>
      <w:r>
        <w:rPr>
          <w:rFonts w:asciiTheme="minorHAnsi" w:eastAsia="Open Sans" w:hAnsiTheme="minorHAnsi" w:cstheme="minorHAnsi"/>
          <w:color w:val="000000"/>
          <w:sz w:val="22"/>
          <w:szCs w:val="22"/>
        </w:rPr>
        <w:t>Tunuloa</w:t>
      </w:r>
      <w:proofErr w:type="spellEnd"/>
      <w:r>
        <w:rPr>
          <w:rFonts w:asciiTheme="minorHAnsi" w:eastAsia="Open Sans" w:hAnsiTheme="minorHAnsi" w:cstheme="minorHAnsi"/>
          <w:color w:val="000000"/>
          <w:sz w:val="22"/>
          <w:szCs w:val="22"/>
        </w:rPr>
        <w:t xml:space="preserve"> catchment.</w:t>
      </w:r>
      <w:r>
        <w:rPr>
          <w:rStyle w:val="FootnoteAnchor"/>
          <w:rFonts w:asciiTheme="minorHAnsi" w:eastAsia="Open Sans" w:hAnsiTheme="minorHAnsi" w:cstheme="minorHAnsi"/>
          <w:color w:val="000000"/>
          <w:sz w:val="22"/>
          <w:szCs w:val="22"/>
        </w:rPr>
        <w:footnoteReference w:id="41"/>
      </w:r>
      <w:r>
        <w:rPr>
          <w:rFonts w:asciiTheme="minorHAnsi" w:eastAsia="Open Sans" w:hAnsiTheme="minorHAnsi" w:cstheme="minorHAnsi"/>
          <w:color w:val="000000"/>
          <w:sz w:val="22"/>
          <w:szCs w:val="22"/>
        </w:rPr>
        <w:t xml:space="preserve"> But typical survival rates for seedlings in most of the plantations were said to be around 80% although no actual data were provided; the reference standard set by Ministry of Forests is not known. </w:t>
      </w:r>
      <w:r>
        <w:rPr>
          <w:rFonts w:asciiTheme="minorHAnsi" w:hAnsiTheme="minorHAnsi" w:cstheme="minorHAnsi"/>
          <w:sz w:val="22"/>
          <w:szCs w:val="22"/>
        </w:rPr>
        <w:t xml:space="preserve">Tree seedlings survival rates within the coastal area of Ba Catchment had limited success with low survival rate and only 0.145 ha established. The project raised a total of 9,000 seedlings in a nursery set up by women in the community. Follow-up monitoring, gap filling and weeding and other maintenance were a noted concern during the field evaluation.  </w:t>
      </w:r>
    </w:p>
    <w:p w14:paraId="02F7EFDB" w14:textId="77777777" w:rsidR="007372B6" w:rsidRDefault="007372B6">
      <w:pPr>
        <w:widowControl w:val="0"/>
        <w:ind w:left="124"/>
        <w:rPr>
          <w:rFonts w:asciiTheme="minorHAnsi" w:hAnsiTheme="minorHAnsi" w:cstheme="minorHAnsi"/>
          <w:sz w:val="22"/>
          <w:szCs w:val="22"/>
        </w:rPr>
      </w:pPr>
    </w:p>
    <w:p w14:paraId="7CB94B4B" w14:textId="222FC3E1" w:rsidR="007372B6" w:rsidRDefault="00000000">
      <w:pPr>
        <w:widowControl w:val="0"/>
        <w:spacing w:line="312" w:lineRule="auto"/>
        <w:jc w:val="both"/>
        <w:rPr>
          <w:rFonts w:asciiTheme="minorHAnsi" w:eastAsia="Open Sans" w:hAnsiTheme="minorHAnsi" w:cstheme="minorHAnsi"/>
          <w:color w:val="000000"/>
          <w:sz w:val="22"/>
          <w:szCs w:val="22"/>
        </w:rPr>
      </w:pPr>
      <w:r>
        <w:rPr>
          <w:rFonts w:asciiTheme="minorHAnsi" w:hAnsiTheme="minorHAnsi" w:cstheme="minorHAnsi"/>
          <w:sz w:val="22"/>
          <w:szCs w:val="22"/>
        </w:rPr>
        <w:t xml:space="preserve">48. Establishment of Forest Carbon Sample Plots occurred at 7 Permanent Sample Plots (PSPs) in Labasa Catchment and 8 plots in </w:t>
      </w:r>
      <w:proofErr w:type="spellStart"/>
      <w:r>
        <w:rPr>
          <w:rFonts w:asciiTheme="minorHAnsi" w:hAnsiTheme="minorHAnsi" w:cstheme="minorHAnsi"/>
          <w:sz w:val="22"/>
          <w:szCs w:val="22"/>
        </w:rPr>
        <w:t>Tunulua</w:t>
      </w:r>
      <w:proofErr w:type="spellEnd"/>
      <w:r>
        <w:rPr>
          <w:rFonts w:asciiTheme="minorHAnsi" w:hAnsiTheme="minorHAnsi" w:cstheme="minorHAnsi"/>
          <w:sz w:val="22"/>
          <w:szCs w:val="22"/>
        </w:rPr>
        <w:t xml:space="preserve"> Catchment established. Leaf litters and ferns </w:t>
      </w:r>
      <w:proofErr w:type="spellStart"/>
      <w:r>
        <w:rPr>
          <w:rFonts w:asciiTheme="minorHAnsi" w:hAnsiTheme="minorHAnsi" w:cstheme="minorHAnsi"/>
          <w:sz w:val="22"/>
          <w:szCs w:val="22"/>
        </w:rPr>
        <w:t>analysed</w:t>
      </w:r>
      <w:proofErr w:type="spellEnd"/>
      <w:r>
        <w:rPr>
          <w:rFonts w:asciiTheme="minorHAnsi" w:hAnsiTheme="minorHAnsi" w:cstheme="minorHAnsi"/>
          <w:sz w:val="22"/>
          <w:szCs w:val="22"/>
        </w:rPr>
        <w:t xml:space="preserve"> by SPC-LRD and soil carbon by USP-IAS with lab analysis done in New Zealand. This activity is expected to be continued by the Ministry Forestry as part of the REDD+ Program and the National Forest Inventory Programme of the Ministry.</w:t>
      </w:r>
    </w:p>
    <w:p w14:paraId="6B8A78ED" w14:textId="77777777" w:rsidR="007372B6" w:rsidRDefault="007372B6">
      <w:pPr>
        <w:widowControl w:val="0"/>
        <w:jc w:val="both"/>
        <w:rPr>
          <w:rFonts w:asciiTheme="minorHAnsi" w:eastAsia="Open Sans" w:hAnsiTheme="minorHAnsi" w:cstheme="minorHAnsi"/>
          <w:color w:val="000000"/>
          <w:sz w:val="22"/>
          <w:szCs w:val="22"/>
        </w:rPr>
      </w:pPr>
    </w:p>
    <w:p w14:paraId="3A4E169B" w14:textId="1D7A5D1E" w:rsidR="007372B6" w:rsidRDefault="00000000">
      <w:pPr>
        <w:widowControl w:val="0"/>
        <w:tabs>
          <w:tab w:val="left" w:pos="540"/>
        </w:tabs>
        <w:spacing w:line="312" w:lineRule="auto"/>
        <w:jc w:val="both"/>
        <w:rPr>
          <w:rFonts w:eastAsia="Calibri" w:cstheme="minorHAnsi"/>
          <w:bCs/>
        </w:rPr>
      </w:pPr>
      <w:r>
        <w:rPr>
          <w:rFonts w:ascii="Calibri" w:eastAsia="Open Sans" w:hAnsi="Calibri" w:cstheme="minorHAnsi"/>
          <w:bCs/>
          <w:color w:val="000000"/>
          <w:sz w:val="22"/>
          <w:szCs w:val="22"/>
        </w:rPr>
        <w:t>49. Little data on mangrove plantation were available. The Institute of Applied of Applied Sciences</w:t>
      </w:r>
      <w:r>
        <w:rPr>
          <w:rFonts w:ascii="Calibri" w:eastAsia="Calibri" w:hAnsi="Calibri" w:cstheme="minorHAnsi"/>
          <w:bCs/>
          <w:color w:val="000000"/>
          <w:sz w:val="22"/>
          <w:szCs w:val="22"/>
        </w:rPr>
        <w:t xml:space="preserve"> had </w:t>
      </w:r>
      <w:r>
        <w:rPr>
          <w:rFonts w:ascii="Calibri" w:eastAsia="Calibri" w:hAnsi="Calibri" w:cstheme="minorHAnsi"/>
          <w:bCs/>
          <w:color w:val="000000"/>
          <w:sz w:val="22"/>
          <w:szCs w:val="22"/>
        </w:rPr>
        <w:lastRenderedPageBreak/>
        <w:t>of 2020, 24.5 out of 30 hectares have been planted.</w:t>
      </w:r>
      <w:r>
        <w:rPr>
          <w:rStyle w:val="FootnoteAnchor"/>
          <w:rFonts w:ascii="Calibri" w:eastAsia="Calibri" w:hAnsi="Calibri" w:cstheme="minorHAnsi"/>
          <w:bCs/>
          <w:color w:val="000000"/>
          <w:sz w:val="22"/>
          <w:szCs w:val="22"/>
        </w:rPr>
        <w:footnoteReference w:id="42"/>
      </w:r>
      <w:r>
        <w:rPr>
          <w:rFonts w:ascii="Calibri" w:eastAsia="Calibri" w:hAnsi="Calibri" w:cstheme="minorHAnsi"/>
          <w:bCs/>
          <w:color w:val="000000"/>
          <w:sz w:val="22"/>
          <w:szCs w:val="22"/>
        </w:rPr>
        <w:t xml:space="preserve"> The total estimated area of mangrove/coastal rehabilitation, based on available data) is approximately 30 ha (see Table 5).</w:t>
      </w:r>
    </w:p>
    <w:p w14:paraId="60C6118C" w14:textId="77777777" w:rsidR="007372B6" w:rsidRDefault="007372B6">
      <w:pPr>
        <w:tabs>
          <w:tab w:val="left" w:pos="1620"/>
        </w:tabs>
        <w:rPr>
          <w:rFonts w:asciiTheme="minorHAnsi" w:hAnsiTheme="minorHAnsi" w:cstheme="minorHAnsi"/>
          <w:color w:val="000000"/>
          <w:sz w:val="22"/>
          <w:szCs w:val="22"/>
        </w:rPr>
      </w:pPr>
    </w:p>
    <w:p w14:paraId="299C0E83" w14:textId="27F15F5E" w:rsidR="007372B6" w:rsidRDefault="00000000">
      <w:pPr>
        <w:tabs>
          <w:tab w:val="left" w:pos="1620"/>
        </w:tabs>
        <w:spacing w:line="312"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50. Table 5 provides estimates of changes in carbon stocks for the native forests and mangrove reforestation completed by the project (based on assumptions of average carbon stocks used in the baseline 2014 assessment). The estimated 945 ha of native and mangrove forests that were added by the project are best guesses from available reports because there were no basic monitoring data provided by the project. The 2014-2022 comparison shows that the project created less than a </w:t>
      </w:r>
      <w:r>
        <w:rPr>
          <w:rFonts w:ascii="Calibri" w:eastAsia="Calibri" w:hAnsi="Calibri" w:cstheme="minorHAnsi"/>
          <w:sz w:val="22"/>
          <w:szCs w:val="22"/>
          <w:lang w:eastAsia="en-US"/>
        </w:rPr>
        <w:t>0.5%</w:t>
      </w:r>
      <w:r>
        <w:rPr>
          <w:rFonts w:asciiTheme="minorHAnsi" w:eastAsiaTheme="minorHAnsi" w:hAnsiTheme="minorHAnsi" w:cstheme="minorHAnsi"/>
          <w:sz w:val="22"/>
          <w:szCs w:val="22"/>
          <w:lang w:eastAsia="en-US"/>
        </w:rPr>
        <w:t xml:space="preserve"> increase in total native and mangrove forest carbon stock from the baseline conditions (this estimate excludes carbon stock changes from natural regeneration of trees, shrubs and grasses).</w:t>
      </w:r>
    </w:p>
    <w:p w14:paraId="1B28C4B9" w14:textId="77777777" w:rsidR="007372B6" w:rsidRDefault="007372B6">
      <w:pPr>
        <w:rPr>
          <w:rFonts w:asciiTheme="minorHAnsi" w:hAnsiTheme="minorHAnsi" w:cstheme="minorHAnsi"/>
          <w:color w:val="000000"/>
          <w:sz w:val="12"/>
          <w:szCs w:val="12"/>
        </w:rPr>
      </w:pPr>
    </w:p>
    <w:p w14:paraId="7F217211" w14:textId="77777777" w:rsidR="00186449" w:rsidRDefault="00186449" w:rsidP="00186449">
      <w:pPr>
        <w:tabs>
          <w:tab w:val="left" w:pos="1620"/>
        </w:tabs>
        <w:spacing w:line="312" w:lineRule="auto"/>
        <w:jc w:val="center"/>
        <w:rPr>
          <w:rFonts w:ascii="Calibri" w:hAnsi="Calibri"/>
          <w:b/>
          <w:bCs/>
          <w:sz w:val="21"/>
          <w:szCs w:val="21"/>
        </w:rPr>
      </w:pPr>
      <w:r>
        <w:rPr>
          <w:rFonts w:ascii="Calibri" w:hAnsi="Calibri"/>
          <w:b/>
          <w:bCs/>
          <w:sz w:val="21"/>
          <w:szCs w:val="21"/>
        </w:rPr>
        <w:t>Table 5</w:t>
      </w:r>
    </w:p>
    <w:p w14:paraId="5048E9B9" w14:textId="273C6D47" w:rsidR="00186449" w:rsidRPr="00A34A90" w:rsidRDefault="00186449" w:rsidP="00A34A90">
      <w:pPr>
        <w:tabs>
          <w:tab w:val="left" w:pos="1620"/>
        </w:tabs>
        <w:spacing w:line="312" w:lineRule="auto"/>
        <w:jc w:val="center"/>
        <w:rPr>
          <w:rFonts w:ascii="Calibri" w:hAnsi="Calibri"/>
          <w:b/>
          <w:bCs/>
          <w:sz w:val="21"/>
          <w:szCs w:val="21"/>
        </w:rPr>
      </w:pPr>
      <w:r>
        <w:rPr>
          <w:rFonts w:ascii="Calibri" w:hAnsi="Calibri"/>
          <w:b/>
          <w:bCs/>
          <w:sz w:val="21"/>
          <w:szCs w:val="21"/>
        </w:rPr>
        <w:t>Estimated forest carbon stocks in native forests and mangroves in priority R2R catchments 2014-2022</w:t>
      </w:r>
    </w:p>
    <w:tbl>
      <w:tblPr>
        <w:tblStyle w:val="TableGrid"/>
        <w:tblW w:w="9481" w:type="dxa"/>
        <w:tblLook w:val="04A0" w:firstRow="1" w:lastRow="0" w:firstColumn="1" w:lastColumn="0" w:noHBand="0" w:noVBand="1"/>
      </w:tblPr>
      <w:tblGrid>
        <w:gridCol w:w="1424"/>
        <w:gridCol w:w="1093"/>
        <w:gridCol w:w="1103"/>
        <w:gridCol w:w="1286"/>
        <w:gridCol w:w="1066"/>
        <w:gridCol w:w="1152"/>
        <w:gridCol w:w="1185"/>
        <w:gridCol w:w="1172"/>
      </w:tblGrid>
      <w:tr w:rsidR="00D6266D" w:rsidRPr="00D6266D" w14:paraId="14D788A9" w14:textId="77777777" w:rsidTr="00A34A90">
        <w:tc>
          <w:tcPr>
            <w:tcW w:w="1424" w:type="dxa"/>
            <w:shd w:val="clear" w:color="auto" w:fill="D9E2F3" w:themeFill="accent1" w:themeFillTint="33"/>
          </w:tcPr>
          <w:p w14:paraId="183B4B01" w14:textId="442C453C" w:rsidR="00186449" w:rsidRPr="00A34A90" w:rsidRDefault="00186449" w:rsidP="00A34A90">
            <w:pPr>
              <w:tabs>
                <w:tab w:val="left" w:pos="1620"/>
              </w:tabs>
              <w:rPr>
                <w:rFonts w:asciiTheme="minorHAnsi" w:hAnsiTheme="minorHAnsi" w:cstheme="minorHAnsi"/>
                <w:b/>
                <w:bCs/>
                <w:color w:val="000000"/>
                <w:sz w:val="22"/>
                <w:szCs w:val="22"/>
              </w:rPr>
            </w:pPr>
            <w:r w:rsidRPr="00A34A90">
              <w:rPr>
                <w:rFonts w:asciiTheme="minorHAnsi" w:hAnsiTheme="minorHAnsi" w:cstheme="minorHAnsi"/>
                <w:b/>
                <w:bCs/>
                <w:color w:val="000000"/>
                <w:sz w:val="20"/>
                <w:szCs w:val="20"/>
                <w:lang w:val="en-AU"/>
              </w:rPr>
              <w:t>Fiji R2R project catchment area</w:t>
            </w:r>
          </w:p>
        </w:tc>
        <w:tc>
          <w:tcPr>
            <w:tcW w:w="1093" w:type="dxa"/>
            <w:shd w:val="clear" w:color="auto" w:fill="D9E2F3" w:themeFill="accent1" w:themeFillTint="33"/>
          </w:tcPr>
          <w:p w14:paraId="35B93550" w14:textId="04ED7EC8" w:rsidR="00186449" w:rsidRPr="00A34A90" w:rsidRDefault="00186449" w:rsidP="00A34A90">
            <w:pPr>
              <w:tabs>
                <w:tab w:val="left" w:pos="1620"/>
              </w:tabs>
              <w:jc w:val="center"/>
              <w:rPr>
                <w:rFonts w:asciiTheme="minorHAnsi" w:hAnsiTheme="minorHAnsi" w:cstheme="minorHAnsi"/>
                <w:b/>
                <w:bCs/>
                <w:color w:val="000000"/>
                <w:sz w:val="22"/>
                <w:szCs w:val="22"/>
              </w:rPr>
            </w:pPr>
            <w:r w:rsidRPr="00A34A90">
              <w:rPr>
                <w:rFonts w:asciiTheme="minorHAnsi" w:hAnsiTheme="minorHAnsi" w:cstheme="minorHAnsi"/>
                <w:b/>
                <w:bCs/>
                <w:color w:val="000000"/>
                <w:sz w:val="20"/>
                <w:szCs w:val="20"/>
                <w:lang w:val="en-AU"/>
              </w:rPr>
              <w:t>Native forest area + area planted</w:t>
            </w:r>
          </w:p>
        </w:tc>
        <w:tc>
          <w:tcPr>
            <w:tcW w:w="1103" w:type="dxa"/>
            <w:shd w:val="clear" w:color="auto" w:fill="D9E2F3" w:themeFill="accent1" w:themeFillTint="33"/>
          </w:tcPr>
          <w:p w14:paraId="1D3F10A3" w14:textId="50F89E6F" w:rsidR="00186449" w:rsidRPr="00A34A90" w:rsidRDefault="007C39F9" w:rsidP="00A34A90">
            <w:pPr>
              <w:tabs>
                <w:tab w:val="left" w:pos="1620"/>
              </w:tabs>
              <w:jc w:val="center"/>
              <w:rPr>
                <w:rFonts w:asciiTheme="minorHAnsi" w:hAnsiTheme="minorHAnsi" w:cstheme="minorHAnsi"/>
                <w:b/>
                <w:bCs/>
                <w:color w:val="000000"/>
                <w:sz w:val="22"/>
                <w:szCs w:val="22"/>
              </w:rPr>
            </w:pPr>
            <w:r w:rsidRPr="00A34A90">
              <w:rPr>
                <w:rFonts w:asciiTheme="minorHAnsi" w:hAnsiTheme="minorHAnsi" w:cstheme="minorHAnsi"/>
                <w:b/>
                <w:bCs/>
                <w:color w:val="000000"/>
                <w:sz w:val="20"/>
                <w:szCs w:val="20"/>
                <w:lang w:val="en-AU"/>
              </w:rPr>
              <w:t xml:space="preserve">Average     native </w:t>
            </w:r>
            <w:proofErr w:type="gramStart"/>
            <w:r w:rsidRPr="00A34A90">
              <w:rPr>
                <w:rFonts w:asciiTheme="minorHAnsi" w:hAnsiTheme="minorHAnsi" w:cstheme="minorHAnsi"/>
                <w:b/>
                <w:bCs/>
                <w:color w:val="000000"/>
                <w:sz w:val="20"/>
                <w:szCs w:val="20"/>
                <w:lang w:val="en-AU"/>
              </w:rPr>
              <w:t>forest  carbon</w:t>
            </w:r>
            <w:proofErr w:type="gramEnd"/>
            <w:r w:rsidRPr="00A34A90">
              <w:rPr>
                <w:rFonts w:asciiTheme="minorHAnsi" w:hAnsiTheme="minorHAnsi" w:cstheme="minorHAnsi"/>
                <w:b/>
                <w:bCs/>
                <w:color w:val="000000"/>
                <w:sz w:val="20"/>
                <w:szCs w:val="20"/>
                <w:lang w:val="en-AU"/>
              </w:rPr>
              <w:t xml:space="preserve"> stock*</w:t>
            </w:r>
          </w:p>
        </w:tc>
        <w:tc>
          <w:tcPr>
            <w:tcW w:w="1286" w:type="dxa"/>
            <w:shd w:val="clear" w:color="auto" w:fill="D9E2F3" w:themeFill="accent1" w:themeFillTint="33"/>
          </w:tcPr>
          <w:p w14:paraId="176DF723" w14:textId="67C0BAFB" w:rsidR="00186449" w:rsidRPr="00A34A90" w:rsidRDefault="007C39F9" w:rsidP="00A34A90">
            <w:pPr>
              <w:tabs>
                <w:tab w:val="left" w:pos="1620"/>
              </w:tabs>
              <w:jc w:val="center"/>
              <w:rPr>
                <w:rFonts w:asciiTheme="minorHAnsi" w:hAnsiTheme="minorHAnsi" w:cstheme="minorHAnsi"/>
                <w:b/>
                <w:bCs/>
                <w:color w:val="000000"/>
                <w:sz w:val="22"/>
                <w:szCs w:val="22"/>
              </w:rPr>
            </w:pPr>
            <w:r w:rsidRPr="00A34A90">
              <w:rPr>
                <w:rFonts w:asciiTheme="minorHAnsi" w:hAnsiTheme="minorHAnsi" w:cstheme="minorHAnsi"/>
                <w:b/>
                <w:bCs/>
                <w:color w:val="000000"/>
                <w:sz w:val="20"/>
                <w:szCs w:val="20"/>
                <w:lang w:val="en-AU"/>
              </w:rPr>
              <w:t>Total native forest carbon stock</w:t>
            </w:r>
          </w:p>
        </w:tc>
        <w:tc>
          <w:tcPr>
            <w:tcW w:w="1066" w:type="dxa"/>
            <w:shd w:val="clear" w:color="auto" w:fill="D9E2F3" w:themeFill="accent1" w:themeFillTint="33"/>
          </w:tcPr>
          <w:p w14:paraId="70AEBCD9" w14:textId="47D5FE1C" w:rsidR="00186449" w:rsidRPr="00A34A90" w:rsidRDefault="007C39F9" w:rsidP="00A34A90">
            <w:pPr>
              <w:tabs>
                <w:tab w:val="left" w:pos="1620"/>
              </w:tabs>
              <w:jc w:val="center"/>
              <w:rPr>
                <w:rFonts w:asciiTheme="minorHAnsi" w:hAnsiTheme="minorHAnsi" w:cstheme="minorHAnsi"/>
                <w:b/>
                <w:bCs/>
                <w:color w:val="000000"/>
                <w:sz w:val="20"/>
                <w:szCs w:val="20"/>
              </w:rPr>
            </w:pPr>
            <w:r w:rsidRPr="00A34A90">
              <w:rPr>
                <w:rFonts w:asciiTheme="minorHAnsi" w:hAnsiTheme="minorHAnsi" w:cstheme="minorHAnsi"/>
                <w:b/>
                <w:bCs/>
                <w:color w:val="000000"/>
                <w:sz w:val="20"/>
                <w:szCs w:val="20"/>
                <w:lang w:val="en-AU"/>
              </w:rPr>
              <w:t>Mangrove area + area planted</w:t>
            </w:r>
          </w:p>
        </w:tc>
        <w:tc>
          <w:tcPr>
            <w:tcW w:w="1152" w:type="dxa"/>
            <w:shd w:val="clear" w:color="auto" w:fill="D9E2F3" w:themeFill="accent1" w:themeFillTint="33"/>
          </w:tcPr>
          <w:p w14:paraId="7A8FC771" w14:textId="3714F2F6" w:rsidR="00186449" w:rsidRPr="00A34A90" w:rsidRDefault="007C39F9" w:rsidP="00A34A90">
            <w:pPr>
              <w:tabs>
                <w:tab w:val="left" w:pos="1620"/>
              </w:tabs>
              <w:jc w:val="center"/>
              <w:rPr>
                <w:rFonts w:asciiTheme="minorHAnsi" w:hAnsiTheme="minorHAnsi" w:cstheme="minorHAnsi"/>
                <w:b/>
                <w:bCs/>
                <w:color w:val="000000"/>
                <w:sz w:val="22"/>
                <w:szCs w:val="22"/>
              </w:rPr>
            </w:pPr>
            <w:r w:rsidRPr="00A34A90">
              <w:rPr>
                <w:rFonts w:asciiTheme="minorHAnsi" w:hAnsiTheme="minorHAnsi" w:cstheme="minorHAnsi"/>
                <w:b/>
                <w:bCs/>
                <w:color w:val="000000"/>
                <w:sz w:val="20"/>
                <w:szCs w:val="20"/>
                <w:lang w:val="en-AU"/>
              </w:rPr>
              <w:t>Average mangrove carbon stock</w:t>
            </w:r>
          </w:p>
        </w:tc>
        <w:tc>
          <w:tcPr>
            <w:tcW w:w="1185" w:type="dxa"/>
            <w:shd w:val="clear" w:color="auto" w:fill="D9E2F3" w:themeFill="accent1" w:themeFillTint="33"/>
          </w:tcPr>
          <w:p w14:paraId="78E32891" w14:textId="36EA4D46" w:rsidR="00186449" w:rsidRPr="00A34A90" w:rsidRDefault="007C39F9" w:rsidP="00A34A90">
            <w:pPr>
              <w:tabs>
                <w:tab w:val="left" w:pos="1620"/>
              </w:tabs>
              <w:jc w:val="center"/>
              <w:rPr>
                <w:rFonts w:asciiTheme="minorHAnsi" w:hAnsiTheme="minorHAnsi" w:cstheme="minorHAnsi"/>
                <w:b/>
                <w:bCs/>
                <w:color w:val="000000"/>
                <w:sz w:val="22"/>
                <w:szCs w:val="22"/>
              </w:rPr>
            </w:pPr>
            <w:r w:rsidRPr="00A34A90">
              <w:rPr>
                <w:rFonts w:asciiTheme="minorHAnsi" w:hAnsiTheme="minorHAnsi" w:cstheme="minorHAnsi"/>
                <w:b/>
                <w:bCs/>
                <w:color w:val="000000"/>
                <w:sz w:val="20"/>
                <w:szCs w:val="20"/>
                <w:lang w:val="en-AU"/>
              </w:rPr>
              <w:t>Total mangrove    carbon stock</w:t>
            </w:r>
          </w:p>
        </w:tc>
        <w:tc>
          <w:tcPr>
            <w:tcW w:w="1172" w:type="dxa"/>
            <w:shd w:val="clear" w:color="auto" w:fill="D9E2F3" w:themeFill="accent1" w:themeFillTint="33"/>
          </w:tcPr>
          <w:p w14:paraId="127E1C37" w14:textId="77777777" w:rsidR="007C39F9" w:rsidRPr="00A34A90" w:rsidRDefault="007C39F9" w:rsidP="00A34A90">
            <w:pPr>
              <w:widowControl w:val="0"/>
              <w:contextualSpacing/>
              <w:jc w:val="center"/>
              <w:rPr>
                <w:rFonts w:asciiTheme="minorHAnsi" w:hAnsiTheme="minorHAnsi" w:cstheme="minorHAnsi"/>
                <w:b/>
                <w:bCs/>
                <w:color w:val="000000"/>
                <w:sz w:val="20"/>
                <w:szCs w:val="20"/>
                <w:lang w:val="en-AU"/>
              </w:rPr>
            </w:pPr>
            <w:r w:rsidRPr="00A34A90">
              <w:rPr>
                <w:rFonts w:asciiTheme="minorHAnsi" w:hAnsiTheme="minorHAnsi" w:cstheme="minorHAnsi"/>
                <w:b/>
                <w:bCs/>
                <w:color w:val="000000"/>
                <w:sz w:val="20"/>
                <w:szCs w:val="20"/>
                <w:lang w:val="en-AU"/>
              </w:rPr>
              <w:t>Total native and mangrove</w:t>
            </w:r>
          </w:p>
          <w:p w14:paraId="3D983FE2" w14:textId="0B0D1F68" w:rsidR="00186449" w:rsidRPr="00A34A90" w:rsidRDefault="007C39F9" w:rsidP="00A34A90">
            <w:pPr>
              <w:tabs>
                <w:tab w:val="left" w:pos="1620"/>
              </w:tabs>
              <w:jc w:val="center"/>
              <w:rPr>
                <w:rFonts w:asciiTheme="minorHAnsi" w:hAnsiTheme="minorHAnsi" w:cstheme="minorHAnsi"/>
                <w:b/>
                <w:bCs/>
                <w:color w:val="000000"/>
                <w:sz w:val="22"/>
                <w:szCs w:val="22"/>
              </w:rPr>
            </w:pPr>
            <w:r w:rsidRPr="00A34A90">
              <w:rPr>
                <w:rFonts w:asciiTheme="minorHAnsi" w:hAnsiTheme="minorHAnsi" w:cstheme="minorHAnsi"/>
                <w:b/>
                <w:bCs/>
                <w:color w:val="000000"/>
                <w:sz w:val="20"/>
                <w:szCs w:val="20"/>
                <w:lang w:val="en-AU"/>
              </w:rPr>
              <w:t>carbon stock</w:t>
            </w:r>
          </w:p>
        </w:tc>
      </w:tr>
      <w:tr w:rsidR="00D6266D" w14:paraId="3E5AA4F3" w14:textId="77777777" w:rsidTr="00A34A90">
        <w:tc>
          <w:tcPr>
            <w:tcW w:w="1424" w:type="dxa"/>
          </w:tcPr>
          <w:p w14:paraId="2BA280C8" w14:textId="00586595" w:rsidR="00186449" w:rsidRPr="00A34A90" w:rsidRDefault="007C39F9" w:rsidP="004A59AF">
            <w:pPr>
              <w:tabs>
                <w:tab w:val="left" w:pos="1620"/>
              </w:tabs>
              <w:spacing w:line="312" w:lineRule="auto"/>
              <w:rPr>
                <w:rFonts w:asciiTheme="minorHAnsi" w:hAnsiTheme="minorHAnsi" w:cstheme="minorHAnsi"/>
                <w:i/>
                <w:iCs/>
                <w:color w:val="000000"/>
                <w:sz w:val="20"/>
                <w:szCs w:val="20"/>
              </w:rPr>
            </w:pPr>
            <w:r w:rsidRPr="00A34A90">
              <w:rPr>
                <w:rFonts w:asciiTheme="minorHAnsi" w:hAnsiTheme="minorHAnsi" w:cstheme="minorHAnsi"/>
                <w:i/>
                <w:iCs/>
                <w:color w:val="000000"/>
                <w:sz w:val="20"/>
                <w:szCs w:val="20"/>
              </w:rPr>
              <w:t>parameter</w:t>
            </w:r>
          </w:p>
        </w:tc>
        <w:tc>
          <w:tcPr>
            <w:tcW w:w="1093" w:type="dxa"/>
          </w:tcPr>
          <w:p w14:paraId="143333C7" w14:textId="26E590AD" w:rsidR="00186449" w:rsidRDefault="007C39F9" w:rsidP="00A34A90">
            <w:pPr>
              <w:tabs>
                <w:tab w:val="left" w:pos="1620"/>
              </w:tabs>
              <w:spacing w:line="312" w:lineRule="auto"/>
              <w:jc w:val="center"/>
              <w:rPr>
                <w:rFonts w:asciiTheme="minorHAnsi" w:hAnsiTheme="minorHAnsi" w:cstheme="minorHAnsi"/>
                <w:color w:val="000000"/>
                <w:sz w:val="22"/>
                <w:szCs w:val="22"/>
              </w:rPr>
            </w:pPr>
            <w:r>
              <w:rPr>
                <w:rFonts w:cstheme="minorHAnsi"/>
                <w:i/>
                <w:iCs/>
                <w:color w:val="000000"/>
                <w:sz w:val="20"/>
                <w:szCs w:val="20"/>
                <w:lang w:val="en-AU"/>
              </w:rPr>
              <w:t>ha</w:t>
            </w:r>
          </w:p>
        </w:tc>
        <w:tc>
          <w:tcPr>
            <w:tcW w:w="1103" w:type="dxa"/>
          </w:tcPr>
          <w:p w14:paraId="0B5618D6" w14:textId="38894734" w:rsidR="00186449" w:rsidRDefault="007C39F9" w:rsidP="00A34A90">
            <w:pPr>
              <w:tabs>
                <w:tab w:val="left" w:pos="1620"/>
              </w:tabs>
              <w:spacing w:line="312" w:lineRule="auto"/>
              <w:jc w:val="center"/>
              <w:rPr>
                <w:rFonts w:asciiTheme="minorHAnsi" w:hAnsiTheme="minorHAnsi" w:cstheme="minorHAnsi"/>
                <w:color w:val="000000"/>
                <w:sz w:val="22"/>
                <w:szCs w:val="22"/>
              </w:rPr>
            </w:pPr>
            <w:r>
              <w:rPr>
                <w:rFonts w:cstheme="minorHAnsi"/>
                <w:i/>
                <w:iCs/>
                <w:color w:val="000000"/>
                <w:sz w:val="20"/>
                <w:szCs w:val="20"/>
                <w:lang w:val="en-AU"/>
              </w:rPr>
              <w:t>CO</w:t>
            </w:r>
            <w:r>
              <w:rPr>
                <w:rFonts w:cstheme="minorHAnsi"/>
                <w:i/>
                <w:iCs/>
                <w:color w:val="000000"/>
                <w:sz w:val="20"/>
                <w:szCs w:val="20"/>
                <w:vertAlign w:val="subscript"/>
                <w:lang w:val="en-AU"/>
              </w:rPr>
              <w:t>2</w:t>
            </w:r>
            <w:r>
              <w:rPr>
                <w:rFonts w:cstheme="minorHAnsi"/>
                <w:i/>
                <w:iCs/>
                <w:color w:val="000000"/>
                <w:sz w:val="20"/>
                <w:szCs w:val="20"/>
                <w:lang w:val="en-AU"/>
              </w:rPr>
              <w:t xml:space="preserve"> MT eq/ha</w:t>
            </w:r>
          </w:p>
        </w:tc>
        <w:tc>
          <w:tcPr>
            <w:tcW w:w="1286" w:type="dxa"/>
          </w:tcPr>
          <w:p w14:paraId="01037E6C" w14:textId="64B445C2" w:rsidR="00186449" w:rsidRDefault="007C39F9" w:rsidP="00A34A90">
            <w:pPr>
              <w:tabs>
                <w:tab w:val="left" w:pos="1620"/>
              </w:tabs>
              <w:spacing w:line="312" w:lineRule="auto"/>
              <w:jc w:val="center"/>
              <w:rPr>
                <w:rFonts w:asciiTheme="minorHAnsi" w:hAnsiTheme="minorHAnsi" w:cstheme="minorHAnsi"/>
                <w:color w:val="000000"/>
                <w:sz w:val="22"/>
                <w:szCs w:val="22"/>
              </w:rPr>
            </w:pPr>
            <w:r>
              <w:rPr>
                <w:rFonts w:cstheme="minorHAnsi"/>
                <w:i/>
                <w:iCs/>
                <w:color w:val="000000"/>
                <w:sz w:val="20"/>
                <w:szCs w:val="20"/>
                <w:lang w:val="en-AU"/>
              </w:rPr>
              <w:t>CO</w:t>
            </w:r>
            <w:r>
              <w:rPr>
                <w:rFonts w:cstheme="minorHAnsi"/>
                <w:i/>
                <w:iCs/>
                <w:color w:val="000000"/>
                <w:sz w:val="20"/>
                <w:szCs w:val="20"/>
                <w:vertAlign w:val="subscript"/>
                <w:lang w:val="en-AU"/>
              </w:rPr>
              <w:t xml:space="preserve">2 </w:t>
            </w:r>
            <w:r>
              <w:rPr>
                <w:rFonts w:cstheme="minorHAnsi"/>
                <w:i/>
                <w:iCs/>
                <w:color w:val="000000"/>
                <w:sz w:val="20"/>
                <w:szCs w:val="20"/>
                <w:lang w:val="en-AU"/>
              </w:rPr>
              <w:t>MT eq</w:t>
            </w:r>
          </w:p>
        </w:tc>
        <w:tc>
          <w:tcPr>
            <w:tcW w:w="1066" w:type="dxa"/>
          </w:tcPr>
          <w:p w14:paraId="7E159CF1" w14:textId="2E99A590" w:rsidR="00186449" w:rsidRDefault="007C39F9" w:rsidP="00A34A90">
            <w:pPr>
              <w:tabs>
                <w:tab w:val="left" w:pos="1620"/>
              </w:tabs>
              <w:spacing w:line="312" w:lineRule="auto"/>
              <w:jc w:val="center"/>
              <w:rPr>
                <w:rFonts w:asciiTheme="minorHAnsi" w:hAnsiTheme="minorHAnsi" w:cstheme="minorHAnsi"/>
                <w:color w:val="000000"/>
                <w:sz w:val="22"/>
                <w:szCs w:val="22"/>
              </w:rPr>
            </w:pPr>
            <w:r>
              <w:rPr>
                <w:rFonts w:cstheme="minorHAnsi"/>
                <w:i/>
                <w:iCs/>
                <w:color w:val="000000"/>
                <w:sz w:val="20"/>
                <w:szCs w:val="20"/>
                <w:lang w:val="en-AU"/>
              </w:rPr>
              <w:t>ha</w:t>
            </w:r>
          </w:p>
        </w:tc>
        <w:tc>
          <w:tcPr>
            <w:tcW w:w="1152" w:type="dxa"/>
          </w:tcPr>
          <w:p w14:paraId="1E32D419" w14:textId="25788407" w:rsidR="00186449" w:rsidRDefault="007C39F9" w:rsidP="00A34A90">
            <w:pPr>
              <w:tabs>
                <w:tab w:val="left" w:pos="1620"/>
              </w:tabs>
              <w:spacing w:line="312" w:lineRule="auto"/>
              <w:jc w:val="center"/>
              <w:rPr>
                <w:rFonts w:asciiTheme="minorHAnsi" w:hAnsiTheme="minorHAnsi" w:cstheme="minorHAnsi"/>
                <w:color w:val="000000"/>
                <w:sz w:val="22"/>
                <w:szCs w:val="22"/>
              </w:rPr>
            </w:pPr>
            <w:r>
              <w:rPr>
                <w:rFonts w:cstheme="minorHAnsi"/>
                <w:i/>
                <w:iCs/>
                <w:color w:val="000000"/>
                <w:sz w:val="20"/>
                <w:szCs w:val="20"/>
                <w:lang w:val="en-AU"/>
              </w:rPr>
              <w:t>CO</w:t>
            </w:r>
            <w:r>
              <w:rPr>
                <w:rFonts w:cstheme="minorHAnsi"/>
                <w:i/>
                <w:iCs/>
                <w:color w:val="000000"/>
                <w:sz w:val="20"/>
                <w:szCs w:val="20"/>
                <w:vertAlign w:val="subscript"/>
                <w:lang w:val="en-AU"/>
              </w:rPr>
              <w:t>2</w:t>
            </w:r>
            <w:r>
              <w:rPr>
                <w:rFonts w:cstheme="minorHAnsi"/>
                <w:i/>
                <w:iCs/>
                <w:color w:val="000000"/>
                <w:sz w:val="20"/>
                <w:szCs w:val="20"/>
                <w:lang w:val="en-AU"/>
              </w:rPr>
              <w:t xml:space="preserve"> MT eq/ha</w:t>
            </w:r>
          </w:p>
        </w:tc>
        <w:tc>
          <w:tcPr>
            <w:tcW w:w="1185" w:type="dxa"/>
          </w:tcPr>
          <w:p w14:paraId="1EFF7C8E" w14:textId="6C56A2B9" w:rsidR="00186449" w:rsidRDefault="007C39F9" w:rsidP="00A34A90">
            <w:pPr>
              <w:tabs>
                <w:tab w:val="left" w:pos="1620"/>
              </w:tabs>
              <w:spacing w:line="312" w:lineRule="auto"/>
              <w:jc w:val="center"/>
              <w:rPr>
                <w:rFonts w:asciiTheme="minorHAnsi" w:hAnsiTheme="minorHAnsi" w:cstheme="minorHAnsi"/>
                <w:color w:val="000000"/>
                <w:sz w:val="22"/>
                <w:szCs w:val="22"/>
              </w:rPr>
            </w:pPr>
            <w:r>
              <w:rPr>
                <w:rFonts w:cstheme="minorHAnsi"/>
                <w:i/>
                <w:iCs/>
                <w:color w:val="000000"/>
                <w:sz w:val="20"/>
                <w:szCs w:val="20"/>
                <w:lang w:val="en-AU"/>
              </w:rPr>
              <w:t>CO</w:t>
            </w:r>
            <w:r>
              <w:rPr>
                <w:rFonts w:cstheme="minorHAnsi"/>
                <w:i/>
                <w:iCs/>
                <w:color w:val="000000"/>
                <w:sz w:val="20"/>
                <w:szCs w:val="20"/>
                <w:vertAlign w:val="subscript"/>
                <w:lang w:val="en-AU"/>
              </w:rPr>
              <w:t xml:space="preserve">2 </w:t>
            </w:r>
            <w:r>
              <w:rPr>
                <w:rFonts w:cstheme="minorHAnsi"/>
                <w:i/>
                <w:iCs/>
                <w:color w:val="000000"/>
                <w:sz w:val="20"/>
                <w:szCs w:val="20"/>
                <w:lang w:val="en-AU"/>
              </w:rPr>
              <w:t>MT eq</w:t>
            </w:r>
          </w:p>
        </w:tc>
        <w:tc>
          <w:tcPr>
            <w:tcW w:w="1172" w:type="dxa"/>
          </w:tcPr>
          <w:p w14:paraId="4A5A1346" w14:textId="37FC87F4" w:rsidR="00186449" w:rsidRDefault="007C39F9" w:rsidP="00A34A90">
            <w:pPr>
              <w:tabs>
                <w:tab w:val="left" w:pos="1620"/>
              </w:tabs>
              <w:spacing w:line="312" w:lineRule="auto"/>
              <w:jc w:val="center"/>
              <w:rPr>
                <w:rFonts w:asciiTheme="minorHAnsi" w:hAnsiTheme="minorHAnsi" w:cstheme="minorHAnsi"/>
                <w:color w:val="000000"/>
                <w:sz w:val="22"/>
                <w:szCs w:val="22"/>
              </w:rPr>
            </w:pPr>
            <w:r>
              <w:rPr>
                <w:rFonts w:cstheme="minorHAnsi"/>
                <w:i/>
                <w:iCs/>
                <w:color w:val="000000"/>
                <w:sz w:val="20"/>
                <w:szCs w:val="20"/>
                <w:lang w:val="en-AU"/>
              </w:rPr>
              <w:t>CO</w:t>
            </w:r>
            <w:r>
              <w:rPr>
                <w:rFonts w:cstheme="minorHAnsi"/>
                <w:i/>
                <w:iCs/>
                <w:color w:val="000000"/>
                <w:sz w:val="20"/>
                <w:szCs w:val="20"/>
                <w:vertAlign w:val="subscript"/>
                <w:lang w:val="en-AU"/>
              </w:rPr>
              <w:t xml:space="preserve">2 </w:t>
            </w:r>
            <w:r>
              <w:rPr>
                <w:rFonts w:cstheme="minorHAnsi"/>
                <w:i/>
                <w:iCs/>
                <w:color w:val="000000"/>
                <w:sz w:val="20"/>
                <w:szCs w:val="20"/>
                <w:lang w:val="en-AU"/>
              </w:rPr>
              <w:t>MT eq</w:t>
            </w:r>
          </w:p>
        </w:tc>
      </w:tr>
      <w:tr w:rsidR="00D6266D" w14:paraId="1E30E477" w14:textId="77777777" w:rsidTr="00A34A90">
        <w:tc>
          <w:tcPr>
            <w:tcW w:w="1424" w:type="dxa"/>
          </w:tcPr>
          <w:p w14:paraId="30A128BA" w14:textId="77777777" w:rsidR="00D6266D" w:rsidRDefault="00D6266D" w:rsidP="00D6266D">
            <w:pPr>
              <w:widowControl w:val="0"/>
              <w:spacing w:before="60" w:after="60"/>
              <w:contextualSpacing/>
              <w:rPr>
                <w:rFonts w:cstheme="minorHAnsi"/>
                <w:color w:val="000000"/>
                <w:sz w:val="20"/>
                <w:szCs w:val="20"/>
                <w:lang w:val="en-AU"/>
              </w:rPr>
            </w:pPr>
            <w:r>
              <w:rPr>
                <w:rFonts w:cstheme="minorHAnsi"/>
                <w:color w:val="000000"/>
                <w:sz w:val="20"/>
                <w:szCs w:val="20"/>
                <w:lang w:val="en-AU"/>
              </w:rPr>
              <w:t>Ba 2014</w:t>
            </w:r>
          </w:p>
          <w:p w14:paraId="7980549C" w14:textId="66985938" w:rsidR="00186449" w:rsidRDefault="00D6266D" w:rsidP="00D6266D">
            <w:pPr>
              <w:tabs>
                <w:tab w:val="left" w:pos="1620"/>
              </w:tabs>
              <w:spacing w:line="312" w:lineRule="auto"/>
              <w:rPr>
                <w:rFonts w:asciiTheme="minorHAnsi" w:hAnsiTheme="minorHAnsi" w:cstheme="minorHAnsi"/>
                <w:color w:val="000000"/>
                <w:sz w:val="22"/>
                <w:szCs w:val="22"/>
              </w:rPr>
            </w:pPr>
            <w:r>
              <w:rPr>
                <w:rFonts w:cstheme="minorHAnsi"/>
                <w:color w:val="000000"/>
                <w:sz w:val="20"/>
                <w:szCs w:val="20"/>
                <w:lang w:val="en-AU"/>
              </w:rPr>
              <w:t>Ba 202</w:t>
            </w:r>
            <w:r>
              <w:rPr>
                <w:rFonts w:cstheme="minorHAnsi"/>
                <w:color w:val="000000"/>
                <w:sz w:val="20"/>
                <w:szCs w:val="20"/>
                <w:lang w:val="en-AU"/>
              </w:rPr>
              <w:t>2</w:t>
            </w:r>
          </w:p>
        </w:tc>
        <w:tc>
          <w:tcPr>
            <w:tcW w:w="1093" w:type="dxa"/>
          </w:tcPr>
          <w:p w14:paraId="3738F412"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28,939</w:t>
            </w:r>
          </w:p>
          <w:p w14:paraId="4B3AEFF7" w14:textId="1EF82A63"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+ 246.7</w:t>
            </w:r>
          </w:p>
        </w:tc>
        <w:tc>
          <w:tcPr>
            <w:tcW w:w="1103" w:type="dxa"/>
          </w:tcPr>
          <w:p w14:paraId="2F14A3FC" w14:textId="47B68DC2"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153</w:t>
            </w:r>
          </w:p>
        </w:tc>
        <w:tc>
          <w:tcPr>
            <w:tcW w:w="1286" w:type="dxa"/>
          </w:tcPr>
          <w:p w14:paraId="6D37B572" w14:textId="77777777" w:rsidR="00D6266D" w:rsidRDefault="00D6266D" w:rsidP="00A34A90">
            <w:pPr>
              <w:widowControl w:val="0"/>
              <w:spacing w:before="60" w:after="60"/>
              <w:ind w:right="170"/>
              <w:contextualSpacing/>
              <w:jc w:val="center"/>
              <w:rPr>
                <w:rFonts w:cstheme="minorHAnsi"/>
                <w:color w:val="000000"/>
                <w:sz w:val="20"/>
                <w:szCs w:val="20"/>
                <w:lang w:val="en-AU"/>
              </w:rPr>
            </w:pPr>
            <w:r>
              <w:rPr>
                <w:rFonts w:cstheme="minorHAnsi"/>
                <w:color w:val="000000"/>
                <w:sz w:val="20"/>
                <w:szCs w:val="20"/>
                <w:lang w:val="en-AU"/>
              </w:rPr>
              <w:t>4,418,985</w:t>
            </w:r>
          </w:p>
          <w:p w14:paraId="45E3B870" w14:textId="0D38BDD2"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5,775,000</w:t>
            </w:r>
          </w:p>
        </w:tc>
        <w:tc>
          <w:tcPr>
            <w:tcW w:w="1066" w:type="dxa"/>
          </w:tcPr>
          <w:p w14:paraId="49FB6C44"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4,594</w:t>
            </w:r>
          </w:p>
          <w:p w14:paraId="4C277BE0" w14:textId="4D754CE9"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+0.145</w:t>
            </w:r>
          </w:p>
        </w:tc>
        <w:tc>
          <w:tcPr>
            <w:tcW w:w="1152" w:type="dxa"/>
          </w:tcPr>
          <w:p w14:paraId="21C81C64" w14:textId="3ACF2BC2"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851**</w:t>
            </w:r>
          </w:p>
        </w:tc>
        <w:tc>
          <w:tcPr>
            <w:tcW w:w="1185" w:type="dxa"/>
          </w:tcPr>
          <w:p w14:paraId="228A65A3" w14:textId="77777777" w:rsidR="00D6266D" w:rsidRDefault="00D6266D" w:rsidP="00A34A90">
            <w:pPr>
              <w:widowControl w:val="0"/>
              <w:spacing w:before="60" w:after="60"/>
              <w:ind w:right="57"/>
              <w:contextualSpacing/>
              <w:jc w:val="center"/>
              <w:rPr>
                <w:rFonts w:cstheme="minorHAnsi"/>
                <w:color w:val="000000"/>
                <w:sz w:val="20"/>
                <w:szCs w:val="20"/>
                <w:lang w:val="en-AU"/>
              </w:rPr>
            </w:pPr>
            <w:r>
              <w:rPr>
                <w:rFonts w:cstheme="minorHAnsi"/>
                <w:color w:val="000000"/>
                <w:sz w:val="20"/>
                <w:szCs w:val="20"/>
                <w:lang w:val="en-AU"/>
              </w:rPr>
              <w:t>3,909,494</w:t>
            </w:r>
          </w:p>
          <w:p w14:paraId="14F5DDE8" w14:textId="3269EB04"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3,909,617</w:t>
            </w:r>
          </w:p>
        </w:tc>
        <w:tc>
          <w:tcPr>
            <w:tcW w:w="1172" w:type="dxa"/>
          </w:tcPr>
          <w:p w14:paraId="374EBBE3" w14:textId="37E01AA6"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13,753,959</w:t>
            </w:r>
          </w:p>
        </w:tc>
      </w:tr>
      <w:tr w:rsidR="00D6266D" w14:paraId="1F93A576" w14:textId="77777777" w:rsidTr="00A34A90">
        <w:tc>
          <w:tcPr>
            <w:tcW w:w="1424" w:type="dxa"/>
          </w:tcPr>
          <w:p w14:paraId="67F5A73E" w14:textId="77777777" w:rsidR="00D6266D" w:rsidRDefault="00D6266D" w:rsidP="00D6266D">
            <w:pPr>
              <w:widowControl w:val="0"/>
              <w:spacing w:before="60" w:after="60"/>
              <w:contextualSpacing/>
              <w:rPr>
                <w:rFonts w:cstheme="minorHAnsi"/>
                <w:color w:val="000000"/>
                <w:sz w:val="20"/>
                <w:szCs w:val="20"/>
                <w:lang w:val="en-AU"/>
              </w:rPr>
            </w:pPr>
            <w:r>
              <w:rPr>
                <w:rFonts w:cstheme="minorHAnsi"/>
                <w:color w:val="000000"/>
                <w:sz w:val="20"/>
                <w:szCs w:val="20"/>
                <w:lang w:val="en-AU"/>
              </w:rPr>
              <w:t>Labasa 2014</w:t>
            </w:r>
          </w:p>
          <w:p w14:paraId="01D63C4E" w14:textId="561DD56E" w:rsidR="00186449" w:rsidRDefault="00D6266D" w:rsidP="00D6266D">
            <w:pPr>
              <w:tabs>
                <w:tab w:val="left" w:pos="1620"/>
              </w:tabs>
              <w:spacing w:line="312" w:lineRule="auto"/>
              <w:rPr>
                <w:rFonts w:asciiTheme="minorHAnsi" w:hAnsiTheme="minorHAnsi" w:cstheme="minorHAnsi"/>
                <w:color w:val="000000"/>
                <w:sz w:val="22"/>
                <w:szCs w:val="22"/>
              </w:rPr>
            </w:pPr>
            <w:r>
              <w:rPr>
                <w:rFonts w:cstheme="minorHAnsi"/>
                <w:color w:val="000000"/>
                <w:sz w:val="20"/>
                <w:szCs w:val="20"/>
                <w:lang w:val="en-AU"/>
              </w:rPr>
              <w:t>Labasa 2022</w:t>
            </w:r>
          </w:p>
        </w:tc>
        <w:tc>
          <w:tcPr>
            <w:tcW w:w="1093" w:type="dxa"/>
          </w:tcPr>
          <w:p w14:paraId="1CAAF6C0"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8,890</w:t>
            </w:r>
          </w:p>
          <w:p w14:paraId="12D43236" w14:textId="65C8E6BC" w:rsidR="00186449" w:rsidRDefault="00D6266D" w:rsidP="00D6266D">
            <w:pPr>
              <w:tabs>
                <w:tab w:val="left" w:pos="1620"/>
              </w:tabs>
              <w:spacing w:line="312" w:lineRule="auto"/>
              <w:rPr>
                <w:rFonts w:asciiTheme="minorHAnsi" w:hAnsiTheme="minorHAnsi" w:cstheme="minorHAnsi"/>
                <w:color w:val="000000"/>
                <w:sz w:val="22"/>
                <w:szCs w:val="22"/>
              </w:rPr>
            </w:pPr>
            <w:r>
              <w:rPr>
                <w:rFonts w:cstheme="minorHAnsi"/>
                <w:b/>
                <w:bCs/>
                <w:color w:val="000000"/>
                <w:sz w:val="20"/>
                <w:szCs w:val="20"/>
                <w:lang w:val="en-AU"/>
              </w:rPr>
              <w:t>+ 210.7</w:t>
            </w:r>
          </w:p>
        </w:tc>
        <w:tc>
          <w:tcPr>
            <w:tcW w:w="1103" w:type="dxa"/>
          </w:tcPr>
          <w:p w14:paraId="71970C18" w14:textId="5BFB47AC" w:rsidR="00186449" w:rsidRDefault="00D6266D" w:rsidP="004A59AF">
            <w:pPr>
              <w:tabs>
                <w:tab w:val="left" w:pos="1620"/>
              </w:tabs>
              <w:spacing w:line="312" w:lineRule="auto"/>
              <w:rPr>
                <w:rFonts w:asciiTheme="minorHAnsi" w:hAnsiTheme="minorHAnsi" w:cstheme="minorHAnsi"/>
                <w:color w:val="000000"/>
                <w:sz w:val="22"/>
                <w:szCs w:val="22"/>
              </w:rPr>
            </w:pPr>
            <w:r>
              <w:rPr>
                <w:rFonts w:cstheme="minorHAnsi"/>
                <w:color w:val="000000"/>
                <w:sz w:val="20"/>
                <w:szCs w:val="20"/>
                <w:lang w:val="en-AU"/>
              </w:rPr>
              <w:t>181</w:t>
            </w:r>
          </w:p>
        </w:tc>
        <w:tc>
          <w:tcPr>
            <w:tcW w:w="1286" w:type="dxa"/>
          </w:tcPr>
          <w:p w14:paraId="4AB7FAB1" w14:textId="1B122413" w:rsidR="00186449" w:rsidRDefault="00D6266D" w:rsidP="004A59AF">
            <w:pPr>
              <w:tabs>
                <w:tab w:val="left" w:pos="1620"/>
              </w:tabs>
              <w:spacing w:line="312" w:lineRule="auto"/>
              <w:rPr>
                <w:rFonts w:asciiTheme="minorHAnsi" w:hAnsiTheme="minorHAnsi" w:cstheme="minorHAnsi"/>
                <w:color w:val="000000"/>
                <w:sz w:val="22"/>
                <w:szCs w:val="22"/>
              </w:rPr>
            </w:pPr>
            <w:r>
              <w:rPr>
                <w:rFonts w:cstheme="minorHAnsi"/>
                <w:color w:val="000000"/>
                <w:sz w:val="20"/>
                <w:szCs w:val="20"/>
                <w:lang w:val="en-AU"/>
              </w:rPr>
              <w:t>1,608,201</w:t>
            </w:r>
          </w:p>
        </w:tc>
        <w:tc>
          <w:tcPr>
            <w:tcW w:w="1066" w:type="dxa"/>
          </w:tcPr>
          <w:p w14:paraId="61AC901C"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3,000</w:t>
            </w:r>
          </w:p>
          <w:p w14:paraId="0F192974" w14:textId="77777777" w:rsidR="00186449" w:rsidRDefault="00186449" w:rsidP="004A59AF">
            <w:pPr>
              <w:tabs>
                <w:tab w:val="left" w:pos="1620"/>
              </w:tabs>
              <w:spacing w:line="312" w:lineRule="auto"/>
              <w:rPr>
                <w:rFonts w:asciiTheme="minorHAnsi" w:hAnsiTheme="minorHAnsi" w:cstheme="minorHAnsi"/>
                <w:color w:val="000000"/>
                <w:sz w:val="22"/>
                <w:szCs w:val="22"/>
              </w:rPr>
            </w:pPr>
          </w:p>
        </w:tc>
        <w:tc>
          <w:tcPr>
            <w:tcW w:w="1152" w:type="dxa"/>
          </w:tcPr>
          <w:p w14:paraId="5357EFC0" w14:textId="43D6352F" w:rsidR="00186449" w:rsidRDefault="00D6266D" w:rsidP="004A59AF">
            <w:pPr>
              <w:tabs>
                <w:tab w:val="left" w:pos="1620"/>
              </w:tabs>
              <w:spacing w:line="312" w:lineRule="auto"/>
              <w:rPr>
                <w:rFonts w:asciiTheme="minorHAnsi" w:hAnsiTheme="minorHAnsi" w:cstheme="minorHAnsi"/>
                <w:color w:val="000000"/>
                <w:sz w:val="22"/>
                <w:szCs w:val="22"/>
              </w:rPr>
            </w:pPr>
            <w:r>
              <w:rPr>
                <w:rFonts w:cstheme="minorHAnsi"/>
                <w:color w:val="000000"/>
                <w:sz w:val="20"/>
                <w:szCs w:val="20"/>
                <w:lang w:val="en-AU"/>
              </w:rPr>
              <w:t>851**</w:t>
            </w:r>
          </w:p>
        </w:tc>
        <w:tc>
          <w:tcPr>
            <w:tcW w:w="1185" w:type="dxa"/>
          </w:tcPr>
          <w:p w14:paraId="6F9583D2" w14:textId="572C034E" w:rsidR="00186449" w:rsidRDefault="00D6266D" w:rsidP="004A59AF">
            <w:pPr>
              <w:tabs>
                <w:tab w:val="left" w:pos="1620"/>
              </w:tabs>
              <w:spacing w:line="312" w:lineRule="auto"/>
              <w:rPr>
                <w:rFonts w:asciiTheme="minorHAnsi" w:hAnsiTheme="minorHAnsi" w:cstheme="minorHAnsi"/>
                <w:color w:val="000000"/>
                <w:sz w:val="22"/>
                <w:szCs w:val="22"/>
              </w:rPr>
            </w:pPr>
            <w:r>
              <w:rPr>
                <w:rFonts w:cstheme="minorHAnsi"/>
                <w:color w:val="000000"/>
                <w:sz w:val="20"/>
                <w:szCs w:val="20"/>
                <w:lang w:val="en-AU"/>
              </w:rPr>
              <w:t>2,553,000</w:t>
            </w:r>
          </w:p>
        </w:tc>
        <w:tc>
          <w:tcPr>
            <w:tcW w:w="1172" w:type="dxa"/>
          </w:tcPr>
          <w:p w14:paraId="55EEFEC8" w14:textId="06F10280" w:rsidR="00186449" w:rsidRDefault="00D6266D" w:rsidP="004A59AF">
            <w:pPr>
              <w:tabs>
                <w:tab w:val="left" w:pos="1620"/>
              </w:tabs>
              <w:spacing w:line="312" w:lineRule="auto"/>
              <w:rPr>
                <w:rFonts w:asciiTheme="minorHAnsi" w:hAnsiTheme="minorHAnsi" w:cstheme="minorHAnsi"/>
                <w:color w:val="000000"/>
                <w:sz w:val="22"/>
                <w:szCs w:val="22"/>
              </w:rPr>
            </w:pPr>
            <w:r>
              <w:rPr>
                <w:rFonts w:cstheme="minorHAnsi"/>
                <w:color w:val="000000"/>
                <w:sz w:val="20"/>
                <w:szCs w:val="20"/>
                <w:lang w:val="en-AU"/>
              </w:rPr>
              <w:t>5,559,531</w:t>
            </w:r>
          </w:p>
        </w:tc>
      </w:tr>
      <w:tr w:rsidR="00D6266D" w14:paraId="4B4E2DD1" w14:textId="77777777" w:rsidTr="00A34A90">
        <w:tc>
          <w:tcPr>
            <w:tcW w:w="1424" w:type="dxa"/>
          </w:tcPr>
          <w:p w14:paraId="7F0A7717" w14:textId="77777777" w:rsidR="00D6266D" w:rsidRDefault="00D6266D" w:rsidP="00D6266D">
            <w:pPr>
              <w:widowControl w:val="0"/>
              <w:spacing w:before="60" w:after="60"/>
              <w:contextualSpacing/>
              <w:rPr>
                <w:rFonts w:cstheme="minorHAnsi"/>
                <w:color w:val="000000"/>
                <w:sz w:val="20"/>
                <w:szCs w:val="20"/>
                <w:lang w:val="en-AU"/>
              </w:rPr>
            </w:pPr>
            <w:proofErr w:type="spellStart"/>
            <w:r>
              <w:rPr>
                <w:rFonts w:cstheme="minorHAnsi"/>
                <w:color w:val="000000"/>
                <w:sz w:val="20"/>
                <w:szCs w:val="20"/>
                <w:lang w:val="en-AU"/>
              </w:rPr>
              <w:t>Rewa</w:t>
            </w:r>
            <w:proofErr w:type="spellEnd"/>
            <w:r>
              <w:rPr>
                <w:rFonts w:cstheme="minorHAnsi"/>
                <w:color w:val="000000"/>
                <w:sz w:val="20"/>
                <w:szCs w:val="20"/>
                <w:lang w:val="en-AU"/>
              </w:rPr>
              <w:t xml:space="preserve"> delta</w:t>
            </w:r>
          </w:p>
          <w:p w14:paraId="42A37F30" w14:textId="4F879C8C" w:rsidR="00186449" w:rsidRDefault="00D6266D" w:rsidP="00D6266D">
            <w:pPr>
              <w:tabs>
                <w:tab w:val="left" w:pos="1620"/>
              </w:tabs>
              <w:spacing w:line="312" w:lineRule="auto"/>
              <w:rPr>
                <w:rFonts w:asciiTheme="minorHAnsi" w:hAnsiTheme="minorHAnsi" w:cstheme="minorHAnsi"/>
                <w:color w:val="000000"/>
                <w:sz w:val="22"/>
                <w:szCs w:val="22"/>
              </w:rPr>
            </w:pPr>
            <w:proofErr w:type="spellStart"/>
            <w:r>
              <w:rPr>
                <w:rFonts w:cstheme="minorHAnsi"/>
                <w:color w:val="000000"/>
                <w:sz w:val="20"/>
                <w:szCs w:val="20"/>
                <w:lang w:val="en-AU"/>
              </w:rPr>
              <w:t>Rewa</w:t>
            </w:r>
            <w:proofErr w:type="spellEnd"/>
            <w:r>
              <w:rPr>
                <w:rFonts w:cstheme="minorHAnsi"/>
                <w:color w:val="000000"/>
                <w:sz w:val="20"/>
                <w:szCs w:val="20"/>
                <w:lang w:val="en-AU"/>
              </w:rPr>
              <w:t xml:space="preserve"> - 2022</w:t>
            </w:r>
          </w:p>
        </w:tc>
        <w:tc>
          <w:tcPr>
            <w:tcW w:w="1093" w:type="dxa"/>
          </w:tcPr>
          <w:p w14:paraId="73B1F52E"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2,943</w:t>
            </w:r>
          </w:p>
          <w:p w14:paraId="15531BD9" w14:textId="0D17DFD9"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+ 0</w:t>
            </w:r>
          </w:p>
        </w:tc>
        <w:tc>
          <w:tcPr>
            <w:tcW w:w="1103" w:type="dxa"/>
          </w:tcPr>
          <w:p w14:paraId="30600B48" w14:textId="643CBD0A"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175</w:t>
            </w:r>
          </w:p>
        </w:tc>
        <w:tc>
          <w:tcPr>
            <w:tcW w:w="1286" w:type="dxa"/>
          </w:tcPr>
          <w:p w14:paraId="6F9D8C84" w14:textId="45CBC7A8"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515,025</w:t>
            </w:r>
          </w:p>
        </w:tc>
        <w:tc>
          <w:tcPr>
            <w:tcW w:w="1066" w:type="dxa"/>
          </w:tcPr>
          <w:p w14:paraId="456056F2"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8,636</w:t>
            </w:r>
          </w:p>
          <w:p w14:paraId="0A24891C" w14:textId="1BF44979"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+30</w:t>
            </w:r>
          </w:p>
        </w:tc>
        <w:tc>
          <w:tcPr>
            <w:tcW w:w="1152" w:type="dxa"/>
          </w:tcPr>
          <w:p w14:paraId="36ACB30A" w14:textId="34ADA5BE"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1,703</w:t>
            </w:r>
          </w:p>
        </w:tc>
        <w:tc>
          <w:tcPr>
            <w:tcW w:w="1185" w:type="dxa"/>
          </w:tcPr>
          <w:p w14:paraId="1A5D657F" w14:textId="2BC4F633"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14,707,108</w:t>
            </w:r>
          </w:p>
        </w:tc>
        <w:tc>
          <w:tcPr>
            <w:tcW w:w="1172" w:type="dxa"/>
          </w:tcPr>
          <w:p w14:paraId="0C0B6AF8" w14:textId="569ACFFA"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15,222,133</w:t>
            </w:r>
          </w:p>
        </w:tc>
      </w:tr>
      <w:tr w:rsidR="00D6266D" w14:paraId="7E5B621C" w14:textId="77777777" w:rsidTr="00A34A90">
        <w:tc>
          <w:tcPr>
            <w:tcW w:w="1424" w:type="dxa"/>
          </w:tcPr>
          <w:p w14:paraId="4681E6AA" w14:textId="77777777" w:rsidR="00D6266D" w:rsidRDefault="00D6266D" w:rsidP="00D6266D">
            <w:pPr>
              <w:widowControl w:val="0"/>
              <w:spacing w:before="60" w:after="60"/>
              <w:contextualSpacing/>
              <w:rPr>
                <w:rFonts w:cstheme="minorHAnsi"/>
                <w:color w:val="000000"/>
                <w:sz w:val="20"/>
                <w:szCs w:val="20"/>
                <w:lang w:val="en-AU"/>
              </w:rPr>
            </w:pPr>
            <w:proofErr w:type="spellStart"/>
            <w:r>
              <w:rPr>
                <w:rFonts w:cstheme="minorHAnsi"/>
                <w:color w:val="000000"/>
                <w:sz w:val="20"/>
                <w:szCs w:val="20"/>
                <w:lang w:val="en-AU"/>
              </w:rPr>
              <w:t>Rewa</w:t>
            </w:r>
            <w:proofErr w:type="spellEnd"/>
            <w:r>
              <w:rPr>
                <w:rFonts w:cstheme="minorHAnsi"/>
                <w:color w:val="000000"/>
                <w:sz w:val="20"/>
                <w:szCs w:val="20"/>
                <w:lang w:val="en-AU"/>
              </w:rPr>
              <w:t xml:space="preserve">- </w:t>
            </w:r>
            <w:proofErr w:type="spellStart"/>
            <w:r>
              <w:rPr>
                <w:rFonts w:cstheme="minorHAnsi"/>
                <w:color w:val="000000"/>
                <w:sz w:val="20"/>
                <w:szCs w:val="20"/>
                <w:lang w:val="en-AU"/>
              </w:rPr>
              <w:t>Waidina</w:t>
            </w:r>
            <w:proofErr w:type="spellEnd"/>
            <w:r>
              <w:rPr>
                <w:rFonts w:cstheme="minorHAnsi"/>
                <w:color w:val="000000"/>
                <w:sz w:val="20"/>
                <w:szCs w:val="20"/>
                <w:lang w:val="en-AU"/>
              </w:rPr>
              <w:t xml:space="preserve"> 2014</w:t>
            </w:r>
          </w:p>
          <w:p w14:paraId="5A12A38C" w14:textId="25441DC7" w:rsidR="00186449" w:rsidRDefault="00D6266D" w:rsidP="00D6266D">
            <w:pPr>
              <w:tabs>
                <w:tab w:val="left" w:pos="1620"/>
              </w:tabs>
              <w:spacing w:line="312" w:lineRule="auto"/>
              <w:rPr>
                <w:rFonts w:asciiTheme="minorHAnsi" w:hAnsiTheme="minorHAnsi" w:cstheme="minorHAnsi"/>
                <w:color w:val="000000"/>
                <w:sz w:val="22"/>
                <w:szCs w:val="22"/>
              </w:rPr>
            </w:pPr>
            <w:proofErr w:type="spellStart"/>
            <w:r>
              <w:rPr>
                <w:rFonts w:cstheme="minorHAnsi"/>
                <w:color w:val="000000"/>
                <w:sz w:val="20"/>
                <w:szCs w:val="20"/>
                <w:lang w:val="en-AU"/>
              </w:rPr>
              <w:t>Rewa</w:t>
            </w:r>
            <w:proofErr w:type="spellEnd"/>
            <w:r>
              <w:rPr>
                <w:rFonts w:cstheme="minorHAnsi"/>
                <w:color w:val="000000"/>
                <w:sz w:val="20"/>
                <w:szCs w:val="20"/>
                <w:lang w:val="en-AU"/>
              </w:rPr>
              <w:t>-W</w:t>
            </w:r>
            <w:r>
              <w:rPr>
                <w:rFonts w:cstheme="minorHAnsi"/>
                <w:color w:val="000000"/>
                <w:sz w:val="20"/>
                <w:szCs w:val="20"/>
                <w:lang w:val="en-AU"/>
              </w:rPr>
              <w:t>.</w:t>
            </w:r>
            <w:r>
              <w:rPr>
                <w:rFonts w:cstheme="minorHAnsi"/>
                <w:color w:val="000000"/>
                <w:sz w:val="20"/>
                <w:szCs w:val="20"/>
                <w:lang w:val="en-AU"/>
              </w:rPr>
              <w:t xml:space="preserve"> 2022</w:t>
            </w:r>
          </w:p>
        </w:tc>
        <w:tc>
          <w:tcPr>
            <w:tcW w:w="1093" w:type="dxa"/>
          </w:tcPr>
          <w:p w14:paraId="14D9D975"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49,397</w:t>
            </w:r>
          </w:p>
          <w:p w14:paraId="18191E35" w14:textId="04782BCF"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+ 159</w:t>
            </w:r>
          </w:p>
        </w:tc>
        <w:tc>
          <w:tcPr>
            <w:tcW w:w="1103" w:type="dxa"/>
          </w:tcPr>
          <w:p w14:paraId="16A8A3C2" w14:textId="4B3819DC"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172</w:t>
            </w:r>
          </w:p>
        </w:tc>
        <w:tc>
          <w:tcPr>
            <w:tcW w:w="1286" w:type="dxa"/>
          </w:tcPr>
          <w:p w14:paraId="5E9F0E69" w14:textId="3A086197"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8,491,344</w:t>
            </w:r>
          </w:p>
        </w:tc>
        <w:tc>
          <w:tcPr>
            <w:tcW w:w="1066" w:type="dxa"/>
          </w:tcPr>
          <w:p w14:paraId="16F8B02F" w14:textId="0CB0D84F" w:rsidR="00186449" w:rsidRDefault="00D6266D" w:rsidP="00A34A90">
            <w:pPr>
              <w:widowControl w:val="0"/>
              <w:spacing w:before="60" w:after="60"/>
              <w:contextualSpacing/>
              <w:jc w:val="center"/>
              <w:rPr>
                <w:rFonts w:asciiTheme="minorHAnsi" w:hAnsiTheme="minorHAnsi" w:cstheme="minorHAnsi"/>
                <w:color w:val="000000"/>
                <w:sz w:val="22"/>
                <w:szCs w:val="22"/>
              </w:rPr>
            </w:pPr>
            <w:r>
              <w:rPr>
                <w:rFonts w:cstheme="minorHAnsi"/>
                <w:color w:val="000000"/>
                <w:sz w:val="20"/>
                <w:szCs w:val="20"/>
                <w:lang w:val="en-AU"/>
              </w:rPr>
              <w:t>0</w:t>
            </w:r>
          </w:p>
        </w:tc>
        <w:tc>
          <w:tcPr>
            <w:tcW w:w="1152" w:type="dxa"/>
          </w:tcPr>
          <w:p w14:paraId="5D8BACFA" w14:textId="03AD5172"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w:t>
            </w:r>
          </w:p>
        </w:tc>
        <w:tc>
          <w:tcPr>
            <w:tcW w:w="1185" w:type="dxa"/>
          </w:tcPr>
          <w:p w14:paraId="5277CB9C" w14:textId="7576B8FF"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0</w:t>
            </w:r>
          </w:p>
        </w:tc>
        <w:tc>
          <w:tcPr>
            <w:tcW w:w="1172" w:type="dxa"/>
          </w:tcPr>
          <w:p w14:paraId="58CB02E0" w14:textId="3840DA3F"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8,491,344</w:t>
            </w:r>
          </w:p>
        </w:tc>
      </w:tr>
      <w:tr w:rsidR="00D6266D" w14:paraId="052AACD4" w14:textId="77777777" w:rsidTr="00A34A90">
        <w:tc>
          <w:tcPr>
            <w:tcW w:w="1424" w:type="dxa"/>
          </w:tcPr>
          <w:p w14:paraId="36A34514" w14:textId="77777777" w:rsidR="00D6266D" w:rsidRDefault="00D6266D" w:rsidP="00D6266D">
            <w:pPr>
              <w:widowControl w:val="0"/>
              <w:spacing w:before="60" w:after="60"/>
              <w:contextualSpacing/>
              <w:rPr>
                <w:rFonts w:cstheme="minorHAnsi"/>
                <w:color w:val="000000"/>
                <w:sz w:val="20"/>
                <w:szCs w:val="20"/>
                <w:lang w:val="en-AU"/>
              </w:rPr>
            </w:pPr>
            <w:proofErr w:type="spellStart"/>
            <w:r>
              <w:rPr>
                <w:rFonts w:cstheme="minorHAnsi"/>
                <w:color w:val="000000"/>
                <w:sz w:val="20"/>
                <w:szCs w:val="20"/>
                <w:lang w:val="en-AU"/>
              </w:rPr>
              <w:t>Tunuloa</w:t>
            </w:r>
            <w:proofErr w:type="spellEnd"/>
            <w:r>
              <w:rPr>
                <w:rFonts w:cstheme="minorHAnsi"/>
                <w:color w:val="000000"/>
                <w:sz w:val="20"/>
                <w:szCs w:val="20"/>
                <w:lang w:val="en-AU"/>
              </w:rPr>
              <w:t xml:space="preserve"> 2014</w:t>
            </w:r>
          </w:p>
          <w:p w14:paraId="7786E00F" w14:textId="309DEBC1" w:rsidR="00186449" w:rsidRDefault="00D6266D" w:rsidP="00D6266D">
            <w:pPr>
              <w:tabs>
                <w:tab w:val="left" w:pos="1620"/>
              </w:tabs>
              <w:spacing w:line="312" w:lineRule="auto"/>
              <w:rPr>
                <w:rFonts w:asciiTheme="minorHAnsi" w:hAnsiTheme="minorHAnsi" w:cstheme="minorHAnsi"/>
                <w:color w:val="000000"/>
                <w:sz w:val="22"/>
                <w:szCs w:val="22"/>
              </w:rPr>
            </w:pPr>
            <w:proofErr w:type="spellStart"/>
            <w:r>
              <w:rPr>
                <w:rFonts w:cstheme="minorHAnsi"/>
                <w:color w:val="000000"/>
                <w:sz w:val="20"/>
                <w:szCs w:val="20"/>
                <w:lang w:val="en-AU"/>
              </w:rPr>
              <w:t>Tunuloa</w:t>
            </w:r>
            <w:proofErr w:type="spellEnd"/>
            <w:r>
              <w:rPr>
                <w:rFonts w:cstheme="minorHAnsi"/>
                <w:color w:val="000000"/>
                <w:sz w:val="20"/>
                <w:szCs w:val="20"/>
                <w:lang w:val="en-AU"/>
              </w:rPr>
              <w:t xml:space="preserve"> 2022</w:t>
            </w:r>
          </w:p>
        </w:tc>
        <w:tc>
          <w:tcPr>
            <w:tcW w:w="1093" w:type="dxa"/>
          </w:tcPr>
          <w:p w14:paraId="34B5BBAB"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5,493</w:t>
            </w:r>
          </w:p>
          <w:p w14:paraId="0C4E9CA8" w14:textId="3AED673D"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+ 98</w:t>
            </w:r>
          </w:p>
        </w:tc>
        <w:tc>
          <w:tcPr>
            <w:tcW w:w="1103" w:type="dxa"/>
          </w:tcPr>
          <w:p w14:paraId="3EDCA097" w14:textId="7860047A"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322</w:t>
            </w:r>
          </w:p>
        </w:tc>
        <w:tc>
          <w:tcPr>
            <w:tcW w:w="1286" w:type="dxa"/>
          </w:tcPr>
          <w:p w14:paraId="3109863E" w14:textId="0A152BC1"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1,769,295</w:t>
            </w:r>
          </w:p>
        </w:tc>
        <w:tc>
          <w:tcPr>
            <w:tcW w:w="1066" w:type="dxa"/>
          </w:tcPr>
          <w:p w14:paraId="600F7810"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&lt;10</w:t>
            </w:r>
          </w:p>
          <w:p w14:paraId="556FB3A4" w14:textId="77777777" w:rsidR="00186449" w:rsidRDefault="00186449" w:rsidP="00A34A90">
            <w:pPr>
              <w:tabs>
                <w:tab w:val="left" w:pos="1620"/>
              </w:tabs>
              <w:spacing w:line="312" w:lineRule="auto"/>
              <w:jc w:val="center"/>
              <w:rPr>
                <w:rFonts w:asciiTheme="minorHAnsi" w:hAnsiTheme="minorHAnsi" w:cstheme="minorHAnsi"/>
                <w:color w:val="000000"/>
                <w:sz w:val="22"/>
                <w:szCs w:val="22"/>
              </w:rPr>
            </w:pPr>
          </w:p>
        </w:tc>
        <w:tc>
          <w:tcPr>
            <w:tcW w:w="1152" w:type="dxa"/>
          </w:tcPr>
          <w:p w14:paraId="394B807B" w14:textId="2B1A422E" w:rsidR="00186449" w:rsidRDefault="00D6266D" w:rsidP="00A34A90">
            <w:pPr>
              <w:tabs>
                <w:tab w:val="left" w:pos="1620"/>
              </w:tabs>
              <w:spacing w:line="312" w:lineRule="auto"/>
              <w:jc w:val="center"/>
              <w:rPr>
                <w:rFonts w:asciiTheme="minorHAnsi" w:hAnsiTheme="minorHAnsi" w:cstheme="minorHAnsi"/>
                <w:color w:val="000000"/>
                <w:sz w:val="22"/>
                <w:szCs w:val="22"/>
              </w:rPr>
            </w:pPr>
            <w:proofErr w:type="gramStart"/>
            <w:r>
              <w:rPr>
                <w:rFonts w:cstheme="minorHAnsi"/>
                <w:color w:val="000000"/>
                <w:sz w:val="20"/>
                <w:szCs w:val="20"/>
                <w:lang w:val="en-AU"/>
              </w:rPr>
              <w:t>N.A</w:t>
            </w:r>
            <w:proofErr w:type="gramEnd"/>
          </w:p>
        </w:tc>
        <w:tc>
          <w:tcPr>
            <w:tcW w:w="1185" w:type="dxa"/>
          </w:tcPr>
          <w:p w14:paraId="208CC9B9" w14:textId="47EBA68F" w:rsidR="00186449" w:rsidRDefault="00D6266D" w:rsidP="00A34A90">
            <w:pPr>
              <w:tabs>
                <w:tab w:val="left" w:pos="1620"/>
              </w:tabs>
              <w:spacing w:line="312" w:lineRule="auto"/>
              <w:jc w:val="center"/>
              <w:rPr>
                <w:rFonts w:asciiTheme="minorHAnsi" w:hAnsiTheme="minorHAnsi" w:cstheme="minorHAnsi"/>
                <w:color w:val="000000"/>
                <w:sz w:val="22"/>
                <w:szCs w:val="22"/>
              </w:rPr>
            </w:pPr>
            <w:proofErr w:type="gramStart"/>
            <w:r>
              <w:rPr>
                <w:rFonts w:cstheme="minorHAnsi"/>
                <w:color w:val="000000"/>
                <w:sz w:val="20"/>
                <w:szCs w:val="20"/>
                <w:lang w:val="en-AU"/>
              </w:rPr>
              <w:t>N.A</w:t>
            </w:r>
            <w:proofErr w:type="gramEnd"/>
          </w:p>
        </w:tc>
        <w:tc>
          <w:tcPr>
            <w:tcW w:w="1172" w:type="dxa"/>
          </w:tcPr>
          <w:p w14:paraId="54238C48" w14:textId="1EED8644"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1,769,295</w:t>
            </w:r>
          </w:p>
        </w:tc>
      </w:tr>
      <w:tr w:rsidR="00D6266D" w14:paraId="357F68F2" w14:textId="77777777" w:rsidTr="00A34A90">
        <w:tc>
          <w:tcPr>
            <w:tcW w:w="1424" w:type="dxa"/>
          </w:tcPr>
          <w:p w14:paraId="21AE2A0E" w14:textId="77777777" w:rsidR="00D6266D" w:rsidRDefault="00D6266D" w:rsidP="00D6266D">
            <w:pPr>
              <w:widowControl w:val="0"/>
              <w:spacing w:before="60" w:after="60"/>
              <w:contextualSpacing/>
              <w:rPr>
                <w:rFonts w:cstheme="minorHAnsi"/>
                <w:color w:val="000000"/>
                <w:sz w:val="20"/>
                <w:szCs w:val="20"/>
                <w:lang w:val="en-AU"/>
              </w:rPr>
            </w:pPr>
            <w:r>
              <w:rPr>
                <w:rFonts w:cstheme="minorHAnsi"/>
                <w:color w:val="000000"/>
                <w:sz w:val="20"/>
                <w:szCs w:val="20"/>
                <w:lang w:val="en-AU"/>
              </w:rPr>
              <w:t>Tuva 2014</w:t>
            </w:r>
          </w:p>
          <w:p w14:paraId="38CCD976" w14:textId="3190293D" w:rsidR="00186449" w:rsidRDefault="00D6266D" w:rsidP="00D6266D">
            <w:pPr>
              <w:tabs>
                <w:tab w:val="left" w:pos="1620"/>
              </w:tabs>
              <w:spacing w:line="312" w:lineRule="auto"/>
              <w:rPr>
                <w:rFonts w:asciiTheme="minorHAnsi" w:hAnsiTheme="minorHAnsi" w:cstheme="minorHAnsi"/>
                <w:color w:val="000000"/>
                <w:sz w:val="22"/>
                <w:szCs w:val="22"/>
              </w:rPr>
            </w:pPr>
            <w:r>
              <w:rPr>
                <w:rFonts w:cstheme="minorHAnsi"/>
                <w:color w:val="000000"/>
                <w:sz w:val="20"/>
                <w:szCs w:val="20"/>
                <w:lang w:val="en-AU"/>
              </w:rPr>
              <w:t>Tuva 2022</w:t>
            </w:r>
          </w:p>
        </w:tc>
        <w:tc>
          <w:tcPr>
            <w:tcW w:w="1093" w:type="dxa"/>
          </w:tcPr>
          <w:p w14:paraId="093C2176"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1,780</w:t>
            </w:r>
          </w:p>
          <w:p w14:paraId="25BF6401" w14:textId="62DC64BC"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+ 228</w:t>
            </w:r>
          </w:p>
        </w:tc>
        <w:tc>
          <w:tcPr>
            <w:tcW w:w="1103" w:type="dxa"/>
          </w:tcPr>
          <w:p w14:paraId="3A6C2F90" w14:textId="331786BA"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153</w:t>
            </w:r>
          </w:p>
        </w:tc>
        <w:tc>
          <w:tcPr>
            <w:tcW w:w="1286" w:type="dxa"/>
          </w:tcPr>
          <w:p w14:paraId="63697FCD" w14:textId="5187C3F5"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271,806</w:t>
            </w:r>
          </w:p>
        </w:tc>
        <w:tc>
          <w:tcPr>
            <w:tcW w:w="1066" w:type="dxa"/>
          </w:tcPr>
          <w:p w14:paraId="68818A74"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710</w:t>
            </w:r>
          </w:p>
          <w:p w14:paraId="6158C92A" w14:textId="4CA97D39"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0 est.</w:t>
            </w:r>
          </w:p>
        </w:tc>
        <w:tc>
          <w:tcPr>
            <w:tcW w:w="1152" w:type="dxa"/>
          </w:tcPr>
          <w:p w14:paraId="262A4D77" w14:textId="180A06DB"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851**</w:t>
            </w:r>
          </w:p>
        </w:tc>
        <w:tc>
          <w:tcPr>
            <w:tcW w:w="1185" w:type="dxa"/>
          </w:tcPr>
          <w:p w14:paraId="3FEA95B6" w14:textId="7AED5EB9"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604,210</w:t>
            </w:r>
          </w:p>
        </w:tc>
        <w:tc>
          <w:tcPr>
            <w:tcW w:w="1172" w:type="dxa"/>
          </w:tcPr>
          <w:p w14:paraId="257E4BE6" w14:textId="27D5A813"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3,469,554</w:t>
            </w:r>
          </w:p>
        </w:tc>
      </w:tr>
      <w:tr w:rsidR="00D6266D" w14:paraId="6FEAADF5" w14:textId="77777777" w:rsidTr="00A34A90">
        <w:tc>
          <w:tcPr>
            <w:tcW w:w="1424" w:type="dxa"/>
          </w:tcPr>
          <w:p w14:paraId="444BC756" w14:textId="77777777" w:rsidR="00D6266D" w:rsidRDefault="00D6266D" w:rsidP="00D6266D">
            <w:pPr>
              <w:widowControl w:val="0"/>
              <w:spacing w:before="60" w:after="60"/>
              <w:contextualSpacing/>
              <w:rPr>
                <w:rFonts w:cstheme="minorHAnsi"/>
                <w:color w:val="000000"/>
                <w:sz w:val="20"/>
                <w:szCs w:val="20"/>
                <w:lang w:val="en-AU"/>
              </w:rPr>
            </w:pPr>
            <w:proofErr w:type="spellStart"/>
            <w:r>
              <w:rPr>
                <w:rFonts w:cstheme="minorHAnsi"/>
                <w:color w:val="000000"/>
                <w:sz w:val="20"/>
                <w:szCs w:val="20"/>
                <w:lang w:val="en-AU"/>
              </w:rPr>
              <w:t>Vunivia</w:t>
            </w:r>
            <w:proofErr w:type="spellEnd"/>
            <w:r>
              <w:rPr>
                <w:rFonts w:cstheme="minorHAnsi"/>
                <w:color w:val="000000"/>
                <w:sz w:val="20"/>
                <w:szCs w:val="20"/>
                <w:lang w:val="en-AU"/>
              </w:rPr>
              <w:t xml:space="preserve"> 2014</w:t>
            </w:r>
          </w:p>
          <w:p w14:paraId="1FDDD247" w14:textId="2A2B0263" w:rsidR="00186449" w:rsidRDefault="00D6266D" w:rsidP="00D6266D">
            <w:pPr>
              <w:tabs>
                <w:tab w:val="left" w:pos="1620"/>
              </w:tabs>
              <w:spacing w:line="312" w:lineRule="auto"/>
              <w:rPr>
                <w:rFonts w:asciiTheme="minorHAnsi" w:hAnsiTheme="minorHAnsi" w:cstheme="minorHAnsi"/>
                <w:color w:val="000000"/>
                <w:sz w:val="22"/>
                <w:szCs w:val="22"/>
              </w:rPr>
            </w:pPr>
            <w:proofErr w:type="spellStart"/>
            <w:r>
              <w:rPr>
                <w:rFonts w:cstheme="minorHAnsi"/>
                <w:color w:val="000000"/>
                <w:sz w:val="20"/>
                <w:szCs w:val="20"/>
                <w:lang w:val="en-AU"/>
              </w:rPr>
              <w:t>Vunivia</w:t>
            </w:r>
            <w:proofErr w:type="spellEnd"/>
            <w:r>
              <w:rPr>
                <w:rFonts w:cstheme="minorHAnsi"/>
                <w:color w:val="000000"/>
                <w:sz w:val="20"/>
                <w:szCs w:val="20"/>
                <w:lang w:val="en-AU"/>
              </w:rPr>
              <w:t xml:space="preserve"> 2022</w:t>
            </w:r>
          </w:p>
        </w:tc>
        <w:tc>
          <w:tcPr>
            <w:tcW w:w="1093" w:type="dxa"/>
          </w:tcPr>
          <w:p w14:paraId="47B19E93"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4,298</w:t>
            </w:r>
          </w:p>
          <w:p w14:paraId="1BD8A611" w14:textId="041D3AA8"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b/>
                <w:bCs/>
                <w:color w:val="000000"/>
                <w:sz w:val="20"/>
                <w:szCs w:val="20"/>
                <w:lang w:val="en-AU"/>
              </w:rPr>
              <w:t>+ 2.6</w:t>
            </w:r>
          </w:p>
        </w:tc>
        <w:tc>
          <w:tcPr>
            <w:tcW w:w="1103" w:type="dxa"/>
          </w:tcPr>
          <w:p w14:paraId="61679D76" w14:textId="30C14CA0"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229</w:t>
            </w:r>
          </w:p>
        </w:tc>
        <w:tc>
          <w:tcPr>
            <w:tcW w:w="1286" w:type="dxa"/>
          </w:tcPr>
          <w:p w14:paraId="5F10960D" w14:textId="3BC361F2"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982,523</w:t>
            </w:r>
          </w:p>
        </w:tc>
        <w:tc>
          <w:tcPr>
            <w:tcW w:w="1066" w:type="dxa"/>
          </w:tcPr>
          <w:p w14:paraId="60AC6E05" w14:textId="77777777" w:rsidR="00D6266D" w:rsidRDefault="00D6266D" w:rsidP="00D6266D">
            <w:pPr>
              <w:widowControl w:val="0"/>
              <w:spacing w:before="60" w:after="60"/>
              <w:contextualSpacing/>
              <w:jc w:val="center"/>
              <w:rPr>
                <w:rFonts w:cstheme="minorHAnsi"/>
                <w:color w:val="000000"/>
                <w:sz w:val="20"/>
                <w:szCs w:val="20"/>
                <w:lang w:val="en-AU"/>
              </w:rPr>
            </w:pPr>
            <w:r>
              <w:rPr>
                <w:rFonts w:cstheme="minorHAnsi"/>
                <w:color w:val="000000"/>
                <w:sz w:val="20"/>
                <w:szCs w:val="20"/>
                <w:lang w:val="en-AU"/>
              </w:rPr>
              <w:t>355</w:t>
            </w:r>
          </w:p>
          <w:p w14:paraId="1A5956ED" w14:textId="77777777" w:rsidR="00186449" w:rsidRDefault="00186449" w:rsidP="00A34A90">
            <w:pPr>
              <w:tabs>
                <w:tab w:val="left" w:pos="1620"/>
              </w:tabs>
              <w:spacing w:line="312" w:lineRule="auto"/>
              <w:jc w:val="center"/>
              <w:rPr>
                <w:rFonts w:asciiTheme="minorHAnsi" w:hAnsiTheme="minorHAnsi" w:cstheme="minorHAnsi"/>
                <w:color w:val="000000"/>
                <w:sz w:val="22"/>
                <w:szCs w:val="22"/>
              </w:rPr>
            </w:pPr>
          </w:p>
        </w:tc>
        <w:tc>
          <w:tcPr>
            <w:tcW w:w="1152" w:type="dxa"/>
          </w:tcPr>
          <w:p w14:paraId="706892A5" w14:textId="618372C6"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851**</w:t>
            </w:r>
          </w:p>
        </w:tc>
        <w:tc>
          <w:tcPr>
            <w:tcW w:w="1185" w:type="dxa"/>
          </w:tcPr>
          <w:p w14:paraId="76CEA7E5" w14:textId="4A1E5752"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302,105</w:t>
            </w:r>
          </w:p>
        </w:tc>
        <w:tc>
          <w:tcPr>
            <w:tcW w:w="1172" w:type="dxa"/>
          </w:tcPr>
          <w:p w14:paraId="710BE204" w14:textId="61A2ED6A"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1,284,628</w:t>
            </w:r>
          </w:p>
        </w:tc>
      </w:tr>
      <w:tr w:rsidR="00D6266D" w14:paraId="4AC7AC4C" w14:textId="77777777" w:rsidTr="00A34A90">
        <w:tc>
          <w:tcPr>
            <w:tcW w:w="1424" w:type="dxa"/>
          </w:tcPr>
          <w:p w14:paraId="19208F9C" w14:textId="7CCF61A6" w:rsidR="00186449" w:rsidRDefault="00D6266D" w:rsidP="004A59AF">
            <w:pPr>
              <w:tabs>
                <w:tab w:val="left" w:pos="1620"/>
              </w:tabs>
              <w:spacing w:line="312" w:lineRule="auto"/>
              <w:rPr>
                <w:rFonts w:asciiTheme="minorHAnsi" w:hAnsiTheme="minorHAnsi" w:cstheme="minorHAnsi"/>
                <w:color w:val="000000"/>
                <w:sz w:val="22"/>
                <w:szCs w:val="22"/>
              </w:rPr>
            </w:pPr>
            <w:r>
              <w:rPr>
                <w:rFonts w:cstheme="minorHAnsi"/>
                <w:b/>
                <w:bCs/>
                <w:color w:val="000000"/>
                <w:sz w:val="20"/>
                <w:szCs w:val="20"/>
                <w:lang w:val="en-AU"/>
              </w:rPr>
              <w:t>TOTAL</w:t>
            </w:r>
          </w:p>
        </w:tc>
        <w:tc>
          <w:tcPr>
            <w:tcW w:w="1093" w:type="dxa"/>
          </w:tcPr>
          <w:p w14:paraId="7FF01985" w14:textId="77777777" w:rsidR="00D6266D" w:rsidRDefault="00D6266D" w:rsidP="00A34A90">
            <w:pPr>
              <w:widowControl w:val="0"/>
              <w:jc w:val="center"/>
              <w:rPr>
                <w:rFonts w:cstheme="minorHAnsi"/>
                <w:color w:val="000000"/>
                <w:sz w:val="20"/>
                <w:szCs w:val="20"/>
                <w:lang w:val="en-AU"/>
              </w:rPr>
            </w:pPr>
            <w:r>
              <w:rPr>
                <w:rFonts w:cstheme="minorHAnsi"/>
                <w:color w:val="000000"/>
                <w:sz w:val="20"/>
                <w:szCs w:val="20"/>
                <w:lang w:val="en-AU"/>
              </w:rPr>
              <w:t>101,740</w:t>
            </w:r>
          </w:p>
          <w:p w14:paraId="1132140A" w14:textId="390FFBBA"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102,685</w:t>
            </w:r>
          </w:p>
        </w:tc>
        <w:tc>
          <w:tcPr>
            <w:tcW w:w="1103" w:type="dxa"/>
          </w:tcPr>
          <w:p w14:paraId="4937783B" w14:textId="77777777" w:rsidR="00186449" w:rsidRDefault="00186449" w:rsidP="00A34A90">
            <w:pPr>
              <w:tabs>
                <w:tab w:val="left" w:pos="1620"/>
              </w:tabs>
              <w:spacing w:line="312" w:lineRule="auto"/>
              <w:jc w:val="center"/>
              <w:rPr>
                <w:rFonts w:asciiTheme="minorHAnsi" w:hAnsiTheme="minorHAnsi" w:cstheme="minorHAnsi"/>
                <w:color w:val="000000"/>
                <w:sz w:val="22"/>
                <w:szCs w:val="22"/>
              </w:rPr>
            </w:pPr>
          </w:p>
        </w:tc>
        <w:tc>
          <w:tcPr>
            <w:tcW w:w="1286" w:type="dxa"/>
          </w:tcPr>
          <w:p w14:paraId="4F475A2F" w14:textId="77777777" w:rsidR="00D6266D" w:rsidRDefault="00D6266D" w:rsidP="00A34A90">
            <w:pPr>
              <w:widowControl w:val="0"/>
              <w:spacing w:before="60" w:after="60"/>
              <w:ind w:right="170"/>
              <w:contextualSpacing/>
              <w:jc w:val="center"/>
              <w:rPr>
                <w:rFonts w:cstheme="minorHAnsi"/>
                <w:color w:val="000000"/>
                <w:sz w:val="20"/>
                <w:szCs w:val="20"/>
                <w:lang w:val="en-AU"/>
              </w:rPr>
            </w:pPr>
            <w:r>
              <w:rPr>
                <w:rFonts w:cstheme="minorHAnsi"/>
                <w:color w:val="000000"/>
                <w:sz w:val="20"/>
                <w:szCs w:val="20"/>
                <w:lang w:val="en-AU"/>
              </w:rPr>
              <w:t>18,057,180</w:t>
            </w:r>
          </w:p>
          <w:p w14:paraId="700C5CE7" w14:textId="7F5BA55F" w:rsidR="00186449" w:rsidRDefault="00D6266D"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18,227,444</w:t>
            </w:r>
          </w:p>
        </w:tc>
        <w:tc>
          <w:tcPr>
            <w:tcW w:w="1066" w:type="dxa"/>
          </w:tcPr>
          <w:p w14:paraId="5CDC27C2" w14:textId="77777777" w:rsidR="00A34A90" w:rsidRDefault="00A34A90" w:rsidP="00A34A90">
            <w:pPr>
              <w:widowControl w:val="0"/>
              <w:jc w:val="center"/>
              <w:rPr>
                <w:rFonts w:cstheme="minorHAnsi"/>
                <w:color w:val="000000"/>
                <w:sz w:val="20"/>
                <w:szCs w:val="20"/>
                <w:lang w:val="en-AU"/>
              </w:rPr>
            </w:pPr>
            <w:r>
              <w:rPr>
                <w:rFonts w:cstheme="minorHAnsi"/>
                <w:color w:val="000000"/>
                <w:sz w:val="20"/>
                <w:szCs w:val="20"/>
                <w:lang w:val="en-AU"/>
              </w:rPr>
              <w:t>17,305</w:t>
            </w:r>
          </w:p>
          <w:p w14:paraId="2554F238" w14:textId="04EE1645" w:rsidR="00186449" w:rsidRDefault="00A34A90"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30.1</w:t>
            </w:r>
          </w:p>
        </w:tc>
        <w:tc>
          <w:tcPr>
            <w:tcW w:w="1152" w:type="dxa"/>
          </w:tcPr>
          <w:p w14:paraId="46DD2230" w14:textId="77777777" w:rsidR="00186449" w:rsidRDefault="00186449" w:rsidP="00A34A90">
            <w:pPr>
              <w:tabs>
                <w:tab w:val="left" w:pos="1620"/>
              </w:tabs>
              <w:spacing w:line="312" w:lineRule="auto"/>
              <w:jc w:val="center"/>
              <w:rPr>
                <w:rFonts w:asciiTheme="minorHAnsi" w:hAnsiTheme="minorHAnsi" w:cstheme="minorHAnsi"/>
                <w:color w:val="000000"/>
                <w:sz w:val="22"/>
                <w:szCs w:val="22"/>
              </w:rPr>
            </w:pPr>
          </w:p>
        </w:tc>
        <w:tc>
          <w:tcPr>
            <w:tcW w:w="1185" w:type="dxa"/>
          </w:tcPr>
          <w:p w14:paraId="7E0CC3AA" w14:textId="77777777" w:rsidR="00A34A90" w:rsidRDefault="00A34A90" w:rsidP="00A34A90">
            <w:pPr>
              <w:widowControl w:val="0"/>
              <w:spacing w:before="60" w:after="60"/>
              <w:ind w:right="57"/>
              <w:contextualSpacing/>
              <w:jc w:val="center"/>
              <w:rPr>
                <w:rFonts w:cstheme="minorHAnsi"/>
                <w:color w:val="000000"/>
                <w:sz w:val="20"/>
                <w:szCs w:val="20"/>
                <w:lang w:val="en-AU"/>
              </w:rPr>
            </w:pPr>
            <w:r>
              <w:rPr>
                <w:rFonts w:cstheme="minorHAnsi"/>
                <w:color w:val="000000"/>
                <w:sz w:val="20"/>
                <w:szCs w:val="20"/>
                <w:lang w:val="en-AU"/>
              </w:rPr>
              <w:t>22,075,917</w:t>
            </w:r>
          </w:p>
          <w:p w14:paraId="4ABB3B3B" w14:textId="77777777" w:rsidR="00A34A90" w:rsidRDefault="00A34A90" w:rsidP="00A34A90">
            <w:pPr>
              <w:widowControl w:val="0"/>
              <w:spacing w:before="60" w:after="60"/>
              <w:ind w:right="57"/>
              <w:contextualSpacing/>
              <w:jc w:val="center"/>
              <w:rPr>
                <w:rFonts w:cstheme="minorHAnsi"/>
                <w:color w:val="000000"/>
                <w:sz w:val="20"/>
                <w:szCs w:val="20"/>
                <w:lang w:val="en-AU"/>
              </w:rPr>
            </w:pPr>
            <w:r>
              <w:rPr>
                <w:rFonts w:cstheme="minorHAnsi"/>
                <w:color w:val="000000"/>
                <w:sz w:val="20"/>
                <w:szCs w:val="20"/>
                <w:lang w:val="en-AU"/>
              </w:rPr>
              <w:t>22,076,040</w:t>
            </w:r>
          </w:p>
          <w:p w14:paraId="2C756F18" w14:textId="77777777" w:rsidR="00186449" w:rsidRDefault="00186449" w:rsidP="00A34A90">
            <w:pPr>
              <w:tabs>
                <w:tab w:val="left" w:pos="1620"/>
              </w:tabs>
              <w:spacing w:line="312" w:lineRule="auto"/>
              <w:jc w:val="center"/>
              <w:rPr>
                <w:rFonts w:asciiTheme="minorHAnsi" w:hAnsiTheme="minorHAnsi" w:cstheme="minorHAnsi"/>
                <w:color w:val="000000"/>
                <w:sz w:val="22"/>
                <w:szCs w:val="22"/>
              </w:rPr>
            </w:pPr>
          </w:p>
        </w:tc>
        <w:tc>
          <w:tcPr>
            <w:tcW w:w="1172" w:type="dxa"/>
          </w:tcPr>
          <w:p w14:paraId="335F6C5E" w14:textId="77777777" w:rsidR="00A34A90" w:rsidRDefault="00A34A90" w:rsidP="00A34A90">
            <w:pPr>
              <w:widowControl w:val="0"/>
              <w:jc w:val="center"/>
              <w:rPr>
                <w:rFonts w:cstheme="minorHAnsi"/>
                <w:color w:val="000000"/>
                <w:sz w:val="20"/>
                <w:szCs w:val="20"/>
                <w:lang w:val="en-AU"/>
              </w:rPr>
            </w:pPr>
            <w:r>
              <w:rPr>
                <w:rFonts w:cstheme="minorHAnsi"/>
                <w:color w:val="000000"/>
                <w:sz w:val="20"/>
                <w:szCs w:val="20"/>
                <w:lang w:val="en-AU"/>
              </w:rPr>
              <w:t>49,550,444</w:t>
            </w:r>
          </w:p>
          <w:p w14:paraId="3033B586" w14:textId="6ECD12CF" w:rsidR="00186449" w:rsidRDefault="00A34A90"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102,715</w:t>
            </w:r>
          </w:p>
        </w:tc>
      </w:tr>
      <w:tr w:rsidR="00D6266D" w14:paraId="00D43B41" w14:textId="77777777" w:rsidTr="00A34A90">
        <w:tc>
          <w:tcPr>
            <w:tcW w:w="1424" w:type="dxa"/>
          </w:tcPr>
          <w:p w14:paraId="6929B88C" w14:textId="38C6108F" w:rsidR="00186449" w:rsidRDefault="00A34A90" w:rsidP="004A59AF">
            <w:pPr>
              <w:tabs>
                <w:tab w:val="left" w:pos="1620"/>
              </w:tabs>
              <w:spacing w:line="312" w:lineRule="auto"/>
              <w:rPr>
                <w:rFonts w:asciiTheme="minorHAnsi" w:hAnsiTheme="minorHAnsi" w:cstheme="minorHAnsi"/>
                <w:color w:val="000000"/>
                <w:sz w:val="22"/>
                <w:szCs w:val="22"/>
              </w:rPr>
            </w:pPr>
            <w:r>
              <w:rPr>
                <w:rFonts w:cstheme="minorHAnsi"/>
                <w:b/>
                <w:bCs/>
                <w:color w:val="000000"/>
                <w:sz w:val="20"/>
                <w:szCs w:val="20"/>
                <w:lang w:val="en-AU"/>
              </w:rPr>
              <w:t>% Change</w:t>
            </w:r>
          </w:p>
        </w:tc>
        <w:tc>
          <w:tcPr>
            <w:tcW w:w="1093" w:type="dxa"/>
          </w:tcPr>
          <w:p w14:paraId="0099C401" w14:textId="12725EAB" w:rsidR="00186449" w:rsidRDefault="00A34A90"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0.928</w:t>
            </w:r>
          </w:p>
        </w:tc>
        <w:tc>
          <w:tcPr>
            <w:tcW w:w="1103" w:type="dxa"/>
          </w:tcPr>
          <w:p w14:paraId="2601187B" w14:textId="77777777" w:rsidR="00186449" w:rsidRDefault="00186449" w:rsidP="00A34A90">
            <w:pPr>
              <w:tabs>
                <w:tab w:val="left" w:pos="1620"/>
              </w:tabs>
              <w:spacing w:line="312" w:lineRule="auto"/>
              <w:jc w:val="center"/>
              <w:rPr>
                <w:rFonts w:asciiTheme="minorHAnsi" w:hAnsiTheme="minorHAnsi" w:cstheme="minorHAnsi"/>
                <w:color w:val="000000"/>
                <w:sz w:val="22"/>
                <w:szCs w:val="22"/>
              </w:rPr>
            </w:pPr>
          </w:p>
        </w:tc>
        <w:tc>
          <w:tcPr>
            <w:tcW w:w="1286" w:type="dxa"/>
          </w:tcPr>
          <w:p w14:paraId="1314F06B" w14:textId="22F15EC9" w:rsidR="00186449" w:rsidRDefault="00A34A90"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0.942</w:t>
            </w:r>
          </w:p>
        </w:tc>
        <w:tc>
          <w:tcPr>
            <w:tcW w:w="1066" w:type="dxa"/>
          </w:tcPr>
          <w:p w14:paraId="2557EDA9" w14:textId="03FF08BC" w:rsidR="00186449" w:rsidRDefault="00A34A90"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0.173</w:t>
            </w:r>
          </w:p>
        </w:tc>
        <w:tc>
          <w:tcPr>
            <w:tcW w:w="1152" w:type="dxa"/>
          </w:tcPr>
          <w:p w14:paraId="394531BE" w14:textId="77777777" w:rsidR="00186449" w:rsidRDefault="00186449" w:rsidP="00A34A90">
            <w:pPr>
              <w:tabs>
                <w:tab w:val="left" w:pos="1620"/>
              </w:tabs>
              <w:spacing w:line="312" w:lineRule="auto"/>
              <w:jc w:val="center"/>
              <w:rPr>
                <w:rFonts w:asciiTheme="minorHAnsi" w:hAnsiTheme="minorHAnsi" w:cstheme="minorHAnsi"/>
                <w:color w:val="000000"/>
                <w:sz w:val="22"/>
                <w:szCs w:val="22"/>
              </w:rPr>
            </w:pPr>
          </w:p>
        </w:tc>
        <w:tc>
          <w:tcPr>
            <w:tcW w:w="1185" w:type="dxa"/>
          </w:tcPr>
          <w:p w14:paraId="2E9210D7" w14:textId="15DB65EC" w:rsidR="00186449" w:rsidRDefault="00A34A90"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0.002</w:t>
            </w:r>
          </w:p>
        </w:tc>
        <w:tc>
          <w:tcPr>
            <w:tcW w:w="1172" w:type="dxa"/>
          </w:tcPr>
          <w:p w14:paraId="349CDCED" w14:textId="465C7C8D" w:rsidR="00186449" w:rsidRDefault="00A34A90" w:rsidP="00A34A90">
            <w:pPr>
              <w:tabs>
                <w:tab w:val="left" w:pos="1620"/>
              </w:tabs>
              <w:spacing w:line="312" w:lineRule="auto"/>
              <w:jc w:val="center"/>
              <w:rPr>
                <w:rFonts w:asciiTheme="minorHAnsi" w:hAnsiTheme="minorHAnsi" w:cstheme="minorHAnsi"/>
                <w:color w:val="000000"/>
                <w:sz w:val="22"/>
                <w:szCs w:val="22"/>
              </w:rPr>
            </w:pPr>
            <w:r>
              <w:rPr>
                <w:rFonts w:cstheme="minorHAnsi"/>
                <w:color w:val="000000"/>
                <w:sz w:val="20"/>
                <w:szCs w:val="20"/>
                <w:lang w:val="en-AU"/>
              </w:rPr>
              <w:t>0.474</w:t>
            </w:r>
          </w:p>
        </w:tc>
      </w:tr>
    </w:tbl>
    <w:p w14:paraId="2DB41A8F" w14:textId="77777777" w:rsidR="007C39F9" w:rsidRDefault="007C39F9" w:rsidP="007C39F9">
      <w:pPr>
        <w:suppressAutoHyphens w:val="0"/>
        <w:ind w:left="142" w:right="4"/>
        <w:rPr>
          <w:rFonts w:ascii="Arial Narrow" w:eastAsiaTheme="minorHAnsi" w:hAnsi="Arial Narrow" w:cstheme="minorBidi"/>
          <w:sz w:val="18"/>
          <w:szCs w:val="18"/>
          <w:lang w:eastAsia="en-US"/>
        </w:rPr>
      </w:pPr>
      <w:r>
        <w:rPr>
          <w:rFonts w:ascii="Arial Narrow" w:eastAsiaTheme="minorHAnsi" w:hAnsi="Arial Narrow" w:cstheme="minorBidi"/>
          <w:b/>
          <w:bCs/>
          <w:sz w:val="18"/>
          <w:szCs w:val="18"/>
          <w:lang w:eastAsia="en-US"/>
        </w:rPr>
        <w:t>Sources</w:t>
      </w:r>
      <w:r>
        <w:rPr>
          <w:rFonts w:ascii="Arial Narrow" w:eastAsiaTheme="minorHAnsi" w:hAnsi="Arial Narrow" w:cstheme="minorBidi"/>
          <w:sz w:val="18"/>
          <w:szCs w:val="18"/>
          <w:lang w:eastAsia="en-US"/>
        </w:rPr>
        <w:t>: 2014 Fiji R2R Project Document, Table 7; and Reported areas of native and mangrove reforestation (native forest and mangrove areas) completed by the project to June 30,2022.</w:t>
      </w:r>
    </w:p>
    <w:p w14:paraId="716BB5E4" w14:textId="77777777" w:rsidR="007C39F9" w:rsidRDefault="007C39F9" w:rsidP="007C39F9">
      <w:pPr>
        <w:suppressAutoHyphens w:val="0"/>
        <w:ind w:left="142" w:right="4"/>
        <w:rPr>
          <w:rFonts w:ascii="Arial Narrow" w:eastAsiaTheme="minorHAnsi" w:hAnsi="Arial Narrow" w:cstheme="minorBidi"/>
          <w:sz w:val="18"/>
          <w:szCs w:val="18"/>
          <w:lang w:eastAsia="en-US"/>
        </w:rPr>
      </w:pPr>
      <w:r>
        <w:rPr>
          <w:rFonts w:ascii="Arial Narrow" w:eastAsiaTheme="minorHAnsi" w:hAnsi="Arial Narrow" w:cstheme="minorBidi"/>
          <w:sz w:val="18"/>
          <w:szCs w:val="18"/>
          <w:lang w:eastAsia="en-US"/>
        </w:rPr>
        <w:t>* Based on data collected from permanent sample plots within the respective catchments and plots adjoining the catchment with similar environmental conditions</w:t>
      </w:r>
    </w:p>
    <w:p w14:paraId="4C2DD2C7" w14:textId="77777777" w:rsidR="007C39F9" w:rsidRDefault="007C39F9" w:rsidP="007C39F9">
      <w:pPr>
        <w:suppressAutoHyphens w:val="0"/>
        <w:ind w:left="142" w:right="4"/>
        <w:jc w:val="both"/>
        <w:rPr>
          <w:rFonts w:ascii="Arial Narrow" w:eastAsiaTheme="minorHAnsi" w:hAnsi="Arial Narrow" w:cstheme="minorBidi"/>
          <w:sz w:val="18"/>
          <w:szCs w:val="18"/>
          <w:lang w:eastAsia="en-US"/>
        </w:rPr>
      </w:pPr>
      <w:r>
        <w:rPr>
          <w:rFonts w:ascii="Arial Narrow" w:eastAsiaTheme="minorHAnsi" w:hAnsi="Arial Narrow" w:cstheme="minorBidi"/>
          <w:sz w:val="18"/>
          <w:szCs w:val="18"/>
          <w:lang w:eastAsia="en-US"/>
        </w:rPr>
        <w:t xml:space="preserve">**Conservatively estimated at half the carbon stock for </w:t>
      </w:r>
      <w:proofErr w:type="spellStart"/>
      <w:r>
        <w:rPr>
          <w:rFonts w:ascii="Arial Narrow" w:eastAsiaTheme="minorHAnsi" w:hAnsi="Arial Narrow" w:cstheme="minorBidi"/>
          <w:sz w:val="18"/>
          <w:szCs w:val="18"/>
          <w:lang w:eastAsia="en-US"/>
        </w:rPr>
        <w:t>Rewa</w:t>
      </w:r>
      <w:proofErr w:type="spellEnd"/>
      <w:r>
        <w:rPr>
          <w:rFonts w:ascii="Arial Narrow" w:eastAsiaTheme="minorHAnsi" w:hAnsi="Arial Narrow" w:cstheme="minorBidi"/>
          <w:sz w:val="18"/>
          <w:szCs w:val="18"/>
          <w:lang w:eastAsia="en-US"/>
        </w:rPr>
        <w:t xml:space="preserve"> mangroves, with mangrove carbon stocks connected to these catchments to be assessed during R2R project. (</w:t>
      </w:r>
      <w:proofErr w:type="gramStart"/>
      <w:r>
        <w:rPr>
          <w:rFonts w:ascii="Arial Narrow" w:eastAsiaTheme="minorHAnsi" w:hAnsi="Arial Narrow" w:cstheme="minorBidi"/>
          <w:i/>
          <w:iCs/>
          <w:sz w:val="18"/>
          <w:szCs w:val="18"/>
          <w:lang w:eastAsia="en-US"/>
        </w:rPr>
        <w:t>not</w:t>
      </w:r>
      <w:proofErr w:type="gramEnd"/>
      <w:r>
        <w:rPr>
          <w:rFonts w:ascii="Arial Narrow" w:eastAsiaTheme="minorHAnsi" w:hAnsi="Arial Narrow" w:cstheme="minorBidi"/>
          <w:i/>
          <w:iCs/>
          <w:sz w:val="18"/>
          <w:szCs w:val="18"/>
          <w:lang w:eastAsia="en-US"/>
        </w:rPr>
        <w:t xml:space="preserve"> completed</w:t>
      </w:r>
      <w:r>
        <w:rPr>
          <w:rFonts w:ascii="Arial Narrow" w:eastAsiaTheme="minorHAnsi" w:hAnsi="Arial Narrow" w:cstheme="minorBidi"/>
          <w:sz w:val="18"/>
          <w:szCs w:val="18"/>
          <w:lang w:eastAsia="en-US"/>
        </w:rPr>
        <w:t>)</w:t>
      </w:r>
    </w:p>
    <w:p w14:paraId="1C34FDBF" w14:textId="77777777" w:rsidR="00186449" w:rsidRDefault="00186449">
      <w:pPr>
        <w:tabs>
          <w:tab w:val="left" w:pos="1620"/>
        </w:tabs>
        <w:spacing w:line="312" w:lineRule="auto"/>
        <w:rPr>
          <w:rFonts w:asciiTheme="minorHAnsi" w:hAnsiTheme="minorHAnsi" w:cstheme="minorHAnsi"/>
          <w:color w:val="000000"/>
          <w:sz w:val="22"/>
          <w:szCs w:val="22"/>
        </w:rPr>
      </w:pPr>
    </w:p>
    <w:p w14:paraId="3357EBB6" w14:textId="467CD89C" w:rsidR="007372B6" w:rsidRDefault="00000000">
      <w:pPr>
        <w:tabs>
          <w:tab w:val="left" w:pos="1620"/>
        </w:tabs>
        <w:spacing w:line="312" w:lineRule="auto"/>
        <w:jc w:val="both"/>
        <w:rPr>
          <w:rFonts w:cstheme="minorHAnsi"/>
        </w:rPr>
      </w:pPr>
      <w:r>
        <w:rPr>
          <w:rFonts w:ascii="Calibri" w:hAnsi="Calibri" w:cstheme="minorHAnsi"/>
          <w:color w:val="000000"/>
          <w:sz w:val="22"/>
          <w:szCs w:val="22"/>
        </w:rPr>
        <w:t xml:space="preserve">51. In spite of the flurry of planting activity, there is no geographic integration of project activities; each organisation is managing separate parts of the catchment system without teamwork and harmonization of interventions. For example, WWF managed the mangrove planting on the marine side while MoF pursued reforestation upstream with almost no coordination between upstream and downstream activities in drainages that have major sediment transport and sedimentation issues. </w:t>
      </w:r>
    </w:p>
    <w:p w14:paraId="4EFA62C8" w14:textId="77777777" w:rsidR="007372B6" w:rsidRDefault="007372B6">
      <w:pPr>
        <w:tabs>
          <w:tab w:val="left" w:pos="1620"/>
        </w:tabs>
        <w:rPr>
          <w:rFonts w:asciiTheme="minorHAnsi" w:hAnsiTheme="minorHAnsi" w:cstheme="minorHAnsi"/>
          <w:color w:val="000000"/>
          <w:sz w:val="22"/>
          <w:szCs w:val="22"/>
          <w:shd w:val="clear" w:color="auto" w:fill="FFFF00"/>
        </w:rPr>
      </w:pPr>
    </w:p>
    <w:p w14:paraId="76AC7F4D" w14:textId="77777777" w:rsidR="007372B6" w:rsidRDefault="00000000">
      <w:pPr>
        <w:tabs>
          <w:tab w:val="left" w:pos="1620"/>
        </w:tabs>
        <w:spacing w:line="312" w:lineRule="auto"/>
        <w:jc w:val="both"/>
        <w:rPr>
          <w:rFonts w:asciiTheme="minorHAnsi" w:hAnsiTheme="minorHAnsi" w:cstheme="minorHAnsi"/>
          <w:sz w:val="22"/>
          <w:szCs w:val="22"/>
        </w:rPr>
      </w:pPr>
      <w:r>
        <w:rPr>
          <w:rFonts w:asciiTheme="minorHAnsi" w:hAnsiTheme="minorHAnsi" w:cstheme="minorHAnsi"/>
          <w:color w:val="000000"/>
          <w:sz w:val="22"/>
          <w:szCs w:val="22"/>
        </w:rPr>
        <w:t xml:space="preserve">52. </w:t>
      </w:r>
      <w:r>
        <w:rPr>
          <w:rFonts w:asciiTheme="minorHAnsi" w:hAnsiTheme="minorHAnsi" w:cstheme="minorHAnsi"/>
          <w:b/>
          <w:bCs/>
          <w:color w:val="000000"/>
          <w:sz w:val="22"/>
          <w:szCs w:val="22"/>
        </w:rPr>
        <w:t xml:space="preserve">Outcome 4: Sustainable Forest Management Market-based Schemes: </w:t>
      </w:r>
      <w:r>
        <w:rPr>
          <w:rFonts w:asciiTheme="minorHAnsi" w:hAnsiTheme="minorHAnsi" w:cstheme="minorHAnsi"/>
          <w:sz w:val="22"/>
          <w:szCs w:val="22"/>
        </w:rPr>
        <w:t>This outcome focused on Forest Policy and Related Legal and Regulatory Frameworks. The</w:t>
      </w:r>
      <w:r>
        <w:rPr>
          <w:rFonts w:asciiTheme="minorHAnsi" w:hAnsiTheme="minorHAnsi" w:cstheme="minorHAnsi"/>
          <w:color w:val="000000"/>
          <w:sz w:val="22"/>
          <w:szCs w:val="22"/>
        </w:rPr>
        <w:t xml:space="preserve"> project end targets included u</w:t>
      </w:r>
      <w:r>
        <w:rPr>
          <w:rFonts w:asciiTheme="minorHAnsi" w:hAnsiTheme="minorHAnsi" w:cstheme="minorHAnsi"/>
          <w:sz w:val="22"/>
          <w:szCs w:val="22"/>
        </w:rPr>
        <w:t xml:space="preserve">pdated forestry legislation, leading to Fiji’s key forest assets permanently protected and </w:t>
      </w:r>
      <w:proofErr w:type="spellStart"/>
      <w:r>
        <w:rPr>
          <w:rFonts w:asciiTheme="minorHAnsi" w:hAnsiTheme="minorHAnsi" w:cstheme="minorHAnsi"/>
          <w:sz w:val="22"/>
          <w:szCs w:val="22"/>
        </w:rPr>
        <w:t>gazetted</w:t>
      </w:r>
      <w:proofErr w:type="spellEnd"/>
      <w:r>
        <w:rPr>
          <w:rFonts w:asciiTheme="minorHAnsi" w:hAnsiTheme="minorHAnsi" w:cstheme="minorHAnsi"/>
          <w:sz w:val="22"/>
          <w:szCs w:val="22"/>
        </w:rPr>
        <w:t xml:space="preserve"> and providing an optimal range of services and products for resource owners, the general population, forest industry and Government. International certification of sustainable forestry was to provide market-based schemes. </w:t>
      </w:r>
    </w:p>
    <w:p w14:paraId="529C9559" w14:textId="77777777" w:rsidR="007372B6" w:rsidRDefault="007372B6">
      <w:pPr>
        <w:tabs>
          <w:tab w:val="left" w:pos="1620"/>
        </w:tabs>
        <w:jc w:val="both"/>
        <w:rPr>
          <w:rFonts w:asciiTheme="minorHAnsi" w:hAnsiTheme="minorHAnsi" w:cstheme="minorHAnsi"/>
          <w:sz w:val="22"/>
          <w:szCs w:val="22"/>
        </w:rPr>
      </w:pPr>
    </w:p>
    <w:p w14:paraId="5C1A5238" w14:textId="77777777" w:rsidR="007372B6" w:rsidRDefault="00000000">
      <w:pPr>
        <w:widowControl w:val="0"/>
        <w:spacing w:line="312" w:lineRule="auto"/>
        <w:jc w:val="both"/>
        <w:rPr>
          <w:rFonts w:asciiTheme="minorHAnsi" w:hAnsiTheme="minorHAnsi" w:cstheme="minorHAnsi"/>
          <w:sz w:val="22"/>
          <w:szCs w:val="22"/>
        </w:rPr>
      </w:pPr>
      <w:r>
        <w:rPr>
          <w:rFonts w:asciiTheme="minorHAnsi" w:hAnsiTheme="minorHAnsi" w:cstheme="minorHAnsi"/>
          <w:sz w:val="22"/>
          <w:szCs w:val="22"/>
        </w:rPr>
        <w:t>53. The Project has provided inputs into the sustainable development and management of Fiji’s forests through the development of related legislation, policies, strategies and regulations. South Pacific Community Land Resources Division, (SPC-LRD) in collaboration with the Ministry of Forests engaged consultants to undertake the following activities:</w:t>
      </w:r>
    </w:p>
    <w:p w14:paraId="78D114D8" w14:textId="77777777" w:rsidR="007372B6" w:rsidRDefault="00000000">
      <w:pPr>
        <w:widowControl w:val="0"/>
        <w:spacing w:line="312" w:lineRule="auto"/>
        <w:ind w:left="124"/>
        <w:rPr>
          <w:rFonts w:asciiTheme="minorHAnsi" w:hAnsiTheme="minorHAnsi" w:cstheme="minorHAnsi"/>
          <w:sz w:val="22"/>
          <w:szCs w:val="22"/>
        </w:rPr>
      </w:pPr>
      <w:r>
        <w:rPr>
          <w:rFonts w:asciiTheme="minorHAnsi" w:hAnsiTheme="minorHAnsi" w:cstheme="minorHAnsi"/>
          <w:sz w:val="22"/>
          <w:szCs w:val="22"/>
        </w:rPr>
        <w:t>- Review of the Code of Harvesting Practices and Enforcement</w:t>
      </w:r>
    </w:p>
    <w:p w14:paraId="08198EE5" w14:textId="77777777" w:rsidR="007372B6" w:rsidRDefault="00000000">
      <w:pPr>
        <w:widowControl w:val="0"/>
        <w:spacing w:line="312" w:lineRule="auto"/>
        <w:ind w:left="124"/>
        <w:rPr>
          <w:rFonts w:asciiTheme="minorHAnsi" w:hAnsiTheme="minorHAnsi" w:cstheme="minorHAnsi"/>
          <w:sz w:val="22"/>
          <w:szCs w:val="22"/>
        </w:rPr>
      </w:pPr>
      <w:r>
        <w:rPr>
          <w:rFonts w:asciiTheme="minorHAnsi" w:hAnsiTheme="minorHAnsi" w:cstheme="minorHAnsi"/>
          <w:sz w:val="22"/>
          <w:szCs w:val="22"/>
        </w:rPr>
        <w:t>- Development of Monitoring Protocols (MRV) and trainings</w:t>
      </w:r>
    </w:p>
    <w:p w14:paraId="578B945F" w14:textId="77777777" w:rsidR="007372B6" w:rsidRDefault="00000000">
      <w:pPr>
        <w:widowControl w:val="0"/>
        <w:spacing w:line="312" w:lineRule="auto"/>
        <w:ind w:left="124"/>
        <w:rPr>
          <w:rFonts w:asciiTheme="minorHAnsi" w:hAnsiTheme="minorHAnsi" w:cstheme="minorHAnsi"/>
          <w:sz w:val="22"/>
          <w:szCs w:val="22"/>
        </w:rPr>
      </w:pPr>
      <w:r>
        <w:rPr>
          <w:rFonts w:asciiTheme="minorHAnsi" w:hAnsiTheme="minorHAnsi" w:cstheme="minorHAnsi"/>
          <w:sz w:val="22"/>
          <w:szCs w:val="22"/>
        </w:rPr>
        <w:t>- Development of Sandalwood Regulations</w:t>
      </w:r>
    </w:p>
    <w:p w14:paraId="20C7EEA9" w14:textId="77777777" w:rsidR="007372B6" w:rsidRDefault="00000000">
      <w:pPr>
        <w:widowControl w:val="0"/>
        <w:spacing w:line="312" w:lineRule="auto"/>
        <w:ind w:left="124"/>
        <w:rPr>
          <w:rFonts w:asciiTheme="minorHAnsi" w:hAnsiTheme="minorHAnsi" w:cstheme="minorHAnsi"/>
          <w:sz w:val="22"/>
          <w:szCs w:val="22"/>
        </w:rPr>
      </w:pPr>
      <w:r>
        <w:rPr>
          <w:rFonts w:asciiTheme="minorHAnsi" w:hAnsiTheme="minorHAnsi" w:cstheme="minorHAnsi"/>
          <w:sz w:val="22"/>
          <w:szCs w:val="22"/>
        </w:rPr>
        <w:t>- Finalize Forest Genetic Resources Action Plan</w:t>
      </w:r>
    </w:p>
    <w:p w14:paraId="311B7D52" w14:textId="77777777" w:rsidR="007372B6" w:rsidRDefault="00000000">
      <w:pPr>
        <w:widowControl w:val="0"/>
        <w:spacing w:line="312" w:lineRule="auto"/>
        <w:ind w:left="124"/>
        <w:rPr>
          <w:rFonts w:asciiTheme="minorHAnsi" w:hAnsiTheme="minorHAnsi" w:cstheme="minorHAnsi"/>
          <w:sz w:val="22"/>
          <w:szCs w:val="22"/>
        </w:rPr>
      </w:pPr>
      <w:r>
        <w:rPr>
          <w:rFonts w:asciiTheme="minorHAnsi" w:hAnsiTheme="minorHAnsi" w:cstheme="minorHAnsi"/>
          <w:sz w:val="22"/>
          <w:szCs w:val="22"/>
        </w:rPr>
        <w:t>- Review of Sawmill Regulations and Treatment Plants</w:t>
      </w:r>
    </w:p>
    <w:p w14:paraId="06A387E9" w14:textId="77777777" w:rsidR="007372B6" w:rsidRDefault="00000000">
      <w:pPr>
        <w:widowControl w:val="0"/>
        <w:spacing w:line="312" w:lineRule="auto"/>
        <w:ind w:left="124"/>
        <w:rPr>
          <w:rFonts w:asciiTheme="minorHAnsi" w:hAnsiTheme="minorHAnsi" w:cstheme="minorHAnsi"/>
          <w:sz w:val="22"/>
          <w:szCs w:val="22"/>
        </w:rPr>
      </w:pPr>
      <w:r>
        <w:rPr>
          <w:rFonts w:asciiTheme="minorHAnsi" w:hAnsiTheme="minorHAnsi" w:cstheme="minorHAnsi"/>
          <w:sz w:val="22"/>
          <w:szCs w:val="22"/>
        </w:rPr>
        <w:t>- Development of a National Rural Forest Fire Management Strategy</w:t>
      </w:r>
    </w:p>
    <w:p w14:paraId="4AA1B64F" w14:textId="77777777" w:rsidR="007372B6" w:rsidRDefault="00000000">
      <w:pPr>
        <w:widowControl w:val="0"/>
        <w:spacing w:line="312" w:lineRule="auto"/>
        <w:ind w:left="124"/>
        <w:rPr>
          <w:rFonts w:asciiTheme="minorHAnsi" w:hAnsiTheme="minorHAnsi" w:cstheme="minorHAnsi"/>
          <w:sz w:val="22"/>
          <w:szCs w:val="22"/>
        </w:rPr>
      </w:pPr>
      <w:r>
        <w:rPr>
          <w:rFonts w:asciiTheme="minorHAnsi" w:hAnsiTheme="minorHAnsi" w:cstheme="minorHAnsi"/>
          <w:sz w:val="22"/>
          <w:szCs w:val="22"/>
        </w:rPr>
        <w:t>- Proposed Amendment to the Fiji Forestry Law.</w:t>
      </w:r>
    </w:p>
    <w:p w14:paraId="38DBC52C" w14:textId="77777777" w:rsidR="007372B6" w:rsidRDefault="007372B6">
      <w:pPr>
        <w:widowControl w:val="0"/>
        <w:jc w:val="both"/>
        <w:rPr>
          <w:rFonts w:asciiTheme="minorHAnsi" w:hAnsiTheme="minorHAnsi" w:cstheme="minorHAnsi"/>
          <w:sz w:val="22"/>
          <w:szCs w:val="22"/>
        </w:rPr>
      </w:pPr>
    </w:p>
    <w:p w14:paraId="622805F8" w14:textId="77777777" w:rsidR="007372B6" w:rsidRDefault="00000000">
      <w:pPr>
        <w:widowControl w:val="0"/>
        <w:spacing w:line="312" w:lineRule="auto"/>
        <w:jc w:val="both"/>
        <w:rPr>
          <w:rFonts w:asciiTheme="minorHAnsi" w:hAnsiTheme="minorHAnsi" w:cstheme="minorHAnsi"/>
          <w:sz w:val="22"/>
          <w:szCs w:val="22"/>
        </w:rPr>
      </w:pPr>
      <w:r>
        <w:rPr>
          <w:rFonts w:asciiTheme="minorHAnsi" w:hAnsiTheme="minorHAnsi" w:cstheme="minorHAnsi"/>
          <w:sz w:val="22"/>
          <w:szCs w:val="22"/>
        </w:rPr>
        <w:t>54. Included in the new framework is a Co-regulatory Framework to promote a more responsible and accountable forest industry that has greater expertise and capacity to comply with regulatory requirements.</w:t>
      </w:r>
      <w:r>
        <w:rPr>
          <w:rStyle w:val="FootnoteAnchor"/>
          <w:rFonts w:asciiTheme="minorHAnsi" w:hAnsiTheme="minorHAnsi" w:cstheme="minorHAnsi"/>
          <w:sz w:val="22"/>
          <w:szCs w:val="22"/>
        </w:rPr>
        <w:footnoteReference w:id="43"/>
      </w:r>
      <w:r>
        <w:rPr>
          <w:rFonts w:asciiTheme="minorHAnsi" w:hAnsiTheme="minorHAnsi" w:cstheme="minorHAnsi"/>
          <w:sz w:val="22"/>
          <w:szCs w:val="22"/>
        </w:rPr>
        <w:t xml:space="preserve"> It expects to reduce the cost of governmental regulation and allow the Ministry to move away from ‘hands-on’ control and focus its limited resources on higher level support (including research, training and education), monitoring and enforcement of sustainable practices.</w:t>
      </w:r>
    </w:p>
    <w:p w14:paraId="3479E4E5" w14:textId="77777777" w:rsidR="007372B6" w:rsidRDefault="007372B6">
      <w:pPr>
        <w:widowControl w:val="0"/>
        <w:jc w:val="both"/>
        <w:rPr>
          <w:rFonts w:asciiTheme="minorHAnsi" w:hAnsiTheme="minorHAnsi" w:cstheme="minorHAnsi"/>
          <w:sz w:val="22"/>
          <w:szCs w:val="22"/>
        </w:rPr>
      </w:pPr>
    </w:p>
    <w:p w14:paraId="434EEAF3" w14:textId="77777777" w:rsidR="007372B6" w:rsidRDefault="00000000">
      <w:pPr>
        <w:widowControl w:val="0"/>
        <w:spacing w:line="312" w:lineRule="auto"/>
        <w:jc w:val="both"/>
        <w:rPr>
          <w:rFonts w:asciiTheme="minorHAnsi" w:hAnsiTheme="minorHAnsi" w:cstheme="minorHAnsi"/>
          <w:sz w:val="22"/>
          <w:szCs w:val="22"/>
        </w:rPr>
      </w:pPr>
      <w:r>
        <w:rPr>
          <w:rFonts w:asciiTheme="minorHAnsi" w:hAnsiTheme="minorHAnsi" w:cstheme="minorHAnsi"/>
          <w:sz w:val="22"/>
          <w:szCs w:val="22"/>
        </w:rPr>
        <w:t>55. Forest Certification support involved workshop/trainings and awareness campaign among stakeholders on the process/steps involved to secure certification from FSC and benefits of forest certification. A gap analysis report vital to the Certification process of Fiji Hardwood Corporation Limited was presented on 24 June 2022.</w:t>
      </w:r>
    </w:p>
    <w:p w14:paraId="45984A3D" w14:textId="77777777" w:rsidR="007372B6" w:rsidRDefault="007372B6">
      <w:pPr>
        <w:tabs>
          <w:tab w:val="left" w:pos="1620"/>
        </w:tabs>
        <w:rPr>
          <w:rFonts w:asciiTheme="minorHAnsi" w:hAnsiTheme="minorHAnsi" w:cstheme="minorHAnsi"/>
          <w:sz w:val="22"/>
          <w:szCs w:val="22"/>
        </w:rPr>
      </w:pPr>
    </w:p>
    <w:p w14:paraId="7E64D774"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sz w:val="22"/>
          <w:szCs w:val="22"/>
        </w:rPr>
        <w:lastRenderedPageBreak/>
        <w:t>56. It is hoped that the new regulatory framework will lead to better environmental outcomes within catchments and contribute to enhanced conservation of natural and cultural values, both directly within forests being managed for wood production and indirectly by providing linkages and management regimes that complement the maintenance of habitat, ecological health and genetic diversity within protected areas and across the broader landscape. However, a more direct commitment toward integrated catchment area management arrangements between MOF and other agencies and organisations may be needed in the implementation of this framework.</w:t>
      </w:r>
    </w:p>
    <w:p w14:paraId="7DAA8069" w14:textId="77777777" w:rsidR="007372B6" w:rsidRDefault="007372B6">
      <w:pPr>
        <w:tabs>
          <w:tab w:val="left" w:pos="1620"/>
        </w:tabs>
        <w:spacing w:line="312" w:lineRule="auto"/>
        <w:rPr>
          <w:rFonts w:asciiTheme="minorHAnsi" w:hAnsiTheme="minorHAnsi" w:cstheme="minorHAnsi"/>
          <w:color w:val="000000"/>
          <w:sz w:val="22"/>
          <w:szCs w:val="22"/>
        </w:rPr>
      </w:pPr>
    </w:p>
    <w:p w14:paraId="110D4557"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57. </w:t>
      </w:r>
      <w:r>
        <w:rPr>
          <w:rFonts w:asciiTheme="minorHAnsi" w:hAnsiTheme="minorHAnsi" w:cstheme="minorHAnsi"/>
          <w:b/>
          <w:bCs/>
          <w:color w:val="000000"/>
          <w:sz w:val="22"/>
          <w:szCs w:val="22"/>
        </w:rPr>
        <w:t>Outcome 5: Integrated Catchment Management Plans</w:t>
      </w:r>
      <w:r>
        <w:rPr>
          <w:rFonts w:asciiTheme="minorHAnsi" w:hAnsiTheme="minorHAnsi" w:cstheme="minorHAnsi"/>
          <w:color w:val="000000"/>
          <w:sz w:val="22"/>
          <w:szCs w:val="22"/>
        </w:rPr>
        <w:t>: The catchment management plans are one of the highlight accomplishments of the project. Although formats and strategies vary between the five plans that have been produced, the extensive participation with stakeholders appears to reflect meaningful issues and priorities in each catchment. The end target was to have four priority area catchment management plans</w:t>
      </w:r>
      <w:r>
        <w:rPr>
          <w:rStyle w:val="FootnoteAnchor"/>
          <w:rFonts w:asciiTheme="minorHAnsi" w:hAnsiTheme="minorHAnsi" w:cstheme="minorHAnsi"/>
          <w:color w:val="000000"/>
          <w:sz w:val="22"/>
          <w:szCs w:val="22"/>
        </w:rPr>
        <w:footnoteReference w:id="44"/>
      </w:r>
      <w:r>
        <w:rPr>
          <w:rFonts w:asciiTheme="minorHAnsi" w:hAnsiTheme="minorHAnsi" w:cstheme="minorHAnsi"/>
          <w:color w:val="000000"/>
          <w:sz w:val="22"/>
          <w:szCs w:val="22"/>
        </w:rPr>
        <w:t xml:space="preserve"> integrating biodiversity, forests, land and water formulated and being implemented; five were produced. The resulting outputs were:</w:t>
      </w:r>
    </w:p>
    <w:p w14:paraId="4529E48F" w14:textId="77777777" w:rsidR="007372B6" w:rsidRDefault="00000000">
      <w:pPr>
        <w:numPr>
          <w:ilvl w:val="0"/>
          <w:numId w:val="12"/>
        </w:numPr>
        <w:spacing w:line="288" w:lineRule="auto"/>
        <w:contextualSpacing/>
        <w:rPr>
          <w:color w:val="000000"/>
        </w:rPr>
      </w:pPr>
      <w:r>
        <w:rPr>
          <w:rFonts w:asciiTheme="minorHAnsi" w:eastAsiaTheme="minorHAnsi" w:hAnsiTheme="minorHAnsi" w:cstheme="minorHAnsi"/>
          <w:color w:val="000000"/>
          <w:sz w:val="22"/>
          <w:szCs w:val="22"/>
          <w:lang w:val="en-CA" w:eastAsia="en-US"/>
        </w:rPr>
        <w:t>Ba Catchment Management Plan, facilitated by WWF</w:t>
      </w:r>
    </w:p>
    <w:p w14:paraId="73322680" w14:textId="77777777" w:rsidR="007372B6" w:rsidRDefault="00000000">
      <w:pPr>
        <w:numPr>
          <w:ilvl w:val="0"/>
          <w:numId w:val="12"/>
        </w:numPr>
        <w:spacing w:line="288" w:lineRule="auto"/>
        <w:contextualSpacing/>
        <w:rPr>
          <w:color w:val="000000"/>
        </w:rPr>
      </w:pPr>
      <w:r>
        <w:rPr>
          <w:rFonts w:asciiTheme="minorHAnsi" w:hAnsiTheme="minorHAnsi" w:cstheme="minorHAnsi"/>
          <w:color w:val="000000"/>
          <w:sz w:val="22"/>
          <w:szCs w:val="22"/>
        </w:rPr>
        <w:t xml:space="preserve">Tuva </w:t>
      </w:r>
      <w:r>
        <w:rPr>
          <w:rFonts w:asciiTheme="minorHAnsi" w:eastAsiaTheme="minorHAnsi" w:hAnsiTheme="minorHAnsi" w:cstheme="minorHAnsi"/>
          <w:color w:val="000000"/>
          <w:sz w:val="22"/>
          <w:szCs w:val="22"/>
          <w:lang w:val="en-CA" w:eastAsia="en-US"/>
        </w:rPr>
        <w:t>Catchment Management Plan,</w:t>
      </w:r>
      <w:r>
        <w:rPr>
          <w:rFonts w:asciiTheme="minorHAnsi" w:hAnsiTheme="minorHAnsi" w:cstheme="minorHAnsi"/>
          <w:color w:val="000000"/>
          <w:sz w:val="22"/>
          <w:szCs w:val="22"/>
        </w:rPr>
        <w:t xml:space="preserve"> facilitated by Conservation International</w:t>
      </w:r>
    </w:p>
    <w:p w14:paraId="65FBF38F" w14:textId="77777777" w:rsidR="007372B6" w:rsidRDefault="00000000">
      <w:pPr>
        <w:numPr>
          <w:ilvl w:val="0"/>
          <w:numId w:val="12"/>
        </w:numPr>
        <w:spacing w:line="288" w:lineRule="auto"/>
        <w:contextualSpacing/>
        <w:rPr>
          <w:color w:val="000000"/>
        </w:rPr>
      </w:pPr>
      <w:proofErr w:type="spellStart"/>
      <w:r>
        <w:rPr>
          <w:rFonts w:asciiTheme="minorHAnsi" w:hAnsiTheme="minorHAnsi" w:cstheme="minorHAnsi"/>
          <w:color w:val="000000"/>
          <w:sz w:val="22"/>
          <w:szCs w:val="22"/>
        </w:rPr>
        <w:t>Tunuloa-Natewa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Penninsula</w:t>
      </w:r>
      <w:proofErr w:type="spellEnd"/>
      <w:r>
        <w:rPr>
          <w:rFonts w:asciiTheme="minorHAnsi" w:hAnsiTheme="minorHAnsi" w:cstheme="minorHAnsi"/>
          <w:color w:val="000000"/>
          <w:sz w:val="22"/>
          <w:szCs w:val="22"/>
        </w:rPr>
        <w:t xml:space="preserve"> Catchment Management Plan, facilitated by Institute of Applied Sciences, University of South Pacific </w:t>
      </w:r>
    </w:p>
    <w:p w14:paraId="0DBBA6EB" w14:textId="77777777" w:rsidR="007372B6" w:rsidRDefault="00000000">
      <w:pPr>
        <w:numPr>
          <w:ilvl w:val="0"/>
          <w:numId w:val="12"/>
        </w:numPr>
        <w:spacing w:line="288" w:lineRule="auto"/>
        <w:contextualSpacing/>
        <w:rPr>
          <w:color w:val="000000"/>
        </w:rPr>
      </w:pPr>
      <w:proofErr w:type="spellStart"/>
      <w:r>
        <w:rPr>
          <w:rFonts w:asciiTheme="minorHAnsi" w:hAnsiTheme="minorHAnsi" w:cstheme="minorHAnsi"/>
          <w:color w:val="000000"/>
          <w:sz w:val="22"/>
          <w:szCs w:val="22"/>
        </w:rPr>
        <w:t>Unuloa-Natewa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Penninsula</w:t>
      </w:r>
      <w:proofErr w:type="spellEnd"/>
      <w:r>
        <w:rPr>
          <w:rFonts w:asciiTheme="minorHAnsi" w:hAnsiTheme="minorHAnsi" w:cstheme="minorHAnsi"/>
          <w:color w:val="000000"/>
          <w:sz w:val="22"/>
          <w:szCs w:val="22"/>
        </w:rPr>
        <w:t xml:space="preserve"> Catchment Management Plan facilitated by Institute of Applied Sciences, University of South Pacific </w:t>
      </w:r>
    </w:p>
    <w:p w14:paraId="72FF4369" w14:textId="77777777" w:rsidR="007372B6" w:rsidRDefault="00000000">
      <w:pPr>
        <w:numPr>
          <w:ilvl w:val="0"/>
          <w:numId w:val="12"/>
        </w:numPr>
        <w:spacing w:line="288" w:lineRule="auto"/>
        <w:contextualSpacing/>
        <w:rPr>
          <w:color w:val="000000"/>
        </w:rPr>
      </w:pPr>
      <w:proofErr w:type="spellStart"/>
      <w:r>
        <w:rPr>
          <w:rFonts w:asciiTheme="minorHAnsi" w:hAnsiTheme="minorHAnsi" w:cstheme="minorHAnsi"/>
          <w:color w:val="000000"/>
          <w:sz w:val="22"/>
          <w:szCs w:val="22"/>
        </w:rPr>
        <w:t>Dogotuki</w:t>
      </w:r>
      <w:proofErr w:type="spellEnd"/>
      <w:r>
        <w:rPr>
          <w:rFonts w:asciiTheme="minorHAnsi" w:hAnsiTheme="minorHAnsi" w:cstheme="minorHAnsi"/>
          <w:color w:val="000000"/>
          <w:sz w:val="22"/>
          <w:szCs w:val="22"/>
        </w:rPr>
        <w:t xml:space="preserve"> Catchment Management Plan, facilitated by Institute of Applied Sciences, University of South Pacific </w:t>
      </w:r>
    </w:p>
    <w:p w14:paraId="45C9FC45" w14:textId="77777777" w:rsidR="007372B6" w:rsidRDefault="00000000">
      <w:pPr>
        <w:numPr>
          <w:ilvl w:val="0"/>
          <w:numId w:val="12"/>
        </w:numPr>
        <w:spacing w:line="288" w:lineRule="auto"/>
        <w:contextualSpacing/>
        <w:rPr>
          <w:color w:val="000000"/>
        </w:rPr>
      </w:pPr>
      <w:proofErr w:type="spellStart"/>
      <w:r>
        <w:rPr>
          <w:rFonts w:asciiTheme="minorHAnsi" w:hAnsiTheme="minorHAnsi" w:cstheme="minorHAnsi"/>
          <w:color w:val="000000" w:themeColor="text1"/>
          <w:sz w:val="22"/>
          <w:szCs w:val="22"/>
        </w:rPr>
        <w:t>Rewa-Waidina</w:t>
      </w:r>
      <w:proofErr w:type="spellEnd"/>
      <w:r>
        <w:rPr>
          <w:rFonts w:asciiTheme="minorHAnsi" w:hAnsiTheme="minorHAnsi" w:cstheme="minorHAnsi"/>
          <w:color w:val="000000"/>
          <w:sz w:val="22"/>
          <w:szCs w:val="22"/>
        </w:rPr>
        <w:t xml:space="preserve"> did not complete a management plan but a catchment management committee was established, facilitated by</w:t>
      </w:r>
      <w:r>
        <w:rPr>
          <w:rFonts w:ascii="Arial Narrow;sans-serif" w:hAnsi="Arial Narrow;sans-serif" w:cstheme="minorHAnsi"/>
          <w:color w:val="000000"/>
          <w:sz w:val="20"/>
          <w:szCs w:val="22"/>
        </w:rPr>
        <w:t xml:space="preserve"> </w:t>
      </w:r>
      <w:r>
        <w:rPr>
          <w:rFonts w:asciiTheme="minorHAnsi" w:hAnsiTheme="minorHAnsi" w:cstheme="minorHAnsi"/>
          <w:color w:val="000000"/>
          <w:sz w:val="22"/>
          <w:szCs w:val="22"/>
        </w:rPr>
        <w:t>Fiji Locally Managed Marine Area (FLMMA).</w:t>
      </w:r>
    </w:p>
    <w:p w14:paraId="70DFB6E9" w14:textId="77777777" w:rsidR="007372B6" w:rsidRDefault="007372B6">
      <w:pPr>
        <w:tabs>
          <w:tab w:val="left" w:pos="1620"/>
        </w:tabs>
        <w:jc w:val="both"/>
      </w:pPr>
    </w:p>
    <w:p w14:paraId="5178EC4C" w14:textId="77777777" w:rsidR="007372B6" w:rsidRDefault="00000000">
      <w:pPr>
        <w:tabs>
          <w:tab w:val="left" w:pos="1620"/>
        </w:tabs>
        <w:spacing w:line="312" w:lineRule="auto"/>
        <w:jc w:val="both"/>
        <w:rPr>
          <w:rFonts w:asciiTheme="minorHAnsi" w:hAnsiTheme="minorHAnsi" w:cstheme="minorHAnsi"/>
          <w:b/>
          <w:bCs/>
          <w:color w:val="000000"/>
          <w:sz w:val="22"/>
          <w:szCs w:val="22"/>
        </w:rPr>
      </w:pPr>
      <w:r>
        <w:rPr>
          <w:rFonts w:asciiTheme="minorHAnsi" w:hAnsiTheme="minorHAnsi" w:cstheme="minorHAnsi"/>
          <w:sz w:val="22"/>
          <w:szCs w:val="22"/>
        </w:rPr>
        <w:t>58. Biological assessments of terrestrial and marine resources, socio-economic and demographic surveys were conducted and integrated in the development of an integrated catchment management plan for each selected priority sites.</w:t>
      </w:r>
    </w:p>
    <w:p w14:paraId="270E0FEE" w14:textId="77777777" w:rsidR="007372B6" w:rsidRDefault="007372B6">
      <w:pPr>
        <w:tabs>
          <w:tab w:val="left" w:pos="1620"/>
        </w:tabs>
        <w:rPr>
          <w:rFonts w:asciiTheme="minorHAnsi" w:hAnsiTheme="minorHAnsi" w:cstheme="minorHAnsi"/>
          <w:b/>
          <w:bCs/>
          <w:color w:val="000000"/>
          <w:sz w:val="22"/>
          <w:szCs w:val="22"/>
        </w:rPr>
      </w:pPr>
    </w:p>
    <w:p w14:paraId="6185DBA6" w14:textId="77777777" w:rsidR="007372B6" w:rsidRDefault="00000000">
      <w:pPr>
        <w:tabs>
          <w:tab w:val="left" w:pos="567"/>
          <w:tab w:val="left" w:pos="1620"/>
        </w:tabs>
        <w:spacing w:line="312" w:lineRule="auto"/>
        <w:jc w:val="both"/>
        <w:rPr>
          <w:rFonts w:asciiTheme="minorHAnsi" w:hAnsiTheme="minorHAnsi" w:cstheme="minorHAnsi"/>
          <w:sz w:val="22"/>
          <w:szCs w:val="22"/>
        </w:rPr>
      </w:pPr>
      <w:r>
        <w:rPr>
          <w:rFonts w:asciiTheme="minorHAnsi" w:hAnsiTheme="minorHAnsi" w:cstheme="minorHAnsi"/>
          <w:sz w:val="22"/>
          <w:szCs w:val="22"/>
        </w:rPr>
        <w:t xml:space="preserve">59. The organisation and approaches to planning varied between the catchment areas. Initial ideas to clearly allocate catchments to implementing partners and to adopt more consistent area planning processes and activities and close communication between IPs did not proceed. The project did not have an overall framework and process for catchment management planning, and Covid and continuous staff changes aggravated the communications around the catchment planning.  Nevertheless, there was good involvement of stakeholders in the somewhat ad hoc processes, and the plan preparation processes appear to have utilized the important technical and scientific surveys and studies that were prepared for the project (despite a general neglect of hydrological processes).  </w:t>
      </w:r>
    </w:p>
    <w:p w14:paraId="6748665D" w14:textId="77777777" w:rsidR="007372B6" w:rsidRDefault="007372B6">
      <w:pPr>
        <w:tabs>
          <w:tab w:val="left" w:pos="567"/>
          <w:tab w:val="left" w:pos="1620"/>
        </w:tabs>
        <w:jc w:val="both"/>
        <w:rPr>
          <w:rFonts w:asciiTheme="minorHAnsi" w:hAnsiTheme="minorHAnsi" w:cstheme="minorHAnsi"/>
          <w:sz w:val="22"/>
          <w:szCs w:val="22"/>
        </w:rPr>
      </w:pPr>
    </w:p>
    <w:p w14:paraId="5F8BEFAD" w14:textId="77777777" w:rsidR="007372B6" w:rsidRDefault="00000000">
      <w:pPr>
        <w:tabs>
          <w:tab w:val="left" w:pos="567"/>
          <w:tab w:val="left" w:pos="1620"/>
        </w:tabs>
        <w:spacing w:line="312" w:lineRule="auto"/>
        <w:jc w:val="both"/>
      </w:pPr>
      <w:r>
        <w:rPr>
          <w:rFonts w:asciiTheme="minorHAnsi" w:hAnsiTheme="minorHAnsi" w:cstheme="minorHAnsi"/>
          <w:sz w:val="22"/>
          <w:szCs w:val="22"/>
        </w:rPr>
        <w:lastRenderedPageBreak/>
        <w:t>60. Proposed strategies in the plans include a) process actions, such as clarifying roles and responsibilities, management procedures, bylaw enactment, leadership training, etc., and b) physical actions, such as land use controls, agricultural practices, logging restrictions, erosion control, riparian restorations, etc. Land uses that conflicted with traditional structure of communal governance were a particular concern. Catchment Management Committees are reportedly empowered to pursue implementation and monitoring of the plans. However, this remains to be seen depending on available resources and ongoing commitments.</w:t>
      </w:r>
    </w:p>
    <w:p w14:paraId="16769D49" w14:textId="77777777" w:rsidR="007372B6" w:rsidRDefault="007372B6">
      <w:pPr>
        <w:rPr>
          <w:rFonts w:ascii="Calibri" w:hAnsi="Calibri" w:cs="Calibri"/>
          <w:color w:val="2E5395"/>
          <w:sz w:val="26"/>
          <w:szCs w:val="26"/>
        </w:rPr>
      </w:pPr>
    </w:p>
    <w:p w14:paraId="5F7CC066" w14:textId="77777777" w:rsidR="007372B6" w:rsidRDefault="00000000">
      <w:pPr>
        <w:tabs>
          <w:tab w:val="left" w:pos="567"/>
          <w:tab w:val="left" w:pos="1620"/>
        </w:tabs>
        <w:spacing w:line="312" w:lineRule="auto"/>
        <w:jc w:val="both"/>
        <w:rPr>
          <w:rFonts w:asciiTheme="minorHAnsi" w:hAnsiTheme="minorHAnsi" w:cstheme="minorHAnsi"/>
          <w:sz w:val="22"/>
          <w:szCs w:val="22"/>
        </w:rPr>
      </w:pPr>
      <w:r>
        <w:rPr>
          <w:rFonts w:asciiTheme="minorHAnsi" w:hAnsiTheme="minorHAnsi" w:cstheme="minorHAnsi"/>
          <w:color w:val="000000"/>
          <w:sz w:val="22"/>
          <w:szCs w:val="22"/>
        </w:rPr>
        <w:t>61. Success in establishing catchment management plans and the ongoing management of project activities by the committees entails utilizing</w:t>
      </w:r>
      <w:r>
        <w:rPr>
          <w:rFonts w:ascii="Calibri" w:hAnsi="Calibri" w:cstheme="minorHAnsi"/>
          <w:color w:val="000000"/>
          <w:sz w:val="22"/>
          <w:szCs w:val="22"/>
        </w:rPr>
        <w:t xml:space="preserve"> </w:t>
      </w:r>
      <w:r>
        <w:rPr>
          <w:rFonts w:ascii="Calibri" w:hAnsi="Calibri" w:cstheme="minorHAnsi"/>
          <w:color w:val="000000"/>
          <w:sz w:val="22"/>
          <w:szCs w:val="22"/>
          <w:u w:val="single"/>
        </w:rPr>
        <w:t>existing local governance systems to review current and potential roles and functions in the relay and dissemination of information by respective project partners and stakeholders</w:t>
      </w:r>
      <w:r>
        <w:rPr>
          <w:rFonts w:ascii="Calibri" w:hAnsi="Calibri" w:cstheme="minorHAnsi"/>
          <w:color w:val="000000"/>
          <w:sz w:val="22"/>
          <w:szCs w:val="22"/>
        </w:rPr>
        <w:t xml:space="preserve">. As highlighted in </w:t>
      </w:r>
      <w:proofErr w:type="spellStart"/>
      <w:r>
        <w:rPr>
          <w:rFonts w:ascii="Calibri" w:hAnsi="Calibri" w:cstheme="minorHAnsi"/>
          <w:color w:val="000000"/>
          <w:sz w:val="22"/>
          <w:szCs w:val="22"/>
        </w:rPr>
        <w:t>Vunisea</w:t>
      </w:r>
      <w:proofErr w:type="spellEnd"/>
      <w:r>
        <w:rPr>
          <w:rFonts w:ascii="Calibri" w:hAnsi="Calibri" w:cstheme="minorHAnsi"/>
          <w:color w:val="000000"/>
          <w:sz w:val="22"/>
          <w:szCs w:val="22"/>
        </w:rPr>
        <w:t xml:space="preserve"> (2020) report, “there are existing resource mechanisms and governance structure that requires strengthening in partnership and participatory role in communicating the short- and long-term goals of the project. </w:t>
      </w:r>
      <w:proofErr w:type="spellStart"/>
      <w:r>
        <w:rPr>
          <w:rFonts w:ascii="Calibri" w:hAnsi="Calibri" w:cstheme="minorHAnsi"/>
          <w:color w:val="000000"/>
          <w:sz w:val="22"/>
          <w:szCs w:val="22"/>
        </w:rPr>
        <w:t>Capitalising</w:t>
      </w:r>
      <w:proofErr w:type="spellEnd"/>
      <w:r>
        <w:rPr>
          <w:rFonts w:ascii="Calibri" w:hAnsi="Calibri" w:cstheme="minorHAnsi"/>
          <w:color w:val="000000"/>
          <w:sz w:val="22"/>
          <w:szCs w:val="22"/>
        </w:rPr>
        <w:t xml:space="preserve"> on these supportive platforms would ensure mutual agreements and understanding of actions plans, in particular, to land owning communities with identified degradation sites.” These supportive platforms are namely the: </w:t>
      </w:r>
      <w:proofErr w:type="spellStart"/>
      <w:r>
        <w:rPr>
          <w:rFonts w:ascii="Calibri" w:hAnsi="Calibri" w:cstheme="minorHAnsi"/>
          <w:color w:val="000000"/>
          <w:sz w:val="22"/>
          <w:szCs w:val="22"/>
        </w:rPr>
        <w:t>Nadroga</w:t>
      </w:r>
      <w:proofErr w:type="spellEnd"/>
      <w:r>
        <w:rPr>
          <w:rFonts w:ascii="Calibri" w:hAnsi="Calibri" w:cstheme="minorHAnsi"/>
          <w:color w:val="000000"/>
          <w:sz w:val="22"/>
          <w:szCs w:val="22"/>
        </w:rPr>
        <w:t>/</w:t>
      </w:r>
      <w:proofErr w:type="spellStart"/>
      <w:r>
        <w:rPr>
          <w:rFonts w:ascii="Calibri" w:hAnsi="Calibri" w:cstheme="minorHAnsi"/>
          <w:color w:val="000000"/>
          <w:sz w:val="22"/>
          <w:szCs w:val="22"/>
        </w:rPr>
        <w:t>Navosa</w:t>
      </w:r>
      <w:proofErr w:type="spellEnd"/>
      <w:r>
        <w:rPr>
          <w:rFonts w:ascii="Calibri" w:hAnsi="Calibri" w:cstheme="minorHAnsi"/>
          <w:color w:val="000000"/>
          <w:sz w:val="22"/>
          <w:szCs w:val="22"/>
        </w:rPr>
        <w:t xml:space="preserve"> Management </w:t>
      </w:r>
      <w:proofErr w:type="spellStart"/>
      <w:r>
        <w:rPr>
          <w:rFonts w:ascii="Calibri" w:hAnsi="Calibri" w:cstheme="minorHAnsi"/>
          <w:color w:val="000000"/>
          <w:sz w:val="22"/>
          <w:szCs w:val="22"/>
        </w:rPr>
        <w:t>Yaubula</w:t>
      </w:r>
      <w:proofErr w:type="spellEnd"/>
      <w:r>
        <w:rPr>
          <w:rFonts w:ascii="Calibri" w:hAnsi="Calibri" w:cstheme="minorHAnsi"/>
          <w:color w:val="000000"/>
          <w:sz w:val="22"/>
          <w:szCs w:val="22"/>
        </w:rPr>
        <w:t xml:space="preserve"> Support Team (NNYMST) and the </w:t>
      </w:r>
      <w:proofErr w:type="spellStart"/>
      <w:r>
        <w:rPr>
          <w:rFonts w:ascii="Calibri" w:hAnsi="Calibri" w:cstheme="minorHAnsi"/>
          <w:color w:val="000000"/>
          <w:sz w:val="22"/>
          <w:szCs w:val="22"/>
        </w:rPr>
        <w:t>i-Taukei</w:t>
      </w:r>
      <w:proofErr w:type="spellEnd"/>
      <w:r>
        <w:rPr>
          <w:rFonts w:ascii="Calibri" w:hAnsi="Calibri" w:cstheme="minorHAnsi"/>
          <w:color w:val="000000"/>
          <w:sz w:val="22"/>
          <w:szCs w:val="22"/>
        </w:rPr>
        <w:t xml:space="preserve"> Affairs both of which are champion focal points of good governance, conservation of natural resources, income generation and resilient communities (</w:t>
      </w:r>
      <w:proofErr w:type="spellStart"/>
      <w:r>
        <w:rPr>
          <w:rFonts w:ascii="Calibri" w:hAnsi="Calibri" w:cstheme="minorHAnsi"/>
          <w:color w:val="000000"/>
          <w:sz w:val="22"/>
          <w:szCs w:val="22"/>
        </w:rPr>
        <w:t>Vunisea</w:t>
      </w:r>
      <w:proofErr w:type="spellEnd"/>
      <w:r>
        <w:rPr>
          <w:rFonts w:ascii="Calibri" w:hAnsi="Calibri" w:cstheme="minorHAnsi"/>
          <w:color w:val="000000"/>
          <w:sz w:val="22"/>
          <w:szCs w:val="22"/>
        </w:rPr>
        <w:t>, 2020).</w:t>
      </w:r>
      <w:r>
        <w:rPr>
          <w:rStyle w:val="FootnoteAnchor"/>
          <w:rFonts w:ascii="Calibri" w:hAnsi="Calibri" w:cstheme="minorHAnsi"/>
          <w:color w:val="000000"/>
          <w:sz w:val="22"/>
          <w:szCs w:val="22"/>
        </w:rPr>
        <w:footnoteReference w:id="45"/>
      </w:r>
      <w:r>
        <w:rPr>
          <w:rFonts w:ascii="Calibri" w:hAnsi="Calibri" w:cstheme="minorHAnsi"/>
          <w:color w:val="000000"/>
          <w:sz w:val="22"/>
          <w:szCs w:val="22"/>
        </w:rPr>
        <w:t xml:space="preserve"> In addition, NGOs indicated that they have spent 10 years in some cases working in the communities, building trust and capacity. This was not the case in some communities (Tuva), which CI agreed to take provided it was able to take the lead in implementation. </w:t>
      </w:r>
    </w:p>
    <w:p w14:paraId="4FEE02D0" w14:textId="77777777" w:rsidR="007372B6" w:rsidRDefault="007372B6">
      <w:pPr>
        <w:rPr>
          <w:rFonts w:ascii="Georgia" w:hAnsi="Georgia" w:cs="Georgia"/>
          <w:color w:val="000000"/>
          <w:sz w:val="22"/>
          <w:szCs w:val="22"/>
          <w:shd w:val="clear" w:color="auto" w:fill="00FF00"/>
        </w:rPr>
      </w:pPr>
    </w:p>
    <w:p w14:paraId="78EEC5C4" w14:textId="77777777" w:rsidR="007372B6" w:rsidRDefault="00000000">
      <w:pPr>
        <w:tabs>
          <w:tab w:val="left" w:pos="1620"/>
        </w:tabs>
        <w:spacing w:line="312" w:lineRule="auto"/>
        <w:jc w:val="both"/>
      </w:pPr>
      <w:r>
        <w:rPr>
          <w:rFonts w:asciiTheme="minorHAnsi" w:hAnsiTheme="minorHAnsi" w:cstheme="minorHAnsi"/>
          <w:color w:val="000000" w:themeColor="text1"/>
          <w:sz w:val="22"/>
          <w:szCs w:val="22"/>
        </w:rPr>
        <w:t>62. Despite the good participation and documentation of issues and priorities, the end result scenarios and the strategies to achieve them, including capacity building actions needed, were not well defined in the planning processes particularly from a multi-sectoral and upstream-downstream perspective. In addition to this, there was limited guidance on an integrated approach to catchment area planning, and the designs were heavily influenced by the Government’s goal of planting “30 million trees in 15 years”. The lead agency in three catchments (</w:t>
      </w:r>
      <w:proofErr w:type="spellStart"/>
      <w:r>
        <w:rPr>
          <w:rFonts w:asciiTheme="minorHAnsi" w:hAnsiTheme="minorHAnsi" w:cstheme="minorHAnsi"/>
          <w:color w:val="000000" w:themeColor="text1"/>
          <w:sz w:val="22"/>
          <w:szCs w:val="22"/>
        </w:rPr>
        <w:t>Rewa-Waidina</w:t>
      </w:r>
      <w:proofErr w:type="spellEnd"/>
      <w:r>
        <w:rPr>
          <w:rFonts w:asciiTheme="minorHAnsi" w:hAnsiTheme="minorHAnsi" w:cstheme="minorHAnsi"/>
          <w:color w:val="000000" w:themeColor="text1"/>
          <w:sz w:val="22"/>
          <w:szCs w:val="22"/>
        </w:rPr>
        <w:t xml:space="preserve">, </w:t>
      </w:r>
      <w:proofErr w:type="spellStart"/>
      <w:r>
        <w:rPr>
          <w:rFonts w:asciiTheme="minorHAnsi" w:hAnsiTheme="minorHAnsi" w:cstheme="minorHAnsi"/>
          <w:color w:val="000000" w:themeColor="text1"/>
          <w:sz w:val="22"/>
          <w:szCs w:val="22"/>
        </w:rPr>
        <w:t>Tunuloa</w:t>
      </w:r>
      <w:proofErr w:type="spellEnd"/>
      <w:r>
        <w:rPr>
          <w:rFonts w:asciiTheme="minorHAnsi" w:hAnsiTheme="minorHAnsi" w:cstheme="minorHAnsi"/>
          <w:color w:val="000000" w:themeColor="text1"/>
          <w:sz w:val="22"/>
          <w:szCs w:val="22"/>
        </w:rPr>
        <w:t xml:space="preserve"> and </w:t>
      </w:r>
      <w:proofErr w:type="spellStart"/>
      <w:r>
        <w:rPr>
          <w:rFonts w:asciiTheme="minorHAnsi" w:hAnsiTheme="minorHAnsi" w:cstheme="minorHAnsi"/>
          <w:color w:val="000000" w:themeColor="text1"/>
          <w:sz w:val="22"/>
          <w:szCs w:val="22"/>
        </w:rPr>
        <w:t>Vunivia</w:t>
      </w:r>
      <w:proofErr w:type="spellEnd"/>
      <w:r>
        <w:rPr>
          <w:rFonts w:asciiTheme="minorHAnsi" w:hAnsiTheme="minorHAnsi" w:cstheme="minorHAnsi"/>
          <w:color w:val="000000" w:themeColor="text1"/>
          <w:sz w:val="22"/>
          <w:szCs w:val="22"/>
        </w:rPr>
        <w:t xml:space="preserve">) was MOWE and according to TE interviews, the local communities were less certain about how they would benefit from the project. In the other catchment areas, WWF (Ba and Labasa Catchments) and CI (Tuva) were allocated catchments to lead implementation, and as a result these communities were much more involved and USP-IAS more engaged to provide technical scientific research in support of the planning process.  There was no </w:t>
      </w:r>
      <w:proofErr w:type="spellStart"/>
      <w:r>
        <w:rPr>
          <w:rFonts w:asciiTheme="minorHAnsi" w:hAnsiTheme="minorHAnsi" w:cstheme="minorHAnsi"/>
          <w:color w:val="000000" w:themeColor="text1"/>
          <w:sz w:val="22"/>
          <w:szCs w:val="22"/>
        </w:rPr>
        <w:t>Rewa</w:t>
      </w:r>
      <w:proofErr w:type="spellEnd"/>
      <w:r>
        <w:rPr>
          <w:rFonts w:asciiTheme="minorHAnsi" w:hAnsiTheme="minorHAnsi" w:cstheme="minorHAnsi"/>
          <w:color w:val="000000" w:themeColor="text1"/>
          <w:sz w:val="22"/>
          <w:szCs w:val="22"/>
        </w:rPr>
        <w:t xml:space="preserve"> Catchment Management planning process although the local committee has been established under FLMMA’s guidance.</w:t>
      </w:r>
    </w:p>
    <w:p w14:paraId="7B25F918" w14:textId="77777777" w:rsidR="007372B6" w:rsidRDefault="007372B6">
      <w:pPr>
        <w:tabs>
          <w:tab w:val="left" w:pos="1620"/>
        </w:tabs>
        <w:rPr>
          <w:rFonts w:asciiTheme="minorHAnsi" w:hAnsiTheme="minorHAnsi" w:cstheme="minorHAnsi"/>
          <w:color w:val="000000"/>
          <w:sz w:val="22"/>
          <w:szCs w:val="22"/>
        </w:rPr>
      </w:pPr>
    </w:p>
    <w:p w14:paraId="7AD20886" w14:textId="77777777" w:rsidR="007372B6" w:rsidRDefault="00000000">
      <w:pPr>
        <w:tabs>
          <w:tab w:val="left" w:pos="1620"/>
        </w:tabs>
        <w:spacing w:line="312" w:lineRule="auto"/>
        <w:jc w:val="both"/>
        <w:rPr>
          <w:rFonts w:asciiTheme="minorHAnsi" w:hAnsiTheme="minorHAnsi" w:cstheme="minorHAnsi"/>
          <w:b/>
          <w:bCs/>
          <w:color w:val="000000"/>
          <w:sz w:val="22"/>
          <w:szCs w:val="22"/>
        </w:rPr>
      </w:pPr>
      <w:r>
        <w:rPr>
          <w:rFonts w:asciiTheme="minorHAnsi" w:hAnsiTheme="minorHAnsi" w:cstheme="minorHAnsi"/>
          <w:color w:val="000000"/>
          <w:sz w:val="22"/>
          <w:szCs w:val="22"/>
        </w:rPr>
        <w:t xml:space="preserve">63. </w:t>
      </w:r>
      <w:r>
        <w:rPr>
          <w:rFonts w:asciiTheme="minorHAnsi" w:hAnsiTheme="minorHAnsi" w:cstheme="minorHAnsi"/>
          <w:b/>
          <w:bCs/>
          <w:color w:val="000000"/>
          <w:sz w:val="22"/>
          <w:szCs w:val="22"/>
        </w:rPr>
        <w:t xml:space="preserve">Outcome 6: Strengthened Governance for Integrated NRM: </w:t>
      </w:r>
      <w:r>
        <w:rPr>
          <w:rFonts w:asciiTheme="minorHAnsi" w:hAnsiTheme="minorHAnsi" w:cstheme="minorHAnsi"/>
          <w:sz w:val="22"/>
          <w:szCs w:val="22"/>
        </w:rPr>
        <w:t xml:space="preserve">The original plan proposed as an interim measure to “strengthen DoE/NEC with new/additional NBSAP type model to encapsulate land, water, forests and fisheries conservation under its structure. Empowerment to TAB with additional </w:t>
      </w:r>
      <w:r>
        <w:rPr>
          <w:rFonts w:asciiTheme="minorHAnsi" w:hAnsiTheme="minorHAnsi" w:cstheme="minorHAnsi"/>
          <w:sz w:val="22"/>
          <w:szCs w:val="22"/>
        </w:rPr>
        <w:lastRenderedPageBreak/>
        <w:t xml:space="preserve">resources. It has mainstreamed environment into its provincial operation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Provincial Conservation officers and YMST.” </w:t>
      </w:r>
      <w:r>
        <w:rPr>
          <w:rStyle w:val="FootnoteAnchor"/>
          <w:rFonts w:asciiTheme="minorHAnsi" w:hAnsiTheme="minorHAnsi" w:cstheme="minorHAnsi"/>
          <w:sz w:val="22"/>
          <w:szCs w:val="22"/>
        </w:rPr>
        <w:footnoteReference w:id="46"/>
      </w:r>
    </w:p>
    <w:p w14:paraId="669DF1CA" w14:textId="77777777" w:rsidR="007372B6" w:rsidRDefault="007372B6">
      <w:pPr>
        <w:tabs>
          <w:tab w:val="left" w:pos="1620"/>
        </w:tabs>
        <w:jc w:val="both"/>
        <w:rPr>
          <w:rFonts w:asciiTheme="minorHAnsi" w:hAnsiTheme="minorHAnsi" w:cstheme="minorHAnsi"/>
          <w:color w:val="000000"/>
          <w:sz w:val="22"/>
          <w:szCs w:val="22"/>
        </w:rPr>
      </w:pPr>
    </w:p>
    <w:p w14:paraId="5451CEFD" w14:textId="77777777" w:rsidR="007372B6" w:rsidRDefault="00000000">
      <w:pPr>
        <w:widowControl w:val="0"/>
        <w:spacing w:line="312" w:lineRule="auto"/>
        <w:jc w:val="both"/>
        <w:rPr>
          <w:rFonts w:asciiTheme="minorHAnsi" w:eastAsia="Arial" w:hAnsiTheme="minorHAnsi" w:cstheme="minorHAnsi"/>
          <w:sz w:val="22"/>
          <w:szCs w:val="22"/>
          <w:lang w:eastAsia="en-GB"/>
        </w:rPr>
      </w:pPr>
      <w:r>
        <w:rPr>
          <w:rFonts w:asciiTheme="minorHAnsi" w:hAnsiTheme="minorHAnsi" w:cstheme="minorHAnsi"/>
          <w:color w:val="000000"/>
          <w:sz w:val="22"/>
          <w:szCs w:val="22"/>
        </w:rPr>
        <w:t xml:space="preserve">64. This outcome target was not understood or pursued by the government and implementing partners. The uncertainty about a national integrated natural resources management policy along with overall delays in project implementation and lack of time to develop policies led to abandoning this outcome. Instead, a management decision was made </w:t>
      </w:r>
      <w:r>
        <w:rPr>
          <w:rFonts w:asciiTheme="minorHAnsi" w:eastAsia="Arial" w:hAnsiTheme="minorHAnsi" w:cstheme="minorHAnsi"/>
          <w:sz w:val="22"/>
          <w:szCs w:val="22"/>
          <w:lang w:eastAsia="en-GB"/>
        </w:rPr>
        <w:t>to focus on the activities of Outcome 2.1 “due to the fact that this was long lasting and it got the support from the Fiji Government because of its 15 million trees reforested mandate.”</w:t>
      </w:r>
      <w:r>
        <w:rPr>
          <w:rStyle w:val="FootnoteAnchor"/>
          <w:rFonts w:asciiTheme="minorHAnsi" w:eastAsia="Arial" w:hAnsiTheme="minorHAnsi" w:cstheme="minorHAnsi"/>
          <w:sz w:val="22"/>
          <w:szCs w:val="22"/>
          <w:lang w:eastAsia="en-GB"/>
        </w:rPr>
        <w:footnoteReference w:id="47"/>
      </w:r>
      <w:r>
        <w:rPr>
          <w:rFonts w:asciiTheme="minorHAnsi" w:eastAsia="Arial" w:hAnsiTheme="minorHAnsi" w:cstheme="minorHAnsi"/>
          <w:sz w:val="22"/>
          <w:szCs w:val="22"/>
          <w:lang w:eastAsia="en-GB"/>
        </w:rPr>
        <w:t xml:space="preserve"> It was expected that this policy aspiration would be pursued after the project.</w:t>
      </w:r>
    </w:p>
    <w:p w14:paraId="617E9C5F" w14:textId="77777777" w:rsidR="007372B6" w:rsidRDefault="007372B6">
      <w:pPr>
        <w:widowControl w:val="0"/>
        <w:jc w:val="both"/>
        <w:rPr>
          <w:rFonts w:asciiTheme="minorHAnsi" w:eastAsia="Arial" w:hAnsiTheme="minorHAnsi" w:cstheme="minorHAnsi"/>
          <w:sz w:val="22"/>
          <w:szCs w:val="22"/>
          <w:lang w:eastAsia="en-GB"/>
        </w:rPr>
      </w:pPr>
    </w:p>
    <w:p w14:paraId="5141C7E5"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65. </w:t>
      </w:r>
      <w:r>
        <w:rPr>
          <w:rFonts w:asciiTheme="minorHAnsi" w:hAnsiTheme="minorHAnsi" w:cstheme="minorHAnsi"/>
          <w:b/>
          <w:bCs/>
          <w:color w:val="000000"/>
          <w:sz w:val="22"/>
          <w:szCs w:val="22"/>
        </w:rPr>
        <w:t xml:space="preserve">Outcome 7: Improved Data and Information Systems: </w:t>
      </w:r>
      <w:r>
        <w:rPr>
          <w:rFonts w:asciiTheme="minorHAnsi" w:hAnsiTheme="minorHAnsi" w:cstheme="minorHAnsi"/>
          <w:color w:val="000000"/>
          <w:sz w:val="22"/>
          <w:szCs w:val="22"/>
        </w:rPr>
        <w:t xml:space="preserve">The planned result was to have </w:t>
      </w:r>
      <w:r>
        <w:rPr>
          <w:rFonts w:asciiTheme="minorHAnsi" w:hAnsiTheme="minorHAnsi" w:cstheme="minorHAnsi"/>
          <w:sz w:val="22"/>
          <w:szCs w:val="22"/>
        </w:rPr>
        <w:t>key decision makers in Fiji Government, relevant professionals in concerned Departments, NGOs and private sector well informed on approaches, needs and benefits for integrated catchment management, biodiversity conservation and development of forest and blue carbon stocks through the R&amp;D activities of the project, and through a well-formulated and implemented KM protocol and communications strategy</w:t>
      </w:r>
    </w:p>
    <w:p w14:paraId="639E7ECC" w14:textId="77777777" w:rsidR="007372B6" w:rsidRDefault="007372B6">
      <w:pPr>
        <w:jc w:val="both"/>
      </w:pPr>
    </w:p>
    <w:p w14:paraId="52733372" w14:textId="77777777" w:rsidR="007372B6" w:rsidRDefault="00000000">
      <w:pPr>
        <w:spacing w:line="312" w:lineRule="auto"/>
        <w:jc w:val="both"/>
        <w:rPr>
          <w:rFonts w:asciiTheme="minorHAnsi" w:hAnsiTheme="minorHAnsi" w:cstheme="minorHAnsi"/>
          <w:sz w:val="22"/>
          <w:szCs w:val="22"/>
        </w:rPr>
      </w:pPr>
      <w:r>
        <w:rPr>
          <w:rFonts w:asciiTheme="minorHAnsi" w:hAnsiTheme="minorHAnsi" w:cstheme="minorHAnsi"/>
          <w:sz w:val="22"/>
          <w:szCs w:val="22"/>
        </w:rPr>
        <w:t>66. The concept of integrated approaches to natural resources management (NRM) and environmental management has been introduced in a general way through the Catchment Area Management Plans. This involved multi sector and multi-stakeholder inputs into strategic program plans for local Catchment Area Committees to oversee. The reported result has been a project website and project materials distributed. The project has nevertheless created awareness about the various issues facing the catchment areas and the need for cooperation to address these issues.</w:t>
      </w:r>
    </w:p>
    <w:p w14:paraId="2889865D" w14:textId="77777777" w:rsidR="007372B6" w:rsidRDefault="007372B6">
      <w:pPr>
        <w:tabs>
          <w:tab w:val="left" w:pos="1620"/>
        </w:tabs>
        <w:ind w:left="1080"/>
        <w:rPr>
          <w:rFonts w:asciiTheme="minorHAnsi" w:hAnsiTheme="minorHAnsi" w:cstheme="minorHAnsi"/>
          <w:color w:val="000000"/>
          <w:sz w:val="22"/>
          <w:szCs w:val="22"/>
        </w:rPr>
      </w:pPr>
    </w:p>
    <w:p w14:paraId="3EF4717B" w14:textId="77777777" w:rsidR="007372B6" w:rsidRDefault="00000000">
      <w:pPr>
        <w:pStyle w:val="ListParagraph"/>
        <w:tabs>
          <w:tab w:val="left" w:pos="1620"/>
        </w:tabs>
        <w:spacing w:after="120"/>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4.3.3 Efficiency</w:t>
      </w:r>
    </w:p>
    <w:p w14:paraId="42B25167"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67. The project delays, some of which were related to lengthy government and community approval processes, were the major source of inefficiencies. Others may have been related to institutional constraints that might have been recognized early, such as in the </w:t>
      </w:r>
      <w:proofErr w:type="spellStart"/>
      <w:r>
        <w:rPr>
          <w:rFonts w:asciiTheme="minorHAnsi" w:hAnsiTheme="minorHAnsi" w:cstheme="minorHAnsi"/>
          <w:color w:val="000000"/>
          <w:sz w:val="22"/>
          <w:szCs w:val="22"/>
        </w:rPr>
        <w:t>Tunuloa</w:t>
      </w:r>
      <w:proofErr w:type="spellEnd"/>
      <w:r>
        <w:rPr>
          <w:rFonts w:asciiTheme="minorHAnsi" w:hAnsiTheme="minorHAnsi" w:cstheme="minorHAnsi"/>
          <w:color w:val="000000"/>
          <w:sz w:val="22"/>
          <w:szCs w:val="22"/>
        </w:rPr>
        <w:t xml:space="preserve"> catchment where the Tui </w:t>
      </w:r>
      <w:proofErr w:type="spellStart"/>
      <w:r>
        <w:rPr>
          <w:rFonts w:asciiTheme="minorHAnsi" w:hAnsiTheme="minorHAnsi" w:cstheme="minorHAnsi"/>
          <w:color w:val="000000"/>
          <w:sz w:val="22"/>
          <w:szCs w:val="22"/>
        </w:rPr>
        <w:t>Cakau</w:t>
      </w:r>
      <w:proofErr w:type="spellEnd"/>
      <w:r>
        <w:rPr>
          <w:rFonts w:asciiTheme="minorHAnsi" w:hAnsiTheme="minorHAnsi" w:cstheme="minorHAnsi"/>
          <w:color w:val="000000"/>
          <w:sz w:val="22"/>
          <w:szCs w:val="22"/>
        </w:rPr>
        <w:t xml:space="preserve"> community did not allow any biological survey in the </w:t>
      </w:r>
      <w:proofErr w:type="spellStart"/>
      <w:r>
        <w:rPr>
          <w:rFonts w:asciiTheme="minorHAnsi" w:hAnsiTheme="minorHAnsi" w:cstheme="minorHAnsi"/>
          <w:color w:val="000000"/>
          <w:sz w:val="22"/>
          <w:szCs w:val="22"/>
        </w:rPr>
        <w:t>Cakaudrove</w:t>
      </w:r>
      <w:proofErr w:type="spellEnd"/>
      <w:r>
        <w:rPr>
          <w:rFonts w:asciiTheme="minorHAnsi" w:hAnsiTheme="minorHAnsi" w:cstheme="minorHAnsi"/>
          <w:color w:val="000000"/>
          <w:sz w:val="22"/>
          <w:szCs w:val="22"/>
        </w:rPr>
        <w:t xml:space="preserve"> marine areas. Other constraints may have related to capacity and Covid-affected conditions and travel restrictions. For example, only seven out of thirteen villages within </w:t>
      </w:r>
      <w:proofErr w:type="spellStart"/>
      <w:r>
        <w:rPr>
          <w:rFonts w:asciiTheme="minorHAnsi" w:hAnsiTheme="minorHAnsi" w:cstheme="minorHAnsi"/>
          <w:color w:val="000000"/>
          <w:sz w:val="22"/>
          <w:szCs w:val="22"/>
        </w:rPr>
        <w:t>Tunuloa</w:t>
      </w:r>
      <w:proofErr w:type="spellEnd"/>
      <w:r>
        <w:rPr>
          <w:rFonts w:asciiTheme="minorHAnsi" w:hAnsiTheme="minorHAnsi" w:cstheme="minorHAnsi"/>
          <w:color w:val="000000"/>
          <w:sz w:val="22"/>
          <w:szCs w:val="22"/>
        </w:rPr>
        <w:t xml:space="preserve"> catchment had submitted documents on their </w:t>
      </w:r>
      <w:proofErr w:type="spellStart"/>
      <w:r>
        <w:rPr>
          <w:rFonts w:asciiTheme="minorHAnsi" w:hAnsiTheme="minorHAnsi" w:cstheme="minorHAnsi"/>
          <w:color w:val="000000"/>
          <w:sz w:val="22"/>
          <w:szCs w:val="22"/>
        </w:rPr>
        <w:t>gazetted</w:t>
      </w:r>
      <w:proofErr w:type="spellEnd"/>
      <w:r>
        <w:rPr>
          <w:rFonts w:asciiTheme="minorHAnsi" w:hAnsiTheme="minorHAnsi" w:cstheme="minorHAnsi"/>
          <w:color w:val="000000"/>
          <w:sz w:val="22"/>
          <w:szCs w:val="22"/>
        </w:rPr>
        <w:t xml:space="preserve"> MPA as of June 30, 2021</w:t>
      </w:r>
      <w:r>
        <w:rPr>
          <w:rStyle w:val="FootnoteAnchor"/>
          <w:rFonts w:asciiTheme="minorHAnsi" w:hAnsiTheme="minorHAnsi" w:cstheme="minorHAnsi"/>
          <w:color w:val="000000"/>
          <w:sz w:val="22"/>
          <w:szCs w:val="22"/>
        </w:rPr>
        <w:footnoteReference w:id="48"/>
      </w:r>
      <w:r>
        <w:rPr>
          <w:rFonts w:asciiTheme="minorHAnsi" w:hAnsiTheme="minorHAnsi" w:cstheme="minorHAnsi"/>
          <w:color w:val="000000"/>
          <w:sz w:val="22"/>
          <w:szCs w:val="22"/>
        </w:rPr>
        <w:t xml:space="preserve"> and the current status of PA legal designation is unknown.</w:t>
      </w:r>
    </w:p>
    <w:p w14:paraId="4DE9AE77" w14:textId="77777777" w:rsidR="007372B6" w:rsidRDefault="007372B6">
      <w:pPr>
        <w:tabs>
          <w:tab w:val="left" w:pos="1620"/>
        </w:tabs>
        <w:jc w:val="both"/>
        <w:rPr>
          <w:rFonts w:asciiTheme="minorHAnsi" w:hAnsiTheme="minorHAnsi" w:cstheme="minorHAnsi"/>
          <w:color w:val="000000"/>
          <w:sz w:val="22"/>
          <w:szCs w:val="22"/>
        </w:rPr>
      </w:pPr>
    </w:p>
    <w:p w14:paraId="18D6E11A" w14:textId="3E8EC372"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68. </w:t>
      </w:r>
      <w:r>
        <w:rPr>
          <w:rFonts w:ascii="Calibri" w:hAnsi="Calibri" w:cs="Calibri"/>
          <w:bCs/>
          <w:color w:val="000000"/>
          <w:sz w:val="22"/>
          <w:szCs w:val="22"/>
        </w:rPr>
        <w:t xml:space="preserve">Table 2 (page 28) shows the low </w:t>
      </w:r>
      <w:proofErr w:type="spellStart"/>
      <w:r>
        <w:rPr>
          <w:rFonts w:ascii="Calibri" w:hAnsi="Calibri" w:cs="Calibri"/>
          <w:bCs/>
          <w:color w:val="000000"/>
          <w:sz w:val="22"/>
          <w:szCs w:val="22"/>
        </w:rPr>
        <w:t>utilitzation</w:t>
      </w:r>
      <w:proofErr w:type="spellEnd"/>
      <w:r>
        <w:rPr>
          <w:rFonts w:ascii="Calibri" w:hAnsi="Calibri" w:cs="Calibri"/>
          <w:bCs/>
          <w:color w:val="000000"/>
          <w:sz w:val="22"/>
          <w:szCs w:val="22"/>
        </w:rPr>
        <w:t xml:space="preserve"> rates and meagre budgeted amounts in the first three years (6% in 2016, 76% in 2017 and 53% in 2018), which was an indication of the executing agency’s inability to both plan and utilize expenditures in the early stages of the project. This supports the above findings on the very slow start to the project, which was due to delayed recruitment of project staff and protracted negotiations with IPs to formalize agreements. As indicated above, once the agreements </w:t>
      </w:r>
      <w:r>
        <w:rPr>
          <w:rFonts w:ascii="Calibri" w:hAnsi="Calibri" w:cs="Calibri"/>
          <w:bCs/>
          <w:color w:val="000000"/>
          <w:sz w:val="22"/>
          <w:szCs w:val="22"/>
        </w:rPr>
        <w:t>with</w:t>
      </w:r>
      <w:r>
        <w:rPr>
          <w:rFonts w:ascii="Calibri" w:hAnsi="Calibri" w:cs="Calibri"/>
          <w:bCs/>
          <w:color w:val="000000"/>
          <w:sz w:val="22"/>
          <w:szCs w:val="22"/>
        </w:rPr>
        <w:t xml:space="preserve"> IPs were signed, largely through the intervention of UNDP, the project’s budget and utilization rates </w:t>
      </w:r>
      <w:r>
        <w:rPr>
          <w:rFonts w:ascii="Calibri" w:hAnsi="Calibri" w:cs="Calibri"/>
          <w:bCs/>
          <w:color w:val="000000"/>
          <w:sz w:val="22"/>
          <w:szCs w:val="22"/>
        </w:rPr>
        <w:lastRenderedPageBreak/>
        <w:t>improved considerably. In 2019, 2020 and 2021 over USD 2 million was budgeted, and the project achieved utilization rates of 77%, 99% and 74% respectively. As mentioned above, the declining utilization rates in 2021 (74%) and 2022 (64%) were most likely a result of the travel and other restrictions caused by the Covid pandemic, which affected implementation of project activities (recruiting specialists to undertake studies, consultations with community stakeholders, etc.).</w:t>
      </w:r>
      <w:r>
        <w:rPr>
          <w:rFonts w:asciiTheme="minorHAnsi" w:hAnsiTheme="minorHAnsi" w:cstheme="minorHAnsi"/>
          <w:bCs/>
          <w:color w:val="000000"/>
          <w:sz w:val="22"/>
          <w:szCs w:val="22"/>
        </w:rPr>
        <w:t xml:space="preserve"> </w:t>
      </w:r>
    </w:p>
    <w:p w14:paraId="06865C12" w14:textId="77777777" w:rsidR="007372B6" w:rsidRDefault="007372B6">
      <w:pPr>
        <w:tabs>
          <w:tab w:val="left" w:pos="720"/>
        </w:tabs>
        <w:contextualSpacing/>
        <w:jc w:val="both"/>
        <w:rPr>
          <w:rFonts w:ascii="Calibri" w:hAnsi="Calibri" w:cs="Calibri"/>
          <w:bCs/>
          <w:color w:val="000000"/>
          <w:sz w:val="22"/>
          <w:szCs w:val="22"/>
        </w:rPr>
      </w:pPr>
    </w:p>
    <w:p w14:paraId="6B86C5CD" w14:textId="77777777" w:rsidR="007372B6" w:rsidRDefault="00000000">
      <w:pPr>
        <w:tabs>
          <w:tab w:val="left" w:pos="720"/>
        </w:tabs>
        <w:spacing w:line="312" w:lineRule="auto"/>
        <w:contextualSpacing/>
        <w:jc w:val="both"/>
        <w:rPr>
          <w:rFonts w:ascii="Calibri" w:hAnsi="Calibri" w:cs="Calibri"/>
          <w:bCs/>
          <w:color w:val="000000"/>
          <w:sz w:val="22"/>
          <w:szCs w:val="22"/>
        </w:rPr>
      </w:pPr>
      <w:r>
        <w:rPr>
          <w:rFonts w:ascii="Calibri" w:hAnsi="Calibri" w:cs="Calibri"/>
          <w:bCs/>
          <w:color w:val="000000"/>
          <w:sz w:val="22"/>
          <w:szCs w:val="22"/>
        </w:rPr>
        <w:t xml:space="preserve">69. </w:t>
      </w:r>
      <w:r>
        <w:rPr>
          <w:rFonts w:asciiTheme="minorHAnsi" w:hAnsiTheme="minorHAnsi" w:cstheme="minorHAnsi"/>
          <w:bCs/>
          <w:color w:val="000000"/>
          <w:sz w:val="22"/>
          <w:szCs w:val="22"/>
        </w:rPr>
        <w:t>In addition,</w:t>
      </w:r>
      <w:r>
        <w:rPr>
          <w:rFonts w:ascii="Calibri" w:hAnsi="Calibri" w:cs="Calibri"/>
          <w:color w:val="000000"/>
          <w:sz w:val="22"/>
          <w:szCs w:val="22"/>
        </w:rPr>
        <w:t xml:space="preserve"> t</w:t>
      </w:r>
      <w:r>
        <w:rPr>
          <w:rFonts w:ascii="Calibri" w:hAnsi="Calibri" w:cs="Calibri"/>
          <w:bCs/>
          <w:color w:val="000000"/>
          <w:sz w:val="22"/>
          <w:szCs w:val="22"/>
        </w:rPr>
        <w:t>he amount of co-financing mobilized by the end of the project (June 30, 2022) was much lower than anticipated, approximately 1.2% (USD $364,723) of the anticipated $30 million. The low amounts of co-financing reported by the government and NGO partners is an indication that co-financing has not been sufficiently tracked.</w:t>
      </w:r>
    </w:p>
    <w:p w14:paraId="2C5F2A35" w14:textId="77777777" w:rsidR="007372B6" w:rsidRDefault="007372B6">
      <w:pPr>
        <w:tabs>
          <w:tab w:val="left" w:pos="1620"/>
        </w:tabs>
        <w:rPr>
          <w:rFonts w:asciiTheme="minorHAnsi" w:eastAsia="Open Sans" w:hAnsiTheme="minorHAnsi" w:cstheme="minorHAnsi"/>
          <w:color w:val="000000"/>
          <w:sz w:val="22"/>
          <w:szCs w:val="22"/>
        </w:rPr>
      </w:pPr>
    </w:p>
    <w:p w14:paraId="59E2F9E9" w14:textId="77777777" w:rsidR="007372B6" w:rsidRDefault="00000000">
      <w:pPr>
        <w:tabs>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70. Some comments were received during the TE about the slow process of accessing project funds, via Ministry of Economy, then to Ministry of Environment GEF focal point and then to the implementing partner, a process that can take several months.</w:t>
      </w:r>
    </w:p>
    <w:p w14:paraId="739A447F" w14:textId="77777777" w:rsidR="007372B6" w:rsidRDefault="007372B6">
      <w:pPr>
        <w:tabs>
          <w:tab w:val="left" w:pos="1620"/>
        </w:tabs>
        <w:jc w:val="both"/>
        <w:rPr>
          <w:rFonts w:asciiTheme="minorHAnsi" w:eastAsia="Open Sans" w:hAnsiTheme="minorHAnsi" w:cstheme="minorHAnsi"/>
          <w:color w:val="000000"/>
          <w:sz w:val="22"/>
          <w:szCs w:val="22"/>
        </w:rPr>
      </w:pPr>
    </w:p>
    <w:p w14:paraId="0042A8B6" w14:textId="77777777" w:rsidR="007372B6" w:rsidRDefault="00000000">
      <w:pPr>
        <w:spacing w:line="312" w:lineRule="auto"/>
        <w:jc w:val="both"/>
        <w:rPr>
          <w:rFonts w:asciiTheme="minorHAnsi" w:hAnsiTheme="minorHAnsi" w:cstheme="minorHAnsi"/>
          <w:sz w:val="22"/>
          <w:szCs w:val="22"/>
        </w:rPr>
      </w:pPr>
      <w:r>
        <w:rPr>
          <w:rFonts w:asciiTheme="minorHAnsi" w:hAnsiTheme="minorHAnsi" w:cstheme="minorHAnsi"/>
          <w:sz w:val="22"/>
          <w:szCs w:val="22"/>
        </w:rPr>
        <w:t>71. The project was also constrained in bringing in international specialists due to the COVID restrictions, which also played a part in delaying the biological assessments, although all were eventually completed as planned.</w:t>
      </w:r>
    </w:p>
    <w:p w14:paraId="184F093D" w14:textId="77777777" w:rsidR="007372B6" w:rsidRDefault="007372B6">
      <w:pPr>
        <w:jc w:val="both"/>
        <w:rPr>
          <w:rFonts w:asciiTheme="minorHAnsi" w:hAnsiTheme="minorHAnsi" w:cstheme="minorHAnsi"/>
          <w:sz w:val="22"/>
          <w:szCs w:val="22"/>
        </w:rPr>
      </w:pPr>
    </w:p>
    <w:p w14:paraId="2B2228B4" w14:textId="05ECC00A" w:rsidR="007372B6" w:rsidRDefault="00000000">
      <w:pPr>
        <w:tabs>
          <w:tab w:val="left" w:pos="1620"/>
        </w:tabs>
        <w:spacing w:line="312" w:lineRule="auto"/>
        <w:jc w:val="both"/>
        <w:rPr>
          <w:rFonts w:asciiTheme="minorHAnsi" w:hAnsiTheme="minorHAnsi" w:cstheme="minorHAnsi"/>
          <w:color w:val="000000" w:themeColor="text1"/>
          <w:sz w:val="22"/>
          <w:szCs w:val="22"/>
        </w:rPr>
      </w:pPr>
      <w:r>
        <w:rPr>
          <w:rFonts w:asciiTheme="minorHAnsi" w:eastAsia="Open Sans" w:hAnsiTheme="minorHAnsi" w:cstheme="minorHAnsi"/>
          <w:color w:val="000000" w:themeColor="text1"/>
          <w:sz w:val="22"/>
          <w:szCs w:val="22"/>
        </w:rPr>
        <w:t xml:space="preserve">72. The larger cost-effectiveness and value-for-money questions relate to the project design assumptions and the failure to </w:t>
      </w:r>
      <w:proofErr w:type="spellStart"/>
      <w:r>
        <w:rPr>
          <w:rFonts w:asciiTheme="minorHAnsi" w:eastAsia="Open Sans" w:hAnsiTheme="minorHAnsi" w:cstheme="minorHAnsi"/>
          <w:color w:val="000000" w:themeColor="text1"/>
          <w:sz w:val="22"/>
          <w:szCs w:val="22"/>
        </w:rPr>
        <w:t>analyse</w:t>
      </w:r>
      <w:proofErr w:type="spellEnd"/>
      <w:r>
        <w:rPr>
          <w:rFonts w:asciiTheme="minorHAnsi" w:eastAsia="Open Sans" w:hAnsiTheme="minorHAnsi" w:cstheme="minorHAnsi"/>
          <w:color w:val="000000" w:themeColor="text1"/>
          <w:sz w:val="22"/>
          <w:szCs w:val="22"/>
        </w:rPr>
        <w:t xml:space="preserve"> ridge to reef drainage as a whole and in context with the degradation drivers in a systematic rather than on piecemeal sector by sector basis. The appropriate type and sequence of treatments need to be guided by an understanding of the inter-related upstream-downstream hydrological functions (see discussions under Outcome 6: Catchment Area Plans). Given the well-documented issues in the Project Document and the draft Catchment Plans, what are the most efficient means of addressing them in the ridge to reef system? For example, it may have been more cost-effective in some catchments to invest in reducing the intensity of open livestock grazing on steep headwater hillsides</w:t>
      </w:r>
      <w:r>
        <w:rPr>
          <w:rStyle w:val="FootnoteAnchor"/>
          <w:rFonts w:asciiTheme="minorHAnsi" w:eastAsia="Open Sans" w:hAnsiTheme="minorHAnsi" w:cstheme="minorHAnsi"/>
          <w:color w:val="000000" w:themeColor="text1"/>
          <w:sz w:val="22"/>
          <w:szCs w:val="22"/>
        </w:rPr>
        <w:footnoteReference w:id="49"/>
      </w:r>
      <w:r>
        <w:rPr>
          <w:rFonts w:asciiTheme="minorHAnsi" w:eastAsia="Open Sans" w:hAnsiTheme="minorHAnsi" w:cstheme="minorHAnsi"/>
          <w:color w:val="000000" w:themeColor="text1"/>
          <w:sz w:val="22"/>
          <w:szCs w:val="22"/>
        </w:rPr>
        <w:t xml:space="preserve"> than to plant more trees in the lowlands. An integrated approach can lead to more strategic and cost-effective allocation of resources aimed at desired ecosystem service end results.</w:t>
      </w:r>
    </w:p>
    <w:p w14:paraId="5880446E" w14:textId="77777777" w:rsidR="007372B6" w:rsidRDefault="007372B6">
      <w:pPr>
        <w:tabs>
          <w:tab w:val="left" w:pos="1620"/>
        </w:tabs>
        <w:jc w:val="both"/>
        <w:rPr>
          <w:rFonts w:asciiTheme="minorHAnsi" w:hAnsiTheme="minorHAnsi" w:cstheme="minorHAnsi"/>
          <w:color w:val="000000" w:themeColor="text1"/>
          <w:sz w:val="22"/>
          <w:szCs w:val="22"/>
        </w:rPr>
      </w:pPr>
    </w:p>
    <w:p w14:paraId="4BCE2779" w14:textId="77777777" w:rsidR="007372B6" w:rsidRDefault="00000000">
      <w:pPr>
        <w:tabs>
          <w:tab w:val="left" w:pos="1620"/>
        </w:tabs>
        <w:spacing w:line="312" w:lineRule="auto"/>
        <w:jc w:val="both"/>
        <w:rPr>
          <w:rFonts w:cstheme="minorHAnsi"/>
          <w:color w:val="000000" w:themeColor="text1"/>
        </w:rPr>
      </w:pPr>
      <w:r>
        <w:rPr>
          <w:rFonts w:ascii="Calibri" w:eastAsia="Open Sans" w:hAnsi="Calibri" w:cstheme="minorHAnsi"/>
          <w:color w:val="000000" w:themeColor="text1"/>
          <w:sz w:val="22"/>
          <w:szCs w:val="22"/>
        </w:rPr>
        <w:t>73. Poor tree seedling survival rates create added costs for replanting. Total area of reforestation completed was three-quarters of the target yet available budget was increased with the shift of Outcome 6 to reforestation. Costs relative to reforestation outputs need to be examined in order to improve efficiency.</w:t>
      </w:r>
    </w:p>
    <w:p w14:paraId="3ECD1BEF" w14:textId="77777777" w:rsidR="007372B6" w:rsidRDefault="007372B6">
      <w:pPr>
        <w:tabs>
          <w:tab w:val="left" w:pos="1620"/>
        </w:tabs>
        <w:rPr>
          <w:rFonts w:asciiTheme="minorHAnsi" w:eastAsia="Open Sans" w:hAnsiTheme="minorHAnsi" w:cstheme="minorHAnsi"/>
          <w:color w:val="000000"/>
          <w:sz w:val="22"/>
          <w:szCs w:val="22"/>
        </w:rPr>
      </w:pPr>
    </w:p>
    <w:p w14:paraId="5DB56488" w14:textId="77777777" w:rsidR="007372B6" w:rsidRDefault="00000000">
      <w:pPr>
        <w:pStyle w:val="ListParagraph"/>
        <w:tabs>
          <w:tab w:val="left" w:pos="1620"/>
        </w:tabs>
        <w:spacing w:after="113" w:line="312" w:lineRule="auto"/>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4.3.4 Country ownership</w:t>
      </w:r>
    </w:p>
    <w:p w14:paraId="12DEA4E7" w14:textId="77777777" w:rsidR="007372B6" w:rsidRDefault="00000000">
      <w:pPr>
        <w:tabs>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74. The extensive participation in preparing catchment area plans contributed to a high degree of local ownership. Follow-up assistance and direction on implementation was considered a critical aspect of maintaining support and momentum for the plans.</w:t>
      </w:r>
    </w:p>
    <w:p w14:paraId="0268F030" w14:textId="77777777" w:rsidR="007372B6" w:rsidRDefault="007372B6">
      <w:pPr>
        <w:tabs>
          <w:tab w:val="left" w:pos="1620"/>
        </w:tabs>
        <w:rPr>
          <w:rFonts w:asciiTheme="minorHAnsi" w:eastAsia="Open Sans" w:hAnsiTheme="minorHAnsi" w:cstheme="minorHAnsi"/>
          <w:color w:val="000000"/>
          <w:sz w:val="22"/>
          <w:szCs w:val="22"/>
        </w:rPr>
      </w:pPr>
    </w:p>
    <w:p w14:paraId="0ED312BE" w14:textId="77777777" w:rsidR="007372B6" w:rsidRDefault="00000000">
      <w:pPr>
        <w:spacing w:line="312" w:lineRule="auto"/>
        <w:jc w:val="both"/>
        <w:rPr>
          <w:rFonts w:asciiTheme="minorHAnsi" w:eastAsia="Arial Narrow" w:hAnsiTheme="minorHAnsi" w:cstheme="minorHAnsi"/>
          <w:sz w:val="22"/>
          <w:szCs w:val="22"/>
        </w:rPr>
      </w:pPr>
      <w:r>
        <w:rPr>
          <w:rFonts w:asciiTheme="minorHAnsi" w:eastAsia="Arial Narrow" w:hAnsiTheme="minorHAnsi" w:cstheme="minorHAnsi"/>
          <w:sz w:val="22"/>
          <w:szCs w:val="22"/>
        </w:rPr>
        <w:t xml:space="preserve">75. Communications were an issue for many participants and likely affected the level of engagement. “Continuous and regular monitoring, awareness and consultation with communities by the project team and responsible party to support and inform decisions to be made by communities on the demonstration project” was a typical comment in the field reports. This aspect was considered deficient by many of those interviewed. However, the community engagement appears to have generated considerable local support for the project and ongoing implementation of the plans, contributing </w:t>
      </w:r>
      <w:proofErr w:type="gramStart"/>
      <w:r>
        <w:rPr>
          <w:rFonts w:asciiTheme="minorHAnsi" w:eastAsia="Arial Narrow" w:hAnsiTheme="minorHAnsi" w:cstheme="minorHAnsi"/>
          <w:sz w:val="22"/>
          <w:szCs w:val="22"/>
        </w:rPr>
        <w:t>to  ownership</w:t>
      </w:r>
      <w:proofErr w:type="gramEnd"/>
      <w:r>
        <w:rPr>
          <w:rFonts w:asciiTheme="minorHAnsi" w:eastAsia="Arial Narrow" w:hAnsiTheme="minorHAnsi" w:cstheme="minorHAnsi"/>
          <w:sz w:val="22"/>
          <w:szCs w:val="22"/>
        </w:rPr>
        <w:t xml:space="preserve">, at least at the catchment level. However, continued community ownership is highly dependent on the follow-up activities to be provided by NGOs and sector ministries (Forestry, Fisheries and Agriculture). </w:t>
      </w:r>
    </w:p>
    <w:p w14:paraId="5282CA6E" w14:textId="77777777" w:rsidR="007372B6" w:rsidRDefault="007372B6">
      <w:pPr>
        <w:tabs>
          <w:tab w:val="left" w:pos="1620"/>
        </w:tabs>
        <w:rPr>
          <w:rFonts w:asciiTheme="minorHAnsi" w:eastAsia="Open Sans" w:hAnsiTheme="minorHAnsi" w:cstheme="minorHAnsi"/>
          <w:color w:val="000000"/>
          <w:sz w:val="22"/>
          <w:szCs w:val="22"/>
        </w:rPr>
      </w:pPr>
    </w:p>
    <w:p w14:paraId="7E9CD2C5" w14:textId="77777777" w:rsidR="007372B6" w:rsidRDefault="00000000">
      <w:pPr>
        <w:pStyle w:val="ListParagraph"/>
        <w:tabs>
          <w:tab w:val="left" w:pos="1620"/>
        </w:tabs>
        <w:spacing w:after="113" w:line="312" w:lineRule="auto"/>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4.3.5 Gender Equality</w:t>
      </w:r>
    </w:p>
    <w:p w14:paraId="614ED696" w14:textId="77777777" w:rsidR="007372B6" w:rsidRDefault="00000000">
      <w:pPr>
        <w:spacing w:line="312" w:lineRule="auto"/>
        <w:jc w:val="both"/>
      </w:pPr>
      <w:r>
        <w:rPr>
          <w:rFonts w:ascii="Calibri" w:eastAsia="Arial Narrow" w:hAnsi="Calibri" w:cstheme="minorHAnsi"/>
          <w:color w:val="000000"/>
          <w:sz w:val="22"/>
          <w:szCs w:val="22"/>
        </w:rPr>
        <w:t>76. As indicated above (Project Design/Formulation, section 4.1), a</w:t>
      </w:r>
      <w:proofErr w:type="spellStart"/>
      <w:r>
        <w:rPr>
          <w:rFonts w:asciiTheme="minorHAnsi" w:eastAsia="Open Sans" w:hAnsiTheme="minorHAnsi" w:cstheme="minorHAnsi"/>
          <w:color w:val="000000"/>
          <w:sz w:val="22"/>
          <w:szCs w:val="22"/>
          <w:lang w:val="en-CA"/>
        </w:rPr>
        <w:t>lthough</w:t>
      </w:r>
      <w:proofErr w:type="spellEnd"/>
      <w:r>
        <w:rPr>
          <w:rFonts w:asciiTheme="minorHAnsi" w:eastAsia="Open Sans" w:hAnsiTheme="minorHAnsi" w:cstheme="minorHAnsi"/>
          <w:color w:val="000000"/>
          <w:sz w:val="22"/>
          <w:szCs w:val="22"/>
          <w:lang w:val="en-CA"/>
        </w:rPr>
        <w:t xml:space="preserve"> the project document identified a range of relevant livelihood activities, particularly those targeting women, it did not include a way to measure the effectiveness of the gender and social inclusion activities in the project, such as through a survey of income effects. This is a shortcoming of the project, as there is no way of knowing if the livelihood activities are acting as incentives to further the environmental and social goals of the project. In addition, there were no measurable indicators attached to the gender equality/ empowerment activities, and the PMU’s role was limited to recording activities designed to target women, such as the establishment of mangrove nurseries by women, purchase of benches and tables for a women’s group roadside restaurant, and purchase of a sewing machine for a village women’s club. </w:t>
      </w:r>
      <w:r>
        <w:rPr>
          <w:rFonts w:ascii="Calibri" w:eastAsia="Arial Narrow" w:hAnsi="Calibri" w:cstheme="minorHAnsi"/>
          <w:color w:val="000000"/>
          <w:sz w:val="22"/>
          <w:szCs w:val="22"/>
        </w:rPr>
        <w:t>The lack of monitoring information made it difficult for the TE to assess the extent of livelihoods in meeting the gender equality goals established for the project. Interviews with IPs revealed a range of livelihood activities (such as</w:t>
      </w:r>
      <w:r>
        <w:rPr>
          <w:rFonts w:asciiTheme="minorHAnsi" w:eastAsia="Open Sans" w:hAnsiTheme="minorHAnsi" w:cstheme="minorHAnsi"/>
          <w:color w:val="000000"/>
          <w:sz w:val="22"/>
          <w:szCs w:val="22"/>
          <w:lang w:val="en-CA"/>
        </w:rPr>
        <w:t xml:space="preserve"> nurseries selling seedlings to the government</w:t>
      </w:r>
      <w:r>
        <w:rPr>
          <w:rFonts w:ascii="Calibri" w:eastAsia="Arial Narrow" w:hAnsi="Calibri" w:cstheme="minorHAnsi"/>
          <w:color w:val="000000"/>
          <w:sz w:val="22"/>
          <w:szCs w:val="22"/>
        </w:rPr>
        <w:t>), however,</w:t>
      </w:r>
      <w:r>
        <w:rPr>
          <w:rFonts w:asciiTheme="minorHAnsi" w:eastAsia="Open Sans" w:hAnsiTheme="minorHAnsi" w:cstheme="minorHAnsi"/>
          <w:color w:val="000000"/>
          <w:sz w:val="22"/>
          <w:szCs w:val="22"/>
          <w:lang w:val="en-CA"/>
        </w:rPr>
        <w:t xml:space="preserve"> without data on income effects, the impact of these activities could not be discerned.  </w:t>
      </w:r>
    </w:p>
    <w:p w14:paraId="288B1E9F" w14:textId="77777777" w:rsidR="007372B6" w:rsidRDefault="007372B6">
      <w:pPr>
        <w:jc w:val="both"/>
        <w:rPr>
          <w:rFonts w:ascii="Calibri" w:eastAsia="Arial Narrow" w:hAnsi="Calibri" w:cstheme="minorHAnsi"/>
          <w:color w:val="000000"/>
          <w:sz w:val="22"/>
          <w:szCs w:val="22"/>
        </w:rPr>
      </w:pPr>
    </w:p>
    <w:p w14:paraId="7C228357" w14:textId="77777777" w:rsidR="007372B6" w:rsidRDefault="00000000">
      <w:pPr>
        <w:spacing w:line="312" w:lineRule="auto"/>
        <w:jc w:val="both"/>
        <w:rPr>
          <w:rFonts w:ascii="Calibri" w:eastAsia="Arial Narrow" w:hAnsi="Calibri" w:cstheme="minorHAnsi"/>
          <w:color w:val="000000"/>
          <w:sz w:val="22"/>
          <w:szCs w:val="22"/>
        </w:rPr>
      </w:pPr>
      <w:r>
        <w:rPr>
          <w:rFonts w:ascii="Calibri" w:eastAsia="Arial Narrow" w:hAnsi="Calibri" w:cstheme="minorHAnsi"/>
          <w:color w:val="000000"/>
          <w:sz w:val="22"/>
          <w:szCs w:val="22"/>
        </w:rPr>
        <w:t xml:space="preserve">77. </w:t>
      </w:r>
      <w:r>
        <w:rPr>
          <w:rFonts w:asciiTheme="minorHAnsi" w:eastAsia="Open Sans" w:hAnsiTheme="minorHAnsi" w:cstheme="minorHAnsi"/>
          <w:color w:val="000000"/>
          <w:sz w:val="22"/>
          <w:szCs w:val="22"/>
          <w:lang w:val="en-CA"/>
        </w:rPr>
        <w:t xml:space="preserve">The MTR noted a lack of gender-focused activity and indicated that there was a need to build capacity for addressing gender and structural inequality through implementation. It was recommended that UNDP provide a range of technical support to the PMU (to design activities for training and capacity building activities for gender inclusion and structural inequality in land use planning) and in the communities including coordination, gender equality and livelihoods project ideas, monitoring planning, capacity development and training and knowledge management strategies to help guide the work planning and cross-cutting areas for results (MTR </w:t>
      </w:r>
      <w:proofErr w:type="spellStart"/>
      <w:r>
        <w:rPr>
          <w:rFonts w:asciiTheme="minorHAnsi" w:eastAsia="Open Sans" w:hAnsiTheme="minorHAnsi" w:cstheme="minorHAnsi"/>
          <w:color w:val="000000"/>
          <w:sz w:val="22"/>
          <w:szCs w:val="22"/>
          <w:lang w:val="en-CA"/>
        </w:rPr>
        <w:t>pg</w:t>
      </w:r>
      <w:proofErr w:type="spellEnd"/>
      <w:r>
        <w:rPr>
          <w:rFonts w:asciiTheme="minorHAnsi" w:eastAsia="Open Sans" w:hAnsiTheme="minorHAnsi" w:cstheme="minorHAnsi"/>
          <w:color w:val="000000"/>
          <w:sz w:val="22"/>
          <w:szCs w:val="22"/>
          <w:lang w:val="en-CA"/>
        </w:rPr>
        <w:t xml:space="preserve"> 18). However, discussions with IPs and with community groups revealed little evidence of the “economic empowerment, leadership and ownership” that </w:t>
      </w:r>
      <w:r>
        <w:rPr>
          <w:rFonts w:ascii="Calibri" w:eastAsia="Arial Narrow" w:hAnsi="Calibri" w:cstheme="minorHAnsi"/>
          <w:color w:val="000000"/>
          <w:sz w:val="22"/>
          <w:szCs w:val="22"/>
          <w:lang w:val="en-CA"/>
        </w:rPr>
        <w:t>t</w:t>
      </w:r>
      <w:r>
        <w:rPr>
          <w:rFonts w:asciiTheme="minorHAnsi" w:eastAsia="Open Sans" w:hAnsiTheme="minorHAnsi" w:cstheme="minorHAnsi"/>
          <w:color w:val="000000"/>
          <w:sz w:val="22"/>
          <w:szCs w:val="22"/>
          <w:lang w:val="en-CA"/>
        </w:rPr>
        <w:t>he R2R project was supposed to create in the catchment sites</w:t>
      </w:r>
      <w:r>
        <w:rPr>
          <w:rFonts w:ascii="Calibri" w:eastAsia="Arial Narrow" w:hAnsi="Calibri" w:cstheme="minorHAnsi"/>
          <w:color w:val="000000"/>
          <w:sz w:val="22"/>
          <w:szCs w:val="22"/>
        </w:rPr>
        <w:t>,</w:t>
      </w:r>
      <w:r>
        <w:rPr>
          <w:rFonts w:asciiTheme="minorHAnsi" w:eastAsia="Open Sans" w:hAnsiTheme="minorHAnsi" w:cstheme="minorHAnsi"/>
          <w:color w:val="000000"/>
          <w:sz w:val="22"/>
          <w:szCs w:val="22"/>
        </w:rPr>
        <w:t xml:space="preserve"> </w:t>
      </w:r>
      <w:r>
        <w:rPr>
          <w:rFonts w:asciiTheme="minorHAnsi" w:eastAsia="Open Sans" w:hAnsiTheme="minorHAnsi" w:cstheme="minorHAnsi"/>
          <w:color w:val="000000"/>
          <w:sz w:val="22"/>
          <w:szCs w:val="22"/>
          <w:shd w:val="clear" w:color="auto" w:fill="00FFFF"/>
        </w:rPr>
        <w:t xml:space="preserve"> </w:t>
      </w:r>
      <w:r>
        <w:rPr>
          <w:rFonts w:asciiTheme="minorHAnsi" w:eastAsia="Open Sans" w:hAnsiTheme="minorHAnsi" w:cstheme="minorHAnsi"/>
          <w:color w:val="000000"/>
          <w:sz w:val="22"/>
          <w:szCs w:val="22"/>
        </w:rPr>
        <w:t xml:space="preserve"> </w:t>
      </w:r>
    </w:p>
    <w:p w14:paraId="531588AE" w14:textId="77777777" w:rsidR="007372B6" w:rsidRDefault="007372B6">
      <w:pPr>
        <w:pStyle w:val="BodyText"/>
        <w:widowControl w:val="0"/>
        <w:tabs>
          <w:tab w:val="left" w:pos="284"/>
        </w:tabs>
        <w:spacing w:after="0"/>
        <w:jc w:val="both"/>
        <w:rPr>
          <w:rFonts w:eastAsia="Open Sans" w:cstheme="minorHAnsi"/>
          <w:color w:val="000000"/>
          <w:sz w:val="22"/>
          <w:szCs w:val="22"/>
          <w:lang w:val="en-CA"/>
        </w:rPr>
      </w:pPr>
    </w:p>
    <w:p w14:paraId="7C296096" w14:textId="77777777" w:rsidR="007372B6" w:rsidRDefault="00000000">
      <w:pPr>
        <w:pStyle w:val="ListParagraph"/>
        <w:tabs>
          <w:tab w:val="left" w:pos="1620"/>
        </w:tabs>
        <w:spacing w:after="113" w:line="312" w:lineRule="auto"/>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4.3.6 Social and environmental standards and other cross-cutting Issues</w:t>
      </w:r>
    </w:p>
    <w:p w14:paraId="5A6B517A" w14:textId="77777777" w:rsidR="007372B6" w:rsidRDefault="00000000">
      <w:pPr>
        <w:spacing w:line="312" w:lineRule="auto"/>
        <w:jc w:val="both"/>
        <w:rPr>
          <w:shd w:val="clear" w:color="auto" w:fill="00FF00"/>
        </w:rPr>
      </w:pPr>
      <w:r>
        <w:rPr>
          <w:rFonts w:asciiTheme="minorHAnsi" w:hAnsiTheme="minorHAnsi" w:cstheme="minorHAnsi"/>
          <w:color w:val="000000"/>
          <w:sz w:val="22"/>
          <w:szCs w:val="22"/>
        </w:rPr>
        <w:t>78. The main adverse socio-economic and environmental impacts identified in the TE have to do with missed opportunities by the project’s executing agency. As indicated above (</w:t>
      </w:r>
      <w:r>
        <w:rPr>
          <w:rFonts w:ascii="Calibri" w:eastAsia="Arial Narrow" w:hAnsi="Calibri" w:cstheme="minorHAnsi"/>
          <w:color w:val="000000"/>
          <w:sz w:val="22"/>
          <w:szCs w:val="22"/>
        </w:rPr>
        <w:t xml:space="preserve">Project Design/Formulation, section 4.1), </w:t>
      </w:r>
      <w:r>
        <w:rPr>
          <w:rFonts w:ascii="Calibri" w:hAnsi="Calibri"/>
          <w:sz w:val="22"/>
        </w:rPr>
        <w:t xml:space="preserve">although the R2R project recognized the importance of involving the </w:t>
      </w:r>
      <w:r>
        <w:rPr>
          <w:rFonts w:ascii="Calibri" w:hAnsi="Calibri"/>
          <w:sz w:val="22"/>
          <w:szCs w:val="22"/>
          <w:lang w:val="en-CA"/>
        </w:rPr>
        <w:t xml:space="preserve">implementing </w:t>
      </w:r>
      <w:r>
        <w:rPr>
          <w:rFonts w:ascii="Calibri" w:hAnsi="Calibri"/>
          <w:sz w:val="22"/>
          <w:szCs w:val="22"/>
          <w:lang w:val="en-CA"/>
        </w:rPr>
        <w:lastRenderedPageBreak/>
        <w:t>partners</w:t>
      </w:r>
      <w:r>
        <w:rPr>
          <w:rFonts w:ascii="Calibri" w:hAnsi="Calibri"/>
          <w:sz w:val="22"/>
        </w:rPr>
        <w:t xml:space="preserve"> (WWF, CI, UNDP, GEF, etc.), an ongoing role for these partners was not factored into the needs of the CMCs in the communities. It was known from previous projects that sustainability was dependent on the technical and financial support provided by NGOs for a period of 10 to 15 years.</w:t>
      </w:r>
    </w:p>
    <w:p w14:paraId="6221A03E" w14:textId="77777777" w:rsidR="007372B6" w:rsidRDefault="007372B6">
      <w:pPr>
        <w:pStyle w:val="BodyText"/>
        <w:widowControl w:val="0"/>
        <w:tabs>
          <w:tab w:val="left" w:pos="284"/>
        </w:tabs>
        <w:spacing w:after="0"/>
        <w:jc w:val="both"/>
        <w:rPr>
          <w:rFonts w:ascii="Calibri" w:hAnsi="Calibri"/>
          <w:sz w:val="22"/>
        </w:rPr>
      </w:pPr>
    </w:p>
    <w:p w14:paraId="3F0D4C15" w14:textId="77777777" w:rsidR="007372B6" w:rsidRDefault="00000000">
      <w:pPr>
        <w:pStyle w:val="BodyText"/>
        <w:widowControl w:val="0"/>
        <w:tabs>
          <w:tab w:val="left" w:pos="284"/>
        </w:tabs>
        <w:spacing w:after="0" w:line="312" w:lineRule="auto"/>
        <w:jc w:val="both"/>
      </w:pPr>
      <w:r>
        <w:rPr>
          <w:rFonts w:asciiTheme="minorHAnsi" w:hAnsiTheme="minorHAnsi" w:cstheme="minorHAnsi"/>
          <w:color w:val="000000"/>
          <w:sz w:val="22"/>
          <w:szCs w:val="22"/>
        </w:rPr>
        <w:t xml:space="preserve">79. In addition, although it was recognized that the lessons and outputs of the Fiji R2R project would be used to inform national NRM plans and policies (including national development and sector plans for integrated land, water and catchment management) the project elected to defer many of these policy outputs in favour of meeting the government’s </w:t>
      </w:r>
      <w:proofErr w:type="gramStart"/>
      <w:r>
        <w:rPr>
          <w:rFonts w:asciiTheme="minorHAnsi" w:hAnsiTheme="minorHAnsi" w:cstheme="minorHAnsi"/>
          <w:color w:val="000000"/>
          <w:sz w:val="22"/>
          <w:szCs w:val="22"/>
        </w:rPr>
        <w:t>short term</w:t>
      </w:r>
      <w:proofErr w:type="gramEnd"/>
      <w:r>
        <w:rPr>
          <w:rFonts w:asciiTheme="minorHAnsi" w:hAnsiTheme="minorHAnsi" w:cstheme="minorHAnsi"/>
          <w:color w:val="000000"/>
          <w:sz w:val="22"/>
          <w:szCs w:val="22"/>
        </w:rPr>
        <w:t xml:space="preserve"> objectives of planting 15 million trees in 15 years. This is a major omission on the INRM policy front. Similar opportunities were missed in strengthening the necessary capacities in the various levels of government (central, local administration and community levels) because of project delays in the first 3 years of implementation which led to the need to rush activities to complete them before the end of the project. </w:t>
      </w:r>
    </w:p>
    <w:p w14:paraId="7C2C8822" w14:textId="77777777" w:rsidR="007372B6" w:rsidRDefault="007372B6">
      <w:pPr>
        <w:jc w:val="both"/>
      </w:pPr>
    </w:p>
    <w:p w14:paraId="536F7DA1" w14:textId="77777777" w:rsidR="007372B6" w:rsidRDefault="00000000">
      <w:pPr>
        <w:spacing w:line="312" w:lineRule="auto"/>
        <w:jc w:val="both"/>
      </w:pPr>
      <w:r>
        <w:rPr>
          <w:rFonts w:asciiTheme="minorHAnsi" w:hAnsiTheme="minorHAnsi" w:cstheme="minorHAnsi"/>
          <w:color w:val="000000"/>
          <w:sz w:val="22"/>
          <w:szCs w:val="22"/>
        </w:rPr>
        <w:t>80. The utilization of traditional knowledge was mentioned as an under-recognized element in catchment management. The catchment area plans do not explicitly consider biodiversity and ecosystem-based climate adaptation within reforestation. Also, as noted elsewhere in this report, monitoring information is lacking details on the extent of environmental and social achievement.</w:t>
      </w:r>
    </w:p>
    <w:p w14:paraId="77337E4C" w14:textId="77777777" w:rsidR="007372B6" w:rsidRDefault="007372B6">
      <w:pPr>
        <w:pStyle w:val="ListParagraph"/>
        <w:rPr>
          <w:rFonts w:asciiTheme="minorHAnsi" w:hAnsiTheme="minorHAnsi" w:cstheme="minorHAnsi"/>
          <w:color w:val="000000"/>
          <w:sz w:val="22"/>
          <w:szCs w:val="22"/>
        </w:rPr>
      </w:pPr>
    </w:p>
    <w:p w14:paraId="0D8130A2" w14:textId="77777777" w:rsidR="007372B6" w:rsidRDefault="00000000">
      <w:pPr>
        <w:pStyle w:val="ListParagraph"/>
        <w:tabs>
          <w:tab w:val="left" w:pos="1620"/>
        </w:tabs>
        <w:spacing w:line="312" w:lineRule="auto"/>
        <w:ind w:left="567"/>
        <w:rPr>
          <w:rFonts w:asciiTheme="minorHAnsi" w:hAnsiTheme="minorHAnsi" w:cstheme="minorHAnsi"/>
          <w:color w:val="000000"/>
          <w:sz w:val="22"/>
          <w:szCs w:val="22"/>
        </w:rPr>
      </w:pPr>
      <w:r>
        <w:rPr>
          <w:rFonts w:asciiTheme="minorHAnsi" w:eastAsia="Open Sans" w:hAnsiTheme="minorHAnsi" w:cstheme="minorHAnsi"/>
          <w:b/>
          <w:bCs/>
          <w:color w:val="000000"/>
          <w:sz w:val="22"/>
          <w:szCs w:val="22"/>
        </w:rPr>
        <w:t>4.3.7 Sustainability</w:t>
      </w:r>
      <w:r>
        <w:rPr>
          <w:rFonts w:asciiTheme="minorHAnsi" w:eastAsia="Open Sans" w:hAnsiTheme="minorHAnsi" w:cstheme="minorHAnsi"/>
          <w:color w:val="000000"/>
          <w:sz w:val="22"/>
          <w:szCs w:val="22"/>
        </w:rPr>
        <w:t>: financial, socio-economic, institutional framework and governance, environmental, and overall likelihood</w:t>
      </w:r>
    </w:p>
    <w:p w14:paraId="3033769E" w14:textId="77777777" w:rsidR="007372B6" w:rsidRDefault="007372B6">
      <w:pPr>
        <w:pStyle w:val="ListParagraph"/>
        <w:rPr>
          <w:rFonts w:asciiTheme="minorHAnsi" w:hAnsiTheme="minorHAnsi" w:cstheme="minorHAnsi"/>
          <w:color w:val="000000"/>
          <w:sz w:val="22"/>
          <w:szCs w:val="22"/>
        </w:rPr>
      </w:pPr>
    </w:p>
    <w:p w14:paraId="415A54FA" w14:textId="77777777" w:rsidR="007372B6" w:rsidRDefault="00000000">
      <w:pPr>
        <w:pStyle w:val="ListParagraph"/>
        <w:tabs>
          <w:tab w:val="left" w:pos="1620"/>
        </w:tabs>
        <w:spacing w:after="113" w:line="312" w:lineRule="auto"/>
        <w:ind w:left="0"/>
        <w:rPr>
          <w:rFonts w:asciiTheme="minorHAnsi" w:eastAsia="Open Sans" w:hAnsiTheme="minorHAnsi" w:cstheme="minorHAnsi"/>
          <w:b/>
          <w:bCs/>
          <w:color w:val="000000"/>
          <w:sz w:val="22"/>
          <w:szCs w:val="22"/>
        </w:rPr>
      </w:pPr>
      <w:r>
        <w:rPr>
          <w:rFonts w:asciiTheme="minorHAnsi" w:eastAsia="Open Sans" w:hAnsiTheme="minorHAnsi" w:cstheme="minorHAnsi"/>
          <w:b/>
          <w:bCs/>
          <w:color w:val="000000"/>
          <w:sz w:val="22"/>
          <w:szCs w:val="22"/>
        </w:rPr>
        <w:t xml:space="preserve">Financial </w:t>
      </w:r>
    </w:p>
    <w:p w14:paraId="417AE2E5" w14:textId="77777777" w:rsidR="007372B6" w:rsidRDefault="00000000">
      <w:pPr>
        <w:pStyle w:val="ListParagraph"/>
        <w:tabs>
          <w:tab w:val="left" w:pos="1620"/>
        </w:tabs>
        <w:spacing w:line="312" w:lineRule="auto"/>
        <w:ind w:left="0"/>
        <w:jc w:val="both"/>
        <w:rPr>
          <w:rFonts w:asciiTheme="minorHAnsi" w:eastAsia="Open Sans" w:hAnsiTheme="minorHAnsi" w:cstheme="minorHAnsi"/>
          <w:b/>
          <w:bCs/>
          <w:color w:val="000000"/>
          <w:sz w:val="22"/>
          <w:szCs w:val="22"/>
        </w:rPr>
      </w:pPr>
      <w:r>
        <w:rPr>
          <w:rFonts w:asciiTheme="minorHAnsi" w:eastAsia="Open Sans" w:hAnsiTheme="minorHAnsi" w:cstheme="minorHAnsi"/>
          <w:color w:val="000000"/>
          <w:sz w:val="22"/>
          <w:szCs w:val="22"/>
        </w:rPr>
        <w:t xml:space="preserve">81. The expectation of payments for ecosystem services and other sources of potential finance to maintain PAs and other programs has not been realized. Some gap analysis on market-based incentives for sustainable forestry has been completed but forest certification premiums will take much more time. Minor financial sustainability could occur with a few of the alternative livelihoods such as honey and orchard production although there are no data on income effects. Overall, however, the likelihood of financial sustainability for project outputs is </w:t>
      </w:r>
      <w:r>
        <w:rPr>
          <w:rFonts w:asciiTheme="minorHAnsi" w:eastAsia="Open Sans" w:hAnsiTheme="minorHAnsi" w:cstheme="minorHAnsi"/>
          <w:color w:val="000000"/>
          <w:sz w:val="22"/>
          <w:szCs w:val="22"/>
          <w:u w:val="single"/>
        </w:rPr>
        <w:t>Low</w:t>
      </w:r>
      <w:r>
        <w:rPr>
          <w:rFonts w:asciiTheme="minorHAnsi" w:eastAsia="Open Sans" w:hAnsiTheme="minorHAnsi" w:cstheme="minorHAnsi"/>
          <w:color w:val="000000"/>
          <w:sz w:val="22"/>
          <w:szCs w:val="22"/>
        </w:rPr>
        <w:t>.</w:t>
      </w:r>
    </w:p>
    <w:p w14:paraId="225F507F" w14:textId="77777777" w:rsidR="007372B6" w:rsidRDefault="007372B6">
      <w:pPr>
        <w:pStyle w:val="ListParagraph"/>
        <w:tabs>
          <w:tab w:val="left" w:pos="1620"/>
        </w:tabs>
        <w:rPr>
          <w:rFonts w:asciiTheme="minorHAnsi" w:eastAsia="Open Sans" w:hAnsiTheme="minorHAnsi" w:cstheme="minorHAnsi"/>
          <w:color w:val="000000"/>
          <w:sz w:val="22"/>
          <w:szCs w:val="22"/>
        </w:rPr>
      </w:pPr>
    </w:p>
    <w:p w14:paraId="3D9FE1CB" w14:textId="77777777" w:rsidR="007372B6" w:rsidRDefault="00000000">
      <w:pPr>
        <w:pStyle w:val="ListParagraph"/>
        <w:tabs>
          <w:tab w:val="left" w:pos="1620"/>
        </w:tabs>
        <w:spacing w:line="312" w:lineRule="auto"/>
        <w:ind w:left="0"/>
        <w:rPr>
          <w:rFonts w:asciiTheme="minorHAnsi" w:eastAsia="Open Sans" w:hAnsiTheme="minorHAnsi" w:cstheme="minorHAnsi"/>
          <w:b/>
          <w:bCs/>
          <w:color w:val="000000"/>
          <w:sz w:val="22"/>
          <w:szCs w:val="22"/>
        </w:rPr>
      </w:pPr>
      <w:r>
        <w:rPr>
          <w:rFonts w:asciiTheme="minorHAnsi" w:eastAsia="Open Sans" w:hAnsiTheme="minorHAnsi" w:cstheme="minorHAnsi"/>
          <w:b/>
          <w:bCs/>
          <w:color w:val="000000"/>
          <w:sz w:val="22"/>
          <w:szCs w:val="22"/>
        </w:rPr>
        <w:t>Socio-economic</w:t>
      </w:r>
    </w:p>
    <w:p w14:paraId="39A5F16D" w14:textId="77777777" w:rsidR="007372B6" w:rsidRDefault="00000000">
      <w:pPr>
        <w:pStyle w:val="ListParagraph"/>
        <w:tabs>
          <w:tab w:val="left" w:pos="1620"/>
        </w:tabs>
        <w:spacing w:line="312" w:lineRule="auto"/>
        <w:ind w:left="0"/>
        <w:jc w:val="both"/>
        <w:rPr>
          <w:rFonts w:asciiTheme="minorHAnsi" w:eastAsia="Open Sans" w:hAnsiTheme="minorHAnsi" w:cstheme="minorHAnsi"/>
          <w:b/>
          <w:bCs/>
          <w:color w:val="000000"/>
          <w:sz w:val="22"/>
          <w:szCs w:val="22"/>
        </w:rPr>
      </w:pPr>
      <w:r>
        <w:rPr>
          <w:rFonts w:asciiTheme="minorHAnsi" w:eastAsia="Open Sans" w:hAnsiTheme="minorHAnsi" w:cstheme="minorHAnsi"/>
          <w:color w:val="000000"/>
          <w:sz w:val="22"/>
          <w:szCs w:val="22"/>
        </w:rPr>
        <w:t xml:space="preserve">82. The commitment of local communities to maintain the expanded PAs, reforested areas and resource harvesting restrictions may vary with local circumstances and leadership of Catchment Area Committees. The increased public awareness of and support for environmental action suggests that sustainability likelihood is </w:t>
      </w:r>
      <w:r>
        <w:rPr>
          <w:rFonts w:asciiTheme="minorHAnsi" w:eastAsia="Open Sans" w:hAnsiTheme="minorHAnsi" w:cstheme="minorHAnsi"/>
          <w:color w:val="000000"/>
          <w:sz w:val="22"/>
          <w:szCs w:val="22"/>
          <w:u w:val="single"/>
        </w:rPr>
        <w:t>Moderate</w:t>
      </w:r>
      <w:r>
        <w:rPr>
          <w:rFonts w:asciiTheme="minorHAnsi" w:eastAsia="Open Sans" w:hAnsiTheme="minorHAnsi" w:cstheme="minorHAnsi"/>
          <w:color w:val="000000"/>
          <w:sz w:val="22"/>
          <w:szCs w:val="22"/>
        </w:rPr>
        <w:t>.</w:t>
      </w:r>
    </w:p>
    <w:p w14:paraId="2E2BC3C8" w14:textId="77777777" w:rsidR="007372B6" w:rsidRDefault="007372B6">
      <w:pPr>
        <w:pStyle w:val="ListParagraph"/>
        <w:tabs>
          <w:tab w:val="left" w:pos="1620"/>
        </w:tabs>
        <w:rPr>
          <w:rFonts w:asciiTheme="minorHAnsi" w:eastAsia="Open Sans" w:hAnsiTheme="minorHAnsi" w:cstheme="minorHAnsi"/>
          <w:color w:val="000000"/>
          <w:sz w:val="22"/>
          <w:szCs w:val="22"/>
        </w:rPr>
      </w:pPr>
    </w:p>
    <w:p w14:paraId="600299AF" w14:textId="77777777" w:rsidR="007372B6" w:rsidRDefault="00000000">
      <w:pPr>
        <w:pStyle w:val="ListParagraph"/>
        <w:tabs>
          <w:tab w:val="left" w:pos="1620"/>
        </w:tabs>
        <w:spacing w:line="312" w:lineRule="auto"/>
        <w:ind w:left="0"/>
        <w:rPr>
          <w:rFonts w:asciiTheme="minorHAnsi" w:eastAsia="Open Sans" w:hAnsiTheme="minorHAnsi" w:cstheme="minorHAnsi"/>
          <w:b/>
          <w:bCs/>
          <w:color w:val="000000"/>
          <w:sz w:val="22"/>
          <w:szCs w:val="22"/>
        </w:rPr>
      </w:pPr>
      <w:r>
        <w:rPr>
          <w:rFonts w:asciiTheme="minorHAnsi" w:eastAsia="Open Sans" w:hAnsiTheme="minorHAnsi" w:cstheme="minorHAnsi"/>
          <w:b/>
          <w:bCs/>
          <w:color w:val="000000"/>
          <w:sz w:val="22"/>
          <w:szCs w:val="22"/>
        </w:rPr>
        <w:t>Institutional framework and governance</w:t>
      </w:r>
    </w:p>
    <w:p w14:paraId="5ECEBA18" w14:textId="77777777" w:rsidR="007372B6" w:rsidRDefault="00000000">
      <w:pPr>
        <w:pStyle w:val="ListParagraph"/>
        <w:tabs>
          <w:tab w:val="left" w:pos="1620"/>
        </w:tabs>
        <w:spacing w:line="312" w:lineRule="auto"/>
        <w:ind w:left="0"/>
        <w:jc w:val="both"/>
        <w:rPr>
          <w:rFonts w:asciiTheme="minorHAnsi" w:eastAsia="Open Sans" w:hAnsiTheme="minorHAnsi" w:cstheme="minorHAnsi"/>
          <w:b/>
          <w:bCs/>
          <w:color w:val="000000"/>
          <w:sz w:val="22"/>
          <w:szCs w:val="22"/>
        </w:rPr>
      </w:pPr>
      <w:r>
        <w:rPr>
          <w:rFonts w:asciiTheme="minorHAnsi" w:eastAsia="Open Sans" w:hAnsiTheme="minorHAnsi" w:cstheme="minorHAnsi"/>
          <w:color w:val="000000"/>
          <w:sz w:val="22"/>
          <w:szCs w:val="22"/>
        </w:rPr>
        <w:t xml:space="preserve">83. The scientific studies and biological surveys and related engagement of national and international NGOs has assisted the momentum for ongoing support and enhanced local working relationships. The main institutional support feature has been the creation of local committees, although many are uncertain about next steps. Sustainability related to institutional frameworks and governance may be </w:t>
      </w:r>
      <w:r>
        <w:rPr>
          <w:rFonts w:asciiTheme="minorHAnsi" w:eastAsia="Open Sans" w:hAnsiTheme="minorHAnsi" w:cstheme="minorHAnsi"/>
          <w:color w:val="000000"/>
          <w:sz w:val="22"/>
          <w:szCs w:val="22"/>
        </w:rPr>
        <w:lastRenderedPageBreak/>
        <w:t xml:space="preserve">limited by a lack of policy development and relatively poor coordination mechanisms between implementing partners and sectors. Institutional sustainability likelihood is considered </w:t>
      </w:r>
      <w:r>
        <w:rPr>
          <w:rFonts w:asciiTheme="minorHAnsi" w:eastAsia="Open Sans" w:hAnsiTheme="minorHAnsi" w:cstheme="minorHAnsi"/>
          <w:color w:val="000000"/>
          <w:sz w:val="22"/>
          <w:szCs w:val="22"/>
          <w:u w:val="single"/>
        </w:rPr>
        <w:t>Low</w:t>
      </w:r>
      <w:r>
        <w:rPr>
          <w:rFonts w:asciiTheme="minorHAnsi" w:eastAsia="Open Sans" w:hAnsiTheme="minorHAnsi" w:cstheme="minorHAnsi"/>
          <w:color w:val="000000"/>
          <w:sz w:val="22"/>
          <w:szCs w:val="22"/>
        </w:rPr>
        <w:t>.</w:t>
      </w:r>
    </w:p>
    <w:p w14:paraId="3BC61DA9" w14:textId="77777777" w:rsidR="007372B6" w:rsidRDefault="007372B6">
      <w:pPr>
        <w:pStyle w:val="ListParagraph"/>
        <w:tabs>
          <w:tab w:val="left" w:pos="1620"/>
        </w:tabs>
        <w:rPr>
          <w:rFonts w:asciiTheme="minorHAnsi" w:eastAsia="Open Sans" w:hAnsiTheme="minorHAnsi" w:cstheme="minorHAnsi"/>
          <w:color w:val="000000"/>
          <w:sz w:val="22"/>
          <w:szCs w:val="22"/>
        </w:rPr>
      </w:pPr>
    </w:p>
    <w:p w14:paraId="3A6CA84C" w14:textId="77777777" w:rsidR="007372B6" w:rsidRDefault="00000000">
      <w:pPr>
        <w:pStyle w:val="ListParagraph"/>
        <w:tabs>
          <w:tab w:val="left" w:pos="1620"/>
        </w:tabs>
        <w:spacing w:line="312" w:lineRule="auto"/>
        <w:ind w:left="0"/>
        <w:rPr>
          <w:rFonts w:asciiTheme="minorHAnsi" w:eastAsia="Open Sans" w:hAnsiTheme="minorHAnsi" w:cstheme="minorHAnsi"/>
          <w:b/>
          <w:bCs/>
          <w:color w:val="000000"/>
          <w:sz w:val="22"/>
          <w:szCs w:val="22"/>
        </w:rPr>
      </w:pPr>
      <w:r>
        <w:rPr>
          <w:rFonts w:asciiTheme="minorHAnsi" w:eastAsia="Open Sans" w:hAnsiTheme="minorHAnsi" w:cstheme="minorHAnsi"/>
          <w:b/>
          <w:bCs/>
          <w:color w:val="000000"/>
          <w:sz w:val="22"/>
          <w:szCs w:val="22"/>
        </w:rPr>
        <w:t xml:space="preserve">Environmental </w:t>
      </w:r>
    </w:p>
    <w:p w14:paraId="75814585" w14:textId="77777777" w:rsidR="007372B6" w:rsidRDefault="00000000">
      <w:pPr>
        <w:pStyle w:val="ListParagraph"/>
        <w:tabs>
          <w:tab w:val="left" w:pos="1620"/>
        </w:tabs>
        <w:spacing w:line="312" w:lineRule="auto"/>
        <w:ind w:left="0"/>
        <w:jc w:val="both"/>
        <w:rPr>
          <w:rFonts w:asciiTheme="minorHAnsi" w:eastAsia="Open Sans" w:hAnsiTheme="minorHAnsi" w:cstheme="minorHAnsi"/>
          <w:b/>
          <w:bCs/>
          <w:color w:val="000000"/>
          <w:sz w:val="22"/>
          <w:szCs w:val="22"/>
        </w:rPr>
      </w:pPr>
      <w:r>
        <w:rPr>
          <w:rFonts w:asciiTheme="minorHAnsi" w:eastAsia="Open Sans" w:hAnsiTheme="minorHAnsi" w:cstheme="minorHAnsi"/>
          <w:color w:val="000000"/>
          <w:sz w:val="22"/>
          <w:szCs w:val="22"/>
        </w:rPr>
        <w:t xml:space="preserve">84. The potential for sustainable use and management of land, biodiversity, forest and marine resources depends on national policies and programs, and public engagement in sustainable agriculture, forestry and fisheries. The lack of data on reforestation quality in the project makes it difficult to assess forest cover enhancement. Some progress from WWF support for sustainable fisheries, some of which is external to the project, offers positive encouragement. The environmental sustainability, given a lack of data, is considered </w:t>
      </w:r>
      <w:r>
        <w:rPr>
          <w:rFonts w:asciiTheme="minorHAnsi" w:eastAsia="Open Sans" w:hAnsiTheme="minorHAnsi" w:cstheme="minorHAnsi"/>
          <w:color w:val="000000"/>
          <w:sz w:val="22"/>
          <w:szCs w:val="22"/>
          <w:u w:val="single"/>
        </w:rPr>
        <w:t>Uncertain</w:t>
      </w:r>
      <w:r>
        <w:rPr>
          <w:rFonts w:asciiTheme="minorHAnsi" w:eastAsia="Open Sans" w:hAnsiTheme="minorHAnsi" w:cstheme="minorHAnsi"/>
          <w:color w:val="000000"/>
          <w:sz w:val="22"/>
          <w:szCs w:val="22"/>
        </w:rPr>
        <w:t xml:space="preserve">. </w:t>
      </w:r>
    </w:p>
    <w:p w14:paraId="7B54FE51" w14:textId="77777777" w:rsidR="007372B6" w:rsidRDefault="007372B6">
      <w:pPr>
        <w:pStyle w:val="ListParagraph"/>
        <w:tabs>
          <w:tab w:val="left" w:pos="1620"/>
        </w:tabs>
        <w:rPr>
          <w:rFonts w:asciiTheme="minorHAnsi" w:eastAsia="Open Sans" w:hAnsiTheme="minorHAnsi" w:cstheme="minorHAnsi"/>
          <w:color w:val="000000"/>
          <w:sz w:val="22"/>
          <w:szCs w:val="22"/>
        </w:rPr>
      </w:pPr>
    </w:p>
    <w:p w14:paraId="06AD6523" w14:textId="77777777" w:rsidR="007372B6" w:rsidRDefault="00000000">
      <w:pPr>
        <w:pStyle w:val="ListParagraph"/>
        <w:tabs>
          <w:tab w:val="left" w:pos="1620"/>
        </w:tabs>
        <w:spacing w:line="312" w:lineRule="auto"/>
        <w:ind w:left="0"/>
        <w:rPr>
          <w:rFonts w:asciiTheme="minorHAnsi" w:eastAsia="Open Sans" w:hAnsiTheme="minorHAnsi" w:cstheme="minorHAnsi"/>
          <w:b/>
          <w:bCs/>
          <w:color w:val="000000"/>
          <w:sz w:val="22"/>
          <w:szCs w:val="22"/>
        </w:rPr>
      </w:pPr>
      <w:r>
        <w:rPr>
          <w:rFonts w:asciiTheme="minorHAnsi" w:eastAsia="Open Sans" w:hAnsiTheme="minorHAnsi" w:cstheme="minorHAnsi"/>
          <w:b/>
          <w:bCs/>
          <w:color w:val="000000"/>
          <w:sz w:val="22"/>
          <w:szCs w:val="22"/>
        </w:rPr>
        <w:t>Overall likelihood</w:t>
      </w:r>
    </w:p>
    <w:p w14:paraId="450D9EFF" w14:textId="77777777" w:rsidR="007372B6" w:rsidRDefault="00000000">
      <w:pPr>
        <w:pStyle w:val="ListParagraph"/>
        <w:tabs>
          <w:tab w:val="left" w:pos="1620"/>
        </w:tabs>
        <w:spacing w:line="312" w:lineRule="auto"/>
        <w:ind w:left="0"/>
        <w:jc w:val="both"/>
        <w:rPr>
          <w:rFonts w:asciiTheme="minorHAnsi" w:eastAsia="Open Sans" w:hAnsiTheme="minorHAnsi" w:cstheme="minorHAnsi"/>
          <w:b/>
          <w:bCs/>
          <w:color w:val="000000"/>
          <w:sz w:val="22"/>
          <w:szCs w:val="22"/>
        </w:rPr>
      </w:pPr>
      <w:r>
        <w:rPr>
          <w:rFonts w:ascii="Calibri" w:hAnsi="Calibri" w:cstheme="minorHAnsi"/>
          <w:color w:val="000000"/>
          <w:sz w:val="22"/>
          <w:szCs w:val="22"/>
        </w:rPr>
        <w:t xml:space="preserve">85. Management issues and long implementation delays faced by the project, and the lack of reliable monitoring data on project results suggests that the likelihood of sustainability is </w:t>
      </w:r>
      <w:r>
        <w:rPr>
          <w:rFonts w:ascii="Calibri" w:hAnsi="Calibri" w:cstheme="minorHAnsi"/>
          <w:color w:val="000000"/>
          <w:sz w:val="22"/>
          <w:szCs w:val="22"/>
          <w:u w:val="single"/>
        </w:rPr>
        <w:t>Low</w:t>
      </w:r>
      <w:r>
        <w:rPr>
          <w:rFonts w:ascii="Calibri" w:hAnsi="Calibri" w:cstheme="minorHAnsi"/>
          <w:color w:val="000000"/>
          <w:sz w:val="22"/>
          <w:szCs w:val="22"/>
        </w:rPr>
        <w:t>.</w:t>
      </w:r>
    </w:p>
    <w:p w14:paraId="369967B7" w14:textId="77777777" w:rsidR="007372B6" w:rsidRDefault="007372B6">
      <w:pPr>
        <w:pStyle w:val="ListParagraph"/>
        <w:spacing w:line="312" w:lineRule="auto"/>
        <w:rPr>
          <w:rFonts w:asciiTheme="minorHAnsi" w:hAnsiTheme="minorHAnsi" w:cstheme="minorHAnsi"/>
          <w:color w:val="000000"/>
          <w:sz w:val="22"/>
          <w:szCs w:val="22"/>
        </w:rPr>
      </w:pPr>
    </w:p>
    <w:p w14:paraId="362CB178" w14:textId="77777777" w:rsidR="007372B6" w:rsidRDefault="00000000">
      <w:pPr>
        <w:ind w:left="720" w:firstLine="567"/>
      </w:pPr>
      <w:r>
        <w:rPr>
          <w:rFonts w:asciiTheme="minorHAnsi" w:hAnsiTheme="minorHAnsi" w:cstheme="minorHAnsi"/>
          <w:b/>
          <w:bCs/>
          <w:sz w:val="22"/>
          <w:szCs w:val="22"/>
        </w:rPr>
        <w:t>4.3.8</w:t>
      </w:r>
      <w:r>
        <w:rPr>
          <w:rFonts w:asciiTheme="minorHAnsi" w:hAnsiTheme="minorHAnsi" w:cstheme="minorHAnsi"/>
          <w:b/>
          <w:bCs/>
          <w:sz w:val="22"/>
          <w:szCs w:val="22"/>
        </w:rPr>
        <w:tab/>
        <w:t xml:space="preserve">GEF Additionality and Potential Catalytic/Replication Effect </w:t>
      </w:r>
    </w:p>
    <w:p w14:paraId="6BA12833" w14:textId="77777777" w:rsidR="007372B6" w:rsidRDefault="007372B6">
      <w:pPr>
        <w:rPr>
          <w:sz w:val="22"/>
          <w:szCs w:val="22"/>
        </w:rPr>
      </w:pPr>
    </w:p>
    <w:p w14:paraId="2090240A" w14:textId="77777777" w:rsidR="007372B6" w:rsidRDefault="00000000">
      <w:pPr>
        <w:spacing w:line="312" w:lineRule="auto"/>
        <w:jc w:val="both"/>
      </w:pPr>
      <w:r>
        <w:rPr>
          <w:rFonts w:ascii="Calibri" w:hAnsi="Calibri"/>
          <w:bCs/>
          <w:sz w:val="22"/>
          <w:szCs w:val="22"/>
        </w:rPr>
        <w:t xml:space="preserve">86. The project’s GEF additionality to leverage resources and results is questionable since co-financing has not been sufficiently tracked. GEF funding supported the national tree planting campaign (with uncertain results) in the pilot catchment areas and in development of initial catchment area planning. It also assisted in introducing new methods for eradication of invasive species. The funding provided incremental outputs but no systemic change in institutional structures nor was an integrated resource management policy generated.   </w:t>
      </w:r>
    </w:p>
    <w:p w14:paraId="54C362AE" w14:textId="77777777" w:rsidR="007372B6" w:rsidRDefault="007372B6">
      <w:pPr>
        <w:spacing w:line="312" w:lineRule="auto"/>
        <w:jc w:val="both"/>
        <w:rPr>
          <w:rFonts w:ascii="Calibri" w:hAnsi="Calibri"/>
          <w:bCs/>
          <w:sz w:val="22"/>
          <w:szCs w:val="22"/>
        </w:rPr>
      </w:pPr>
    </w:p>
    <w:p w14:paraId="66AD9F40" w14:textId="77777777" w:rsidR="007372B6" w:rsidRDefault="00000000">
      <w:pPr>
        <w:spacing w:line="312" w:lineRule="auto"/>
        <w:jc w:val="both"/>
      </w:pPr>
      <w:r>
        <w:rPr>
          <w:rFonts w:ascii="Calibri" w:hAnsi="Calibri"/>
          <w:bCs/>
          <w:sz w:val="22"/>
          <w:szCs w:val="22"/>
        </w:rPr>
        <w:t xml:space="preserve">87. The project is unlikely to catalyze changes toward integrated NRM within R2R systems given the lack of policy development and limited advances in coordinating stakeholders. The local catchment area plans and committees may provide support to address specific area and site priorities provided resources and momentum can be continued. But there is no established framework that can provide a foundation for future catalyzing R2R programs and projects. The follow-up to the Exit Strategy action plan (“sustainability strategy”) which has been promised needs clear evidence of progress, and the general views expressed by catchment area planning stakeholders present a lot of uncertainties. </w:t>
      </w:r>
    </w:p>
    <w:p w14:paraId="2DC345A0" w14:textId="77777777" w:rsidR="007372B6" w:rsidRDefault="007372B6">
      <w:pPr>
        <w:spacing w:line="312" w:lineRule="auto"/>
        <w:jc w:val="both"/>
        <w:rPr>
          <w:rFonts w:ascii="Calibri" w:hAnsi="Calibri"/>
          <w:bCs/>
          <w:sz w:val="22"/>
          <w:szCs w:val="22"/>
        </w:rPr>
      </w:pPr>
    </w:p>
    <w:p w14:paraId="3752C9C4" w14:textId="77777777" w:rsidR="007372B6" w:rsidRDefault="00000000">
      <w:pPr>
        <w:spacing w:line="312" w:lineRule="auto"/>
        <w:jc w:val="both"/>
      </w:pPr>
      <w:r>
        <w:rPr>
          <w:rFonts w:ascii="Calibri" w:hAnsi="Calibri"/>
          <w:bCs/>
          <w:sz w:val="22"/>
          <w:szCs w:val="22"/>
        </w:rPr>
        <w:t>88. Despite incremental activity results in different sectors, the project has not established a proven working model for protected area and related R2R management and rehabilitation that can be replicated in other areas. Effectiveness of the catchment area plans, which vary in format and orientation between the pilot areas, remains to be seen. They have however, provided local experiences that could contribute to future development of a model approach for R2R initiatives. The design weaknesses are elaborated in other sections of this report and highlighted in the Conclusions and Lessons Learned.</w:t>
      </w:r>
    </w:p>
    <w:p w14:paraId="7E133858" w14:textId="77777777" w:rsidR="007372B6" w:rsidRDefault="007372B6">
      <w:pPr>
        <w:pStyle w:val="ListParagraph"/>
        <w:spacing w:line="312" w:lineRule="auto"/>
        <w:rPr>
          <w:rFonts w:asciiTheme="minorHAnsi" w:hAnsiTheme="minorHAnsi" w:cstheme="minorHAnsi"/>
          <w:color w:val="000000"/>
          <w:sz w:val="22"/>
          <w:szCs w:val="22"/>
        </w:rPr>
      </w:pPr>
    </w:p>
    <w:p w14:paraId="4265877F" w14:textId="77777777" w:rsidR="007372B6" w:rsidRDefault="00000000">
      <w:pPr>
        <w:pStyle w:val="ListParagraph"/>
        <w:tabs>
          <w:tab w:val="left" w:pos="1620"/>
        </w:tabs>
        <w:spacing w:after="113" w:line="312" w:lineRule="auto"/>
        <w:ind w:left="567"/>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4.3.9 Progress to Impact</w:t>
      </w:r>
    </w:p>
    <w:p w14:paraId="4C0BF2F8" w14:textId="77777777" w:rsidR="007372B6" w:rsidRDefault="00000000">
      <w:pPr>
        <w:spacing w:after="113" w:line="312" w:lineRule="auto"/>
        <w:contextualSpacing/>
        <w:jc w:val="both"/>
        <w:rPr>
          <w:rFonts w:asciiTheme="minorHAnsi" w:eastAsia="Open Sans" w:hAnsiTheme="minorHAnsi" w:cstheme="minorHAnsi"/>
          <w:color w:val="000000"/>
          <w:sz w:val="28"/>
          <w:szCs w:val="28"/>
        </w:rPr>
      </w:pPr>
      <w:r>
        <w:rPr>
          <w:rFonts w:ascii="Calibri" w:eastAsia="Open Sans" w:hAnsi="Calibri" w:cstheme="minorHAnsi"/>
          <w:color w:val="000000"/>
          <w:sz w:val="22"/>
          <w:szCs w:val="22"/>
        </w:rPr>
        <w:lastRenderedPageBreak/>
        <w:t>89. It is impossible to determine whether the Fiji R2R Project has had any measurable impact on environmental conditions and issues in the ridge to reef ecosystems. The issues and priorities have been well documented and some interventions have been tested, which is a promising start. The R2R concept has been introduced and some community awareness and momentum have been created suggesting limited, incremental progress toward potential impact.</w:t>
      </w:r>
    </w:p>
    <w:p w14:paraId="0174FA26" w14:textId="77777777" w:rsidR="007372B6" w:rsidRDefault="007372B6">
      <w:pPr>
        <w:spacing w:after="113" w:line="312" w:lineRule="auto"/>
        <w:contextualSpacing/>
        <w:jc w:val="both"/>
        <w:rPr>
          <w:rFonts w:asciiTheme="minorHAnsi" w:hAnsiTheme="minorHAnsi" w:cstheme="minorHAnsi"/>
          <w:color w:val="000000"/>
          <w:sz w:val="22"/>
          <w:szCs w:val="22"/>
        </w:rPr>
      </w:pPr>
    </w:p>
    <w:p w14:paraId="7FAD466A" w14:textId="77777777" w:rsidR="007372B6" w:rsidRDefault="00000000">
      <w:pPr>
        <w:spacing w:line="312" w:lineRule="auto"/>
        <w:jc w:val="both"/>
        <w:rPr>
          <w:rFonts w:ascii="Calibri" w:eastAsia="Open Sans" w:hAnsi="Calibri" w:cstheme="minorHAnsi"/>
          <w:bCs/>
          <w:color w:val="000000"/>
          <w:spacing w:val="-2"/>
          <w:sz w:val="22"/>
          <w:szCs w:val="22"/>
        </w:rPr>
      </w:pPr>
      <w:r>
        <w:rPr>
          <w:rFonts w:ascii="Calibri" w:eastAsia="Open Sans" w:hAnsi="Calibri" w:cstheme="minorHAnsi"/>
          <w:bCs/>
          <w:color w:val="000000"/>
          <w:spacing w:val="-2"/>
          <w:sz w:val="22"/>
          <w:szCs w:val="22"/>
        </w:rPr>
        <w:t>90. The MTR’s Exit Strategy for the Fiji R2R Project highlights the importance of government coordination responsibilities and mainstreaming outcome results into policies and supportive resources, and harmonizing development activities with conservation commitments. The 24 recommendations in the Exit Strategy focus on:</w:t>
      </w:r>
    </w:p>
    <w:p w14:paraId="35733CB5" w14:textId="77777777" w:rsidR="007372B6" w:rsidRDefault="00000000">
      <w:pPr>
        <w:spacing w:line="312" w:lineRule="auto"/>
        <w:ind w:left="567"/>
        <w:rPr>
          <w:rFonts w:ascii="Calibri" w:eastAsia="Open Sans" w:hAnsi="Calibri" w:cstheme="minorHAnsi"/>
          <w:bCs/>
          <w:color w:val="000000"/>
          <w:spacing w:val="-2"/>
          <w:sz w:val="22"/>
          <w:szCs w:val="22"/>
        </w:rPr>
      </w:pPr>
      <w:r>
        <w:rPr>
          <w:rFonts w:ascii="Calibri" w:eastAsia="Open Sans" w:hAnsi="Calibri" w:cstheme="minorHAnsi"/>
          <w:bCs/>
          <w:color w:val="000000"/>
          <w:spacing w:val="-2"/>
          <w:sz w:val="22"/>
          <w:szCs w:val="22"/>
        </w:rPr>
        <w:t>(a) establishing coordination responsibilities for the outcomes,</w:t>
      </w:r>
    </w:p>
    <w:p w14:paraId="20ECB5DC" w14:textId="77777777" w:rsidR="007372B6" w:rsidRDefault="00000000">
      <w:pPr>
        <w:spacing w:line="312" w:lineRule="auto"/>
        <w:ind w:left="567"/>
        <w:rPr>
          <w:rFonts w:ascii="Calibri" w:eastAsia="Open Sans" w:hAnsi="Calibri" w:cstheme="minorHAnsi"/>
          <w:bCs/>
          <w:color w:val="000000"/>
          <w:spacing w:val="-2"/>
          <w:sz w:val="22"/>
          <w:szCs w:val="22"/>
        </w:rPr>
      </w:pPr>
      <w:r>
        <w:rPr>
          <w:rFonts w:ascii="Calibri" w:eastAsia="Open Sans" w:hAnsi="Calibri" w:cstheme="minorHAnsi"/>
          <w:bCs/>
          <w:color w:val="000000"/>
          <w:spacing w:val="-2"/>
          <w:sz w:val="22"/>
          <w:szCs w:val="22"/>
        </w:rPr>
        <w:t>(b) urging relevant ministries to further incorporate outcome results into policies under their custody,</w:t>
      </w:r>
    </w:p>
    <w:p w14:paraId="3409850D" w14:textId="77777777" w:rsidR="007372B6" w:rsidRDefault="00000000">
      <w:pPr>
        <w:spacing w:line="312" w:lineRule="auto"/>
        <w:ind w:left="567"/>
        <w:rPr>
          <w:rFonts w:ascii="Calibri" w:eastAsia="Open Sans" w:hAnsi="Calibri" w:cstheme="minorHAnsi"/>
          <w:bCs/>
          <w:color w:val="000000"/>
          <w:spacing w:val="-2"/>
          <w:sz w:val="22"/>
          <w:szCs w:val="22"/>
        </w:rPr>
      </w:pPr>
      <w:r>
        <w:rPr>
          <w:rFonts w:ascii="Calibri" w:eastAsia="Open Sans" w:hAnsi="Calibri" w:cstheme="minorHAnsi"/>
          <w:bCs/>
          <w:color w:val="000000"/>
          <w:spacing w:val="-2"/>
          <w:sz w:val="22"/>
          <w:szCs w:val="22"/>
        </w:rPr>
        <w:t>(c) sharing the outcome results with all stakeholders,</w:t>
      </w:r>
    </w:p>
    <w:p w14:paraId="6C420C2D" w14:textId="77777777" w:rsidR="007372B6" w:rsidRDefault="00000000">
      <w:pPr>
        <w:spacing w:line="312" w:lineRule="auto"/>
        <w:ind w:left="567"/>
        <w:rPr>
          <w:rFonts w:ascii="Calibri" w:eastAsia="Open Sans" w:hAnsi="Calibri" w:cstheme="minorHAnsi"/>
          <w:bCs/>
          <w:color w:val="000000"/>
          <w:spacing w:val="-2"/>
          <w:sz w:val="22"/>
          <w:szCs w:val="22"/>
        </w:rPr>
      </w:pPr>
      <w:r>
        <w:rPr>
          <w:rFonts w:ascii="Calibri" w:eastAsia="Open Sans" w:hAnsi="Calibri" w:cstheme="minorHAnsi"/>
          <w:bCs/>
          <w:color w:val="000000"/>
          <w:spacing w:val="-2"/>
          <w:sz w:val="22"/>
          <w:szCs w:val="22"/>
        </w:rPr>
        <w:t>(d) ensuring the Community Management Committees process is fully documented and supported by national policy and budgets and technical support at the local level,</w:t>
      </w:r>
    </w:p>
    <w:p w14:paraId="3CDA0CFD" w14:textId="77777777" w:rsidR="007372B6" w:rsidRDefault="00000000">
      <w:pPr>
        <w:spacing w:line="312" w:lineRule="auto"/>
        <w:ind w:left="567"/>
        <w:rPr>
          <w:rFonts w:ascii="Calibri" w:eastAsia="Open Sans" w:hAnsi="Calibri" w:cstheme="minorHAnsi"/>
          <w:bCs/>
          <w:color w:val="000000"/>
          <w:spacing w:val="-2"/>
          <w:sz w:val="22"/>
          <w:szCs w:val="22"/>
        </w:rPr>
      </w:pPr>
      <w:r>
        <w:rPr>
          <w:rFonts w:ascii="Calibri" w:eastAsia="Open Sans" w:hAnsi="Calibri" w:cstheme="minorHAnsi"/>
          <w:bCs/>
          <w:color w:val="000000"/>
          <w:spacing w:val="-2"/>
          <w:sz w:val="22"/>
          <w:szCs w:val="22"/>
        </w:rPr>
        <w:t xml:space="preserve">(e) working with the </w:t>
      </w:r>
      <w:proofErr w:type="spellStart"/>
      <w:r>
        <w:rPr>
          <w:rFonts w:ascii="Calibri" w:eastAsia="Open Sans" w:hAnsi="Calibri" w:cstheme="minorHAnsi"/>
          <w:bCs/>
          <w:color w:val="000000"/>
          <w:spacing w:val="-2"/>
          <w:sz w:val="22"/>
          <w:szCs w:val="22"/>
        </w:rPr>
        <w:t>iTaukei</w:t>
      </w:r>
      <w:proofErr w:type="spellEnd"/>
      <w:r>
        <w:rPr>
          <w:rFonts w:ascii="Calibri" w:eastAsia="Open Sans" w:hAnsi="Calibri" w:cstheme="minorHAnsi"/>
          <w:bCs/>
          <w:color w:val="000000"/>
          <w:spacing w:val="-2"/>
          <w:sz w:val="22"/>
          <w:szCs w:val="22"/>
        </w:rPr>
        <w:t xml:space="preserve"> Affairs Board on policy and guidelines to ensure development leases do not encroach on community protected areas, and</w:t>
      </w:r>
    </w:p>
    <w:p w14:paraId="14311C75" w14:textId="77777777" w:rsidR="007372B6" w:rsidRDefault="00000000">
      <w:pPr>
        <w:spacing w:line="312" w:lineRule="auto"/>
        <w:ind w:left="567"/>
        <w:rPr>
          <w:rFonts w:ascii="Calibri" w:eastAsia="Open Sans" w:hAnsi="Calibri" w:cstheme="minorHAnsi"/>
          <w:color w:val="000000"/>
          <w:sz w:val="22"/>
          <w:szCs w:val="22"/>
        </w:rPr>
      </w:pPr>
      <w:r>
        <w:rPr>
          <w:rFonts w:ascii="Calibri" w:eastAsia="Open Sans" w:hAnsi="Calibri" w:cstheme="minorHAnsi"/>
          <w:bCs/>
          <w:color w:val="000000"/>
          <w:spacing w:val="-2"/>
          <w:sz w:val="22"/>
          <w:szCs w:val="22"/>
        </w:rPr>
        <w:t>(f) continuing to work on a National Policy on Integrated NRM and Catchment Management in conjunction with the Green Growth Framework and the Coastal Management Framework.</w:t>
      </w:r>
    </w:p>
    <w:p w14:paraId="3B1D601D" w14:textId="77777777" w:rsidR="007372B6" w:rsidRDefault="007372B6">
      <w:pPr>
        <w:rPr>
          <w:rFonts w:ascii="Calibri" w:eastAsia="Open Sans" w:hAnsi="Calibri" w:cstheme="minorHAnsi"/>
          <w:bCs/>
          <w:color w:val="000000"/>
          <w:spacing w:val="-2"/>
          <w:sz w:val="22"/>
          <w:szCs w:val="22"/>
        </w:rPr>
      </w:pPr>
    </w:p>
    <w:p w14:paraId="70FD076F" w14:textId="39C4DDFC" w:rsidR="007372B6" w:rsidRDefault="00000000">
      <w:pPr>
        <w:tabs>
          <w:tab w:val="left" w:pos="1620"/>
        </w:tabs>
        <w:spacing w:line="312" w:lineRule="auto"/>
        <w:jc w:val="both"/>
        <w:rPr>
          <w:rFonts w:ascii="Calibri" w:eastAsia="Open Sans" w:hAnsi="Calibri" w:cstheme="minorHAnsi"/>
          <w:color w:val="000000"/>
          <w:sz w:val="22"/>
          <w:szCs w:val="22"/>
        </w:rPr>
      </w:pPr>
      <w:r>
        <w:rPr>
          <w:rFonts w:ascii="Calibri" w:eastAsia="Open Sans" w:hAnsi="Calibri" w:cstheme="minorHAnsi"/>
          <w:bCs/>
          <w:color w:val="000000"/>
          <w:spacing w:val="-2"/>
          <w:sz w:val="22"/>
          <w:szCs w:val="22"/>
        </w:rPr>
        <w:t>91. These policy and governance issues have been largely left to the late stages of the project, and many remain unresolved or only partially addressed. They could have been given a higher priority in the project design since they are important to generating R2R outcome results. The lack of progress in these areas was evident at the midpoint where the MTR’s June 2020 Exit Strategy highlighted the lack of capacity throughout all outcomes. For each outcome, the Exit Strategy was consistent in finding “low” institutional and human resource capacity to sustain the project, and “low” existence of a viable plan to sustain the project. This was particularly evident with respect to establishing integrated management approaches in the catchment areas (</w:t>
      </w:r>
      <w:r>
        <w:rPr>
          <w:rFonts w:ascii="Calibri" w:eastAsia="Open Sans" w:hAnsi="Calibri" w:cstheme="minorHAnsi"/>
          <w:i/>
          <w:iCs/>
          <w:color w:val="000000"/>
          <w:spacing w:val="-2"/>
          <w:sz w:val="22"/>
          <w:szCs w:val="22"/>
        </w:rPr>
        <w:t>Component 3: Governance and Planning</w:t>
      </w:r>
      <w:r>
        <w:rPr>
          <w:rFonts w:ascii="Calibri" w:eastAsia="Open Sans" w:hAnsi="Calibri" w:cstheme="minorHAnsi"/>
          <w:b/>
          <w:bCs/>
          <w:i/>
          <w:iCs/>
          <w:color w:val="000000"/>
          <w:spacing w:val="-2"/>
          <w:sz w:val="22"/>
          <w:szCs w:val="22"/>
        </w:rPr>
        <w:t xml:space="preserve"> </w:t>
      </w:r>
      <w:r>
        <w:rPr>
          <w:rFonts w:ascii="Calibri" w:eastAsia="Open Sans" w:hAnsi="Calibri" w:cstheme="minorHAnsi"/>
          <w:bCs/>
          <w:i/>
          <w:iCs/>
          <w:color w:val="000000"/>
          <w:spacing w:val="-2"/>
          <w:sz w:val="22"/>
          <w:szCs w:val="22"/>
        </w:rPr>
        <w:t xml:space="preserve">Integrated catchment management approach involving improved management of water, soil and </w:t>
      </w:r>
      <w:proofErr w:type="spellStart"/>
      <w:r>
        <w:rPr>
          <w:rFonts w:ascii="Calibri" w:eastAsia="Open Sans" w:hAnsi="Calibri" w:cstheme="minorHAnsi"/>
          <w:bCs/>
          <w:i/>
          <w:iCs/>
          <w:color w:val="000000"/>
          <w:spacing w:val="-2"/>
          <w:sz w:val="22"/>
          <w:szCs w:val="22"/>
        </w:rPr>
        <w:t>agro</w:t>
      </w:r>
      <w:proofErr w:type="spellEnd"/>
      <w:r>
        <w:rPr>
          <w:rFonts w:ascii="Calibri" w:eastAsia="Open Sans" w:hAnsi="Calibri" w:cstheme="minorHAnsi"/>
          <w:bCs/>
          <w:i/>
          <w:iCs/>
          <w:color w:val="000000"/>
          <w:spacing w:val="-2"/>
          <w:sz w:val="22"/>
          <w:szCs w:val="22"/>
        </w:rPr>
        <w:t>-ecosystem resources</w:t>
      </w:r>
      <w:r>
        <w:rPr>
          <w:rFonts w:ascii="Calibri" w:eastAsia="Open Sans" w:hAnsi="Calibri" w:cstheme="minorHAnsi"/>
          <w:bCs/>
          <w:color w:val="000000"/>
          <w:spacing w:val="-2"/>
          <w:sz w:val="22"/>
          <w:szCs w:val="22"/>
        </w:rPr>
        <w:t xml:space="preserve">). Under Output 3.2.3, the Exit Strategy scored all categories </w:t>
      </w:r>
      <w:r>
        <w:rPr>
          <w:rFonts w:ascii="Calibri" w:eastAsia="Open Sans" w:hAnsi="Calibri" w:cstheme="minorHAnsi"/>
          <w:color w:val="000000"/>
          <w:spacing w:val="-2"/>
          <w:sz w:val="22"/>
          <w:szCs w:val="22"/>
        </w:rPr>
        <w:t>“low”</w:t>
      </w:r>
      <w:r>
        <w:rPr>
          <w:rFonts w:ascii="Calibri" w:eastAsia="Open Sans" w:hAnsi="Calibri" w:cstheme="minorHAnsi"/>
          <w:bCs/>
          <w:color w:val="000000"/>
          <w:spacing w:val="-2"/>
          <w:sz w:val="22"/>
          <w:szCs w:val="22"/>
        </w:rPr>
        <w:t xml:space="preserve"> (Empowered communities as a result of participation in: 1. formulation of PA management plans and catchment management plans; 2. alignment of community livelihoods with local priorities; 3. development of market-based instruments by the project, including ecosystem services and 4. monitoring and reporting on progress and status of project to CMC.) (p. 27).</w:t>
      </w:r>
    </w:p>
    <w:p w14:paraId="3613116E" w14:textId="77777777" w:rsidR="007372B6" w:rsidRDefault="007372B6">
      <w:pPr>
        <w:tabs>
          <w:tab w:val="left" w:pos="1620"/>
        </w:tabs>
        <w:spacing w:line="312" w:lineRule="auto"/>
        <w:jc w:val="both"/>
        <w:rPr>
          <w:bCs/>
          <w:spacing w:val="-2"/>
        </w:rPr>
      </w:pPr>
    </w:p>
    <w:p w14:paraId="14907637" w14:textId="5084E20A" w:rsidR="007372B6" w:rsidRDefault="00000000">
      <w:pPr>
        <w:tabs>
          <w:tab w:val="left" w:pos="1620"/>
        </w:tabs>
        <w:spacing w:line="312" w:lineRule="auto"/>
        <w:jc w:val="both"/>
        <w:rPr>
          <w:rFonts w:ascii="Calibri" w:eastAsia="Open Sans" w:hAnsi="Calibri" w:cstheme="minorHAnsi"/>
          <w:color w:val="000000"/>
          <w:sz w:val="22"/>
          <w:szCs w:val="22"/>
        </w:rPr>
      </w:pPr>
      <w:r>
        <w:rPr>
          <w:rFonts w:ascii="Calibri" w:eastAsia="Open Sans" w:hAnsi="Calibri" w:cstheme="minorHAnsi"/>
          <w:bCs/>
          <w:color w:val="000000"/>
          <w:spacing w:val="-2"/>
          <w:sz w:val="22"/>
          <w:szCs w:val="22"/>
        </w:rPr>
        <w:t xml:space="preserve">92. These were all known weaknesses at the beginning of the project. The Project Document noted the "lack of knowledge, capacity and designated agency(s) within GOF to implement integrated approaches to rational planning and management of natural resources." The Project Document described the baseline situation thus: “hitherto none of these efforts, studies and recommendations have crystallized into the adoption of a whole-of-Government/R2R approach for integrated catchment management of natural </w:t>
      </w:r>
      <w:r>
        <w:rPr>
          <w:rFonts w:ascii="Calibri" w:eastAsia="Open Sans" w:hAnsi="Calibri" w:cstheme="minorHAnsi"/>
          <w:bCs/>
          <w:color w:val="000000"/>
          <w:spacing w:val="-2"/>
          <w:sz w:val="22"/>
          <w:szCs w:val="22"/>
        </w:rPr>
        <w:lastRenderedPageBreak/>
        <w:t xml:space="preserve">resources in Fiji. </w:t>
      </w:r>
      <w:proofErr w:type="gramStart"/>
      <w:r>
        <w:rPr>
          <w:rFonts w:ascii="Calibri" w:eastAsia="Open Sans" w:hAnsi="Calibri" w:cstheme="minorHAnsi"/>
          <w:bCs/>
          <w:color w:val="000000"/>
          <w:spacing w:val="-2"/>
          <w:sz w:val="22"/>
          <w:szCs w:val="22"/>
        </w:rPr>
        <w:t>Accordingly</w:t>
      </w:r>
      <w:proofErr w:type="gramEnd"/>
      <w:r>
        <w:rPr>
          <w:rFonts w:ascii="Calibri" w:eastAsia="Open Sans" w:hAnsi="Calibri" w:cstheme="minorHAnsi"/>
          <w:bCs/>
          <w:color w:val="000000"/>
          <w:spacing w:val="-2"/>
          <w:sz w:val="22"/>
          <w:szCs w:val="22"/>
        </w:rPr>
        <w:t xml:space="preserve"> the GEF 5 STAR Fiji Ridge-to-Reef Project will be of a pioneering nature. Getting all departments working effectively together will be paramount.”</w:t>
      </w:r>
      <w:r>
        <w:rPr>
          <w:rStyle w:val="FootnoteAnchor"/>
          <w:rFonts w:ascii="Calibri" w:eastAsia="Open Sans" w:hAnsi="Calibri" w:cstheme="minorHAnsi"/>
          <w:bCs/>
          <w:color w:val="000000"/>
          <w:spacing w:val="-2"/>
          <w:sz w:val="22"/>
          <w:szCs w:val="22"/>
        </w:rPr>
        <w:footnoteReference w:id="50"/>
      </w:r>
    </w:p>
    <w:p w14:paraId="0513D9E0" w14:textId="77777777" w:rsidR="007372B6" w:rsidRDefault="007372B6">
      <w:pPr>
        <w:tabs>
          <w:tab w:val="left" w:pos="1620"/>
        </w:tabs>
        <w:rPr>
          <w:rFonts w:ascii="Calibri" w:eastAsia="Open Sans" w:hAnsi="Calibri" w:cstheme="minorHAnsi"/>
          <w:bCs/>
          <w:color w:val="000000"/>
          <w:spacing w:val="-2"/>
          <w:sz w:val="22"/>
          <w:szCs w:val="22"/>
        </w:rPr>
      </w:pPr>
    </w:p>
    <w:p w14:paraId="659A1B33" w14:textId="77777777" w:rsidR="007372B6" w:rsidRDefault="00000000">
      <w:pPr>
        <w:tabs>
          <w:tab w:val="left" w:pos="1620"/>
        </w:tabs>
        <w:spacing w:line="312" w:lineRule="auto"/>
        <w:jc w:val="both"/>
        <w:rPr>
          <w:rFonts w:ascii="Calibri" w:eastAsia="Open Sans" w:hAnsi="Calibri" w:cstheme="minorHAnsi"/>
          <w:color w:val="000000"/>
          <w:sz w:val="22"/>
          <w:szCs w:val="22"/>
        </w:rPr>
      </w:pPr>
      <w:r>
        <w:rPr>
          <w:rFonts w:ascii="Calibri" w:eastAsia="Open Sans" w:hAnsi="Calibri" w:cstheme="minorHAnsi"/>
          <w:bCs/>
          <w:color w:val="000000"/>
          <w:spacing w:val="-2"/>
          <w:sz w:val="22"/>
          <w:szCs w:val="22"/>
        </w:rPr>
        <w:t xml:space="preserve">93. Correcting this lack of collaboration and building capacity should have been of paramount importance in the early stages of project implementation. Indeed, UNDP’s exit policy for NIM projects is based on increasing government capacity and/or external constraints, such as lack of donor contribution. UNDP provides support through programmes and projects to </w:t>
      </w:r>
      <w:r>
        <w:rPr>
          <w:rFonts w:ascii="Calibri" w:eastAsia="Open Sans" w:hAnsi="Calibri" w:cstheme="minorHAnsi"/>
          <w:i/>
          <w:iCs/>
          <w:color w:val="000000"/>
          <w:spacing w:val="-2"/>
          <w:sz w:val="22"/>
          <w:szCs w:val="22"/>
        </w:rPr>
        <w:t>strengthen national capacities and expand the options and opportunities available to partners and beneficiaries in programme countries</w:t>
      </w:r>
      <w:r>
        <w:rPr>
          <w:rFonts w:ascii="Calibri" w:eastAsia="Open Sans" w:hAnsi="Calibri" w:cstheme="minorHAnsi"/>
          <w:color w:val="000000"/>
          <w:spacing w:val="-2"/>
          <w:sz w:val="22"/>
          <w:szCs w:val="22"/>
        </w:rPr>
        <w:t>.</w:t>
      </w:r>
      <w:r>
        <w:rPr>
          <w:rStyle w:val="FootnoteAnchor"/>
          <w:rFonts w:ascii="Calibri" w:eastAsia="Open Sans" w:hAnsi="Calibri" w:cstheme="minorHAnsi"/>
          <w:color w:val="000000"/>
          <w:spacing w:val="-2"/>
          <w:sz w:val="22"/>
          <w:szCs w:val="22"/>
        </w:rPr>
        <w:footnoteReference w:id="51"/>
      </w:r>
      <w:r>
        <w:rPr>
          <w:rFonts w:ascii="Calibri" w:eastAsia="Open Sans" w:hAnsi="Calibri" w:cstheme="minorHAnsi"/>
          <w:color w:val="000000"/>
          <w:spacing w:val="-2"/>
          <w:sz w:val="22"/>
          <w:szCs w:val="22"/>
        </w:rPr>
        <w:t xml:space="preserve"> </w:t>
      </w:r>
      <w:r>
        <w:br w:type="page"/>
      </w:r>
    </w:p>
    <w:p w14:paraId="64124F8A" w14:textId="77777777" w:rsidR="007372B6" w:rsidRDefault="00000000">
      <w:pPr>
        <w:spacing w:after="160" w:line="312" w:lineRule="auto"/>
        <w:contextualSpacing/>
        <w:jc w:val="both"/>
        <w:rPr>
          <w:color w:val="0000FF"/>
        </w:rPr>
      </w:pPr>
      <w:r>
        <w:rPr>
          <w:rFonts w:asciiTheme="minorHAnsi" w:eastAsia="Open Sans" w:hAnsiTheme="minorHAnsi" w:cstheme="minorHAnsi"/>
          <w:b/>
          <w:bCs/>
          <w:color w:val="0000FF"/>
          <w:sz w:val="28"/>
          <w:szCs w:val="28"/>
        </w:rPr>
        <w:lastRenderedPageBreak/>
        <w:t>5.0</w:t>
      </w:r>
      <w:r>
        <w:rPr>
          <w:rFonts w:asciiTheme="minorHAnsi" w:eastAsia="Open Sans" w:hAnsiTheme="minorHAnsi" w:cstheme="minorHAnsi"/>
          <w:b/>
          <w:bCs/>
          <w:color w:val="0000FF"/>
          <w:sz w:val="28"/>
          <w:szCs w:val="28"/>
        </w:rPr>
        <w:tab/>
        <w:t>Main Findings, Conclusions, Recommendations &amp; Lessons</w:t>
      </w:r>
    </w:p>
    <w:p w14:paraId="2D823D12" w14:textId="77777777" w:rsidR="007372B6" w:rsidRDefault="007372B6">
      <w:pPr>
        <w:tabs>
          <w:tab w:val="left" w:pos="1620"/>
        </w:tabs>
        <w:rPr>
          <w:rFonts w:asciiTheme="minorHAnsi" w:hAnsiTheme="minorHAnsi" w:cstheme="minorHAnsi"/>
          <w:color w:val="000000"/>
          <w:sz w:val="22"/>
          <w:szCs w:val="22"/>
        </w:rPr>
      </w:pPr>
    </w:p>
    <w:p w14:paraId="786DB081" w14:textId="77777777" w:rsidR="007372B6" w:rsidRDefault="00000000">
      <w:pPr>
        <w:tabs>
          <w:tab w:val="left" w:pos="567"/>
          <w:tab w:val="left" w:pos="1620"/>
        </w:tabs>
        <w:rPr>
          <w:rFonts w:asciiTheme="minorHAnsi" w:hAnsiTheme="minorHAnsi" w:cstheme="minorHAnsi"/>
          <w:b/>
          <w:bCs/>
          <w:color w:val="000000"/>
          <w:sz w:val="22"/>
          <w:szCs w:val="22"/>
        </w:rPr>
      </w:pPr>
      <w:r>
        <w:rPr>
          <w:rFonts w:asciiTheme="minorHAnsi" w:hAnsiTheme="minorHAnsi" w:cstheme="minorHAnsi"/>
          <w:b/>
          <w:bCs/>
          <w:color w:val="000000"/>
          <w:sz w:val="22"/>
          <w:szCs w:val="22"/>
        </w:rPr>
        <w:t>5.1</w:t>
      </w:r>
      <w:r>
        <w:rPr>
          <w:rFonts w:asciiTheme="minorHAnsi" w:hAnsiTheme="minorHAnsi" w:cstheme="minorHAnsi"/>
          <w:b/>
          <w:bCs/>
          <w:color w:val="000000"/>
          <w:sz w:val="22"/>
          <w:szCs w:val="22"/>
        </w:rPr>
        <w:tab/>
        <w:t>Main Findings</w:t>
      </w:r>
    </w:p>
    <w:p w14:paraId="23194452" w14:textId="77777777" w:rsidR="007372B6" w:rsidRDefault="007372B6">
      <w:pPr>
        <w:tabs>
          <w:tab w:val="left" w:pos="567"/>
          <w:tab w:val="left" w:pos="1620"/>
        </w:tabs>
        <w:rPr>
          <w:rFonts w:asciiTheme="minorHAnsi" w:hAnsiTheme="minorHAnsi" w:cstheme="minorHAnsi"/>
          <w:color w:val="000000"/>
          <w:sz w:val="22"/>
          <w:szCs w:val="22"/>
        </w:rPr>
      </w:pPr>
    </w:p>
    <w:p w14:paraId="1B5EB038"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1. The project was designed to establish an integrated multi-sector approach to biodiversity conservation, carbon storage, financial sustainability and knowledge development and sharing, with a primary focus on six catchment areas. This was an ambitious task in the face of the many institutional and managerial barriers constraining integrated approaches to ridge to reef environmental strategies, and limited technical capacity at local levels, which were all compounded by restrictions under the Covid pandemic. The project achieved parts of all of the Outcomes except for Outcome 6 – strengthened governance for integrated natural resources management, although the lack of monitoring data leaves some uncertainty about output quality and sustainability</w:t>
      </w:r>
      <w:r>
        <w:rPr>
          <w:rFonts w:cstheme="minorHAnsi"/>
          <w:color w:val="000000"/>
        </w:rPr>
        <w:t xml:space="preserve"> </w:t>
      </w:r>
      <w:r>
        <w:rPr>
          <w:rFonts w:asciiTheme="minorHAnsi" w:hAnsiTheme="minorHAnsi" w:cstheme="minorHAnsi"/>
          <w:color w:val="000000"/>
          <w:sz w:val="22"/>
          <w:szCs w:val="22"/>
        </w:rPr>
        <w:t>in all of the project components. See Annex 3 for a summary of targets and results.</w:t>
      </w:r>
    </w:p>
    <w:p w14:paraId="1A9B1130"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49EF24CB"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2. At least 69% of the planned activities </w:t>
      </w:r>
      <w:r>
        <w:rPr>
          <w:rFonts w:ascii="Calibri" w:hAnsi="Calibri" w:cstheme="minorHAnsi"/>
          <w:color w:val="000000"/>
          <w:sz w:val="22"/>
          <w:szCs w:val="22"/>
        </w:rPr>
        <w:t xml:space="preserve">were completed </w:t>
      </w:r>
      <w:r>
        <w:rPr>
          <w:rFonts w:asciiTheme="minorHAnsi" w:hAnsiTheme="minorHAnsi" w:cstheme="minorHAnsi"/>
          <w:color w:val="000000"/>
          <w:sz w:val="22"/>
          <w:szCs w:val="22"/>
        </w:rPr>
        <w:t xml:space="preserve">by project end (June 30, 2022), and some elements for overall catchment management have been initiated involving upland land management and marine conservation with communities and government. The achievements broadly include expanded PAs with better biological baseline data, </w:t>
      </w:r>
      <w:r>
        <w:rPr>
          <w:rFonts w:ascii="Calibri" w:hAnsi="Calibri" w:cs="Calibri"/>
          <w:color w:val="000000"/>
          <w:sz w:val="22"/>
          <w:szCs w:val="22"/>
        </w:rPr>
        <w:t>new methods to reduce invasive species,</w:t>
      </w:r>
      <w:r>
        <w:rPr>
          <w:rFonts w:cstheme="minorHAnsi"/>
          <w:color w:val="000000"/>
        </w:rPr>
        <w:t xml:space="preserve"> </w:t>
      </w:r>
      <w:r>
        <w:rPr>
          <w:rFonts w:asciiTheme="minorHAnsi" w:hAnsiTheme="minorHAnsi" w:cstheme="minorHAnsi"/>
          <w:color w:val="000000"/>
          <w:sz w:val="22"/>
          <w:szCs w:val="22"/>
        </w:rPr>
        <w:t xml:space="preserve">community mobilization and establishment of Catchment Management Committees, alternative livelihoods introduced and reforestation and forest management improvements at various sites along with proposed national forestry regulation improvements. About three quarters of the reforestation target (1245 ha) was achieved (although quality is unknown). </w:t>
      </w:r>
    </w:p>
    <w:p w14:paraId="76636F16"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5FA99C0C"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3. The R2R operational framework has yet to be fully established as envisioned in the project design. This is mostly because the institutional and policy requirements for R2R cooperation and collaboration were never defined or addressed at the initial stages of the project, and the management structure was unable to provide sufficient coordination and active monitoring and field oversight of the various project activities. Too many of the implementation risks noted in the Project Document were encountered. Nevertheless, an initial process for catchment area planning has been developed and various conservation and forestry site activities have been implemented to assist in starting to address some of the issues. But the watershed-scale integrated strategies for jointly rehabilitating degraded catchment and marine areas and sustaining the results still remain to be established.</w:t>
      </w:r>
    </w:p>
    <w:p w14:paraId="08D45859"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554DF598"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4. The Terminal Evaluation found that lengthy delays in implementation and the incomplete outputs were due to a combination of poor project planning, coordination and administration, and Covid-related constraints to undertaking the work. Lack of technical capacity, high turnover of staff, bureaucratic administrative processes were also factors adversely affecting project implementation. The general view of participants is that the project was implemented in separate activity silos without an overall R2R concept or effective coordination functions. The project design and STAR focal area funding </w:t>
      </w:r>
      <w:r>
        <w:rPr>
          <w:rFonts w:asciiTheme="minorHAnsi" w:hAnsiTheme="minorHAnsi" w:cstheme="minorHAnsi"/>
          <w:color w:val="000000"/>
          <w:sz w:val="22"/>
          <w:szCs w:val="22"/>
        </w:rPr>
        <w:lastRenderedPageBreak/>
        <w:t xml:space="preserve">arrangement also affected this problem. Thematic (cross-sector) and geographic (upstream-downstream) integration were barely apparent. </w:t>
      </w:r>
    </w:p>
    <w:p w14:paraId="2AD3A8F4"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15055F3A"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5. The project has contributed to R2R environmental improvement in an incremental and unmeasured way through its many and varied activities. Integration between implementing partners and within cross sectoral issues was not a predominate feature of the project. Lack of follow-up independent inspection and response on the tree planting activities by the implementing partners appears to have been a deficiency, and there are uncertainties in communities about next steps for catchment area plans. The Fiji experience suggests that the R2R concept needs to be completely reviewed, and placed on a more structured operational foundation.</w:t>
      </w:r>
    </w:p>
    <w:p w14:paraId="0A22EB99"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78B4F08B" w14:textId="77777777" w:rsidR="007372B6" w:rsidRDefault="00000000">
      <w:pPr>
        <w:widowControl w:val="0"/>
        <w:tabs>
          <w:tab w:val="left" w:pos="1980"/>
        </w:tabs>
        <w:spacing w:after="113"/>
        <w:ind w:left="360"/>
        <w:jc w:val="center"/>
        <w:rPr>
          <w:rFonts w:ascii="Calibri" w:hAnsi="Calibri" w:cs="Calibri"/>
        </w:rPr>
      </w:pPr>
      <w:r>
        <w:rPr>
          <w:rFonts w:ascii="Calibri" w:eastAsia="Calibri" w:hAnsi="Calibri" w:cs="Calibri"/>
          <w:b/>
          <w:bCs/>
          <w:color w:val="000000"/>
          <w:spacing w:val="-2"/>
          <w:lang w:val="en-CA"/>
        </w:rPr>
        <w:t>Table 6: Evaluation Ratings Table for Fiji Ridge to Reef Project</w:t>
      </w:r>
    </w:p>
    <w:tbl>
      <w:tblPr>
        <w:tblW w:w="9069" w:type="dxa"/>
        <w:jc w:val="center"/>
        <w:tblLayout w:type="fixed"/>
        <w:tblLook w:val="04A0" w:firstRow="1" w:lastRow="0" w:firstColumn="1" w:lastColumn="0" w:noHBand="0" w:noVBand="1"/>
      </w:tblPr>
      <w:tblGrid>
        <w:gridCol w:w="2095"/>
        <w:gridCol w:w="962"/>
        <w:gridCol w:w="6012"/>
      </w:tblGrid>
      <w:tr w:rsidR="007372B6" w14:paraId="02B7A875" w14:textId="77777777">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7D0BE4" w14:textId="77777777" w:rsidR="007372B6" w:rsidRDefault="00000000">
            <w:pPr>
              <w:pStyle w:val="ListParagraph"/>
              <w:widowControl w:val="0"/>
              <w:ind w:left="340"/>
              <w:contextualSpacing w:val="0"/>
              <w:jc w:val="center"/>
            </w:pPr>
            <w:r>
              <w:rPr>
                <w:rFonts w:ascii="Calibri Light" w:eastAsia="Calibri" w:hAnsi="Calibri Light" w:cs="Calibri Light"/>
                <w:b/>
                <w:bCs/>
                <w:color w:val="000000"/>
                <w:sz w:val="22"/>
                <w:szCs w:val="22"/>
                <w:lang w:eastAsia="en-US"/>
              </w:rPr>
              <w:t>Criteria to be rated</w:t>
            </w:r>
          </w:p>
        </w:tc>
        <w:tc>
          <w:tcPr>
            <w:tcW w:w="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3E0C5B" w14:textId="77777777" w:rsidR="007372B6" w:rsidRDefault="00000000">
            <w:pPr>
              <w:widowControl w:val="0"/>
              <w:jc w:val="center"/>
            </w:pPr>
            <w:r>
              <w:rPr>
                <w:rFonts w:ascii="Calibri Light" w:eastAsia="Calibri" w:hAnsi="Calibri Light" w:cs="Calibri Light"/>
                <w:b/>
                <w:bCs/>
                <w:color w:val="000000"/>
                <w:sz w:val="22"/>
                <w:szCs w:val="22"/>
                <w:lang w:eastAsia="en-US"/>
              </w:rPr>
              <w:t>Rating</w:t>
            </w:r>
            <w:r>
              <w:rPr>
                <w:rStyle w:val="FootnoteAnchor"/>
                <w:rFonts w:ascii="Calibri Light" w:eastAsia="Calibri" w:hAnsi="Calibri Light" w:cs="Calibri Light"/>
                <w:color w:val="000000"/>
                <w:sz w:val="22"/>
                <w:szCs w:val="22"/>
                <w:lang w:eastAsia="en-US"/>
              </w:rPr>
              <w:footnoteReference w:id="52"/>
            </w:r>
          </w:p>
        </w:tc>
        <w:tc>
          <w:tcPr>
            <w:tcW w:w="60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6CF9CB" w14:textId="77777777" w:rsidR="007372B6" w:rsidRDefault="00000000">
            <w:pPr>
              <w:widowControl w:val="0"/>
              <w:jc w:val="center"/>
            </w:pPr>
            <w:r>
              <w:rPr>
                <w:rFonts w:ascii="Calibri Light" w:eastAsia="Calibri" w:hAnsi="Calibri Light" w:cs="Calibri Light"/>
                <w:b/>
                <w:bCs/>
                <w:color w:val="000000"/>
                <w:sz w:val="22"/>
                <w:szCs w:val="22"/>
                <w:lang w:eastAsia="en-US"/>
              </w:rPr>
              <w:t>Reasons for rating</w:t>
            </w:r>
          </w:p>
        </w:tc>
      </w:tr>
      <w:tr w:rsidR="007372B6" w14:paraId="21075677" w14:textId="77777777">
        <w:trPr>
          <w:jc w:val="center"/>
        </w:trPr>
        <w:tc>
          <w:tcPr>
            <w:tcW w:w="3057" w:type="dxa"/>
            <w:gridSpan w:val="2"/>
            <w:tcBorders>
              <w:top w:val="single" w:sz="4" w:space="0" w:color="000000"/>
              <w:left w:val="single" w:sz="4" w:space="0" w:color="000000"/>
              <w:bottom w:val="single" w:sz="4" w:space="0" w:color="000000"/>
              <w:right w:val="single" w:sz="4" w:space="0" w:color="000000"/>
            </w:tcBorders>
            <w:shd w:val="clear" w:color="auto" w:fill="E6E6FF"/>
          </w:tcPr>
          <w:p w14:paraId="5AC63D76" w14:textId="77777777" w:rsidR="007372B6" w:rsidRDefault="00000000">
            <w:pPr>
              <w:pStyle w:val="ListParagraph"/>
              <w:widowControl w:val="0"/>
              <w:ind w:left="340"/>
              <w:contextualSpacing w:val="0"/>
              <w:jc w:val="both"/>
              <w:rPr>
                <w:b/>
                <w:bCs/>
                <w:sz w:val="20"/>
                <w:szCs w:val="20"/>
              </w:rPr>
            </w:pPr>
            <w:r>
              <w:rPr>
                <w:rFonts w:ascii="Calibri Light" w:eastAsia="Calibri" w:hAnsi="Calibri Light" w:cs="Calibri Light"/>
                <w:b/>
                <w:bCs/>
                <w:color w:val="000000"/>
                <w:sz w:val="20"/>
                <w:szCs w:val="20"/>
                <w:lang w:eastAsia="en-US"/>
              </w:rPr>
              <w:t>Monitoring &amp; Evaluation</w:t>
            </w:r>
          </w:p>
        </w:tc>
        <w:tc>
          <w:tcPr>
            <w:tcW w:w="6012" w:type="dxa"/>
            <w:tcBorders>
              <w:top w:val="single" w:sz="4" w:space="0" w:color="000000"/>
              <w:left w:val="single" w:sz="4" w:space="0" w:color="000000"/>
              <w:bottom w:val="single" w:sz="4" w:space="0" w:color="000000"/>
              <w:right w:val="single" w:sz="4" w:space="0" w:color="000000"/>
            </w:tcBorders>
            <w:shd w:val="clear" w:color="auto" w:fill="E6E6FF"/>
          </w:tcPr>
          <w:p w14:paraId="0230B11D" w14:textId="77777777" w:rsidR="007372B6" w:rsidRDefault="007372B6">
            <w:pPr>
              <w:widowControl w:val="0"/>
              <w:jc w:val="center"/>
              <w:rPr>
                <w:rFonts w:ascii="Calibri Light" w:eastAsia="Calibri" w:hAnsi="Calibri Light" w:cs="Calibri Light"/>
                <w:color w:val="000000"/>
                <w:sz w:val="20"/>
                <w:szCs w:val="20"/>
                <w:lang w:eastAsia="en-US"/>
              </w:rPr>
            </w:pPr>
          </w:p>
        </w:tc>
      </w:tr>
      <w:tr w:rsidR="007372B6" w14:paraId="53189109"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318CDE2A"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M&amp;E design at entry</w:t>
            </w:r>
          </w:p>
        </w:tc>
        <w:tc>
          <w:tcPr>
            <w:tcW w:w="962" w:type="dxa"/>
            <w:tcBorders>
              <w:top w:val="single" w:sz="4" w:space="0" w:color="000000"/>
              <w:left w:val="single" w:sz="4" w:space="0" w:color="000000"/>
              <w:bottom w:val="single" w:sz="4" w:space="0" w:color="000000"/>
              <w:right w:val="single" w:sz="4" w:space="0" w:color="000000"/>
            </w:tcBorders>
          </w:tcPr>
          <w:p w14:paraId="0433ADF4"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12" w:type="dxa"/>
            <w:tcBorders>
              <w:top w:val="single" w:sz="4" w:space="0" w:color="000000"/>
              <w:left w:val="single" w:sz="4" w:space="0" w:color="000000"/>
              <w:bottom w:val="single" w:sz="4" w:space="0" w:color="000000"/>
              <w:right w:val="single" w:sz="4" w:space="0" w:color="000000"/>
            </w:tcBorders>
          </w:tcPr>
          <w:p w14:paraId="4DA52210"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 xml:space="preserve">No distinct monitoring </w:t>
            </w:r>
            <w:proofErr w:type="gramStart"/>
            <w:r>
              <w:rPr>
                <w:rFonts w:ascii="Calibri Light" w:eastAsia="Calibri" w:hAnsi="Calibri Light" w:cs="Calibri Light"/>
                <w:color w:val="000000"/>
                <w:sz w:val="20"/>
                <w:szCs w:val="20"/>
                <w:lang w:eastAsia="en-US"/>
              </w:rPr>
              <w:t>plan</w:t>
            </w:r>
            <w:proofErr w:type="gramEnd"/>
            <w:r>
              <w:rPr>
                <w:rFonts w:ascii="Calibri Light" w:eastAsia="Calibri" w:hAnsi="Calibri Light" w:cs="Calibri Light"/>
                <w:color w:val="000000"/>
                <w:sz w:val="20"/>
                <w:szCs w:val="20"/>
                <w:lang w:eastAsia="en-US"/>
              </w:rPr>
              <w:t>. Indicators not sufficiently operational (e.g., PA management effectiveness). Project scope and locations complicates the wide set of monitoring tasks. No assessment of capacity or instructions for implementing a monitoring system.</w:t>
            </w:r>
          </w:p>
        </w:tc>
      </w:tr>
      <w:tr w:rsidR="007372B6" w14:paraId="1360F159"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7080DC36"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M&amp;E Plan Implementation</w:t>
            </w:r>
          </w:p>
        </w:tc>
        <w:tc>
          <w:tcPr>
            <w:tcW w:w="962" w:type="dxa"/>
            <w:tcBorders>
              <w:top w:val="single" w:sz="4" w:space="0" w:color="000000"/>
              <w:left w:val="single" w:sz="4" w:space="0" w:color="000000"/>
              <w:bottom w:val="single" w:sz="4" w:space="0" w:color="000000"/>
              <w:right w:val="single" w:sz="4" w:space="0" w:color="000000"/>
            </w:tcBorders>
          </w:tcPr>
          <w:p w14:paraId="1A8CEA92"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U</w:t>
            </w:r>
          </w:p>
        </w:tc>
        <w:tc>
          <w:tcPr>
            <w:tcW w:w="6012" w:type="dxa"/>
            <w:tcBorders>
              <w:top w:val="single" w:sz="4" w:space="0" w:color="000000"/>
              <w:left w:val="single" w:sz="4" w:space="0" w:color="000000"/>
              <w:bottom w:val="single" w:sz="4" w:space="0" w:color="000000"/>
              <w:right w:val="single" w:sz="4" w:space="0" w:color="000000"/>
            </w:tcBorders>
          </w:tcPr>
          <w:p w14:paraId="2B0FACB2"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No dedicated monitoring officer with capacity to track and report on progress. GEF tracking tools not updated. No coordinated approach the limited monitoring and reporting functions. Significant results monitoring data not available.</w:t>
            </w:r>
          </w:p>
        </w:tc>
      </w:tr>
      <w:tr w:rsidR="007372B6" w14:paraId="35489984" w14:textId="77777777">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179E28"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Overall Quality of M&amp;E</w:t>
            </w:r>
          </w:p>
        </w:tc>
        <w:tc>
          <w:tcPr>
            <w:tcW w:w="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B0832"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U</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1651B0"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Annual PIR reporting based on activities completed. Insufficient progress data relative to expected outcomes. No quantitative database to evaluate before and after project (e.g., PA area expansion, rehabilitated forests and grasslands).</w:t>
            </w:r>
          </w:p>
        </w:tc>
      </w:tr>
      <w:tr w:rsidR="007372B6" w14:paraId="25258199" w14:textId="77777777">
        <w:trPr>
          <w:jc w:val="center"/>
        </w:trPr>
        <w:tc>
          <w:tcPr>
            <w:tcW w:w="3057" w:type="dxa"/>
            <w:gridSpan w:val="2"/>
            <w:tcBorders>
              <w:top w:val="single" w:sz="4" w:space="0" w:color="000000"/>
              <w:left w:val="single" w:sz="4" w:space="0" w:color="000000"/>
              <w:bottom w:val="single" w:sz="4" w:space="0" w:color="000000"/>
              <w:right w:val="single" w:sz="4" w:space="0" w:color="000000"/>
            </w:tcBorders>
            <w:shd w:val="clear" w:color="auto" w:fill="E6E6FF"/>
          </w:tcPr>
          <w:p w14:paraId="3D3628DB" w14:textId="77777777" w:rsidR="007372B6" w:rsidRDefault="00000000">
            <w:pPr>
              <w:pStyle w:val="ListParagraph"/>
              <w:widowControl w:val="0"/>
              <w:ind w:left="340"/>
              <w:contextualSpacing w:val="0"/>
              <w:jc w:val="both"/>
              <w:rPr>
                <w:b/>
                <w:bCs/>
                <w:sz w:val="20"/>
                <w:szCs w:val="20"/>
              </w:rPr>
            </w:pPr>
            <w:r>
              <w:rPr>
                <w:rFonts w:ascii="Calibri Light" w:eastAsia="Calibri" w:hAnsi="Calibri Light" w:cs="Calibri Light"/>
                <w:b/>
                <w:bCs/>
                <w:color w:val="000000"/>
                <w:sz w:val="20"/>
                <w:szCs w:val="20"/>
                <w:lang w:eastAsia="en-US"/>
              </w:rPr>
              <w:t>Implementation &amp; Execution</w:t>
            </w:r>
          </w:p>
        </w:tc>
        <w:tc>
          <w:tcPr>
            <w:tcW w:w="6012" w:type="dxa"/>
            <w:tcBorders>
              <w:top w:val="single" w:sz="4" w:space="0" w:color="000000"/>
              <w:left w:val="single" w:sz="4" w:space="0" w:color="000000"/>
              <w:bottom w:val="single" w:sz="4" w:space="0" w:color="000000"/>
              <w:right w:val="single" w:sz="4" w:space="0" w:color="000000"/>
            </w:tcBorders>
            <w:shd w:val="clear" w:color="auto" w:fill="E6E6FF"/>
          </w:tcPr>
          <w:p w14:paraId="61CA3379" w14:textId="77777777" w:rsidR="007372B6" w:rsidRDefault="007372B6">
            <w:pPr>
              <w:widowControl w:val="0"/>
              <w:jc w:val="both"/>
              <w:rPr>
                <w:rFonts w:ascii="Calibri Light" w:eastAsia="Calibri" w:hAnsi="Calibri Light" w:cs="Calibri Light"/>
                <w:color w:val="000000"/>
                <w:sz w:val="20"/>
                <w:szCs w:val="20"/>
                <w:lang w:eastAsia="en-US"/>
              </w:rPr>
            </w:pPr>
          </w:p>
        </w:tc>
      </w:tr>
      <w:tr w:rsidR="007372B6" w14:paraId="0106B558"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2AE99FDA" w14:textId="77777777" w:rsidR="007372B6" w:rsidRDefault="00000000">
            <w:pPr>
              <w:widowControl w:val="0"/>
              <w:ind w:left="318"/>
              <w:rPr>
                <w:sz w:val="20"/>
                <w:szCs w:val="20"/>
              </w:rPr>
            </w:pPr>
            <w:r>
              <w:rPr>
                <w:rFonts w:ascii="Calibri Light" w:eastAsia="Calibri" w:hAnsi="Calibri Light" w:cs="Calibri Light"/>
                <w:color w:val="000000"/>
                <w:sz w:val="20"/>
                <w:szCs w:val="20"/>
                <w:lang w:eastAsia="en-US"/>
              </w:rPr>
              <w:t>Quality of UNDP Implementation/ Oversight</w:t>
            </w:r>
          </w:p>
        </w:tc>
        <w:tc>
          <w:tcPr>
            <w:tcW w:w="962" w:type="dxa"/>
            <w:tcBorders>
              <w:top w:val="single" w:sz="4" w:space="0" w:color="000000"/>
              <w:left w:val="single" w:sz="4" w:space="0" w:color="000000"/>
              <w:bottom w:val="single" w:sz="4" w:space="0" w:color="000000"/>
              <w:right w:val="single" w:sz="4" w:space="0" w:color="000000"/>
            </w:tcBorders>
          </w:tcPr>
          <w:p w14:paraId="5FA63CCB"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12" w:type="dxa"/>
            <w:tcBorders>
              <w:top w:val="single" w:sz="4" w:space="0" w:color="000000"/>
              <w:left w:val="single" w:sz="4" w:space="0" w:color="000000"/>
              <w:bottom w:val="single" w:sz="4" w:space="0" w:color="000000"/>
              <w:right w:val="single" w:sz="4" w:space="0" w:color="000000"/>
            </w:tcBorders>
          </w:tcPr>
          <w:p w14:paraId="07772658"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Unable to expedite project delivery with government after initial long delays and Covid-related disruptions. Poor monitoring and reporting system. MTR recommendations not fully addressed.</w:t>
            </w:r>
          </w:p>
        </w:tc>
      </w:tr>
      <w:tr w:rsidR="007372B6" w14:paraId="19D955EA"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7967AD5C"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Quality of Implementing Partner Execution</w:t>
            </w:r>
          </w:p>
        </w:tc>
        <w:tc>
          <w:tcPr>
            <w:tcW w:w="962" w:type="dxa"/>
            <w:tcBorders>
              <w:top w:val="single" w:sz="4" w:space="0" w:color="000000"/>
              <w:left w:val="single" w:sz="4" w:space="0" w:color="000000"/>
              <w:bottom w:val="single" w:sz="4" w:space="0" w:color="000000"/>
              <w:right w:val="single" w:sz="4" w:space="0" w:color="000000"/>
            </w:tcBorders>
          </w:tcPr>
          <w:p w14:paraId="19728BB3"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MS</w:t>
            </w:r>
          </w:p>
        </w:tc>
        <w:tc>
          <w:tcPr>
            <w:tcW w:w="6012" w:type="dxa"/>
            <w:tcBorders>
              <w:top w:val="single" w:sz="4" w:space="0" w:color="000000"/>
              <w:left w:val="single" w:sz="4" w:space="0" w:color="000000"/>
              <w:bottom w:val="single" w:sz="4" w:space="0" w:color="000000"/>
              <w:right w:val="single" w:sz="4" w:space="0" w:color="000000"/>
            </w:tcBorders>
          </w:tcPr>
          <w:p w14:paraId="5A6618FC"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Completed biological surveys and studies and catchment area plans and initiated community engagement, along with minor livelihoods development. Limited linkages between IPs and no overall integrated R2R strategies developed.</w:t>
            </w:r>
          </w:p>
        </w:tc>
      </w:tr>
      <w:tr w:rsidR="007372B6" w14:paraId="0063BD1C" w14:textId="77777777">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C1A7BB"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Overall quality of Implementation/ Execution</w:t>
            </w:r>
          </w:p>
        </w:tc>
        <w:tc>
          <w:tcPr>
            <w:tcW w:w="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4C93D7"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D06FF4"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 xml:space="preserve">Significant coordination and communication issues and major delays leading to underachievement of targets. Confusion over roles and responsibilities in managing and reporting on activities and results. Inexperienced project management staff. Better progress where IPs had previous relationships and programs in the catchment areas. Covid </w:t>
            </w:r>
            <w:proofErr w:type="gramStart"/>
            <w:r>
              <w:rPr>
                <w:rFonts w:ascii="Calibri Light" w:eastAsia="Calibri" w:hAnsi="Calibri Light" w:cs="Calibri Light"/>
                <w:color w:val="000000"/>
                <w:sz w:val="20"/>
                <w:szCs w:val="20"/>
                <w:lang w:eastAsia="en-US"/>
              </w:rPr>
              <w:t>restrictions imposed</w:t>
            </w:r>
            <w:proofErr w:type="gramEnd"/>
            <w:r>
              <w:rPr>
                <w:rFonts w:ascii="Calibri Light" w:eastAsia="Calibri" w:hAnsi="Calibri Light" w:cs="Calibri Light"/>
                <w:color w:val="000000"/>
                <w:sz w:val="20"/>
                <w:szCs w:val="20"/>
                <w:lang w:eastAsia="en-US"/>
              </w:rPr>
              <w:t xml:space="preserve"> implementation constraints.</w:t>
            </w:r>
          </w:p>
        </w:tc>
      </w:tr>
      <w:tr w:rsidR="007372B6" w14:paraId="240B845C" w14:textId="77777777">
        <w:trPr>
          <w:jc w:val="center"/>
        </w:trPr>
        <w:tc>
          <w:tcPr>
            <w:tcW w:w="3057" w:type="dxa"/>
            <w:gridSpan w:val="2"/>
            <w:tcBorders>
              <w:top w:val="single" w:sz="4" w:space="0" w:color="000000"/>
              <w:left w:val="single" w:sz="4" w:space="0" w:color="000000"/>
              <w:bottom w:val="single" w:sz="4" w:space="0" w:color="000000"/>
              <w:right w:val="single" w:sz="4" w:space="0" w:color="000000"/>
            </w:tcBorders>
            <w:shd w:val="clear" w:color="auto" w:fill="E6E6FF"/>
          </w:tcPr>
          <w:p w14:paraId="0D5A8A01" w14:textId="77777777" w:rsidR="007372B6" w:rsidRDefault="00000000">
            <w:pPr>
              <w:pStyle w:val="ListParagraph"/>
              <w:widowControl w:val="0"/>
              <w:ind w:left="340"/>
              <w:contextualSpacing w:val="0"/>
              <w:jc w:val="both"/>
              <w:rPr>
                <w:b/>
                <w:bCs/>
                <w:sz w:val="20"/>
                <w:szCs w:val="20"/>
              </w:rPr>
            </w:pPr>
            <w:r>
              <w:rPr>
                <w:rFonts w:ascii="Calibri Light" w:eastAsia="Calibri" w:hAnsi="Calibri Light" w:cs="Calibri Light"/>
                <w:b/>
                <w:bCs/>
                <w:color w:val="000000"/>
                <w:sz w:val="20"/>
                <w:szCs w:val="20"/>
                <w:lang w:eastAsia="en-US"/>
              </w:rPr>
              <w:t>Assessment of Outcomes</w:t>
            </w:r>
          </w:p>
        </w:tc>
        <w:tc>
          <w:tcPr>
            <w:tcW w:w="6012" w:type="dxa"/>
            <w:tcBorders>
              <w:top w:val="single" w:sz="4" w:space="0" w:color="000000"/>
              <w:left w:val="single" w:sz="4" w:space="0" w:color="000000"/>
              <w:bottom w:val="single" w:sz="4" w:space="0" w:color="000000"/>
              <w:right w:val="single" w:sz="4" w:space="0" w:color="000000"/>
            </w:tcBorders>
            <w:shd w:val="clear" w:color="auto" w:fill="E6E6FF"/>
          </w:tcPr>
          <w:p w14:paraId="656D0FFF" w14:textId="77777777" w:rsidR="007372B6" w:rsidRDefault="007372B6">
            <w:pPr>
              <w:widowControl w:val="0"/>
              <w:jc w:val="both"/>
              <w:rPr>
                <w:rFonts w:ascii="Calibri Light" w:eastAsia="Calibri" w:hAnsi="Calibri Light" w:cs="Calibri Light"/>
                <w:color w:val="000000"/>
                <w:sz w:val="20"/>
                <w:szCs w:val="20"/>
                <w:lang w:eastAsia="en-US"/>
              </w:rPr>
            </w:pPr>
          </w:p>
        </w:tc>
      </w:tr>
      <w:tr w:rsidR="007372B6" w14:paraId="7A95B1EF"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68E1777D"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Relevance</w:t>
            </w:r>
          </w:p>
        </w:tc>
        <w:tc>
          <w:tcPr>
            <w:tcW w:w="962" w:type="dxa"/>
            <w:tcBorders>
              <w:top w:val="single" w:sz="4" w:space="0" w:color="000000"/>
              <w:left w:val="single" w:sz="4" w:space="0" w:color="000000"/>
              <w:bottom w:val="single" w:sz="4" w:space="0" w:color="000000"/>
              <w:right w:val="single" w:sz="4" w:space="0" w:color="000000"/>
            </w:tcBorders>
          </w:tcPr>
          <w:p w14:paraId="2CB1EDD9"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MS</w:t>
            </w:r>
          </w:p>
        </w:tc>
        <w:tc>
          <w:tcPr>
            <w:tcW w:w="6012" w:type="dxa"/>
            <w:tcBorders>
              <w:top w:val="single" w:sz="4" w:space="0" w:color="000000"/>
              <w:left w:val="single" w:sz="4" w:space="0" w:color="000000"/>
              <w:bottom w:val="single" w:sz="4" w:space="0" w:color="000000"/>
              <w:right w:val="single" w:sz="4" w:space="0" w:color="000000"/>
            </w:tcBorders>
          </w:tcPr>
          <w:p w14:paraId="40FE65D7"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 xml:space="preserve">Project addresses key priorities in the catchment areas and is aligned with national and GEF objectives and programs. The importance of hydrological and SLM in affecting watershed-wide environmental and conservation issues (e.g., flooding, sedimentation) not fully recognized </w:t>
            </w:r>
            <w:r>
              <w:rPr>
                <w:rFonts w:ascii="Calibri Light" w:eastAsia="Calibri" w:hAnsi="Calibri Light" w:cs="Calibri Light"/>
                <w:color w:val="000000"/>
                <w:sz w:val="20"/>
                <w:szCs w:val="20"/>
                <w:lang w:eastAsia="en-US"/>
              </w:rPr>
              <w:lastRenderedPageBreak/>
              <w:t>due to an emphasis on biodiversity and forestry interests, and absence of a broad R2R strategy.</w:t>
            </w:r>
          </w:p>
        </w:tc>
      </w:tr>
      <w:tr w:rsidR="007372B6" w14:paraId="0AEF4566"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5BD80CF1"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Effectiveness</w:t>
            </w:r>
          </w:p>
        </w:tc>
        <w:tc>
          <w:tcPr>
            <w:tcW w:w="962" w:type="dxa"/>
            <w:tcBorders>
              <w:top w:val="single" w:sz="4" w:space="0" w:color="000000"/>
              <w:left w:val="single" w:sz="4" w:space="0" w:color="000000"/>
              <w:bottom w:val="single" w:sz="4" w:space="0" w:color="000000"/>
              <w:right w:val="single" w:sz="4" w:space="0" w:color="000000"/>
            </w:tcBorders>
          </w:tcPr>
          <w:p w14:paraId="0A7561C8"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12" w:type="dxa"/>
            <w:tcBorders>
              <w:top w:val="single" w:sz="4" w:space="0" w:color="000000"/>
              <w:left w:val="single" w:sz="4" w:space="0" w:color="000000"/>
              <w:bottom w:val="single" w:sz="4" w:space="0" w:color="000000"/>
              <w:right w:val="single" w:sz="4" w:space="0" w:color="000000"/>
            </w:tcBorders>
          </w:tcPr>
          <w:p w14:paraId="5434DC2B"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69% of activities completed (June 2022); PA targets not met; management effectiveness marginally enhanced with biological surveys but capacity gaps unknown; no real progress on PA financing. 5 of 6 catchment plans completed. Communities partially mobilized. 76% reforestation targeted hectares achieved (but no data on quality). Policy development and PA financing not achieved.</w:t>
            </w:r>
          </w:p>
        </w:tc>
      </w:tr>
      <w:tr w:rsidR="007372B6" w14:paraId="578D8AAA"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1846237D"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Efficiency</w:t>
            </w:r>
          </w:p>
        </w:tc>
        <w:tc>
          <w:tcPr>
            <w:tcW w:w="962" w:type="dxa"/>
            <w:tcBorders>
              <w:top w:val="single" w:sz="4" w:space="0" w:color="000000"/>
              <w:left w:val="single" w:sz="4" w:space="0" w:color="000000"/>
              <w:bottom w:val="single" w:sz="4" w:space="0" w:color="000000"/>
              <w:right w:val="single" w:sz="4" w:space="0" w:color="000000"/>
            </w:tcBorders>
          </w:tcPr>
          <w:p w14:paraId="55CC262F"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U</w:t>
            </w:r>
          </w:p>
        </w:tc>
        <w:tc>
          <w:tcPr>
            <w:tcW w:w="6012" w:type="dxa"/>
            <w:tcBorders>
              <w:top w:val="single" w:sz="4" w:space="0" w:color="000000"/>
              <w:left w:val="single" w:sz="4" w:space="0" w:color="000000"/>
              <w:bottom w:val="single" w:sz="4" w:space="0" w:color="000000"/>
              <w:right w:val="single" w:sz="4" w:space="0" w:color="000000"/>
            </w:tcBorders>
          </w:tcPr>
          <w:p w14:paraId="13E1C69F"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Major implementation delays. Costs are high relative to outputs produced.  Some plantation failures leading to added costs. Inefficiencies in advance payment approvals and issuance, creating IP activity scheduling and delivery problems.</w:t>
            </w:r>
          </w:p>
        </w:tc>
      </w:tr>
      <w:tr w:rsidR="007372B6" w14:paraId="6AD00BE6" w14:textId="77777777">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D91D8"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Overall Project Outcome Rating</w:t>
            </w:r>
          </w:p>
        </w:tc>
        <w:tc>
          <w:tcPr>
            <w:tcW w:w="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A0EF7F"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10C7DC"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Outcomes only partially achieved (e.g., PA management effectiveness improvement, sustainable forestry market mechanisms not achieved), little progress on Outcome 2 (PA finance) and Outcome 6 (policy development) abandoned in favour of reforestation. R2R integrated management approach not established.</w:t>
            </w:r>
          </w:p>
        </w:tc>
      </w:tr>
      <w:tr w:rsidR="007372B6" w14:paraId="6C975EC3" w14:textId="77777777">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E6E6FF"/>
          </w:tcPr>
          <w:p w14:paraId="4A65739C" w14:textId="77777777" w:rsidR="007372B6" w:rsidRDefault="00000000">
            <w:pPr>
              <w:pStyle w:val="ListParagraph"/>
              <w:widowControl w:val="0"/>
              <w:ind w:left="340"/>
              <w:contextualSpacing w:val="0"/>
              <w:jc w:val="both"/>
              <w:rPr>
                <w:b/>
                <w:bCs/>
                <w:sz w:val="20"/>
                <w:szCs w:val="20"/>
              </w:rPr>
            </w:pPr>
            <w:r>
              <w:rPr>
                <w:rFonts w:ascii="Calibri Light" w:eastAsia="Calibri" w:hAnsi="Calibri Light" w:cs="Calibri Light"/>
                <w:b/>
                <w:bCs/>
                <w:color w:val="000000"/>
                <w:sz w:val="20"/>
                <w:szCs w:val="20"/>
                <w:lang w:eastAsia="en-US"/>
              </w:rPr>
              <w:t>Sustainability</w:t>
            </w:r>
          </w:p>
        </w:tc>
        <w:tc>
          <w:tcPr>
            <w:tcW w:w="962" w:type="dxa"/>
            <w:tcBorders>
              <w:top w:val="single" w:sz="4" w:space="0" w:color="000000"/>
              <w:left w:val="single" w:sz="4" w:space="0" w:color="000000"/>
              <w:bottom w:val="single" w:sz="4" w:space="0" w:color="000000"/>
              <w:right w:val="single" w:sz="4" w:space="0" w:color="000000"/>
            </w:tcBorders>
            <w:shd w:val="clear" w:color="auto" w:fill="E6E6FF"/>
          </w:tcPr>
          <w:p w14:paraId="311107A8" w14:textId="77777777" w:rsidR="007372B6" w:rsidRDefault="007372B6">
            <w:pPr>
              <w:widowControl w:val="0"/>
              <w:jc w:val="center"/>
              <w:rPr>
                <w:rFonts w:ascii="Calibri Light" w:eastAsia="Calibri" w:hAnsi="Calibri Light" w:cs="Calibri Light"/>
                <w:color w:val="000000"/>
                <w:sz w:val="20"/>
                <w:szCs w:val="20"/>
                <w:lang w:eastAsia="en-US"/>
              </w:rPr>
            </w:pPr>
          </w:p>
        </w:tc>
        <w:tc>
          <w:tcPr>
            <w:tcW w:w="6012" w:type="dxa"/>
            <w:tcBorders>
              <w:top w:val="single" w:sz="4" w:space="0" w:color="000000"/>
              <w:left w:val="single" w:sz="4" w:space="0" w:color="000000"/>
              <w:bottom w:val="single" w:sz="4" w:space="0" w:color="000000"/>
              <w:right w:val="single" w:sz="4" w:space="0" w:color="000000"/>
            </w:tcBorders>
            <w:shd w:val="clear" w:color="auto" w:fill="E6E6FF"/>
          </w:tcPr>
          <w:p w14:paraId="755F85A7" w14:textId="77777777" w:rsidR="007372B6" w:rsidRDefault="007372B6">
            <w:pPr>
              <w:widowControl w:val="0"/>
              <w:jc w:val="both"/>
              <w:rPr>
                <w:rFonts w:ascii="Calibri Light" w:eastAsia="Calibri" w:hAnsi="Calibri Light" w:cs="Calibri Light"/>
                <w:color w:val="000000"/>
                <w:sz w:val="20"/>
                <w:szCs w:val="20"/>
                <w:lang w:eastAsia="en-US"/>
              </w:rPr>
            </w:pPr>
          </w:p>
        </w:tc>
      </w:tr>
      <w:tr w:rsidR="007372B6" w14:paraId="52FDE4CC"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061B4BDD"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Financial resources</w:t>
            </w:r>
          </w:p>
        </w:tc>
        <w:tc>
          <w:tcPr>
            <w:tcW w:w="962" w:type="dxa"/>
            <w:tcBorders>
              <w:top w:val="single" w:sz="4" w:space="0" w:color="000000"/>
              <w:left w:val="single" w:sz="4" w:space="0" w:color="000000"/>
              <w:bottom w:val="single" w:sz="4" w:space="0" w:color="000000"/>
              <w:right w:val="single" w:sz="4" w:space="0" w:color="000000"/>
            </w:tcBorders>
          </w:tcPr>
          <w:p w14:paraId="603A1BD9"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12" w:type="dxa"/>
            <w:tcBorders>
              <w:top w:val="single" w:sz="4" w:space="0" w:color="000000"/>
              <w:left w:val="single" w:sz="4" w:space="0" w:color="000000"/>
              <w:bottom w:val="single" w:sz="4" w:space="0" w:color="000000"/>
              <w:right w:val="single" w:sz="4" w:space="0" w:color="000000"/>
            </w:tcBorders>
          </w:tcPr>
          <w:p w14:paraId="304B475F"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No PA financing measures. Some livelihoods may be financially viable. Uncertainties about resources to continue with catchment area plans implementation.</w:t>
            </w:r>
          </w:p>
        </w:tc>
      </w:tr>
      <w:tr w:rsidR="007372B6" w14:paraId="006E1206"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713F456A"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Socio-political/economic</w:t>
            </w:r>
          </w:p>
        </w:tc>
        <w:tc>
          <w:tcPr>
            <w:tcW w:w="962" w:type="dxa"/>
            <w:tcBorders>
              <w:top w:val="single" w:sz="4" w:space="0" w:color="000000"/>
              <w:left w:val="single" w:sz="4" w:space="0" w:color="000000"/>
              <w:bottom w:val="single" w:sz="4" w:space="0" w:color="000000"/>
              <w:right w:val="single" w:sz="4" w:space="0" w:color="000000"/>
            </w:tcBorders>
          </w:tcPr>
          <w:p w14:paraId="2356F583"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ML</w:t>
            </w:r>
          </w:p>
        </w:tc>
        <w:tc>
          <w:tcPr>
            <w:tcW w:w="6012" w:type="dxa"/>
            <w:tcBorders>
              <w:top w:val="single" w:sz="4" w:space="0" w:color="000000"/>
              <w:left w:val="single" w:sz="4" w:space="0" w:color="000000"/>
              <w:bottom w:val="single" w:sz="4" w:space="0" w:color="000000"/>
              <w:right w:val="single" w:sz="4" w:space="0" w:color="000000"/>
            </w:tcBorders>
          </w:tcPr>
          <w:p w14:paraId="5A155BC2"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Communities in 5 catchments have been oriented and mobilized for catchment rehabilitation activities. But leadership is variable, capacity is limited and the committees are generally uncertain about next steps.</w:t>
            </w:r>
          </w:p>
        </w:tc>
      </w:tr>
      <w:tr w:rsidR="007372B6" w14:paraId="3EF437E5"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19B61CEA"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Institutional framework and governance</w:t>
            </w:r>
          </w:p>
        </w:tc>
        <w:tc>
          <w:tcPr>
            <w:tcW w:w="962" w:type="dxa"/>
            <w:tcBorders>
              <w:top w:val="single" w:sz="4" w:space="0" w:color="000000"/>
              <w:left w:val="single" w:sz="4" w:space="0" w:color="000000"/>
              <w:bottom w:val="single" w:sz="4" w:space="0" w:color="000000"/>
              <w:right w:val="single" w:sz="4" w:space="0" w:color="000000"/>
            </w:tcBorders>
          </w:tcPr>
          <w:p w14:paraId="7A800157"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12" w:type="dxa"/>
            <w:tcBorders>
              <w:top w:val="single" w:sz="4" w:space="0" w:color="000000"/>
              <w:left w:val="single" w:sz="4" w:space="0" w:color="000000"/>
              <w:bottom w:val="single" w:sz="4" w:space="0" w:color="000000"/>
              <w:right w:val="single" w:sz="4" w:space="0" w:color="000000"/>
            </w:tcBorders>
          </w:tcPr>
          <w:p w14:paraId="1BC06520" w14:textId="77777777" w:rsidR="007372B6" w:rsidRDefault="00000000">
            <w:pPr>
              <w:widowControl w:val="0"/>
              <w:snapToGrid w:val="0"/>
              <w:jc w:val="both"/>
              <w:rPr>
                <w:sz w:val="20"/>
                <w:szCs w:val="20"/>
              </w:rPr>
            </w:pPr>
            <w:r>
              <w:rPr>
                <w:rFonts w:ascii="Calibri Light" w:eastAsia="Calibri" w:hAnsi="Calibri Light" w:cs="Calibri Light"/>
                <w:color w:val="000000"/>
                <w:sz w:val="20"/>
                <w:szCs w:val="20"/>
                <w:lang w:eastAsia="en-US"/>
              </w:rPr>
              <w:t>Surveys and plans and established working relationships with communities have provided an initial platform for local catchment area governance. But s</w:t>
            </w:r>
            <w:r>
              <w:rPr>
                <w:rFonts w:asciiTheme="minorHAnsi" w:eastAsia="Open Sans" w:hAnsiTheme="minorHAnsi" w:cstheme="minorHAnsi"/>
                <w:color w:val="000000"/>
                <w:sz w:val="20"/>
                <w:szCs w:val="20"/>
              </w:rPr>
              <w:t>ustainability is limited by a lack of policy, no overall R2R strategy and relatively poor coordination mechanisms amongst implementing partners and across sectors.</w:t>
            </w:r>
          </w:p>
        </w:tc>
      </w:tr>
      <w:tr w:rsidR="007372B6" w14:paraId="76A1884C" w14:textId="77777777">
        <w:trPr>
          <w:jc w:val="center"/>
        </w:trPr>
        <w:tc>
          <w:tcPr>
            <w:tcW w:w="2095" w:type="dxa"/>
            <w:tcBorders>
              <w:top w:val="single" w:sz="4" w:space="0" w:color="000000"/>
              <w:left w:val="single" w:sz="4" w:space="0" w:color="000000"/>
              <w:bottom w:val="single" w:sz="4" w:space="0" w:color="000000"/>
              <w:right w:val="single" w:sz="4" w:space="0" w:color="000000"/>
            </w:tcBorders>
          </w:tcPr>
          <w:p w14:paraId="3A1119AB"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Environmental</w:t>
            </w:r>
          </w:p>
        </w:tc>
        <w:tc>
          <w:tcPr>
            <w:tcW w:w="962" w:type="dxa"/>
            <w:tcBorders>
              <w:top w:val="single" w:sz="4" w:space="0" w:color="000000"/>
              <w:left w:val="single" w:sz="4" w:space="0" w:color="000000"/>
              <w:bottom w:val="single" w:sz="4" w:space="0" w:color="000000"/>
              <w:right w:val="single" w:sz="4" w:space="0" w:color="000000"/>
            </w:tcBorders>
          </w:tcPr>
          <w:p w14:paraId="3D1287EB"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ML</w:t>
            </w:r>
          </w:p>
        </w:tc>
        <w:tc>
          <w:tcPr>
            <w:tcW w:w="6012" w:type="dxa"/>
            <w:tcBorders>
              <w:top w:val="single" w:sz="4" w:space="0" w:color="000000"/>
              <w:left w:val="single" w:sz="4" w:space="0" w:color="000000"/>
              <w:bottom w:val="single" w:sz="4" w:space="0" w:color="000000"/>
              <w:right w:val="single" w:sz="4" w:space="0" w:color="000000"/>
            </w:tcBorders>
          </w:tcPr>
          <w:p w14:paraId="0AF51133" w14:textId="77777777" w:rsidR="007372B6" w:rsidRDefault="00000000">
            <w:pPr>
              <w:widowControl w:val="0"/>
              <w:snapToGrid w:val="0"/>
              <w:jc w:val="both"/>
              <w:rPr>
                <w:sz w:val="20"/>
                <w:szCs w:val="20"/>
              </w:rPr>
            </w:pPr>
            <w:r>
              <w:rPr>
                <w:rFonts w:asciiTheme="minorHAnsi" w:eastAsia="Open Sans" w:hAnsiTheme="minorHAnsi" w:cstheme="minorHAnsi"/>
                <w:color w:val="000000"/>
                <w:sz w:val="20"/>
                <w:szCs w:val="20"/>
              </w:rPr>
              <w:t>Project activities aimed to enhance environmental quality and conservation. No adverse environment/social impacts identified. Future of local conservation commitments may be questionable. The lack of data on reforestation and rehabilitation quality and sustainability makes it difficult to assess environmental changes.</w:t>
            </w:r>
          </w:p>
        </w:tc>
      </w:tr>
      <w:tr w:rsidR="007372B6" w14:paraId="2F8723AF" w14:textId="77777777">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F6C359" w14:textId="77777777" w:rsidR="007372B6" w:rsidRDefault="00000000">
            <w:pPr>
              <w:widowControl w:val="0"/>
              <w:ind w:left="340"/>
              <w:rPr>
                <w:sz w:val="20"/>
                <w:szCs w:val="20"/>
              </w:rPr>
            </w:pPr>
            <w:r>
              <w:rPr>
                <w:rFonts w:ascii="Calibri Light" w:eastAsia="Calibri" w:hAnsi="Calibri Light" w:cs="Calibri Light"/>
                <w:color w:val="000000"/>
                <w:sz w:val="20"/>
                <w:szCs w:val="20"/>
                <w:lang w:eastAsia="en-US"/>
              </w:rPr>
              <w:t>Overall Likelihood of Sustainability</w:t>
            </w:r>
          </w:p>
        </w:tc>
        <w:tc>
          <w:tcPr>
            <w:tcW w:w="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B0EAFF" w14:textId="77777777" w:rsidR="007372B6" w:rsidRDefault="00000000">
            <w:pPr>
              <w:widowControl w:val="0"/>
              <w:snapToGrid w:val="0"/>
              <w:jc w:val="center"/>
              <w:rPr>
                <w:sz w:val="20"/>
                <w:szCs w:val="20"/>
              </w:rPr>
            </w:pPr>
            <w:r>
              <w:rPr>
                <w:rFonts w:ascii="Calibri Light" w:eastAsia="Calibri" w:hAnsi="Calibri Light" w:cs="Calibri Light"/>
                <w:color w:val="000000"/>
                <w:sz w:val="20"/>
                <w:szCs w:val="20"/>
                <w:lang w:eastAsia="en-US"/>
              </w:rPr>
              <w:t>MU</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342549" w14:textId="77777777" w:rsidR="007372B6" w:rsidRDefault="00000000">
            <w:pPr>
              <w:widowControl w:val="0"/>
              <w:snapToGrid w:val="0"/>
              <w:jc w:val="both"/>
              <w:rPr>
                <w:sz w:val="20"/>
                <w:szCs w:val="20"/>
              </w:rPr>
            </w:pPr>
            <w:r>
              <w:rPr>
                <w:rFonts w:ascii="Calibri" w:eastAsia="Calibri" w:hAnsi="Calibri" w:cs="Calibri"/>
                <w:color w:val="000000"/>
                <w:sz w:val="20"/>
                <w:szCs w:val="20"/>
                <w:lang w:eastAsia="en-US"/>
              </w:rPr>
              <w:t>There are a lot of uncertainties in the future implementation of the catchment area plans and the availability of national and local leadership skills and resources and essential collaborative relationships to sustain the project’s modest results.</w:t>
            </w:r>
          </w:p>
        </w:tc>
      </w:tr>
    </w:tbl>
    <w:p w14:paraId="6E70B2F5" w14:textId="77777777" w:rsidR="007372B6" w:rsidRDefault="007372B6">
      <w:pPr>
        <w:tabs>
          <w:tab w:val="left" w:pos="1620"/>
        </w:tabs>
        <w:spacing w:after="170" w:line="312" w:lineRule="auto"/>
        <w:contextualSpacing/>
        <w:jc w:val="both"/>
        <w:rPr>
          <w:rFonts w:asciiTheme="minorHAnsi" w:hAnsiTheme="minorHAnsi" w:cstheme="minorHAnsi"/>
          <w:color w:val="000000"/>
          <w:sz w:val="22"/>
          <w:szCs w:val="22"/>
        </w:rPr>
      </w:pPr>
    </w:p>
    <w:p w14:paraId="748E5EA8" w14:textId="77777777" w:rsidR="007372B6" w:rsidRDefault="00000000">
      <w:pPr>
        <w:tabs>
          <w:tab w:val="left" w:pos="284"/>
          <w:tab w:val="left" w:pos="567"/>
          <w:tab w:val="left" w:pos="851"/>
          <w:tab w:val="left" w:pos="1701"/>
          <w:tab w:val="left" w:pos="2835"/>
          <w:tab w:val="right" w:leader="dot" w:pos="8505"/>
        </w:tabs>
        <w:ind w:left="90"/>
        <w:jc w:val="both"/>
        <w:textAlignment w:val="baseline"/>
        <w:rPr>
          <w:rFonts w:asciiTheme="minorHAnsi" w:hAnsiTheme="minorHAnsi"/>
          <w:sz w:val="20"/>
          <w:szCs w:val="20"/>
        </w:rPr>
      </w:pPr>
      <w:r>
        <w:rPr>
          <w:rFonts w:asciiTheme="minorHAnsi" w:hAnsiTheme="minorHAnsi"/>
          <w:b/>
          <w:color w:val="000000"/>
          <w:sz w:val="20"/>
          <w:szCs w:val="20"/>
        </w:rPr>
        <w:t>Rating categories as per the UNDP/GEF Evaluation guidelines:</w:t>
      </w:r>
    </w:p>
    <w:tbl>
      <w:tblPr>
        <w:tblW w:w="4800" w:type="pct"/>
        <w:tblInd w:w="227" w:type="dxa"/>
        <w:tblLayout w:type="fixed"/>
        <w:tblCellMar>
          <w:top w:w="85" w:type="dxa"/>
          <w:left w:w="85" w:type="dxa"/>
          <w:bottom w:w="85" w:type="dxa"/>
          <w:right w:w="85" w:type="dxa"/>
        </w:tblCellMar>
        <w:tblLook w:val="01E0" w:firstRow="1" w:lastRow="1" w:firstColumn="1" w:lastColumn="1" w:noHBand="0" w:noVBand="0"/>
      </w:tblPr>
      <w:tblGrid>
        <w:gridCol w:w="4867"/>
        <w:gridCol w:w="4282"/>
      </w:tblGrid>
      <w:tr w:rsidR="007372B6" w14:paraId="71BC2C80" w14:textId="77777777" w:rsidTr="000B40E8">
        <w:trPr>
          <w:trHeight w:val="452"/>
        </w:trPr>
        <w:tc>
          <w:tcPr>
            <w:tcW w:w="4867" w:type="dxa"/>
            <w:tcBorders>
              <w:top w:val="single" w:sz="4" w:space="0" w:color="000000"/>
              <w:left w:val="single" w:sz="4" w:space="0" w:color="000000"/>
              <w:right w:val="single" w:sz="4" w:space="0" w:color="000000"/>
            </w:tcBorders>
            <w:vAlign w:val="center"/>
          </w:tcPr>
          <w:p w14:paraId="14D24467" w14:textId="77777777" w:rsidR="007372B6" w:rsidRDefault="00000000">
            <w:pPr>
              <w:pStyle w:val="TableParagraph"/>
              <w:ind w:left="102" w:right="102"/>
              <w:rPr>
                <w:rFonts w:eastAsia="Times New Roman" w:cs="Times New Roman"/>
                <w:sz w:val="18"/>
                <w:szCs w:val="18"/>
              </w:rPr>
            </w:pPr>
            <w:r>
              <w:rPr>
                <w:b/>
                <w:i/>
                <w:spacing w:val="-1"/>
                <w:sz w:val="18"/>
                <w:szCs w:val="18"/>
              </w:rPr>
              <w:t xml:space="preserve">Outcomes, Effectiveness, Efficiency, </w:t>
            </w:r>
            <w:r>
              <w:rPr>
                <w:b/>
                <w:i/>
                <w:sz w:val="18"/>
                <w:szCs w:val="18"/>
              </w:rPr>
              <w:t>M&amp;</w:t>
            </w:r>
            <w:proofErr w:type="gramStart"/>
            <w:r>
              <w:rPr>
                <w:b/>
                <w:i/>
                <w:sz w:val="18"/>
                <w:szCs w:val="18"/>
              </w:rPr>
              <w:t>E,I</w:t>
            </w:r>
            <w:proofErr w:type="gramEnd"/>
            <w:r>
              <w:rPr>
                <w:b/>
                <w:i/>
                <w:sz w:val="18"/>
                <w:szCs w:val="18"/>
              </w:rPr>
              <w:t>&amp;E</w:t>
            </w:r>
            <w:r>
              <w:rPr>
                <w:b/>
                <w:i/>
                <w:spacing w:val="-1"/>
                <w:sz w:val="18"/>
                <w:szCs w:val="18"/>
              </w:rPr>
              <w:t xml:space="preserve"> Execution:</w:t>
            </w:r>
          </w:p>
        </w:tc>
        <w:tc>
          <w:tcPr>
            <w:tcW w:w="4282" w:type="dxa"/>
            <w:tcBorders>
              <w:top w:val="single" w:sz="4" w:space="0" w:color="000000"/>
              <w:left w:val="single" w:sz="4" w:space="0" w:color="000000"/>
              <w:right w:val="single" w:sz="4" w:space="0" w:color="000000"/>
            </w:tcBorders>
          </w:tcPr>
          <w:p w14:paraId="6196D026" w14:textId="77777777" w:rsidR="007372B6" w:rsidRDefault="00000000">
            <w:pPr>
              <w:pStyle w:val="TableParagraph"/>
              <w:ind w:left="102" w:right="102"/>
              <w:rPr>
                <w:b/>
                <w:i/>
                <w:spacing w:val="-1"/>
                <w:sz w:val="18"/>
                <w:szCs w:val="18"/>
              </w:rPr>
            </w:pPr>
            <w:r>
              <w:rPr>
                <w:b/>
                <w:i/>
                <w:spacing w:val="-1"/>
                <w:sz w:val="18"/>
                <w:szCs w:val="18"/>
              </w:rPr>
              <w:t>Sustainability ratings:</w:t>
            </w:r>
          </w:p>
        </w:tc>
      </w:tr>
      <w:tr w:rsidR="007372B6" w14:paraId="58650636" w14:textId="77777777" w:rsidTr="000B40E8">
        <w:tc>
          <w:tcPr>
            <w:tcW w:w="4867" w:type="dxa"/>
            <w:vMerge w:val="restart"/>
            <w:tcBorders>
              <w:left w:val="single" w:sz="4" w:space="0" w:color="000000"/>
              <w:bottom w:val="single" w:sz="2" w:space="0" w:color="000000"/>
              <w:right w:val="single" w:sz="4" w:space="0" w:color="000000"/>
            </w:tcBorders>
          </w:tcPr>
          <w:p w14:paraId="5B041D83" w14:textId="77777777" w:rsidR="007372B6" w:rsidRDefault="00000000">
            <w:pPr>
              <w:pStyle w:val="TableParagraph"/>
              <w:tabs>
                <w:tab w:val="left" w:pos="660"/>
                <w:tab w:val="left" w:pos="1493"/>
                <w:tab w:val="left" w:pos="2766"/>
                <w:tab w:val="left" w:pos="3478"/>
              </w:tabs>
              <w:ind w:right="102"/>
              <w:rPr>
                <w:spacing w:val="-1"/>
                <w:sz w:val="18"/>
                <w:szCs w:val="18"/>
              </w:rPr>
            </w:pPr>
            <w:r>
              <w:rPr>
                <w:spacing w:val="-1"/>
                <w:sz w:val="18"/>
                <w:szCs w:val="18"/>
              </w:rPr>
              <w:t xml:space="preserve">Highly Satisfactory (HS): </w:t>
            </w:r>
            <w:r>
              <w:rPr>
                <w:spacing w:val="-2"/>
                <w:sz w:val="18"/>
                <w:szCs w:val="18"/>
              </w:rPr>
              <w:t>no</w:t>
            </w:r>
            <w:r>
              <w:rPr>
                <w:spacing w:val="-1"/>
                <w:sz w:val="18"/>
                <w:szCs w:val="18"/>
              </w:rPr>
              <w:t xml:space="preserve"> shortcomings</w:t>
            </w:r>
          </w:p>
          <w:p w14:paraId="47ED23E6" w14:textId="77777777" w:rsidR="007372B6" w:rsidRDefault="00000000">
            <w:pPr>
              <w:pStyle w:val="TableParagraph"/>
              <w:tabs>
                <w:tab w:val="left" w:pos="888"/>
                <w:tab w:val="left" w:pos="2390"/>
                <w:tab w:val="left" w:pos="3171"/>
              </w:tabs>
              <w:ind w:right="103"/>
              <w:rPr>
                <w:rFonts w:eastAsia="Times New Roman" w:cs="Times New Roman"/>
                <w:sz w:val="18"/>
                <w:szCs w:val="18"/>
              </w:rPr>
            </w:pPr>
            <w:r>
              <w:rPr>
                <w:spacing w:val="-1"/>
                <w:sz w:val="18"/>
                <w:szCs w:val="18"/>
              </w:rPr>
              <w:t>Satisfactory (S): minor shortcomings</w:t>
            </w:r>
          </w:p>
          <w:p w14:paraId="6F870B50" w14:textId="77777777" w:rsidR="007372B6" w:rsidRDefault="00000000">
            <w:pPr>
              <w:pStyle w:val="TableParagraph"/>
              <w:spacing w:line="252" w:lineRule="exact"/>
              <w:rPr>
                <w:rFonts w:eastAsia="Times New Roman" w:cs="Times New Roman"/>
                <w:sz w:val="18"/>
                <w:szCs w:val="18"/>
              </w:rPr>
            </w:pPr>
            <w:r>
              <w:rPr>
                <w:spacing w:val="-1"/>
                <w:sz w:val="18"/>
                <w:szCs w:val="18"/>
              </w:rPr>
              <w:t xml:space="preserve">Moderately </w:t>
            </w:r>
            <w:proofErr w:type="gramStart"/>
            <w:r>
              <w:rPr>
                <w:spacing w:val="-1"/>
                <w:sz w:val="18"/>
                <w:szCs w:val="18"/>
              </w:rPr>
              <w:t>Satisfactory</w:t>
            </w:r>
            <w:r>
              <w:rPr>
                <w:sz w:val="18"/>
                <w:szCs w:val="18"/>
              </w:rPr>
              <w:t>(</w:t>
            </w:r>
            <w:proofErr w:type="gramEnd"/>
            <w:r>
              <w:rPr>
                <w:sz w:val="18"/>
                <w:szCs w:val="18"/>
              </w:rPr>
              <w:t>MS): moderate shortcomings</w:t>
            </w:r>
          </w:p>
          <w:p w14:paraId="2AC9F752" w14:textId="77777777" w:rsidR="007372B6" w:rsidRDefault="00000000">
            <w:pPr>
              <w:pStyle w:val="TableParagraph"/>
              <w:spacing w:line="252" w:lineRule="exact"/>
              <w:rPr>
                <w:rFonts w:eastAsia="Times New Roman" w:cs="Times New Roman"/>
                <w:sz w:val="18"/>
                <w:szCs w:val="18"/>
              </w:rPr>
            </w:pPr>
            <w:r>
              <w:rPr>
                <w:spacing w:val="-1"/>
                <w:sz w:val="18"/>
                <w:szCs w:val="18"/>
              </w:rPr>
              <w:t xml:space="preserve">Moderately </w:t>
            </w:r>
            <w:proofErr w:type="gramStart"/>
            <w:r>
              <w:rPr>
                <w:spacing w:val="-1"/>
                <w:sz w:val="18"/>
                <w:szCs w:val="18"/>
              </w:rPr>
              <w:t>Unsatisfactory(</w:t>
            </w:r>
            <w:proofErr w:type="gramEnd"/>
            <w:r>
              <w:rPr>
                <w:spacing w:val="-1"/>
                <w:sz w:val="18"/>
                <w:szCs w:val="18"/>
              </w:rPr>
              <w:t>MU): significant shortcomings</w:t>
            </w:r>
          </w:p>
          <w:p w14:paraId="2121D6FD" w14:textId="77777777" w:rsidR="007372B6" w:rsidRDefault="00000000">
            <w:pPr>
              <w:pStyle w:val="TableParagraph"/>
              <w:spacing w:line="252" w:lineRule="exact"/>
              <w:rPr>
                <w:rFonts w:eastAsia="Times New Roman" w:cs="Times New Roman"/>
                <w:sz w:val="18"/>
                <w:szCs w:val="18"/>
              </w:rPr>
            </w:pPr>
            <w:r>
              <w:rPr>
                <w:spacing w:val="-1"/>
                <w:sz w:val="18"/>
                <w:szCs w:val="18"/>
              </w:rPr>
              <w:t>Unsatisfactory(U</w:t>
            </w:r>
            <w:proofErr w:type="gramStart"/>
            <w:r>
              <w:rPr>
                <w:spacing w:val="-1"/>
                <w:sz w:val="18"/>
                <w:szCs w:val="18"/>
              </w:rPr>
              <w:t>):</w:t>
            </w:r>
            <w:r>
              <w:rPr>
                <w:spacing w:val="-2"/>
                <w:sz w:val="18"/>
                <w:szCs w:val="18"/>
              </w:rPr>
              <w:t>major</w:t>
            </w:r>
            <w:proofErr w:type="gramEnd"/>
            <w:r>
              <w:rPr>
                <w:spacing w:val="-1"/>
                <w:sz w:val="18"/>
                <w:szCs w:val="18"/>
              </w:rPr>
              <w:t xml:space="preserve"> problems</w:t>
            </w:r>
          </w:p>
          <w:p w14:paraId="2A41655A" w14:textId="77777777" w:rsidR="007372B6" w:rsidRDefault="00000000">
            <w:pPr>
              <w:pStyle w:val="TableParagraph"/>
              <w:spacing w:before="1"/>
              <w:contextualSpacing/>
              <w:rPr>
                <w:spacing w:val="-1"/>
                <w:sz w:val="18"/>
                <w:szCs w:val="18"/>
              </w:rPr>
            </w:pPr>
            <w:r>
              <w:rPr>
                <w:spacing w:val="-1"/>
                <w:sz w:val="18"/>
                <w:szCs w:val="18"/>
              </w:rPr>
              <w:t xml:space="preserve">Highly </w:t>
            </w:r>
            <w:proofErr w:type="gramStart"/>
            <w:r>
              <w:rPr>
                <w:spacing w:val="-1"/>
                <w:sz w:val="18"/>
                <w:szCs w:val="18"/>
              </w:rPr>
              <w:t>Unsatisfactory</w:t>
            </w:r>
            <w:r>
              <w:rPr>
                <w:spacing w:val="-2"/>
                <w:sz w:val="18"/>
                <w:szCs w:val="18"/>
              </w:rPr>
              <w:t>(</w:t>
            </w:r>
            <w:proofErr w:type="gramEnd"/>
            <w:r>
              <w:rPr>
                <w:spacing w:val="-2"/>
                <w:sz w:val="18"/>
                <w:szCs w:val="18"/>
              </w:rPr>
              <w:t>HU):</w:t>
            </w:r>
            <w:r>
              <w:rPr>
                <w:spacing w:val="-1"/>
                <w:sz w:val="18"/>
                <w:szCs w:val="18"/>
              </w:rPr>
              <w:t>severe problems</w:t>
            </w:r>
          </w:p>
        </w:tc>
        <w:tc>
          <w:tcPr>
            <w:tcW w:w="4282" w:type="dxa"/>
            <w:tcBorders>
              <w:left w:val="single" w:sz="4" w:space="0" w:color="000000"/>
              <w:bottom w:val="single" w:sz="2" w:space="0" w:color="000000"/>
              <w:right w:val="single" w:sz="4" w:space="0" w:color="000000"/>
            </w:tcBorders>
          </w:tcPr>
          <w:p w14:paraId="29DA0570" w14:textId="77777777" w:rsidR="007372B6" w:rsidRDefault="00000000">
            <w:pPr>
              <w:pStyle w:val="TableParagraph"/>
              <w:tabs>
                <w:tab w:val="left" w:pos="476"/>
                <w:tab w:val="left" w:pos="1258"/>
                <w:tab w:val="left" w:pos="1811"/>
                <w:tab w:val="left" w:pos="2900"/>
                <w:tab w:val="left" w:pos="3524"/>
              </w:tabs>
              <w:ind w:left="720" w:right="102"/>
              <w:rPr>
                <w:rFonts w:eastAsia="Times New Roman" w:cs="Times New Roman"/>
                <w:sz w:val="18"/>
                <w:szCs w:val="18"/>
              </w:rPr>
            </w:pPr>
            <w:r>
              <w:rPr>
                <w:spacing w:val="-1"/>
                <w:sz w:val="18"/>
                <w:szCs w:val="18"/>
              </w:rPr>
              <w:t xml:space="preserve">Likely </w:t>
            </w:r>
            <w:r>
              <w:rPr>
                <w:sz w:val="18"/>
                <w:szCs w:val="18"/>
              </w:rPr>
              <w:t xml:space="preserve">(L): </w:t>
            </w:r>
            <w:r>
              <w:rPr>
                <w:spacing w:val="-1"/>
                <w:sz w:val="18"/>
                <w:szCs w:val="18"/>
              </w:rPr>
              <w:t xml:space="preserve">negligible risks </w:t>
            </w:r>
            <w:r>
              <w:rPr>
                <w:sz w:val="18"/>
                <w:szCs w:val="18"/>
              </w:rPr>
              <w:t>to</w:t>
            </w:r>
            <w:r>
              <w:rPr>
                <w:spacing w:val="-1"/>
                <w:sz w:val="18"/>
                <w:szCs w:val="18"/>
              </w:rPr>
              <w:t xml:space="preserve"> sustainability</w:t>
            </w:r>
          </w:p>
          <w:p w14:paraId="2C0F6810" w14:textId="77777777" w:rsidR="007372B6" w:rsidRDefault="00000000">
            <w:pPr>
              <w:pStyle w:val="TableParagraph"/>
              <w:ind w:left="720" w:right="103"/>
              <w:rPr>
                <w:rFonts w:eastAsia="Times New Roman" w:cs="Times New Roman"/>
                <w:sz w:val="18"/>
                <w:szCs w:val="18"/>
              </w:rPr>
            </w:pPr>
            <w:r>
              <w:rPr>
                <w:spacing w:val="-1"/>
                <w:sz w:val="18"/>
                <w:szCs w:val="18"/>
              </w:rPr>
              <w:t xml:space="preserve">Moderately </w:t>
            </w:r>
            <w:proofErr w:type="gramStart"/>
            <w:r>
              <w:rPr>
                <w:spacing w:val="-1"/>
                <w:sz w:val="18"/>
                <w:szCs w:val="18"/>
              </w:rPr>
              <w:t>Likely(</w:t>
            </w:r>
            <w:proofErr w:type="gramEnd"/>
            <w:r>
              <w:rPr>
                <w:spacing w:val="-1"/>
                <w:sz w:val="18"/>
                <w:szCs w:val="18"/>
              </w:rPr>
              <w:t>ML): moderate risks</w:t>
            </w:r>
          </w:p>
          <w:p w14:paraId="66180780" w14:textId="77777777" w:rsidR="007372B6" w:rsidRDefault="00000000">
            <w:pPr>
              <w:pStyle w:val="TableParagraph"/>
              <w:ind w:left="720" w:right="103"/>
              <w:rPr>
                <w:rFonts w:eastAsia="Times New Roman" w:cs="Times New Roman"/>
                <w:sz w:val="18"/>
                <w:szCs w:val="18"/>
              </w:rPr>
            </w:pPr>
            <w:r>
              <w:rPr>
                <w:spacing w:val="-1"/>
                <w:sz w:val="18"/>
                <w:szCs w:val="18"/>
              </w:rPr>
              <w:t>Moderately Unlikely (MU</w:t>
            </w:r>
            <w:proofErr w:type="gramStart"/>
            <w:r>
              <w:rPr>
                <w:spacing w:val="-1"/>
                <w:sz w:val="18"/>
                <w:szCs w:val="18"/>
              </w:rPr>
              <w:t>):significant</w:t>
            </w:r>
            <w:proofErr w:type="gramEnd"/>
            <w:r>
              <w:rPr>
                <w:spacing w:val="-1"/>
                <w:sz w:val="18"/>
                <w:szCs w:val="18"/>
              </w:rPr>
              <w:t xml:space="preserve"> risks</w:t>
            </w:r>
          </w:p>
          <w:p w14:paraId="42E4A399" w14:textId="77777777" w:rsidR="007372B6" w:rsidRDefault="00000000">
            <w:pPr>
              <w:pStyle w:val="TableParagraph"/>
              <w:ind w:left="720" w:right="103"/>
              <w:rPr>
                <w:spacing w:val="-1"/>
                <w:sz w:val="18"/>
                <w:szCs w:val="18"/>
              </w:rPr>
            </w:pPr>
            <w:r>
              <w:rPr>
                <w:spacing w:val="-1"/>
                <w:sz w:val="18"/>
                <w:szCs w:val="18"/>
              </w:rPr>
              <w:t>Unlikely(U</w:t>
            </w:r>
            <w:proofErr w:type="gramStart"/>
            <w:r>
              <w:rPr>
                <w:spacing w:val="-1"/>
                <w:sz w:val="18"/>
                <w:szCs w:val="18"/>
              </w:rPr>
              <w:t>):severe</w:t>
            </w:r>
            <w:proofErr w:type="gramEnd"/>
            <w:r>
              <w:rPr>
                <w:spacing w:val="-1"/>
                <w:sz w:val="18"/>
                <w:szCs w:val="18"/>
              </w:rPr>
              <w:t xml:space="preserve"> risks</w:t>
            </w:r>
          </w:p>
        </w:tc>
      </w:tr>
      <w:tr w:rsidR="007372B6" w14:paraId="41FCF73F" w14:textId="77777777" w:rsidTr="000B40E8">
        <w:tc>
          <w:tcPr>
            <w:tcW w:w="4867" w:type="dxa"/>
            <w:vMerge/>
            <w:tcBorders>
              <w:left w:val="single" w:sz="4" w:space="0" w:color="000000"/>
              <w:bottom w:val="single" w:sz="2" w:space="0" w:color="000000"/>
              <w:right w:val="single" w:sz="4" w:space="0" w:color="000000"/>
            </w:tcBorders>
          </w:tcPr>
          <w:p w14:paraId="36AC3975" w14:textId="77777777" w:rsidR="007372B6" w:rsidRDefault="007372B6">
            <w:pPr>
              <w:pStyle w:val="TableParagraph"/>
              <w:tabs>
                <w:tab w:val="left" w:pos="660"/>
                <w:tab w:val="left" w:pos="1493"/>
                <w:tab w:val="left" w:pos="2766"/>
                <w:tab w:val="left" w:pos="3478"/>
              </w:tabs>
              <w:ind w:right="102"/>
              <w:rPr>
                <w:spacing w:val="-1"/>
                <w:sz w:val="18"/>
                <w:szCs w:val="18"/>
              </w:rPr>
            </w:pPr>
          </w:p>
        </w:tc>
        <w:tc>
          <w:tcPr>
            <w:tcW w:w="4282" w:type="dxa"/>
            <w:tcBorders>
              <w:left w:val="single" w:sz="4" w:space="0" w:color="000000"/>
              <w:bottom w:val="single" w:sz="2" w:space="0" w:color="000000"/>
              <w:right w:val="single" w:sz="4" w:space="0" w:color="000000"/>
            </w:tcBorders>
          </w:tcPr>
          <w:p w14:paraId="0825104E" w14:textId="77777777" w:rsidR="007372B6" w:rsidRDefault="00000000">
            <w:pPr>
              <w:pStyle w:val="TableParagraph"/>
              <w:spacing w:before="7"/>
              <w:contextualSpacing/>
              <w:rPr>
                <w:rFonts w:eastAsia="Times New Roman" w:cs="Times New Roman"/>
                <w:sz w:val="18"/>
                <w:szCs w:val="18"/>
              </w:rPr>
            </w:pPr>
            <w:r>
              <w:rPr>
                <w:b/>
                <w:i/>
                <w:spacing w:val="-1"/>
                <w:sz w:val="18"/>
                <w:szCs w:val="18"/>
              </w:rPr>
              <w:t>Relevance</w:t>
            </w:r>
            <w:r>
              <w:rPr>
                <w:b/>
                <w:i/>
                <w:sz w:val="18"/>
                <w:szCs w:val="18"/>
              </w:rPr>
              <w:t xml:space="preserve"> ratings:</w:t>
            </w:r>
            <w:r>
              <w:rPr>
                <w:spacing w:val="-1"/>
                <w:sz w:val="18"/>
                <w:szCs w:val="18"/>
              </w:rPr>
              <w:t xml:space="preserve"> Relevant (R)</w:t>
            </w:r>
          </w:p>
          <w:p w14:paraId="10EF28CD" w14:textId="77777777" w:rsidR="007372B6" w:rsidRDefault="00000000">
            <w:pPr>
              <w:pStyle w:val="TableParagraph"/>
              <w:tabs>
                <w:tab w:val="left" w:pos="476"/>
                <w:tab w:val="left" w:pos="1258"/>
                <w:tab w:val="left" w:pos="1811"/>
                <w:tab w:val="left" w:pos="2900"/>
                <w:tab w:val="left" w:pos="3524"/>
              </w:tabs>
              <w:ind w:left="720" w:right="103"/>
              <w:rPr>
                <w:spacing w:val="-1"/>
                <w:sz w:val="18"/>
                <w:szCs w:val="18"/>
              </w:rPr>
            </w:pPr>
            <w:r>
              <w:rPr>
                <w:rFonts w:eastAsia="Times New Roman" w:cs="Times New Roman"/>
                <w:spacing w:val="-1"/>
                <w:sz w:val="18"/>
                <w:szCs w:val="18"/>
              </w:rPr>
              <w:t xml:space="preserve">Not </w:t>
            </w:r>
            <w:proofErr w:type="gramStart"/>
            <w:r>
              <w:rPr>
                <w:rFonts w:eastAsia="Times New Roman" w:cs="Times New Roman"/>
                <w:spacing w:val="-1"/>
                <w:sz w:val="18"/>
                <w:szCs w:val="18"/>
              </w:rPr>
              <w:t>relevant(</w:t>
            </w:r>
            <w:proofErr w:type="gramEnd"/>
            <w:r>
              <w:rPr>
                <w:rFonts w:eastAsia="Times New Roman" w:cs="Times New Roman"/>
                <w:spacing w:val="-1"/>
                <w:sz w:val="18"/>
                <w:szCs w:val="18"/>
              </w:rPr>
              <w:t>NR)</w:t>
            </w:r>
          </w:p>
        </w:tc>
      </w:tr>
    </w:tbl>
    <w:p w14:paraId="20A5FD43" w14:textId="77777777" w:rsidR="007372B6" w:rsidRDefault="007372B6">
      <w:pPr>
        <w:pStyle w:val="Normalbold"/>
        <w:tabs>
          <w:tab w:val="left" w:pos="284"/>
          <w:tab w:val="left" w:pos="567"/>
          <w:tab w:val="left" w:pos="851"/>
          <w:tab w:val="left" w:pos="1701"/>
          <w:tab w:val="left" w:pos="1980"/>
          <w:tab w:val="right" w:leader="dot" w:pos="8505"/>
        </w:tabs>
        <w:spacing w:after="0" w:line="312" w:lineRule="auto"/>
        <w:ind w:left="0"/>
        <w:contextualSpacing/>
        <w:rPr>
          <w:rFonts w:ascii="Calibri" w:hAnsi="Calibri"/>
          <w:b w:val="0"/>
          <w:sz w:val="22"/>
          <w:szCs w:val="22"/>
        </w:rPr>
      </w:pPr>
    </w:p>
    <w:p w14:paraId="1AF1B0DC" w14:textId="77777777" w:rsidR="007372B6" w:rsidRDefault="00000000">
      <w:pPr>
        <w:pStyle w:val="ListParagraph"/>
        <w:tabs>
          <w:tab w:val="left" w:pos="567"/>
          <w:tab w:val="left" w:pos="1620"/>
        </w:tabs>
        <w:spacing w:line="312" w:lineRule="auto"/>
        <w:ind w:left="0"/>
        <w:rPr>
          <w:rFonts w:asciiTheme="minorHAnsi" w:eastAsia="Open Sans" w:hAnsiTheme="minorHAnsi" w:cstheme="minorHAnsi"/>
          <w:b/>
          <w:bCs/>
          <w:color w:val="000000"/>
          <w:sz w:val="22"/>
          <w:szCs w:val="22"/>
        </w:rPr>
      </w:pPr>
      <w:r>
        <w:br w:type="page"/>
      </w:r>
    </w:p>
    <w:p w14:paraId="451AA045" w14:textId="77777777" w:rsidR="007372B6" w:rsidRDefault="00000000">
      <w:pPr>
        <w:pStyle w:val="ListParagraph"/>
        <w:tabs>
          <w:tab w:val="left" w:pos="567"/>
          <w:tab w:val="left" w:pos="1620"/>
        </w:tabs>
        <w:spacing w:line="312" w:lineRule="auto"/>
        <w:ind w:left="0"/>
      </w:pPr>
      <w:r>
        <w:rPr>
          <w:rFonts w:asciiTheme="minorHAnsi" w:eastAsia="Open Sans" w:hAnsiTheme="minorHAnsi" w:cstheme="minorHAnsi"/>
          <w:b/>
          <w:bCs/>
          <w:color w:val="000000"/>
          <w:sz w:val="22"/>
          <w:szCs w:val="22"/>
        </w:rPr>
        <w:lastRenderedPageBreak/>
        <w:t>5.2</w:t>
      </w:r>
      <w:r>
        <w:rPr>
          <w:rFonts w:asciiTheme="minorHAnsi" w:eastAsia="Open Sans" w:hAnsiTheme="minorHAnsi" w:cstheme="minorHAnsi"/>
          <w:b/>
          <w:bCs/>
          <w:color w:val="000000"/>
          <w:sz w:val="22"/>
          <w:szCs w:val="22"/>
        </w:rPr>
        <w:tab/>
        <w:t>Conclusions</w:t>
      </w:r>
    </w:p>
    <w:p w14:paraId="29834152" w14:textId="77777777" w:rsidR="007372B6" w:rsidRDefault="007372B6">
      <w:pPr>
        <w:tabs>
          <w:tab w:val="left" w:pos="1620"/>
        </w:tabs>
        <w:rPr>
          <w:rFonts w:asciiTheme="minorHAnsi" w:eastAsia="Open Sans" w:hAnsiTheme="minorHAnsi" w:cstheme="minorHAnsi"/>
          <w:color w:val="000000"/>
          <w:sz w:val="22"/>
          <w:szCs w:val="22"/>
        </w:rPr>
      </w:pPr>
    </w:p>
    <w:p w14:paraId="2B6DC0DB" w14:textId="77777777" w:rsidR="007372B6" w:rsidRDefault="00000000">
      <w:pPr>
        <w:pStyle w:val="ListParagraph"/>
        <w:numPr>
          <w:ilvl w:val="3"/>
          <w:numId w:val="5"/>
        </w:numPr>
        <w:tabs>
          <w:tab w:val="left" w:pos="284"/>
        </w:tabs>
        <w:spacing w:line="312" w:lineRule="auto"/>
        <w:ind w:left="0" w:firstLine="0"/>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The long implementation delays (21 months from original planned closure in October 2020 to official closure June 2022) and the incomplete project activities were attributed by those interviewed to:</w:t>
      </w:r>
    </w:p>
    <w:p w14:paraId="2C8C51C6" w14:textId="77777777" w:rsidR="007372B6" w:rsidRDefault="00000000">
      <w:pPr>
        <w:pStyle w:val="ListParagraph"/>
        <w:tabs>
          <w:tab w:val="left" w:pos="284"/>
        </w:tabs>
        <w:spacing w:line="312" w:lineRule="auto"/>
        <w:ind w:left="283"/>
      </w:pPr>
      <w:r>
        <w:rPr>
          <w:rFonts w:asciiTheme="minorHAnsi" w:eastAsia="Open Sans" w:hAnsiTheme="minorHAnsi" w:cstheme="minorHAnsi"/>
          <w:color w:val="000000"/>
          <w:sz w:val="22"/>
          <w:szCs w:val="22"/>
        </w:rPr>
        <w:t xml:space="preserve">(a) unrealistic or in some cases poorly defined targets, </w:t>
      </w:r>
    </w:p>
    <w:p w14:paraId="1E29E5F5" w14:textId="14E07D24" w:rsidR="007372B6" w:rsidRDefault="00000000">
      <w:pPr>
        <w:pStyle w:val="ListParagraph"/>
        <w:tabs>
          <w:tab w:val="left" w:pos="284"/>
        </w:tabs>
        <w:spacing w:line="312" w:lineRule="auto"/>
        <w:ind w:left="283"/>
      </w:pPr>
      <w:r>
        <w:rPr>
          <w:rFonts w:asciiTheme="minorHAnsi" w:eastAsia="Open Sans" w:hAnsiTheme="minorHAnsi" w:cstheme="minorHAnsi"/>
          <w:color w:val="000000"/>
          <w:sz w:val="22"/>
          <w:szCs w:val="22"/>
        </w:rPr>
        <w:t xml:space="preserve">(b) Covid-related restrictions and disruptions, </w:t>
      </w:r>
    </w:p>
    <w:p w14:paraId="4867B75A" w14:textId="77777777" w:rsidR="007372B6" w:rsidRDefault="00000000">
      <w:pPr>
        <w:pStyle w:val="ListParagraph"/>
        <w:tabs>
          <w:tab w:val="left" w:pos="284"/>
        </w:tabs>
        <w:spacing w:line="312" w:lineRule="auto"/>
        <w:ind w:left="283"/>
      </w:pPr>
      <w:r>
        <w:rPr>
          <w:rFonts w:asciiTheme="minorHAnsi" w:eastAsia="Open Sans" w:hAnsiTheme="minorHAnsi" w:cstheme="minorHAnsi"/>
          <w:color w:val="000000"/>
          <w:sz w:val="22"/>
          <w:szCs w:val="22"/>
        </w:rPr>
        <w:t>(c) a project structure mostly based on individual sector activities,</w:t>
      </w:r>
    </w:p>
    <w:p w14:paraId="4DF1DF3F" w14:textId="77777777" w:rsidR="007372B6" w:rsidRDefault="00000000">
      <w:pPr>
        <w:pStyle w:val="ListParagraph"/>
        <w:tabs>
          <w:tab w:val="left" w:pos="284"/>
        </w:tabs>
        <w:spacing w:line="312" w:lineRule="auto"/>
        <w:ind w:left="283"/>
      </w:pPr>
      <w:r>
        <w:rPr>
          <w:rFonts w:asciiTheme="minorHAnsi" w:eastAsia="Open Sans" w:hAnsiTheme="minorHAnsi" w:cstheme="minorHAnsi"/>
          <w:color w:val="000000"/>
          <w:sz w:val="22"/>
          <w:szCs w:val="22"/>
        </w:rPr>
        <w:t xml:space="preserve">(d) insufficient coordination mechanisms to align the many IPs and government agencies, </w:t>
      </w:r>
    </w:p>
    <w:p w14:paraId="530E4EC6" w14:textId="77777777" w:rsidR="007372B6" w:rsidRDefault="00000000">
      <w:pPr>
        <w:pStyle w:val="ListParagraph"/>
        <w:tabs>
          <w:tab w:val="left" w:pos="284"/>
        </w:tabs>
        <w:spacing w:line="312" w:lineRule="auto"/>
        <w:ind w:left="283"/>
      </w:pPr>
      <w:r>
        <w:rPr>
          <w:rFonts w:asciiTheme="minorHAnsi" w:eastAsia="Open Sans" w:hAnsiTheme="minorHAnsi" w:cstheme="minorHAnsi"/>
          <w:color w:val="000000"/>
          <w:sz w:val="22"/>
          <w:szCs w:val="22"/>
        </w:rPr>
        <w:t>(e) limited local capacity to lead a multi-faceted project across a large area,</w:t>
      </w:r>
    </w:p>
    <w:p w14:paraId="66F0E86E" w14:textId="77777777" w:rsidR="007372B6" w:rsidRDefault="00000000">
      <w:pPr>
        <w:pStyle w:val="ListParagraph"/>
        <w:tabs>
          <w:tab w:val="left" w:pos="284"/>
        </w:tabs>
        <w:spacing w:line="312" w:lineRule="auto"/>
        <w:ind w:left="283"/>
      </w:pPr>
      <w:r>
        <w:rPr>
          <w:rFonts w:asciiTheme="minorHAnsi" w:eastAsia="Open Sans" w:hAnsiTheme="minorHAnsi" w:cstheme="minorHAnsi"/>
          <w:color w:val="000000"/>
          <w:sz w:val="22"/>
          <w:szCs w:val="22"/>
        </w:rPr>
        <w:t>(f) inability to develop national policies before the catchment area plans were established, and</w:t>
      </w:r>
    </w:p>
    <w:p w14:paraId="4311B062" w14:textId="77777777" w:rsidR="007372B6" w:rsidRDefault="00000000">
      <w:pPr>
        <w:pStyle w:val="ListParagraph"/>
        <w:tabs>
          <w:tab w:val="left" w:pos="284"/>
        </w:tabs>
        <w:spacing w:line="312" w:lineRule="auto"/>
        <w:ind w:left="283"/>
      </w:pPr>
      <w:r>
        <w:rPr>
          <w:rFonts w:asciiTheme="minorHAnsi" w:eastAsia="Open Sans" w:hAnsiTheme="minorHAnsi" w:cstheme="minorHAnsi"/>
          <w:color w:val="000000"/>
          <w:sz w:val="22"/>
          <w:szCs w:val="22"/>
        </w:rPr>
        <w:t xml:space="preserve">(g) ineffective monitoring and reporting systems to address progress and respond to issues. </w:t>
      </w:r>
    </w:p>
    <w:p w14:paraId="18A87313" w14:textId="77777777" w:rsidR="007372B6" w:rsidRDefault="007372B6">
      <w:pPr>
        <w:pStyle w:val="ListParagraph"/>
        <w:tabs>
          <w:tab w:val="left" w:pos="284"/>
        </w:tabs>
        <w:ind w:left="0"/>
        <w:rPr>
          <w:rFonts w:asciiTheme="minorHAnsi" w:eastAsia="Open Sans" w:hAnsiTheme="minorHAnsi" w:cstheme="minorHAnsi"/>
          <w:color w:val="000000"/>
          <w:sz w:val="22"/>
          <w:szCs w:val="22"/>
        </w:rPr>
      </w:pPr>
    </w:p>
    <w:p w14:paraId="115360B8" w14:textId="77777777" w:rsidR="007372B6" w:rsidRDefault="00000000">
      <w:pPr>
        <w:numPr>
          <w:ilvl w:val="3"/>
          <w:numId w:val="5"/>
        </w:numPr>
        <w:tabs>
          <w:tab w:val="left" w:pos="341"/>
        </w:tabs>
        <w:spacing w:line="312" w:lineRule="auto"/>
        <w:ind w:left="0" w:firstLine="0"/>
        <w:jc w:val="both"/>
        <w:rPr>
          <w:rFonts w:asciiTheme="minorHAnsi" w:hAnsiTheme="minorHAnsi" w:cstheme="minorHAnsi"/>
          <w:color w:val="000000"/>
          <w:sz w:val="22"/>
          <w:szCs w:val="22"/>
        </w:rPr>
      </w:pPr>
      <w:r>
        <w:rPr>
          <w:rFonts w:asciiTheme="minorHAnsi" w:eastAsia="Open Sans" w:hAnsiTheme="minorHAnsi" w:cstheme="minorHAnsi"/>
          <w:color w:val="000000"/>
          <w:sz w:val="22"/>
          <w:szCs w:val="22"/>
        </w:rPr>
        <w:t>The primary achievements of the project included expansion of protected areas, training and mobilization of community groups, introduction of various alternative livelihoods, and preparation of five Catchment Area Plans and associated Catchment Management Committees. An assessment of PA management capacity and operations was not completed and no METT tracking tool data are available so actual achievement of these aspects is unclear but catchment plans should, if implemented, strengthen the management processes. Ecosystem valuation studies were completed but no PA user fee system has been piloted as had been planned. While progress has been made in starting the catchment planning processes, the vision of integrated R2R conservation, rehabilitation and management was not fully realized in the project.</w:t>
      </w:r>
    </w:p>
    <w:p w14:paraId="46B22AE4" w14:textId="77777777" w:rsidR="007372B6" w:rsidRDefault="007372B6">
      <w:pPr>
        <w:tabs>
          <w:tab w:val="left" w:pos="341"/>
        </w:tabs>
        <w:jc w:val="both"/>
        <w:rPr>
          <w:rFonts w:asciiTheme="minorHAnsi" w:hAnsiTheme="minorHAnsi" w:cstheme="minorHAnsi"/>
          <w:color w:val="000000"/>
          <w:sz w:val="22"/>
          <w:szCs w:val="22"/>
        </w:rPr>
      </w:pPr>
    </w:p>
    <w:p w14:paraId="3C244193" w14:textId="77777777" w:rsidR="007372B6" w:rsidRDefault="00000000">
      <w:pPr>
        <w:numPr>
          <w:ilvl w:val="3"/>
          <w:numId w:val="5"/>
        </w:numPr>
        <w:tabs>
          <w:tab w:val="left" w:pos="341"/>
        </w:tabs>
        <w:spacing w:line="312" w:lineRule="auto"/>
        <w:ind w:left="0" w:firstLine="0"/>
        <w:jc w:val="both"/>
        <w:rPr>
          <w:rFonts w:asciiTheme="minorHAnsi" w:hAnsiTheme="minorHAnsi" w:cstheme="minorHAnsi"/>
          <w:color w:val="000000"/>
          <w:sz w:val="22"/>
          <w:szCs w:val="22"/>
        </w:rPr>
      </w:pPr>
      <w:r>
        <w:rPr>
          <w:rFonts w:asciiTheme="minorHAnsi" w:eastAsia="Open Sans" w:hAnsiTheme="minorHAnsi" w:cstheme="minorHAnsi"/>
          <w:color w:val="000000"/>
          <w:sz w:val="22"/>
          <w:szCs w:val="22"/>
        </w:rPr>
        <w:t xml:space="preserve">The carbon stocks enhancement/forest rehabilitation component had completed about 76% of planned 1245 ha reforestation as of June 30, 2022, although some notable low survival rates in </w:t>
      </w:r>
      <w:proofErr w:type="spellStart"/>
      <w:r>
        <w:rPr>
          <w:rFonts w:asciiTheme="minorHAnsi" w:eastAsia="Open Sans" w:hAnsiTheme="minorHAnsi" w:cstheme="minorHAnsi"/>
          <w:color w:val="000000"/>
          <w:sz w:val="22"/>
          <w:szCs w:val="22"/>
        </w:rPr>
        <w:t>Tuvu</w:t>
      </w:r>
      <w:proofErr w:type="spellEnd"/>
      <w:r>
        <w:rPr>
          <w:rFonts w:asciiTheme="minorHAnsi" w:eastAsia="Open Sans" w:hAnsiTheme="minorHAnsi" w:cstheme="minorHAnsi"/>
          <w:color w:val="000000"/>
          <w:sz w:val="22"/>
          <w:szCs w:val="22"/>
        </w:rPr>
        <w:t xml:space="preserve"> catchment were reported (&lt;30%</w:t>
      </w:r>
      <w:r>
        <w:rPr>
          <w:rStyle w:val="FootnoteAnchor"/>
          <w:rFonts w:asciiTheme="minorHAnsi" w:eastAsia="Open Sans" w:hAnsiTheme="minorHAnsi" w:cstheme="minorHAnsi"/>
          <w:color w:val="000000"/>
          <w:sz w:val="22"/>
          <w:szCs w:val="22"/>
        </w:rPr>
        <w:footnoteReference w:id="53"/>
      </w:r>
      <w:r>
        <w:rPr>
          <w:rFonts w:asciiTheme="minorHAnsi" w:eastAsia="Open Sans" w:hAnsiTheme="minorHAnsi" w:cstheme="minorHAnsi"/>
          <w:color w:val="000000"/>
          <w:sz w:val="22"/>
          <w:szCs w:val="22"/>
        </w:rPr>
        <w:t xml:space="preserve">), along with estimates ranging from 45-70% in </w:t>
      </w:r>
      <w:proofErr w:type="spellStart"/>
      <w:r>
        <w:rPr>
          <w:rFonts w:asciiTheme="minorHAnsi" w:eastAsia="Open Sans" w:hAnsiTheme="minorHAnsi" w:cstheme="minorHAnsi"/>
          <w:color w:val="000000"/>
          <w:sz w:val="22"/>
          <w:szCs w:val="22"/>
        </w:rPr>
        <w:t>Tunuloa</w:t>
      </w:r>
      <w:proofErr w:type="spellEnd"/>
      <w:r>
        <w:rPr>
          <w:rFonts w:asciiTheme="minorHAnsi" w:eastAsia="Open Sans" w:hAnsiTheme="minorHAnsi" w:cstheme="minorHAnsi"/>
          <w:color w:val="000000"/>
          <w:sz w:val="22"/>
          <w:szCs w:val="22"/>
        </w:rPr>
        <w:t xml:space="preserve"> catchment.</w:t>
      </w:r>
      <w:r>
        <w:rPr>
          <w:rStyle w:val="FootnoteAnchor"/>
          <w:rFonts w:asciiTheme="minorHAnsi" w:eastAsia="Open Sans" w:hAnsiTheme="minorHAnsi" w:cstheme="minorHAnsi"/>
          <w:color w:val="000000"/>
          <w:sz w:val="22"/>
          <w:szCs w:val="22"/>
        </w:rPr>
        <w:footnoteReference w:id="54"/>
      </w:r>
      <w:r>
        <w:rPr>
          <w:rFonts w:asciiTheme="minorHAnsi" w:eastAsia="Open Sans" w:hAnsiTheme="minorHAnsi" w:cstheme="minorHAnsi"/>
          <w:color w:val="000000"/>
          <w:sz w:val="22"/>
          <w:szCs w:val="22"/>
        </w:rPr>
        <w:t xml:space="preserve"> Field plantings were undertaken by local communities and landowners. The reasons for some plantation failures were explained as exceptionally degraded site conditions, planting outside the appropriate season, inexperienced staff, poor practice of dumping dredged river sediment on young plants along the river banks, lack of follow-up and monitoring of seedlings by government, NGOs and local groups.  Quality of planting stock from newly established community-run nurseries might have also been a factor. Stand improvement including improved methods for eradication of African Tulip, and mangrove plantation and demonstration stands were also completed. A </w:t>
      </w:r>
      <w:r>
        <w:rPr>
          <w:rFonts w:asciiTheme="minorHAnsi" w:hAnsiTheme="minorHAnsi" w:cstheme="minorHAnsi"/>
          <w:sz w:val="22"/>
          <w:szCs w:val="22"/>
        </w:rPr>
        <w:t>Forest Policy and Related Legal and Regulatory Framework</w:t>
      </w:r>
      <w:r>
        <w:rPr>
          <w:rFonts w:asciiTheme="minorHAnsi" w:eastAsia="Open Sans" w:hAnsiTheme="minorHAnsi" w:cstheme="minorHAnsi"/>
          <w:color w:val="000000"/>
          <w:sz w:val="22"/>
          <w:szCs w:val="22"/>
        </w:rPr>
        <w:t xml:space="preserve"> have been prepared by a consultant as part of the sustainable forestry component, proposing an improved system for protecting and managing forest resources, although follow-up implementation will be critical.</w:t>
      </w:r>
    </w:p>
    <w:p w14:paraId="55F46896" w14:textId="77777777" w:rsidR="007372B6" w:rsidRDefault="007372B6">
      <w:pPr>
        <w:pStyle w:val="ListParagraph"/>
        <w:tabs>
          <w:tab w:val="left" w:pos="284"/>
        </w:tabs>
        <w:ind w:left="0"/>
        <w:jc w:val="both"/>
        <w:rPr>
          <w:rFonts w:asciiTheme="minorHAnsi" w:eastAsia="Open Sans" w:hAnsiTheme="minorHAnsi" w:cstheme="minorHAnsi"/>
          <w:color w:val="000000"/>
          <w:sz w:val="22"/>
          <w:szCs w:val="22"/>
        </w:rPr>
      </w:pPr>
    </w:p>
    <w:p w14:paraId="1C5D2793" w14:textId="032D89F3" w:rsidR="007372B6" w:rsidRDefault="00000000">
      <w:pPr>
        <w:pStyle w:val="ListParagraph"/>
        <w:numPr>
          <w:ilvl w:val="3"/>
          <w:numId w:val="5"/>
        </w:numPr>
        <w:tabs>
          <w:tab w:val="left" w:pos="284"/>
        </w:tabs>
        <w:spacing w:line="312" w:lineRule="auto"/>
        <w:ind w:left="0" w:firstLine="0"/>
        <w:jc w:val="both"/>
        <w:rPr>
          <w:rFonts w:asciiTheme="minorHAnsi" w:eastAsia="Open Sans" w:hAnsiTheme="minorHAnsi" w:cstheme="minorHAnsi"/>
          <w:color w:val="000000"/>
          <w:sz w:val="22"/>
          <w:szCs w:val="22"/>
        </w:rPr>
      </w:pPr>
      <w:r>
        <w:rPr>
          <w:rFonts w:asciiTheme="minorHAnsi" w:hAnsiTheme="minorHAnsi" w:cstheme="minorHAnsi"/>
          <w:sz w:val="22"/>
          <w:szCs w:val="22"/>
        </w:rPr>
        <w:lastRenderedPageBreak/>
        <w:t xml:space="preserve">Strengthened governance for integrated natural resources (land, water, biodiversity, forests) management has been very marginal and only enhanced, with the assistance of three NGOs, through the limited experiences of developing the catchment area plans and establishing local committees to carry on with implementation (although many are uncertain about next steps). The development of a national policy on integrated natural resources management is expected in the future, but no firm commitments </w:t>
      </w:r>
      <w:r w:rsidR="00A34A90">
        <w:rPr>
          <w:rFonts w:asciiTheme="minorHAnsi" w:hAnsiTheme="minorHAnsi" w:cstheme="minorHAnsi"/>
          <w:sz w:val="22"/>
          <w:szCs w:val="22"/>
        </w:rPr>
        <w:t>were apparent</w:t>
      </w:r>
      <w:r>
        <w:rPr>
          <w:rFonts w:asciiTheme="minorHAnsi" w:hAnsiTheme="minorHAnsi" w:cstheme="minorHAnsi"/>
          <w:sz w:val="22"/>
          <w:szCs w:val="22"/>
        </w:rPr>
        <w:t>.</w:t>
      </w:r>
    </w:p>
    <w:p w14:paraId="3CC3E727" w14:textId="77777777" w:rsidR="007372B6" w:rsidRDefault="007372B6">
      <w:pPr>
        <w:pStyle w:val="ListParagraph"/>
        <w:tabs>
          <w:tab w:val="left" w:pos="284"/>
        </w:tabs>
        <w:ind w:left="0"/>
        <w:rPr>
          <w:rFonts w:asciiTheme="minorHAnsi" w:eastAsia="Open Sans" w:hAnsiTheme="minorHAnsi" w:cstheme="minorHAnsi"/>
          <w:color w:val="000000"/>
          <w:sz w:val="22"/>
          <w:szCs w:val="22"/>
        </w:rPr>
      </w:pPr>
    </w:p>
    <w:p w14:paraId="42879836" w14:textId="77777777" w:rsidR="007372B6" w:rsidRDefault="00000000">
      <w:pPr>
        <w:pStyle w:val="ListParagraph"/>
        <w:numPr>
          <w:ilvl w:val="3"/>
          <w:numId w:val="5"/>
        </w:numPr>
        <w:tabs>
          <w:tab w:val="left" w:pos="284"/>
        </w:tabs>
        <w:spacing w:line="312" w:lineRule="auto"/>
        <w:ind w:left="0" w:firstLine="0"/>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 xml:space="preserve">The project design issues focused on the delivery of outputs in support of GEF focal areas rather than addressing the specific drivers of landscape degradation in each catchment (detailed in the Project Document and annexes). The other design issue was the need to manage the project risks including capacity building needs and policy/ institutional requirements for an integrated approach. A </w:t>
      </w:r>
      <w:proofErr w:type="gramStart"/>
      <w:r>
        <w:rPr>
          <w:rFonts w:asciiTheme="minorHAnsi" w:eastAsia="Open Sans" w:hAnsiTheme="minorHAnsi" w:cstheme="minorHAnsi"/>
          <w:color w:val="000000"/>
          <w:sz w:val="22"/>
          <w:szCs w:val="22"/>
        </w:rPr>
        <w:t>sector by sector</w:t>
      </w:r>
      <w:proofErr w:type="gramEnd"/>
      <w:r>
        <w:rPr>
          <w:rFonts w:asciiTheme="minorHAnsi" w:eastAsia="Open Sans" w:hAnsiTheme="minorHAnsi" w:cstheme="minorHAnsi"/>
          <w:color w:val="000000"/>
          <w:sz w:val="22"/>
          <w:szCs w:val="22"/>
        </w:rPr>
        <w:t xml:space="preserve"> approach still dominates and the operational concept for integration is mostly undefined and currently limited to preparation of catchment area plans. The underestimated challenges of coordinating the many partners under an integrated R2R approach remain at project closure. At the field level, hydrological processes from height of land to marine habitats and runoff-related soil erosion and sedimentation processes were insufficiently addressed in preference to a central focus on protected area expansion and forest management (reforestation and stand management).  </w:t>
      </w:r>
    </w:p>
    <w:p w14:paraId="66E72FAC" w14:textId="77777777" w:rsidR="007372B6" w:rsidRDefault="007372B6">
      <w:pPr>
        <w:pStyle w:val="ListParagraph"/>
        <w:tabs>
          <w:tab w:val="left" w:pos="284"/>
        </w:tabs>
        <w:spacing w:line="312" w:lineRule="auto"/>
        <w:ind w:left="0"/>
        <w:jc w:val="both"/>
        <w:rPr>
          <w:rFonts w:asciiTheme="minorHAnsi" w:eastAsia="Open Sans" w:hAnsiTheme="minorHAnsi" w:cstheme="minorHAnsi"/>
          <w:color w:val="000000"/>
          <w:sz w:val="22"/>
          <w:szCs w:val="22"/>
        </w:rPr>
      </w:pPr>
    </w:p>
    <w:p w14:paraId="4E1CD471" w14:textId="77777777" w:rsidR="007372B6" w:rsidRDefault="00000000">
      <w:pPr>
        <w:pStyle w:val="ListParagraph"/>
        <w:numPr>
          <w:ilvl w:val="3"/>
          <w:numId w:val="5"/>
        </w:numPr>
        <w:tabs>
          <w:tab w:val="left" w:pos="284"/>
        </w:tabs>
        <w:spacing w:line="312" w:lineRule="auto"/>
        <w:ind w:left="0" w:firstLine="0"/>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 xml:space="preserve">The TE </w:t>
      </w:r>
      <w:r>
        <w:rPr>
          <w:rFonts w:asciiTheme="minorHAnsi" w:eastAsia="Calibri" w:hAnsiTheme="minorHAnsi" w:cstheme="minorHAnsi"/>
          <w:color w:val="000000"/>
          <w:sz w:val="22"/>
          <w:szCs w:val="22"/>
        </w:rPr>
        <w:t>assessment of results reveals that the R2R project faced challenges related to administrative delays in contracting and financial disbursements requiring two no-cost extensions, and the difficulties of introducing new approaches and institutional change over a short project period. Moreover, there appeared to be a lack of overall management strategy and policy mandate, which are needed for an R2R approach, and necessary to effectively implement an integrated, strategic and comprehensive approach from the height of land to the reef. Also, at the local level, it is not clear if strategies are sufficiently comprehensive in each of the priority watersheds. They appear to be focused on a series of activities by several different implementing partners without having a clear overarching landscape watershed and coastal management program.</w:t>
      </w:r>
      <w:r>
        <w:rPr>
          <w:rFonts w:asciiTheme="minorHAnsi" w:eastAsia="Calibri" w:hAnsiTheme="minorHAnsi" w:cstheme="minorHAnsi"/>
          <w:color w:val="000000"/>
          <w:sz w:val="22"/>
          <w:szCs w:val="22"/>
          <w:shd w:val="clear" w:color="auto" w:fill="FFFF00"/>
        </w:rPr>
        <w:t xml:space="preserve"> </w:t>
      </w:r>
    </w:p>
    <w:p w14:paraId="430ECFAA" w14:textId="77777777" w:rsidR="007372B6" w:rsidRDefault="007372B6">
      <w:pPr>
        <w:pStyle w:val="ListParagraph"/>
        <w:rPr>
          <w:rFonts w:asciiTheme="minorHAnsi" w:eastAsia="Open Sans" w:hAnsiTheme="minorHAnsi" w:cstheme="minorHAnsi"/>
          <w:color w:val="000000"/>
          <w:sz w:val="22"/>
          <w:szCs w:val="22"/>
        </w:rPr>
      </w:pPr>
    </w:p>
    <w:p w14:paraId="2A4173B7" w14:textId="77777777" w:rsidR="007372B6" w:rsidRDefault="00000000">
      <w:pPr>
        <w:pStyle w:val="ListParagraph"/>
        <w:widowControl w:val="0"/>
        <w:numPr>
          <w:ilvl w:val="3"/>
          <w:numId w:val="5"/>
        </w:numPr>
        <w:tabs>
          <w:tab w:val="left" w:pos="220"/>
          <w:tab w:val="left" w:pos="284"/>
          <w:tab w:val="left" w:pos="1620"/>
        </w:tabs>
        <w:spacing w:after="57" w:line="312" w:lineRule="auto"/>
        <w:ind w:left="0" w:right="183" w:firstLine="0"/>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The very slow start to the project and long delays in negotiating the implementing partner contracts and working arrangements, including resolving roles and responsibilities, created time pressures which led to general underperformance and also inability to complete many of the expected PA finance and policy development outputs. Poor management structure and communications contributed to the project being implemented in separate, uncoordinated activity components. Lack of an effective project monitoring system also inhibited the necessary adaptive management. </w:t>
      </w:r>
    </w:p>
    <w:p w14:paraId="2C010DD8" w14:textId="77777777" w:rsidR="007372B6" w:rsidRDefault="007372B6">
      <w:pPr>
        <w:pStyle w:val="ListParagraph"/>
        <w:rPr>
          <w:rFonts w:asciiTheme="minorHAnsi" w:eastAsia="Open Sans" w:hAnsiTheme="minorHAnsi" w:cstheme="minorHAnsi"/>
          <w:color w:val="000000"/>
          <w:sz w:val="22"/>
          <w:szCs w:val="22"/>
        </w:rPr>
      </w:pPr>
    </w:p>
    <w:p w14:paraId="3F7CF38E" w14:textId="54B4E113" w:rsidR="007372B6" w:rsidRDefault="00000000">
      <w:pPr>
        <w:pStyle w:val="ListParagraph"/>
        <w:widowControl w:val="0"/>
        <w:numPr>
          <w:ilvl w:val="3"/>
          <w:numId w:val="5"/>
        </w:numPr>
        <w:tabs>
          <w:tab w:val="left" w:pos="220"/>
          <w:tab w:val="left" w:pos="284"/>
          <w:tab w:val="left" w:pos="1620"/>
        </w:tabs>
        <w:spacing w:after="57" w:line="312" w:lineRule="auto"/>
        <w:ind w:left="0" w:right="183" w:firstLine="0"/>
        <w:jc w:val="both"/>
        <w:rPr>
          <w:rFonts w:asciiTheme="minorHAnsi" w:eastAsia="Calibri" w:hAnsiTheme="minorHAnsi" w:cstheme="minorHAnsi"/>
          <w:b/>
          <w:bCs/>
          <w:color w:val="000000"/>
          <w:sz w:val="22"/>
          <w:szCs w:val="22"/>
        </w:rPr>
      </w:pPr>
      <w:r>
        <w:rPr>
          <w:rFonts w:asciiTheme="minorHAnsi" w:eastAsia="Open Sans" w:hAnsiTheme="minorHAnsi" w:cstheme="minorHAnsi"/>
          <w:color w:val="000000"/>
          <w:sz w:val="22"/>
          <w:szCs w:val="22"/>
        </w:rPr>
        <w:t xml:space="preserve">Despite the shortcomings, and difficulties imposed by Covid, the project has raised R2R awareness, initiated the R2R catchment management planning and started small but important activities to begin the environmental and natural resources rehabilitation and recovery processes through expanded protected areas, methods for invasive species removal, forest sector regulatory reforms, tree planting for reforestation, alternative livelihoods development and other site improvements. </w:t>
      </w:r>
    </w:p>
    <w:p w14:paraId="3798717E" w14:textId="77777777" w:rsidR="007372B6" w:rsidRDefault="007372B6">
      <w:pPr>
        <w:tabs>
          <w:tab w:val="left" w:pos="1620"/>
        </w:tabs>
        <w:spacing w:line="312" w:lineRule="auto"/>
        <w:rPr>
          <w:rFonts w:asciiTheme="minorHAnsi" w:hAnsiTheme="minorHAnsi" w:cstheme="minorHAnsi"/>
          <w:color w:val="000000"/>
          <w:sz w:val="22"/>
          <w:szCs w:val="22"/>
          <w:shd w:val="clear" w:color="auto" w:fill="00FF00"/>
        </w:rPr>
      </w:pPr>
    </w:p>
    <w:p w14:paraId="6E46BF9E" w14:textId="77777777" w:rsidR="007372B6" w:rsidRDefault="00000000">
      <w:pPr>
        <w:pStyle w:val="ListParagraph"/>
        <w:tabs>
          <w:tab w:val="left" w:pos="581"/>
          <w:tab w:val="left" w:pos="1620"/>
        </w:tabs>
        <w:spacing w:after="113" w:line="312" w:lineRule="auto"/>
        <w:ind w:left="0"/>
        <w:rPr>
          <w:rFonts w:asciiTheme="minorHAnsi" w:hAnsiTheme="minorHAnsi" w:cstheme="minorHAnsi"/>
          <w:b/>
          <w:bCs/>
          <w:color w:val="000000"/>
          <w:sz w:val="22"/>
          <w:szCs w:val="22"/>
        </w:rPr>
      </w:pPr>
      <w:r>
        <w:rPr>
          <w:rFonts w:asciiTheme="minorHAnsi" w:eastAsia="Open Sans" w:hAnsiTheme="minorHAnsi" w:cstheme="minorHAnsi"/>
          <w:b/>
          <w:bCs/>
          <w:color w:val="000000"/>
          <w:sz w:val="22"/>
          <w:szCs w:val="22"/>
        </w:rPr>
        <w:t>5.3</w:t>
      </w:r>
      <w:r>
        <w:rPr>
          <w:rFonts w:asciiTheme="minorHAnsi" w:eastAsia="Open Sans" w:hAnsiTheme="minorHAnsi" w:cstheme="minorHAnsi"/>
          <w:b/>
          <w:bCs/>
          <w:color w:val="000000"/>
          <w:sz w:val="22"/>
          <w:szCs w:val="22"/>
        </w:rPr>
        <w:tab/>
        <w:t>Recommendations</w:t>
      </w:r>
    </w:p>
    <w:p w14:paraId="2B32103A" w14:textId="77777777" w:rsidR="007372B6" w:rsidRDefault="00000000">
      <w:pPr>
        <w:tabs>
          <w:tab w:val="left" w:pos="1620"/>
        </w:tabs>
        <w:spacing w:line="312" w:lineRule="auto"/>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The TE provides six recommendations as summarized in Table 7, and described in detail below.</w:t>
      </w:r>
    </w:p>
    <w:p w14:paraId="3AA5566A" w14:textId="77777777" w:rsidR="007372B6" w:rsidRDefault="007372B6">
      <w:pPr>
        <w:widowControl w:val="0"/>
        <w:tabs>
          <w:tab w:val="left" w:pos="1620"/>
        </w:tabs>
        <w:spacing w:line="312" w:lineRule="auto"/>
        <w:jc w:val="both"/>
        <w:rPr>
          <w:rFonts w:asciiTheme="minorHAnsi" w:hAnsiTheme="minorHAnsi"/>
          <w:b/>
          <w:bCs/>
          <w:color w:val="000000"/>
          <w:sz w:val="22"/>
          <w:szCs w:val="22"/>
          <w:lang w:eastAsia="en-US"/>
        </w:rPr>
      </w:pPr>
    </w:p>
    <w:p w14:paraId="73F0F613" w14:textId="77777777" w:rsidR="007372B6" w:rsidRDefault="00000000">
      <w:pPr>
        <w:widowControl w:val="0"/>
        <w:tabs>
          <w:tab w:val="left" w:pos="1620"/>
        </w:tabs>
        <w:spacing w:line="312" w:lineRule="auto"/>
        <w:jc w:val="center"/>
        <w:rPr>
          <w:rFonts w:asciiTheme="minorHAnsi" w:eastAsia="Open Sans" w:hAnsiTheme="minorHAnsi" w:cstheme="minorHAnsi"/>
          <w:color w:val="000000"/>
          <w:sz w:val="22"/>
          <w:szCs w:val="22"/>
        </w:rPr>
      </w:pPr>
      <w:r>
        <w:rPr>
          <w:rFonts w:asciiTheme="minorHAnsi" w:eastAsia="Open Sans" w:hAnsiTheme="minorHAnsi" w:cstheme="minorHAnsi"/>
          <w:b/>
          <w:bCs/>
          <w:color w:val="000000"/>
          <w:sz w:val="22"/>
          <w:szCs w:val="22"/>
          <w:lang w:eastAsia="en-US"/>
        </w:rPr>
        <w:t>Table 7: Recommendations</w:t>
      </w:r>
    </w:p>
    <w:tbl>
      <w:tblPr>
        <w:tblW w:w="9610" w:type="dxa"/>
        <w:tblLayout w:type="fixed"/>
        <w:tblLook w:val="04A0" w:firstRow="1" w:lastRow="0" w:firstColumn="1" w:lastColumn="0" w:noHBand="0" w:noVBand="1"/>
      </w:tblPr>
      <w:tblGrid>
        <w:gridCol w:w="538"/>
        <w:gridCol w:w="5668"/>
        <w:gridCol w:w="2123"/>
        <w:gridCol w:w="1281"/>
      </w:tblGrid>
      <w:tr w:rsidR="007372B6" w14:paraId="3F98E9D3" w14:textId="77777777">
        <w:tc>
          <w:tcPr>
            <w:tcW w:w="538" w:type="dxa"/>
            <w:tcBorders>
              <w:top w:val="single" w:sz="4" w:space="0" w:color="000000"/>
              <w:left w:val="single" w:sz="4" w:space="0" w:color="000000"/>
              <w:bottom w:val="single" w:sz="4" w:space="0" w:color="000000"/>
              <w:right w:val="single" w:sz="4" w:space="0" w:color="000000"/>
            </w:tcBorders>
          </w:tcPr>
          <w:p w14:paraId="7E1D215F" w14:textId="77777777" w:rsidR="007372B6" w:rsidRDefault="00000000">
            <w:pPr>
              <w:widowControl w:val="0"/>
              <w:tabs>
                <w:tab w:val="left" w:pos="1620"/>
              </w:tabs>
              <w:spacing w:line="312" w:lineRule="auto"/>
              <w:jc w:val="both"/>
              <w:rPr>
                <w:rFonts w:asciiTheme="minorHAnsi" w:hAnsiTheme="minorHAnsi"/>
                <w:b/>
                <w:bCs/>
                <w:color w:val="000000"/>
                <w:lang w:eastAsia="en-US"/>
              </w:rPr>
            </w:pPr>
            <w:r>
              <w:rPr>
                <w:rFonts w:asciiTheme="minorHAnsi" w:hAnsiTheme="minorHAnsi"/>
                <w:b/>
                <w:bCs/>
                <w:color w:val="000000"/>
                <w:sz w:val="22"/>
                <w:szCs w:val="22"/>
                <w:lang w:eastAsia="en-US"/>
              </w:rPr>
              <w:t>No.</w:t>
            </w:r>
          </w:p>
        </w:tc>
        <w:tc>
          <w:tcPr>
            <w:tcW w:w="5667" w:type="dxa"/>
            <w:tcBorders>
              <w:top w:val="single" w:sz="4" w:space="0" w:color="000000"/>
              <w:left w:val="single" w:sz="4" w:space="0" w:color="000000"/>
              <w:bottom w:val="single" w:sz="4" w:space="0" w:color="000000"/>
              <w:right w:val="single" w:sz="4" w:space="0" w:color="000000"/>
            </w:tcBorders>
          </w:tcPr>
          <w:p w14:paraId="3E963E0F" w14:textId="77777777" w:rsidR="007372B6" w:rsidRDefault="00000000">
            <w:pPr>
              <w:widowControl w:val="0"/>
              <w:tabs>
                <w:tab w:val="left" w:pos="1620"/>
              </w:tabs>
              <w:spacing w:line="312" w:lineRule="auto"/>
              <w:jc w:val="both"/>
              <w:rPr>
                <w:rFonts w:asciiTheme="minorHAnsi" w:hAnsiTheme="minorHAnsi"/>
                <w:b/>
                <w:bCs/>
                <w:color w:val="000000"/>
                <w:lang w:eastAsia="en-US"/>
              </w:rPr>
            </w:pPr>
            <w:r>
              <w:rPr>
                <w:rFonts w:asciiTheme="minorHAnsi" w:hAnsiTheme="minorHAnsi"/>
                <w:b/>
                <w:bCs/>
                <w:color w:val="000000"/>
                <w:sz w:val="22"/>
                <w:szCs w:val="22"/>
                <w:lang w:eastAsia="en-US"/>
              </w:rPr>
              <w:t>Recommendation</w:t>
            </w:r>
          </w:p>
        </w:tc>
        <w:tc>
          <w:tcPr>
            <w:tcW w:w="2123" w:type="dxa"/>
            <w:tcBorders>
              <w:top w:val="single" w:sz="4" w:space="0" w:color="000000"/>
              <w:left w:val="single" w:sz="4" w:space="0" w:color="000000"/>
              <w:bottom w:val="single" w:sz="4" w:space="0" w:color="000000"/>
              <w:right w:val="single" w:sz="4" w:space="0" w:color="000000"/>
            </w:tcBorders>
          </w:tcPr>
          <w:p w14:paraId="24D7ABBA" w14:textId="77777777" w:rsidR="007372B6" w:rsidRDefault="00000000">
            <w:pPr>
              <w:widowControl w:val="0"/>
              <w:tabs>
                <w:tab w:val="left" w:pos="1620"/>
              </w:tabs>
              <w:spacing w:line="312" w:lineRule="auto"/>
              <w:jc w:val="both"/>
              <w:rPr>
                <w:rFonts w:asciiTheme="minorHAnsi" w:hAnsiTheme="minorHAnsi"/>
                <w:b/>
                <w:bCs/>
                <w:color w:val="000000"/>
                <w:lang w:eastAsia="en-US"/>
              </w:rPr>
            </w:pPr>
            <w:r>
              <w:rPr>
                <w:rFonts w:asciiTheme="minorHAnsi" w:hAnsiTheme="minorHAnsi"/>
                <w:b/>
                <w:bCs/>
                <w:color w:val="000000"/>
                <w:sz w:val="22"/>
                <w:szCs w:val="22"/>
                <w:lang w:eastAsia="en-US"/>
              </w:rPr>
              <w:t>Entity responsible</w:t>
            </w:r>
          </w:p>
        </w:tc>
        <w:tc>
          <w:tcPr>
            <w:tcW w:w="1281" w:type="dxa"/>
            <w:tcBorders>
              <w:top w:val="single" w:sz="4" w:space="0" w:color="000000"/>
              <w:left w:val="single" w:sz="4" w:space="0" w:color="000000"/>
              <w:bottom w:val="single" w:sz="4" w:space="0" w:color="000000"/>
              <w:right w:val="single" w:sz="4" w:space="0" w:color="000000"/>
            </w:tcBorders>
          </w:tcPr>
          <w:p w14:paraId="00E3D617" w14:textId="77777777" w:rsidR="007372B6" w:rsidRDefault="00000000">
            <w:pPr>
              <w:widowControl w:val="0"/>
              <w:tabs>
                <w:tab w:val="left" w:pos="1620"/>
              </w:tabs>
              <w:spacing w:line="312" w:lineRule="auto"/>
              <w:jc w:val="both"/>
              <w:rPr>
                <w:rFonts w:asciiTheme="minorHAnsi" w:hAnsiTheme="minorHAnsi"/>
                <w:b/>
                <w:bCs/>
                <w:color w:val="000000"/>
                <w:lang w:eastAsia="en-US"/>
              </w:rPr>
            </w:pPr>
            <w:r>
              <w:rPr>
                <w:rFonts w:asciiTheme="minorHAnsi" w:hAnsiTheme="minorHAnsi"/>
                <w:b/>
                <w:bCs/>
                <w:color w:val="000000"/>
                <w:sz w:val="22"/>
                <w:szCs w:val="22"/>
                <w:lang w:eastAsia="en-US"/>
              </w:rPr>
              <w:t>Time frame</w:t>
            </w:r>
          </w:p>
        </w:tc>
      </w:tr>
      <w:tr w:rsidR="007372B6" w14:paraId="0D8E24BD" w14:textId="77777777">
        <w:tc>
          <w:tcPr>
            <w:tcW w:w="538" w:type="dxa"/>
            <w:tcBorders>
              <w:top w:val="single" w:sz="4" w:space="0" w:color="000000"/>
              <w:left w:val="single" w:sz="4" w:space="0" w:color="000000"/>
              <w:bottom w:val="single" w:sz="4" w:space="0" w:color="000000"/>
              <w:right w:val="single" w:sz="4" w:space="0" w:color="000000"/>
            </w:tcBorders>
          </w:tcPr>
          <w:p w14:paraId="684F29B4" w14:textId="77777777" w:rsidR="007372B6" w:rsidRDefault="00000000">
            <w:pPr>
              <w:widowControl w:val="0"/>
              <w:tabs>
                <w:tab w:val="left" w:pos="1620"/>
              </w:tabs>
              <w:jc w:val="both"/>
              <w:rPr>
                <w:rFonts w:asciiTheme="minorHAnsi" w:hAnsiTheme="minorHAnsi"/>
                <w:color w:val="000000"/>
                <w:lang w:eastAsia="en-US"/>
              </w:rPr>
            </w:pPr>
            <w:r>
              <w:rPr>
                <w:rFonts w:asciiTheme="minorHAnsi" w:hAnsiTheme="minorHAnsi"/>
                <w:color w:val="000000"/>
                <w:sz w:val="22"/>
                <w:szCs w:val="22"/>
                <w:lang w:eastAsia="en-US"/>
              </w:rPr>
              <w:t>1</w:t>
            </w:r>
          </w:p>
        </w:tc>
        <w:tc>
          <w:tcPr>
            <w:tcW w:w="5667" w:type="dxa"/>
            <w:tcBorders>
              <w:top w:val="single" w:sz="4" w:space="0" w:color="000000"/>
              <w:left w:val="single" w:sz="4" w:space="0" w:color="000000"/>
              <w:bottom w:val="single" w:sz="4" w:space="0" w:color="000000"/>
              <w:right w:val="single" w:sz="4" w:space="0" w:color="000000"/>
            </w:tcBorders>
          </w:tcPr>
          <w:p w14:paraId="3FFFD2D4" w14:textId="77777777" w:rsidR="007372B6" w:rsidRDefault="00000000">
            <w:pPr>
              <w:widowControl w:val="0"/>
              <w:tabs>
                <w:tab w:val="left" w:pos="1620"/>
              </w:tabs>
              <w:jc w:val="both"/>
              <w:rPr>
                <w:rFonts w:asciiTheme="minorHAnsi" w:hAnsiTheme="minorHAnsi"/>
                <w:color w:val="000000"/>
                <w:sz w:val="20"/>
                <w:szCs w:val="20"/>
                <w:lang w:eastAsia="en-US"/>
              </w:rPr>
            </w:pPr>
            <w:r>
              <w:rPr>
                <w:rFonts w:asciiTheme="minorHAnsi" w:eastAsia="Open Sans" w:hAnsiTheme="minorHAnsi" w:cstheme="minorHAnsi"/>
                <w:color w:val="000000"/>
                <w:sz w:val="20"/>
                <w:szCs w:val="20"/>
              </w:rPr>
              <w:t xml:space="preserve">The Fiji UNDP Country Office and the Ministry of </w:t>
            </w:r>
            <w:r>
              <w:rPr>
                <w:rFonts w:asciiTheme="minorHAnsi" w:hAnsiTheme="minorHAnsi" w:cstheme="minorHAnsi"/>
                <w:sz w:val="20"/>
                <w:szCs w:val="20"/>
                <w:lang w:eastAsia="en-GB"/>
              </w:rPr>
              <w:t>Waterways and Environment should coordinate and report on the remaining tasks under the Exit Strategy action plan, as documented in the 2022 Project Implementation Report, and recommend a program for further implementation of the Catchment Area Plans.</w:t>
            </w:r>
          </w:p>
        </w:tc>
        <w:tc>
          <w:tcPr>
            <w:tcW w:w="2123" w:type="dxa"/>
            <w:tcBorders>
              <w:top w:val="single" w:sz="4" w:space="0" w:color="000000"/>
              <w:left w:val="single" w:sz="4" w:space="0" w:color="000000"/>
              <w:bottom w:val="single" w:sz="4" w:space="0" w:color="000000"/>
              <w:right w:val="single" w:sz="4" w:space="0" w:color="000000"/>
            </w:tcBorders>
          </w:tcPr>
          <w:p w14:paraId="5447F332" w14:textId="77777777" w:rsidR="007372B6" w:rsidRDefault="00000000">
            <w:pPr>
              <w:widowControl w:val="0"/>
              <w:tabs>
                <w:tab w:val="left" w:pos="1620"/>
              </w:tabs>
              <w:jc w:val="both"/>
              <w:rPr>
                <w:rFonts w:asciiTheme="minorHAnsi" w:hAnsiTheme="minorHAnsi"/>
                <w:color w:val="000000"/>
                <w:lang w:eastAsia="en-US"/>
              </w:rPr>
            </w:pPr>
            <w:r>
              <w:rPr>
                <w:rFonts w:asciiTheme="minorHAnsi" w:eastAsia="Open Sans" w:hAnsiTheme="minorHAnsi" w:cstheme="minorHAnsi"/>
                <w:color w:val="000000"/>
                <w:sz w:val="20"/>
                <w:szCs w:val="20"/>
              </w:rPr>
              <w:t xml:space="preserve">Fiji UNDP Country Office and the Ministry of </w:t>
            </w:r>
            <w:r>
              <w:rPr>
                <w:rFonts w:asciiTheme="minorHAnsi" w:hAnsiTheme="minorHAnsi" w:cstheme="minorHAnsi"/>
                <w:sz w:val="20"/>
                <w:szCs w:val="20"/>
                <w:lang w:eastAsia="en-GB"/>
              </w:rPr>
              <w:t>Waterways and Environment</w:t>
            </w:r>
          </w:p>
        </w:tc>
        <w:tc>
          <w:tcPr>
            <w:tcW w:w="1281" w:type="dxa"/>
            <w:tcBorders>
              <w:top w:val="single" w:sz="4" w:space="0" w:color="000000"/>
              <w:left w:val="single" w:sz="4" w:space="0" w:color="000000"/>
              <w:bottom w:val="single" w:sz="4" w:space="0" w:color="000000"/>
              <w:right w:val="single" w:sz="4" w:space="0" w:color="000000"/>
            </w:tcBorders>
          </w:tcPr>
          <w:p w14:paraId="67499962" w14:textId="77777777" w:rsidR="007372B6" w:rsidRDefault="00000000">
            <w:pPr>
              <w:widowControl w:val="0"/>
              <w:tabs>
                <w:tab w:val="left" w:pos="1620"/>
              </w:tabs>
              <w:jc w:val="both"/>
              <w:rPr>
                <w:rFonts w:asciiTheme="minorHAnsi" w:hAnsiTheme="minorHAnsi"/>
                <w:color w:val="000000"/>
                <w:lang w:eastAsia="en-US"/>
              </w:rPr>
            </w:pPr>
            <w:r>
              <w:rPr>
                <w:rFonts w:asciiTheme="minorHAnsi" w:hAnsiTheme="minorHAnsi"/>
                <w:color w:val="000000"/>
                <w:sz w:val="22"/>
                <w:szCs w:val="22"/>
                <w:lang w:eastAsia="en-US"/>
              </w:rPr>
              <w:t>Q1 2023</w:t>
            </w:r>
          </w:p>
        </w:tc>
      </w:tr>
      <w:tr w:rsidR="007372B6" w14:paraId="6BA51F42" w14:textId="77777777">
        <w:tc>
          <w:tcPr>
            <w:tcW w:w="538" w:type="dxa"/>
            <w:tcBorders>
              <w:top w:val="single" w:sz="4" w:space="0" w:color="000000"/>
              <w:left w:val="single" w:sz="4" w:space="0" w:color="000000"/>
              <w:bottom w:val="single" w:sz="4" w:space="0" w:color="000000"/>
              <w:right w:val="single" w:sz="4" w:space="0" w:color="000000"/>
            </w:tcBorders>
          </w:tcPr>
          <w:p w14:paraId="21241BDD" w14:textId="77777777" w:rsidR="007372B6" w:rsidRDefault="007372B6">
            <w:pPr>
              <w:widowControl w:val="0"/>
              <w:tabs>
                <w:tab w:val="left" w:pos="1620"/>
              </w:tabs>
              <w:jc w:val="both"/>
              <w:rPr>
                <w:rFonts w:asciiTheme="minorHAnsi" w:hAnsiTheme="minorHAnsi"/>
                <w:color w:val="00000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014D9F6B"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2123" w:type="dxa"/>
            <w:tcBorders>
              <w:top w:val="single" w:sz="4" w:space="0" w:color="000000"/>
              <w:left w:val="single" w:sz="4" w:space="0" w:color="000000"/>
              <w:bottom w:val="single" w:sz="4" w:space="0" w:color="000000"/>
              <w:right w:val="single" w:sz="4" w:space="0" w:color="000000"/>
            </w:tcBorders>
          </w:tcPr>
          <w:p w14:paraId="19E96CD8" w14:textId="77777777" w:rsidR="007372B6" w:rsidRDefault="007372B6">
            <w:pPr>
              <w:widowControl w:val="0"/>
              <w:tabs>
                <w:tab w:val="left" w:pos="1620"/>
              </w:tabs>
              <w:jc w:val="both"/>
              <w:rPr>
                <w:rFonts w:asciiTheme="minorHAnsi" w:hAnsiTheme="minorHAnsi"/>
                <w:color w:val="000000"/>
                <w:lang w:eastAsia="en-US"/>
              </w:rPr>
            </w:pPr>
          </w:p>
        </w:tc>
        <w:tc>
          <w:tcPr>
            <w:tcW w:w="1281" w:type="dxa"/>
            <w:tcBorders>
              <w:top w:val="single" w:sz="4" w:space="0" w:color="000000"/>
              <w:left w:val="single" w:sz="4" w:space="0" w:color="000000"/>
              <w:bottom w:val="single" w:sz="4" w:space="0" w:color="000000"/>
              <w:right w:val="single" w:sz="4" w:space="0" w:color="000000"/>
            </w:tcBorders>
          </w:tcPr>
          <w:p w14:paraId="2B014AF3" w14:textId="77777777" w:rsidR="007372B6" w:rsidRDefault="007372B6">
            <w:pPr>
              <w:widowControl w:val="0"/>
              <w:tabs>
                <w:tab w:val="left" w:pos="1620"/>
              </w:tabs>
              <w:jc w:val="both"/>
              <w:rPr>
                <w:rFonts w:asciiTheme="minorHAnsi" w:hAnsiTheme="minorHAnsi"/>
                <w:color w:val="000000"/>
                <w:lang w:eastAsia="en-US"/>
              </w:rPr>
            </w:pPr>
          </w:p>
        </w:tc>
      </w:tr>
      <w:tr w:rsidR="007372B6" w14:paraId="3807D525" w14:textId="77777777">
        <w:tc>
          <w:tcPr>
            <w:tcW w:w="538" w:type="dxa"/>
            <w:tcBorders>
              <w:top w:val="single" w:sz="4" w:space="0" w:color="000000"/>
              <w:left w:val="single" w:sz="4" w:space="0" w:color="000000"/>
              <w:bottom w:val="single" w:sz="4" w:space="0" w:color="000000"/>
              <w:right w:val="single" w:sz="4" w:space="0" w:color="000000"/>
            </w:tcBorders>
          </w:tcPr>
          <w:p w14:paraId="38AD1A68"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2</w:t>
            </w:r>
          </w:p>
        </w:tc>
        <w:tc>
          <w:tcPr>
            <w:tcW w:w="5667" w:type="dxa"/>
            <w:tcBorders>
              <w:top w:val="single" w:sz="4" w:space="0" w:color="000000"/>
              <w:left w:val="single" w:sz="4" w:space="0" w:color="000000"/>
              <w:bottom w:val="single" w:sz="4" w:space="0" w:color="000000"/>
              <w:right w:val="single" w:sz="4" w:space="0" w:color="000000"/>
            </w:tcBorders>
          </w:tcPr>
          <w:p w14:paraId="63DAC78B"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UNDP/GEF should establish a regional Pacific technical advisory group to assist R2R projects and to provide guidance for R2R Project Implementation Strategies that need to be prepared during the inception phase of future projects.</w:t>
            </w:r>
          </w:p>
        </w:tc>
        <w:tc>
          <w:tcPr>
            <w:tcW w:w="2123" w:type="dxa"/>
            <w:tcBorders>
              <w:top w:val="single" w:sz="4" w:space="0" w:color="000000"/>
              <w:left w:val="single" w:sz="4" w:space="0" w:color="000000"/>
              <w:bottom w:val="single" w:sz="4" w:space="0" w:color="000000"/>
              <w:right w:val="single" w:sz="4" w:space="0" w:color="000000"/>
            </w:tcBorders>
          </w:tcPr>
          <w:p w14:paraId="5B260F70" w14:textId="77777777" w:rsidR="007372B6" w:rsidRDefault="00000000">
            <w:pPr>
              <w:widowControl w:val="0"/>
              <w:tabs>
                <w:tab w:val="left" w:pos="1620"/>
              </w:tabs>
              <w:jc w:val="both"/>
              <w:rPr>
                <w:rFonts w:asciiTheme="minorHAnsi" w:hAnsiTheme="minorHAnsi"/>
                <w:color w:val="000000"/>
                <w:lang w:eastAsia="en-US"/>
              </w:rPr>
            </w:pPr>
            <w:r>
              <w:rPr>
                <w:rFonts w:asciiTheme="minorHAnsi" w:eastAsia="Open Sans" w:hAnsiTheme="minorHAnsi" w:cstheme="minorHAnsi"/>
                <w:color w:val="000000"/>
                <w:sz w:val="20"/>
                <w:szCs w:val="20"/>
              </w:rPr>
              <w:t>UNDP/GEF</w:t>
            </w:r>
          </w:p>
        </w:tc>
        <w:tc>
          <w:tcPr>
            <w:tcW w:w="1281" w:type="dxa"/>
            <w:tcBorders>
              <w:top w:val="single" w:sz="4" w:space="0" w:color="000000"/>
              <w:left w:val="single" w:sz="4" w:space="0" w:color="000000"/>
              <w:bottom w:val="single" w:sz="4" w:space="0" w:color="000000"/>
              <w:right w:val="single" w:sz="4" w:space="0" w:color="000000"/>
            </w:tcBorders>
          </w:tcPr>
          <w:p w14:paraId="5E2B23C3"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Q1 2023</w:t>
            </w:r>
          </w:p>
        </w:tc>
      </w:tr>
      <w:tr w:rsidR="007372B6" w14:paraId="7C0F6FC6" w14:textId="77777777">
        <w:tc>
          <w:tcPr>
            <w:tcW w:w="538" w:type="dxa"/>
            <w:tcBorders>
              <w:top w:val="single" w:sz="4" w:space="0" w:color="000000"/>
              <w:left w:val="single" w:sz="4" w:space="0" w:color="000000"/>
              <w:bottom w:val="single" w:sz="4" w:space="0" w:color="000000"/>
              <w:right w:val="single" w:sz="4" w:space="0" w:color="000000"/>
            </w:tcBorders>
          </w:tcPr>
          <w:p w14:paraId="1F88B619" w14:textId="77777777" w:rsidR="007372B6" w:rsidRDefault="007372B6">
            <w:pPr>
              <w:widowControl w:val="0"/>
              <w:tabs>
                <w:tab w:val="left" w:pos="1620"/>
              </w:tabs>
              <w:spacing w:line="312" w:lineRule="auto"/>
              <w:jc w:val="both"/>
              <w:rPr>
                <w:rFonts w:asciiTheme="minorHAnsi" w:hAnsiTheme="minorHAnsi"/>
                <w:color w:val="00000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5ABEA5C3" w14:textId="77777777" w:rsidR="007372B6" w:rsidRDefault="007372B6">
            <w:pPr>
              <w:widowControl w:val="0"/>
              <w:tabs>
                <w:tab w:val="left" w:pos="1620"/>
              </w:tabs>
              <w:jc w:val="both"/>
              <w:rPr>
                <w:rFonts w:asciiTheme="minorHAnsi" w:eastAsia="Open Sans" w:hAnsiTheme="minorHAnsi" w:cstheme="minorHAnsi"/>
                <w:color w:val="000000"/>
                <w:sz w:val="20"/>
                <w:szCs w:val="20"/>
              </w:rPr>
            </w:pPr>
          </w:p>
        </w:tc>
        <w:tc>
          <w:tcPr>
            <w:tcW w:w="2123" w:type="dxa"/>
            <w:tcBorders>
              <w:top w:val="single" w:sz="4" w:space="0" w:color="000000"/>
              <w:left w:val="single" w:sz="4" w:space="0" w:color="000000"/>
              <w:bottom w:val="single" w:sz="4" w:space="0" w:color="000000"/>
              <w:right w:val="single" w:sz="4" w:space="0" w:color="000000"/>
            </w:tcBorders>
          </w:tcPr>
          <w:p w14:paraId="5EEA0B05" w14:textId="77777777" w:rsidR="007372B6" w:rsidRDefault="007372B6">
            <w:pPr>
              <w:widowControl w:val="0"/>
              <w:tabs>
                <w:tab w:val="left" w:pos="1620"/>
              </w:tabs>
              <w:jc w:val="both"/>
              <w:rPr>
                <w:rFonts w:asciiTheme="minorHAnsi" w:hAnsiTheme="minorHAnsi"/>
                <w:color w:val="000000"/>
                <w:lang w:eastAsia="en-US"/>
              </w:rPr>
            </w:pPr>
          </w:p>
        </w:tc>
        <w:tc>
          <w:tcPr>
            <w:tcW w:w="1281" w:type="dxa"/>
            <w:tcBorders>
              <w:top w:val="single" w:sz="4" w:space="0" w:color="000000"/>
              <w:left w:val="single" w:sz="4" w:space="0" w:color="000000"/>
              <w:bottom w:val="single" w:sz="4" w:space="0" w:color="000000"/>
              <w:right w:val="single" w:sz="4" w:space="0" w:color="000000"/>
            </w:tcBorders>
          </w:tcPr>
          <w:p w14:paraId="53B5AF35" w14:textId="77777777" w:rsidR="007372B6" w:rsidRDefault="007372B6">
            <w:pPr>
              <w:widowControl w:val="0"/>
              <w:tabs>
                <w:tab w:val="left" w:pos="1620"/>
              </w:tabs>
              <w:spacing w:line="312" w:lineRule="auto"/>
              <w:jc w:val="both"/>
              <w:rPr>
                <w:rFonts w:asciiTheme="minorHAnsi" w:hAnsiTheme="minorHAnsi"/>
                <w:color w:val="000000"/>
                <w:lang w:eastAsia="en-US"/>
              </w:rPr>
            </w:pPr>
          </w:p>
        </w:tc>
      </w:tr>
      <w:tr w:rsidR="007372B6" w14:paraId="40274963" w14:textId="77777777">
        <w:tc>
          <w:tcPr>
            <w:tcW w:w="538" w:type="dxa"/>
            <w:tcBorders>
              <w:top w:val="single" w:sz="4" w:space="0" w:color="000000"/>
              <w:left w:val="single" w:sz="4" w:space="0" w:color="000000"/>
              <w:bottom w:val="single" w:sz="4" w:space="0" w:color="000000"/>
              <w:right w:val="single" w:sz="4" w:space="0" w:color="000000"/>
            </w:tcBorders>
          </w:tcPr>
          <w:p w14:paraId="773FF1DE"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3</w:t>
            </w:r>
          </w:p>
        </w:tc>
        <w:tc>
          <w:tcPr>
            <w:tcW w:w="5667" w:type="dxa"/>
            <w:tcBorders>
              <w:top w:val="single" w:sz="4" w:space="0" w:color="000000"/>
              <w:left w:val="single" w:sz="4" w:space="0" w:color="000000"/>
              <w:bottom w:val="single" w:sz="4" w:space="0" w:color="000000"/>
              <w:right w:val="single" w:sz="4" w:space="0" w:color="000000"/>
            </w:tcBorders>
          </w:tcPr>
          <w:p w14:paraId="6B2EC410"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The Fiji Ministry of Forests should undertake an independent review of the performance of reforestation activities in the Fiji R2R catchment areas and make program improvements based on experiences including the integration of tree planting and soil and water conservation.</w:t>
            </w:r>
          </w:p>
        </w:tc>
        <w:tc>
          <w:tcPr>
            <w:tcW w:w="2123" w:type="dxa"/>
            <w:tcBorders>
              <w:top w:val="single" w:sz="4" w:space="0" w:color="000000"/>
              <w:left w:val="single" w:sz="4" w:space="0" w:color="000000"/>
              <w:bottom w:val="single" w:sz="4" w:space="0" w:color="000000"/>
              <w:right w:val="single" w:sz="4" w:space="0" w:color="000000"/>
            </w:tcBorders>
          </w:tcPr>
          <w:p w14:paraId="7C2481BC" w14:textId="77777777" w:rsidR="007372B6" w:rsidRDefault="00000000">
            <w:pPr>
              <w:widowControl w:val="0"/>
              <w:tabs>
                <w:tab w:val="left" w:pos="1620"/>
              </w:tabs>
              <w:jc w:val="both"/>
              <w:rPr>
                <w:rFonts w:asciiTheme="minorHAnsi" w:hAnsiTheme="minorHAnsi"/>
                <w:color w:val="000000"/>
                <w:lang w:eastAsia="en-US"/>
              </w:rPr>
            </w:pPr>
            <w:r>
              <w:rPr>
                <w:rFonts w:asciiTheme="minorHAnsi" w:eastAsia="Open Sans" w:hAnsiTheme="minorHAnsi" w:cstheme="minorHAnsi"/>
                <w:color w:val="000000"/>
                <w:sz w:val="20"/>
                <w:szCs w:val="20"/>
              </w:rPr>
              <w:t>Fiji Ministry of Forests</w:t>
            </w:r>
          </w:p>
        </w:tc>
        <w:tc>
          <w:tcPr>
            <w:tcW w:w="1281" w:type="dxa"/>
            <w:tcBorders>
              <w:top w:val="single" w:sz="4" w:space="0" w:color="000000"/>
              <w:left w:val="single" w:sz="4" w:space="0" w:color="000000"/>
              <w:bottom w:val="single" w:sz="4" w:space="0" w:color="000000"/>
              <w:right w:val="single" w:sz="4" w:space="0" w:color="000000"/>
            </w:tcBorders>
          </w:tcPr>
          <w:p w14:paraId="1F92071B"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Q1-2 2023</w:t>
            </w:r>
          </w:p>
        </w:tc>
      </w:tr>
      <w:tr w:rsidR="007372B6" w14:paraId="3E1C33B6" w14:textId="77777777">
        <w:tc>
          <w:tcPr>
            <w:tcW w:w="538" w:type="dxa"/>
            <w:tcBorders>
              <w:top w:val="single" w:sz="4" w:space="0" w:color="000000"/>
              <w:left w:val="single" w:sz="4" w:space="0" w:color="000000"/>
              <w:bottom w:val="single" w:sz="4" w:space="0" w:color="000000"/>
              <w:right w:val="single" w:sz="4" w:space="0" w:color="000000"/>
            </w:tcBorders>
          </w:tcPr>
          <w:p w14:paraId="3E3725BE" w14:textId="77777777" w:rsidR="007372B6" w:rsidRDefault="007372B6">
            <w:pPr>
              <w:widowControl w:val="0"/>
              <w:tabs>
                <w:tab w:val="left" w:pos="1620"/>
              </w:tabs>
              <w:spacing w:line="312" w:lineRule="auto"/>
              <w:jc w:val="both"/>
              <w:rPr>
                <w:rFonts w:asciiTheme="minorHAnsi" w:hAnsiTheme="minorHAnsi"/>
                <w:color w:val="00000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64AFCE80" w14:textId="77777777" w:rsidR="007372B6" w:rsidRDefault="007372B6">
            <w:pPr>
              <w:widowControl w:val="0"/>
              <w:tabs>
                <w:tab w:val="left" w:pos="1620"/>
              </w:tabs>
              <w:jc w:val="both"/>
              <w:rPr>
                <w:rFonts w:asciiTheme="minorHAnsi" w:eastAsia="Open Sans" w:hAnsiTheme="minorHAnsi" w:cstheme="minorHAnsi"/>
                <w:color w:val="000000"/>
                <w:sz w:val="20"/>
                <w:szCs w:val="20"/>
              </w:rPr>
            </w:pPr>
          </w:p>
        </w:tc>
        <w:tc>
          <w:tcPr>
            <w:tcW w:w="2123" w:type="dxa"/>
            <w:tcBorders>
              <w:top w:val="single" w:sz="4" w:space="0" w:color="000000"/>
              <w:left w:val="single" w:sz="4" w:space="0" w:color="000000"/>
              <w:bottom w:val="single" w:sz="4" w:space="0" w:color="000000"/>
              <w:right w:val="single" w:sz="4" w:space="0" w:color="000000"/>
            </w:tcBorders>
          </w:tcPr>
          <w:p w14:paraId="4791F498" w14:textId="77777777" w:rsidR="007372B6" w:rsidRDefault="007372B6">
            <w:pPr>
              <w:widowControl w:val="0"/>
              <w:tabs>
                <w:tab w:val="left" w:pos="1620"/>
              </w:tabs>
              <w:jc w:val="both"/>
              <w:rPr>
                <w:rFonts w:asciiTheme="minorHAnsi" w:hAnsiTheme="minorHAnsi"/>
                <w:color w:val="000000"/>
                <w:lang w:eastAsia="en-US"/>
              </w:rPr>
            </w:pPr>
          </w:p>
        </w:tc>
        <w:tc>
          <w:tcPr>
            <w:tcW w:w="1281" w:type="dxa"/>
            <w:tcBorders>
              <w:top w:val="single" w:sz="4" w:space="0" w:color="000000"/>
              <w:left w:val="single" w:sz="4" w:space="0" w:color="000000"/>
              <w:bottom w:val="single" w:sz="4" w:space="0" w:color="000000"/>
              <w:right w:val="single" w:sz="4" w:space="0" w:color="000000"/>
            </w:tcBorders>
          </w:tcPr>
          <w:p w14:paraId="45613ADE" w14:textId="77777777" w:rsidR="007372B6" w:rsidRDefault="007372B6">
            <w:pPr>
              <w:widowControl w:val="0"/>
              <w:tabs>
                <w:tab w:val="left" w:pos="1620"/>
              </w:tabs>
              <w:spacing w:line="312" w:lineRule="auto"/>
              <w:jc w:val="both"/>
              <w:rPr>
                <w:rFonts w:asciiTheme="minorHAnsi" w:hAnsiTheme="minorHAnsi"/>
                <w:color w:val="000000"/>
                <w:lang w:eastAsia="en-US"/>
              </w:rPr>
            </w:pPr>
          </w:p>
        </w:tc>
      </w:tr>
      <w:tr w:rsidR="007372B6" w14:paraId="6C33E1DA" w14:textId="77777777">
        <w:tc>
          <w:tcPr>
            <w:tcW w:w="538" w:type="dxa"/>
            <w:tcBorders>
              <w:top w:val="single" w:sz="4" w:space="0" w:color="000000"/>
              <w:left w:val="single" w:sz="4" w:space="0" w:color="000000"/>
              <w:bottom w:val="single" w:sz="4" w:space="0" w:color="000000"/>
              <w:right w:val="single" w:sz="4" w:space="0" w:color="000000"/>
            </w:tcBorders>
          </w:tcPr>
          <w:p w14:paraId="5AF89785"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4</w:t>
            </w:r>
          </w:p>
        </w:tc>
        <w:tc>
          <w:tcPr>
            <w:tcW w:w="5667" w:type="dxa"/>
            <w:tcBorders>
              <w:top w:val="single" w:sz="4" w:space="0" w:color="000000"/>
              <w:left w:val="single" w:sz="4" w:space="0" w:color="000000"/>
              <w:bottom w:val="single" w:sz="4" w:space="0" w:color="000000"/>
              <w:right w:val="single" w:sz="4" w:space="0" w:color="000000"/>
            </w:tcBorders>
          </w:tcPr>
          <w:p w14:paraId="0DD9B152" w14:textId="77777777" w:rsidR="007372B6" w:rsidRDefault="00000000">
            <w:pPr>
              <w:widowControl w:val="0"/>
              <w:tabs>
                <w:tab w:val="left" w:pos="1620"/>
              </w:tabs>
              <w:jc w:val="both"/>
              <w:rPr>
                <w:rFonts w:asciiTheme="minorHAnsi" w:hAnsiTheme="minorHAnsi"/>
                <w:color w:val="000000"/>
                <w:sz w:val="20"/>
                <w:szCs w:val="20"/>
                <w:lang w:eastAsia="en-US"/>
              </w:rPr>
            </w:pPr>
            <w:r>
              <w:rPr>
                <w:rFonts w:asciiTheme="minorHAnsi" w:hAnsiTheme="minorHAnsi" w:cstheme="minorHAnsi"/>
                <w:sz w:val="20"/>
                <w:szCs w:val="20"/>
                <w:lang w:eastAsia="en-GB"/>
              </w:rPr>
              <w:t>The Government of Fiji should initiate a few small demonstration projects of integrated natural resources management by addressing selected priorities in some of the completed Catchment Area plans and in collaboration with Catchment Area Committees.</w:t>
            </w:r>
          </w:p>
        </w:tc>
        <w:tc>
          <w:tcPr>
            <w:tcW w:w="2123" w:type="dxa"/>
            <w:tcBorders>
              <w:top w:val="single" w:sz="4" w:space="0" w:color="000000"/>
              <w:left w:val="single" w:sz="4" w:space="0" w:color="000000"/>
              <w:bottom w:val="single" w:sz="4" w:space="0" w:color="000000"/>
              <w:right w:val="single" w:sz="4" w:space="0" w:color="000000"/>
            </w:tcBorders>
          </w:tcPr>
          <w:p w14:paraId="73744EC2" w14:textId="77777777" w:rsidR="007372B6" w:rsidRDefault="00000000">
            <w:pPr>
              <w:widowControl w:val="0"/>
              <w:tabs>
                <w:tab w:val="left" w:pos="1620"/>
              </w:tabs>
              <w:jc w:val="both"/>
              <w:rPr>
                <w:rFonts w:asciiTheme="minorHAnsi" w:hAnsiTheme="minorHAnsi"/>
                <w:color w:val="000000"/>
                <w:lang w:eastAsia="en-US"/>
              </w:rPr>
            </w:pPr>
            <w:r>
              <w:rPr>
                <w:rFonts w:asciiTheme="minorHAnsi" w:hAnsiTheme="minorHAnsi" w:cstheme="minorHAnsi"/>
                <w:sz w:val="20"/>
                <w:szCs w:val="20"/>
                <w:lang w:eastAsia="en-GB"/>
              </w:rPr>
              <w:t xml:space="preserve">Government of Fiji, </w:t>
            </w:r>
            <w:r>
              <w:rPr>
                <w:rFonts w:asciiTheme="minorHAnsi" w:eastAsia="Open Sans" w:hAnsiTheme="minorHAnsi" w:cstheme="minorHAnsi"/>
                <w:color w:val="000000"/>
                <w:sz w:val="20"/>
                <w:szCs w:val="20"/>
              </w:rPr>
              <w:t xml:space="preserve">Ministry of </w:t>
            </w:r>
            <w:r>
              <w:rPr>
                <w:rFonts w:asciiTheme="minorHAnsi" w:hAnsiTheme="minorHAnsi" w:cstheme="minorHAnsi"/>
                <w:sz w:val="20"/>
                <w:szCs w:val="20"/>
                <w:lang w:eastAsia="en-GB"/>
              </w:rPr>
              <w:t>Waterways and Environment</w:t>
            </w:r>
          </w:p>
        </w:tc>
        <w:tc>
          <w:tcPr>
            <w:tcW w:w="1281" w:type="dxa"/>
            <w:tcBorders>
              <w:top w:val="single" w:sz="4" w:space="0" w:color="000000"/>
              <w:left w:val="single" w:sz="4" w:space="0" w:color="000000"/>
              <w:bottom w:val="single" w:sz="4" w:space="0" w:color="000000"/>
              <w:right w:val="single" w:sz="4" w:space="0" w:color="000000"/>
            </w:tcBorders>
          </w:tcPr>
          <w:p w14:paraId="4FFE5C9D"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2023</w:t>
            </w:r>
          </w:p>
        </w:tc>
      </w:tr>
      <w:tr w:rsidR="007372B6" w14:paraId="6A76EE96" w14:textId="77777777">
        <w:tc>
          <w:tcPr>
            <w:tcW w:w="538" w:type="dxa"/>
            <w:tcBorders>
              <w:top w:val="single" w:sz="4" w:space="0" w:color="000000"/>
              <w:left w:val="single" w:sz="4" w:space="0" w:color="000000"/>
              <w:bottom w:val="single" w:sz="4" w:space="0" w:color="000000"/>
              <w:right w:val="single" w:sz="4" w:space="0" w:color="000000"/>
            </w:tcBorders>
          </w:tcPr>
          <w:p w14:paraId="1D6C5AD7" w14:textId="77777777" w:rsidR="007372B6" w:rsidRDefault="007372B6">
            <w:pPr>
              <w:widowControl w:val="0"/>
              <w:tabs>
                <w:tab w:val="left" w:pos="1620"/>
              </w:tabs>
              <w:spacing w:line="312" w:lineRule="auto"/>
              <w:jc w:val="both"/>
              <w:rPr>
                <w:rFonts w:asciiTheme="minorHAnsi" w:hAnsiTheme="minorHAnsi"/>
                <w:color w:val="00000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60E59A48" w14:textId="77777777" w:rsidR="007372B6" w:rsidRDefault="007372B6">
            <w:pPr>
              <w:widowControl w:val="0"/>
              <w:tabs>
                <w:tab w:val="left" w:pos="1620"/>
              </w:tabs>
              <w:jc w:val="both"/>
              <w:rPr>
                <w:rFonts w:asciiTheme="minorHAnsi" w:hAnsiTheme="minorHAnsi"/>
                <w:color w:val="000000"/>
                <w:sz w:val="20"/>
                <w:szCs w:val="20"/>
                <w:lang w:eastAsia="en-US"/>
              </w:rPr>
            </w:pPr>
          </w:p>
        </w:tc>
        <w:tc>
          <w:tcPr>
            <w:tcW w:w="2123" w:type="dxa"/>
            <w:tcBorders>
              <w:top w:val="single" w:sz="4" w:space="0" w:color="000000"/>
              <w:left w:val="single" w:sz="4" w:space="0" w:color="000000"/>
              <w:bottom w:val="single" w:sz="4" w:space="0" w:color="000000"/>
              <w:right w:val="single" w:sz="4" w:space="0" w:color="000000"/>
            </w:tcBorders>
          </w:tcPr>
          <w:p w14:paraId="635CB47D" w14:textId="77777777" w:rsidR="007372B6" w:rsidRDefault="007372B6">
            <w:pPr>
              <w:widowControl w:val="0"/>
              <w:tabs>
                <w:tab w:val="left" w:pos="1620"/>
              </w:tabs>
              <w:jc w:val="both"/>
              <w:rPr>
                <w:rFonts w:asciiTheme="minorHAnsi" w:hAnsiTheme="minorHAnsi"/>
                <w:color w:val="000000"/>
                <w:lang w:eastAsia="en-US"/>
              </w:rPr>
            </w:pPr>
          </w:p>
        </w:tc>
        <w:tc>
          <w:tcPr>
            <w:tcW w:w="1281" w:type="dxa"/>
            <w:tcBorders>
              <w:top w:val="single" w:sz="4" w:space="0" w:color="000000"/>
              <w:left w:val="single" w:sz="4" w:space="0" w:color="000000"/>
              <w:bottom w:val="single" w:sz="4" w:space="0" w:color="000000"/>
              <w:right w:val="single" w:sz="4" w:space="0" w:color="000000"/>
            </w:tcBorders>
          </w:tcPr>
          <w:p w14:paraId="768514AC" w14:textId="77777777" w:rsidR="007372B6" w:rsidRDefault="007372B6">
            <w:pPr>
              <w:widowControl w:val="0"/>
              <w:tabs>
                <w:tab w:val="left" w:pos="1620"/>
              </w:tabs>
              <w:spacing w:line="312" w:lineRule="auto"/>
              <w:jc w:val="both"/>
              <w:rPr>
                <w:rFonts w:asciiTheme="minorHAnsi" w:hAnsiTheme="minorHAnsi"/>
                <w:color w:val="000000"/>
                <w:lang w:eastAsia="en-US"/>
              </w:rPr>
            </w:pPr>
          </w:p>
        </w:tc>
      </w:tr>
      <w:tr w:rsidR="007372B6" w14:paraId="52C539EB" w14:textId="77777777">
        <w:tc>
          <w:tcPr>
            <w:tcW w:w="538" w:type="dxa"/>
            <w:tcBorders>
              <w:top w:val="single" w:sz="4" w:space="0" w:color="000000"/>
              <w:left w:val="single" w:sz="4" w:space="0" w:color="000000"/>
              <w:bottom w:val="single" w:sz="4" w:space="0" w:color="000000"/>
              <w:right w:val="single" w:sz="4" w:space="0" w:color="000000"/>
            </w:tcBorders>
          </w:tcPr>
          <w:p w14:paraId="6FABE41B"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5</w:t>
            </w:r>
          </w:p>
        </w:tc>
        <w:tc>
          <w:tcPr>
            <w:tcW w:w="5667" w:type="dxa"/>
            <w:tcBorders>
              <w:top w:val="single" w:sz="4" w:space="0" w:color="000000"/>
              <w:left w:val="single" w:sz="4" w:space="0" w:color="000000"/>
              <w:bottom w:val="single" w:sz="4" w:space="0" w:color="000000"/>
              <w:right w:val="single" w:sz="4" w:space="0" w:color="000000"/>
            </w:tcBorders>
          </w:tcPr>
          <w:p w14:paraId="305AC410"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The Government of Fiji should actively implement and monitor the progress of the Forest Sector Regulatory Framework and promote the catchment area planning process within this modernization program.</w:t>
            </w:r>
          </w:p>
        </w:tc>
        <w:tc>
          <w:tcPr>
            <w:tcW w:w="2123" w:type="dxa"/>
            <w:tcBorders>
              <w:top w:val="single" w:sz="4" w:space="0" w:color="000000"/>
              <w:left w:val="single" w:sz="4" w:space="0" w:color="000000"/>
              <w:bottom w:val="single" w:sz="4" w:space="0" w:color="000000"/>
              <w:right w:val="single" w:sz="4" w:space="0" w:color="000000"/>
            </w:tcBorders>
          </w:tcPr>
          <w:p w14:paraId="25207527"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Government of Fiji</w:t>
            </w:r>
          </w:p>
          <w:p w14:paraId="693B1CC0" w14:textId="77777777" w:rsidR="007372B6" w:rsidRDefault="00000000">
            <w:pPr>
              <w:widowControl w:val="0"/>
              <w:tabs>
                <w:tab w:val="left" w:pos="1620"/>
              </w:tabs>
              <w:jc w:val="both"/>
              <w:rPr>
                <w:rFonts w:asciiTheme="minorHAnsi" w:hAnsiTheme="minorHAnsi"/>
                <w:color w:val="000000"/>
                <w:lang w:eastAsia="en-US"/>
              </w:rPr>
            </w:pPr>
            <w:r>
              <w:rPr>
                <w:rFonts w:asciiTheme="minorHAnsi" w:eastAsia="Open Sans" w:hAnsiTheme="minorHAnsi" w:cstheme="minorHAnsi"/>
                <w:color w:val="000000"/>
                <w:sz w:val="20"/>
                <w:szCs w:val="20"/>
              </w:rPr>
              <w:t>Ministry of Forests</w:t>
            </w:r>
          </w:p>
        </w:tc>
        <w:tc>
          <w:tcPr>
            <w:tcW w:w="1281" w:type="dxa"/>
            <w:tcBorders>
              <w:top w:val="single" w:sz="4" w:space="0" w:color="000000"/>
              <w:left w:val="single" w:sz="4" w:space="0" w:color="000000"/>
              <w:bottom w:val="single" w:sz="4" w:space="0" w:color="000000"/>
              <w:right w:val="single" w:sz="4" w:space="0" w:color="000000"/>
            </w:tcBorders>
          </w:tcPr>
          <w:p w14:paraId="1BCAEBD0"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2023</w:t>
            </w:r>
          </w:p>
        </w:tc>
      </w:tr>
      <w:tr w:rsidR="007372B6" w14:paraId="5AE63057" w14:textId="77777777">
        <w:tc>
          <w:tcPr>
            <w:tcW w:w="538" w:type="dxa"/>
            <w:tcBorders>
              <w:top w:val="single" w:sz="4" w:space="0" w:color="000000"/>
              <w:left w:val="single" w:sz="4" w:space="0" w:color="000000"/>
              <w:bottom w:val="single" w:sz="4" w:space="0" w:color="000000"/>
              <w:right w:val="single" w:sz="4" w:space="0" w:color="000000"/>
            </w:tcBorders>
          </w:tcPr>
          <w:p w14:paraId="734BBE6A" w14:textId="77777777" w:rsidR="007372B6" w:rsidRDefault="007372B6">
            <w:pPr>
              <w:widowControl w:val="0"/>
              <w:tabs>
                <w:tab w:val="left" w:pos="1620"/>
              </w:tabs>
              <w:spacing w:line="312" w:lineRule="auto"/>
              <w:jc w:val="both"/>
              <w:rPr>
                <w:rFonts w:asciiTheme="minorHAnsi" w:hAnsiTheme="minorHAnsi"/>
                <w:color w:val="000000"/>
                <w:lang w:eastAsia="en-US"/>
              </w:rPr>
            </w:pPr>
          </w:p>
        </w:tc>
        <w:tc>
          <w:tcPr>
            <w:tcW w:w="5667" w:type="dxa"/>
            <w:tcBorders>
              <w:top w:val="single" w:sz="4" w:space="0" w:color="000000"/>
              <w:left w:val="single" w:sz="4" w:space="0" w:color="000000"/>
              <w:bottom w:val="single" w:sz="4" w:space="0" w:color="000000"/>
              <w:right w:val="single" w:sz="4" w:space="0" w:color="000000"/>
            </w:tcBorders>
          </w:tcPr>
          <w:p w14:paraId="3BD4E4BD" w14:textId="77777777" w:rsidR="007372B6" w:rsidRDefault="007372B6">
            <w:pPr>
              <w:widowControl w:val="0"/>
              <w:tabs>
                <w:tab w:val="left" w:pos="1620"/>
              </w:tabs>
              <w:jc w:val="both"/>
              <w:rPr>
                <w:rFonts w:asciiTheme="minorHAnsi" w:eastAsia="Open Sans" w:hAnsiTheme="minorHAnsi" w:cstheme="minorHAnsi"/>
                <w:color w:val="000000"/>
                <w:sz w:val="20"/>
                <w:szCs w:val="20"/>
              </w:rPr>
            </w:pPr>
          </w:p>
        </w:tc>
        <w:tc>
          <w:tcPr>
            <w:tcW w:w="2123" w:type="dxa"/>
            <w:tcBorders>
              <w:top w:val="single" w:sz="4" w:space="0" w:color="000000"/>
              <w:left w:val="single" w:sz="4" w:space="0" w:color="000000"/>
              <w:bottom w:val="single" w:sz="4" w:space="0" w:color="000000"/>
              <w:right w:val="single" w:sz="4" w:space="0" w:color="000000"/>
            </w:tcBorders>
          </w:tcPr>
          <w:p w14:paraId="715806CA" w14:textId="77777777" w:rsidR="007372B6" w:rsidRDefault="007372B6">
            <w:pPr>
              <w:widowControl w:val="0"/>
              <w:tabs>
                <w:tab w:val="left" w:pos="1620"/>
              </w:tabs>
              <w:jc w:val="both"/>
              <w:rPr>
                <w:rFonts w:asciiTheme="minorHAnsi" w:eastAsia="Open Sans" w:hAnsiTheme="minorHAnsi" w:cstheme="minorHAnsi"/>
                <w:color w:val="000000"/>
                <w:sz w:val="20"/>
                <w:szCs w:val="20"/>
              </w:rPr>
            </w:pPr>
          </w:p>
        </w:tc>
        <w:tc>
          <w:tcPr>
            <w:tcW w:w="1281" w:type="dxa"/>
            <w:tcBorders>
              <w:top w:val="single" w:sz="4" w:space="0" w:color="000000"/>
              <w:left w:val="single" w:sz="4" w:space="0" w:color="000000"/>
              <w:bottom w:val="single" w:sz="4" w:space="0" w:color="000000"/>
              <w:right w:val="single" w:sz="4" w:space="0" w:color="000000"/>
            </w:tcBorders>
          </w:tcPr>
          <w:p w14:paraId="5909754F" w14:textId="77777777" w:rsidR="007372B6" w:rsidRDefault="007372B6">
            <w:pPr>
              <w:widowControl w:val="0"/>
              <w:tabs>
                <w:tab w:val="left" w:pos="1620"/>
              </w:tabs>
              <w:spacing w:line="312" w:lineRule="auto"/>
              <w:jc w:val="both"/>
              <w:rPr>
                <w:rFonts w:asciiTheme="minorHAnsi" w:hAnsiTheme="minorHAnsi"/>
                <w:color w:val="000000"/>
                <w:lang w:eastAsia="en-US"/>
              </w:rPr>
            </w:pPr>
          </w:p>
        </w:tc>
      </w:tr>
      <w:tr w:rsidR="007372B6" w14:paraId="4040FB42" w14:textId="77777777">
        <w:tc>
          <w:tcPr>
            <w:tcW w:w="538" w:type="dxa"/>
            <w:tcBorders>
              <w:top w:val="single" w:sz="4" w:space="0" w:color="000000"/>
              <w:left w:val="single" w:sz="4" w:space="0" w:color="000000"/>
              <w:bottom w:val="single" w:sz="4" w:space="0" w:color="000000"/>
              <w:right w:val="single" w:sz="4" w:space="0" w:color="000000"/>
            </w:tcBorders>
          </w:tcPr>
          <w:p w14:paraId="4BD94EE0"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6</w:t>
            </w:r>
          </w:p>
        </w:tc>
        <w:tc>
          <w:tcPr>
            <w:tcW w:w="5667" w:type="dxa"/>
            <w:tcBorders>
              <w:top w:val="single" w:sz="4" w:space="0" w:color="000000"/>
              <w:left w:val="single" w:sz="4" w:space="0" w:color="000000"/>
              <w:bottom w:val="single" w:sz="4" w:space="0" w:color="000000"/>
              <w:right w:val="single" w:sz="4" w:space="0" w:color="000000"/>
            </w:tcBorders>
          </w:tcPr>
          <w:p w14:paraId="6AB3B5F9" w14:textId="77777777" w:rsidR="007372B6" w:rsidRDefault="00000000">
            <w:pPr>
              <w:widowControl w:val="0"/>
              <w:tabs>
                <w:tab w:val="left" w:pos="1620"/>
              </w:tabs>
              <w:jc w:val="both"/>
              <w:rPr>
                <w:rFonts w:asciiTheme="minorHAnsi" w:eastAsia="Open Sans" w:hAnsiTheme="minorHAnsi" w:cstheme="minorHAnsi"/>
                <w:color w:val="000000"/>
                <w:sz w:val="20"/>
                <w:szCs w:val="20"/>
              </w:rPr>
            </w:pPr>
            <w:r>
              <w:rPr>
                <w:rFonts w:asciiTheme="minorHAnsi" w:eastAsia="Open Sans" w:hAnsiTheme="minorHAnsi" w:cstheme="minorHAnsi"/>
                <w:color w:val="000000"/>
                <w:sz w:val="20"/>
                <w:szCs w:val="20"/>
              </w:rPr>
              <w:t>UNDP should undertake a review of project procurement, management, monitoring, reporting and evaluation procedures consistent with results-based management principles and develop a procedures manual for future international projects.</w:t>
            </w:r>
          </w:p>
        </w:tc>
        <w:tc>
          <w:tcPr>
            <w:tcW w:w="2123" w:type="dxa"/>
            <w:tcBorders>
              <w:top w:val="single" w:sz="4" w:space="0" w:color="000000"/>
              <w:left w:val="single" w:sz="4" w:space="0" w:color="000000"/>
              <w:bottom w:val="single" w:sz="4" w:space="0" w:color="000000"/>
              <w:right w:val="single" w:sz="4" w:space="0" w:color="000000"/>
            </w:tcBorders>
          </w:tcPr>
          <w:p w14:paraId="0B59000E" w14:textId="77777777" w:rsidR="007372B6" w:rsidRDefault="00000000">
            <w:pPr>
              <w:widowControl w:val="0"/>
              <w:tabs>
                <w:tab w:val="left" w:pos="1620"/>
              </w:tabs>
              <w:jc w:val="both"/>
              <w:rPr>
                <w:rFonts w:asciiTheme="minorHAnsi" w:hAnsiTheme="minorHAnsi"/>
                <w:color w:val="000000"/>
                <w:lang w:eastAsia="en-US"/>
              </w:rPr>
            </w:pPr>
            <w:r>
              <w:rPr>
                <w:rFonts w:asciiTheme="minorHAnsi" w:hAnsiTheme="minorHAnsi"/>
                <w:color w:val="000000"/>
                <w:sz w:val="22"/>
                <w:szCs w:val="22"/>
                <w:lang w:eastAsia="en-US"/>
              </w:rPr>
              <w:t>Fiji UNDP Country Office</w:t>
            </w:r>
          </w:p>
        </w:tc>
        <w:tc>
          <w:tcPr>
            <w:tcW w:w="1281" w:type="dxa"/>
            <w:tcBorders>
              <w:top w:val="single" w:sz="4" w:space="0" w:color="000000"/>
              <w:left w:val="single" w:sz="4" w:space="0" w:color="000000"/>
              <w:bottom w:val="single" w:sz="4" w:space="0" w:color="000000"/>
              <w:right w:val="single" w:sz="4" w:space="0" w:color="000000"/>
            </w:tcBorders>
          </w:tcPr>
          <w:p w14:paraId="7063D075" w14:textId="77777777" w:rsidR="007372B6" w:rsidRDefault="00000000">
            <w:pPr>
              <w:widowControl w:val="0"/>
              <w:tabs>
                <w:tab w:val="left" w:pos="1620"/>
              </w:tabs>
              <w:spacing w:line="312" w:lineRule="auto"/>
              <w:jc w:val="both"/>
              <w:rPr>
                <w:rFonts w:asciiTheme="minorHAnsi" w:hAnsiTheme="minorHAnsi"/>
                <w:color w:val="000000"/>
                <w:lang w:eastAsia="en-US"/>
              </w:rPr>
            </w:pPr>
            <w:r>
              <w:rPr>
                <w:rFonts w:asciiTheme="minorHAnsi" w:hAnsiTheme="minorHAnsi"/>
                <w:color w:val="000000"/>
                <w:sz w:val="22"/>
                <w:szCs w:val="22"/>
                <w:lang w:eastAsia="en-US"/>
              </w:rPr>
              <w:t>Q1 2023</w:t>
            </w:r>
          </w:p>
        </w:tc>
      </w:tr>
    </w:tbl>
    <w:p w14:paraId="17F3FC67" w14:textId="77777777" w:rsidR="007372B6" w:rsidRDefault="007372B6">
      <w:pPr>
        <w:widowControl w:val="0"/>
        <w:tabs>
          <w:tab w:val="left" w:pos="1620"/>
        </w:tabs>
        <w:spacing w:line="312" w:lineRule="auto"/>
        <w:jc w:val="both"/>
        <w:rPr>
          <w:rFonts w:asciiTheme="minorHAnsi" w:eastAsia="Open Sans" w:hAnsiTheme="minorHAnsi" w:cstheme="minorHAnsi"/>
          <w:color w:val="000000"/>
          <w:sz w:val="22"/>
          <w:szCs w:val="22"/>
        </w:rPr>
      </w:pPr>
    </w:p>
    <w:p w14:paraId="0626C4B4" w14:textId="77777777" w:rsidR="007372B6" w:rsidRDefault="00000000">
      <w:pPr>
        <w:tabs>
          <w:tab w:val="left" w:pos="1620"/>
        </w:tabs>
        <w:spacing w:line="312" w:lineRule="auto"/>
        <w:jc w:val="both"/>
        <w:rPr>
          <w:rFonts w:asciiTheme="minorHAnsi" w:hAnsiTheme="minorHAnsi" w:cstheme="minorHAnsi"/>
          <w:b/>
          <w:bCs/>
          <w:i/>
          <w:iCs/>
          <w:sz w:val="22"/>
          <w:szCs w:val="22"/>
          <w:lang w:eastAsia="en-GB"/>
        </w:rPr>
      </w:pPr>
      <w:r>
        <w:rPr>
          <w:rFonts w:asciiTheme="minorHAnsi" w:eastAsia="Open Sans" w:hAnsiTheme="minorHAnsi" w:cstheme="minorHAnsi"/>
          <w:b/>
          <w:bCs/>
          <w:i/>
          <w:iCs/>
          <w:color w:val="000000"/>
          <w:sz w:val="22"/>
          <w:szCs w:val="22"/>
        </w:rPr>
        <w:t xml:space="preserve">Recommendation 1 – The Fiji UNDP Country Office and the Ministry of </w:t>
      </w:r>
      <w:r>
        <w:rPr>
          <w:rFonts w:asciiTheme="minorHAnsi" w:hAnsiTheme="minorHAnsi" w:cstheme="minorHAnsi"/>
          <w:b/>
          <w:bCs/>
          <w:i/>
          <w:iCs/>
          <w:sz w:val="22"/>
          <w:szCs w:val="22"/>
          <w:lang w:eastAsia="en-GB"/>
        </w:rPr>
        <w:t>Waterways and Environment should coordinate and report on the remaining tasks under the Exit Strategy action plan, as documented in the 2022 Project Implementation Report, and recommend a program for further implementation of the Catchment Area Plans.</w:t>
      </w:r>
    </w:p>
    <w:p w14:paraId="1854D33B" w14:textId="77777777" w:rsidR="007372B6" w:rsidRDefault="007372B6">
      <w:pPr>
        <w:tabs>
          <w:tab w:val="left" w:pos="1620"/>
        </w:tabs>
        <w:spacing w:line="312" w:lineRule="auto"/>
        <w:rPr>
          <w:rFonts w:asciiTheme="minorHAnsi" w:hAnsiTheme="minorHAnsi" w:cstheme="minorHAnsi"/>
          <w:sz w:val="22"/>
          <w:szCs w:val="22"/>
          <w:lang w:eastAsia="en-GB"/>
        </w:rPr>
      </w:pPr>
    </w:p>
    <w:p w14:paraId="09384DDC" w14:textId="77777777" w:rsidR="007372B6" w:rsidRDefault="00000000">
      <w:pPr>
        <w:widowControl w:val="0"/>
        <w:spacing w:line="312" w:lineRule="auto"/>
        <w:jc w:val="both"/>
        <w:rPr>
          <w:rFonts w:asciiTheme="minorHAnsi" w:eastAsia="Arial" w:hAnsiTheme="minorHAnsi" w:cstheme="minorHAnsi"/>
          <w:sz w:val="22"/>
          <w:szCs w:val="22"/>
          <w:lang w:eastAsia="en-GB"/>
        </w:rPr>
      </w:pPr>
      <w:r>
        <w:rPr>
          <w:rFonts w:asciiTheme="minorHAnsi" w:eastAsia="Open Sans" w:hAnsiTheme="minorHAnsi" w:cstheme="minorHAnsi"/>
          <w:color w:val="000000"/>
          <w:sz w:val="22"/>
          <w:szCs w:val="22"/>
        </w:rPr>
        <w:t xml:space="preserve">The 2022 PIR provided recommendations originating in the MTR Exit Strategy that specified needed action after official project closure (Annex 4). These included (at June 30, 2022) completing the catchment area plans, completing reforestation and timber stand improvement targets, further developing </w:t>
      </w:r>
      <w:r>
        <w:rPr>
          <w:rFonts w:asciiTheme="minorHAnsi" w:eastAsia="Arial" w:hAnsiTheme="minorHAnsi" w:cstheme="minorHAnsi"/>
          <w:sz w:val="22"/>
          <w:szCs w:val="22"/>
          <w:lang w:eastAsia="en-GB"/>
        </w:rPr>
        <w:t xml:space="preserve">small and micro-enterprises, financing forestry laws and regulations and forest certification </w:t>
      </w:r>
      <w:r>
        <w:rPr>
          <w:rFonts w:asciiTheme="minorHAnsi" w:eastAsia="Arial" w:hAnsiTheme="minorHAnsi" w:cstheme="minorHAnsi"/>
          <w:sz w:val="22"/>
          <w:szCs w:val="22"/>
          <w:lang w:eastAsia="en-GB"/>
        </w:rPr>
        <w:lastRenderedPageBreak/>
        <w:t>processes, and further clarifying coordination responsibilities,</w:t>
      </w:r>
      <w:r>
        <w:rPr>
          <w:rFonts w:asciiTheme="minorHAnsi" w:eastAsia="Arial" w:hAnsiTheme="minorHAnsi" w:cstheme="minorHAnsi"/>
          <w:b/>
          <w:bCs/>
          <w:sz w:val="22"/>
          <w:szCs w:val="22"/>
          <w:lang w:eastAsia="en-GB"/>
        </w:rPr>
        <w:t xml:space="preserve"> </w:t>
      </w:r>
      <w:r>
        <w:rPr>
          <w:rFonts w:asciiTheme="minorHAnsi" w:eastAsia="Arial" w:hAnsiTheme="minorHAnsi" w:cstheme="minorHAnsi"/>
          <w:sz w:val="22"/>
          <w:szCs w:val="22"/>
          <w:lang w:eastAsia="en-GB"/>
        </w:rPr>
        <w:t>incorporating project outcomes into relevant policies, designating forestry protection and carbon capture the responsibility of the Ministry of Forest, establishing certification permits and facilitating continued joint community planning with private sector and other relevant stakeholders through community management committees which are supported at national level by policy and at local levels by budgets and technical support, and finally to continue to work toward a national policy on Integrated Natural Resources and Catchment Management Policy (see Annex 4 for Exit Strategy Action Plan). The Catchment Area Committees have been established but they need further direction and access to sector Government ministry resources (Forestry, Fisheries, Agriculture) and/or financial support in order to continue their programs.</w:t>
      </w:r>
    </w:p>
    <w:p w14:paraId="500FB914" w14:textId="77777777" w:rsidR="007372B6" w:rsidRDefault="007372B6">
      <w:pPr>
        <w:tabs>
          <w:tab w:val="left" w:pos="1620"/>
        </w:tabs>
        <w:spacing w:line="312" w:lineRule="auto"/>
        <w:jc w:val="both"/>
        <w:rPr>
          <w:rFonts w:asciiTheme="minorHAnsi" w:eastAsia="Open Sans" w:hAnsiTheme="minorHAnsi" w:cstheme="minorHAnsi"/>
          <w:b/>
          <w:bCs/>
          <w:i/>
          <w:iCs/>
          <w:color w:val="000000"/>
          <w:sz w:val="22"/>
          <w:szCs w:val="22"/>
        </w:rPr>
      </w:pPr>
    </w:p>
    <w:p w14:paraId="063C0B09" w14:textId="77777777" w:rsidR="007372B6" w:rsidRDefault="00000000">
      <w:pPr>
        <w:tabs>
          <w:tab w:val="left" w:pos="1620"/>
        </w:tabs>
        <w:spacing w:line="312" w:lineRule="auto"/>
        <w:jc w:val="both"/>
        <w:rPr>
          <w:rFonts w:asciiTheme="minorHAnsi" w:eastAsia="Open Sans" w:hAnsiTheme="minorHAnsi" w:cstheme="minorHAnsi"/>
          <w:b/>
          <w:bCs/>
          <w:i/>
          <w:iCs/>
          <w:color w:val="000000"/>
          <w:sz w:val="22"/>
          <w:szCs w:val="22"/>
        </w:rPr>
      </w:pPr>
      <w:r>
        <w:rPr>
          <w:rFonts w:asciiTheme="minorHAnsi" w:eastAsia="Open Sans" w:hAnsiTheme="minorHAnsi" w:cstheme="minorHAnsi"/>
          <w:b/>
          <w:bCs/>
          <w:i/>
          <w:iCs/>
          <w:color w:val="000000"/>
          <w:sz w:val="22"/>
          <w:szCs w:val="22"/>
        </w:rPr>
        <w:t>Recommendation 2 – The Fiji Ministry of Forests should undertake an independent review of the performance of reforestation activities in the Fiji R2R catchment areas and make program improvements based on experiences including the integration of tree planting and soil and water conservation.</w:t>
      </w:r>
    </w:p>
    <w:p w14:paraId="488018C8" w14:textId="77777777" w:rsidR="007372B6" w:rsidRDefault="007372B6">
      <w:pPr>
        <w:tabs>
          <w:tab w:val="left" w:pos="1620"/>
        </w:tabs>
        <w:spacing w:line="312" w:lineRule="auto"/>
        <w:jc w:val="both"/>
        <w:rPr>
          <w:rFonts w:asciiTheme="minorHAnsi" w:eastAsia="Open Sans" w:hAnsiTheme="minorHAnsi" w:cstheme="minorHAnsi"/>
          <w:color w:val="000000"/>
          <w:sz w:val="22"/>
          <w:szCs w:val="22"/>
        </w:rPr>
      </w:pPr>
    </w:p>
    <w:p w14:paraId="7543998E" w14:textId="77777777" w:rsidR="007372B6" w:rsidRDefault="00000000">
      <w:pPr>
        <w:tabs>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There are few available data on the results of the reforestation activities under Outcomes 3 and 6. The focus on national tree planting targets, and the uncertain quality of many of the plantations in addressing the multiple issues in catchment areas warrant more elaborate strategies, particularly ones that address the hydrological regime, water balance and sediment transport processes. Tree planting alone is inadequate for catchment area rehabilitation. Controlling soil erosion and sedimentation requires complementary measures. In all countries like Fiji, where steep gradient catchment drainages and unstable slopes and natural and human disturbances occur, reforestation or afforestation activities are always accompanied by measures that endeavor to slow the rate of runoff, promote groundwater infiltration and encourage natural regeneration of the vegetation alongside forest management, farm forestry/agroforestry and climate-smart agriculture. This means encouraging a shift beyond just trees toward a wider view of catchment area and forest and grassland landscape management. In conjunction with the Carbon Emission Reduction Programme and REDD+, the government should expand the forest rehabilitation and tree planting activities to include targeted sustainable land management (SLM) methods that take a broad catchment treatment and rehabilitation perspective.</w:t>
      </w:r>
      <w:r>
        <w:rPr>
          <w:rStyle w:val="FootnoteAnchor"/>
          <w:rFonts w:asciiTheme="minorHAnsi" w:eastAsia="Open Sans" w:hAnsiTheme="minorHAnsi" w:cstheme="minorHAnsi"/>
          <w:color w:val="000000"/>
          <w:sz w:val="22"/>
          <w:szCs w:val="22"/>
        </w:rPr>
        <w:footnoteReference w:id="55"/>
      </w:r>
    </w:p>
    <w:p w14:paraId="3D66C1D1" w14:textId="77777777" w:rsidR="007372B6" w:rsidRDefault="007372B6">
      <w:pPr>
        <w:tabs>
          <w:tab w:val="left" w:pos="1620"/>
        </w:tabs>
        <w:spacing w:line="312" w:lineRule="auto"/>
        <w:rPr>
          <w:rFonts w:asciiTheme="minorHAnsi" w:eastAsia="Open Sans" w:hAnsiTheme="minorHAnsi" w:cstheme="minorHAnsi"/>
          <w:color w:val="000000"/>
          <w:sz w:val="22"/>
          <w:szCs w:val="22"/>
        </w:rPr>
      </w:pPr>
    </w:p>
    <w:p w14:paraId="2A2631B0" w14:textId="77777777" w:rsidR="007372B6" w:rsidRDefault="00000000">
      <w:pPr>
        <w:tabs>
          <w:tab w:val="left" w:pos="1620"/>
        </w:tabs>
        <w:spacing w:line="312" w:lineRule="auto"/>
        <w:jc w:val="both"/>
        <w:rPr>
          <w:rFonts w:asciiTheme="minorHAnsi" w:eastAsia="Open Sans" w:hAnsiTheme="minorHAnsi" w:cstheme="minorHAnsi"/>
          <w:b/>
          <w:bCs/>
          <w:i/>
          <w:iCs/>
          <w:color w:val="000000"/>
          <w:sz w:val="22"/>
          <w:szCs w:val="22"/>
        </w:rPr>
      </w:pPr>
      <w:r>
        <w:rPr>
          <w:rFonts w:asciiTheme="minorHAnsi" w:eastAsia="Open Sans" w:hAnsiTheme="minorHAnsi" w:cstheme="minorHAnsi"/>
          <w:b/>
          <w:bCs/>
          <w:i/>
          <w:iCs/>
          <w:color w:val="000000"/>
          <w:sz w:val="22"/>
          <w:szCs w:val="22"/>
        </w:rPr>
        <w:t xml:space="preserve">Recommendation 3 – UNDP/GEF should establish a regional Pacific technical advisory group to assist R2R projects and to provide guidance for R2R Project Implementation Strategies that need to be prepared during the inception phase of future projects. </w:t>
      </w:r>
    </w:p>
    <w:p w14:paraId="164D00B6" w14:textId="77777777" w:rsidR="007372B6" w:rsidRDefault="007372B6">
      <w:pPr>
        <w:tabs>
          <w:tab w:val="left" w:pos="1620"/>
        </w:tabs>
        <w:spacing w:line="312" w:lineRule="auto"/>
        <w:rPr>
          <w:rFonts w:asciiTheme="minorHAnsi" w:eastAsia="Open Sans" w:hAnsiTheme="minorHAnsi" w:cstheme="minorHAnsi"/>
          <w:color w:val="000000"/>
          <w:sz w:val="22"/>
          <w:szCs w:val="22"/>
        </w:rPr>
      </w:pPr>
    </w:p>
    <w:p w14:paraId="2320FC71" w14:textId="77777777" w:rsidR="007372B6" w:rsidRDefault="00000000">
      <w:pPr>
        <w:tabs>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lastRenderedPageBreak/>
        <w:t xml:space="preserve">An integrated NRM approach to R2R conservation and environmental rehabilitation has significant policy and governance implications and preconditions that need to be addressed at the outset. Notably, the coordination and capacity issues are major barriers to project results. Bridging the coordination and cross sector integration requirements within government, communities and NGOs is essential for the R2R concept. But the Fiji project and others illustrate the difficulties integrating inter-departmental responsibilities and non-governmental roles. The experience to date reflects a general lack of understanding of how to effectively apply the integration concept in conjunction with existing governance and traditional knowledge systems. An institutional and capacity assessment should be a standard part of the inception phase implementation strategy preparations and the requirements for R2R also need to be clearly articulated in advance by UNDP/GEF and advisors. R2R projects present design challenges for institutional change and new partnership approaches. Technical capacity is a distinct limitation in the Pacific small island states. A more cost-effective way of providing this support needs to be considered. </w:t>
      </w:r>
    </w:p>
    <w:p w14:paraId="438148FA" w14:textId="77777777" w:rsidR="007372B6" w:rsidRDefault="007372B6">
      <w:pPr>
        <w:tabs>
          <w:tab w:val="left" w:pos="1620"/>
        </w:tabs>
        <w:spacing w:line="312" w:lineRule="auto"/>
        <w:jc w:val="both"/>
        <w:rPr>
          <w:rFonts w:asciiTheme="minorHAnsi" w:eastAsia="Open Sans" w:hAnsiTheme="minorHAnsi" w:cstheme="minorHAnsi"/>
          <w:color w:val="000000"/>
          <w:sz w:val="22"/>
          <w:szCs w:val="22"/>
        </w:rPr>
      </w:pPr>
    </w:p>
    <w:p w14:paraId="51D97510" w14:textId="77777777" w:rsidR="007372B6" w:rsidRDefault="00000000">
      <w:pPr>
        <w:tabs>
          <w:tab w:val="left" w:pos="1620"/>
        </w:tabs>
        <w:spacing w:line="312" w:lineRule="auto"/>
        <w:jc w:val="both"/>
        <w:rPr>
          <w:rFonts w:asciiTheme="minorHAnsi" w:hAnsiTheme="minorHAnsi" w:cstheme="minorHAnsi"/>
          <w:b/>
          <w:bCs/>
          <w:i/>
          <w:iCs/>
          <w:sz w:val="22"/>
          <w:szCs w:val="22"/>
          <w:lang w:eastAsia="en-GB"/>
        </w:rPr>
      </w:pPr>
      <w:r>
        <w:rPr>
          <w:rFonts w:asciiTheme="minorHAnsi" w:hAnsiTheme="minorHAnsi" w:cstheme="minorHAnsi"/>
          <w:b/>
          <w:bCs/>
          <w:i/>
          <w:iCs/>
          <w:sz w:val="22"/>
          <w:szCs w:val="22"/>
          <w:lang w:eastAsia="en-GB"/>
        </w:rPr>
        <w:t>Recommendation 4 – The Government of Fiji should initiate a few small demonstration projects of integrated natural resources management by addressing selected priorities in some of the completed Catchment Area plans and in collaboration with Catchment Area Committees.</w:t>
      </w:r>
    </w:p>
    <w:p w14:paraId="1E6CC347" w14:textId="77777777" w:rsidR="007372B6" w:rsidRDefault="007372B6">
      <w:pPr>
        <w:tabs>
          <w:tab w:val="left" w:pos="1620"/>
        </w:tabs>
        <w:spacing w:line="312" w:lineRule="auto"/>
        <w:rPr>
          <w:rFonts w:asciiTheme="minorHAnsi" w:hAnsiTheme="minorHAnsi" w:cstheme="minorHAnsi"/>
          <w:sz w:val="22"/>
          <w:szCs w:val="22"/>
          <w:lang w:eastAsia="en-GB"/>
        </w:rPr>
      </w:pPr>
    </w:p>
    <w:p w14:paraId="4D8C33D0" w14:textId="77777777" w:rsidR="007372B6" w:rsidRDefault="00000000">
      <w:pPr>
        <w:tabs>
          <w:tab w:val="left" w:pos="1620"/>
        </w:tabs>
        <w:spacing w:line="312" w:lineRule="auto"/>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Outcome 6 of the project aimed to improve governance for integrated NRM. A new national policy was envisioned along with new institutional arrangements and powers. This has not occurred. The challenges to change institutional practices toward integrated approaches are significant at the national and local level. It would be more effective to develop a model approach (directly building upon the </w:t>
      </w:r>
      <w:proofErr w:type="spellStart"/>
      <w:r>
        <w:rPr>
          <w:rFonts w:asciiTheme="minorHAnsi" w:hAnsiTheme="minorHAnsi" w:cstheme="minorHAnsi"/>
          <w:sz w:val="22"/>
          <w:szCs w:val="22"/>
          <w:lang w:eastAsia="en-GB"/>
        </w:rPr>
        <w:t>Nadi</w:t>
      </w:r>
      <w:proofErr w:type="spellEnd"/>
      <w:r>
        <w:rPr>
          <w:rFonts w:asciiTheme="minorHAnsi" w:hAnsiTheme="minorHAnsi" w:cstheme="minorHAnsi"/>
          <w:sz w:val="22"/>
          <w:szCs w:val="22"/>
          <w:lang w:eastAsia="en-GB"/>
        </w:rPr>
        <w:t xml:space="preserve"> IWRM project) with integrated strategies that address some selected priorities as a means of further advancing the R2R approach. This would mean taking a ‘bottom-up’ approach by first demonstrating how expedited cross-cutting multi-agency/civil society approaches can address selected priorities in a time-bound manner in a few </w:t>
      </w:r>
      <w:proofErr w:type="gramStart"/>
      <w:r>
        <w:rPr>
          <w:rFonts w:asciiTheme="minorHAnsi" w:hAnsiTheme="minorHAnsi" w:cstheme="minorHAnsi"/>
          <w:sz w:val="22"/>
          <w:szCs w:val="22"/>
          <w:lang w:eastAsia="en-GB"/>
        </w:rPr>
        <w:t>catchment</w:t>
      </w:r>
      <w:proofErr w:type="gramEnd"/>
      <w:r>
        <w:rPr>
          <w:rFonts w:asciiTheme="minorHAnsi" w:hAnsiTheme="minorHAnsi" w:cstheme="minorHAnsi"/>
          <w:sz w:val="22"/>
          <w:szCs w:val="22"/>
          <w:lang w:eastAsia="en-GB"/>
        </w:rPr>
        <w:t xml:space="preserve"> area plans</w:t>
      </w:r>
      <w:r>
        <w:rPr>
          <w:rStyle w:val="FootnoteAnchor"/>
          <w:rFonts w:asciiTheme="minorHAnsi" w:hAnsiTheme="minorHAnsi" w:cstheme="minorHAnsi"/>
          <w:sz w:val="22"/>
          <w:szCs w:val="22"/>
          <w:lang w:eastAsia="en-GB"/>
        </w:rPr>
        <w:footnoteReference w:id="56"/>
      </w:r>
      <w:r>
        <w:rPr>
          <w:rFonts w:asciiTheme="minorHAnsi" w:hAnsiTheme="minorHAnsi" w:cstheme="minorHAnsi"/>
          <w:sz w:val="22"/>
          <w:szCs w:val="22"/>
          <w:lang w:eastAsia="en-GB"/>
        </w:rPr>
        <w:t xml:space="preserve"> before scaling up to a top-down, national level and policy initiatives. The Fiji R2R project has not yet developed that model. For example, a joint, mission-oriented approach (with clear purpose, teamwork, plan and measurable outcomes) to rehabilitate certain forest or grassland ecosystems in a degraded watershed through intensive collaboration between forestry, agriculture and water sectors and local communities, under the supervision of the Catchment Area Committees would provide a practical example for development of a national integrated NRM model. Another integrated demonstration could focus on a ridge to reef multi-sector water quality problem; for example, applying sustainable land management and climate smart agriculture techniques to the serious upstream agricultural and forestry practices that cause major downstream flooding and water supply disruptions in the </w:t>
      </w:r>
      <w:proofErr w:type="spellStart"/>
      <w:r>
        <w:rPr>
          <w:rFonts w:asciiTheme="minorHAnsi" w:hAnsiTheme="minorHAnsi" w:cstheme="minorHAnsi"/>
          <w:sz w:val="22"/>
          <w:szCs w:val="22"/>
          <w:lang w:eastAsia="en-GB"/>
        </w:rPr>
        <w:t>Dogotuki</w:t>
      </w:r>
      <w:proofErr w:type="spellEnd"/>
      <w:r>
        <w:rPr>
          <w:rFonts w:asciiTheme="minorHAnsi" w:hAnsiTheme="minorHAnsi" w:cstheme="minorHAnsi"/>
          <w:sz w:val="22"/>
          <w:szCs w:val="22"/>
          <w:lang w:eastAsia="en-GB"/>
        </w:rPr>
        <w:t xml:space="preserve"> catchment area.</w:t>
      </w:r>
      <w:r>
        <w:rPr>
          <w:rStyle w:val="FootnoteAnchor"/>
          <w:rFonts w:asciiTheme="minorHAnsi" w:hAnsiTheme="minorHAnsi" w:cstheme="minorHAnsi"/>
          <w:b/>
          <w:bCs/>
          <w:sz w:val="22"/>
          <w:szCs w:val="22"/>
          <w:lang w:eastAsia="en-GB"/>
        </w:rPr>
        <w:footnoteReference w:id="57"/>
      </w:r>
      <w:r>
        <w:rPr>
          <w:rFonts w:asciiTheme="minorHAnsi" w:hAnsiTheme="minorHAnsi" w:cstheme="minorHAnsi"/>
          <w:sz w:val="22"/>
          <w:szCs w:val="22"/>
          <w:lang w:eastAsia="en-GB"/>
        </w:rPr>
        <w:t xml:space="preserve"> Cooperation, </w:t>
      </w:r>
      <w:r>
        <w:rPr>
          <w:rFonts w:asciiTheme="minorHAnsi" w:hAnsiTheme="minorHAnsi" w:cstheme="minorHAnsi"/>
          <w:sz w:val="22"/>
          <w:szCs w:val="22"/>
          <w:lang w:eastAsia="en-GB"/>
        </w:rPr>
        <w:lastRenderedPageBreak/>
        <w:t xml:space="preserve">commitment, teamwork, multi-sector expertise, results-based planning, local ownership and rigorous monitoring and accountability are needed to make integration work within a structured R2R institutional arrangement.   </w:t>
      </w:r>
    </w:p>
    <w:p w14:paraId="16AC952C" w14:textId="77777777" w:rsidR="007372B6" w:rsidRDefault="007372B6">
      <w:pPr>
        <w:tabs>
          <w:tab w:val="left" w:pos="1620"/>
        </w:tabs>
        <w:spacing w:line="312" w:lineRule="auto"/>
        <w:rPr>
          <w:rFonts w:asciiTheme="minorHAnsi" w:eastAsia="Open Sans" w:hAnsiTheme="minorHAnsi" w:cstheme="minorHAnsi"/>
          <w:color w:val="000000"/>
          <w:sz w:val="22"/>
          <w:szCs w:val="22"/>
        </w:rPr>
      </w:pPr>
    </w:p>
    <w:p w14:paraId="75E36DF5" w14:textId="77777777" w:rsidR="007372B6" w:rsidRDefault="00000000">
      <w:pPr>
        <w:tabs>
          <w:tab w:val="left" w:pos="1620"/>
        </w:tabs>
        <w:spacing w:line="312" w:lineRule="auto"/>
        <w:jc w:val="both"/>
        <w:rPr>
          <w:rFonts w:asciiTheme="minorHAnsi" w:eastAsia="Open Sans" w:hAnsiTheme="minorHAnsi" w:cstheme="minorHAnsi"/>
          <w:b/>
          <w:bCs/>
          <w:i/>
          <w:iCs/>
          <w:color w:val="000000"/>
          <w:sz w:val="22"/>
          <w:szCs w:val="22"/>
        </w:rPr>
      </w:pPr>
      <w:r>
        <w:rPr>
          <w:rFonts w:asciiTheme="minorHAnsi" w:eastAsia="Open Sans" w:hAnsiTheme="minorHAnsi" w:cstheme="minorHAnsi"/>
          <w:b/>
          <w:bCs/>
          <w:i/>
          <w:iCs/>
          <w:color w:val="000000"/>
          <w:sz w:val="22"/>
          <w:szCs w:val="22"/>
        </w:rPr>
        <w:t>Recommendation 5 – The Government of Fiji should actively implement and monitor the progress of the Forest Sector Regulatory Framework and promote the catchment area planning process within this modernization program.</w:t>
      </w:r>
    </w:p>
    <w:p w14:paraId="30FE39F4" w14:textId="77777777" w:rsidR="007372B6" w:rsidRDefault="007372B6">
      <w:pPr>
        <w:tabs>
          <w:tab w:val="left" w:pos="1620"/>
        </w:tabs>
        <w:spacing w:line="312" w:lineRule="auto"/>
      </w:pPr>
    </w:p>
    <w:p w14:paraId="2402197D" w14:textId="77777777" w:rsidR="007372B6" w:rsidRDefault="00000000">
      <w:pPr>
        <w:tabs>
          <w:tab w:val="left" w:pos="1620"/>
        </w:tabs>
        <w:spacing w:line="312" w:lineRule="auto"/>
        <w:jc w:val="both"/>
        <w:rPr>
          <w:rFonts w:asciiTheme="minorHAnsi" w:eastAsia="Open Sans" w:hAnsiTheme="minorHAnsi" w:cstheme="minorHAnsi"/>
          <w:color w:val="000000"/>
          <w:sz w:val="22"/>
          <w:szCs w:val="22"/>
        </w:rPr>
      </w:pPr>
      <w:r>
        <w:rPr>
          <w:rFonts w:asciiTheme="minorHAnsi" w:hAnsiTheme="minorHAnsi" w:cstheme="minorHAnsi"/>
          <w:sz w:val="22"/>
          <w:szCs w:val="22"/>
        </w:rPr>
        <w:t xml:space="preserve">The Ministry of Forests needs additional support to pursue the adoption and implementation of the project-funded Regulatory Framework outputs. The outputs contain major changes to the regulatory framework that will require institutional reform. These have reportedly been supported by senior management, staff and stakeholders during consultations but senior management currently lacks the capacity to move forward without further expert advice and support at a high level within government. Follow-up action on this package of reforms is uncertain. The R2R catchment area planning process, including integrated approaches, should be an integral part of the forestry reform and modernization program. The Terminal Evaluation concern is that these forest sector project outputs need active support to ensure effectiveness and sustainability.     </w:t>
      </w:r>
    </w:p>
    <w:p w14:paraId="7F988DB3" w14:textId="77777777" w:rsidR="007372B6" w:rsidRDefault="007372B6">
      <w:pPr>
        <w:tabs>
          <w:tab w:val="left" w:pos="1620"/>
        </w:tabs>
        <w:spacing w:line="312" w:lineRule="auto"/>
        <w:jc w:val="both"/>
        <w:rPr>
          <w:rFonts w:asciiTheme="minorHAnsi" w:eastAsia="Open Sans" w:hAnsiTheme="minorHAnsi" w:cstheme="minorHAnsi"/>
          <w:color w:val="000000"/>
          <w:sz w:val="22"/>
          <w:szCs w:val="22"/>
        </w:rPr>
      </w:pPr>
    </w:p>
    <w:p w14:paraId="1A80FC33" w14:textId="77777777" w:rsidR="007372B6" w:rsidRDefault="00000000">
      <w:pPr>
        <w:tabs>
          <w:tab w:val="left" w:pos="1620"/>
        </w:tabs>
        <w:spacing w:line="312" w:lineRule="auto"/>
        <w:jc w:val="both"/>
        <w:rPr>
          <w:rFonts w:asciiTheme="minorHAnsi" w:eastAsia="Open Sans" w:hAnsiTheme="minorHAnsi" w:cstheme="minorHAnsi"/>
          <w:b/>
          <w:bCs/>
          <w:color w:val="000000"/>
          <w:sz w:val="22"/>
          <w:szCs w:val="22"/>
        </w:rPr>
      </w:pPr>
      <w:r>
        <w:rPr>
          <w:rFonts w:asciiTheme="minorHAnsi" w:eastAsia="Open Sans" w:hAnsiTheme="minorHAnsi" w:cstheme="minorHAnsi"/>
          <w:b/>
          <w:bCs/>
          <w:color w:val="000000"/>
          <w:sz w:val="22"/>
          <w:szCs w:val="22"/>
        </w:rPr>
        <w:t>Recommendation 6 – UNDP should undertake a review of project procurement, management, monitoring, reporting and evaluation procedures consistent with results-based management principles and develop a procedures manual for future international projects.</w:t>
      </w:r>
    </w:p>
    <w:p w14:paraId="6157E0DB" w14:textId="77777777" w:rsidR="007372B6" w:rsidRDefault="007372B6">
      <w:pPr>
        <w:tabs>
          <w:tab w:val="left" w:pos="1620"/>
        </w:tabs>
        <w:spacing w:line="312" w:lineRule="auto"/>
        <w:jc w:val="both"/>
        <w:rPr>
          <w:rFonts w:asciiTheme="minorHAnsi" w:eastAsia="Open Sans" w:hAnsiTheme="minorHAnsi" w:cstheme="minorHAnsi"/>
          <w:color w:val="000000"/>
          <w:sz w:val="22"/>
          <w:szCs w:val="22"/>
        </w:rPr>
      </w:pPr>
    </w:p>
    <w:p w14:paraId="035A1179" w14:textId="77777777" w:rsidR="007372B6" w:rsidRDefault="00000000">
      <w:pPr>
        <w:tabs>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 xml:space="preserve">The TE was unable to fully assess the financial, value for money and delivery efficiency aspects of the project due to lack of expenditure and results data at the activity level (although annual financial audits were provided for 2019, 2020 and 2021). The IP contracting and administrative payment arrangements presented some difficulties that need further review (see Conclusion 6). In addition, the results of the reforestation expenditures should be reviewed given the re-allocation of funds from Outcome 6 and the lower-than-expected areas of reforestation, </w:t>
      </w:r>
      <w:r>
        <w:rPr>
          <w:rFonts w:asciiTheme="minorHAnsi" w:eastAsia="Open Sans" w:hAnsiTheme="minorHAnsi" w:cstheme="minorBidi"/>
          <w:color w:val="000000" w:themeColor="text1"/>
          <w:sz w:val="22"/>
          <w:szCs w:val="22"/>
        </w:rPr>
        <w:t>and the apparent low survival rate and poor maintenance of the plantations. The cost-effectiveness and lack of reporting on the reforestation/catchment area rehabilitation strategies and investment was a particular concern. The performance issues on the project warrant a review of all aspects of project management practices. This review would provide important lessons for operational improvements to UNDP’s project design and management systems, especially assisting conformance with requirements for climate change financing opportunities.</w:t>
      </w:r>
      <w:r>
        <w:rPr>
          <w:rStyle w:val="FootnoteAnchor"/>
          <w:rFonts w:asciiTheme="minorHAnsi" w:eastAsia="Open Sans" w:hAnsiTheme="minorHAnsi" w:cstheme="minorBidi"/>
          <w:color w:val="000000" w:themeColor="text1"/>
          <w:sz w:val="22"/>
          <w:szCs w:val="22"/>
        </w:rPr>
        <w:footnoteReference w:id="58"/>
      </w:r>
    </w:p>
    <w:p w14:paraId="6011CBDC" w14:textId="77777777" w:rsidR="007372B6" w:rsidRDefault="007372B6">
      <w:pPr>
        <w:tabs>
          <w:tab w:val="left" w:pos="1620"/>
        </w:tabs>
        <w:spacing w:line="312" w:lineRule="auto"/>
        <w:jc w:val="both"/>
        <w:rPr>
          <w:rFonts w:asciiTheme="minorHAnsi" w:eastAsia="Open Sans" w:hAnsiTheme="minorHAnsi" w:cstheme="minorHAnsi"/>
          <w:color w:val="000000"/>
          <w:sz w:val="22"/>
          <w:szCs w:val="22"/>
        </w:rPr>
      </w:pPr>
    </w:p>
    <w:p w14:paraId="27086D79" w14:textId="77777777" w:rsidR="00A34A90" w:rsidRDefault="00A34A90">
      <w:pPr>
        <w:pStyle w:val="ListParagraph"/>
        <w:tabs>
          <w:tab w:val="left" w:pos="531"/>
          <w:tab w:val="left" w:pos="1620"/>
        </w:tabs>
        <w:ind w:left="0"/>
        <w:rPr>
          <w:rFonts w:asciiTheme="minorHAnsi" w:eastAsia="Open Sans" w:hAnsiTheme="minorHAnsi" w:cstheme="minorHAnsi"/>
          <w:b/>
          <w:bCs/>
          <w:color w:val="000000"/>
          <w:sz w:val="22"/>
          <w:szCs w:val="22"/>
        </w:rPr>
      </w:pPr>
    </w:p>
    <w:p w14:paraId="18604499" w14:textId="77777777" w:rsidR="00A34A90" w:rsidRDefault="00A34A90">
      <w:pPr>
        <w:pStyle w:val="ListParagraph"/>
        <w:tabs>
          <w:tab w:val="left" w:pos="531"/>
          <w:tab w:val="left" w:pos="1620"/>
        </w:tabs>
        <w:ind w:left="0"/>
        <w:rPr>
          <w:rFonts w:asciiTheme="minorHAnsi" w:eastAsia="Open Sans" w:hAnsiTheme="minorHAnsi" w:cstheme="minorHAnsi"/>
          <w:b/>
          <w:bCs/>
          <w:color w:val="000000"/>
          <w:sz w:val="22"/>
          <w:szCs w:val="22"/>
        </w:rPr>
      </w:pPr>
    </w:p>
    <w:p w14:paraId="25C695DC" w14:textId="0FC51FC3" w:rsidR="007372B6" w:rsidRDefault="00000000">
      <w:pPr>
        <w:pStyle w:val="ListParagraph"/>
        <w:tabs>
          <w:tab w:val="left" w:pos="531"/>
          <w:tab w:val="left" w:pos="1620"/>
        </w:tabs>
        <w:ind w:left="0"/>
        <w:rPr>
          <w:sz w:val="22"/>
          <w:szCs w:val="22"/>
        </w:rPr>
      </w:pPr>
      <w:r>
        <w:rPr>
          <w:rFonts w:asciiTheme="minorHAnsi" w:eastAsia="Open Sans" w:hAnsiTheme="minorHAnsi" w:cstheme="minorHAnsi"/>
          <w:b/>
          <w:bCs/>
          <w:color w:val="000000"/>
          <w:sz w:val="22"/>
          <w:szCs w:val="22"/>
        </w:rPr>
        <w:lastRenderedPageBreak/>
        <w:t>5.4</w:t>
      </w:r>
      <w:r>
        <w:rPr>
          <w:rFonts w:asciiTheme="minorHAnsi" w:eastAsia="Open Sans" w:hAnsiTheme="minorHAnsi" w:cstheme="minorHAnsi"/>
          <w:b/>
          <w:bCs/>
          <w:color w:val="000000"/>
          <w:sz w:val="22"/>
          <w:szCs w:val="22"/>
        </w:rPr>
        <w:tab/>
        <w:t xml:space="preserve">Lessons Learned </w:t>
      </w:r>
    </w:p>
    <w:p w14:paraId="4E6FD1B8" w14:textId="77777777" w:rsidR="007372B6" w:rsidRDefault="007372B6">
      <w:pPr>
        <w:tabs>
          <w:tab w:val="left" w:pos="1620"/>
        </w:tabs>
        <w:spacing w:line="312" w:lineRule="auto"/>
        <w:jc w:val="both"/>
        <w:rPr>
          <w:rFonts w:ascii="Open Sans" w:eastAsia="Open Sans" w:hAnsi="Open Sans" w:cs="Open Sans"/>
          <w:color w:val="000000"/>
          <w:sz w:val="21"/>
          <w:szCs w:val="21"/>
        </w:rPr>
      </w:pPr>
    </w:p>
    <w:p w14:paraId="32CD4D8C" w14:textId="77777777" w:rsidR="007372B6" w:rsidRDefault="00000000">
      <w:pPr>
        <w:tabs>
          <w:tab w:val="left" w:pos="1620"/>
        </w:tabs>
        <w:spacing w:line="312" w:lineRule="auto"/>
        <w:jc w:val="both"/>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1. The first overall lesson from the Fiji R2R project is the need to have a clear management strategy on the integration of the project interventions to ensure joint focus on defined outcomes or particular threats to environmental quality within ridge to reef ecosystems. It is a question of whether the integrated approach is a collection of unconnected individual sector activities, or a matrix of targeted interventions jointly aimed at addressing specific issues. This requires strong organisation and coordination of the multiple implementing partners and stakeholder groups. Many of the participants interviewed expressed concern about coordination of the implementing partners and uncertainty about the overall project strategy. Also, t</w:t>
      </w:r>
      <w:r>
        <w:rPr>
          <w:rFonts w:ascii="Calibri" w:hAnsi="Calibri" w:cstheme="minorHAnsi"/>
          <w:color w:val="000000"/>
          <w:sz w:val="22"/>
          <w:szCs w:val="22"/>
        </w:rPr>
        <w:t xml:space="preserve">he project strategy seemed to focus on completing the activities and not on the policy level interventions or sustainability. One of the recommendations from the previous IWRM project was to 'establish a cross sectoral institution at local level aligned to national objectives'. </w:t>
      </w:r>
      <w:r>
        <w:rPr>
          <w:rStyle w:val="FootnoteAnchor"/>
          <w:rFonts w:ascii="Calibri" w:hAnsi="Calibri" w:cstheme="minorHAnsi"/>
          <w:color w:val="000000"/>
          <w:sz w:val="22"/>
          <w:szCs w:val="22"/>
        </w:rPr>
        <w:footnoteReference w:id="59"/>
      </w:r>
    </w:p>
    <w:p w14:paraId="0924B533" w14:textId="77777777" w:rsidR="007372B6" w:rsidRDefault="007372B6">
      <w:pPr>
        <w:tabs>
          <w:tab w:val="left" w:pos="1620"/>
        </w:tabs>
        <w:spacing w:line="312" w:lineRule="auto"/>
        <w:jc w:val="both"/>
        <w:rPr>
          <w:rFonts w:asciiTheme="minorHAnsi" w:eastAsia="Open Sans" w:hAnsiTheme="minorHAnsi" w:cstheme="minorHAnsi"/>
          <w:color w:val="000000"/>
          <w:sz w:val="22"/>
          <w:szCs w:val="22"/>
        </w:rPr>
      </w:pPr>
    </w:p>
    <w:p w14:paraId="604827FD" w14:textId="77777777" w:rsidR="007372B6" w:rsidRDefault="00000000">
      <w:pPr>
        <w:tabs>
          <w:tab w:val="left" w:pos="1620"/>
        </w:tabs>
        <w:spacing w:line="312" w:lineRule="auto"/>
        <w:jc w:val="both"/>
      </w:pPr>
      <w:r>
        <w:rPr>
          <w:rFonts w:asciiTheme="minorHAnsi" w:eastAsia="Open Sans" w:hAnsiTheme="minorHAnsi" w:cstheme="minorHAnsi"/>
          <w:color w:val="000000"/>
          <w:sz w:val="22"/>
          <w:szCs w:val="22"/>
        </w:rPr>
        <w:t xml:space="preserve">2. The R2R concept of a ridge-valley-reef strategy was never really defined clearly in the project design or implementation. The </w:t>
      </w:r>
      <w:r>
        <w:rPr>
          <w:rFonts w:asciiTheme="minorHAnsi" w:eastAsia="Open Sans" w:hAnsiTheme="minorHAnsi" w:cstheme="minorHAnsi"/>
          <w:b/>
          <w:bCs/>
          <w:color w:val="000000"/>
          <w:sz w:val="22"/>
          <w:szCs w:val="22"/>
        </w:rPr>
        <w:t>spatial</w:t>
      </w:r>
      <w:r>
        <w:rPr>
          <w:rFonts w:asciiTheme="minorHAnsi" w:eastAsia="Open Sans" w:hAnsiTheme="minorHAnsi" w:cstheme="minorHAnsi"/>
          <w:color w:val="000000"/>
          <w:sz w:val="22"/>
          <w:szCs w:val="22"/>
        </w:rPr>
        <w:t xml:space="preserve"> upstream/downstream/near shore relationships and the </w:t>
      </w:r>
      <w:r>
        <w:rPr>
          <w:rFonts w:asciiTheme="minorHAnsi" w:eastAsia="Open Sans" w:hAnsiTheme="minorHAnsi" w:cstheme="minorHAnsi"/>
          <w:b/>
          <w:bCs/>
          <w:color w:val="000000"/>
          <w:sz w:val="22"/>
          <w:szCs w:val="22"/>
        </w:rPr>
        <w:t>inter-sectoral</w:t>
      </w:r>
      <w:r>
        <w:rPr>
          <w:rFonts w:asciiTheme="minorHAnsi" w:eastAsia="Open Sans" w:hAnsiTheme="minorHAnsi" w:cstheme="minorHAnsi"/>
          <w:color w:val="000000"/>
          <w:sz w:val="22"/>
          <w:szCs w:val="22"/>
        </w:rPr>
        <w:t xml:space="preserve"> relationships that are central to a landscape scale R2R approach were not directly considered in a project theory of change. This system delineation and strategic identification of spatial and inter-sectoral relationships particular to the R2R project areas are needed in order to develop an integrated project strategy.  Characterization of the R2R landscape system – including the key system-wide environmental degradation drivers and determinants, should be part of the project design and inception. This requires new institutional thinking and arrangements to address multiple strategic objectives across the R2R system. Annex 13 outlines a whole watershed perspective as an example of such landscape scale characterization.  </w:t>
      </w:r>
    </w:p>
    <w:p w14:paraId="4B32F32B" w14:textId="77777777" w:rsidR="007372B6" w:rsidRDefault="007372B6">
      <w:pPr>
        <w:tabs>
          <w:tab w:val="left" w:pos="1620"/>
        </w:tabs>
        <w:spacing w:line="312" w:lineRule="auto"/>
        <w:jc w:val="both"/>
        <w:rPr>
          <w:rFonts w:asciiTheme="minorHAnsi" w:eastAsia="Open Sans" w:hAnsiTheme="minorHAnsi" w:cstheme="minorHAnsi"/>
          <w:color w:val="000000"/>
          <w:sz w:val="22"/>
          <w:szCs w:val="22"/>
        </w:rPr>
      </w:pPr>
    </w:p>
    <w:p w14:paraId="7CA7A5CA"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3. The second lesson relates to the importance of a monitoring system that tracks progress against outcome indicators. The lack of an effective monitoring plan and process meant that reporting was based on activities completed, creating a challenge for project adaptive management and evaluation. For example, extensive investment has been directed at reforestation but almost no data are available on results, not only on plantation success but also whether tree planting is having an effect on the expected catchment improvements. In steep gradient and unstable watersheds, tree planting and natural regeneration alone are usually not enough to achieve landscape rehabilitation; selective land and water management methods are also essential.</w:t>
      </w:r>
    </w:p>
    <w:p w14:paraId="4690292C" w14:textId="77777777" w:rsidR="007372B6" w:rsidRDefault="007372B6">
      <w:pPr>
        <w:tabs>
          <w:tab w:val="left" w:pos="1620"/>
        </w:tabs>
        <w:spacing w:line="312" w:lineRule="auto"/>
        <w:jc w:val="both"/>
        <w:rPr>
          <w:rFonts w:asciiTheme="minorHAnsi" w:hAnsiTheme="minorHAnsi" w:cstheme="minorHAnsi"/>
          <w:color w:val="000000"/>
          <w:sz w:val="22"/>
          <w:szCs w:val="22"/>
        </w:rPr>
      </w:pPr>
    </w:p>
    <w:p w14:paraId="23886151" w14:textId="77777777" w:rsidR="007372B6" w:rsidRDefault="00000000">
      <w:pPr>
        <w:tabs>
          <w:tab w:val="left" w:pos="1620"/>
        </w:tabs>
        <w:spacing w:line="312" w:lineRule="auto"/>
        <w:jc w:val="both"/>
        <w:rPr>
          <w:rFonts w:asciiTheme="minorHAnsi" w:hAnsiTheme="minorHAnsi"/>
          <w:color w:val="000000"/>
          <w:sz w:val="22"/>
          <w:shd w:val="clear" w:color="auto" w:fill="00FFFF"/>
        </w:rPr>
      </w:pPr>
      <w:r>
        <w:rPr>
          <w:rFonts w:asciiTheme="minorHAnsi" w:hAnsiTheme="minorHAnsi" w:cstheme="minorHAnsi"/>
          <w:color w:val="000000"/>
          <w:sz w:val="22"/>
          <w:szCs w:val="22"/>
        </w:rPr>
        <w:t xml:space="preserve">4. The third lesson is that it takes time and persistent effort for advances in natural resources management institutional and land use practices. The partner NGOs that had long standing programs in the communities were able to implement the project easier than in those areas where they had not worked previously. The longer time horizon for support was a key theme for the shift toward integrated </w:t>
      </w:r>
      <w:r>
        <w:rPr>
          <w:rFonts w:asciiTheme="minorHAnsi" w:hAnsiTheme="minorHAnsi" w:cstheme="minorHAnsi"/>
          <w:color w:val="000000"/>
          <w:sz w:val="22"/>
          <w:szCs w:val="22"/>
        </w:rPr>
        <w:lastRenderedPageBreak/>
        <w:t xml:space="preserve">R2R management; i.e., program development and presumably sustainability. As noted during TE discussions, the </w:t>
      </w:r>
      <w:r>
        <w:rPr>
          <w:rFonts w:asciiTheme="minorHAnsi" w:hAnsiTheme="minorHAnsi" w:cstheme="minorHAnsi"/>
          <w:sz w:val="22"/>
          <w:szCs w:val="22"/>
        </w:rPr>
        <w:t>process of change requires cultural and attitudinal changes within organisations and communities and sustained effort in training and education over a much longer time frame than afforded by short term projects.</w:t>
      </w:r>
    </w:p>
    <w:p w14:paraId="420A1C38" w14:textId="77777777" w:rsidR="007372B6" w:rsidRDefault="007372B6">
      <w:pPr>
        <w:tabs>
          <w:tab w:val="left" w:pos="1620"/>
        </w:tabs>
        <w:spacing w:line="312" w:lineRule="auto"/>
        <w:rPr>
          <w:rFonts w:ascii="Open Sans" w:eastAsia="Open Sans" w:hAnsi="Open Sans" w:cs="Open Sans"/>
          <w:color w:val="000000"/>
          <w:sz w:val="21"/>
          <w:szCs w:val="21"/>
        </w:rPr>
      </w:pPr>
    </w:p>
    <w:p w14:paraId="18E9683D" w14:textId="77777777" w:rsidR="007372B6" w:rsidRDefault="00000000">
      <w:pPr>
        <w:tabs>
          <w:tab w:val="left" w:pos="1620"/>
        </w:tabs>
        <w:spacing w:after="113" w:line="312" w:lineRule="auto"/>
        <w:contextualSpacing/>
        <w:rPr>
          <w:rFonts w:asciiTheme="minorHAnsi" w:eastAsia="Open Sans" w:hAnsiTheme="minorHAnsi" w:cstheme="minorHAnsi"/>
          <w:color w:val="000000"/>
          <w:sz w:val="22"/>
          <w:szCs w:val="22"/>
        </w:rPr>
      </w:pPr>
      <w:r>
        <w:rPr>
          <w:rFonts w:asciiTheme="minorHAnsi" w:eastAsia="Open Sans" w:hAnsiTheme="minorHAnsi" w:cstheme="minorHAnsi"/>
          <w:color w:val="000000"/>
          <w:sz w:val="22"/>
          <w:szCs w:val="22"/>
        </w:rPr>
        <w:t>5. The available project reports (PIRs and BTORs) also listed several key lessons learned:</w:t>
      </w:r>
    </w:p>
    <w:p w14:paraId="4D50A21C" w14:textId="77777777" w:rsidR="007372B6" w:rsidRDefault="00000000">
      <w:pPr>
        <w:numPr>
          <w:ilvl w:val="0"/>
          <w:numId w:val="6"/>
        </w:numPr>
        <w:spacing w:line="312" w:lineRule="auto"/>
        <w:rPr>
          <w:rFonts w:asciiTheme="minorHAnsi" w:hAnsiTheme="minorHAnsi" w:cstheme="minorHAnsi"/>
          <w:color w:val="000000"/>
          <w:sz w:val="22"/>
          <w:szCs w:val="22"/>
        </w:rPr>
      </w:pPr>
      <w:r>
        <w:rPr>
          <w:rFonts w:asciiTheme="minorHAnsi" w:eastAsia="Arial Narrow" w:hAnsiTheme="minorHAnsi" w:cstheme="minorHAnsi"/>
          <w:color w:val="000000"/>
          <w:sz w:val="22"/>
          <w:szCs w:val="22"/>
        </w:rPr>
        <w:t>Communication between project, responsible parties and line government ministries needs to be strengthened</w:t>
      </w:r>
    </w:p>
    <w:p w14:paraId="2967DD9F" w14:textId="77777777" w:rsidR="007372B6" w:rsidRDefault="00000000">
      <w:pPr>
        <w:numPr>
          <w:ilvl w:val="0"/>
          <w:numId w:val="6"/>
        </w:numPr>
        <w:spacing w:line="312" w:lineRule="auto"/>
        <w:rPr>
          <w:rFonts w:asciiTheme="minorHAnsi" w:hAnsiTheme="minorHAnsi" w:cstheme="minorHAnsi"/>
          <w:color w:val="000000"/>
          <w:sz w:val="22"/>
          <w:szCs w:val="22"/>
        </w:rPr>
      </w:pPr>
      <w:r>
        <w:rPr>
          <w:rFonts w:asciiTheme="minorHAnsi" w:eastAsia="Arial Narrow" w:hAnsiTheme="minorHAnsi" w:cstheme="minorHAnsi"/>
          <w:color w:val="000000"/>
          <w:sz w:val="22"/>
          <w:szCs w:val="22"/>
        </w:rPr>
        <w:t>The need for regular site monitoring by the project team to ensure momentum on reforestation at the community level</w:t>
      </w:r>
    </w:p>
    <w:p w14:paraId="10ADE140" w14:textId="77777777" w:rsidR="007372B6" w:rsidRDefault="00000000">
      <w:pPr>
        <w:numPr>
          <w:ilvl w:val="0"/>
          <w:numId w:val="6"/>
        </w:numPr>
        <w:spacing w:line="312" w:lineRule="auto"/>
        <w:rPr>
          <w:rFonts w:asciiTheme="minorHAnsi" w:hAnsiTheme="minorHAnsi" w:cstheme="minorHAnsi"/>
          <w:color w:val="000000"/>
          <w:sz w:val="22"/>
          <w:szCs w:val="22"/>
        </w:rPr>
      </w:pPr>
      <w:r>
        <w:rPr>
          <w:rFonts w:asciiTheme="minorHAnsi" w:eastAsia="Arial Narrow" w:hAnsiTheme="minorHAnsi" w:cstheme="minorHAnsi"/>
          <w:color w:val="000000"/>
          <w:sz w:val="22"/>
          <w:szCs w:val="22"/>
        </w:rPr>
        <w:t>Integrated community reforestation management led by communities requires support from local line governance structures to assist sustainability, advocacy and reinforcement of forest conservation messages</w:t>
      </w:r>
    </w:p>
    <w:p w14:paraId="79A70879" w14:textId="77777777" w:rsidR="007372B6" w:rsidRDefault="00000000">
      <w:pPr>
        <w:numPr>
          <w:ilvl w:val="0"/>
          <w:numId w:val="6"/>
        </w:numPr>
        <w:spacing w:line="312" w:lineRule="auto"/>
        <w:rPr>
          <w:rFonts w:asciiTheme="minorHAnsi" w:hAnsiTheme="minorHAnsi" w:cstheme="minorHAnsi"/>
          <w:color w:val="000000"/>
          <w:sz w:val="22"/>
          <w:szCs w:val="22"/>
        </w:rPr>
      </w:pPr>
      <w:r>
        <w:rPr>
          <w:rFonts w:asciiTheme="minorHAnsi" w:eastAsia="Arial Narrow" w:hAnsiTheme="minorHAnsi" w:cstheme="minorHAnsi"/>
          <w:color w:val="000000"/>
          <w:sz w:val="22"/>
          <w:szCs w:val="22"/>
        </w:rPr>
        <w:t xml:space="preserve">The honorarium concept for local participation needs to be clearly articulated and monitored (e.g., the incentive amount provided for tree planting sites that have reached 80% survival rate). </w:t>
      </w:r>
    </w:p>
    <w:p w14:paraId="17FCFAF4" w14:textId="77777777" w:rsidR="007372B6" w:rsidRDefault="00000000">
      <w:pPr>
        <w:numPr>
          <w:ilvl w:val="0"/>
          <w:numId w:val="6"/>
        </w:numPr>
        <w:spacing w:line="312" w:lineRule="auto"/>
        <w:rPr>
          <w:rFonts w:asciiTheme="minorHAnsi" w:hAnsiTheme="minorHAnsi" w:cstheme="minorHAnsi"/>
          <w:color w:val="000000"/>
          <w:sz w:val="22"/>
          <w:szCs w:val="22"/>
        </w:rPr>
      </w:pPr>
      <w:r>
        <w:rPr>
          <w:rFonts w:asciiTheme="minorHAnsi" w:eastAsia="Arial Narrow" w:hAnsiTheme="minorHAnsi" w:cstheme="minorHAnsi"/>
          <w:color w:val="000000"/>
          <w:sz w:val="22"/>
          <w:szCs w:val="22"/>
        </w:rPr>
        <w:t xml:space="preserve">Maintenance of weeds on reforestation sites need close monitoring and continuous awareness and advocacy with communities. </w:t>
      </w:r>
    </w:p>
    <w:p w14:paraId="5F3412D1" w14:textId="77777777" w:rsidR="007372B6" w:rsidRDefault="007372B6">
      <w:pPr>
        <w:tabs>
          <w:tab w:val="left" w:pos="1620"/>
        </w:tabs>
        <w:spacing w:line="312" w:lineRule="auto"/>
        <w:jc w:val="both"/>
      </w:pPr>
    </w:p>
    <w:p w14:paraId="6BC2D442" w14:textId="77777777" w:rsidR="007372B6" w:rsidRDefault="00000000">
      <w:pPr>
        <w:tabs>
          <w:tab w:val="left" w:pos="1620"/>
        </w:tabs>
        <w:spacing w:line="312"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6. The Fiji experience emphasizes the need for better operational planning of R2R projects which are inherently more complex than other projects. A quick review of the other Pacific R2R projects (Annex 7) also indicates concerns about project strategy/theory of change, realistic work planning, inter-agency synergies, technical capacity and human resources, the coordination and collaboration of stakeholders, and effective reporting systems. Below is a s</w:t>
      </w:r>
      <w:r>
        <w:rPr>
          <w:rFonts w:asciiTheme="minorHAnsi" w:hAnsiTheme="minorHAnsi" w:cstheme="minorHAnsi"/>
          <w:iCs/>
          <w:color w:val="000000"/>
          <w:sz w:val="22"/>
          <w:szCs w:val="22"/>
        </w:rPr>
        <w:t>ummary of findings and lessons from the Regional R2R Project emphasizing various design, M&amp;E and sustainability issues:</w:t>
      </w:r>
    </w:p>
    <w:p w14:paraId="2C55DD3E"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Design was highly oversized and overly ambitious.</w:t>
      </w:r>
    </w:p>
    <w:p w14:paraId="75155156"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Project did not have properly imbedded mechanisms to programmatically ensure methodical and strategic coordination between and among the different child projects and the regional intervention.</w:t>
      </w:r>
    </w:p>
    <w:p w14:paraId="4DDE4AD3"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Design also did not properly entail process, metrics, and tools to engender nor benchmark</w:t>
      </w:r>
      <w:r>
        <w:rPr>
          <w:rFonts w:ascii="Calibri" w:hAnsi="Calibri" w:cstheme="minorHAnsi"/>
          <w:color w:val="000000"/>
          <w:sz w:val="22"/>
          <w:szCs w:val="22"/>
        </w:rPr>
        <w:br/>
        <w:t>outcomes and results.</w:t>
      </w:r>
    </w:p>
    <w:p w14:paraId="63E960C9"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Although there was a downsizing of indicators as a result of mid-term analysis, there was no overhauling of the log frame to make up for the above issues.</w:t>
      </w:r>
    </w:p>
    <w:p w14:paraId="0B32DA96"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Products and outputs were achieved at expected levels for all PICs (particularly after midterm indicator downsizing).</w:t>
      </w:r>
    </w:p>
    <w:p w14:paraId="38F85E9F"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Expecting national bodies to implement and commit to regional outcomes without the necessary resources, materials and technical capacity and support was not feasible.</w:t>
      </w:r>
    </w:p>
    <w:p w14:paraId="2B52C118"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Project faced a large number of challenges that in turn affected implementation and</w:t>
      </w:r>
      <w:r>
        <w:rPr>
          <w:rFonts w:ascii="Calibri" w:hAnsi="Calibri" w:cstheme="minorHAnsi"/>
          <w:color w:val="000000"/>
          <w:sz w:val="22"/>
          <w:szCs w:val="22"/>
        </w:rPr>
        <w:br/>
        <w:t>effectiveness.</w:t>
      </w:r>
    </w:p>
    <w:p w14:paraId="20C68C90"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 xml:space="preserve">The COVID-19 pandemic greatly affected project implementation since many of the technical support aspects could not </w:t>
      </w:r>
      <w:proofErr w:type="spellStart"/>
      <w:r>
        <w:rPr>
          <w:rFonts w:ascii="Calibri" w:hAnsi="Calibri" w:cstheme="minorHAnsi"/>
          <w:color w:val="000000"/>
          <w:sz w:val="22"/>
          <w:szCs w:val="22"/>
        </w:rPr>
        <w:t>materialise</w:t>
      </w:r>
      <w:proofErr w:type="spellEnd"/>
      <w:r>
        <w:rPr>
          <w:rFonts w:ascii="Calibri" w:hAnsi="Calibri" w:cstheme="minorHAnsi"/>
          <w:color w:val="000000"/>
          <w:sz w:val="22"/>
          <w:szCs w:val="22"/>
        </w:rPr>
        <w:t xml:space="preserve"> as expected due to travel restrictions, lockdowns, etc.</w:t>
      </w:r>
    </w:p>
    <w:p w14:paraId="7C0B37CA"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lastRenderedPageBreak/>
        <w:t>The RPCU showed adaptive management by moving to online delivery as much as possible due to the mentioned restrictions.</w:t>
      </w:r>
    </w:p>
    <w:p w14:paraId="55684B86"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color w:val="000000"/>
          <w:sz w:val="22"/>
          <w:szCs w:val="22"/>
        </w:rPr>
        <w:t>Governance uptake did not take place at the expected (tacit or explicit) level.</w:t>
      </w:r>
      <w:r>
        <w:rPr>
          <w:rFonts w:ascii="Calibri" w:hAnsi="Calibri" w:cstheme="minorHAnsi"/>
          <w:color w:val="000000"/>
          <w:sz w:val="22"/>
          <w:szCs w:val="22"/>
        </w:rPr>
        <w:br/>
        <w:t xml:space="preserve">In the last year of implementation, mainly, RPCU greatly </w:t>
      </w:r>
      <w:proofErr w:type="gramStart"/>
      <w:r>
        <w:rPr>
          <w:rFonts w:ascii="Calibri" w:hAnsi="Calibri" w:cstheme="minorHAnsi"/>
          <w:color w:val="000000"/>
          <w:sz w:val="22"/>
          <w:szCs w:val="22"/>
        </w:rPr>
        <w:t>stepped up</w:t>
      </w:r>
      <w:proofErr w:type="gramEnd"/>
      <w:r>
        <w:rPr>
          <w:rFonts w:ascii="Calibri" w:hAnsi="Calibri" w:cstheme="minorHAnsi"/>
          <w:color w:val="000000"/>
          <w:sz w:val="22"/>
          <w:szCs w:val="22"/>
        </w:rPr>
        <w:t xml:space="preserve"> delivery in order to achieve a number of technical studies, processes, and outputs at the expected product and processes levels.</w:t>
      </w:r>
    </w:p>
    <w:p w14:paraId="1D26395C" w14:textId="77777777" w:rsidR="007372B6" w:rsidRDefault="00000000">
      <w:pPr>
        <w:pStyle w:val="ListParagraph"/>
        <w:numPr>
          <w:ilvl w:val="0"/>
          <w:numId w:val="20"/>
        </w:numPr>
        <w:tabs>
          <w:tab w:val="left" w:pos="3814"/>
        </w:tabs>
        <w:spacing w:after="57"/>
        <w:contextualSpacing w:val="0"/>
        <w:rPr>
          <w:rFonts w:asciiTheme="minorHAnsi" w:hAnsiTheme="minorHAnsi" w:cstheme="minorHAnsi"/>
          <w:color w:val="000000"/>
          <w:sz w:val="22"/>
          <w:szCs w:val="22"/>
        </w:rPr>
      </w:pPr>
      <w:r>
        <w:rPr>
          <w:rFonts w:ascii="Calibri" w:hAnsi="Calibri" w:cstheme="minorHAnsi"/>
          <w:iCs/>
          <w:color w:val="000000"/>
          <w:sz w:val="22"/>
          <w:szCs w:val="22"/>
        </w:rPr>
        <w:t>Project has delivered a number of technical studies, analysis, studies, and knowledge</w:t>
      </w:r>
      <w:r>
        <w:rPr>
          <w:rFonts w:ascii="Calibri" w:hAnsi="Calibri" w:cstheme="minorHAnsi"/>
          <w:iCs/>
          <w:color w:val="000000"/>
          <w:sz w:val="22"/>
          <w:szCs w:val="22"/>
        </w:rPr>
        <w:br/>
        <w:t>management products.</w:t>
      </w:r>
      <w:r>
        <w:rPr>
          <w:rFonts w:asciiTheme="minorHAnsi" w:hAnsiTheme="minorHAnsi" w:cstheme="minorHAnsi"/>
          <w:iCs/>
          <w:color w:val="000000"/>
          <w:sz w:val="22"/>
          <w:szCs w:val="22"/>
        </w:rPr>
        <w:t xml:space="preserve"> </w:t>
      </w:r>
      <w:r>
        <w:rPr>
          <w:rStyle w:val="FootnoteAnchor"/>
          <w:rFonts w:ascii="Calibri" w:hAnsi="Calibri" w:cstheme="minorHAnsi"/>
          <w:iCs/>
          <w:color w:val="000000"/>
          <w:sz w:val="22"/>
          <w:szCs w:val="22"/>
        </w:rPr>
        <w:footnoteReference w:id="60"/>
      </w:r>
    </w:p>
    <w:p w14:paraId="5E73448E" w14:textId="77777777" w:rsidR="007372B6" w:rsidRDefault="00000000">
      <w:pPr>
        <w:tabs>
          <w:tab w:val="left" w:pos="1620"/>
        </w:tabs>
        <w:spacing w:after="57" w:line="312" w:lineRule="auto"/>
        <w:contextualSpacing/>
        <w:rPr>
          <w:rFonts w:asciiTheme="minorHAnsi" w:hAnsiTheme="minorHAnsi" w:cstheme="minorHAnsi"/>
          <w:b/>
          <w:bCs/>
          <w:color w:val="000000"/>
          <w:sz w:val="22"/>
          <w:szCs w:val="22"/>
        </w:rPr>
      </w:pPr>
      <w:r>
        <w:br w:type="page"/>
      </w:r>
    </w:p>
    <w:p w14:paraId="0719D607" w14:textId="77777777" w:rsidR="007372B6" w:rsidRDefault="00000000">
      <w:pPr>
        <w:tabs>
          <w:tab w:val="left" w:pos="1620"/>
        </w:tabs>
        <w:spacing w:line="312" w:lineRule="auto"/>
        <w:rPr>
          <w:color w:val="0000FF"/>
        </w:rPr>
      </w:pPr>
      <w:r>
        <w:rPr>
          <w:rFonts w:asciiTheme="minorHAnsi" w:hAnsiTheme="minorHAnsi" w:cstheme="minorHAnsi"/>
          <w:b/>
          <w:bCs/>
          <w:color w:val="0000FF"/>
          <w:sz w:val="22"/>
          <w:szCs w:val="22"/>
        </w:rPr>
        <w:lastRenderedPageBreak/>
        <w:t>Volume II – Annexes (attached as a separate document)</w:t>
      </w:r>
    </w:p>
    <w:p w14:paraId="0534873D" w14:textId="77777777" w:rsidR="007372B6" w:rsidRDefault="00000000">
      <w:pPr>
        <w:spacing w:after="160" w:line="259" w:lineRule="auto"/>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1. </w:t>
      </w:r>
      <w:r>
        <w:rPr>
          <w:rFonts w:ascii="Calibri" w:hAnsi="Calibri" w:cs="Calibri"/>
          <w:color w:val="000000"/>
          <w:sz w:val="22"/>
          <w:szCs w:val="22"/>
        </w:rPr>
        <w:t>Terms of Reference for the Terminal Evaluation</w:t>
      </w:r>
      <w:r>
        <w:rPr>
          <w:rFonts w:asciiTheme="minorHAnsi" w:hAnsiTheme="minorHAnsi" w:cstheme="minorHAnsi"/>
          <w:color w:val="000000"/>
          <w:sz w:val="22"/>
          <w:szCs w:val="22"/>
        </w:rPr>
        <w:t xml:space="preserve"> </w:t>
      </w:r>
    </w:p>
    <w:p w14:paraId="4B34E795" w14:textId="77777777" w:rsidR="007372B6" w:rsidRDefault="00000000">
      <w:pPr>
        <w:spacing w:after="160" w:line="259" w:lineRule="auto"/>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2. Fiji R2R </w:t>
      </w:r>
      <w:r>
        <w:rPr>
          <w:rFonts w:ascii="Calibri" w:eastAsia="Calibri" w:hAnsi="Calibri" w:cs="Calibri"/>
          <w:iCs/>
          <w:color w:val="000000"/>
          <w:sz w:val="22"/>
          <w:szCs w:val="22"/>
        </w:rPr>
        <w:t xml:space="preserve">Strategic </w:t>
      </w:r>
      <w:r>
        <w:rPr>
          <w:rFonts w:asciiTheme="minorHAnsi" w:hAnsiTheme="minorHAnsi" w:cstheme="minorHAnsi"/>
          <w:color w:val="000000"/>
          <w:sz w:val="22"/>
          <w:szCs w:val="22"/>
        </w:rPr>
        <w:t xml:space="preserve">Results Framework </w:t>
      </w:r>
    </w:p>
    <w:p w14:paraId="47A5105A" w14:textId="77777777" w:rsidR="007372B6" w:rsidRDefault="00000000">
      <w:pPr>
        <w:spacing w:after="160" w:line="259" w:lineRule="auto"/>
        <w:contextualSpacing/>
        <w:rPr>
          <w:rFonts w:asciiTheme="minorHAnsi" w:hAnsiTheme="minorHAnsi" w:cstheme="minorHAnsi"/>
          <w:color w:val="000000"/>
          <w:sz w:val="22"/>
          <w:szCs w:val="22"/>
        </w:rPr>
      </w:pPr>
      <w:r>
        <w:rPr>
          <w:rFonts w:asciiTheme="minorHAnsi" w:hAnsiTheme="minorHAnsi" w:cstheme="minorHAnsi"/>
          <w:color w:val="000000"/>
          <w:sz w:val="22"/>
          <w:szCs w:val="22"/>
        </w:rPr>
        <w:t>3. Fiji R2R Project Targets</w:t>
      </w:r>
    </w:p>
    <w:p w14:paraId="227122A4" w14:textId="77777777" w:rsidR="007372B6" w:rsidRDefault="00000000">
      <w:pPr>
        <w:spacing w:after="160" w:line="259" w:lineRule="auto"/>
        <w:contextualSpacing/>
        <w:rPr>
          <w:rFonts w:asciiTheme="minorHAnsi" w:hAnsiTheme="minorHAnsi" w:cstheme="minorHAnsi"/>
          <w:color w:val="000000"/>
          <w:sz w:val="22"/>
          <w:szCs w:val="22"/>
        </w:rPr>
      </w:pPr>
      <w:r>
        <w:rPr>
          <w:rFonts w:asciiTheme="minorHAnsi" w:hAnsiTheme="minorHAnsi" w:cstheme="minorHAnsi"/>
          <w:color w:val="000000"/>
          <w:sz w:val="22"/>
          <w:szCs w:val="22"/>
        </w:rPr>
        <w:t>4. Post-project Exit Strategy Action Plan Status</w:t>
      </w:r>
    </w:p>
    <w:p w14:paraId="694AAE2A" w14:textId="77777777" w:rsidR="007372B6" w:rsidRDefault="00000000">
      <w:pPr>
        <w:spacing w:after="160" w:line="259" w:lineRule="auto"/>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5. List of </w:t>
      </w:r>
      <w:r>
        <w:rPr>
          <w:rFonts w:asciiTheme="minorHAnsi" w:eastAsiaTheme="minorHAnsi" w:hAnsiTheme="minorHAnsi" w:cstheme="minorHAnsi"/>
          <w:color w:val="000000"/>
          <w:sz w:val="22"/>
          <w:szCs w:val="22"/>
          <w:lang w:val="en-CA" w:eastAsia="en-US"/>
        </w:rPr>
        <w:t>persons interviewed</w:t>
      </w:r>
    </w:p>
    <w:p w14:paraId="71087120" w14:textId="77777777" w:rsidR="007372B6" w:rsidRDefault="00000000">
      <w:pPr>
        <w:spacing w:after="160" w:line="259" w:lineRule="auto"/>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6. List of Documents </w:t>
      </w:r>
      <w:r>
        <w:rPr>
          <w:rFonts w:asciiTheme="minorHAnsi" w:eastAsiaTheme="minorHAnsi" w:hAnsiTheme="minorHAnsi" w:cstheme="minorHAnsi"/>
          <w:color w:val="000000"/>
          <w:sz w:val="22"/>
          <w:szCs w:val="22"/>
          <w:lang w:val="en-CA" w:eastAsia="en-US"/>
        </w:rPr>
        <w:t xml:space="preserve">reviewed </w:t>
      </w:r>
    </w:p>
    <w:p w14:paraId="6BE8B9BB" w14:textId="77777777" w:rsidR="007372B6" w:rsidRDefault="00000000">
      <w:pPr>
        <w:spacing w:after="160" w:line="259" w:lineRule="auto"/>
        <w:contextualSpacing/>
        <w:rPr>
          <w:rFonts w:ascii="Calibri" w:hAnsi="Calibri" w:cs="Calibri"/>
          <w:sz w:val="22"/>
          <w:szCs w:val="22"/>
        </w:rPr>
      </w:pPr>
      <w:r>
        <w:rPr>
          <w:rFonts w:ascii="Calibri" w:hAnsi="Calibri" w:cs="Calibri"/>
          <w:color w:val="000000"/>
          <w:sz w:val="22"/>
          <w:szCs w:val="22"/>
        </w:rPr>
        <w:t xml:space="preserve">7. </w:t>
      </w:r>
      <w:r>
        <w:rPr>
          <w:rFonts w:ascii="Calibri" w:hAnsi="Calibri" w:cs="Calibri"/>
          <w:sz w:val="22"/>
          <w:szCs w:val="22"/>
        </w:rPr>
        <w:t>Lessons from Other Pacific R2R Projects</w:t>
      </w:r>
    </w:p>
    <w:p w14:paraId="5A2A245B" w14:textId="77777777" w:rsidR="007372B6" w:rsidRDefault="00000000">
      <w:pPr>
        <w:spacing w:after="160" w:line="259" w:lineRule="auto"/>
        <w:contextualSpacing/>
        <w:rPr>
          <w:rFonts w:asciiTheme="minorHAnsi" w:eastAsiaTheme="minorHAnsi" w:hAnsiTheme="minorHAnsi" w:cstheme="minorHAnsi"/>
        </w:rPr>
      </w:pPr>
      <w:r>
        <w:rPr>
          <w:rFonts w:ascii="Calibri" w:eastAsiaTheme="minorHAnsi" w:hAnsi="Calibri" w:cstheme="minorHAnsi"/>
          <w:color w:val="000000"/>
          <w:sz w:val="22"/>
          <w:szCs w:val="22"/>
          <w:lang w:val="en-CA" w:eastAsia="en-US"/>
        </w:rPr>
        <w:t xml:space="preserve">8: TE Mission itinerary </w:t>
      </w:r>
    </w:p>
    <w:p w14:paraId="1DC1A6C7" w14:textId="77777777" w:rsidR="007372B6" w:rsidRDefault="00000000">
      <w:pPr>
        <w:spacing w:after="160" w:line="259" w:lineRule="auto"/>
        <w:contextualSpacing/>
        <w:rPr>
          <w:rFonts w:asciiTheme="minorHAnsi" w:eastAsiaTheme="minorHAnsi" w:hAnsiTheme="minorHAnsi" w:cstheme="minorHAnsi"/>
        </w:rPr>
      </w:pPr>
      <w:r>
        <w:rPr>
          <w:rFonts w:ascii="Calibri" w:eastAsiaTheme="minorHAnsi" w:hAnsi="Calibri" w:cstheme="minorHAnsi"/>
          <w:color w:val="000000"/>
          <w:sz w:val="22"/>
          <w:szCs w:val="22"/>
          <w:lang w:val="en-CA" w:eastAsia="en-US"/>
        </w:rPr>
        <w:t>9: Synopsis of field visits to Communities</w:t>
      </w:r>
    </w:p>
    <w:p w14:paraId="2927F377" w14:textId="77777777" w:rsidR="007372B6" w:rsidRDefault="00000000">
      <w:pPr>
        <w:spacing w:after="160" w:line="259" w:lineRule="auto"/>
        <w:contextualSpacing/>
      </w:pPr>
      <w:r>
        <w:rPr>
          <w:rFonts w:asciiTheme="minorHAnsi" w:eastAsiaTheme="minorHAnsi" w:hAnsiTheme="minorHAnsi" w:cstheme="minorHAnsi"/>
          <w:color w:val="000000"/>
          <w:sz w:val="22"/>
          <w:szCs w:val="22"/>
          <w:lang w:val="en-CA" w:eastAsia="en-US"/>
        </w:rPr>
        <w:t xml:space="preserve">10: </w:t>
      </w:r>
      <w:r>
        <w:rPr>
          <w:rFonts w:ascii="Calibri" w:eastAsia="Bookman Old Style" w:hAnsi="Calibri" w:cs="Calibri"/>
          <w:iCs/>
          <w:color w:val="000000"/>
          <w:w w:val="105"/>
          <w:sz w:val="22"/>
          <w:szCs w:val="20"/>
          <w:lang w:val="en-CA"/>
        </w:rPr>
        <w:t xml:space="preserve">Overview of Local Administration and Community Stakeholder Engagement </w:t>
      </w:r>
    </w:p>
    <w:p w14:paraId="7CB3E788" w14:textId="77777777" w:rsidR="007372B6" w:rsidRDefault="00000000">
      <w:pPr>
        <w:spacing w:after="160" w:line="259" w:lineRule="auto"/>
        <w:contextualSpacing/>
      </w:pPr>
      <w:r>
        <w:rPr>
          <w:rFonts w:asciiTheme="minorHAnsi" w:eastAsiaTheme="minorHAnsi" w:hAnsiTheme="minorHAnsi" w:cstheme="minorHAnsi"/>
          <w:color w:val="000000"/>
          <w:sz w:val="22"/>
          <w:szCs w:val="22"/>
          <w:lang w:val="en-CA" w:eastAsia="en-US"/>
        </w:rPr>
        <w:t xml:space="preserve">11: </w:t>
      </w:r>
      <w:r>
        <w:rPr>
          <w:rFonts w:ascii="Calibri" w:eastAsia="Bookman Old Style" w:hAnsi="Calibri" w:cs="Calibri"/>
          <w:iCs/>
          <w:color w:val="000000"/>
          <w:w w:val="105"/>
          <w:sz w:val="22"/>
          <w:szCs w:val="20"/>
          <w:lang w:val="en-CA"/>
        </w:rPr>
        <w:t>Annual Budgets and Expenditures by Outcome</w:t>
      </w:r>
    </w:p>
    <w:p w14:paraId="1CC63B4D" w14:textId="77777777" w:rsidR="007372B6" w:rsidRDefault="00000000">
      <w:pPr>
        <w:tabs>
          <w:tab w:val="left" w:pos="1620"/>
        </w:tabs>
      </w:pPr>
      <w:r>
        <w:rPr>
          <w:rFonts w:ascii="Calibri" w:eastAsiaTheme="minorHAnsi" w:hAnsi="Calibri" w:cstheme="minorHAnsi"/>
          <w:color w:val="000000"/>
          <w:sz w:val="22"/>
          <w:szCs w:val="22"/>
          <w:lang w:val="en-CA" w:eastAsia="en-US"/>
        </w:rPr>
        <w:t>12: Signed UNEG Code of Conduct form</w:t>
      </w:r>
    </w:p>
    <w:p w14:paraId="7BDDCC37" w14:textId="77777777" w:rsidR="007372B6" w:rsidRDefault="00000000">
      <w:pPr>
        <w:tabs>
          <w:tab w:val="left" w:pos="1620"/>
        </w:tabs>
      </w:pPr>
      <w:r>
        <w:rPr>
          <w:rFonts w:ascii="Calibri" w:eastAsiaTheme="minorHAnsi" w:hAnsi="Calibri" w:cstheme="minorHAnsi"/>
          <w:color w:val="000000"/>
          <w:sz w:val="22"/>
          <w:szCs w:val="22"/>
          <w:lang w:val="en-CA" w:eastAsia="en-US"/>
        </w:rPr>
        <w:t>13:</w:t>
      </w:r>
      <w:r>
        <w:rPr>
          <w:rFonts w:ascii="Calibri" w:eastAsia="Bookman Old Style" w:hAnsi="Calibri" w:cs="Calibri"/>
          <w:iCs/>
          <w:color w:val="000000"/>
          <w:w w:val="105"/>
          <w:sz w:val="22"/>
          <w:szCs w:val="20"/>
          <w:lang w:val="en-CA"/>
        </w:rPr>
        <w:t xml:space="preserve"> Diagram of a whole watershed perspective </w:t>
      </w:r>
    </w:p>
    <w:p w14:paraId="06F0529E" w14:textId="77777777" w:rsidR="007372B6" w:rsidRDefault="00000000">
      <w:pPr>
        <w:tabs>
          <w:tab w:val="left" w:pos="1620"/>
        </w:tabs>
      </w:pPr>
      <w:r>
        <w:rPr>
          <w:rFonts w:ascii="Calibri" w:eastAsia="Bookman Old Style" w:hAnsi="Calibri" w:cs="Calibri"/>
          <w:iCs/>
          <w:color w:val="000000"/>
          <w:w w:val="105"/>
          <w:sz w:val="22"/>
          <w:szCs w:val="20"/>
          <w:lang w:val="en-CA"/>
        </w:rPr>
        <w:t xml:space="preserve">14. </w:t>
      </w:r>
      <w:r>
        <w:rPr>
          <w:rFonts w:asciiTheme="minorHAnsi" w:eastAsiaTheme="minorHAnsi" w:hAnsiTheme="minorHAnsi" w:cstheme="minorHAnsi"/>
          <w:iCs/>
          <w:color w:val="000000"/>
          <w:w w:val="105"/>
          <w:sz w:val="22"/>
          <w:szCs w:val="22"/>
          <w:lang w:val="en-CA" w:eastAsia="en-US"/>
        </w:rPr>
        <w:t xml:space="preserve">Evaluation Matrix – </w:t>
      </w:r>
      <w:r>
        <w:rPr>
          <w:rFonts w:ascii="Calibri" w:eastAsia="Calibri" w:hAnsi="Calibri" w:cs="Calibri"/>
          <w:iCs/>
          <w:color w:val="000000"/>
          <w:w w:val="105"/>
          <w:sz w:val="22"/>
          <w:szCs w:val="22"/>
          <w:lang w:val="en-CA" w:eastAsia="en-US"/>
        </w:rPr>
        <w:t>evaluation criteria, key questions, indicators, sources of data &amp; methods</w:t>
      </w:r>
    </w:p>
    <w:p w14:paraId="4C9E3BF5" w14:textId="77777777" w:rsidR="007372B6" w:rsidRDefault="00000000">
      <w:pPr>
        <w:tabs>
          <w:tab w:val="left" w:pos="1620"/>
        </w:tabs>
        <w:spacing w:line="259" w:lineRule="auto"/>
      </w:pPr>
      <w:r>
        <w:rPr>
          <w:rFonts w:ascii="Calibri" w:eastAsia="Calibri" w:hAnsi="Calibri" w:cs="Calibri"/>
          <w:iCs/>
          <w:color w:val="000000"/>
          <w:w w:val="105"/>
          <w:sz w:val="22"/>
          <w:szCs w:val="22"/>
          <w:lang w:val="en-CA" w:eastAsia="en-US"/>
        </w:rPr>
        <w:t>15. TE Report Clearance Form</w:t>
      </w:r>
    </w:p>
    <w:p w14:paraId="6D6F078F" w14:textId="77777777" w:rsidR="007372B6" w:rsidRDefault="007372B6">
      <w:pPr>
        <w:tabs>
          <w:tab w:val="left" w:pos="1620"/>
        </w:tabs>
        <w:ind w:left="360"/>
        <w:rPr>
          <w:rFonts w:asciiTheme="minorHAnsi" w:eastAsiaTheme="minorHAnsi" w:hAnsiTheme="minorHAnsi" w:cstheme="minorHAnsi"/>
          <w:b/>
          <w:bCs/>
          <w:color w:val="000000"/>
          <w:sz w:val="22"/>
          <w:szCs w:val="22"/>
          <w:lang w:val="en-CA" w:eastAsia="en-US"/>
        </w:rPr>
      </w:pPr>
    </w:p>
    <w:p w14:paraId="5781E5D2" w14:textId="77777777" w:rsidR="007372B6" w:rsidRDefault="007372B6">
      <w:pPr>
        <w:tabs>
          <w:tab w:val="left" w:pos="1620"/>
        </w:tabs>
        <w:spacing w:after="160" w:line="312" w:lineRule="auto"/>
        <w:contextualSpacing/>
        <w:jc w:val="both"/>
        <w:rPr>
          <w:rFonts w:asciiTheme="minorHAnsi" w:eastAsia="Open Sans" w:hAnsiTheme="minorHAnsi" w:cstheme="minorHAnsi"/>
          <w:b/>
          <w:bCs/>
          <w:color w:val="000000"/>
          <w:sz w:val="22"/>
          <w:szCs w:val="22"/>
          <w:shd w:val="clear" w:color="auto" w:fill="FFFF00"/>
        </w:rPr>
      </w:pPr>
    </w:p>
    <w:p w14:paraId="2D5A8048" w14:textId="77777777" w:rsidR="007372B6" w:rsidRDefault="007372B6">
      <w:pPr>
        <w:spacing w:after="160" w:line="259" w:lineRule="auto"/>
        <w:contextualSpacing/>
        <w:rPr>
          <w:rFonts w:asciiTheme="minorHAnsi" w:hAnsiTheme="minorHAnsi" w:cstheme="minorHAnsi"/>
          <w:color w:val="000000"/>
          <w:sz w:val="22"/>
          <w:szCs w:val="22"/>
        </w:rPr>
      </w:pPr>
    </w:p>
    <w:sectPr w:rsidR="007372B6">
      <w:footerReference w:type="default" r:id="rId13"/>
      <w:pgSz w:w="12240" w:h="15840"/>
      <w:pgMar w:top="1435" w:right="1440" w:bottom="426" w:left="1440" w:header="0"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3E120" w14:textId="77777777" w:rsidR="001D158B" w:rsidRDefault="001D158B">
      <w:r>
        <w:separator/>
      </w:r>
    </w:p>
  </w:endnote>
  <w:endnote w:type="continuationSeparator" w:id="0">
    <w:p w14:paraId="2560AA8C" w14:textId="77777777" w:rsidR="001D158B" w:rsidRDefault="001D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charset w:val="01"/>
    <w:family w:val="roman"/>
    <w:pitch w:val="variable"/>
  </w:font>
  <w:font w:name="Angsana New">
    <w:panose1 w:val="02020603050405020304"/>
    <w:charset w:val="DE"/>
    <w:family w:val="roman"/>
    <w:pitch w:val="variable"/>
    <w:sig w:usb0="81000003" w:usb1="00000000" w:usb2="00000000" w:usb3="00000000" w:csb0="00010001"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Liberation Serif">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MyriadPro-Bold">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Narrow">
    <w:panose1 w:val="00000000000000000000"/>
    <w:charset w:val="00"/>
    <w:family w:val="roman"/>
    <w:notTrueType/>
    <w:pitch w:val="default"/>
  </w:font>
  <w:font w:name="Songti SC">
    <w:panose1 w:val="00000000000000000000"/>
    <w:charset w:val="00"/>
    <w:family w:val="roman"/>
    <w:notTrueType/>
    <w:pitch w:val="default"/>
  </w:font>
  <w:font w:name="Calibri;sans-serif">
    <w:altName w:val="Cambria"/>
    <w:panose1 w:val="00000000000000000000"/>
    <w:charset w:val="00"/>
    <w:family w:val="roman"/>
    <w:notTrueType/>
    <w:pitch w:val="default"/>
  </w:font>
  <w:font w:name="Arial Narrow;sans-serif">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AA52" w14:textId="77777777" w:rsidR="007372B6" w:rsidRDefault="00000000">
    <w:pPr>
      <w:tabs>
        <w:tab w:val="center" w:pos="4680"/>
        <w:tab w:val="right" w:pos="9360"/>
      </w:tabs>
      <w:jc w:val="right"/>
      <w:rPr>
        <w:sz w:val="18"/>
        <w:szCs w:val="18"/>
      </w:rPr>
    </w:pPr>
    <w:r>
      <w:rPr>
        <w:color w:val="000000"/>
        <w:sz w:val="18"/>
        <w:szCs w:val="18"/>
      </w:rPr>
      <w:fldChar w:fldCharType="begin"/>
    </w:r>
    <w:r>
      <w:rPr>
        <w:color w:val="000000"/>
        <w:sz w:val="18"/>
        <w:szCs w:val="18"/>
      </w:rPr>
      <w:instrText xml:space="preserve"> PAGE </w:instrText>
    </w:r>
    <w:r>
      <w:rPr>
        <w:color w:val="000000"/>
        <w:sz w:val="18"/>
        <w:szCs w:val="18"/>
      </w:rPr>
      <w:fldChar w:fldCharType="separate"/>
    </w:r>
    <w:r>
      <w:rPr>
        <w:color w:val="000000"/>
        <w:sz w:val="18"/>
        <w:szCs w:val="18"/>
      </w:rPr>
      <w:t>d</w:t>
    </w:r>
    <w:r>
      <w:rPr>
        <w:color w:val="000000"/>
        <w:sz w:val="18"/>
        <w:szCs w:val="18"/>
      </w:rPr>
      <w:fldChar w:fldCharType="end"/>
    </w:r>
  </w:p>
  <w:p w14:paraId="423107A5" w14:textId="77777777" w:rsidR="007372B6" w:rsidRDefault="007372B6">
    <w:pP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5F83" w14:textId="77777777" w:rsidR="007372B6" w:rsidRDefault="00000000">
    <w:pPr>
      <w:tabs>
        <w:tab w:val="center" w:pos="4680"/>
        <w:tab w:val="right" w:pos="9360"/>
      </w:tabs>
      <w:jc w:val="right"/>
      <w:rPr>
        <w:sz w:val="18"/>
        <w:szCs w:val="18"/>
      </w:rPr>
    </w:pPr>
    <w:r>
      <w:rPr>
        <w:color w:val="000000"/>
        <w:sz w:val="18"/>
        <w:szCs w:val="18"/>
      </w:rPr>
      <w:fldChar w:fldCharType="begin"/>
    </w:r>
    <w:r>
      <w:rPr>
        <w:color w:val="000000"/>
        <w:sz w:val="18"/>
        <w:szCs w:val="18"/>
      </w:rPr>
      <w:instrText xml:space="preserve"> PAGE </w:instrText>
    </w:r>
    <w:r>
      <w:rPr>
        <w:color w:val="000000"/>
        <w:sz w:val="18"/>
        <w:szCs w:val="18"/>
      </w:rPr>
      <w:fldChar w:fldCharType="separate"/>
    </w:r>
    <w:r>
      <w:rPr>
        <w:color w:val="000000"/>
        <w:sz w:val="18"/>
        <w:szCs w:val="18"/>
      </w:rPr>
      <w:t>ix</w:t>
    </w:r>
    <w:r>
      <w:rPr>
        <w:color w:val="000000"/>
        <w:sz w:val="18"/>
        <w:szCs w:val="18"/>
      </w:rPr>
      <w:fldChar w:fldCharType="end"/>
    </w:r>
  </w:p>
  <w:p w14:paraId="6BD725B0" w14:textId="77777777" w:rsidR="007372B6" w:rsidRDefault="007372B6">
    <w:pP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25E4" w14:textId="77777777" w:rsidR="007372B6" w:rsidRDefault="00000000">
    <w:pPr>
      <w:tabs>
        <w:tab w:val="center" w:pos="4680"/>
        <w:tab w:val="right" w:pos="9360"/>
      </w:tabs>
      <w:jc w:val="right"/>
      <w:rPr>
        <w:sz w:val="18"/>
        <w:szCs w:val="18"/>
      </w:rPr>
    </w:pPr>
    <w:r>
      <w:rPr>
        <w:color w:val="000000"/>
        <w:sz w:val="18"/>
        <w:szCs w:val="18"/>
      </w:rPr>
      <w:fldChar w:fldCharType="begin"/>
    </w:r>
    <w:r>
      <w:rPr>
        <w:color w:val="000000"/>
        <w:sz w:val="18"/>
        <w:szCs w:val="18"/>
      </w:rPr>
      <w:instrText xml:space="preserve"> PAGE </w:instrText>
    </w:r>
    <w:r>
      <w:rPr>
        <w:color w:val="000000"/>
        <w:sz w:val="18"/>
        <w:szCs w:val="18"/>
      </w:rPr>
      <w:fldChar w:fldCharType="separate"/>
    </w:r>
    <w:r>
      <w:rPr>
        <w:color w:val="000000"/>
        <w:sz w:val="18"/>
        <w:szCs w:val="18"/>
      </w:rPr>
      <w:t>52</w:t>
    </w:r>
    <w:r>
      <w:rPr>
        <w:color w:val="000000"/>
        <w:sz w:val="18"/>
        <w:szCs w:val="18"/>
      </w:rPr>
      <w:fldChar w:fldCharType="end"/>
    </w:r>
  </w:p>
  <w:p w14:paraId="734D97C2" w14:textId="77777777" w:rsidR="007372B6" w:rsidRDefault="007372B6">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120A3" w14:textId="77777777" w:rsidR="001D158B" w:rsidRDefault="001D158B">
      <w:pPr>
        <w:rPr>
          <w:sz w:val="12"/>
        </w:rPr>
      </w:pPr>
      <w:r>
        <w:separator/>
      </w:r>
    </w:p>
  </w:footnote>
  <w:footnote w:type="continuationSeparator" w:id="0">
    <w:p w14:paraId="29688A1F" w14:textId="77777777" w:rsidR="001D158B" w:rsidRDefault="001D158B">
      <w:pPr>
        <w:rPr>
          <w:sz w:val="12"/>
        </w:rPr>
      </w:pPr>
      <w:r>
        <w:continuationSeparator/>
      </w:r>
    </w:p>
  </w:footnote>
  <w:footnote w:id="1">
    <w:p w14:paraId="53C15FDA" w14:textId="77777777" w:rsidR="007372B6" w:rsidRDefault="00000000">
      <w:pPr>
        <w:pStyle w:val="FootnoteText"/>
        <w:widowControl w:val="0"/>
      </w:pPr>
      <w:r>
        <w:rPr>
          <w:rStyle w:val="FootnoteCharacters"/>
        </w:rPr>
        <w:footnoteRef/>
      </w:r>
      <w:r>
        <w:rPr>
          <w:rFonts w:ascii="Calibri" w:hAnsi="Calibri"/>
          <w:sz w:val="18"/>
          <w:szCs w:val="18"/>
        </w:rPr>
        <w:t>The R2R project is an integrated project consolidated as an umbrella multi-focal project under GEF’s funding streams of Biodiversity (</w:t>
      </w:r>
      <w:r>
        <w:rPr>
          <w:rFonts w:ascii="Calibri" w:hAnsi="Calibri" w:cs="Calibri"/>
          <w:color w:val="000000"/>
          <w:sz w:val="18"/>
          <w:szCs w:val="18"/>
          <w:lang w:eastAsia="zh-CN"/>
        </w:rPr>
        <w:t>4.74 mil.)</w:t>
      </w:r>
      <w:r>
        <w:rPr>
          <w:rFonts w:ascii="Calibri" w:hAnsi="Calibri"/>
          <w:sz w:val="18"/>
          <w:szCs w:val="18"/>
        </w:rPr>
        <w:t>, Climate Change (</w:t>
      </w:r>
      <w:r>
        <w:rPr>
          <w:rFonts w:ascii="Calibri" w:hAnsi="Calibri" w:cs="Calibri"/>
          <w:color w:val="000000"/>
          <w:sz w:val="18"/>
          <w:szCs w:val="18"/>
          <w:lang w:eastAsia="zh-CN"/>
        </w:rPr>
        <w:t>2.0 mil.</w:t>
      </w:r>
      <w:r>
        <w:rPr>
          <w:rFonts w:ascii="Calibri" w:hAnsi="Calibri"/>
          <w:sz w:val="18"/>
          <w:szCs w:val="18"/>
        </w:rPr>
        <w:t>) and Land Degradation (</w:t>
      </w:r>
      <w:r>
        <w:rPr>
          <w:rFonts w:ascii="Calibri" w:hAnsi="Calibri" w:cs="Calibri"/>
          <w:color w:val="000000"/>
          <w:sz w:val="18"/>
          <w:szCs w:val="18"/>
          <w:lang w:eastAsia="zh-CN"/>
        </w:rPr>
        <w:t>0.65 mil.</w:t>
      </w:r>
      <w:r>
        <w:rPr>
          <w:rFonts w:ascii="Calibri" w:hAnsi="Calibri"/>
          <w:sz w:val="18"/>
          <w:szCs w:val="18"/>
        </w:rPr>
        <w:t>), PSC Meeting 2018, p. 3. The STAR-GEF resources did not allow for flexibility, so the deliverables and resources were aligned with a number of focal area funding sources, MTR, p.40</w:t>
      </w:r>
    </w:p>
  </w:footnote>
  <w:footnote w:id="2">
    <w:p w14:paraId="3C87167F" w14:textId="77777777" w:rsidR="007372B6" w:rsidRDefault="00000000">
      <w:pPr>
        <w:pStyle w:val="FootnoteText"/>
        <w:widowControl w:val="0"/>
        <w:jc w:val="both"/>
      </w:pPr>
      <w:r>
        <w:rPr>
          <w:rStyle w:val="FootnoteCharacters"/>
        </w:rPr>
        <w:footnoteRef/>
      </w:r>
      <w:r>
        <w:rPr>
          <w:rFonts w:ascii="Calibri Light" w:eastAsia="Calibri" w:hAnsi="Calibri Light" w:cs="Calibri Light"/>
          <w:color w:val="000000"/>
          <w:sz w:val="18"/>
          <w:szCs w:val="18"/>
        </w:rPr>
        <w:t xml:space="preserve"> For an explanation of ratings, see Table 6, page 51</w:t>
      </w:r>
    </w:p>
  </w:footnote>
  <w:footnote w:id="3">
    <w:p w14:paraId="2576D9FC" w14:textId="77777777" w:rsidR="007372B6" w:rsidRDefault="00000000">
      <w:pPr>
        <w:pStyle w:val="FootnoteText"/>
        <w:widowControl w:val="0"/>
        <w:rPr>
          <w:sz w:val="18"/>
          <w:szCs w:val="18"/>
        </w:rPr>
      </w:pPr>
      <w:r>
        <w:rPr>
          <w:rStyle w:val="FootnoteCharacters"/>
        </w:rPr>
        <w:footnoteRef/>
      </w:r>
      <w:r>
        <w:rPr>
          <w:rFonts w:ascii="Calibri Light" w:eastAsia="Calibri" w:hAnsi="Calibri Light" w:cs="Calibri Light"/>
          <w:color w:val="000000"/>
          <w:sz w:val="18"/>
          <w:szCs w:val="18"/>
          <w:lang w:eastAsia="en-US"/>
        </w:rPr>
        <w:t xml:space="preserve"> Note – PIRs are an annual report, not an internal project monitoring system. All GEF projects normally have a dedicated quarterly or monthly monitoring and reporting process under responsibility of an M&amp;E Officer.</w:t>
      </w:r>
    </w:p>
  </w:footnote>
  <w:footnote w:id="4">
    <w:p w14:paraId="5B9555D6" w14:textId="77777777" w:rsidR="007372B6" w:rsidRDefault="00000000">
      <w:pPr>
        <w:pStyle w:val="FootnoteText"/>
        <w:widowControl w:val="0"/>
      </w:pPr>
      <w:r>
        <w:rPr>
          <w:rStyle w:val="FootnoteCharacters"/>
        </w:rPr>
        <w:footnoteRef/>
      </w:r>
      <w:r>
        <w:t xml:space="preserve"> </w:t>
      </w:r>
      <w:r>
        <w:rPr>
          <w:rFonts w:ascii="Calibri" w:eastAsia="Calibri" w:hAnsi="Calibri" w:cs="Calibri"/>
          <w:color w:val="000000"/>
          <w:sz w:val="18"/>
          <w:szCs w:val="18"/>
          <w:lang w:val="en-CA" w:eastAsia="en-US"/>
        </w:rPr>
        <w:t>Guidance for Conducting Terminal Evaluations of UNDP-supported, GEF-financed Projects, 2020</w:t>
      </w:r>
    </w:p>
  </w:footnote>
  <w:footnote w:id="5">
    <w:p w14:paraId="0B0AE2EA" w14:textId="77777777" w:rsidR="007372B6" w:rsidRDefault="00000000">
      <w:pPr>
        <w:pStyle w:val="Default0"/>
        <w:widowControl w:val="0"/>
      </w:pPr>
      <w:r>
        <w:rPr>
          <w:rStyle w:val="FootnoteCharacters"/>
        </w:rPr>
        <w:footnoteRef/>
      </w:r>
      <w:r>
        <w:rPr>
          <w:sz w:val="18"/>
          <w:szCs w:val="18"/>
        </w:rPr>
        <w:t xml:space="preserve">  Terms of Reference, Individual Consultant for Terminal Evaluation of the “R2R” project, 2022</w:t>
      </w:r>
    </w:p>
  </w:footnote>
  <w:footnote w:id="6">
    <w:p w14:paraId="3BAFDB43" w14:textId="77777777" w:rsidR="007372B6" w:rsidRDefault="00000000">
      <w:pPr>
        <w:pStyle w:val="FootnoteText"/>
        <w:widowControl w:val="0"/>
        <w:rPr>
          <w:rFonts w:ascii="Calibri" w:eastAsia="Calibri" w:hAnsi="Calibri" w:cs="Calibri"/>
          <w:bCs/>
          <w:color w:val="0563C1"/>
          <w:sz w:val="18"/>
          <w:szCs w:val="18"/>
          <w:u w:val="single"/>
          <w:lang w:val="en-CA"/>
        </w:rPr>
      </w:pPr>
      <w:r>
        <w:rPr>
          <w:rStyle w:val="FootnoteCharacters"/>
        </w:rPr>
        <w:footnoteRef/>
      </w:r>
      <w:r>
        <w:rPr>
          <w:rFonts w:ascii="Calibri" w:eastAsia="Calibri" w:hAnsi="Calibri" w:cs="Calibri"/>
          <w:bCs/>
          <w:color w:val="0563C1"/>
          <w:sz w:val="18"/>
          <w:szCs w:val="18"/>
          <w:u w:val="single"/>
          <w:lang w:val="en-CA"/>
        </w:rPr>
        <w:t xml:space="preserve"> http://www.unevaluation.org/document/detail/2866</w:t>
      </w:r>
    </w:p>
  </w:footnote>
  <w:footnote w:id="7">
    <w:p w14:paraId="647B7247" w14:textId="77777777" w:rsidR="007372B6" w:rsidRDefault="00000000">
      <w:pPr>
        <w:pStyle w:val="FootnoteText"/>
        <w:widowControl w:val="0"/>
      </w:pPr>
      <w:r>
        <w:rPr>
          <w:rStyle w:val="FootnoteCharacters"/>
        </w:rPr>
        <w:footnoteRef/>
      </w:r>
      <w:r>
        <w:rPr>
          <w:color w:val="000000"/>
          <w:sz w:val="18"/>
          <w:szCs w:val="18"/>
        </w:rPr>
        <w:t xml:space="preserve"> </w:t>
      </w:r>
      <w:hyperlink r:id="rId1">
        <w:r>
          <w:rPr>
            <w:rStyle w:val="Hyperlink"/>
            <w:rFonts w:ascii="Calibri" w:eastAsia="Calibri" w:hAnsi="Calibri" w:cs="Calibri"/>
            <w:bCs/>
            <w:color w:val="000000"/>
            <w:sz w:val="18"/>
            <w:szCs w:val="18"/>
            <w:lang w:val="en-CA"/>
          </w:rPr>
          <w:t>http://web.undp.org/evaluation/guideline/documents/GEF/TE_GuidanceforUNDP-supportedGEF-financedProjects.pdf</w:t>
        </w:r>
      </w:hyperlink>
    </w:p>
  </w:footnote>
  <w:footnote w:id="8">
    <w:p w14:paraId="6EDBFEEF" w14:textId="77777777" w:rsidR="007372B6" w:rsidRDefault="00000000">
      <w:pPr>
        <w:pStyle w:val="FootnoteText"/>
        <w:widowControl w:val="0"/>
        <w:rPr>
          <w:rFonts w:ascii="Calibri" w:hAnsi="Calibri" w:cs="Calibri"/>
          <w:bCs/>
          <w:color w:val="000000"/>
          <w:w w:val="105"/>
          <w:lang w:eastAsia="en-US"/>
        </w:rPr>
      </w:pPr>
      <w:r>
        <w:rPr>
          <w:rStyle w:val="FootnoteCharacters"/>
        </w:rPr>
        <w:footnoteRef/>
      </w:r>
      <w:r>
        <w:rPr>
          <w:rFonts w:ascii="Calibri" w:hAnsi="Calibri" w:cs="Calibri"/>
          <w:bCs/>
          <w:color w:val="000000"/>
          <w:w w:val="105"/>
          <w:lang w:eastAsia="en-US"/>
        </w:rPr>
        <w:t xml:space="preserve"> R2R MTR, P. 11</w:t>
      </w:r>
    </w:p>
  </w:footnote>
  <w:footnote w:id="9">
    <w:p w14:paraId="08CFFB4F" w14:textId="77777777" w:rsidR="007372B6" w:rsidRDefault="00000000">
      <w:pPr>
        <w:pStyle w:val="FootnoteText"/>
        <w:widowControl w:val="0"/>
      </w:pPr>
      <w:r>
        <w:rPr>
          <w:rStyle w:val="FootnoteCharacters"/>
        </w:rPr>
        <w:footnoteRef/>
      </w:r>
      <w:r>
        <w:t xml:space="preserve"> </w:t>
      </w:r>
      <w:r>
        <w:rPr>
          <w:rFonts w:ascii="Calibri" w:eastAsia="Calibri" w:hAnsi="Calibri" w:cs="Calibri"/>
          <w:color w:val="000000"/>
          <w:sz w:val="18"/>
          <w:szCs w:val="18"/>
        </w:rPr>
        <w:t xml:space="preserve">R2R </w:t>
      </w:r>
      <w:proofErr w:type="spellStart"/>
      <w:r>
        <w:rPr>
          <w:rFonts w:ascii="Calibri" w:eastAsia="Calibri" w:hAnsi="Calibri" w:cs="Calibri"/>
          <w:color w:val="000000"/>
          <w:sz w:val="18"/>
          <w:szCs w:val="18"/>
        </w:rPr>
        <w:t>ProDoc</w:t>
      </w:r>
      <w:proofErr w:type="spellEnd"/>
      <w:r>
        <w:rPr>
          <w:rFonts w:ascii="Calibri" w:eastAsia="Calibri" w:hAnsi="Calibri" w:cs="Calibri"/>
          <w:color w:val="000000"/>
          <w:sz w:val="18"/>
          <w:szCs w:val="18"/>
        </w:rPr>
        <w:t xml:space="preserve">, p. 78, and </w:t>
      </w:r>
      <w:r>
        <w:rPr>
          <w:rFonts w:ascii="Calibri" w:eastAsia="Calibri" w:hAnsi="Calibri" w:cs="Calibri"/>
          <w:bCs/>
          <w:color w:val="000000"/>
          <w:w w:val="105"/>
          <w:sz w:val="18"/>
          <w:szCs w:val="18"/>
          <w:lang w:val="en-CA" w:eastAsia="en-US"/>
        </w:rPr>
        <w:t>PSC Papers June 2018</w:t>
      </w:r>
    </w:p>
  </w:footnote>
  <w:footnote w:id="10">
    <w:p w14:paraId="2DE8A924" w14:textId="77777777" w:rsidR="007372B6" w:rsidRDefault="00000000">
      <w:pPr>
        <w:pStyle w:val="FootnoteText"/>
        <w:widowControl w:val="0"/>
        <w:rPr>
          <w:rFonts w:ascii="Calibri" w:eastAsia="Calibri" w:hAnsi="Calibri" w:cs="Calibri"/>
          <w:color w:val="000000"/>
          <w:sz w:val="18"/>
          <w:szCs w:val="18"/>
        </w:rPr>
      </w:pPr>
      <w:r>
        <w:rPr>
          <w:rStyle w:val="FootnoteCharacters"/>
        </w:rPr>
        <w:footnoteRef/>
      </w:r>
      <w:r>
        <w:rPr>
          <w:rFonts w:ascii="Calibri" w:eastAsia="Calibri" w:hAnsi="Calibri" w:cs="Calibri"/>
          <w:color w:val="000000"/>
          <w:sz w:val="18"/>
          <w:szCs w:val="18"/>
        </w:rPr>
        <w:t xml:space="preserve"> R2R </w:t>
      </w:r>
      <w:proofErr w:type="spellStart"/>
      <w:r>
        <w:rPr>
          <w:rFonts w:ascii="Calibri" w:eastAsia="Calibri" w:hAnsi="Calibri" w:cs="Calibri"/>
          <w:color w:val="000000"/>
          <w:sz w:val="18"/>
          <w:szCs w:val="18"/>
        </w:rPr>
        <w:t>ProDoc</w:t>
      </w:r>
      <w:proofErr w:type="spellEnd"/>
      <w:r>
        <w:rPr>
          <w:rFonts w:ascii="Calibri" w:eastAsia="Calibri" w:hAnsi="Calibri" w:cs="Calibri"/>
          <w:color w:val="000000"/>
          <w:sz w:val="18"/>
          <w:szCs w:val="18"/>
        </w:rPr>
        <w:t>, p. 9</w:t>
      </w:r>
    </w:p>
  </w:footnote>
  <w:footnote w:id="11">
    <w:p w14:paraId="51ADA0B2" w14:textId="77777777" w:rsidR="007372B6" w:rsidRDefault="00000000">
      <w:pPr>
        <w:pStyle w:val="LO-normal"/>
        <w:widowControl w:val="0"/>
        <w:spacing w:after="0" w:line="240" w:lineRule="auto"/>
        <w:rPr>
          <w:rFonts w:ascii="Times New Roman" w:eastAsia="Times New Roman" w:hAnsi="Times New Roman" w:cs="Times New Roman"/>
          <w:color w:val="000000"/>
          <w:sz w:val="20"/>
          <w:szCs w:val="20"/>
        </w:rPr>
      </w:pPr>
      <w:r>
        <w:rPr>
          <w:rStyle w:val="FootnoteCharacters"/>
        </w:rPr>
        <w:footnoteRef/>
      </w:r>
      <w:r>
        <w:rPr>
          <w:rFonts w:ascii="Times New Roman" w:eastAsia="Times New Roman" w:hAnsi="Times New Roman" w:cs="Times New Roman"/>
          <w:color w:val="000000"/>
          <w:sz w:val="20"/>
          <w:szCs w:val="20"/>
        </w:rPr>
        <w:t xml:space="preserve"> </w:t>
      </w:r>
      <w:r>
        <w:rPr>
          <w:rFonts w:eastAsia="Calibri" w:cs="Calibri"/>
          <w:color w:val="000000"/>
          <w:sz w:val="18"/>
          <w:szCs w:val="18"/>
        </w:rPr>
        <w:t xml:space="preserve">R2R </w:t>
      </w:r>
      <w:proofErr w:type="spellStart"/>
      <w:r>
        <w:rPr>
          <w:rFonts w:eastAsia="Calibri" w:cs="Calibri"/>
          <w:color w:val="000000"/>
          <w:sz w:val="18"/>
          <w:szCs w:val="18"/>
        </w:rPr>
        <w:t>ProDoc</w:t>
      </w:r>
      <w:proofErr w:type="spellEnd"/>
      <w:r>
        <w:rPr>
          <w:rFonts w:eastAsia="Calibri" w:cs="Calibri"/>
          <w:color w:val="000000"/>
          <w:sz w:val="18"/>
          <w:szCs w:val="18"/>
        </w:rPr>
        <w:t xml:space="preserve">, p. 9: </w:t>
      </w:r>
      <w:r>
        <w:rPr>
          <w:rFonts w:cs="Calibri"/>
          <w:color w:val="000000"/>
          <w:sz w:val="18"/>
          <w:szCs w:val="18"/>
        </w:rPr>
        <w:t>NB. Agricultur</w:t>
      </w:r>
      <w:r>
        <w:rPr>
          <w:rFonts w:eastAsia="Calibri" w:cs="Calibri"/>
          <w:color w:val="000000"/>
          <w:sz w:val="18"/>
          <w:szCs w:val="18"/>
        </w:rPr>
        <w:t>e</w:t>
      </w:r>
      <w:r>
        <w:rPr>
          <w:rFonts w:cs="Calibri"/>
          <w:color w:val="000000"/>
          <w:sz w:val="18"/>
          <w:szCs w:val="18"/>
        </w:rPr>
        <w:t>, both subsistence and for cash crops such as kava and ginger, can be conducted on moderately sloping lands with minimal soil erosion, but requires good planning, including a Keyline system and/or with bunds and vetiver, bamboo and/or pineapple belts, and preferably also with integration of trees/ agroforestry.</w:t>
      </w:r>
    </w:p>
  </w:footnote>
  <w:footnote w:id="12">
    <w:p w14:paraId="0CFAA59B" w14:textId="77777777" w:rsidR="007372B6" w:rsidRDefault="00000000">
      <w:pPr>
        <w:pStyle w:val="FootnoteText"/>
        <w:widowControl w:val="0"/>
      </w:pPr>
      <w:r>
        <w:rPr>
          <w:rStyle w:val="FootnoteCharacters"/>
        </w:rPr>
        <w:footnoteRef/>
      </w:r>
      <w:r>
        <w:rPr>
          <w:rFonts w:ascii="Calibri" w:eastAsia="Calibri Light" w:hAnsi="Calibri" w:cs="Calibri"/>
          <w:bCs/>
          <w:color w:val="000000"/>
          <w:spacing w:val="-2"/>
          <w:w w:val="105"/>
          <w:sz w:val="18"/>
          <w:szCs w:val="18"/>
          <w:lang w:eastAsia="en-US"/>
        </w:rPr>
        <w:t xml:space="preserve"> Three on Viti </w:t>
      </w:r>
      <w:proofErr w:type="spellStart"/>
      <w:r>
        <w:rPr>
          <w:rFonts w:ascii="Calibri" w:eastAsia="Calibri Light" w:hAnsi="Calibri" w:cs="Calibri"/>
          <w:bCs/>
          <w:color w:val="000000"/>
          <w:spacing w:val="-2"/>
          <w:w w:val="105"/>
          <w:sz w:val="18"/>
          <w:szCs w:val="18"/>
          <w:lang w:eastAsia="en-US"/>
        </w:rPr>
        <w:t>Levu</w:t>
      </w:r>
      <w:proofErr w:type="spellEnd"/>
      <w:r>
        <w:rPr>
          <w:rFonts w:ascii="Calibri" w:eastAsia="Calibri Light" w:hAnsi="Calibri" w:cs="Calibri"/>
          <w:bCs/>
          <w:color w:val="000000"/>
          <w:spacing w:val="-2"/>
          <w:w w:val="105"/>
          <w:sz w:val="18"/>
          <w:szCs w:val="18"/>
          <w:lang w:eastAsia="en-US"/>
        </w:rPr>
        <w:t xml:space="preserve"> (Ba River, Tuva River and </w:t>
      </w:r>
      <w:proofErr w:type="spellStart"/>
      <w:r>
        <w:rPr>
          <w:rFonts w:ascii="Calibri" w:eastAsia="Calibri Light" w:hAnsi="Calibri" w:cs="Calibri"/>
          <w:bCs/>
          <w:color w:val="000000"/>
          <w:spacing w:val="-2"/>
          <w:w w:val="105"/>
          <w:sz w:val="18"/>
          <w:szCs w:val="18"/>
          <w:lang w:eastAsia="en-US"/>
        </w:rPr>
        <w:t>Waidina</w:t>
      </w:r>
      <w:proofErr w:type="spellEnd"/>
      <w:r>
        <w:rPr>
          <w:rFonts w:ascii="Calibri" w:eastAsia="Calibri Light" w:hAnsi="Calibri" w:cs="Calibri"/>
          <w:bCs/>
          <w:color w:val="000000"/>
          <w:spacing w:val="-2"/>
          <w:w w:val="105"/>
          <w:sz w:val="18"/>
          <w:szCs w:val="18"/>
          <w:lang w:eastAsia="en-US"/>
        </w:rPr>
        <w:t xml:space="preserve"> River/</w:t>
      </w:r>
      <w:proofErr w:type="spellStart"/>
      <w:r>
        <w:rPr>
          <w:rFonts w:ascii="Calibri" w:eastAsia="Calibri Light" w:hAnsi="Calibri" w:cs="Calibri"/>
          <w:bCs/>
          <w:color w:val="000000"/>
          <w:spacing w:val="-2"/>
          <w:w w:val="105"/>
          <w:sz w:val="18"/>
          <w:szCs w:val="18"/>
          <w:lang w:eastAsia="en-US"/>
        </w:rPr>
        <w:t>Rewa</w:t>
      </w:r>
      <w:proofErr w:type="spellEnd"/>
      <w:r>
        <w:rPr>
          <w:rFonts w:ascii="Calibri" w:eastAsia="Calibri Light" w:hAnsi="Calibri" w:cs="Calibri"/>
          <w:bCs/>
          <w:color w:val="000000"/>
          <w:spacing w:val="-2"/>
          <w:w w:val="105"/>
          <w:sz w:val="18"/>
          <w:szCs w:val="18"/>
          <w:lang w:eastAsia="en-US"/>
        </w:rPr>
        <w:t xml:space="preserve"> Delta) and 3 on Vanua </w:t>
      </w:r>
      <w:proofErr w:type="spellStart"/>
      <w:r>
        <w:rPr>
          <w:rFonts w:ascii="Calibri" w:eastAsia="Calibri Light" w:hAnsi="Calibri" w:cs="Calibri"/>
          <w:bCs/>
          <w:color w:val="000000"/>
          <w:spacing w:val="-2"/>
          <w:w w:val="105"/>
          <w:sz w:val="18"/>
          <w:szCs w:val="18"/>
          <w:lang w:eastAsia="en-US"/>
        </w:rPr>
        <w:t>Levu</w:t>
      </w:r>
      <w:proofErr w:type="spellEnd"/>
      <w:r>
        <w:rPr>
          <w:rFonts w:ascii="Calibri" w:eastAsia="Calibri Light" w:hAnsi="Calibri" w:cs="Calibri"/>
          <w:bCs/>
          <w:color w:val="000000"/>
          <w:spacing w:val="-2"/>
          <w:w w:val="105"/>
          <w:sz w:val="18"/>
          <w:szCs w:val="18"/>
          <w:lang w:eastAsia="en-US"/>
        </w:rPr>
        <w:t xml:space="preserve"> (Labasa River, </w:t>
      </w:r>
      <w:proofErr w:type="spellStart"/>
      <w:r>
        <w:rPr>
          <w:rFonts w:ascii="Calibri" w:eastAsia="Calibri Light" w:hAnsi="Calibri" w:cs="Calibri"/>
          <w:bCs/>
          <w:color w:val="000000"/>
          <w:spacing w:val="-2"/>
          <w:w w:val="105"/>
          <w:sz w:val="18"/>
          <w:szCs w:val="18"/>
          <w:lang w:eastAsia="en-US"/>
        </w:rPr>
        <w:t>Vunivia</w:t>
      </w:r>
      <w:proofErr w:type="spellEnd"/>
      <w:r>
        <w:rPr>
          <w:rFonts w:ascii="Calibri" w:eastAsia="Calibri Light" w:hAnsi="Calibri" w:cs="Calibri"/>
          <w:bCs/>
          <w:color w:val="000000"/>
          <w:spacing w:val="-2"/>
          <w:w w:val="105"/>
          <w:sz w:val="18"/>
          <w:szCs w:val="18"/>
          <w:lang w:eastAsia="en-US"/>
        </w:rPr>
        <w:t xml:space="preserve"> River and </w:t>
      </w:r>
      <w:proofErr w:type="spellStart"/>
      <w:r>
        <w:rPr>
          <w:rFonts w:ascii="Calibri" w:eastAsia="Calibri Light" w:hAnsi="Calibri" w:cs="Calibri"/>
          <w:bCs/>
          <w:color w:val="000000"/>
          <w:spacing w:val="-2"/>
          <w:w w:val="105"/>
          <w:sz w:val="18"/>
          <w:szCs w:val="18"/>
          <w:lang w:eastAsia="en-US"/>
        </w:rPr>
        <w:t>Tunuloa</w:t>
      </w:r>
      <w:proofErr w:type="spellEnd"/>
      <w:r>
        <w:rPr>
          <w:rFonts w:ascii="Calibri" w:eastAsia="Calibri Light" w:hAnsi="Calibri" w:cs="Calibri"/>
          <w:bCs/>
          <w:color w:val="000000"/>
          <w:spacing w:val="-2"/>
          <w:w w:val="105"/>
          <w:sz w:val="18"/>
          <w:szCs w:val="18"/>
          <w:lang w:eastAsia="en-US"/>
        </w:rPr>
        <w:t xml:space="preserve"> district).</w:t>
      </w:r>
    </w:p>
  </w:footnote>
  <w:footnote w:id="13">
    <w:p w14:paraId="06AFF617" w14:textId="77777777" w:rsidR="007372B6" w:rsidRDefault="00000000">
      <w:pPr>
        <w:pStyle w:val="Heading3"/>
        <w:tabs>
          <w:tab w:val="left" w:pos="1605"/>
        </w:tabs>
        <w:spacing w:before="0"/>
        <w:ind w:left="0" w:right="283"/>
      </w:pPr>
      <w:r>
        <w:rPr>
          <w:rStyle w:val="FootnoteCharacters"/>
        </w:rPr>
        <w:footnoteRef/>
      </w:r>
      <w:r>
        <w:rPr>
          <w:rFonts w:ascii="Calibri" w:eastAsia="Calibri" w:hAnsi="Calibri"/>
          <w:color w:val="000000"/>
          <w:sz w:val="18"/>
          <w:szCs w:val="18"/>
          <w:lang w:val="en-CA"/>
        </w:rPr>
        <w:t xml:space="preserve"> Text drawn from </w:t>
      </w:r>
      <w:r>
        <w:rPr>
          <w:rFonts w:ascii="Calibri" w:hAnsi="Calibri" w:cs="Times New Roman"/>
          <w:b/>
          <w:bCs/>
          <w:i/>
          <w:iCs/>
          <w:sz w:val="18"/>
          <w:szCs w:val="18"/>
        </w:rPr>
        <w:t>Fiji GEF 5 STAR Ridge to Reef (R2R)</w:t>
      </w:r>
      <w:r>
        <w:rPr>
          <w:rFonts w:ascii="Calibri" w:eastAsia="Calibri" w:hAnsi="Calibri"/>
          <w:color w:val="000000"/>
          <w:sz w:val="18"/>
          <w:szCs w:val="18"/>
          <w:lang w:val="en-CA"/>
        </w:rPr>
        <w:t xml:space="preserve"> Project Document, UNDP Project# 00091748, GEF # 5216, January 2015.</w:t>
      </w:r>
    </w:p>
  </w:footnote>
  <w:footnote w:id="14">
    <w:p w14:paraId="27808E79" w14:textId="77777777" w:rsidR="007372B6" w:rsidRDefault="00000000">
      <w:pPr>
        <w:pStyle w:val="FootnoteText"/>
        <w:widowControl w:val="0"/>
        <w:jc w:val="both"/>
        <w:rPr>
          <w:rFonts w:asciiTheme="minorHAnsi" w:hAnsiTheme="minorHAnsi" w:cstheme="minorHAnsi"/>
          <w:lang w:val="en-CA"/>
        </w:rPr>
      </w:pPr>
      <w:r>
        <w:rPr>
          <w:rStyle w:val="FootnoteCharacters"/>
        </w:rPr>
        <w:footnoteRef/>
      </w:r>
      <w:r>
        <w:rPr>
          <w:rFonts w:asciiTheme="minorHAnsi" w:hAnsiTheme="minorHAnsi" w:cstheme="minorHAnsi"/>
        </w:rPr>
        <w:t xml:space="preserve"> </w:t>
      </w:r>
      <w:r>
        <w:rPr>
          <w:rFonts w:ascii="Calibri" w:hAnsi="Calibri"/>
          <w:lang w:eastAsia="zh-CN"/>
        </w:rPr>
        <w:t xml:space="preserve">Government of </w:t>
      </w:r>
      <w:r>
        <w:rPr>
          <w:rFonts w:ascii="Calibri" w:hAnsi="Calibri"/>
        </w:rPr>
        <w:t xml:space="preserve">Fiji </w:t>
      </w:r>
      <w:r>
        <w:rPr>
          <w:rFonts w:ascii="Calibri" w:hAnsi="Calibri"/>
          <w:lang w:eastAsia="zh-CN"/>
        </w:rPr>
        <w:t>&amp; United Nations Development Programme, Project Document</w:t>
      </w:r>
      <w:r>
        <w:rPr>
          <w:rFonts w:ascii="Calibri" w:hAnsi="Calibri"/>
        </w:rPr>
        <w:t xml:space="preserve">: </w:t>
      </w:r>
      <w:r>
        <w:rPr>
          <w:rFonts w:ascii="Calibri" w:hAnsi="Calibri" w:cstheme="minorHAnsi"/>
        </w:rPr>
        <w:t xml:space="preserve">Implementing a Ridge to Reef approach to Preserve Ecosystem Services, Sequester Carbon, Improve Climate Resilience and Sustain Livelihoods in </w:t>
      </w:r>
      <w:proofErr w:type="gramStart"/>
      <w:r>
        <w:rPr>
          <w:rFonts w:ascii="Calibri" w:hAnsi="Calibri" w:cstheme="minorHAnsi"/>
        </w:rPr>
        <w:t>Fiji,  PIMS</w:t>
      </w:r>
      <w:proofErr w:type="gramEnd"/>
      <w:r>
        <w:rPr>
          <w:rFonts w:ascii="Calibri" w:hAnsi="Calibri" w:cstheme="minorHAnsi"/>
        </w:rPr>
        <w:t xml:space="preserve"> 5216, Dec. 1, 2014, p</w:t>
      </w:r>
      <w:r>
        <w:rPr>
          <w:rFonts w:asciiTheme="minorHAnsi" w:hAnsiTheme="minorHAnsi" w:cstheme="minorHAnsi"/>
        </w:rPr>
        <w:t>.26-27 (Project Document)</w:t>
      </w:r>
    </w:p>
  </w:footnote>
  <w:footnote w:id="15">
    <w:p w14:paraId="09E681B1" w14:textId="77777777" w:rsidR="007372B6" w:rsidRDefault="00000000">
      <w:pPr>
        <w:pStyle w:val="FootnoteText"/>
        <w:widowControl w:val="0"/>
        <w:jc w:val="both"/>
        <w:rPr>
          <w:rFonts w:ascii="Calibri" w:hAnsi="Calibri" w:cstheme="minorHAnsi"/>
        </w:rPr>
      </w:pPr>
      <w:r>
        <w:rPr>
          <w:rStyle w:val="FootnoteCharacters"/>
        </w:rPr>
        <w:footnoteRef/>
      </w:r>
      <w:r>
        <w:t xml:space="preserve"> </w:t>
      </w:r>
      <w:r>
        <w:rPr>
          <w:rFonts w:ascii="Calibri" w:hAnsi="Calibri"/>
          <w:lang w:eastAsia="zh-CN"/>
        </w:rPr>
        <w:t xml:space="preserve">Government of </w:t>
      </w:r>
      <w:r>
        <w:rPr>
          <w:rFonts w:ascii="Calibri" w:hAnsi="Calibri"/>
        </w:rPr>
        <w:t xml:space="preserve">Fiji </w:t>
      </w:r>
      <w:r>
        <w:rPr>
          <w:rFonts w:ascii="Calibri" w:hAnsi="Calibri"/>
          <w:lang w:eastAsia="zh-CN"/>
        </w:rPr>
        <w:t>&amp; United Nations Development Programme, Project Document</w:t>
      </w:r>
      <w:r>
        <w:rPr>
          <w:rFonts w:ascii="Calibri" w:hAnsi="Calibri"/>
        </w:rPr>
        <w:t xml:space="preserve">: </w:t>
      </w:r>
      <w:r>
        <w:rPr>
          <w:rFonts w:ascii="Calibri" w:hAnsi="Calibri" w:cstheme="minorHAnsi"/>
        </w:rPr>
        <w:t xml:space="preserve">Implementing a Ridge to Reef approach to Preserve Ecosystem Services, Sequester Carbon, Improve Climate Resilience and Sustain Livelihoods in </w:t>
      </w:r>
      <w:proofErr w:type="gramStart"/>
      <w:r>
        <w:rPr>
          <w:rFonts w:ascii="Calibri" w:hAnsi="Calibri" w:cstheme="minorHAnsi"/>
        </w:rPr>
        <w:t>Fiji,  PIMS</w:t>
      </w:r>
      <w:proofErr w:type="gramEnd"/>
      <w:r>
        <w:rPr>
          <w:rFonts w:ascii="Calibri" w:hAnsi="Calibri" w:cstheme="minorHAnsi"/>
        </w:rPr>
        <w:t xml:space="preserve"> 5216, Dec. 1, 2014, p. 1.</w:t>
      </w:r>
    </w:p>
    <w:p w14:paraId="6B0A0C95" w14:textId="77777777" w:rsidR="007372B6" w:rsidRDefault="007372B6">
      <w:pPr>
        <w:pStyle w:val="FootnoteText"/>
        <w:widowControl w:val="0"/>
      </w:pPr>
    </w:p>
  </w:footnote>
  <w:footnote w:id="16">
    <w:p w14:paraId="7B91B38D" w14:textId="77777777" w:rsidR="007372B6" w:rsidRDefault="00000000">
      <w:pPr>
        <w:pStyle w:val="FootnoteText"/>
        <w:widowControl w:val="0"/>
        <w:rPr>
          <w:rFonts w:asciiTheme="minorHAnsi" w:hAnsiTheme="minorHAnsi" w:cstheme="minorHAnsi"/>
        </w:rPr>
      </w:pPr>
      <w:r>
        <w:rPr>
          <w:rStyle w:val="FootnoteCharacters"/>
        </w:rPr>
        <w:footnoteRef/>
      </w:r>
      <w:r>
        <w:rPr>
          <w:rFonts w:asciiTheme="minorHAnsi" w:hAnsiTheme="minorHAnsi" w:cstheme="minorHAnsi"/>
        </w:rPr>
        <w:t xml:space="preserve"> Ibid., op cit.,</w:t>
      </w:r>
      <w:proofErr w:type="gramStart"/>
      <w:r>
        <w:rPr>
          <w:rFonts w:asciiTheme="minorHAnsi" w:hAnsiTheme="minorHAnsi" w:cstheme="minorHAnsi"/>
        </w:rPr>
        <w:t>2014,  p.</w:t>
      </w:r>
      <w:proofErr w:type="gramEnd"/>
      <w:r>
        <w:rPr>
          <w:rFonts w:asciiTheme="minorHAnsi" w:hAnsiTheme="minorHAnsi" w:cstheme="minorHAnsi"/>
        </w:rPr>
        <w:t xml:space="preserve"> 37; “the catchment approach is consistent with the R2R approach, and provides a convenient approach to address all of the relevant focal areas of GEF – BLD, LD, CC, SFM, and IW”, </w:t>
      </w:r>
      <w:proofErr w:type="spellStart"/>
      <w:r>
        <w:rPr>
          <w:rFonts w:asciiTheme="minorHAnsi" w:hAnsiTheme="minorHAnsi" w:cstheme="minorHAnsi"/>
        </w:rPr>
        <w:t>ProDoc</w:t>
      </w:r>
      <w:proofErr w:type="spellEnd"/>
      <w:r>
        <w:rPr>
          <w:rFonts w:asciiTheme="minorHAnsi" w:hAnsiTheme="minorHAnsi" w:cstheme="minorHAnsi"/>
        </w:rPr>
        <w:t>, p. 40</w:t>
      </w:r>
    </w:p>
  </w:footnote>
  <w:footnote w:id="17">
    <w:p w14:paraId="1FA21924" w14:textId="77777777" w:rsidR="007372B6" w:rsidRDefault="00000000">
      <w:pPr>
        <w:pStyle w:val="FootnoteText"/>
        <w:widowControl w:val="0"/>
      </w:pPr>
      <w:r>
        <w:rPr>
          <w:rStyle w:val="FootnoteCharacters"/>
        </w:rPr>
        <w:footnoteRef/>
      </w:r>
      <w:r>
        <w:rPr>
          <w:rFonts w:ascii="Calibri" w:hAnsi="Calibri" w:cstheme="minorHAnsi"/>
          <w:color w:val="000000"/>
        </w:rPr>
        <w:t xml:space="preserve"> PSC Meeting </w:t>
      </w:r>
      <w:r>
        <w:rPr>
          <w:rFonts w:ascii="Calibri" w:hAnsi="Calibri" w:cstheme="minorHAnsi"/>
          <w:bCs/>
          <w:color w:val="000000"/>
          <w:lang w:bidi="th-TH"/>
        </w:rPr>
        <w:t xml:space="preserve">minutes </w:t>
      </w:r>
      <w:r>
        <w:rPr>
          <w:rFonts w:ascii="Calibri" w:hAnsi="Calibri" w:cstheme="minorHAnsi"/>
          <w:color w:val="000000"/>
        </w:rPr>
        <w:t>2018, p. 3, and MTR p. 40</w:t>
      </w:r>
    </w:p>
  </w:footnote>
  <w:footnote w:id="18">
    <w:p w14:paraId="28AB49BB" w14:textId="77777777" w:rsidR="007372B6" w:rsidRDefault="00000000">
      <w:pPr>
        <w:pStyle w:val="FootnoteText"/>
        <w:widowControl w:val="0"/>
        <w:rPr>
          <w:rFonts w:asciiTheme="minorHAnsi" w:hAnsiTheme="minorHAnsi" w:cstheme="minorHAnsi"/>
        </w:rPr>
      </w:pPr>
      <w:r>
        <w:rPr>
          <w:rStyle w:val="FootnoteCharacters"/>
        </w:rPr>
        <w:footnoteRef/>
      </w:r>
      <w:r>
        <w:rPr>
          <w:rFonts w:asciiTheme="minorHAnsi" w:hAnsiTheme="minorHAnsi" w:cstheme="minorHAnsi"/>
        </w:rPr>
        <w:t xml:space="preserve"> Ibid., </w:t>
      </w:r>
      <w:proofErr w:type="spellStart"/>
      <w:r>
        <w:rPr>
          <w:rFonts w:asciiTheme="minorHAnsi" w:hAnsiTheme="minorHAnsi" w:cstheme="minorHAnsi"/>
        </w:rPr>
        <w:t>op.cit</w:t>
      </w:r>
      <w:proofErr w:type="spellEnd"/>
      <w:r>
        <w:rPr>
          <w:rFonts w:asciiTheme="minorHAnsi" w:hAnsiTheme="minorHAnsi" w:cstheme="minorHAnsi"/>
        </w:rPr>
        <w:t>., 2014, p. 45</w:t>
      </w:r>
    </w:p>
  </w:footnote>
  <w:footnote w:id="19">
    <w:p w14:paraId="4E3841A1" w14:textId="77777777" w:rsidR="007372B6" w:rsidRDefault="00000000">
      <w:pPr>
        <w:widowControl w:val="0"/>
        <w:tabs>
          <w:tab w:val="left" w:pos="0"/>
        </w:tabs>
        <w:contextualSpacing/>
        <w:jc w:val="both"/>
        <w:rPr>
          <w:rFonts w:asciiTheme="minorHAnsi" w:hAnsiTheme="minorHAnsi" w:cstheme="minorHAnsi"/>
          <w:sz w:val="20"/>
          <w:szCs w:val="20"/>
        </w:rPr>
      </w:pPr>
      <w:r>
        <w:rPr>
          <w:rStyle w:val="FootnoteCharacters"/>
        </w:rPr>
        <w:footnoteRef/>
      </w:r>
      <w:r>
        <w:rPr>
          <w:rFonts w:ascii="Calibri" w:hAnsi="Calibri" w:cstheme="minorHAnsi"/>
          <w:bCs/>
          <w:sz w:val="20"/>
          <w:szCs w:val="20"/>
        </w:rPr>
        <w:t xml:space="preserve"> Project document p. 40</w:t>
      </w:r>
    </w:p>
  </w:footnote>
  <w:footnote w:id="20">
    <w:p w14:paraId="5F3AAE41" w14:textId="77777777" w:rsidR="007372B6" w:rsidRDefault="00000000">
      <w:pPr>
        <w:pStyle w:val="FootnoteText"/>
        <w:widowControl w:val="0"/>
        <w:rPr>
          <w:rFonts w:asciiTheme="minorHAnsi" w:hAnsiTheme="minorHAnsi" w:cstheme="minorHAnsi"/>
        </w:rPr>
      </w:pPr>
      <w:r>
        <w:rPr>
          <w:rStyle w:val="FootnoteCharacters"/>
        </w:rPr>
        <w:footnoteRef/>
      </w:r>
      <w:r>
        <w:rPr>
          <w:rFonts w:asciiTheme="minorHAnsi" w:hAnsiTheme="minorHAnsi" w:cstheme="minorHAnsi"/>
        </w:rPr>
        <w:t xml:space="preserve"> Ibid., </w:t>
      </w:r>
      <w:proofErr w:type="spellStart"/>
      <w:r>
        <w:rPr>
          <w:rFonts w:asciiTheme="minorHAnsi" w:hAnsiTheme="minorHAnsi" w:cstheme="minorHAnsi"/>
        </w:rPr>
        <w:t>op.cit</w:t>
      </w:r>
      <w:proofErr w:type="spellEnd"/>
      <w:r>
        <w:rPr>
          <w:rFonts w:asciiTheme="minorHAnsi" w:hAnsiTheme="minorHAnsi" w:cstheme="minorHAnsi"/>
        </w:rPr>
        <w:t>., 2014, p. 38</w:t>
      </w:r>
    </w:p>
  </w:footnote>
  <w:footnote w:id="21">
    <w:p w14:paraId="693BDB9D" w14:textId="77777777" w:rsidR="007372B6" w:rsidRDefault="00000000">
      <w:pPr>
        <w:pStyle w:val="FootnoteText"/>
        <w:widowControl w:val="0"/>
        <w:jc w:val="both"/>
        <w:rPr>
          <w:rFonts w:asciiTheme="minorHAnsi" w:hAnsiTheme="minorHAnsi" w:cstheme="minorHAnsi"/>
        </w:rPr>
      </w:pPr>
      <w:r>
        <w:rPr>
          <w:rStyle w:val="FootnoteCharacters"/>
        </w:rPr>
        <w:footnoteRef/>
      </w:r>
      <w:r>
        <w:rPr>
          <w:rFonts w:asciiTheme="minorHAnsi" w:hAnsiTheme="minorHAnsi" w:cstheme="minorHAnsi"/>
        </w:rPr>
        <w:t xml:space="preserve"> The Project Document (p.1) stated that: “Negative impacts of land-based activities on these Marine Protected Areas will be reduced through development and implementation of integrated catchment management plans, including mangrove protection, the adoption of appropriate sustainable land use practices and riparian restoration in adjoining upstream watersheds as well as terrestrial protected areas, restored and rehabilitated forests.”</w:t>
      </w:r>
    </w:p>
  </w:footnote>
  <w:footnote w:id="22">
    <w:p w14:paraId="3864F45F" w14:textId="77777777" w:rsidR="007372B6" w:rsidRDefault="00000000">
      <w:pPr>
        <w:pStyle w:val="FootnoteText"/>
        <w:widowControl w:val="0"/>
      </w:pPr>
      <w:r>
        <w:rPr>
          <w:rStyle w:val="FootnoteCharacters"/>
        </w:rPr>
        <w:footnoteRef/>
      </w:r>
      <w:r>
        <w:t xml:space="preserve"> </w:t>
      </w:r>
      <w:r>
        <w:rPr>
          <w:rFonts w:cstheme="minorHAnsi"/>
        </w:rPr>
        <w:t>Fiji R2R Mid Term Review Report, 2021, p</w:t>
      </w:r>
      <w:r>
        <w:t>. 52</w:t>
      </w:r>
    </w:p>
  </w:footnote>
  <w:footnote w:id="23">
    <w:p w14:paraId="13FFAE4A" w14:textId="77777777" w:rsidR="007372B6" w:rsidRDefault="00000000">
      <w:pPr>
        <w:pStyle w:val="FootnoteText"/>
        <w:widowControl w:val="0"/>
        <w:rPr>
          <w:rFonts w:asciiTheme="minorHAnsi" w:hAnsiTheme="minorHAnsi" w:cstheme="minorHAnsi"/>
        </w:rPr>
      </w:pPr>
      <w:r>
        <w:rPr>
          <w:rStyle w:val="FootnoteCharacters"/>
        </w:rPr>
        <w:footnoteRef/>
      </w:r>
      <w:r>
        <w:rPr>
          <w:rFonts w:asciiTheme="minorHAnsi" w:hAnsiTheme="minorHAnsi" w:cstheme="minorHAnsi"/>
        </w:rPr>
        <w:t xml:space="preserve"> Project Document, </w:t>
      </w:r>
      <w:proofErr w:type="spellStart"/>
      <w:r>
        <w:rPr>
          <w:rFonts w:asciiTheme="minorHAnsi" w:hAnsiTheme="minorHAnsi" w:cstheme="minorHAnsi"/>
        </w:rPr>
        <w:t>oOp.cit</w:t>
      </w:r>
      <w:proofErr w:type="spellEnd"/>
      <w:r>
        <w:rPr>
          <w:rFonts w:asciiTheme="minorHAnsi" w:hAnsiTheme="minorHAnsi" w:cstheme="minorHAnsi"/>
        </w:rPr>
        <w:t>., 2014, p. 27</w:t>
      </w:r>
    </w:p>
  </w:footnote>
  <w:footnote w:id="24">
    <w:p w14:paraId="542DA193" w14:textId="77777777" w:rsidR="000B40E8" w:rsidRDefault="000B40E8" w:rsidP="000B40E8">
      <w:pPr>
        <w:pStyle w:val="FootnoteText"/>
        <w:widowControl w:val="0"/>
      </w:pPr>
      <w:r>
        <w:rPr>
          <w:rStyle w:val="FootnoteReference"/>
        </w:rPr>
        <w:footnoteRef/>
      </w:r>
      <w:r>
        <w:t xml:space="preserve"> </w:t>
      </w:r>
      <w:r>
        <w:rPr>
          <w:rFonts w:asciiTheme="minorHAnsi" w:hAnsiTheme="minorHAnsi" w:cstheme="minorHAnsi"/>
          <w:lang w:val="en-CA"/>
        </w:rPr>
        <w:t xml:space="preserve">Environmental and Socio-economic Protection in Fiji: Integrated Flood Risk Management in the </w:t>
      </w:r>
      <w:proofErr w:type="spellStart"/>
      <w:r>
        <w:rPr>
          <w:rFonts w:asciiTheme="minorHAnsi" w:hAnsiTheme="minorHAnsi" w:cstheme="minorHAnsi"/>
          <w:lang w:val="en-CA"/>
        </w:rPr>
        <w:t>Nadi</w:t>
      </w:r>
      <w:proofErr w:type="spellEnd"/>
      <w:r>
        <w:rPr>
          <w:rFonts w:asciiTheme="minorHAnsi" w:hAnsiTheme="minorHAnsi" w:cstheme="minorHAnsi"/>
          <w:lang w:val="en-CA"/>
        </w:rPr>
        <w:t xml:space="preserve"> River Basin, Final Report, SPC/SOPAC (funded by GEF) June 2014, p.1</w:t>
      </w:r>
    </w:p>
    <w:p w14:paraId="532BD61A" w14:textId="759C67AE" w:rsidR="000B40E8" w:rsidRPr="000B40E8" w:rsidRDefault="000B40E8" w:rsidP="000B40E8">
      <w:pPr>
        <w:pStyle w:val="FootnoteText"/>
        <w:rPr>
          <w:lang w:val="en-CA"/>
        </w:rPr>
      </w:pPr>
      <w:r>
        <w:rPr>
          <w:rStyle w:val="FootnoteCharacters"/>
        </w:rPr>
        <w:footnoteRef/>
      </w:r>
      <w:r>
        <w:rPr>
          <w:rFonts w:ascii="Calibri" w:hAnsi="Calibri"/>
          <w:color w:val="000000"/>
        </w:rPr>
        <w:t xml:space="preserve"> R2R Project Document, p</w:t>
      </w:r>
      <w:r>
        <w:rPr>
          <w:rFonts w:ascii="Calibri" w:hAnsi="Calibri"/>
        </w:rPr>
        <w:t>. 25</w:t>
      </w:r>
    </w:p>
  </w:footnote>
  <w:footnote w:id="25">
    <w:p w14:paraId="470FB724" w14:textId="77777777" w:rsidR="007372B6" w:rsidRDefault="00000000">
      <w:pPr>
        <w:pStyle w:val="FootnoteText"/>
        <w:widowControl w:val="0"/>
      </w:pPr>
      <w:r>
        <w:rPr>
          <w:rStyle w:val="FootnoteCharacters"/>
        </w:rPr>
        <w:footnoteRef/>
      </w:r>
      <w:r>
        <w:rPr>
          <w:rFonts w:ascii="Calibri" w:hAnsi="Calibri"/>
          <w:color w:val="000000"/>
        </w:rPr>
        <w:t xml:space="preserve"> R2R Project Document, p</w:t>
      </w:r>
      <w:r>
        <w:rPr>
          <w:rFonts w:ascii="Calibri" w:hAnsi="Calibri"/>
        </w:rPr>
        <w:t>. 25</w:t>
      </w:r>
    </w:p>
  </w:footnote>
  <w:footnote w:id="26">
    <w:p w14:paraId="40F1BEB6" w14:textId="77777777" w:rsidR="007372B6" w:rsidRDefault="00000000">
      <w:pPr>
        <w:pStyle w:val="FootnoteText"/>
        <w:widowControl w:val="0"/>
      </w:pPr>
      <w:r>
        <w:rPr>
          <w:rStyle w:val="FootnoteCharacters"/>
        </w:rPr>
        <w:footnoteRef/>
      </w:r>
      <w:r>
        <w:t xml:space="preserve"> </w:t>
      </w:r>
      <w:r>
        <w:rPr>
          <w:rFonts w:asciiTheme="minorHAnsi" w:eastAsia="Open Sans" w:hAnsiTheme="minorHAnsi" w:cstheme="minorHAnsi"/>
          <w:color w:val="000000"/>
        </w:rPr>
        <w:t xml:space="preserve">Letter from Mr. Joshua Wycliffe MOWE to UNDP Resident Representative </w:t>
      </w:r>
      <w:proofErr w:type="spellStart"/>
      <w:r>
        <w:rPr>
          <w:rFonts w:asciiTheme="minorHAnsi" w:eastAsia="Open Sans" w:hAnsiTheme="minorHAnsi" w:cstheme="minorHAnsi"/>
          <w:color w:val="000000"/>
        </w:rPr>
        <w:t>a.i.</w:t>
      </w:r>
      <w:proofErr w:type="spellEnd"/>
      <w:r>
        <w:rPr>
          <w:rFonts w:asciiTheme="minorHAnsi" w:eastAsia="Open Sans" w:hAnsiTheme="minorHAnsi" w:cstheme="minorHAnsi"/>
          <w:color w:val="000000"/>
        </w:rPr>
        <w:t>, Mr. Vineet Bhatia, April 2019</w:t>
      </w:r>
    </w:p>
  </w:footnote>
  <w:footnote w:id="27">
    <w:p w14:paraId="152E35C5" w14:textId="77777777" w:rsidR="007372B6" w:rsidRDefault="00000000">
      <w:pPr>
        <w:pStyle w:val="FootnoteText"/>
        <w:widowControl w:val="0"/>
        <w:rPr>
          <w:rFonts w:asciiTheme="minorHAnsi" w:hAnsiTheme="minorHAnsi" w:cstheme="minorHAnsi"/>
          <w:bCs/>
          <w:color w:val="000000"/>
          <w:sz w:val="22"/>
          <w:szCs w:val="22"/>
        </w:rPr>
      </w:pPr>
      <w:r>
        <w:rPr>
          <w:rStyle w:val="FootnoteCharacters"/>
        </w:rPr>
        <w:footnoteRef/>
      </w:r>
      <w:r>
        <w:rPr>
          <w:rFonts w:ascii="Calibri" w:hAnsi="Calibri" w:cstheme="minorHAnsi"/>
          <w:bCs/>
          <w:color w:val="000000"/>
          <w:sz w:val="22"/>
          <w:szCs w:val="22"/>
        </w:rPr>
        <w:t xml:space="preserve"> </w:t>
      </w:r>
      <w:r>
        <w:rPr>
          <w:rFonts w:ascii="Calibri" w:hAnsi="Calibri" w:cstheme="minorHAnsi"/>
          <w:bCs/>
          <w:color w:val="000000"/>
        </w:rPr>
        <w:t>Minutes of PSC Meetings, Oct 2018 and July 2022.</w:t>
      </w:r>
    </w:p>
  </w:footnote>
  <w:footnote w:id="28">
    <w:p w14:paraId="28D17E64" w14:textId="77777777" w:rsidR="007372B6" w:rsidRDefault="00000000">
      <w:pPr>
        <w:pStyle w:val="FootnoteText"/>
        <w:widowControl w:val="0"/>
      </w:pPr>
      <w:r>
        <w:rPr>
          <w:rStyle w:val="FootnoteCharacters"/>
        </w:rPr>
        <w:footnoteRef/>
      </w:r>
      <w:r>
        <w:rPr>
          <w:rFonts w:asciiTheme="minorHAnsi" w:hAnsiTheme="minorHAnsi" w:cstheme="minorHAnsi"/>
          <w:color w:val="000000"/>
        </w:rPr>
        <w:t xml:space="preserve"> Analysis of Project Budget figures in R2R </w:t>
      </w:r>
      <w:proofErr w:type="spellStart"/>
      <w:r>
        <w:rPr>
          <w:rFonts w:asciiTheme="minorHAnsi" w:hAnsiTheme="minorHAnsi" w:cstheme="minorHAnsi"/>
          <w:color w:val="000000"/>
        </w:rPr>
        <w:t>ProDoc</w:t>
      </w:r>
      <w:proofErr w:type="spellEnd"/>
      <w:r>
        <w:rPr>
          <w:rFonts w:asciiTheme="minorHAnsi" w:hAnsiTheme="minorHAnsi" w:cstheme="minorHAnsi"/>
          <w:color w:val="000000"/>
        </w:rPr>
        <w:t>, TE Team</w:t>
      </w:r>
    </w:p>
  </w:footnote>
  <w:footnote w:id="29">
    <w:p w14:paraId="07EA822C" w14:textId="77777777" w:rsidR="007372B6" w:rsidRDefault="00000000">
      <w:pPr>
        <w:pStyle w:val="FootnoteText"/>
        <w:widowControl w:val="0"/>
      </w:pPr>
      <w:r>
        <w:rPr>
          <w:rStyle w:val="FootnoteCharacters"/>
        </w:rPr>
        <w:footnoteRef/>
      </w:r>
      <w:r>
        <w:rPr>
          <w:rFonts w:asciiTheme="minorHAnsi" w:hAnsiTheme="minorHAnsi" w:cstheme="minorHAnsi"/>
          <w:color w:val="000000"/>
        </w:rPr>
        <w:t xml:space="preserve"> Minutes of PSC Meeting 25 July 2022</w:t>
      </w:r>
    </w:p>
  </w:footnote>
  <w:footnote w:id="30">
    <w:p w14:paraId="4A907C2B" w14:textId="77777777" w:rsidR="007372B6" w:rsidRDefault="00000000">
      <w:pPr>
        <w:pStyle w:val="FootnoteText"/>
        <w:widowControl w:val="0"/>
        <w:rPr>
          <w:rFonts w:ascii="Calibri" w:hAnsi="Calibri" w:cs="Calibri"/>
          <w:lang w:val="en-CA"/>
        </w:rPr>
      </w:pPr>
      <w:r>
        <w:rPr>
          <w:rStyle w:val="FootnoteCharacters"/>
        </w:rPr>
        <w:footnoteRef/>
      </w:r>
      <w:r>
        <w:rPr>
          <w:rFonts w:ascii="Calibri" w:hAnsi="Calibri" w:cs="Calibri"/>
        </w:rPr>
        <w:t xml:space="preserve"> Fiji R2R </w:t>
      </w:r>
      <w:r>
        <w:rPr>
          <w:rFonts w:ascii="Calibri" w:hAnsi="Calibri" w:cs="Calibri"/>
          <w:lang w:val="en-CA"/>
        </w:rPr>
        <w:t>Project Document, Oct. 2014, p. 100.</w:t>
      </w:r>
    </w:p>
  </w:footnote>
  <w:footnote w:id="31">
    <w:p w14:paraId="23F86194" w14:textId="77777777" w:rsidR="007372B6" w:rsidRDefault="00000000">
      <w:pPr>
        <w:pStyle w:val="FootnoteText"/>
        <w:widowControl w:val="0"/>
      </w:pPr>
      <w:r>
        <w:rPr>
          <w:rStyle w:val="FootnoteCharacters"/>
        </w:rPr>
        <w:footnoteRef/>
      </w:r>
      <w:r>
        <w:rPr>
          <w:rFonts w:asciiTheme="minorHAnsi" w:eastAsia="Open Sans" w:hAnsiTheme="minorHAnsi" w:cs="Calibri"/>
          <w:bCs/>
          <w:color w:val="000000"/>
          <w:lang w:val="en-CA" w:eastAsia="en-US"/>
        </w:rPr>
        <w:t xml:space="preserve"> DIM vs NIM information note, UNDP</w:t>
      </w:r>
    </w:p>
  </w:footnote>
  <w:footnote w:id="32">
    <w:p w14:paraId="0AC42A15" w14:textId="77777777" w:rsidR="007372B6" w:rsidRDefault="00000000">
      <w:pPr>
        <w:widowControl w:val="0"/>
        <w:jc w:val="both"/>
        <w:rPr>
          <w:rFonts w:asciiTheme="minorHAnsi" w:hAnsiTheme="minorHAnsi" w:cstheme="minorHAnsi"/>
          <w:sz w:val="20"/>
          <w:szCs w:val="20"/>
          <w:lang w:val="en-CA"/>
        </w:rPr>
      </w:pPr>
      <w:r>
        <w:rPr>
          <w:rStyle w:val="FootnoteCharacters"/>
        </w:rPr>
        <w:footnoteRef/>
      </w:r>
      <w:r>
        <w:rPr>
          <w:rFonts w:asciiTheme="minorHAnsi" w:hAnsiTheme="minorHAnsi" w:cstheme="minorHAnsi"/>
          <w:sz w:val="20"/>
          <w:szCs w:val="20"/>
        </w:rPr>
        <w:t xml:space="preserve"> For example, in one area </w:t>
      </w:r>
      <w:r>
        <w:rPr>
          <w:rFonts w:asciiTheme="minorHAnsi" w:hAnsiTheme="minorHAnsi" w:cstheme="minorHAnsi"/>
          <w:color w:val="000000"/>
          <w:sz w:val="20"/>
          <w:szCs w:val="20"/>
        </w:rPr>
        <w:t>WWF managed the mangrove planting on the marine side while MoF pursued reforestation upstream with almost no coordination between upstream and downstream activities in a drainage that has major sedimentation issues. Each organisation is managing separate parts of the catchment system without direct teamwork and harmonization of interventions.</w:t>
      </w:r>
    </w:p>
  </w:footnote>
  <w:footnote w:id="33">
    <w:p w14:paraId="228F2DC4" w14:textId="77777777" w:rsidR="007372B6" w:rsidRDefault="00000000">
      <w:pPr>
        <w:pStyle w:val="FootnoteText"/>
        <w:widowControl w:val="0"/>
        <w:rPr>
          <w:rFonts w:asciiTheme="minorHAnsi" w:hAnsiTheme="minorHAnsi" w:cstheme="minorHAnsi"/>
          <w:color w:val="000000"/>
        </w:rPr>
      </w:pPr>
      <w:r>
        <w:rPr>
          <w:rStyle w:val="FootnoteCharacters"/>
        </w:rPr>
        <w:footnoteRef/>
      </w:r>
      <w:r>
        <w:rPr>
          <w:rFonts w:ascii="Calibri" w:hAnsi="Calibri" w:cstheme="minorHAnsi"/>
          <w:color w:val="000000"/>
        </w:rPr>
        <w:t xml:space="preserve"> Labasa Catchment Management Plan, p. 15</w:t>
      </w:r>
    </w:p>
  </w:footnote>
  <w:footnote w:id="34">
    <w:p w14:paraId="69DB6C47" w14:textId="77777777" w:rsidR="007372B6" w:rsidRDefault="00000000">
      <w:pPr>
        <w:pStyle w:val="FootnoteText"/>
        <w:widowControl w:val="0"/>
        <w:rPr>
          <w:rFonts w:asciiTheme="minorHAnsi" w:hAnsiTheme="minorHAnsi" w:cstheme="minorHAnsi"/>
          <w:lang w:val="en-CA"/>
        </w:rPr>
      </w:pPr>
      <w:r>
        <w:rPr>
          <w:rStyle w:val="FootnoteCharacters"/>
        </w:rPr>
        <w:footnoteRef/>
      </w:r>
      <w:r>
        <w:rPr>
          <w:rFonts w:asciiTheme="minorHAnsi" w:hAnsiTheme="minorHAnsi" w:cstheme="minorHAnsi"/>
        </w:rPr>
        <w:t xml:space="preserve"> </w:t>
      </w:r>
      <w:r>
        <w:rPr>
          <w:rFonts w:asciiTheme="minorHAnsi" w:hAnsiTheme="minorHAnsi" w:cstheme="minorHAnsi"/>
          <w:lang w:val="en-CA"/>
        </w:rPr>
        <w:t>Source: Fiji R2R Mid Term Review Report, 2021, p.40-43.</w:t>
      </w:r>
    </w:p>
  </w:footnote>
  <w:footnote w:id="35">
    <w:p w14:paraId="21D5C2DA" w14:textId="77777777" w:rsidR="007372B6" w:rsidRDefault="00000000">
      <w:pPr>
        <w:pStyle w:val="FootnoteText"/>
        <w:widowControl w:val="0"/>
        <w:rPr>
          <w:lang w:val="en-CA"/>
        </w:rPr>
      </w:pPr>
      <w:r>
        <w:rPr>
          <w:rStyle w:val="FootnoteCharacters"/>
        </w:rPr>
        <w:footnoteRef/>
      </w:r>
      <w:r>
        <w:t xml:space="preserve"> </w:t>
      </w:r>
      <w:r>
        <w:rPr>
          <w:rFonts w:asciiTheme="minorHAnsi" w:hAnsiTheme="minorHAnsi" w:cstheme="minorHAnsi"/>
        </w:rPr>
        <w:t>The Mid Term Review report also noted: “</w:t>
      </w:r>
      <w:r>
        <w:rPr>
          <w:rFonts w:asciiTheme="minorHAnsi" w:eastAsia="Calibri" w:hAnsiTheme="minorHAnsi" w:cstheme="minorHAnsi"/>
        </w:rPr>
        <w:t>The GEF PIR system reporting is against the wrong objective-level indicators.” P.50.</w:t>
      </w:r>
    </w:p>
  </w:footnote>
  <w:footnote w:id="36">
    <w:p w14:paraId="20A0DD9E" w14:textId="77777777" w:rsidR="007372B6" w:rsidRDefault="00000000">
      <w:pPr>
        <w:pStyle w:val="FootnoteText"/>
        <w:widowControl w:val="0"/>
        <w:rPr>
          <w:rFonts w:asciiTheme="minorHAnsi" w:hAnsiTheme="minorHAnsi" w:cstheme="minorHAnsi"/>
          <w:lang w:val="en-CA"/>
        </w:rPr>
      </w:pPr>
      <w:r>
        <w:rPr>
          <w:rStyle w:val="FootnoteCharacters"/>
        </w:rPr>
        <w:footnoteRef/>
      </w:r>
      <w:r>
        <w:rPr>
          <w:rFonts w:asciiTheme="minorHAnsi" w:hAnsiTheme="minorHAnsi" w:cstheme="minorHAnsi"/>
        </w:rPr>
        <w:t xml:space="preserve"> Source – </w:t>
      </w:r>
      <w:r>
        <w:rPr>
          <w:rFonts w:asciiTheme="minorHAnsi" w:hAnsiTheme="minorHAnsi" w:cstheme="minorHAnsi"/>
          <w:lang w:val="en-CA"/>
        </w:rPr>
        <w:t xml:space="preserve">PIR 2022; the </w:t>
      </w:r>
      <w:proofErr w:type="gramStart"/>
      <w:r>
        <w:rPr>
          <w:rFonts w:asciiTheme="minorHAnsi" w:hAnsiTheme="minorHAnsi" w:cstheme="minorHAnsi"/>
          <w:lang w:val="en-CA"/>
        </w:rPr>
        <w:t>20,000 ha</w:t>
      </w:r>
      <w:proofErr w:type="gramEnd"/>
      <w:r>
        <w:rPr>
          <w:rFonts w:asciiTheme="minorHAnsi" w:hAnsiTheme="minorHAnsi" w:cstheme="minorHAnsi"/>
          <w:lang w:val="en-CA"/>
        </w:rPr>
        <w:t xml:space="preserve"> reforestation figure was </w:t>
      </w:r>
      <w:r>
        <w:rPr>
          <w:rFonts w:asciiTheme="minorHAnsi" w:eastAsia="Arial" w:hAnsiTheme="minorHAnsi" w:cstheme="minorHAnsi"/>
          <w:sz w:val="22"/>
          <w:szCs w:val="22"/>
          <w:lang w:eastAsia="en-GB"/>
        </w:rPr>
        <w:t>probably meant to include forest rehabilitation</w:t>
      </w:r>
    </w:p>
  </w:footnote>
  <w:footnote w:id="37">
    <w:p w14:paraId="5662C79F" w14:textId="77777777" w:rsidR="007372B6" w:rsidRDefault="00000000">
      <w:pPr>
        <w:pStyle w:val="FootnoteText"/>
        <w:widowControl w:val="0"/>
        <w:rPr>
          <w:rFonts w:cstheme="minorHAnsi"/>
        </w:rPr>
      </w:pPr>
      <w:r>
        <w:rPr>
          <w:rStyle w:val="FootnoteCharacters"/>
        </w:rPr>
        <w:footnoteRef/>
      </w:r>
      <w:r>
        <w:rPr>
          <w:rFonts w:cstheme="minorHAnsi"/>
        </w:rPr>
        <w:t xml:space="preserve"> </w:t>
      </w:r>
      <w:r>
        <w:rPr>
          <w:rFonts w:asciiTheme="minorHAnsi" w:eastAsia="Arial" w:hAnsiTheme="minorHAnsi" w:cstheme="minorHAnsi"/>
          <w:lang w:eastAsia="en-GB"/>
        </w:rPr>
        <w:t xml:space="preserve">Similar figures were reported in the IAS SPC/LRD Technical Report, October 2021 to December 2021. Another </w:t>
      </w:r>
      <w:proofErr w:type="gramStart"/>
      <w:r>
        <w:rPr>
          <w:rFonts w:asciiTheme="minorHAnsi" w:eastAsia="Arial" w:hAnsiTheme="minorHAnsi" w:cstheme="minorHAnsi"/>
          <w:lang w:eastAsia="en-GB"/>
        </w:rPr>
        <w:t>13 ha</w:t>
      </w:r>
      <w:proofErr w:type="gramEnd"/>
      <w:r>
        <w:rPr>
          <w:rFonts w:asciiTheme="minorHAnsi" w:eastAsia="Arial" w:hAnsiTheme="minorHAnsi" w:cstheme="minorHAnsi"/>
          <w:lang w:eastAsia="en-GB"/>
        </w:rPr>
        <w:t xml:space="preserve"> associated with coconut planting on </w:t>
      </w:r>
      <w:proofErr w:type="spellStart"/>
      <w:r>
        <w:rPr>
          <w:rFonts w:asciiTheme="minorHAnsi" w:eastAsia="Arial" w:hAnsiTheme="minorHAnsi" w:cstheme="minorHAnsi"/>
          <w:color w:val="000000"/>
          <w:lang w:eastAsia="en-GB"/>
        </w:rPr>
        <w:t>Rewa</w:t>
      </w:r>
      <w:proofErr w:type="spellEnd"/>
      <w:r>
        <w:rPr>
          <w:rFonts w:asciiTheme="minorHAnsi" w:eastAsia="Arial" w:hAnsiTheme="minorHAnsi" w:cstheme="minorHAnsi"/>
          <w:color w:val="000000"/>
          <w:lang w:eastAsia="en-GB"/>
        </w:rPr>
        <w:t xml:space="preserve"> Is </w:t>
      </w:r>
      <w:r>
        <w:rPr>
          <w:rFonts w:asciiTheme="minorHAnsi" w:eastAsia="Arial" w:hAnsiTheme="minorHAnsi" w:cstheme="minorHAnsi"/>
          <w:lang w:eastAsia="en-GB"/>
        </w:rPr>
        <w:t>has not been included in the figures.</w:t>
      </w:r>
    </w:p>
  </w:footnote>
  <w:footnote w:id="38">
    <w:p w14:paraId="2690F4B5" w14:textId="77777777" w:rsidR="007372B6" w:rsidRDefault="00000000">
      <w:pPr>
        <w:pStyle w:val="FootnoteText"/>
        <w:widowControl w:val="0"/>
        <w:rPr>
          <w:rFonts w:asciiTheme="minorHAnsi" w:hAnsiTheme="minorHAnsi" w:cstheme="minorHAnsi"/>
          <w:lang w:val="en-CA"/>
        </w:rPr>
      </w:pPr>
      <w:r>
        <w:rPr>
          <w:rStyle w:val="FootnoteCharacters"/>
        </w:rPr>
        <w:footnoteRef/>
      </w:r>
      <w:r>
        <w:rPr>
          <w:rFonts w:asciiTheme="minorHAnsi" w:hAnsiTheme="minorHAnsi" w:cstheme="minorHAnsi"/>
        </w:rPr>
        <w:t xml:space="preserve"> L</w:t>
      </w:r>
      <w:r>
        <w:rPr>
          <w:rFonts w:asciiTheme="minorHAnsi" w:eastAsiaTheme="minorHAnsi" w:hAnsiTheme="minorHAnsi" w:cstheme="minorHAnsi"/>
          <w:lang w:val="en-CA" w:eastAsia="en-US"/>
        </w:rPr>
        <w:t xml:space="preserve">and owning clans are known as </w:t>
      </w:r>
      <w:proofErr w:type="spellStart"/>
      <w:r w:rsidRPr="00A34A90">
        <w:rPr>
          <w:rFonts w:asciiTheme="minorHAnsi" w:eastAsiaTheme="minorHAnsi" w:hAnsiTheme="minorHAnsi" w:cstheme="minorHAnsi"/>
          <w:i/>
          <w:iCs/>
          <w:lang w:val="en-CA" w:eastAsia="en-US"/>
        </w:rPr>
        <w:t>mataqali</w:t>
      </w:r>
      <w:proofErr w:type="spellEnd"/>
    </w:p>
  </w:footnote>
  <w:footnote w:id="39">
    <w:p w14:paraId="22088458" w14:textId="77777777" w:rsidR="007372B6" w:rsidRDefault="00000000">
      <w:pPr>
        <w:pStyle w:val="FootnoteText"/>
        <w:widowControl w:val="0"/>
        <w:rPr>
          <w:rFonts w:asciiTheme="minorHAnsi" w:hAnsiTheme="minorHAnsi" w:cstheme="minorHAnsi"/>
          <w:color w:val="000000" w:themeColor="text1"/>
          <w:lang w:eastAsia="en-US"/>
        </w:rPr>
      </w:pPr>
      <w:r>
        <w:rPr>
          <w:rStyle w:val="FootnoteCharacters"/>
        </w:rPr>
        <w:footnoteRef/>
      </w:r>
      <w:r>
        <w:rPr>
          <w:rFonts w:ascii="Calibri" w:hAnsi="Calibri" w:cstheme="minorHAnsi"/>
          <w:color w:val="000000" w:themeColor="text1"/>
          <w:lang w:eastAsia="en-US"/>
        </w:rPr>
        <w:t xml:space="preserve"> IAS, SPC/LRD Technical Report, 1 October – 31 December 2021, p 9.</w:t>
      </w:r>
    </w:p>
  </w:footnote>
  <w:footnote w:id="40">
    <w:p w14:paraId="3BC9ED79" w14:textId="77777777" w:rsidR="007372B6" w:rsidRDefault="00000000">
      <w:pPr>
        <w:pStyle w:val="Title"/>
        <w:widowControl w:val="0"/>
        <w:rPr>
          <w:rFonts w:asciiTheme="minorHAnsi" w:hAnsiTheme="minorHAnsi" w:cstheme="minorHAnsi"/>
          <w:b w:val="0"/>
          <w:bCs w:val="0"/>
          <w:color w:val="000000" w:themeColor="text1"/>
          <w:kern w:val="0"/>
          <w:sz w:val="20"/>
          <w:szCs w:val="20"/>
        </w:rPr>
      </w:pPr>
      <w:r w:rsidRPr="00A34A90">
        <w:rPr>
          <w:rStyle w:val="FootnoteCharacters"/>
          <w:rFonts w:asciiTheme="minorHAnsi" w:hAnsiTheme="minorHAnsi" w:cstheme="minorHAnsi"/>
          <w:b w:val="0"/>
          <w:bCs w:val="0"/>
          <w:color w:val="auto"/>
        </w:rPr>
        <w:footnoteRef/>
      </w:r>
      <w:r w:rsidRPr="009F09A2">
        <w:rPr>
          <w:rFonts w:asciiTheme="minorHAnsi" w:hAnsiTheme="minorHAnsi" w:cstheme="minorHAnsi"/>
          <w:b w:val="0"/>
          <w:bCs w:val="0"/>
          <w:color w:val="auto"/>
          <w:sz w:val="20"/>
          <w:szCs w:val="20"/>
          <w:vertAlign w:val="superscript"/>
        </w:rPr>
        <w:t xml:space="preserve"> </w:t>
      </w:r>
      <w:proofErr w:type="spellStart"/>
      <w:r>
        <w:rPr>
          <w:rFonts w:asciiTheme="minorHAnsi" w:hAnsiTheme="minorHAnsi" w:cstheme="minorHAnsi"/>
          <w:b w:val="0"/>
          <w:bCs w:val="0"/>
          <w:color w:val="000000" w:themeColor="text1"/>
          <w:sz w:val="20"/>
          <w:szCs w:val="20"/>
        </w:rPr>
        <w:t>Kelera</w:t>
      </w:r>
      <w:proofErr w:type="spellEnd"/>
      <w:r>
        <w:rPr>
          <w:rFonts w:asciiTheme="minorHAnsi" w:hAnsiTheme="minorHAnsi" w:cstheme="minorHAnsi"/>
          <w:b w:val="0"/>
          <w:bCs w:val="0"/>
          <w:color w:val="000000" w:themeColor="text1"/>
          <w:sz w:val="20"/>
          <w:szCs w:val="20"/>
        </w:rPr>
        <w:t xml:space="preserve"> </w:t>
      </w:r>
      <w:proofErr w:type="spellStart"/>
      <w:r>
        <w:rPr>
          <w:rFonts w:asciiTheme="minorHAnsi" w:hAnsiTheme="minorHAnsi" w:cstheme="minorHAnsi"/>
          <w:b w:val="0"/>
          <w:bCs w:val="0"/>
          <w:color w:val="000000" w:themeColor="text1"/>
          <w:sz w:val="20"/>
          <w:szCs w:val="20"/>
        </w:rPr>
        <w:t>Wesele</w:t>
      </w:r>
      <w:proofErr w:type="spellEnd"/>
      <w:r>
        <w:rPr>
          <w:rFonts w:asciiTheme="minorHAnsi" w:hAnsiTheme="minorHAnsi" w:cstheme="minorHAnsi"/>
          <w:b w:val="0"/>
          <w:bCs w:val="0"/>
          <w:color w:val="000000" w:themeColor="text1"/>
          <w:sz w:val="20"/>
          <w:szCs w:val="20"/>
        </w:rPr>
        <w:t>, Back to Office Report (BTOR), UNDP,</w:t>
      </w:r>
      <w:r>
        <w:rPr>
          <w:rFonts w:asciiTheme="minorHAnsi" w:hAnsiTheme="minorHAnsi" w:cstheme="minorHAnsi"/>
          <w:b w:val="0"/>
          <w:bCs w:val="0"/>
          <w:color w:val="000000" w:themeColor="text1"/>
          <w:kern w:val="0"/>
          <w:sz w:val="20"/>
          <w:szCs w:val="20"/>
        </w:rPr>
        <w:t xml:space="preserve"> Pacific Office in Fiji, 21 Aug 2019.</w:t>
      </w:r>
    </w:p>
  </w:footnote>
  <w:footnote w:id="41">
    <w:p w14:paraId="4CA81C10" w14:textId="77777777" w:rsidR="007372B6" w:rsidRDefault="00000000">
      <w:pPr>
        <w:pStyle w:val="Title"/>
        <w:widowControl w:val="0"/>
        <w:rPr>
          <w:rFonts w:ascii="Arial Narrow" w:hAnsi="Arial Narrow" w:cs="Arial"/>
          <w:b w:val="0"/>
          <w:bCs w:val="0"/>
          <w:color w:val="000000" w:themeColor="text1"/>
          <w:kern w:val="0"/>
          <w:sz w:val="20"/>
          <w:szCs w:val="18"/>
        </w:rPr>
      </w:pPr>
      <w:r w:rsidRPr="00A34A90">
        <w:rPr>
          <w:rStyle w:val="FootnoteCharacters"/>
          <w:rFonts w:asciiTheme="minorHAnsi" w:hAnsiTheme="minorHAnsi" w:cstheme="minorHAnsi"/>
          <w:b w:val="0"/>
          <w:bCs w:val="0"/>
        </w:rPr>
        <w:footnoteRef/>
      </w:r>
      <w:r w:rsidRPr="009F09A2">
        <w:rPr>
          <w:rFonts w:asciiTheme="minorHAnsi" w:hAnsiTheme="minorHAnsi" w:cstheme="minorHAnsi"/>
          <w:b w:val="0"/>
          <w:bCs w:val="0"/>
          <w:color w:val="auto"/>
          <w:sz w:val="20"/>
          <w:szCs w:val="20"/>
          <w:vertAlign w:val="superscript"/>
        </w:rPr>
        <w:t xml:space="preserve"> </w:t>
      </w:r>
      <w:r>
        <w:rPr>
          <w:rFonts w:asciiTheme="minorHAnsi" w:hAnsiTheme="minorHAnsi" w:cstheme="minorHAnsi"/>
          <w:b w:val="0"/>
          <w:bCs w:val="0"/>
          <w:color w:val="000000" w:themeColor="text1"/>
          <w:sz w:val="20"/>
          <w:szCs w:val="20"/>
        </w:rPr>
        <w:t xml:space="preserve">Fane </w:t>
      </w:r>
      <w:proofErr w:type="spellStart"/>
      <w:r>
        <w:rPr>
          <w:rFonts w:asciiTheme="minorHAnsi" w:hAnsiTheme="minorHAnsi" w:cstheme="minorHAnsi"/>
          <w:b w:val="0"/>
          <w:bCs w:val="0"/>
          <w:color w:val="000000" w:themeColor="text1"/>
          <w:sz w:val="20"/>
          <w:szCs w:val="20"/>
        </w:rPr>
        <w:t>Cinavilakeba</w:t>
      </w:r>
      <w:proofErr w:type="spellEnd"/>
      <w:r>
        <w:rPr>
          <w:rFonts w:asciiTheme="minorHAnsi" w:hAnsiTheme="minorHAnsi" w:cstheme="minorHAnsi"/>
          <w:b w:val="0"/>
          <w:bCs w:val="0"/>
          <w:color w:val="000000" w:themeColor="text1"/>
          <w:sz w:val="20"/>
          <w:szCs w:val="20"/>
        </w:rPr>
        <w:t>, Back to Office Report (BTOR), UNDP,</w:t>
      </w:r>
      <w:r>
        <w:rPr>
          <w:rFonts w:ascii="Arial Narrow" w:hAnsi="Arial Narrow" w:cs="Arial"/>
          <w:b w:val="0"/>
          <w:bCs w:val="0"/>
          <w:color w:val="000000" w:themeColor="text1"/>
          <w:kern w:val="0"/>
          <w:sz w:val="20"/>
          <w:szCs w:val="18"/>
        </w:rPr>
        <w:t xml:space="preserve"> </w:t>
      </w:r>
      <w:r>
        <w:rPr>
          <w:rFonts w:asciiTheme="minorHAnsi" w:hAnsiTheme="minorHAnsi" w:cstheme="minorHAnsi"/>
          <w:b w:val="0"/>
          <w:bCs w:val="0"/>
          <w:color w:val="000000" w:themeColor="text1"/>
          <w:kern w:val="0"/>
          <w:sz w:val="20"/>
          <w:szCs w:val="18"/>
        </w:rPr>
        <w:t>Pacific Office in Fiji, 13 Dec 2021.</w:t>
      </w:r>
    </w:p>
  </w:footnote>
  <w:footnote w:id="42">
    <w:p w14:paraId="68497B3C" w14:textId="77777777" w:rsidR="007372B6" w:rsidRPr="00A34A90" w:rsidRDefault="00000000">
      <w:pPr>
        <w:widowControl w:val="0"/>
        <w:ind w:right="-360"/>
        <w:rPr>
          <w:rFonts w:asciiTheme="minorHAnsi" w:hAnsiTheme="minorHAnsi" w:cstheme="minorHAnsi"/>
          <w:sz w:val="20"/>
          <w:szCs w:val="20"/>
        </w:rPr>
      </w:pPr>
      <w:r w:rsidRPr="00A34A90">
        <w:rPr>
          <w:rStyle w:val="FootnoteCharacters"/>
          <w:rFonts w:asciiTheme="minorHAnsi" w:hAnsiTheme="minorHAnsi" w:cstheme="minorHAnsi"/>
          <w:sz w:val="20"/>
          <w:szCs w:val="20"/>
        </w:rPr>
        <w:footnoteRef/>
      </w:r>
      <w:r w:rsidRPr="00A34A90">
        <w:rPr>
          <w:rFonts w:asciiTheme="minorHAnsi" w:hAnsiTheme="minorHAnsi" w:cstheme="minorHAnsi"/>
          <w:sz w:val="20"/>
          <w:szCs w:val="20"/>
        </w:rPr>
        <w:t xml:space="preserve"> </w:t>
      </w:r>
      <w:r w:rsidRPr="009F09A2">
        <w:rPr>
          <w:rFonts w:asciiTheme="minorHAnsi" w:hAnsiTheme="minorHAnsi" w:cstheme="minorHAnsi"/>
          <w:color w:val="000000" w:themeColor="text1"/>
          <w:sz w:val="20"/>
          <w:szCs w:val="20"/>
          <w:lang w:eastAsia="en-US"/>
        </w:rPr>
        <w:t>The Institute of Applied of Applied Sciences, Fiji Ridge to Reef Project, Quarterly Report, Reporting Period:  1 October to 31 December, 2020, p.1</w:t>
      </w:r>
    </w:p>
  </w:footnote>
  <w:footnote w:id="43">
    <w:p w14:paraId="66099C70" w14:textId="77777777" w:rsidR="007372B6" w:rsidRDefault="00000000">
      <w:pPr>
        <w:widowControl w:val="0"/>
        <w:rPr>
          <w:rFonts w:asciiTheme="minorHAnsi" w:hAnsiTheme="minorHAnsi" w:cstheme="minorHAnsi"/>
          <w:sz w:val="20"/>
          <w:szCs w:val="20"/>
        </w:rPr>
      </w:pPr>
      <w:r>
        <w:rPr>
          <w:rStyle w:val="FootnoteCharacters"/>
        </w:rPr>
        <w:footnoteRef/>
      </w:r>
      <w:r>
        <w:rPr>
          <w:rFonts w:asciiTheme="minorHAnsi" w:hAnsiTheme="minorHAnsi" w:cstheme="minorHAnsi"/>
          <w:sz w:val="20"/>
          <w:szCs w:val="20"/>
        </w:rPr>
        <w:t xml:space="preserve"> This is expected to reduce the cost of governmental regulation and allow the Ministry to move away from ‘hands-on’ control and focus its limited resources on higher level support (including research, training and education), monitoring and enforcement of sustainable practices. See draft forestry code of practice and regulations produced by the consultant under Outcome 4.</w:t>
      </w:r>
    </w:p>
  </w:footnote>
  <w:footnote w:id="44">
    <w:p w14:paraId="19C36741" w14:textId="77777777" w:rsidR="007372B6" w:rsidRDefault="00000000">
      <w:pPr>
        <w:pStyle w:val="FootnoteText"/>
        <w:widowControl w:val="0"/>
        <w:rPr>
          <w:rFonts w:asciiTheme="minorHAnsi" w:hAnsiTheme="minorHAnsi" w:cstheme="minorHAnsi"/>
          <w:lang w:val="en-CA"/>
        </w:rPr>
      </w:pPr>
      <w:r>
        <w:rPr>
          <w:rStyle w:val="FootnoteCharacters"/>
        </w:rPr>
        <w:footnoteRef/>
      </w:r>
      <w:r>
        <w:rPr>
          <w:rFonts w:asciiTheme="minorHAnsi" w:hAnsiTheme="minorHAnsi" w:cstheme="minorHAnsi"/>
        </w:rPr>
        <w:t xml:space="preserve"> This target (Annex 4) of 4 plans seems to be inconsistent with the Project Document expectations.</w:t>
      </w:r>
    </w:p>
  </w:footnote>
  <w:footnote w:id="45">
    <w:p w14:paraId="785CF809" w14:textId="77777777" w:rsidR="007372B6" w:rsidRDefault="00000000">
      <w:pPr>
        <w:widowControl w:val="0"/>
        <w:tabs>
          <w:tab w:val="left" w:pos="567"/>
          <w:tab w:val="left" w:pos="1620"/>
        </w:tabs>
        <w:jc w:val="both"/>
        <w:rPr>
          <w:rFonts w:asciiTheme="minorHAnsi" w:hAnsiTheme="minorHAnsi" w:cstheme="minorHAnsi"/>
          <w:sz w:val="20"/>
          <w:szCs w:val="20"/>
        </w:rPr>
      </w:pPr>
      <w:r>
        <w:rPr>
          <w:rStyle w:val="FootnoteCharacters"/>
        </w:rPr>
        <w:footnoteRef/>
      </w:r>
      <w:r>
        <w:rPr>
          <w:rFonts w:ascii="Calibri" w:hAnsi="Calibri" w:cstheme="minorHAnsi"/>
          <w:color w:val="000000"/>
          <w:sz w:val="20"/>
          <w:szCs w:val="20"/>
        </w:rPr>
        <w:t xml:space="preserve"> Tuva Management Plan, 2020, page 20</w:t>
      </w:r>
    </w:p>
  </w:footnote>
  <w:footnote w:id="46">
    <w:p w14:paraId="21A45FCA" w14:textId="77777777" w:rsidR="007372B6" w:rsidRDefault="00000000">
      <w:pPr>
        <w:widowControl w:val="0"/>
        <w:tabs>
          <w:tab w:val="left" w:pos="1620"/>
        </w:tabs>
        <w:jc w:val="both"/>
        <w:rPr>
          <w:rFonts w:asciiTheme="minorHAnsi" w:hAnsiTheme="minorHAnsi" w:cstheme="minorHAnsi"/>
          <w:b/>
          <w:bCs/>
          <w:color w:val="000000"/>
          <w:sz w:val="22"/>
          <w:szCs w:val="22"/>
        </w:rPr>
      </w:pPr>
      <w:r>
        <w:rPr>
          <w:rStyle w:val="FootnoteCharacters"/>
        </w:rPr>
        <w:footnoteRef/>
      </w:r>
      <w:r>
        <w:rPr>
          <w:rFonts w:asciiTheme="minorHAnsi" w:hAnsiTheme="minorHAnsi" w:cstheme="minorHAnsi"/>
          <w:sz w:val="20"/>
          <w:szCs w:val="20"/>
        </w:rPr>
        <w:t xml:space="preserve"> </w:t>
      </w:r>
      <w:proofErr w:type="spellStart"/>
      <w:r>
        <w:rPr>
          <w:rFonts w:asciiTheme="minorHAnsi" w:hAnsiTheme="minorHAnsi" w:cstheme="minorHAnsi"/>
          <w:sz w:val="20"/>
          <w:szCs w:val="20"/>
        </w:rPr>
        <w:t>ProDoc</w:t>
      </w:r>
      <w:proofErr w:type="spellEnd"/>
      <w:r>
        <w:rPr>
          <w:rFonts w:asciiTheme="minorHAnsi" w:hAnsiTheme="minorHAnsi" w:cstheme="minorHAnsi"/>
          <w:sz w:val="20"/>
          <w:szCs w:val="20"/>
        </w:rPr>
        <w:t>, page 75</w:t>
      </w:r>
    </w:p>
  </w:footnote>
  <w:footnote w:id="47">
    <w:p w14:paraId="39FB9F3A" w14:textId="77777777" w:rsidR="007372B6" w:rsidRDefault="00000000">
      <w:pPr>
        <w:pStyle w:val="FootnoteText"/>
        <w:widowControl w:val="0"/>
        <w:rPr>
          <w:rFonts w:asciiTheme="minorHAnsi" w:hAnsiTheme="minorHAnsi" w:cstheme="minorHAnsi"/>
          <w:lang w:val="en-CA"/>
        </w:rPr>
      </w:pPr>
      <w:r>
        <w:rPr>
          <w:rStyle w:val="FootnoteCharacters"/>
        </w:rPr>
        <w:footnoteRef/>
      </w:r>
      <w:r>
        <w:rPr>
          <w:rFonts w:asciiTheme="minorHAnsi" w:hAnsiTheme="minorHAnsi" w:cstheme="minorHAnsi"/>
        </w:rPr>
        <w:t xml:space="preserve"> PIR 2022, p.25</w:t>
      </w:r>
    </w:p>
  </w:footnote>
  <w:footnote w:id="48">
    <w:p w14:paraId="05183B8E" w14:textId="77777777" w:rsidR="007372B6" w:rsidRDefault="00000000">
      <w:pPr>
        <w:pStyle w:val="FootnoteText"/>
        <w:widowControl w:val="0"/>
        <w:rPr>
          <w:rFonts w:asciiTheme="minorHAnsi" w:hAnsiTheme="minorHAnsi" w:cstheme="minorHAnsi"/>
          <w:lang w:val="en-CA"/>
        </w:rPr>
      </w:pPr>
      <w:r>
        <w:rPr>
          <w:rStyle w:val="FootnoteCharacters"/>
        </w:rPr>
        <w:footnoteRef/>
      </w:r>
      <w:r>
        <w:rPr>
          <w:rFonts w:asciiTheme="minorHAnsi" w:hAnsiTheme="minorHAnsi" w:cstheme="minorHAnsi"/>
        </w:rPr>
        <w:t xml:space="preserve"> UNDP/GEF, Project Implementation Report (PIR), June 30, 2022.</w:t>
      </w:r>
    </w:p>
  </w:footnote>
  <w:footnote w:id="49">
    <w:p w14:paraId="0DB17501" w14:textId="77777777" w:rsidR="007372B6" w:rsidRDefault="00000000">
      <w:pPr>
        <w:pStyle w:val="FootnoteText"/>
        <w:widowControl w:val="0"/>
        <w:rPr>
          <w:sz w:val="18"/>
          <w:szCs w:val="18"/>
        </w:rPr>
      </w:pPr>
      <w:r>
        <w:rPr>
          <w:rStyle w:val="FootnoteCharacters"/>
        </w:rPr>
        <w:footnoteRef/>
      </w:r>
      <w:r>
        <w:rPr>
          <w:rFonts w:asciiTheme="minorHAnsi" w:hAnsiTheme="minorHAnsi" w:cstheme="minorHAnsi"/>
          <w:sz w:val="18"/>
          <w:szCs w:val="18"/>
        </w:rPr>
        <w:t xml:space="preserve"> </w:t>
      </w:r>
      <w:r>
        <w:rPr>
          <w:rFonts w:asciiTheme="minorHAnsi" w:hAnsiTheme="minorHAnsi" w:cstheme="minorHAnsi"/>
          <w:sz w:val="18"/>
          <w:szCs w:val="18"/>
          <w:lang w:val="en-CA"/>
        </w:rPr>
        <w:t>E.g., through a variety of possible rangeland recovery strategies such as social fencing, live fencing, cut and carry, stall feeding incentives, and enhanced fodder systems, etc.</w:t>
      </w:r>
    </w:p>
  </w:footnote>
  <w:footnote w:id="50">
    <w:p w14:paraId="6BE2669A" w14:textId="77777777" w:rsidR="007372B6" w:rsidRDefault="00000000">
      <w:pPr>
        <w:pStyle w:val="FootnoteText"/>
        <w:widowControl w:val="0"/>
      </w:pPr>
      <w:r>
        <w:rPr>
          <w:rStyle w:val="FootnoteCharacters"/>
        </w:rPr>
        <w:footnoteRef/>
      </w:r>
      <w:r>
        <w:rPr>
          <w:rFonts w:ascii="Calibri" w:eastAsia="Open Sans" w:hAnsi="Calibri" w:cstheme="minorHAnsi"/>
          <w:bCs/>
          <w:color w:val="000000"/>
          <w:spacing w:val="-2"/>
        </w:rPr>
        <w:t xml:space="preserve"> R2R </w:t>
      </w:r>
      <w:proofErr w:type="spellStart"/>
      <w:r>
        <w:rPr>
          <w:rFonts w:ascii="Calibri" w:eastAsia="Open Sans" w:hAnsi="Calibri" w:cstheme="minorHAnsi"/>
          <w:bCs/>
          <w:color w:val="000000"/>
          <w:spacing w:val="-2"/>
        </w:rPr>
        <w:t>ProDoc</w:t>
      </w:r>
      <w:proofErr w:type="spellEnd"/>
      <w:r>
        <w:rPr>
          <w:rFonts w:ascii="Calibri" w:eastAsia="Open Sans" w:hAnsi="Calibri" w:cstheme="minorHAnsi"/>
          <w:bCs/>
          <w:color w:val="000000"/>
          <w:spacing w:val="-2"/>
        </w:rPr>
        <w:t xml:space="preserve"> page 34 and 35</w:t>
      </w:r>
    </w:p>
  </w:footnote>
  <w:footnote w:id="51">
    <w:p w14:paraId="67870779" w14:textId="77777777" w:rsidR="007372B6" w:rsidRDefault="00000000">
      <w:pPr>
        <w:pStyle w:val="FootnoteText"/>
        <w:widowControl w:val="0"/>
      </w:pPr>
      <w:r>
        <w:rPr>
          <w:rStyle w:val="FootnoteCharacters"/>
        </w:rPr>
        <w:footnoteRef/>
      </w:r>
      <w:r>
        <w:rPr>
          <w:rFonts w:ascii="Calibri" w:eastAsia="Open Sans" w:hAnsi="Calibri" w:cstheme="minorHAnsi"/>
          <w:bCs/>
          <w:color w:val="000000"/>
          <w:spacing w:val="-2"/>
        </w:rPr>
        <w:t xml:space="preserve"> Exit Strategy p. 5</w:t>
      </w:r>
    </w:p>
  </w:footnote>
  <w:footnote w:id="52">
    <w:p w14:paraId="42368B97" w14:textId="77777777" w:rsidR="007372B6" w:rsidRDefault="00000000">
      <w:pPr>
        <w:pStyle w:val="FootnoteText"/>
        <w:widowControl w:val="0"/>
        <w:jc w:val="both"/>
      </w:pPr>
      <w:r>
        <w:rPr>
          <w:rStyle w:val="FootnoteCharacters"/>
        </w:rPr>
        <w:footnoteRef/>
      </w:r>
      <w:r>
        <w:rPr>
          <w:rFonts w:ascii="Calibri Light" w:eastAsia="Calibri" w:hAnsi="Calibri Light" w:cs="Calibri Light"/>
          <w:color w:val="000000"/>
          <w:sz w:val="18"/>
          <w:szCs w:val="18"/>
        </w:rPr>
        <w:t>Outcomes, Effectiveness, Efficiency, M&amp;E, I&amp;E Execution, Relevance are rated on a 6-point rating scale: 6 = Highly Satisfactory (HS), 5 = Satisfactory (S), 4 = Moderately Satisfactory (MS), 3 = Moderately Unsatisfactory (MU), 2 = Unsatisfactory (U), 1 = Highly Unsatisfactory (HU). Sustainability is rated on a 4-point scale: 4 = Likely (L), 3 = Moderately Likely (ML), 2 = Moderately Unlikely (MU), 1 = Unlikely (U)</w:t>
      </w:r>
    </w:p>
  </w:footnote>
  <w:footnote w:id="53">
    <w:p w14:paraId="41960981" w14:textId="77777777" w:rsidR="007372B6" w:rsidRPr="00A34A90" w:rsidRDefault="00000000">
      <w:pPr>
        <w:pStyle w:val="Title"/>
        <w:widowControl w:val="0"/>
        <w:rPr>
          <w:rFonts w:asciiTheme="minorHAnsi" w:hAnsiTheme="minorHAnsi" w:cstheme="minorHAnsi"/>
          <w:b w:val="0"/>
          <w:bCs w:val="0"/>
          <w:color w:val="auto"/>
          <w:kern w:val="0"/>
          <w:sz w:val="20"/>
          <w:szCs w:val="20"/>
        </w:rPr>
      </w:pPr>
      <w:r w:rsidRPr="00A34A90">
        <w:rPr>
          <w:rStyle w:val="FootnoteCharacters"/>
          <w:rFonts w:asciiTheme="minorHAnsi" w:hAnsiTheme="minorHAnsi" w:cstheme="minorHAnsi"/>
          <w:b w:val="0"/>
          <w:bCs w:val="0"/>
          <w:sz w:val="20"/>
          <w:szCs w:val="20"/>
        </w:rPr>
        <w:footnoteRef/>
      </w:r>
      <w:r w:rsidRPr="00A34A90">
        <w:rPr>
          <w:rFonts w:asciiTheme="minorHAnsi" w:hAnsiTheme="minorHAnsi" w:cstheme="minorHAnsi"/>
          <w:b w:val="0"/>
          <w:bCs w:val="0"/>
          <w:color w:val="auto"/>
          <w:sz w:val="20"/>
          <w:szCs w:val="20"/>
        </w:rPr>
        <w:t xml:space="preserve"> </w:t>
      </w:r>
      <w:proofErr w:type="spellStart"/>
      <w:r w:rsidRPr="00A34A90">
        <w:rPr>
          <w:rFonts w:asciiTheme="minorHAnsi" w:hAnsiTheme="minorHAnsi" w:cstheme="minorHAnsi"/>
          <w:b w:val="0"/>
          <w:bCs w:val="0"/>
          <w:color w:val="auto"/>
          <w:sz w:val="20"/>
          <w:szCs w:val="20"/>
        </w:rPr>
        <w:t>Kelera</w:t>
      </w:r>
      <w:proofErr w:type="spellEnd"/>
      <w:r w:rsidRPr="00A34A90">
        <w:rPr>
          <w:rFonts w:asciiTheme="minorHAnsi" w:hAnsiTheme="minorHAnsi" w:cstheme="minorHAnsi"/>
          <w:b w:val="0"/>
          <w:bCs w:val="0"/>
          <w:color w:val="auto"/>
          <w:sz w:val="20"/>
          <w:szCs w:val="20"/>
        </w:rPr>
        <w:t xml:space="preserve"> </w:t>
      </w:r>
      <w:proofErr w:type="spellStart"/>
      <w:r w:rsidRPr="00A34A90">
        <w:rPr>
          <w:rFonts w:asciiTheme="minorHAnsi" w:hAnsiTheme="minorHAnsi" w:cstheme="minorHAnsi"/>
          <w:b w:val="0"/>
          <w:bCs w:val="0"/>
          <w:color w:val="auto"/>
          <w:sz w:val="20"/>
          <w:szCs w:val="20"/>
        </w:rPr>
        <w:t>Wesele</w:t>
      </w:r>
      <w:proofErr w:type="spellEnd"/>
      <w:r w:rsidRPr="00A34A90">
        <w:rPr>
          <w:rFonts w:asciiTheme="minorHAnsi" w:hAnsiTheme="minorHAnsi" w:cstheme="minorHAnsi"/>
          <w:b w:val="0"/>
          <w:bCs w:val="0"/>
          <w:color w:val="auto"/>
          <w:sz w:val="20"/>
          <w:szCs w:val="20"/>
        </w:rPr>
        <w:t>, Back to Office Report (BTOR), UNDP,</w:t>
      </w:r>
      <w:r w:rsidRPr="00A34A90">
        <w:rPr>
          <w:rFonts w:asciiTheme="minorHAnsi" w:hAnsiTheme="minorHAnsi" w:cstheme="minorHAnsi"/>
          <w:b w:val="0"/>
          <w:bCs w:val="0"/>
          <w:color w:val="auto"/>
          <w:kern w:val="0"/>
          <w:sz w:val="20"/>
          <w:szCs w:val="20"/>
        </w:rPr>
        <w:t xml:space="preserve"> Pacific Office in Fiji, 21 Aug 2019.</w:t>
      </w:r>
    </w:p>
  </w:footnote>
  <w:footnote w:id="54">
    <w:p w14:paraId="33F7780D" w14:textId="77777777" w:rsidR="007372B6" w:rsidRDefault="00000000">
      <w:pPr>
        <w:pStyle w:val="Title"/>
        <w:widowControl w:val="0"/>
        <w:rPr>
          <w:rFonts w:ascii="Arial Narrow" w:hAnsi="Arial Narrow" w:cs="Arial"/>
          <w:b w:val="0"/>
          <w:bCs w:val="0"/>
          <w:color w:val="000066"/>
          <w:kern w:val="0"/>
          <w:sz w:val="20"/>
          <w:szCs w:val="18"/>
        </w:rPr>
      </w:pPr>
      <w:r w:rsidRPr="00A34A90">
        <w:rPr>
          <w:rStyle w:val="FootnoteCharacters"/>
          <w:rFonts w:asciiTheme="minorHAnsi" w:hAnsiTheme="minorHAnsi" w:cstheme="minorHAnsi"/>
          <w:b w:val="0"/>
          <w:bCs w:val="0"/>
          <w:sz w:val="20"/>
          <w:szCs w:val="20"/>
        </w:rPr>
        <w:footnoteRef/>
      </w:r>
      <w:r>
        <w:rPr>
          <w:rFonts w:ascii="Calibri" w:hAnsi="Calibri" w:cs="Calibri"/>
          <w:b w:val="0"/>
          <w:bCs w:val="0"/>
          <w:color w:val="auto"/>
          <w:sz w:val="20"/>
          <w:szCs w:val="20"/>
        </w:rPr>
        <w:t xml:space="preserve"> </w:t>
      </w:r>
      <w:r>
        <w:rPr>
          <w:rFonts w:asciiTheme="minorHAnsi" w:hAnsiTheme="minorHAnsi" w:cstheme="minorHAnsi"/>
          <w:b w:val="0"/>
          <w:bCs w:val="0"/>
          <w:color w:val="auto"/>
          <w:sz w:val="20"/>
          <w:szCs w:val="20"/>
        </w:rPr>
        <w:t xml:space="preserve">Fane </w:t>
      </w:r>
      <w:proofErr w:type="spellStart"/>
      <w:r>
        <w:rPr>
          <w:rFonts w:asciiTheme="minorHAnsi" w:hAnsiTheme="minorHAnsi" w:cstheme="minorHAnsi"/>
          <w:b w:val="0"/>
          <w:bCs w:val="0"/>
          <w:color w:val="auto"/>
          <w:sz w:val="20"/>
          <w:szCs w:val="20"/>
        </w:rPr>
        <w:t>Cinavilakeba</w:t>
      </w:r>
      <w:proofErr w:type="spellEnd"/>
      <w:r>
        <w:rPr>
          <w:rFonts w:asciiTheme="minorHAnsi" w:hAnsiTheme="minorHAnsi" w:cstheme="minorHAnsi"/>
          <w:b w:val="0"/>
          <w:bCs w:val="0"/>
          <w:color w:val="auto"/>
          <w:sz w:val="20"/>
          <w:szCs w:val="20"/>
        </w:rPr>
        <w:t>,</w:t>
      </w:r>
      <w:r>
        <w:rPr>
          <w:rFonts w:asciiTheme="minorHAnsi" w:hAnsiTheme="minorHAnsi" w:cstheme="minorHAnsi"/>
          <w:b w:val="0"/>
          <w:bCs w:val="0"/>
          <w:color w:val="000066"/>
          <w:sz w:val="20"/>
          <w:szCs w:val="20"/>
        </w:rPr>
        <w:t xml:space="preserve"> </w:t>
      </w:r>
      <w:r>
        <w:rPr>
          <w:rFonts w:asciiTheme="minorHAnsi" w:hAnsiTheme="minorHAnsi" w:cstheme="minorHAnsi"/>
          <w:b w:val="0"/>
          <w:bCs w:val="0"/>
          <w:color w:val="000000" w:themeColor="text1"/>
          <w:sz w:val="20"/>
          <w:szCs w:val="20"/>
        </w:rPr>
        <w:t>Back to Office Report (BTOR), UNDP,</w:t>
      </w:r>
      <w:r>
        <w:rPr>
          <w:rFonts w:ascii="Arial Narrow" w:hAnsi="Arial Narrow" w:cs="Arial"/>
          <w:b w:val="0"/>
          <w:bCs w:val="0"/>
          <w:color w:val="000066"/>
          <w:kern w:val="0"/>
          <w:sz w:val="20"/>
          <w:szCs w:val="18"/>
        </w:rPr>
        <w:t xml:space="preserve"> </w:t>
      </w:r>
      <w:r>
        <w:rPr>
          <w:rFonts w:asciiTheme="minorHAnsi" w:hAnsiTheme="minorHAnsi" w:cstheme="minorHAnsi"/>
          <w:b w:val="0"/>
          <w:bCs w:val="0"/>
          <w:color w:val="auto"/>
          <w:kern w:val="0"/>
          <w:sz w:val="20"/>
          <w:szCs w:val="18"/>
        </w:rPr>
        <w:t>Pacific Office in Fiji, 13 Dec 2021.</w:t>
      </w:r>
    </w:p>
    <w:p w14:paraId="37C54A90" w14:textId="77777777" w:rsidR="007372B6" w:rsidRDefault="007372B6">
      <w:pPr>
        <w:pStyle w:val="Title"/>
        <w:widowControl w:val="0"/>
        <w:rPr>
          <w:lang w:val="en-CA"/>
        </w:rPr>
      </w:pPr>
    </w:p>
  </w:footnote>
  <w:footnote w:id="55">
    <w:p w14:paraId="26CA46DD" w14:textId="77777777" w:rsidR="007372B6" w:rsidRDefault="00000000">
      <w:pPr>
        <w:pStyle w:val="FootnoteText"/>
        <w:widowControl w:val="0"/>
        <w:jc w:val="both"/>
        <w:rPr>
          <w:rFonts w:asciiTheme="minorHAnsi" w:hAnsiTheme="minorHAnsi" w:cstheme="minorHAnsi"/>
          <w:lang w:val="en-CA"/>
        </w:rPr>
      </w:pPr>
      <w:r>
        <w:rPr>
          <w:rStyle w:val="FootnoteCharacters"/>
        </w:rPr>
        <w:footnoteRef/>
      </w:r>
      <w:r>
        <w:rPr>
          <w:rFonts w:asciiTheme="minorHAnsi" w:eastAsia="Open Sans" w:hAnsiTheme="minorHAnsi" w:cstheme="minorHAnsi"/>
          <w:color w:val="000000"/>
        </w:rPr>
        <w:t xml:space="preserve"> The multiple processes that lead to forest and environmental degradation need to be addressed through a complex and targeted set of interventions. The Carbon Emissions Reduction and the REDD+ programs also provide an opportunity to further strengthen the R2R catchment area concept and to enhance the effectiveness of the current catchment area plans.</w:t>
      </w:r>
      <w:r>
        <w:rPr>
          <w:rFonts w:asciiTheme="minorHAnsi" w:hAnsiTheme="minorHAnsi" w:cstheme="minorHAnsi"/>
        </w:rPr>
        <w:t xml:space="preserve"> The agreement with the World Bank Forest Carbon Partnership Facility, signed by Fiji in 2021 provides $26 M USD in results-based payments for increasing carbon sequestration and reducing emissions from deforestation and forest degradation.</w:t>
      </w:r>
    </w:p>
  </w:footnote>
  <w:footnote w:id="56">
    <w:p w14:paraId="390D49E1" w14:textId="77777777" w:rsidR="007372B6" w:rsidRDefault="00000000">
      <w:pPr>
        <w:pStyle w:val="FootnoteText"/>
        <w:widowControl w:val="0"/>
        <w:rPr>
          <w:rFonts w:asciiTheme="minorHAnsi" w:hAnsiTheme="minorHAnsi" w:cstheme="minorHAnsi"/>
          <w:lang w:val="en-CA"/>
        </w:rPr>
      </w:pPr>
      <w:r>
        <w:rPr>
          <w:rStyle w:val="FootnoteCharacters"/>
        </w:rPr>
        <w:footnoteRef/>
      </w:r>
      <w:r>
        <w:rPr>
          <w:rFonts w:asciiTheme="minorHAnsi" w:hAnsiTheme="minorHAnsi" w:cstheme="minorHAnsi"/>
        </w:rPr>
        <w:t xml:space="preserve"> </w:t>
      </w:r>
      <w:r>
        <w:rPr>
          <w:rFonts w:asciiTheme="minorHAnsi" w:hAnsiTheme="minorHAnsi" w:cstheme="minorHAnsi"/>
          <w:lang w:val="en-CA"/>
        </w:rPr>
        <w:t>These plans are strategic and broadly identify priorities. However, operational strategies and programs are needed to engage the local committees in coordinated action and to implement the plans. This offers an opportunity to demonstrate the use of customised multi-sector teams working within a comprehensive local R2R programme to address the priorities.</w:t>
      </w:r>
    </w:p>
  </w:footnote>
  <w:footnote w:id="57">
    <w:p w14:paraId="4DD7FC0D" w14:textId="77777777" w:rsidR="007372B6" w:rsidRPr="00A34A90" w:rsidRDefault="00000000">
      <w:pPr>
        <w:pStyle w:val="FootnoteText"/>
        <w:widowControl w:val="0"/>
        <w:rPr>
          <w:rFonts w:asciiTheme="minorHAnsi" w:hAnsiTheme="minorHAnsi" w:cstheme="minorHAnsi"/>
          <w:lang w:val="en-CA"/>
        </w:rPr>
      </w:pPr>
      <w:r w:rsidRPr="00A34A90">
        <w:rPr>
          <w:rStyle w:val="FootnoteCharacters"/>
          <w:rFonts w:asciiTheme="minorHAnsi" w:hAnsiTheme="minorHAnsi" w:cstheme="minorHAnsi"/>
        </w:rPr>
        <w:footnoteRef/>
      </w:r>
      <w:r w:rsidRPr="00A34A90">
        <w:rPr>
          <w:rFonts w:asciiTheme="minorHAnsi" w:hAnsiTheme="minorHAnsi" w:cstheme="minorHAnsi"/>
        </w:rPr>
        <w:t xml:space="preserve"> Fiji R2R Project Draft </w:t>
      </w:r>
      <w:proofErr w:type="spellStart"/>
      <w:r w:rsidRPr="00A34A90">
        <w:rPr>
          <w:rFonts w:asciiTheme="minorHAnsi" w:hAnsiTheme="minorHAnsi" w:cstheme="minorHAnsi"/>
        </w:rPr>
        <w:t>Dogotuti</w:t>
      </w:r>
      <w:proofErr w:type="spellEnd"/>
      <w:r w:rsidRPr="00A34A90">
        <w:rPr>
          <w:rFonts w:asciiTheme="minorHAnsi" w:hAnsiTheme="minorHAnsi" w:cstheme="minorHAnsi"/>
        </w:rPr>
        <w:t xml:space="preserve"> </w:t>
      </w:r>
      <w:r w:rsidRPr="00A34A90">
        <w:rPr>
          <w:rFonts w:asciiTheme="minorHAnsi" w:hAnsiTheme="minorHAnsi" w:cstheme="minorHAnsi"/>
          <w:lang w:val="en-CA"/>
        </w:rPr>
        <w:t xml:space="preserve">Catchment Area Management Plan, </w:t>
      </w:r>
      <w:r w:rsidRPr="00A34A90">
        <w:rPr>
          <w:rFonts w:asciiTheme="minorHAnsi" w:eastAsiaTheme="minorHAnsi" w:hAnsiTheme="minorHAnsi" w:cstheme="minorHAnsi"/>
          <w:lang w:val="en-CA" w:eastAsia="en-US"/>
        </w:rPr>
        <w:t>The Institute of Applied Sciences, USP</w:t>
      </w:r>
      <w:r w:rsidRPr="00A34A90">
        <w:rPr>
          <w:rFonts w:asciiTheme="minorHAnsi" w:hAnsiTheme="minorHAnsi" w:cstheme="minorHAnsi"/>
          <w:lang w:val="en-CA"/>
        </w:rPr>
        <w:t>.</w:t>
      </w:r>
    </w:p>
  </w:footnote>
  <w:footnote w:id="58">
    <w:p w14:paraId="71ED6B37" w14:textId="77777777" w:rsidR="007372B6" w:rsidRPr="00A34A90" w:rsidRDefault="00000000" w:rsidP="00A34A90">
      <w:pPr>
        <w:pStyle w:val="FootnoteText"/>
        <w:jc w:val="both"/>
        <w:rPr>
          <w:rFonts w:asciiTheme="minorHAnsi" w:hAnsiTheme="minorHAnsi" w:cstheme="minorHAnsi"/>
        </w:rPr>
      </w:pPr>
      <w:r w:rsidRPr="00A34A90">
        <w:rPr>
          <w:rStyle w:val="FootnoteCharacters"/>
          <w:rFonts w:asciiTheme="minorHAnsi" w:hAnsiTheme="minorHAnsi" w:cstheme="minorHAnsi"/>
        </w:rPr>
        <w:footnoteRef/>
      </w:r>
      <w:r w:rsidRPr="00A34A90">
        <w:rPr>
          <w:rFonts w:asciiTheme="minorHAnsi" w:eastAsia="Open Sans" w:hAnsiTheme="minorHAnsi" w:cstheme="minorHAnsi"/>
          <w:color w:val="000000" w:themeColor="text1"/>
        </w:rPr>
        <w:t xml:space="preserve"> This recommendation focuses on UNDP’s internal project management, M&amp;E and reporting systems, which need to be reviewed in light of this project (separate from the GEF evaluation guidelines). A Fiji project management procedures manual should be produced drawing on the R2R project experience to ensure the systemic weaknesses don't occur on future projects, especially NIM projects.</w:t>
      </w:r>
    </w:p>
  </w:footnote>
  <w:footnote w:id="59">
    <w:p w14:paraId="3C371DC8" w14:textId="77777777" w:rsidR="007372B6" w:rsidRDefault="00000000">
      <w:pPr>
        <w:widowControl w:val="0"/>
        <w:tabs>
          <w:tab w:val="left" w:pos="1620"/>
        </w:tabs>
        <w:spacing w:line="312" w:lineRule="auto"/>
        <w:rPr>
          <w:rFonts w:cstheme="minorHAnsi"/>
        </w:rPr>
      </w:pPr>
      <w:r>
        <w:rPr>
          <w:rStyle w:val="FootnoteCharacters"/>
        </w:rPr>
        <w:footnoteRef/>
      </w:r>
      <w:r>
        <w:rPr>
          <w:rFonts w:ascii="Calibri" w:hAnsi="Calibri" w:cstheme="minorHAnsi"/>
          <w:color w:val="000000"/>
          <w:sz w:val="20"/>
          <w:szCs w:val="20"/>
        </w:rPr>
        <w:t xml:space="preserve"> Planning the Transition from IWRM to the Regional Ridge to Reef Initiative, Pacific IWRM Demonstration Project, 2014</w:t>
      </w:r>
    </w:p>
  </w:footnote>
  <w:footnote w:id="60">
    <w:p w14:paraId="297E64CA" w14:textId="77777777" w:rsidR="007372B6" w:rsidRDefault="00000000">
      <w:pPr>
        <w:pStyle w:val="Default0"/>
        <w:widowControl w:val="0"/>
        <w:rPr>
          <w:rFonts w:eastAsiaTheme="minorHAnsi"/>
          <w:sz w:val="20"/>
          <w:szCs w:val="20"/>
        </w:rPr>
      </w:pPr>
      <w:r>
        <w:rPr>
          <w:rStyle w:val="FootnoteCharacters"/>
        </w:rPr>
        <w:footnoteRef/>
      </w:r>
      <w:r>
        <w:rPr>
          <w:sz w:val="20"/>
          <w:szCs w:val="20"/>
        </w:rPr>
        <w:t xml:space="preserve"> </w:t>
      </w:r>
      <w:r>
        <w:rPr>
          <w:rFonts w:eastAsiaTheme="minorHAnsi"/>
          <w:sz w:val="20"/>
          <w:szCs w:val="20"/>
        </w:rPr>
        <w:t xml:space="preserve">Elmer Mercado and Maria </w:t>
      </w:r>
      <w:proofErr w:type="spellStart"/>
      <w:r>
        <w:rPr>
          <w:rFonts w:eastAsiaTheme="minorHAnsi"/>
          <w:sz w:val="20"/>
          <w:szCs w:val="20"/>
        </w:rPr>
        <w:t>Onestini</w:t>
      </w:r>
      <w:proofErr w:type="spellEnd"/>
      <w:r>
        <w:rPr>
          <w:rFonts w:eastAsiaTheme="minorHAnsi"/>
          <w:sz w:val="20"/>
          <w:szCs w:val="20"/>
        </w:rPr>
        <w:t>, Jan. 25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57C"/>
    <w:multiLevelType w:val="multilevel"/>
    <w:tmpl w:val="2E2C98B8"/>
    <w:lvl w:ilvl="0">
      <w:start w:val="1"/>
      <w:numFmt w:val="decimal"/>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8D68DC"/>
    <w:multiLevelType w:val="multilevel"/>
    <w:tmpl w:val="1CD0C2AC"/>
    <w:lvl w:ilvl="0">
      <w:start w:val="1"/>
      <w:numFmt w:val="bullet"/>
      <w:pStyle w:val="norm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0F05675C"/>
    <w:multiLevelType w:val="multilevel"/>
    <w:tmpl w:val="1B20EB7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pStyle w:val="Heading4"/>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4EB3776"/>
    <w:multiLevelType w:val="multilevel"/>
    <w:tmpl w:val="F71E0486"/>
    <w:lvl w:ilvl="0">
      <w:start w:val="1"/>
      <w:numFmt w:val="decimal"/>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6115109"/>
    <w:multiLevelType w:val="multilevel"/>
    <w:tmpl w:val="20583386"/>
    <w:lvl w:ilvl="0">
      <w:start w:val="1"/>
      <w:numFmt w:val="decimal"/>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7A37112"/>
    <w:multiLevelType w:val="multilevel"/>
    <w:tmpl w:val="4314D954"/>
    <w:lvl w:ilvl="0">
      <w:start w:val="1"/>
      <w:numFmt w:val="decimal"/>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8040587"/>
    <w:multiLevelType w:val="multilevel"/>
    <w:tmpl w:val="73027E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90459B5"/>
    <w:multiLevelType w:val="multilevel"/>
    <w:tmpl w:val="63AE7BF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2DDF7DF8"/>
    <w:multiLevelType w:val="multilevel"/>
    <w:tmpl w:val="CB8C528C"/>
    <w:lvl w:ilvl="0">
      <w:start w:val="1"/>
      <w:numFmt w:val="bullet"/>
      <w:lvlText w:val=""/>
      <w:lvlJc w:val="left"/>
      <w:pPr>
        <w:tabs>
          <w:tab w:val="num" w:pos="0"/>
        </w:tabs>
        <w:ind w:left="1174" w:hanging="360"/>
      </w:pPr>
      <w:rPr>
        <w:rFonts w:ascii="Symbol" w:hAnsi="Symbol" w:cs="Symbol" w:hint="default"/>
      </w:rPr>
    </w:lvl>
    <w:lvl w:ilvl="1">
      <w:start w:val="1"/>
      <w:numFmt w:val="bullet"/>
      <w:lvlText w:val="o"/>
      <w:lvlJc w:val="left"/>
      <w:pPr>
        <w:tabs>
          <w:tab w:val="num" w:pos="0"/>
        </w:tabs>
        <w:ind w:left="1894" w:hanging="360"/>
      </w:pPr>
      <w:rPr>
        <w:rFonts w:ascii="Courier New" w:hAnsi="Courier New" w:cs="Courier New" w:hint="default"/>
      </w:rPr>
    </w:lvl>
    <w:lvl w:ilvl="2">
      <w:start w:val="1"/>
      <w:numFmt w:val="bullet"/>
      <w:lvlText w:val=""/>
      <w:lvlJc w:val="left"/>
      <w:pPr>
        <w:tabs>
          <w:tab w:val="num" w:pos="0"/>
        </w:tabs>
        <w:ind w:left="2614" w:hanging="360"/>
      </w:pPr>
      <w:rPr>
        <w:rFonts w:ascii="Wingdings" w:hAnsi="Wingdings" w:cs="Wingdings" w:hint="default"/>
      </w:rPr>
    </w:lvl>
    <w:lvl w:ilvl="3">
      <w:start w:val="1"/>
      <w:numFmt w:val="bullet"/>
      <w:lvlText w:val=""/>
      <w:lvlJc w:val="left"/>
      <w:pPr>
        <w:tabs>
          <w:tab w:val="num" w:pos="0"/>
        </w:tabs>
        <w:ind w:left="3334" w:hanging="360"/>
      </w:pPr>
      <w:rPr>
        <w:rFonts w:ascii="Symbol" w:hAnsi="Symbol" w:cs="Symbol" w:hint="default"/>
      </w:rPr>
    </w:lvl>
    <w:lvl w:ilvl="4">
      <w:start w:val="1"/>
      <w:numFmt w:val="bullet"/>
      <w:lvlText w:val="o"/>
      <w:lvlJc w:val="left"/>
      <w:pPr>
        <w:tabs>
          <w:tab w:val="num" w:pos="0"/>
        </w:tabs>
        <w:ind w:left="4054" w:hanging="360"/>
      </w:pPr>
      <w:rPr>
        <w:rFonts w:ascii="Courier New" w:hAnsi="Courier New" w:cs="Courier New" w:hint="default"/>
      </w:rPr>
    </w:lvl>
    <w:lvl w:ilvl="5">
      <w:start w:val="1"/>
      <w:numFmt w:val="bullet"/>
      <w:lvlText w:val=""/>
      <w:lvlJc w:val="left"/>
      <w:pPr>
        <w:tabs>
          <w:tab w:val="num" w:pos="0"/>
        </w:tabs>
        <w:ind w:left="4774" w:hanging="360"/>
      </w:pPr>
      <w:rPr>
        <w:rFonts w:ascii="Wingdings" w:hAnsi="Wingdings" w:cs="Wingdings" w:hint="default"/>
      </w:rPr>
    </w:lvl>
    <w:lvl w:ilvl="6">
      <w:start w:val="1"/>
      <w:numFmt w:val="bullet"/>
      <w:lvlText w:val=""/>
      <w:lvlJc w:val="left"/>
      <w:pPr>
        <w:tabs>
          <w:tab w:val="num" w:pos="0"/>
        </w:tabs>
        <w:ind w:left="5494" w:hanging="360"/>
      </w:pPr>
      <w:rPr>
        <w:rFonts w:ascii="Symbol" w:hAnsi="Symbol" w:cs="Symbol" w:hint="default"/>
      </w:rPr>
    </w:lvl>
    <w:lvl w:ilvl="7">
      <w:start w:val="1"/>
      <w:numFmt w:val="bullet"/>
      <w:lvlText w:val="o"/>
      <w:lvlJc w:val="left"/>
      <w:pPr>
        <w:tabs>
          <w:tab w:val="num" w:pos="0"/>
        </w:tabs>
        <w:ind w:left="6214" w:hanging="360"/>
      </w:pPr>
      <w:rPr>
        <w:rFonts w:ascii="Courier New" w:hAnsi="Courier New" w:cs="Courier New" w:hint="default"/>
      </w:rPr>
    </w:lvl>
    <w:lvl w:ilvl="8">
      <w:start w:val="1"/>
      <w:numFmt w:val="bullet"/>
      <w:lvlText w:val=""/>
      <w:lvlJc w:val="left"/>
      <w:pPr>
        <w:tabs>
          <w:tab w:val="num" w:pos="0"/>
        </w:tabs>
        <w:ind w:left="6934" w:hanging="360"/>
      </w:pPr>
      <w:rPr>
        <w:rFonts w:ascii="Wingdings" w:hAnsi="Wingdings" w:cs="Wingdings" w:hint="default"/>
      </w:rPr>
    </w:lvl>
  </w:abstractNum>
  <w:abstractNum w:abstractNumId="9" w15:restartNumberingAfterBreak="0">
    <w:nsid w:val="2E121335"/>
    <w:multiLevelType w:val="multilevel"/>
    <w:tmpl w:val="2500DB44"/>
    <w:lvl w:ilvl="0">
      <w:start w:val="1"/>
      <w:numFmt w:val="bullet"/>
      <w:pStyle w:val="NumberedParas"/>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3AD5338B"/>
    <w:multiLevelType w:val="multilevel"/>
    <w:tmpl w:val="22488CB8"/>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DCD2351"/>
    <w:multiLevelType w:val="multilevel"/>
    <w:tmpl w:val="2F367B0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12" w15:restartNumberingAfterBreak="0">
    <w:nsid w:val="411A3C0E"/>
    <w:multiLevelType w:val="multilevel"/>
    <w:tmpl w:val="296445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434A352B"/>
    <w:multiLevelType w:val="multilevel"/>
    <w:tmpl w:val="ECC4E002"/>
    <w:lvl w:ilvl="0">
      <w:start w:val="1"/>
      <w:numFmt w:val="bullet"/>
      <w:lvlText w:val=""/>
      <w:lvlJc w:val="left"/>
      <w:pPr>
        <w:tabs>
          <w:tab w:val="num" w:pos="0"/>
        </w:tabs>
        <w:ind w:left="720" w:hanging="360"/>
      </w:pPr>
      <w:rPr>
        <w:rFonts w:ascii="Symbol" w:hAnsi="Symbol" w:cs="Symbol"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4F53014"/>
    <w:multiLevelType w:val="multilevel"/>
    <w:tmpl w:val="67A20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56037E8"/>
    <w:multiLevelType w:val="multilevel"/>
    <w:tmpl w:val="F6CC9FAA"/>
    <w:lvl w:ilvl="0">
      <w:start w:val="1"/>
      <w:numFmt w:val="bullet"/>
      <w:lvlText w:val=""/>
      <w:lvlJc w:val="left"/>
      <w:pPr>
        <w:tabs>
          <w:tab w:val="num" w:pos="0"/>
        </w:tabs>
        <w:ind w:left="484" w:hanging="360"/>
      </w:pPr>
      <w:rPr>
        <w:rFonts w:ascii="Symbol" w:hAnsi="Symbol" w:cs="Symbol" w:hint="default"/>
      </w:rPr>
    </w:lvl>
    <w:lvl w:ilvl="1">
      <w:start w:val="1"/>
      <w:numFmt w:val="bullet"/>
      <w:lvlText w:val="o"/>
      <w:lvlJc w:val="left"/>
      <w:pPr>
        <w:tabs>
          <w:tab w:val="num" w:pos="0"/>
        </w:tabs>
        <w:ind w:left="1204" w:hanging="360"/>
      </w:pPr>
      <w:rPr>
        <w:rFonts w:ascii="Courier New" w:hAnsi="Courier New" w:cs="Courier New" w:hint="default"/>
      </w:rPr>
    </w:lvl>
    <w:lvl w:ilvl="2">
      <w:start w:val="1"/>
      <w:numFmt w:val="bullet"/>
      <w:lvlText w:val=""/>
      <w:lvlJc w:val="left"/>
      <w:pPr>
        <w:tabs>
          <w:tab w:val="num" w:pos="0"/>
        </w:tabs>
        <w:ind w:left="1924" w:hanging="360"/>
      </w:pPr>
      <w:rPr>
        <w:rFonts w:ascii="Wingdings" w:hAnsi="Wingdings" w:cs="Wingdings" w:hint="default"/>
      </w:rPr>
    </w:lvl>
    <w:lvl w:ilvl="3">
      <w:start w:val="1"/>
      <w:numFmt w:val="bullet"/>
      <w:lvlText w:val=""/>
      <w:lvlJc w:val="left"/>
      <w:pPr>
        <w:tabs>
          <w:tab w:val="num" w:pos="0"/>
        </w:tabs>
        <w:ind w:left="2644" w:hanging="360"/>
      </w:pPr>
      <w:rPr>
        <w:rFonts w:ascii="Symbol" w:hAnsi="Symbol" w:cs="Symbol" w:hint="default"/>
      </w:rPr>
    </w:lvl>
    <w:lvl w:ilvl="4">
      <w:start w:val="1"/>
      <w:numFmt w:val="bullet"/>
      <w:lvlText w:val="o"/>
      <w:lvlJc w:val="left"/>
      <w:pPr>
        <w:tabs>
          <w:tab w:val="num" w:pos="0"/>
        </w:tabs>
        <w:ind w:left="3364" w:hanging="360"/>
      </w:pPr>
      <w:rPr>
        <w:rFonts w:ascii="Courier New" w:hAnsi="Courier New" w:cs="Courier New" w:hint="default"/>
      </w:rPr>
    </w:lvl>
    <w:lvl w:ilvl="5">
      <w:start w:val="1"/>
      <w:numFmt w:val="bullet"/>
      <w:lvlText w:val=""/>
      <w:lvlJc w:val="left"/>
      <w:pPr>
        <w:tabs>
          <w:tab w:val="num" w:pos="0"/>
        </w:tabs>
        <w:ind w:left="4084" w:hanging="360"/>
      </w:pPr>
      <w:rPr>
        <w:rFonts w:ascii="Wingdings" w:hAnsi="Wingdings" w:cs="Wingdings" w:hint="default"/>
      </w:rPr>
    </w:lvl>
    <w:lvl w:ilvl="6">
      <w:start w:val="1"/>
      <w:numFmt w:val="bullet"/>
      <w:lvlText w:val=""/>
      <w:lvlJc w:val="left"/>
      <w:pPr>
        <w:tabs>
          <w:tab w:val="num" w:pos="0"/>
        </w:tabs>
        <w:ind w:left="4804" w:hanging="360"/>
      </w:pPr>
      <w:rPr>
        <w:rFonts w:ascii="Symbol" w:hAnsi="Symbol" w:cs="Symbol" w:hint="default"/>
      </w:rPr>
    </w:lvl>
    <w:lvl w:ilvl="7">
      <w:start w:val="1"/>
      <w:numFmt w:val="bullet"/>
      <w:lvlText w:val="o"/>
      <w:lvlJc w:val="left"/>
      <w:pPr>
        <w:tabs>
          <w:tab w:val="num" w:pos="0"/>
        </w:tabs>
        <w:ind w:left="5524" w:hanging="360"/>
      </w:pPr>
      <w:rPr>
        <w:rFonts w:ascii="Courier New" w:hAnsi="Courier New" w:cs="Courier New" w:hint="default"/>
      </w:rPr>
    </w:lvl>
    <w:lvl w:ilvl="8">
      <w:start w:val="1"/>
      <w:numFmt w:val="bullet"/>
      <w:lvlText w:val=""/>
      <w:lvlJc w:val="left"/>
      <w:pPr>
        <w:tabs>
          <w:tab w:val="num" w:pos="0"/>
        </w:tabs>
        <w:ind w:left="6244" w:hanging="360"/>
      </w:pPr>
      <w:rPr>
        <w:rFonts w:ascii="Wingdings" w:hAnsi="Wingdings" w:cs="Wingdings" w:hint="default"/>
      </w:rPr>
    </w:lvl>
  </w:abstractNum>
  <w:abstractNum w:abstractNumId="16" w15:restartNumberingAfterBreak="0">
    <w:nsid w:val="46AD2CCB"/>
    <w:multiLevelType w:val="multilevel"/>
    <w:tmpl w:val="566E46EA"/>
    <w:lvl w:ilvl="0">
      <w:start w:val="1"/>
      <w:numFmt w:val="decimal"/>
      <w:lvlText w:val="%1."/>
      <w:lvlJc w:val="left"/>
      <w:pPr>
        <w:tabs>
          <w:tab w:val="num" w:pos="0"/>
        </w:tabs>
        <w:ind w:left="720" w:hanging="360"/>
      </w:pPr>
    </w:lvl>
    <w:lvl w:ilvl="1">
      <w:start w:val="2"/>
      <w:numFmt w:val="decimal"/>
      <w:lvlText w:val="%1.%2"/>
      <w:lvlJc w:val="left"/>
      <w:pPr>
        <w:tabs>
          <w:tab w:val="num" w:pos="0"/>
        </w:tabs>
        <w:ind w:left="960" w:hanging="600"/>
      </w:pPr>
      <w:rPr>
        <w:b w:val="0"/>
        <w:u w:val="none"/>
      </w:rPr>
    </w:lvl>
    <w:lvl w:ilvl="2">
      <w:start w:val="1"/>
      <w:numFmt w:val="decimal"/>
      <w:lvlText w:val="%1.%2.%3"/>
      <w:lvlJc w:val="left"/>
      <w:pPr>
        <w:tabs>
          <w:tab w:val="num" w:pos="0"/>
        </w:tabs>
        <w:ind w:left="1080" w:hanging="720"/>
      </w:pPr>
      <w:rPr>
        <w:b w:val="0"/>
        <w:u w:val="none"/>
      </w:rPr>
    </w:lvl>
    <w:lvl w:ilvl="3">
      <w:start w:val="1"/>
      <w:numFmt w:val="decimal"/>
      <w:lvlText w:val="%1.%2.%3.%4"/>
      <w:lvlJc w:val="left"/>
      <w:pPr>
        <w:tabs>
          <w:tab w:val="num" w:pos="0"/>
        </w:tabs>
        <w:ind w:left="1080" w:hanging="720"/>
      </w:pPr>
      <w:rPr>
        <w:b w:val="0"/>
        <w:u w:val="none"/>
      </w:rPr>
    </w:lvl>
    <w:lvl w:ilvl="4">
      <w:start w:val="1"/>
      <w:numFmt w:val="decimal"/>
      <w:lvlText w:val="%1.%2.%3.%4.%5"/>
      <w:lvlJc w:val="left"/>
      <w:pPr>
        <w:tabs>
          <w:tab w:val="num" w:pos="0"/>
        </w:tabs>
        <w:ind w:left="1440" w:hanging="1080"/>
      </w:pPr>
      <w:rPr>
        <w:b w:val="0"/>
        <w:u w:val="none"/>
      </w:rPr>
    </w:lvl>
    <w:lvl w:ilvl="5">
      <w:start w:val="1"/>
      <w:numFmt w:val="decimal"/>
      <w:lvlText w:val="%1.%2.%3.%4.%5.%6"/>
      <w:lvlJc w:val="left"/>
      <w:pPr>
        <w:tabs>
          <w:tab w:val="num" w:pos="0"/>
        </w:tabs>
        <w:ind w:left="1440" w:hanging="1080"/>
      </w:pPr>
      <w:rPr>
        <w:b w:val="0"/>
        <w:u w:val="none"/>
      </w:rPr>
    </w:lvl>
    <w:lvl w:ilvl="6">
      <w:start w:val="1"/>
      <w:numFmt w:val="decimal"/>
      <w:lvlText w:val="%1.%2.%3.%4.%5.%6.%7"/>
      <w:lvlJc w:val="left"/>
      <w:pPr>
        <w:tabs>
          <w:tab w:val="num" w:pos="0"/>
        </w:tabs>
        <w:ind w:left="1800" w:hanging="1440"/>
      </w:pPr>
      <w:rPr>
        <w:b w:val="0"/>
        <w:u w:val="none"/>
      </w:rPr>
    </w:lvl>
    <w:lvl w:ilvl="7">
      <w:start w:val="1"/>
      <w:numFmt w:val="decimal"/>
      <w:lvlText w:val="%1.%2.%3.%4.%5.%6.%7.%8"/>
      <w:lvlJc w:val="left"/>
      <w:pPr>
        <w:tabs>
          <w:tab w:val="num" w:pos="0"/>
        </w:tabs>
        <w:ind w:left="1800" w:hanging="1440"/>
      </w:pPr>
      <w:rPr>
        <w:b w:val="0"/>
        <w:u w:val="none"/>
      </w:rPr>
    </w:lvl>
    <w:lvl w:ilvl="8">
      <w:start w:val="1"/>
      <w:numFmt w:val="decimal"/>
      <w:lvlText w:val="%1.%2.%3.%4.%5.%6.%7.%8.%9"/>
      <w:lvlJc w:val="left"/>
      <w:pPr>
        <w:tabs>
          <w:tab w:val="num" w:pos="0"/>
        </w:tabs>
        <w:ind w:left="2160" w:hanging="1800"/>
      </w:pPr>
      <w:rPr>
        <w:b w:val="0"/>
        <w:u w:val="none"/>
      </w:rPr>
    </w:lvl>
  </w:abstractNum>
  <w:abstractNum w:abstractNumId="17" w15:restartNumberingAfterBreak="0">
    <w:nsid w:val="4874493F"/>
    <w:multiLevelType w:val="multilevel"/>
    <w:tmpl w:val="8FA6493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color w:val="000000"/>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18" w15:restartNumberingAfterBreak="0">
    <w:nsid w:val="4B024841"/>
    <w:multiLevelType w:val="multilevel"/>
    <w:tmpl w:val="52DC14B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bCs w:val="0"/>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5212251"/>
    <w:multiLevelType w:val="multilevel"/>
    <w:tmpl w:val="5696501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20" w15:restartNumberingAfterBreak="0">
    <w:nsid w:val="57022D1C"/>
    <w:multiLevelType w:val="multilevel"/>
    <w:tmpl w:val="9D1E190C"/>
    <w:lvl w:ilvl="0">
      <w:start w:val="1"/>
      <w:numFmt w:val="decimal"/>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5BB339FD"/>
    <w:multiLevelType w:val="multilevel"/>
    <w:tmpl w:val="B4F6B71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2" w15:restartNumberingAfterBreak="0">
    <w:nsid w:val="5BDB2D16"/>
    <w:multiLevelType w:val="multilevel"/>
    <w:tmpl w:val="B2388028"/>
    <w:lvl w:ilvl="0">
      <w:start w:val="1"/>
      <w:numFmt w:val="decimal"/>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16E05C6"/>
    <w:multiLevelType w:val="multilevel"/>
    <w:tmpl w:val="61DA51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2FE6ED4"/>
    <w:multiLevelType w:val="multilevel"/>
    <w:tmpl w:val="F8B28F9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83F75A3"/>
    <w:multiLevelType w:val="multilevel"/>
    <w:tmpl w:val="6F98AE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9467C7D"/>
    <w:multiLevelType w:val="multilevel"/>
    <w:tmpl w:val="3E12C1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EF860E9"/>
    <w:multiLevelType w:val="multilevel"/>
    <w:tmpl w:val="46823F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8" w15:restartNumberingAfterBreak="0">
    <w:nsid w:val="78F81988"/>
    <w:multiLevelType w:val="multilevel"/>
    <w:tmpl w:val="47668428"/>
    <w:lvl w:ilvl="0">
      <w:start w:val="1"/>
      <w:numFmt w:val="decimal"/>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436142090">
    <w:abstractNumId w:val="2"/>
  </w:num>
  <w:num w:numId="2" w16cid:durableId="2071924008">
    <w:abstractNumId w:val="19"/>
  </w:num>
  <w:num w:numId="3" w16cid:durableId="868956247">
    <w:abstractNumId w:val="11"/>
  </w:num>
  <w:num w:numId="4" w16cid:durableId="2105101642">
    <w:abstractNumId w:val="7"/>
  </w:num>
  <w:num w:numId="5" w16cid:durableId="1042053350">
    <w:abstractNumId w:val="18"/>
  </w:num>
  <w:num w:numId="6" w16cid:durableId="393168057">
    <w:abstractNumId w:val="17"/>
  </w:num>
  <w:num w:numId="7" w16cid:durableId="780343089">
    <w:abstractNumId w:val="25"/>
  </w:num>
  <w:num w:numId="8" w16cid:durableId="988482389">
    <w:abstractNumId w:val="14"/>
  </w:num>
  <w:num w:numId="9" w16cid:durableId="431556045">
    <w:abstractNumId w:val="13"/>
  </w:num>
  <w:num w:numId="10" w16cid:durableId="874460625">
    <w:abstractNumId w:val="24"/>
  </w:num>
  <w:num w:numId="11" w16cid:durableId="1208681243">
    <w:abstractNumId w:val="12"/>
  </w:num>
  <w:num w:numId="12" w16cid:durableId="1922375437">
    <w:abstractNumId w:val="6"/>
  </w:num>
  <w:num w:numId="13" w16cid:durableId="80877168">
    <w:abstractNumId w:val="15"/>
  </w:num>
  <w:num w:numId="14" w16cid:durableId="1842431275">
    <w:abstractNumId w:val="1"/>
  </w:num>
  <w:num w:numId="15" w16cid:durableId="588007267">
    <w:abstractNumId w:val="21"/>
  </w:num>
  <w:num w:numId="16" w16cid:durableId="658846164">
    <w:abstractNumId w:val="10"/>
  </w:num>
  <w:num w:numId="17" w16cid:durableId="28336573">
    <w:abstractNumId w:val="23"/>
  </w:num>
  <w:num w:numId="18" w16cid:durableId="1237859338">
    <w:abstractNumId w:val="16"/>
  </w:num>
  <w:num w:numId="19" w16cid:durableId="457573027">
    <w:abstractNumId w:val="9"/>
  </w:num>
  <w:num w:numId="20" w16cid:durableId="374164491">
    <w:abstractNumId w:val="8"/>
  </w:num>
  <w:num w:numId="21" w16cid:durableId="983201898">
    <w:abstractNumId w:val="26"/>
  </w:num>
  <w:num w:numId="22" w16cid:durableId="1671134754">
    <w:abstractNumId w:val="27"/>
  </w:num>
  <w:num w:numId="23" w16cid:durableId="1235512522">
    <w:abstractNumId w:val="28"/>
  </w:num>
  <w:num w:numId="24" w16cid:durableId="601377607">
    <w:abstractNumId w:val="4"/>
  </w:num>
  <w:num w:numId="25" w16cid:durableId="1349016514">
    <w:abstractNumId w:val="0"/>
  </w:num>
  <w:num w:numId="26" w16cid:durableId="808665859">
    <w:abstractNumId w:val="20"/>
  </w:num>
  <w:num w:numId="27" w16cid:durableId="1856651287">
    <w:abstractNumId w:val="5"/>
  </w:num>
  <w:num w:numId="28" w16cid:durableId="2108966521">
    <w:abstractNumId w:val="3"/>
  </w:num>
  <w:num w:numId="29" w16cid:durableId="1582908789">
    <w:abstractNumId w:val="22"/>
  </w:num>
  <w:num w:numId="30" w16cid:durableId="1114788002">
    <w:abstractNumId w:val="10"/>
    <w:lvlOverride w:ilvl="0">
      <w:startOverride w:val="1"/>
      <w:lvl w:ilvl="0">
        <w:start w:val="1"/>
        <w:numFmt w:val="decimal"/>
        <w:lvlText w:val="%1."/>
        <w:lvlJc w:val="left"/>
        <w:pPr>
          <w:tabs>
            <w:tab w:val="num" w:pos="0"/>
          </w:tabs>
          <w:ind w:left="720" w:hanging="360"/>
        </w:pPr>
        <w:rPr>
          <w:rFonts w:cs="Symbol"/>
        </w:rPr>
      </w:lvl>
    </w:lvlOverride>
  </w:num>
  <w:num w:numId="31" w16cid:durableId="1574003703">
    <w:abstractNumId w:val="10"/>
    <w:lvlOverride w:ilvl="0">
      <w:lvl w:ilvl="0">
        <w:start w:val="1"/>
        <w:numFmt w:val="decimal"/>
        <w:lvlText w:val="%1."/>
        <w:lvlJc w:val="left"/>
        <w:pPr>
          <w:tabs>
            <w:tab w:val="num" w:pos="0"/>
          </w:tabs>
          <w:ind w:left="720" w:hanging="360"/>
        </w:pPr>
        <w:rPr>
          <w:rFonts w:cs="Symbol"/>
        </w:rPr>
      </w:lvl>
    </w:lvlOverride>
  </w:num>
  <w:num w:numId="32" w16cid:durableId="1459176418">
    <w:abstractNumId w:val="10"/>
    <w:lvlOverride w:ilvl="0">
      <w:lvl w:ilvl="0">
        <w:start w:val="1"/>
        <w:numFmt w:val="decimal"/>
        <w:lvlText w:val="%1."/>
        <w:lvlJc w:val="left"/>
        <w:pPr>
          <w:tabs>
            <w:tab w:val="num" w:pos="0"/>
          </w:tabs>
          <w:ind w:left="720" w:hanging="360"/>
        </w:pPr>
        <w:rPr>
          <w:rFonts w:cs="Symbol"/>
        </w:rPr>
      </w:lvl>
    </w:lvlOverride>
  </w:num>
  <w:num w:numId="33" w16cid:durableId="1263414533">
    <w:abstractNumId w:val="10"/>
    <w:lvlOverride w:ilvl="0">
      <w:lvl w:ilvl="0">
        <w:start w:val="1"/>
        <w:numFmt w:val="decimal"/>
        <w:lvlText w:val="%1."/>
        <w:lvlJc w:val="left"/>
        <w:pPr>
          <w:tabs>
            <w:tab w:val="num" w:pos="0"/>
          </w:tabs>
          <w:ind w:left="720" w:hanging="360"/>
        </w:pPr>
        <w:rPr>
          <w:rFonts w:cs="Symbol"/>
        </w:rPr>
      </w:lvl>
    </w:lvlOverride>
  </w:num>
  <w:num w:numId="34" w16cid:durableId="727994119">
    <w:abstractNumId w:val="10"/>
    <w:lvlOverride w:ilvl="0">
      <w:lvl w:ilvl="0">
        <w:start w:val="1"/>
        <w:numFmt w:val="decimal"/>
        <w:lvlText w:val="%1."/>
        <w:lvlJc w:val="left"/>
        <w:pPr>
          <w:tabs>
            <w:tab w:val="num" w:pos="0"/>
          </w:tabs>
          <w:ind w:left="720" w:hanging="360"/>
        </w:pPr>
        <w:rPr>
          <w:rFonts w:cs="Symbol"/>
        </w:rPr>
      </w:lvl>
    </w:lvlOverride>
  </w:num>
  <w:num w:numId="35" w16cid:durableId="58603834">
    <w:abstractNumId w:val="10"/>
    <w:lvlOverride w:ilvl="0">
      <w:lvl w:ilvl="0">
        <w:start w:val="1"/>
        <w:numFmt w:val="decimal"/>
        <w:lvlText w:val="%1."/>
        <w:lvlJc w:val="left"/>
        <w:pPr>
          <w:tabs>
            <w:tab w:val="num" w:pos="0"/>
          </w:tabs>
          <w:ind w:left="720" w:hanging="360"/>
        </w:pPr>
        <w:rPr>
          <w:rFonts w:cs="Symbol"/>
        </w:rPr>
      </w:lvl>
    </w:lvlOverride>
  </w:num>
  <w:num w:numId="36" w16cid:durableId="262961479">
    <w:abstractNumId w:val="10"/>
    <w:lvlOverride w:ilvl="0">
      <w:lvl w:ilvl="0">
        <w:start w:val="1"/>
        <w:numFmt w:val="decimal"/>
        <w:lvlText w:val="%1."/>
        <w:lvlJc w:val="left"/>
        <w:pPr>
          <w:tabs>
            <w:tab w:val="num" w:pos="0"/>
          </w:tabs>
          <w:ind w:left="720" w:hanging="360"/>
        </w:pPr>
        <w:rPr>
          <w:rFonts w:cs="Symbol"/>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372B6"/>
    <w:rsid w:val="000B40E8"/>
    <w:rsid w:val="000F3A60"/>
    <w:rsid w:val="00186449"/>
    <w:rsid w:val="001D158B"/>
    <w:rsid w:val="003F2687"/>
    <w:rsid w:val="007372B6"/>
    <w:rsid w:val="007C39F9"/>
    <w:rsid w:val="009F09A2"/>
    <w:rsid w:val="00A34A90"/>
    <w:rsid w:val="00D202D3"/>
    <w:rsid w:val="00D6266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78483FE"/>
  <w15:docId w15:val="{78605E2B-EC73-4121-8815-A95C751EC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C07"/>
    <w:rPr>
      <w:rFonts w:ascii="Times New Roman" w:eastAsia="Times New Roman" w:hAnsi="Times New Roman" w:cs="Times New Roman"/>
      <w:sz w:val="24"/>
      <w:szCs w:val="24"/>
      <w:lang w:val="en-US" w:eastAsia="en-CA"/>
    </w:rPr>
  </w:style>
  <w:style w:type="paragraph" w:styleId="Heading2">
    <w:name w:val="heading 2"/>
    <w:basedOn w:val="Normal"/>
    <w:next w:val="Normal"/>
    <w:qFormat/>
    <w:pPr>
      <w:keepNext/>
      <w:keepLines/>
      <w:spacing w:before="120"/>
      <w:outlineLvl w:val="1"/>
    </w:pPr>
    <w:rPr>
      <w:rFonts w:ascii="Calibri" w:eastAsia="MS Gothic" w:hAnsi="Calibri"/>
      <w:b/>
      <w:bCs/>
      <w:color w:val="4F81BD"/>
      <w:sz w:val="22"/>
      <w:szCs w:val="22"/>
    </w:rPr>
  </w:style>
  <w:style w:type="paragraph" w:styleId="Heading3">
    <w:name w:val="heading 3"/>
    <w:basedOn w:val="Normal"/>
    <w:qFormat/>
    <w:pPr>
      <w:widowControl w:val="0"/>
      <w:spacing w:before="13"/>
      <w:ind w:left="60"/>
      <w:outlineLvl w:val="2"/>
    </w:pPr>
    <w:rPr>
      <w:rFonts w:cs="Calibri"/>
      <w:sz w:val="22"/>
      <w:szCs w:val="22"/>
      <w:lang w:eastAsia="en-US"/>
    </w:rPr>
  </w:style>
  <w:style w:type="paragraph" w:styleId="Heading4">
    <w:name w:val="heading 4"/>
    <w:basedOn w:val="Normal"/>
    <w:next w:val="Normal"/>
    <w:qFormat/>
    <w:pPr>
      <w:keepNext/>
      <w:numPr>
        <w:ilvl w:val="3"/>
        <w:numId w:val="1"/>
      </w:numPr>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semiHidden/>
    <w:qFormat/>
    <w:rsid w:val="005C5505"/>
    <w:rPr>
      <w:rFonts w:ascii="Times New Roman" w:eastAsia="Times New Roman" w:hAnsi="Times New Roman" w:cs="Times New Roman"/>
      <w:sz w:val="20"/>
      <w:szCs w:val="20"/>
      <w:lang w:val="en-US" w:eastAsia="en-CA"/>
    </w:rPr>
  </w:style>
  <w:style w:type="character" w:customStyle="1" w:styleId="FootnoteCharacters">
    <w:name w:val="Footnote Characters"/>
    <w:basedOn w:val="DefaultParagraphFont"/>
    <w:uiPriority w:val="99"/>
    <w:semiHidden/>
    <w:unhideWhenUsed/>
    <w:qFormat/>
    <w:rsid w:val="006105F7"/>
    <w:rPr>
      <w:vertAlign w:val="superscript"/>
    </w:rPr>
  </w:style>
  <w:style w:type="character" w:customStyle="1" w:styleId="FootnoteAnchor">
    <w:name w:val="Footnote Anchor"/>
    <w:rPr>
      <w:vertAlign w:val="superscript"/>
    </w:rPr>
  </w:style>
  <w:style w:type="character" w:customStyle="1" w:styleId="TitleChar">
    <w:name w:val="Title Char"/>
    <w:basedOn w:val="DefaultParagraphFont"/>
    <w:link w:val="Title"/>
    <w:qFormat/>
    <w:rsid w:val="00CA503E"/>
    <w:rPr>
      <w:rFonts w:ascii="Myriad Pro" w:eastAsiaTheme="minorEastAsia" w:hAnsi="Myriad Pro" w:cs="Angsana New"/>
      <w:b/>
      <w:bCs/>
      <w:color w:val="000080"/>
      <w:kern w:val="2"/>
      <w:sz w:val="24"/>
      <w:szCs w:val="32"/>
      <w:lang w:val="en-US"/>
    </w:rPr>
  </w:style>
  <w:style w:type="character" w:customStyle="1" w:styleId="FormfieldtextChar">
    <w:name w:val="Form field text Char"/>
    <w:link w:val="Formfieldtext"/>
    <w:qFormat/>
    <w:locked/>
    <w:rsid w:val="00CA503E"/>
    <w:rPr>
      <w:rFonts w:ascii="Arial Narrow" w:eastAsiaTheme="minorEastAsia" w:hAnsi="Arial Narrow" w:cs="Arial"/>
      <w:color w:val="000080"/>
      <w:sz w:val="20"/>
      <w:szCs w:val="18"/>
      <w:lang w:val="en-US"/>
    </w:rPr>
  </w:style>
  <w:style w:type="character" w:customStyle="1" w:styleId="BodyTextChar">
    <w:name w:val="Body Text Char"/>
    <w:basedOn w:val="DefaultParagraphFont"/>
    <w:link w:val="BodyText"/>
    <w:uiPriority w:val="99"/>
    <w:qFormat/>
    <w:rsid w:val="00CA503E"/>
    <w:rPr>
      <w:rFonts w:ascii="Times New Roman" w:eastAsia="Times New Roman" w:hAnsi="Times New Roman" w:cs="Times New Roman"/>
      <w:sz w:val="24"/>
      <w:szCs w:val="24"/>
      <w:lang w:val="en-US" w:eastAsia="en-CA"/>
    </w:rPr>
  </w:style>
  <w:style w:type="character" w:customStyle="1" w:styleId="markedcontent">
    <w:name w:val="markedcontent"/>
    <w:basedOn w:val="DefaultParagraphFont"/>
    <w:qFormat/>
    <w:rsid w:val="00533E59"/>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NumberingSymbols">
    <w:name w:val="Numbering Symbols"/>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styleId="CommentReference">
    <w:name w:val="annotation reference"/>
    <w:basedOn w:val="DefaultParagraphFont"/>
    <w:uiPriority w:val="99"/>
    <w:semiHidden/>
    <w:unhideWhenUsed/>
    <w:qFormat/>
    <w:rsid w:val="00305220"/>
    <w:rPr>
      <w:sz w:val="16"/>
      <w:szCs w:val="16"/>
    </w:rPr>
  </w:style>
  <w:style w:type="character" w:customStyle="1" w:styleId="CommentTextChar">
    <w:name w:val="Comment Text Char"/>
    <w:basedOn w:val="DefaultParagraphFont"/>
    <w:link w:val="CommentText"/>
    <w:uiPriority w:val="99"/>
    <w:semiHidden/>
    <w:qFormat/>
    <w:rsid w:val="00305220"/>
    <w:rPr>
      <w:rFonts w:ascii="Times New Roman" w:eastAsia="Times New Roman" w:hAnsi="Times New Roman" w:cs="Times New Roman"/>
      <w:sz w:val="20"/>
      <w:szCs w:val="20"/>
      <w:lang w:val="en-US" w:eastAsia="en-CA"/>
    </w:rPr>
  </w:style>
  <w:style w:type="character" w:customStyle="1" w:styleId="CommentSubjectChar">
    <w:name w:val="Comment Subject Char"/>
    <w:basedOn w:val="CommentTextChar"/>
    <w:link w:val="CommentSubject"/>
    <w:uiPriority w:val="99"/>
    <w:semiHidden/>
    <w:qFormat/>
    <w:rsid w:val="00305220"/>
    <w:rPr>
      <w:rFonts w:ascii="Times New Roman" w:eastAsia="Times New Roman" w:hAnsi="Times New Roman" w:cs="Times New Roman"/>
      <w:b/>
      <w:bCs/>
      <w:sz w:val="20"/>
      <w:szCs w:val="20"/>
      <w:lang w:val="en-US" w:eastAsia="en-CA"/>
    </w:rPr>
  </w:style>
  <w:style w:type="character" w:customStyle="1" w:styleId="LineNumbering">
    <w:name w:val="Line Numbering"/>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character" w:customStyle="1" w:styleId="WW8Num1z1">
    <w:name w:val="WW8Num1z1"/>
    <w:qFormat/>
    <w:rPr>
      <w:b w:val="0"/>
      <w:u w:val="none"/>
    </w:rPr>
  </w:style>
  <w:style w:type="character" w:styleId="Hyperlink">
    <w:name w:val="Hyperlink"/>
    <w:rPr>
      <w:color w:val="0563C1"/>
      <w:u w:val="single"/>
    </w:rPr>
  </w:style>
  <w:style w:type="character" w:styleId="FollowedHyperlink">
    <w:name w:val="FollowedHyperlink"/>
    <w:rPr>
      <w:color w:val="954F72"/>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uiPriority w:val="99"/>
    <w:unhideWhenUsed/>
    <w:rsid w:val="00CA503E"/>
    <w:pPr>
      <w:spacing w:after="120"/>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ListParagraph">
    <w:name w:val="List Paragraph"/>
    <w:basedOn w:val="Normal"/>
    <w:uiPriority w:val="34"/>
    <w:qFormat/>
    <w:rsid w:val="00225FA1"/>
    <w:pPr>
      <w:ind w:left="720"/>
      <w:contextualSpacing/>
    </w:pPr>
  </w:style>
  <w:style w:type="paragraph" w:styleId="FootnoteText">
    <w:name w:val="footnote text"/>
    <w:basedOn w:val="Normal"/>
    <w:link w:val="FootnoteTextChar"/>
    <w:uiPriority w:val="99"/>
    <w:semiHidden/>
    <w:unhideWhenUsed/>
    <w:rsid w:val="005C5505"/>
    <w:rPr>
      <w:sz w:val="20"/>
      <w:szCs w:val="20"/>
    </w:rPr>
  </w:style>
  <w:style w:type="paragraph" w:styleId="Title">
    <w:name w:val="Title"/>
    <w:basedOn w:val="Normal"/>
    <w:link w:val="TitleChar"/>
    <w:qFormat/>
    <w:rsid w:val="00CA503E"/>
    <w:pPr>
      <w:outlineLvl w:val="0"/>
    </w:pPr>
    <w:rPr>
      <w:rFonts w:ascii="Myriad Pro" w:eastAsiaTheme="minorEastAsia" w:hAnsi="Myriad Pro" w:cs="Angsana New"/>
      <w:b/>
      <w:bCs/>
      <w:color w:val="000080"/>
      <w:kern w:val="2"/>
      <w:szCs w:val="32"/>
      <w:lang w:eastAsia="en-US"/>
    </w:rPr>
  </w:style>
  <w:style w:type="paragraph" w:customStyle="1" w:styleId="Formfieldtext">
    <w:name w:val="Form field text"/>
    <w:basedOn w:val="Normal"/>
    <w:next w:val="BodyText"/>
    <w:link w:val="FormfieldtextChar"/>
    <w:qFormat/>
    <w:rsid w:val="00CA503E"/>
    <w:rPr>
      <w:rFonts w:ascii="Arial Narrow" w:eastAsiaTheme="minorEastAsia" w:hAnsi="Arial Narrow" w:cs="Arial"/>
      <w:color w:val="000080"/>
      <w:sz w:val="20"/>
      <w:szCs w:val="18"/>
      <w:lang w:eastAsia="en-US"/>
    </w:rPr>
  </w:style>
  <w:style w:type="paragraph" w:customStyle="1" w:styleId="HeaderandFooter">
    <w:name w:val="Header and Footer"/>
    <w:basedOn w:val="Normal"/>
    <w:qFormat/>
  </w:style>
  <w:style w:type="paragraph" w:styleId="Footer">
    <w:name w:val="footer"/>
    <w:basedOn w:val="HeaderandFooter"/>
  </w:style>
  <w:style w:type="paragraph" w:customStyle="1" w:styleId="TableContents">
    <w:name w:val="Table Contents"/>
    <w:basedOn w:val="Normal"/>
    <w:qFormat/>
    <w:pPr>
      <w:widowControl w:val="0"/>
      <w:suppressLineNumbers/>
    </w:pPr>
  </w:style>
  <w:style w:type="paragraph" w:customStyle="1" w:styleId="normalbullet">
    <w:name w:val="normal bullet"/>
    <w:basedOn w:val="Normal"/>
    <w:qFormat/>
    <w:pPr>
      <w:numPr>
        <w:numId w:val="14"/>
      </w:numPr>
      <w:spacing w:before="60" w:after="60"/>
    </w:pPr>
    <w:rPr>
      <w:rFonts w:ascii="Calibri" w:hAnsi="Calibri"/>
      <w:sz w:val="20"/>
      <w:szCs w:val="20"/>
      <w:lang w:bidi="en-US"/>
    </w:rPr>
  </w:style>
  <w:style w:type="paragraph" w:customStyle="1" w:styleId="DefaultDrawingStyle">
    <w:name w:val="Default Drawing Style"/>
    <w:qFormat/>
    <w:pPr>
      <w:spacing w:line="200" w:lineRule="atLeast"/>
    </w:pPr>
    <w:rPr>
      <w:rFonts w:ascii="Arial Unicode MS" w:eastAsia="Tahoma" w:hAnsi="Arial Unicode MS" w:cs="Arial"/>
      <w:kern w:val="2"/>
      <w:sz w:val="36"/>
      <w:szCs w:val="24"/>
    </w:rPr>
  </w:style>
  <w:style w:type="paragraph" w:customStyle="1" w:styleId="Objectwithoutfill">
    <w:name w:val="Object without fill"/>
    <w:basedOn w:val="DefaultDrawingStyle"/>
    <w:qFormat/>
  </w:style>
  <w:style w:type="paragraph" w:customStyle="1" w:styleId="Objectwithnofillandnoline">
    <w:name w:val="Object with no fill and no line"/>
    <w:basedOn w:val="DefaultDrawingStyle"/>
    <w:qFormat/>
  </w:style>
  <w:style w:type="paragraph" w:customStyle="1" w:styleId="A4">
    <w:name w:val="A4"/>
    <w:basedOn w:val="Text"/>
    <w:qFormat/>
    <w:rPr>
      <w:rFonts w:ascii="Noto Sans" w:hAnsi="Noto Sans"/>
      <w:sz w:val="36"/>
    </w:rPr>
  </w:style>
  <w:style w:type="paragraph" w:customStyle="1" w:styleId="Text">
    <w:name w:val="Text"/>
    <w:basedOn w:val="Caption"/>
    <w:qFormat/>
  </w:style>
  <w:style w:type="paragraph" w:customStyle="1" w:styleId="TitleA4">
    <w:name w:val="Title A4"/>
    <w:basedOn w:val="A4"/>
    <w:qFormat/>
    <w:rPr>
      <w:sz w:val="87"/>
    </w:rPr>
  </w:style>
  <w:style w:type="paragraph" w:customStyle="1" w:styleId="HeadingA4">
    <w:name w:val="Heading A4"/>
    <w:basedOn w:val="A4"/>
    <w:qFormat/>
    <w:rPr>
      <w:sz w:val="48"/>
    </w:rPr>
  </w:style>
  <w:style w:type="paragraph" w:customStyle="1" w:styleId="TextA4">
    <w:name w:val="Text A4"/>
    <w:basedOn w:val="A4"/>
    <w:qFormat/>
  </w:style>
  <w:style w:type="paragraph" w:customStyle="1" w:styleId="A0">
    <w:name w:val="A0"/>
    <w:basedOn w:val="Text"/>
    <w:qFormat/>
    <w:rPr>
      <w:rFonts w:ascii="Noto Sans" w:hAnsi="Noto Sans"/>
      <w:sz w:val="95"/>
    </w:rPr>
  </w:style>
  <w:style w:type="paragraph" w:customStyle="1" w:styleId="TitleA0">
    <w:name w:val="Title A0"/>
    <w:basedOn w:val="A0"/>
    <w:qFormat/>
    <w:rPr>
      <w:sz w:val="191"/>
    </w:rPr>
  </w:style>
  <w:style w:type="paragraph" w:customStyle="1" w:styleId="HeadingA0">
    <w:name w:val="Heading A0"/>
    <w:basedOn w:val="A0"/>
    <w:qFormat/>
    <w:rPr>
      <w:sz w:val="143"/>
    </w:rPr>
  </w:style>
  <w:style w:type="paragraph" w:customStyle="1" w:styleId="TextA0">
    <w:name w:val="Text A0"/>
    <w:basedOn w:val="A0"/>
    <w:qFormat/>
  </w:style>
  <w:style w:type="paragraph" w:customStyle="1" w:styleId="Graphic">
    <w:name w:val="Graphic"/>
    <w:qFormat/>
    <w:pPr>
      <w:spacing w:after="160" w:line="259" w:lineRule="auto"/>
    </w:pPr>
    <w:rPr>
      <w:rFonts w:ascii="Liberation Sans" w:eastAsia="Tahoma" w:hAnsi="Liberation Sans" w:cs="Arial"/>
      <w:sz w:val="36"/>
      <w:szCs w:val="24"/>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BlankSlideLTGliederung1">
    <w:name w:val="Blank Slide~LT~Gliederung 1"/>
    <w:qFormat/>
    <w:pPr>
      <w:spacing w:before="283" w:line="259" w:lineRule="auto"/>
    </w:pPr>
    <w:rPr>
      <w:rFonts w:ascii="Arial Unicode MS" w:eastAsia="Tahoma" w:hAnsi="Arial Unicode MS" w:cs="Arial"/>
      <w:kern w:val="2"/>
      <w:sz w:val="64"/>
      <w:szCs w:val="24"/>
    </w:rPr>
  </w:style>
  <w:style w:type="paragraph" w:customStyle="1" w:styleId="BlankSlideLTGliederung2">
    <w:name w:val="Blank Slide~LT~Gliederung 2"/>
    <w:basedOn w:val="BlankSlideLTGliederung1"/>
    <w:qFormat/>
    <w:pPr>
      <w:spacing w:before="227"/>
    </w:pPr>
    <w:rPr>
      <w:sz w:val="56"/>
    </w:rPr>
  </w:style>
  <w:style w:type="paragraph" w:customStyle="1" w:styleId="BlankSlideLTGliederung3">
    <w:name w:val="Blank Slide~LT~Gliederung 3"/>
    <w:basedOn w:val="BlankSlideLTGliederung2"/>
    <w:qFormat/>
    <w:pPr>
      <w:spacing w:before="170"/>
    </w:pPr>
    <w:rPr>
      <w:sz w:val="48"/>
    </w:rPr>
  </w:style>
  <w:style w:type="paragraph" w:customStyle="1" w:styleId="BlankSlideLTGliederung4">
    <w:name w:val="Blank Slide~LT~Gliederung 4"/>
    <w:basedOn w:val="BlankSlideLTGliederung3"/>
    <w:qFormat/>
    <w:pPr>
      <w:spacing w:before="113"/>
    </w:pPr>
    <w:rPr>
      <w:sz w:val="40"/>
    </w:rPr>
  </w:style>
  <w:style w:type="paragraph" w:customStyle="1" w:styleId="BlankSlideLTGliederung5">
    <w:name w:val="Blank Slide~LT~Gliederung 5"/>
    <w:basedOn w:val="BlankSlideLTGliederung4"/>
    <w:qFormat/>
    <w:pPr>
      <w:spacing w:before="57"/>
    </w:pPr>
  </w:style>
  <w:style w:type="paragraph" w:customStyle="1" w:styleId="BlankSlideLTGliederung6">
    <w:name w:val="Blank Slide~LT~Gliederung 6"/>
    <w:basedOn w:val="BlankSlideLTGliederung5"/>
    <w:qFormat/>
  </w:style>
  <w:style w:type="paragraph" w:customStyle="1" w:styleId="BlankSlideLTGliederung7">
    <w:name w:val="Blank Slide~LT~Gliederung 7"/>
    <w:basedOn w:val="BlankSlideLTGliederung6"/>
    <w:qFormat/>
  </w:style>
  <w:style w:type="paragraph" w:customStyle="1" w:styleId="BlankSlideLTGliederung8">
    <w:name w:val="Blank Slide~LT~Gliederung 8"/>
    <w:basedOn w:val="BlankSlideLTGliederung7"/>
    <w:qFormat/>
  </w:style>
  <w:style w:type="paragraph" w:customStyle="1" w:styleId="BlankSlideLTGliederung9">
    <w:name w:val="Blank Slide~LT~Gliederung 9"/>
    <w:basedOn w:val="BlankSlideLTGliederung8"/>
    <w:qFormat/>
  </w:style>
  <w:style w:type="paragraph" w:customStyle="1" w:styleId="BlankSlideLTTitel">
    <w:name w:val="Blank Slide~LT~Titel"/>
    <w:qFormat/>
    <w:pPr>
      <w:spacing w:after="160" w:line="259" w:lineRule="auto"/>
      <w:jc w:val="center"/>
    </w:pPr>
    <w:rPr>
      <w:rFonts w:ascii="Arial Unicode MS" w:eastAsia="Tahoma" w:hAnsi="Arial Unicode MS" w:cs="Arial"/>
      <w:kern w:val="2"/>
      <w:sz w:val="88"/>
      <w:szCs w:val="24"/>
    </w:rPr>
  </w:style>
  <w:style w:type="paragraph" w:customStyle="1" w:styleId="BlankSlideLTUntertitel">
    <w:name w:val="Blank Slide~LT~Untertitel"/>
    <w:qFormat/>
    <w:pPr>
      <w:spacing w:after="160" w:line="259" w:lineRule="auto"/>
      <w:jc w:val="center"/>
    </w:pPr>
    <w:rPr>
      <w:rFonts w:ascii="Arial Unicode MS" w:eastAsia="Tahoma" w:hAnsi="Arial Unicode MS" w:cs="Arial"/>
      <w:kern w:val="2"/>
      <w:sz w:val="64"/>
      <w:szCs w:val="24"/>
    </w:rPr>
  </w:style>
  <w:style w:type="paragraph" w:customStyle="1" w:styleId="BlankSlideLTNotizen">
    <w:name w:val="Blank Slide~LT~Notizen"/>
    <w:qFormat/>
    <w:pPr>
      <w:spacing w:after="160" w:line="259" w:lineRule="auto"/>
      <w:ind w:left="340" w:hanging="340"/>
    </w:pPr>
    <w:rPr>
      <w:rFonts w:ascii="Arial Unicode MS" w:eastAsia="Tahoma" w:hAnsi="Arial Unicode MS" w:cs="Arial"/>
      <w:kern w:val="2"/>
      <w:sz w:val="40"/>
      <w:szCs w:val="24"/>
    </w:rPr>
  </w:style>
  <w:style w:type="paragraph" w:customStyle="1" w:styleId="BlankSlideLTHintergrundobjekte">
    <w:name w:val="Blank Slide~LT~Hintergrundobjekte"/>
    <w:qFormat/>
    <w:pPr>
      <w:spacing w:after="160" w:line="259" w:lineRule="auto"/>
    </w:pPr>
    <w:rPr>
      <w:rFonts w:ascii="Liberation Serif" w:eastAsia="Tahoma" w:hAnsi="Liberation Serif" w:cs="Arial"/>
      <w:kern w:val="2"/>
      <w:sz w:val="24"/>
      <w:szCs w:val="24"/>
    </w:rPr>
  </w:style>
  <w:style w:type="paragraph" w:customStyle="1" w:styleId="BlankSlideLTHintergrund">
    <w:name w:val="Blank Slide~LT~Hintergrund"/>
    <w:qFormat/>
    <w:pPr>
      <w:spacing w:after="160" w:line="259" w:lineRule="auto"/>
    </w:pPr>
    <w:rPr>
      <w:rFonts w:ascii="Liberation Serif" w:eastAsia="Tahoma" w:hAnsi="Liberation Serif" w:cs="Arial"/>
      <w:kern w:val="2"/>
      <w:sz w:val="24"/>
      <w:szCs w:val="24"/>
    </w:rPr>
  </w:style>
  <w:style w:type="paragraph" w:customStyle="1" w:styleId="default">
    <w:name w:val="default"/>
    <w:qFormat/>
    <w:pPr>
      <w:spacing w:line="200" w:lineRule="atLeast"/>
    </w:pPr>
    <w:rPr>
      <w:rFonts w:ascii="Arial Unicode MS" w:eastAsia="Tahoma" w:hAnsi="Arial Unicode MS" w:cs="Arial"/>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Backgroundobjects">
    <w:name w:val="Background objects"/>
    <w:qFormat/>
    <w:pPr>
      <w:spacing w:after="160" w:line="259" w:lineRule="auto"/>
    </w:pPr>
    <w:rPr>
      <w:rFonts w:ascii="Liberation Serif" w:eastAsia="Tahoma" w:hAnsi="Liberation Serif" w:cs="Arial"/>
      <w:kern w:val="2"/>
      <w:sz w:val="24"/>
      <w:szCs w:val="24"/>
    </w:rPr>
  </w:style>
  <w:style w:type="paragraph" w:customStyle="1" w:styleId="Background">
    <w:name w:val="Background"/>
    <w:qFormat/>
    <w:pPr>
      <w:spacing w:after="160" w:line="259" w:lineRule="auto"/>
    </w:pPr>
    <w:rPr>
      <w:rFonts w:ascii="Liberation Serif" w:eastAsia="Tahoma" w:hAnsi="Liberation Serif" w:cs="Arial"/>
      <w:kern w:val="2"/>
      <w:sz w:val="24"/>
      <w:szCs w:val="24"/>
    </w:rPr>
  </w:style>
  <w:style w:type="paragraph" w:customStyle="1" w:styleId="Notes">
    <w:name w:val="Notes"/>
    <w:qFormat/>
    <w:pPr>
      <w:spacing w:after="160" w:line="259" w:lineRule="auto"/>
      <w:ind w:left="340" w:hanging="340"/>
    </w:pPr>
    <w:rPr>
      <w:rFonts w:ascii="Arial Unicode MS" w:eastAsia="Tahoma" w:hAnsi="Arial Unicode MS" w:cs="Arial"/>
      <w:kern w:val="2"/>
      <w:sz w:val="40"/>
      <w:szCs w:val="24"/>
    </w:rPr>
  </w:style>
  <w:style w:type="paragraph" w:customStyle="1" w:styleId="Outline1">
    <w:name w:val="Outline 1"/>
    <w:qFormat/>
    <w:pPr>
      <w:spacing w:before="283" w:line="259" w:lineRule="auto"/>
    </w:pPr>
    <w:rPr>
      <w:rFonts w:ascii="Arial Unicode MS" w:eastAsia="Tahoma" w:hAnsi="Arial Unicode MS" w:cs="Arial"/>
      <w:kern w:val="2"/>
      <w:sz w:val="64"/>
      <w:szCs w:val="24"/>
    </w:rPr>
  </w:style>
  <w:style w:type="paragraph" w:customStyle="1" w:styleId="Outline2">
    <w:name w:val="Outline 2"/>
    <w:basedOn w:val="Outline1"/>
    <w:qFormat/>
    <w:pPr>
      <w:spacing w:before="227"/>
    </w:pPr>
    <w:rPr>
      <w:sz w:val="56"/>
    </w:rPr>
  </w:style>
  <w:style w:type="paragraph" w:customStyle="1" w:styleId="Outline3">
    <w:name w:val="Outline 3"/>
    <w:basedOn w:val="Outline2"/>
    <w:qFormat/>
    <w:pPr>
      <w:spacing w:before="170"/>
    </w:pPr>
    <w:rPr>
      <w:sz w:val="48"/>
    </w:rPr>
  </w:style>
  <w:style w:type="paragraph" w:customStyle="1" w:styleId="Outline4">
    <w:name w:val="Outline 4"/>
    <w:basedOn w:val="Outline3"/>
    <w:qFormat/>
    <w:pPr>
      <w:spacing w:before="113"/>
    </w:pPr>
    <w:rPr>
      <w:sz w:val="40"/>
    </w:rPr>
  </w:style>
  <w:style w:type="paragraph" w:customStyle="1" w:styleId="Outline5">
    <w:name w:val="Outline 5"/>
    <w:basedOn w:val="Outline4"/>
    <w:qFormat/>
    <w:pPr>
      <w:spacing w:before="57"/>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DefaultLTGliederung1">
    <w:name w:val="Default~LT~Gliederung 1"/>
    <w:qFormat/>
    <w:pPr>
      <w:spacing w:before="283" w:line="259" w:lineRule="auto"/>
    </w:pPr>
    <w:rPr>
      <w:rFonts w:ascii="Arial Unicode MS" w:eastAsia="Tahoma" w:hAnsi="Arial Unicode MS" w:cs="Arial"/>
      <w:kern w:val="2"/>
      <w:sz w:val="64"/>
      <w:szCs w:val="24"/>
    </w:rPr>
  </w:style>
  <w:style w:type="paragraph" w:customStyle="1" w:styleId="DefaultLTGliederung2">
    <w:name w:val="Default~LT~Gliederung 2"/>
    <w:basedOn w:val="DefaultLTGliederung1"/>
    <w:qFormat/>
    <w:pPr>
      <w:spacing w:before="227"/>
    </w:pPr>
    <w:rPr>
      <w:sz w:val="56"/>
    </w:rPr>
  </w:style>
  <w:style w:type="paragraph" w:customStyle="1" w:styleId="DefaultLTGliederung3">
    <w:name w:val="Default~LT~Gliederung 3"/>
    <w:basedOn w:val="DefaultLTGliederung2"/>
    <w:qFormat/>
    <w:pPr>
      <w:spacing w:before="170"/>
    </w:pPr>
    <w:rPr>
      <w:sz w:val="48"/>
    </w:rPr>
  </w:style>
  <w:style w:type="paragraph" w:customStyle="1" w:styleId="DefaultLTGliederung4">
    <w:name w:val="Default~LT~Gliederung 4"/>
    <w:basedOn w:val="DefaultLTGliederung3"/>
    <w:qFormat/>
    <w:pPr>
      <w:spacing w:before="113"/>
    </w:pPr>
    <w:rPr>
      <w:sz w:val="40"/>
    </w:rPr>
  </w:style>
  <w:style w:type="paragraph" w:customStyle="1" w:styleId="DefaultLTGliederung5">
    <w:name w:val="Default~LT~Gliederung 5"/>
    <w:basedOn w:val="DefaultLTGliederung4"/>
    <w:qFormat/>
    <w:pPr>
      <w:spacing w:before="57"/>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spacing w:after="160" w:line="259" w:lineRule="auto"/>
      <w:jc w:val="center"/>
    </w:pPr>
    <w:rPr>
      <w:rFonts w:ascii="Arial Unicode MS" w:eastAsia="Tahoma" w:hAnsi="Arial Unicode MS" w:cs="Arial"/>
      <w:kern w:val="2"/>
      <w:sz w:val="88"/>
      <w:szCs w:val="24"/>
    </w:rPr>
  </w:style>
  <w:style w:type="paragraph" w:customStyle="1" w:styleId="DefaultLTUntertitel">
    <w:name w:val="Default~LT~Untertitel"/>
    <w:qFormat/>
    <w:pPr>
      <w:spacing w:after="160" w:line="259" w:lineRule="auto"/>
      <w:jc w:val="center"/>
    </w:pPr>
    <w:rPr>
      <w:rFonts w:ascii="Arial Unicode MS" w:eastAsia="Tahoma" w:hAnsi="Arial Unicode MS" w:cs="Arial"/>
      <w:kern w:val="2"/>
      <w:sz w:val="64"/>
      <w:szCs w:val="24"/>
    </w:rPr>
  </w:style>
  <w:style w:type="paragraph" w:customStyle="1" w:styleId="DefaultLTNotizen">
    <w:name w:val="Default~LT~Notizen"/>
    <w:qFormat/>
    <w:pPr>
      <w:spacing w:after="160" w:line="259" w:lineRule="auto"/>
      <w:ind w:left="340" w:hanging="340"/>
    </w:pPr>
    <w:rPr>
      <w:rFonts w:ascii="Arial Unicode MS" w:eastAsia="Tahoma" w:hAnsi="Arial Unicode MS" w:cs="Arial"/>
      <w:kern w:val="2"/>
      <w:sz w:val="40"/>
      <w:szCs w:val="24"/>
    </w:rPr>
  </w:style>
  <w:style w:type="paragraph" w:customStyle="1" w:styleId="DefaultLTHintergrundobjekte">
    <w:name w:val="Default~LT~Hintergrundobjekte"/>
    <w:qFormat/>
    <w:pPr>
      <w:spacing w:after="160" w:line="259" w:lineRule="auto"/>
    </w:pPr>
    <w:rPr>
      <w:rFonts w:ascii="Liberation Serif" w:eastAsia="Tahoma" w:hAnsi="Liberation Serif" w:cs="Arial"/>
      <w:kern w:val="2"/>
      <w:sz w:val="24"/>
      <w:szCs w:val="24"/>
    </w:rPr>
  </w:style>
  <w:style w:type="paragraph" w:customStyle="1" w:styleId="DefaultLTHintergrund">
    <w:name w:val="Default~LT~Hintergrund"/>
    <w:qFormat/>
    <w:pPr>
      <w:spacing w:after="160" w:line="259" w:lineRule="auto"/>
    </w:pPr>
    <w:rPr>
      <w:rFonts w:ascii="Liberation Serif" w:eastAsia="Tahoma" w:hAnsi="Liberation Serif" w:cs="Arial"/>
      <w:kern w:val="2"/>
      <w:sz w:val="24"/>
      <w:szCs w:val="24"/>
    </w:rPr>
  </w:style>
  <w:style w:type="paragraph" w:customStyle="1" w:styleId="Title1">
    <w:name w:val="Title1"/>
    <w:qFormat/>
    <w:pPr>
      <w:spacing w:before="283" w:line="259" w:lineRule="auto"/>
    </w:pPr>
    <w:rPr>
      <w:rFonts w:ascii="Arial Unicode MS" w:eastAsia="Tahoma" w:hAnsi="Arial Unicode MS" w:cs="Arial"/>
      <w:kern w:val="2"/>
      <w:sz w:val="64"/>
      <w:szCs w:val="24"/>
    </w:rPr>
  </w:style>
  <w:style w:type="paragraph" w:customStyle="1" w:styleId="Title2">
    <w:name w:val="Title2"/>
    <w:basedOn w:val="Title1"/>
    <w:qFormat/>
    <w:pPr>
      <w:spacing w:before="227"/>
    </w:pPr>
    <w:rPr>
      <w:sz w:val="56"/>
    </w:rPr>
  </w:style>
  <w:style w:type="paragraph" w:customStyle="1" w:styleId="Title3">
    <w:name w:val="Title3"/>
    <w:basedOn w:val="Title2"/>
    <w:qFormat/>
    <w:pPr>
      <w:spacing w:before="170"/>
    </w:pPr>
    <w:rPr>
      <w:sz w:val="48"/>
    </w:rPr>
  </w:style>
  <w:style w:type="paragraph" w:customStyle="1" w:styleId="Title4">
    <w:name w:val="Title4"/>
    <w:basedOn w:val="Title3"/>
    <w:qFormat/>
    <w:pPr>
      <w:spacing w:before="113"/>
    </w:pPr>
    <w:rPr>
      <w:sz w:val="40"/>
    </w:rPr>
  </w:style>
  <w:style w:type="paragraph" w:customStyle="1" w:styleId="Title5">
    <w:name w:val="Title5"/>
    <w:basedOn w:val="Title4"/>
    <w:qFormat/>
    <w:pPr>
      <w:spacing w:before="57"/>
    </w:pPr>
  </w:style>
  <w:style w:type="paragraph" w:customStyle="1" w:styleId="Title6">
    <w:name w:val="Title6"/>
    <w:basedOn w:val="Title5"/>
    <w:qFormat/>
  </w:style>
  <w:style w:type="paragraph" w:customStyle="1" w:styleId="Title7">
    <w:name w:val="Title7"/>
    <w:basedOn w:val="Title6"/>
    <w:qFormat/>
  </w:style>
  <w:style w:type="paragraph" w:customStyle="1" w:styleId="Title8">
    <w:name w:val="Title8"/>
    <w:basedOn w:val="Title7"/>
    <w:qFormat/>
  </w:style>
  <w:style w:type="paragraph" w:customStyle="1" w:styleId="Title9">
    <w:name w:val="Title9"/>
    <w:basedOn w:val="Title8"/>
    <w:qFormat/>
  </w:style>
  <w:style w:type="paragraph" w:customStyle="1" w:styleId="Title10">
    <w:name w:val="Title10"/>
    <w:qFormat/>
    <w:pPr>
      <w:spacing w:after="160" w:line="259" w:lineRule="auto"/>
      <w:jc w:val="center"/>
    </w:pPr>
    <w:rPr>
      <w:rFonts w:ascii="Arial Unicode MS" w:eastAsia="Tahoma" w:hAnsi="Arial Unicode MS" w:cs="Arial"/>
      <w:kern w:val="2"/>
      <w:sz w:val="88"/>
      <w:szCs w:val="24"/>
    </w:rPr>
  </w:style>
  <w:style w:type="paragraph" w:customStyle="1" w:styleId="Title11">
    <w:name w:val="Title11"/>
    <w:qFormat/>
    <w:pPr>
      <w:spacing w:after="160" w:line="259" w:lineRule="auto"/>
      <w:jc w:val="center"/>
    </w:pPr>
    <w:rPr>
      <w:rFonts w:ascii="Arial Unicode MS" w:eastAsia="Tahoma" w:hAnsi="Arial Unicode MS" w:cs="Arial"/>
      <w:kern w:val="2"/>
      <w:sz w:val="64"/>
      <w:szCs w:val="24"/>
    </w:rPr>
  </w:style>
  <w:style w:type="paragraph" w:customStyle="1" w:styleId="Title12">
    <w:name w:val="Title12"/>
    <w:qFormat/>
    <w:pPr>
      <w:spacing w:after="160" w:line="259" w:lineRule="auto"/>
      <w:ind w:left="340" w:hanging="340"/>
    </w:pPr>
    <w:rPr>
      <w:rFonts w:ascii="Arial Unicode MS" w:eastAsia="Tahoma" w:hAnsi="Arial Unicode MS" w:cs="Arial"/>
      <w:kern w:val="2"/>
      <w:sz w:val="40"/>
      <w:szCs w:val="24"/>
    </w:rPr>
  </w:style>
  <w:style w:type="paragraph" w:customStyle="1" w:styleId="Title13">
    <w:name w:val="Title13"/>
    <w:qFormat/>
    <w:pPr>
      <w:spacing w:after="160" w:line="259" w:lineRule="auto"/>
    </w:pPr>
    <w:rPr>
      <w:rFonts w:ascii="Liberation Serif" w:eastAsia="Tahoma" w:hAnsi="Liberation Serif" w:cs="Arial"/>
      <w:kern w:val="2"/>
      <w:sz w:val="24"/>
      <w:szCs w:val="24"/>
    </w:rPr>
  </w:style>
  <w:style w:type="paragraph" w:customStyle="1" w:styleId="Title14">
    <w:name w:val="Title14"/>
    <w:qFormat/>
    <w:pPr>
      <w:spacing w:after="160" w:line="259" w:lineRule="auto"/>
    </w:pPr>
    <w:rPr>
      <w:rFonts w:ascii="Liberation Serif" w:eastAsia="Tahoma" w:hAnsi="Liberation Serif" w:cs="Arial"/>
      <w:kern w:val="2"/>
      <w:sz w:val="24"/>
      <w:szCs w:val="24"/>
    </w:rPr>
  </w:style>
  <w:style w:type="paragraph" w:styleId="Revision">
    <w:name w:val="Revision"/>
    <w:uiPriority w:val="99"/>
    <w:semiHidden/>
    <w:qFormat/>
    <w:rsid w:val="002042B0"/>
    <w:pPr>
      <w:suppressAutoHyphens w:val="0"/>
    </w:pPr>
    <w:rPr>
      <w:rFonts w:ascii="Times New Roman" w:eastAsia="Times New Roman" w:hAnsi="Times New Roman" w:cs="Times New Roman"/>
      <w:sz w:val="24"/>
      <w:szCs w:val="24"/>
      <w:lang w:val="en-US" w:eastAsia="en-CA"/>
    </w:rPr>
  </w:style>
  <w:style w:type="paragraph" w:styleId="CommentText">
    <w:name w:val="annotation text"/>
    <w:basedOn w:val="Normal"/>
    <w:link w:val="CommentTextChar"/>
    <w:uiPriority w:val="99"/>
    <w:semiHidden/>
    <w:unhideWhenUsed/>
    <w:qFormat/>
    <w:rsid w:val="00305220"/>
    <w:rPr>
      <w:sz w:val="20"/>
      <w:szCs w:val="20"/>
    </w:rPr>
  </w:style>
  <w:style w:type="paragraph" w:styleId="CommentSubject">
    <w:name w:val="annotation subject"/>
    <w:basedOn w:val="CommentText"/>
    <w:next w:val="CommentText"/>
    <w:link w:val="CommentSubjectChar"/>
    <w:uiPriority w:val="99"/>
    <w:semiHidden/>
    <w:unhideWhenUsed/>
    <w:qFormat/>
    <w:rsid w:val="00305220"/>
    <w:rPr>
      <w:b/>
      <w:bCs/>
    </w:rPr>
  </w:style>
  <w:style w:type="paragraph" w:customStyle="1" w:styleId="LO-normal">
    <w:name w:val="LO-normal"/>
    <w:qFormat/>
    <w:pPr>
      <w:spacing w:after="200" w:line="276" w:lineRule="auto"/>
    </w:pPr>
    <w:rPr>
      <w:rFonts w:cs="Tahoma"/>
    </w:rPr>
  </w:style>
  <w:style w:type="paragraph" w:customStyle="1" w:styleId="TableParagraph">
    <w:name w:val="Table Paragraph"/>
    <w:basedOn w:val="Normal"/>
    <w:qFormat/>
    <w:pPr>
      <w:widowControl w:val="0"/>
    </w:pPr>
    <w:rPr>
      <w:rFonts w:ascii="Calibri Light" w:eastAsia="Calibri Light" w:hAnsi="Calibri Light" w:cs="Calibri Light"/>
      <w:sz w:val="22"/>
      <w:szCs w:val="22"/>
    </w:rPr>
  </w:style>
  <w:style w:type="paragraph" w:customStyle="1" w:styleId="Default0">
    <w:name w:val="Default"/>
    <w:qFormat/>
    <w:rPr>
      <w:rFonts w:ascii="Calibri" w:eastAsia="Calibri" w:hAnsi="Calibri" w:cs="Calibri"/>
      <w:color w:val="000000"/>
      <w:sz w:val="24"/>
      <w:szCs w:val="24"/>
    </w:rPr>
  </w:style>
  <w:style w:type="paragraph" w:customStyle="1" w:styleId="TableHeading">
    <w:name w:val="Table Heading"/>
    <w:basedOn w:val="TableContents"/>
    <w:qFormat/>
    <w:pPr>
      <w:jc w:val="center"/>
    </w:pPr>
    <w:rPr>
      <w:b/>
      <w:bCs/>
    </w:rPr>
  </w:style>
  <w:style w:type="paragraph" w:customStyle="1" w:styleId="NumberedParas">
    <w:name w:val="Numbered Paras"/>
    <w:basedOn w:val="Normal"/>
    <w:qFormat/>
    <w:pPr>
      <w:numPr>
        <w:numId w:val="19"/>
      </w:numPr>
      <w:jc w:val="both"/>
    </w:pPr>
  </w:style>
  <w:style w:type="paragraph" w:customStyle="1" w:styleId="Normalbold">
    <w:name w:val="Normal + bold"/>
    <w:basedOn w:val="Normal"/>
    <w:qFormat/>
    <w:pPr>
      <w:suppressAutoHyphens w:val="0"/>
      <w:spacing w:after="120"/>
      <w:ind w:left="72"/>
      <w:jc w:val="both"/>
      <w:textAlignment w:val="baseline"/>
    </w:pPr>
    <w:rPr>
      <w:b/>
      <w:color w:val="000000"/>
      <w:lang w:eastAsia="en-US"/>
    </w:rPr>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1">
    <w:name w:val="WW8Num1"/>
    <w:qFormat/>
  </w:style>
  <w:style w:type="table" w:styleId="TableGrid">
    <w:name w:val="Table Grid"/>
    <w:basedOn w:val="TableNormal"/>
    <w:uiPriority w:val="39"/>
    <w:rsid w:val="00186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B40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eb.undp.org/evaluation/guideline/documents/GEF/TE_GuidanceforUNDP-supportedGEF-financedProjec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62C27-D428-42BA-99E2-0E81FAB6F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73</Pages>
  <Words>28998</Words>
  <Characters>165293</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Ferguson</dc:creator>
  <dc:description/>
  <cp:lastModifiedBy>Alan Ferguson</cp:lastModifiedBy>
  <cp:revision>6</cp:revision>
  <cp:lastPrinted>2022-11-29T21:44:00Z</cp:lastPrinted>
  <dcterms:created xsi:type="dcterms:W3CDTF">2023-01-28T22:56:00Z</dcterms:created>
  <dcterms:modified xsi:type="dcterms:W3CDTF">2023-01-28T23:00:00Z</dcterms:modified>
  <dc:language>en-CA</dc:language>
</cp:coreProperties>
</file>